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F3EA" w14:textId="0CDDDD6C" w:rsidR="007B3CFB" w:rsidRDefault="007B3CFB" w:rsidP="007B3CFB">
      <w:pPr>
        <w:pStyle w:val="Heading1"/>
        <w:jc w:val="center"/>
        <w:rPr>
          <w:b/>
        </w:rPr>
      </w:pPr>
      <w:bookmarkStart w:id="0" w:name="_Toc517772654"/>
    </w:p>
    <w:p w14:paraId="5B51124D" w14:textId="77777777" w:rsidR="007B3CFB" w:rsidRDefault="007B3CFB" w:rsidP="007B3CFB">
      <w:pPr>
        <w:pStyle w:val="Heading1"/>
        <w:jc w:val="center"/>
        <w:rPr>
          <w:b/>
        </w:rPr>
      </w:pPr>
    </w:p>
    <w:p w14:paraId="5037F9F3" w14:textId="77777777" w:rsidR="007B3CFB" w:rsidRDefault="007B3CFB" w:rsidP="007B3CFB">
      <w:pPr>
        <w:pStyle w:val="Heading1"/>
        <w:jc w:val="center"/>
        <w:rPr>
          <w:b/>
        </w:rPr>
      </w:pPr>
    </w:p>
    <w:p w14:paraId="0E7CCCC0" w14:textId="77777777" w:rsidR="00A9204E" w:rsidRPr="007B3CFB" w:rsidRDefault="007B3CFB" w:rsidP="008E75AE">
      <w:pPr>
        <w:pStyle w:val="Heading1"/>
        <w:spacing w:before="0"/>
        <w:jc w:val="center"/>
        <w:rPr>
          <w:b/>
        </w:rPr>
      </w:pPr>
      <w:bookmarkStart w:id="1" w:name="_Toc517772798"/>
      <w:bookmarkStart w:id="2" w:name="_Toc517775893"/>
      <w:bookmarkStart w:id="3" w:name="_Toc517965370"/>
      <w:bookmarkStart w:id="4" w:name="_Toc518301730"/>
      <w:bookmarkStart w:id="5" w:name="_Toc518303613"/>
      <w:bookmarkStart w:id="6" w:name="_Toc520462937"/>
      <w:bookmarkStart w:id="7" w:name="_Toc5362556"/>
      <w:r w:rsidRPr="007B3CFB">
        <w:rPr>
          <w:b/>
        </w:rPr>
        <w:t>Massachusetts Executive Office of Health and Human Services</w:t>
      </w:r>
      <w:bookmarkEnd w:id="0"/>
      <w:bookmarkEnd w:id="1"/>
      <w:bookmarkEnd w:id="2"/>
      <w:bookmarkEnd w:id="3"/>
      <w:bookmarkEnd w:id="4"/>
      <w:bookmarkEnd w:id="5"/>
      <w:bookmarkEnd w:id="6"/>
      <w:bookmarkEnd w:id="7"/>
    </w:p>
    <w:p w14:paraId="64C7A3AF" w14:textId="77777777" w:rsidR="007B3CFB" w:rsidRPr="007B3CFB" w:rsidRDefault="007B3CFB" w:rsidP="008E75AE">
      <w:pPr>
        <w:pStyle w:val="Heading1"/>
        <w:spacing w:before="0"/>
        <w:jc w:val="center"/>
        <w:rPr>
          <w:b/>
        </w:rPr>
      </w:pPr>
      <w:bookmarkStart w:id="8" w:name="_Toc517772655"/>
      <w:bookmarkStart w:id="9" w:name="_Toc517772799"/>
      <w:bookmarkStart w:id="10" w:name="_Toc517775894"/>
      <w:bookmarkStart w:id="11" w:name="_Toc517965371"/>
      <w:bookmarkStart w:id="12" w:name="_Toc518301731"/>
      <w:bookmarkStart w:id="13" w:name="_Toc518303614"/>
      <w:bookmarkStart w:id="14" w:name="_Toc520462938"/>
      <w:bookmarkStart w:id="15" w:name="_Toc5362557"/>
      <w:r w:rsidRPr="007B3CFB">
        <w:rPr>
          <w:b/>
        </w:rPr>
        <w:t>Quality Alignment Taskforce</w:t>
      </w:r>
      <w:bookmarkEnd w:id="8"/>
      <w:bookmarkEnd w:id="9"/>
      <w:bookmarkEnd w:id="10"/>
      <w:bookmarkEnd w:id="11"/>
      <w:bookmarkEnd w:id="12"/>
      <w:bookmarkEnd w:id="13"/>
      <w:bookmarkEnd w:id="14"/>
      <w:bookmarkEnd w:id="15"/>
    </w:p>
    <w:p w14:paraId="59DF6AC8" w14:textId="77777777" w:rsidR="007B3CFB" w:rsidRPr="007B3CFB" w:rsidRDefault="007B3CFB" w:rsidP="007B3CFB">
      <w:pPr>
        <w:pStyle w:val="Heading1"/>
        <w:jc w:val="center"/>
        <w:rPr>
          <w:b/>
          <w:i/>
        </w:rPr>
      </w:pPr>
      <w:bookmarkStart w:id="16" w:name="_Toc517772656"/>
      <w:bookmarkStart w:id="17" w:name="_Toc517772800"/>
      <w:bookmarkStart w:id="18" w:name="_Toc517775895"/>
      <w:bookmarkStart w:id="19" w:name="_Toc517965372"/>
      <w:bookmarkStart w:id="20" w:name="_Toc518301732"/>
      <w:bookmarkStart w:id="21" w:name="_Toc518303615"/>
      <w:bookmarkStart w:id="22" w:name="_Toc520462939"/>
      <w:bookmarkStart w:id="23" w:name="_Toc5362558"/>
      <w:r w:rsidRPr="007B3CFB">
        <w:rPr>
          <w:b/>
          <w:i/>
        </w:rPr>
        <w:t>Report</w:t>
      </w:r>
      <w:bookmarkEnd w:id="16"/>
      <w:bookmarkEnd w:id="17"/>
      <w:bookmarkEnd w:id="18"/>
      <w:bookmarkEnd w:id="19"/>
      <w:bookmarkEnd w:id="20"/>
      <w:bookmarkEnd w:id="21"/>
      <w:bookmarkEnd w:id="22"/>
      <w:r w:rsidR="00780623">
        <w:rPr>
          <w:b/>
          <w:i/>
        </w:rPr>
        <w:t xml:space="preserve"> on Work </w:t>
      </w:r>
      <w:r w:rsidR="00C871D4">
        <w:rPr>
          <w:b/>
          <w:i/>
        </w:rPr>
        <w:t>t</w:t>
      </w:r>
      <w:r w:rsidR="00780623">
        <w:rPr>
          <w:b/>
          <w:i/>
        </w:rPr>
        <w:t>hrough July 2018</w:t>
      </w:r>
      <w:bookmarkEnd w:id="23"/>
    </w:p>
    <w:p w14:paraId="6B105E4F" w14:textId="01E4C6EA" w:rsidR="005A171B" w:rsidRPr="005A171B" w:rsidRDefault="00046195" w:rsidP="007B3CFB">
      <w:pPr>
        <w:pStyle w:val="Heading1"/>
        <w:jc w:val="center"/>
      </w:pPr>
      <w:bookmarkStart w:id="24" w:name="_Toc518301733"/>
      <w:bookmarkStart w:id="25" w:name="_Toc518303616"/>
      <w:bookmarkStart w:id="26" w:name="_Toc520462940"/>
      <w:bookmarkStart w:id="27" w:name="_Toc5362559"/>
      <w:r>
        <w:t>October 17</w:t>
      </w:r>
      <w:r w:rsidR="00647F96">
        <w:t>, 2018</w:t>
      </w:r>
      <w:bookmarkEnd w:id="27"/>
      <w:r w:rsidR="00647F96">
        <w:t xml:space="preserve"> </w:t>
      </w:r>
      <w:bookmarkEnd w:id="24"/>
      <w:bookmarkEnd w:id="25"/>
      <w:bookmarkEnd w:id="26"/>
    </w:p>
    <w:p w14:paraId="6DFEECDD" w14:textId="77777777" w:rsidR="007B3CFB" w:rsidRDefault="007B3CFB">
      <w:r>
        <w:br w:type="page"/>
      </w:r>
    </w:p>
    <w:p w14:paraId="67D1D757" w14:textId="77777777" w:rsidR="00BF1A24" w:rsidRDefault="00BF1A24"/>
    <w:bookmarkStart w:id="28" w:name="_Toc5362560" w:displacedByCustomXml="next"/>
    <w:bookmarkStart w:id="29" w:name="_Toc520462941" w:displacedByCustomXml="next"/>
    <w:bookmarkStart w:id="30" w:name="_Toc518303617" w:displacedByCustomXml="next"/>
    <w:bookmarkStart w:id="31" w:name="_Toc518301734" w:displacedByCustomXml="next"/>
    <w:bookmarkStart w:id="32" w:name="_Toc517965374" w:displacedByCustomXml="next"/>
    <w:bookmarkStart w:id="33" w:name="_Toc517775897" w:displacedByCustomXml="next"/>
    <w:bookmarkStart w:id="34" w:name="_Toc517772802" w:displacedByCustomXml="next"/>
    <w:sdt>
      <w:sdtPr>
        <w:rPr>
          <w:rFonts w:eastAsiaTheme="minorHAnsi" w:cstheme="minorBidi"/>
          <w:b/>
          <w:color w:val="auto"/>
          <w:sz w:val="22"/>
          <w:szCs w:val="22"/>
        </w:rPr>
        <w:id w:val="-1365204265"/>
        <w:docPartObj>
          <w:docPartGallery w:val="Table of Contents"/>
          <w:docPartUnique/>
        </w:docPartObj>
      </w:sdtPr>
      <w:sdtEndPr>
        <w:rPr>
          <w:bCs/>
          <w:noProof/>
        </w:rPr>
      </w:sdtEndPr>
      <w:sdtContent>
        <w:p w14:paraId="783F0496" w14:textId="77777777" w:rsidR="007B3CFB" w:rsidRPr="007B3CFB" w:rsidRDefault="007B3CFB" w:rsidP="007B3CFB">
          <w:pPr>
            <w:pStyle w:val="Heading1"/>
            <w:rPr>
              <w:b/>
            </w:rPr>
          </w:pPr>
          <w:r w:rsidRPr="007B3CFB">
            <w:rPr>
              <w:b/>
            </w:rPr>
            <w:t>Table of Contents</w:t>
          </w:r>
          <w:bookmarkEnd w:id="34"/>
          <w:bookmarkEnd w:id="33"/>
          <w:bookmarkEnd w:id="32"/>
          <w:bookmarkEnd w:id="31"/>
          <w:bookmarkEnd w:id="30"/>
          <w:bookmarkEnd w:id="29"/>
          <w:bookmarkEnd w:id="28"/>
        </w:p>
        <w:p w14:paraId="793647B5" w14:textId="2992677A" w:rsidR="008D26BF" w:rsidRDefault="007B3CFB">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bookmarkStart w:id="35" w:name="_GoBack"/>
          <w:bookmarkEnd w:id="35"/>
          <w:r w:rsidR="008D26BF" w:rsidRPr="007D5393">
            <w:rPr>
              <w:rStyle w:val="Hyperlink"/>
              <w:noProof/>
            </w:rPr>
            <w:fldChar w:fldCharType="begin"/>
          </w:r>
          <w:r w:rsidR="008D26BF" w:rsidRPr="007D5393">
            <w:rPr>
              <w:rStyle w:val="Hyperlink"/>
              <w:noProof/>
            </w:rPr>
            <w:instrText xml:space="preserve"> </w:instrText>
          </w:r>
          <w:r w:rsidR="008D26BF">
            <w:rPr>
              <w:noProof/>
            </w:rPr>
            <w:instrText>HYPERLINK \l "_Toc5362556"</w:instrText>
          </w:r>
          <w:r w:rsidR="008D26BF" w:rsidRPr="007D5393">
            <w:rPr>
              <w:rStyle w:val="Hyperlink"/>
              <w:noProof/>
            </w:rPr>
            <w:instrText xml:space="preserve"> </w:instrText>
          </w:r>
          <w:r w:rsidR="008D26BF" w:rsidRPr="007D5393">
            <w:rPr>
              <w:rStyle w:val="Hyperlink"/>
              <w:noProof/>
            </w:rPr>
          </w:r>
          <w:r w:rsidR="008D26BF" w:rsidRPr="007D5393">
            <w:rPr>
              <w:rStyle w:val="Hyperlink"/>
              <w:noProof/>
            </w:rPr>
            <w:fldChar w:fldCharType="separate"/>
          </w:r>
          <w:r w:rsidR="008D26BF" w:rsidRPr="007D5393">
            <w:rPr>
              <w:rStyle w:val="Hyperlink"/>
              <w:b/>
              <w:noProof/>
            </w:rPr>
            <w:t>Massachusetts Executive Office of Health and Human Services</w:t>
          </w:r>
          <w:r w:rsidR="008D26BF">
            <w:rPr>
              <w:noProof/>
              <w:webHidden/>
            </w:rPr>
            <w:tab/>
          </w:r>
          <w:r w:rsidR="008D26BF">
            <w:rPr>
              <w:noProof/>
              <w:webHidden/>
            </w:rPr>
            <w:fldChar w:fldCharType="begin"/>
          </w:r>
          <w:r w:rsidR="008D26BF">
            <w:rPr>
              <w:noProof/>
              <w:webHidden/>
            </w:rPr>
            <w:instrText xml:space="preserve"> PAGEREF _Toc5362556 \h </w:instrText>
          </w:r>
          <w:r w:rsidR="008D26BF">
            <w:rPr>
              <w:noProof/>
              <w:webHidden/>
            </w:rPr>
          </w:r>
          <w:r w:rsidR="008D26BF">
            <w:rPr>
              <w:noProof/>
              <w:webHidden/>
            </w:rPr>
            <w:fldChar w:fldCharType="separate"/>
          </w:r>
          <w:r w:rsidR="008D26BF">
            <w:rPr>
              <w:noProof/>
              <w:webHidden/>
            </w:rPr>
            <w:t>1</w:t>
          </w:r>
          <w:r w:rsidR="008D26BF">
            <w:rPr>
              <w:noProof/>
              <w:webHidden/>
            </w:rPr>
            <w:fldChar w:fldCharType="end"/>
          </w:r>
          <w:r w:rsidR="008D26BF" w:rsidRPr="007D5393">
            <w:rPr>
              <w:rStyle w:val="Hyperlink"/>
              <w:noProof/>
            </w:rPr>
            <w:fldChar w:fldCharType="end"/>
          </w:r>
        </w:p>
        <w:p w14:paraId="3269E929" w14:textId="6417EFE8" w:rsidR="008D26BF" w:rsidRDefault="008D26BF">
          <w:pPr>
            <w:pStyle w:val="TOC1"/>
            <w:tabs>
              <w:tab w:val="right" w:leader="dot" w:pos="9350"/>
            </w:tabs>
            <w:rPr>
              <w:rFonts w:asciiTheme="minorHAnsi" w:eastAsiaTheme="minorEastAsia" w:hAnsiTheme="minorHAnsi"/>
              <w:noProof/>
            </w:rPr>
          </w:pPr>
          <w:hyperlink w:anchor="_Toc5362557" w:history="1">
            <w:r w:rsidRPr="007D5393">
              <w:rPr>
                <w:rStyle w:val="Hyperlink"/>
                <w:b/>
                <w:noProof/>
              </w:rPr>
              <w:t>Quality Alignment Taskforce</w:t>
            </w:r>
            <w:r>
              <w:rPr>
                <w:noProof/>
                <w:webHidden/>
              </w:rPr>
              <w:tab/>
            </w:r>
            <w:r>
              <w:rPr>
                <w:noProof/>
                <w:webHidden/>
              </w:rPr>
              <w:fldChar w:fldCharType="begin"/>
            </w:r>
            <w:r>
              <w:rPr>
                <w:noProof/>
                <w:webHidden/>
              </w:rPr>
              <w:instrText xml:space="preserve"> PAGEREF _Toc5362557 \h </w:instrText>
            </w:r>
            <w:r>
              <w:rPr>
                <w:noProof/>
                <w:webHidden/>
              </w:rPr>
            </w:r>
            <w:r>
              <w:rPr>
                <w:noProof/>
                <w:webHidden/>
              </w:rPr>
              <w:fldChar w:fldCharType="separate"/>
            </w:r>
            <w:r>
              <w:rPr>
                <w:noProof/>
                <w:webHidden/>
              </w:rPr>
              <w:t>1</w:t>
            </w:r>
            <w:r>
              <w:rPr>
                <w:noProof/>
                <w:webHidden/>
              </w:rPr>
              <w:fldChar w:fldCharType="end"/>
            </w:r>
          </w:hyperlink>
        </w:p>
        <w:p w14:paraId="24228DDB" w14:textId="36692E6F" w:rsidR="008D26BF" w:rsidRDefault="008D26BF">
          <w:pPr>
            <w:pStyle w:val="TOC1"/>
            <w:tabs>
              <w:tab w:val="right" w:leader="dot" w:pos="9350"/>
            </w:tabs>
            <w:rPr>
              <w:rFonts w:asciiTheme="minorHAnsi" w:eastAsiaTheme="minorEastAsia" w:hAnsiTheme="minorHAnsi"/>
              <w:noProof/>
            </w:rPr>
          </w:pPr>
          <w:hyperlink w:anchor="_Toc5362558" w:history="1">
            <w:r w:rsidRPr="007D5393">
              <w:rPr>
                <w:rStyle w:val="Hyperlink"/>
                <w:b/>
                <w:i/>
                <w:noProof/>
              </w:rPr>
              <w:t>Report on Work through July 2018</w:t>
            </w:r>
            <w:r>
              <w:rPr>
                <w:noProof/>
                <w:webHidden/>
              </w:rPr>
              <w:tab/>
            </w:r>
            <w:r>
              <w:rPr>
                <w:noProof/>
                <w:webHidden/>
              </w:rPr>
              <w:fldChar w:fldCharType="begin"/>
            </w:r>
            <w:r>
              <w:rPr>
                <w:noProof/>
                <w:webHidden/>
              </w:rPr>
              <w:instrText xml:space="preserve"> PAGEREF _Toc5362558 \h </w:instrText>
            </w:r>
            <w:r>
              <w:rPr>
                <w:noProof/>
                <w:webHidden/>
              </w:rPr>
            </w:r>
            <w:r>
              <w:rPr>
                <w:noProof/>
                <w:webHidden/>
              </w:rPr>
              <w:fldChar w:fldCharType="separate"/>
            </w:r>
            <w:r>
              <w:rPr>
                <w:noProof/>
                <w:webHidden/>
              </w:rPr>
              <w:t>1</w:t>
            </w:r>
            <w:r>
              <w:rPr>
                <w:noProof/>
                <w:webHidden/>
              </w:rPr>
              <w:fldChar w:fldCharType="end"/>
            </w:r>
          </w:hyperlink>
        </w:p>
        <w:p w14:paraId="5CA8DABB" w14:textId="00AA6A67" w:rsidR="008D26BF" w:rsidRDefault="008D26BF">
          <w:pPr>
            <w:pStyle w:val="TOC1"/>
            <w:tabs>
              <w:tab w:val="right" w:leader="dot" w:pos="9350"/>
            </w:tabs>
            <w:rPr>
              <w:rFonts w:asciiTheme="minorHAnsi" w:eastAsiaTheme="minorEastAsia" w:hAnsiTheme="minorHAnsi"/>
              <w:noProof/>
            </w:rPr>
          </w:pPr>
          <w:hyperlink w:anchor="_Toc5362559" w:history="1">
            <w:r w:rsidRPr="007D5393">
              <w:rPr>
                <w:rStyle w:val="Hyperlink"/>
                <w:noProof/>
              </w:rPr>
              <w:t>October 17, 2018</w:t>
            </w:r>
            <w:r>
              <w:rPr>
                <w:noProof/>
                <w:webHidden/>
              </w:rPr>
              <w:tab/>
            </w:r>
            <w:r>
              <w:rPr>
                <w:noProof/>
                <w:webHidden/>
              </w:rPr>
              <w:fldChar w:fldCharType="begin"/>
            </w:r>
            <w:r>
              <w:rPr>
                <w:noProof/>
                <w:webHidden/>
              </w:rPr>
              <w:instrText xml:space="preserve"> PAGEREF _Toc5362559 \h </w:instrText>
            </w:r>
            <w:r>
              <w:rPr>
                <w:noProof/>
                <w:webHidden/>
              </w:rPr>
            </w:r>
            <w:r>
              <w:rPr>
                <w:noProof/>
                <w:webHidden/>
              </w:rPr>
              <w:fldChar w:fldCharType="separate"/>
            </w:r>
            <w:r>
              <w:rPr>
                <w:noProof/>
                <w:webHidden/>
              </w:rPr>
              <w:t>1</w:t>
            </w:r>
            <w:r>
              <w:rPr>
                <w:noProof/>
                <w:webHidden/>
              </w:rPr>
              <w:fldChar w:fldCharType="end"/>
            </w:r>
          </w:hyperlink>
        </w:p>
        <w:p w14:paraId="54DC1F69" w14:textId="5349409C" w:rsidR="008D26BF" w:rsidRDefault="008D26BF">
          <w:pPr>
            <w:pStyle w:val="TOC1"/>
            <w:tabs>
              <w:tab w:val="right" w:leader="dot" w:pos="9350"/>
            </w:tabs>
            <w:rPr>
              <w:rFonts w:asciiTheme="minorHAnsi" w:eastAsiaTheme="minorEastAsia" w:hAnsiTheme="minorHAnsi"/>
              <w:noProof/>
            </w:rPr>
          </w:pPr>
          <w:hyperlink w:anchor="_Toc5362560" w:history="1">
            <w:r w:rsidRPr="007D5393">
              <w:rPr>
                <w:rStyle w:val="Hyperlink"/>
                <w:b/>
                <w:noProof/>
              </w:rPr>
              <w:t>Table of Contents</w:t>
            </w:r>
            <w:r>
              <w:rPr>
                <w:noProof/>
                <w:webHidden/>
              </w:rPr>
              <w:tab/>
            </w:r>
            <w:r>
              <w:rPr>
                <w:noProof/>
                <w:webHidden/>
              </w:rPr>
              <w:fldChar w:fldCharType="begin"/>
            </w:r>
            <w:r>
              <w:rPr>
                <w:noProof/>
                <w:webHidden/>
              </w:rPr>
              <w:instrText xml:space="preserve"> PAGEREF _Toc5362560 \h </w:instrText>
            </w:r>
            <w:r>
              <w:rPr>
                <w:noProof/>
                <w:webHidden/>
              </w:rPr>
            </w:r>
            <w:r>
              <w:rPr>
                <w:noProof/>
                <w:webHidden/>
              </w:rPr>
              <w:fldChar w:fldCharType="separate"/>
            </w:r>
            <w:r>
              <w:rPr>
                <w:noProof/>
                <w:webHidden/>
              </w:rPr>
              <w:t>2</w:t>
            </w:r>
            <w:r>
              <w:rPr>
                <w:noProof/>
                <w:webHidden/>
              </w:rPr>
              <w:fldChar w:fldCharType="end"/>
            </w:r>
          </w:hyperlink>
        </w:p>
        <w:p w14:paraId="1BADD311" w14:textId="514DB89E" w:rsidR="008D26BF" w:rsidRDefault="008D26BF">
          <w:pPr>
            <w:pStyle w:val="TOC2"/>
            <w:rPr>
              <w:rFonts w:asciiTheme="minorHAnsi" w:eastAsiaTheme="minorEastAsia" w:hAnsiTheme="minorHAnsi"/>
              <w:b w:val="0"/>
            </w:rPr>
          </w:pPr>
          <w:hyperlink w:anchor="_Toc5362561" w:history="1">
            <w:r w:rsidRPr="007D5393">
              <w:rPr>
                <w:rStyle w:val="Hyperlink"/>
              </w:rPr>
              <w:t>I. Introduction</w:t>
            </w:r>
            <w:r>
              <w:rPr>
                <w:webHidden/>
              </w:rPr>
              <w:tab/>
            </w:r>
            <w:r>
              <w:rPr>
                <w:webHidden/>
              </w:rPr>
              <w:fldChar w:fldCharType="begin"/>
            </w:r>
            <w:r>
              <w:rPr>
                <w:webHidden/>
              </w:rPr>
              <w:instrText xml:space="preserve"> PAGEREF _Toc5362561 \h </w:instrText>
            </w:r>
            <w:r>
              <w:rPr>
                <w:webHidden/>
              </w:rPr>
            </w:r>
            <w:r>
              <w:rPr>
                <w:webHidden/>
              </w:rPr>
              <w:fldChar w:fldCharType="separate"/>
            </w:r>
            <w:r>
              <w:rPr>
                <w:webHidden/>
              </w:rPr>
              <w:t>3</w:t>
            </w:r>
            <w:r>
              <w:rPr>
                <w:webHidden/>
              </w:rPr>
              <w:fldChar w:fldCharType="end"/>
            </w:r>
          </w:hyperlink>
        </w:p>
        <w:p w14:paraId="7686F76F" w14:textId="1A652159" w:rsidR="008D26BF" w:rsidRDefault="008D26BF">
          <w:pPr>
            <w:pStyle w:val="TOC3"/>
            <w:rPr>
              <w:rFonts w:asciiTheme="minorHAnsi" w:eastAsiaTheme="minorEastAsia" w:hAnsiTheme="minorHAnsi"/>
              <w:noProof/>
            </w:rPr>
          </w:pPr>
          <w:hyperlink w:anchor="_Toc5362562" w:history="1">
            <w:r w:rsidRPr="007D5393">
              <w:rPr>
                <w:rStyle w:val="Hyperlink"/>
                <w:noProof/>
              </w:rPr>
              <w:t>A.</w:t>
            </w:r>
            <w:r>
              <w:rPr>
                <w:rFonts w:asciiTheme="minorHAnsi" w:eastAsiaTheme="minorEastAsia" w:hAnsiTheme="minorHAnsi"/>
                <w:noProof/>
              </w:rPr>
              <w:tab/>
            </w:r>
            <w:r w:rsidRPr="007D5393">
              <w:rPr>
                <w:rStyle w:val="Hyperlink"/>
                <w:noProof/>
              </w:rPr>
              <w:t>Background</w:t>
            </w:r>
            <w:r>
              <w:rPr>
                <w:noProof/>
                <w:webHidden/>
              </w:rPr>
              <w:tab/>
            </w:r>
            <w:r>
              <w:rPr>
                <w:noProof/>
                <w:webHidden/>
              </w:rPr>
              <w:fldChar w:fldCharType="begin"/>
            </w:r>
            <w:r>
              <w:rPr>
                <w:noProof/>
                <w:webHidden/>
              </w:rPr>
              <w:instrText xml:space="preserve"> PAGEREF _Toc5362562 \h </w:instrText>
            </w:r>
            <w:r>
              <w:rPr>
                <w:noProof/>
                <w:webHidden/>
              </w:rPr>
            </w:r>
            <w:r>
              <w:rPr>
                <w:noProof/>
                <w:webHidden/>
              </w:rPr>
              <w:fldChar w:fldCharType="separate"/>
            </w:r>
            <w:r>
              <w:rPr>
                <w:noProof/>
                <w:webHidden/>
              </w:rPr>
              <w:t>3</w:t>
            </w:r>
            <w:r>
              <w:rPr>
                <w:noProof/>
                <w:webHidden/>
              </w:rPr>
              <w:fldChar w:fldCharType="end"/>
            </w:r>
          </w:hyperlink>
        </w:p>
        <w:p w14:paraId="32CF495F" w14:textId="350168BE" w:rsidR="008D26BF" w:rsidRDefault="008D26BF">
          <w:pPr>
            <w:pStyle w:val="TOC3"/>
            <w:rPr>
              <w:rFonts w:asciiTheme="minorHAnsi" w:eastAsiaTheme="minorEastAsia" w:hAnsiTheme="minorHAnsi"/>
              <w:noProof/>
            </w:rPr>
          </w:pPr>
          <w:hyperlink w:anchor="_Toc5362563" w:history="1">
            <w:r w:rsidRPr="007D5393">
              <w:rPr>
                <w:rStyle w:val="Hyperlink"/>
                <w:noProof/>
              </w:rPr>
              <w:t>B.</w:t>
            </w:r>
            <w:r>
              <w:rPr>
                <w:rFonts w:asciiTheme="minorHAnsi" w:eastAsiaTheme="minorEastAsia" w:hAnsiTheme="minorHAnsi"/>
                <w:noProof/>
              </w:rPr>
              <w:tab/>
            </w:r>
            <w:r w:rsidRPr="007D5393">
              <w:rPr>
                <w:rStyle w:val="Hyperlink"/>
                <w:noProof/>
              </w:rPr>
              <w:t>Convening of the Quality Alignment Taskforce and DSRIP Quality Subcommittee</w:t>
            </w:r>
            <w:r>
              <w:rPr>
                <w:noProof/>
                <w:webHidden/>
              </w:rPr>
              <w:tab/>
            </w:r>
            <w:r>
              <w:rPr>
                <w:noProof/>
                <w:webHidden/>
              </w:rPr>
              <w:fldChar w:fldCharType="begin"/>
            </w:r>
            <w:r>
              <w:rPr>
                <w:noProof/>
                <w:webHidden/>
              </w:rPr>
              <w:instrText xml:space="preserve"> PAGEREF _Toc5362563 \h </w:instrText>
            </w:r>
            <w:r>
              <w:rPr>
                <w:noProof/>
                <w:webHidden/>
              </w:rPr>
            </w:r>
            <w:r>
              <w:rPr>
                <w:noProof/>
                <w:webHidden/>
              </w:rPr>
              <w:fldChar w:fldCharType="separate"/>
            </w:r>
            <w:r>
              <w:rPr>
                <w:noProof/>
                <w:webHidden/>
              </w:rPr>
              <w:t>5</w:t>
            </w:r>
            <w:r>
              <w:rPr>
                <w:noProof/>
                <w:webHidden/>
              </w:rPr>
              <w:fldChar w:fldCharType="end"/>
            </w:r>
          </w:hyperlink>
        </w:p>
        <w:p w14:paraId="553E98A7" w14:textId="7E69A0C8" w:rsidR="008D26BF" w:rsidRDefault="008D26BF">
          <w:pPr>
            <w:pStyle w:val="TOC2"/>
            <w:rPr>
              <w:rFonts w:asciiTheme="minorHAnsi" w:eastAsiaTheme="minorEastAsia" w:hAnsiTheme="minorHAnsi"/>
              <w:b w:val="0"/>
            </w:rPr>
          </w:pPr>
          <w:hyperlink w:anchor="_Toc5362564" w:history="1">
            <w:r w:rsidRPr="007D5393">
              <w:rPr>
                <w:rStyle w:val="Hyperlink"/>
              </w:rPr>
              <w:t>II. Quality Alignment Taskforce Measure Selection Process</w:t>
            </w:r>
            <w:r>
              <w:rPr>
                <w:webHidden/>
              </w:rPr>
              <w:tab/>
            </w:r>
            <w:r>
              <w:rPr>
                <w:webHidden/>
              </w:rPr>
              <w:fldChar w:fldCharType="begin"/>
            </w:r>
            <w:r>
              <w:rPr>
                <w:webHidden/>
              </w:rPr>
              <w:instrText xml:space="preserve"> PAGEREF _Toc5362564 \h </w:instrText>
            </w:r>
            <w:r>
              <w:rPr>
                <w:webHidden/>
              </w:rPr>
            </w:r>
            <w:r>
              <w:rPr>
                <w:webHidden/>
              </w:rPr>
              <w:fldChar w:fldCharType="separate"/>
            </w:r>
            <w:r>
              <w:rPr>
                <w:webHidden/>
              </w:rPr>
              <w:t>8</w:t>
            </w:r>
            <w:r>
              <w:rPr>
                <w:webHidden/>
              </w:rPr>
              <w:fldChar w:fldCharType="end"/>
            </w:r>
          </w:hyperlink>
        </w:p>
        <w:p w14:paraId="5D732205" w14:textId="2D076B26" w:rsidR="008D26BF" w:rsidRDefault="008D26BF">
          <w:pPr>
            <w:pStyle w:val="TOC2"/>
            <w:rPr>
              <w:rFonts w:asciiTheme="minorHAnsi" w:eastAsiaTheme="minorEastAsia" w:hAnsiTheme="minorHAnsi"/>
              <w:b w:val="0"/>
            </w:rPr>
          </w:pPr>
          <w:hyperlink w:anchor="_Toc5362565" w:history="1">
            <w:r w:rsidRPr="007D5393">
              <w:rPr>
                <w:rStyle w:val="Hyperlink"/>
              </w:rPr>
              <w:t>III. Quality Alignment Taskforce Results and Outcomes</w:t>
            </w:r>
            <w:r>
              <w:rPr>
                <w:webHidden/>
              </w:rPr>
              <w:tab/>
            </w:r>
            <w:r>
              <w:rPr>
                <w:webHidden/>
              </w:rPr>
              <w:fldChar w:fldCharType="begin"/>
            </w:r>
            <w:r>
              <w:rPr>
                <w:webHidden/>
              </w:rPr>
              <w:instrText xml:space="preserve"> PAGEREF _Toc5362565 \h </w:instrText>
            </w:r>
            <w:r>
              <w:rPr>
                <w:webHidden/>
              </w:rPr>
            </w:r>
            <w:r>
              <w:rPr>
                <w:webHidden/>
              </w:rPr>
              <w:fldChar w:fldCharType="separate"/>
            </w:r>
            <w:r>
              <w:rPr>
                <w:webHidden/>
              </w:rPr>
              <w:t>11</w:t>
            </w:r>
            <w:r>
              <w:rPr>
                <w:webHidden/>
              </w:rPr>
              <w:fldChar w:fldCharType="end"/>
            </w:r>
          </w:hyperlink>
        </w:p>
        <w:p w14:paraId="24ED147A" w14:textId="27425BF7" w:rsidR="008D26BF" w:rsidRDefault="008D26BF">
          <w:pPr>
            <w:pStyle w:val="TOC3"/>
            <w:rPr>
              <w:rFonts w:asciiTheme="minorHAnsi" w:eastAsiaTheme="minorEastAsia" w:hAnsiTheme="minorHAnsi"/>
              <w:noProof/>
            </w:rPr>
          </w:pPr>
          <w:hyperlink w:anchor="_Toc5362566" w:history="1">
            <w:r w:rsidRPr="007D5393">
              <w:rPr>
                <w:rStyle w:val="Hyperlink"/>
                <w:noProof/>
              </w:rPr>
              <w:t>A.</w:t>
            </w:r>
            <w:r>
              <w:rPr>
                <w:rFonts w:asciiTheme="minorHAnsi" w:eastAsiaTheme="minorEastAsia" w:hAnsiTheme="minorHAnsi"/>
                <w:noProof/>
              </w:rPr>
              <w:tab/>
            </w:r>
            <w:r w:rsidRPr="007D5393">
              <w:rPr>
                <w:rStyle w:val="Hyperlink"/>
                <w:noProof/>
              </w:rPr>
              <w:t>Structure of the Massachusetts Aligned Measure Set</w:t>
            </w:r>
            <w:r>
              <w:rPr>
                <w:noProof/>
                <w:webHidden/>
              </w:rPr>
              <w:tab/>
            </w:r>
            <w:r>
              <w:rPr>
                <w:noProof/>
                <w:webHidden/>
              </w:rPr>
              <w:fldChar w:fldCharType="begin"/>
            </w:r>
            <w:r>
              <w:rPr>
                <w:noProof/>
                <w:webHidden/>
              </w:rPr>
              <w:instrText xml:space="preserve"> PAGEREF _Toc5362566 \h </w:instrText>
            </w:r>
            <w:r>
              <w:rPr>
                <w:noProof/>
                <w:webHidden/>
              </w:rPr>
            </w:r>
            <w:r>
              <w:rPr>
                <w:noProof/>
                <w:webHidden/>
              </w:rPr>
              <w:fldChar w:fldCharType="separate"/>
            </w:r>
            <w:r>
              <w:rPr>
                <w:noProof/>
                <w:webHidden/>
              </w:rPr>
              <w:t>11</w:t>
            </w:r>
            <w:r>
              <w:rPr>
                <w:noProof/>
                <w:webHidden/>
              </w:rPr>
              <w:fldChar w:fldCharType="end"/>
            </w:r>
          </w:hyperlink>
        </w:p>
        <w:p w14:paraId="36374D0F" w14:textId="69FE16F8" w:rsidR="008D26BF" w:rsidRDefault="008D26BF">
          <w:pPr>
            <w:pStyle w:val="TOC3"/>
            <w:rPr>
              <w:rFonts w:asciiTheme="minorHAnsi" w:eastAsiaTheme="minorEastAsia" w:hAnsiTheme="minorHAnsi"/>
              <w:noProof/>
            </w:rPr>
          </w:pPr>
          <w:hyperlink w:anchor="_Toc5362567" w:history="1">
            <w:r w:rsidRPr="007D5393">
              <w:rPr>
                <w:rStyle w:val="Hyperlink"/>
                <w:noProof/>
              </w:rPr>
              <w:t>B.</w:t>
            </w:r>
            <w:r>
              <w:rPr>
                <w:rFonts w:asciiTheme="minorHAnsi" w:eastAsiaTheme="minorEastAsia" w:hAnsiTheme="minorHAnsi"/>
                <w:noProof/>
              </w:rPr>
              <w:tab/>
            </w:r>
            <w:r w:rsidRPr="007D5393">
              <w:rPr>
                <w:rStyle w:val="Hyperlink"/>
                <w:noProof/>
              </w:rPr>
              <w:t>Composition of the Massachusetts Aligned Measure Set</w:t>
            </w:r>
            <w:r>
              <w:rPr>
                <w:noProof/>
                <w:webHidden/>
              </w:rPr>
              <w:tab/>
            </w:r>
            <w:r>
              <w:rPr>
                <w:noProof/>
                <w:webHidden/>
              </w:rPr>
              <w:fldChar w:fldCharType="begin"/>
            </w:r>
            <w:r>
              <w:rPr>
                <w:noProof/>
                <w:webHidden/>
              </w:rPr>
              <w:instrText xml:space="preserve"> PAGEREF _Toc5362567 \h </w:instrText>
            </w:r>
            <w:r>
              <w:rPr>
                <w:noProof/>
                <w:webHidden/>
              </w:rPr>
            </w:r>
            <w:r>
              <w:rPr>
                <w:noProof/>
                <w:webHidden/>
              </w:rPr>
              <w:fldChar w:fldCharType="separate"/>
            </w:r>
            <w:r>
              <w:rPr>
                <w:noProof/>
                <w:webHidden/>
              </w:rPr>
              <w:t>13</w:t>
            </w:r>
            <w:r>
              <w:rPr>
                <w:noProof/>
                <w:webHidden/>
              </w:rPr>
              <w:fldChar w:fldCharType="end"/>
            </w:r>
          </w:hyperlink>
        </w:p>
        <w:p w14:paraId="02940FE5" w14:textId="0FE84E70" w:rsidR="008D26BF" w:rsidRDefault="008D26BF">
          <w:pPr>
            <w:pStyle w:val="TOC3"/>
            <w:rPr>
              <w:rFonts w:asciiTheme="minorHAnsi" w:eastAsiaTheme="minorEastAsia" w:hAnsiTheme="minorHAnsi"/>
              <w:noProof/>
            </w:rPr>
          </w:pPr>
          <w:hyperlink w:anchor="_Toc5362568" w:history="1">
            <w:r w:rsidRPr="007D5393">
              <w:rPr>
                <w:rStyle w:val="Hyperlink"/>
                <w:noProof/>
              </w:rPr>
              <w:t>C.</w:t>
            </w:r>
            <w:r>
              <w:rPr>
                <w:rFonts w:asciiTheme="minorHAnsi" w:eastAsiaTheme="minorEastAsia" w:hAnsiTheme="minorHAnsi"/>
                <w:noProof/>
              </w:rPr>
              <w:tab/>
            </w:r>
            <w:r w:rsidRPr="007D5393">
              <w:rPr>
                <w:rStyle w:val="Hyperlink"/>
                <w:noProof/>
              </w:rPr>
              <w:t>Implementation of the Recommended Massachusetts Aligned Measure Set</w:t>
            </w:r>
            <w:r>
              <w:rPr>
                <w:noProof/>
                <w:webHidden/>
              </w:rPr>
              <w:tab/>
            </w:r>
            <w:r>
              <w:rPr>
                <w:noProof/>
                <w:webHidden/>
              </w:rPr>
              <w:fldChar w:fldCharType="begin"/>
            </w:r>
            <w:r>
              <w:rPr>
                <w:noProof/>
                <w:webHidden/>
              </w:rPr>
              <w:instrText xml:space="preserve"> PAGEREF _Toc5362568 \h </w:instrText>
            </w:r>
            <w:r>
              <w:rPr>
                <w:noProof/>
                <w:webHidden/>
              </w:rPr>
            </w:r>
            <w:r>
              <w:rPr>
                <w:noProof/>
                <w:webHidden/>
              </w:rPr>
              <w:fldChar w:fldCharType="separate"/>
            </w:r>
            <w:r>
              <w:rPr>
                <w:noProof/>
                <w:webHidden/>
              </w:rPr>
              <w:t>15</w:t>
            </w:r>
            <w:r>
              <w:rPr>
                <w:noProof/>
                <w:webHidden/>
              </w:rPr>
              <w:fldChar w:fldCharType="end"/>
            </w:r>
          </w:hyperlink>
        </w:p>
        <w:p w14:paraId="053276B2" w14:textId="7AE22636" w:rsidR="008D26BF" w:rsidRDefault="008D26BF">
          <w:pPr>
            <w:pStyle w:val="TOC2"/>
            <w:rPr>
              <w:rFonts w:asciiTheme="minorHAnsi" w:eastAsiaTheme="minorEastAsia" w:hAnsiTheme="minorHAnsi"/>
              <w:b w:val="0"/>
            </w:rPr>
          </w:pPr>
          <w:hyperlink w:anchor="_Toc5362569" w:history="1">
            <w:r w:rsidRPr="007D5393">
              <w:rPr>
                <w:rStyle w:val="Hyperlink"/>
              </w:rPr>
              <w:t>IV. Quality Alignment Taskforce Next Steps and Future Directions</w:t>
            </w:r>
            <w:r>
              <w:rPr>
                <w:webHidden/>
              </w:rPr>
              <w:tab/>
            </w:r>
            <w:r>
              <w:rPr>
                <w:webHidden/>
              </w:rPr>
              <w:fldChar w:fldCharType="begin"/>
            </w:r>
            <w:r>
              <w:rPr>
                <w:webHidden/>
              </w:rPr>
              <w:instrText xml:space="preserve"> PAGEREF _Toc5362569 \h </w:instrText>
            </w:r>
            <w:r>
              <w:rPr>
                <w:webHidden/>
              </w:rPr>
            </w:r>
            <w:r>
              <w:rPr>
                <w:webHidden/>
              </w:rPr>
              <w:fldChar w:fldCharType="separate"/>
            </w:r>
            <w:r>
              <w:rPr>
                <w:webHidden/>
              </w:rPr>
              <w:t>15</w:t>
            </w:r>
            <w:r>
              <w:rPr>
                <w:webHidden/>
              </w:rPr>
              <w:fldChar w:fldCharType="end"/>
            </w:r>
          </w:hyperlink>
        </w:p>
        <w:p w14:paraId="7C004E79" w14:textId="54811356" w:rsidR="008D26BF" w:rsidRDefault="008D26BF">
          <w:pPr>
            <w:pStyle w:val="TOC2"/>
            <w:rPr>
              <w:rFonts w:asciiTheme="minorHAnsi" w:eastAsiaTheme="minorEastAsia" w:hAnsiTheme="minorHAnsi"/>
              <w:b w:val="0"/>
            </w:rPr>
          </w:pPr>
          <w:hyperlink w:anchor="_Toc5362570" w:history="1">
            <w:r w:rsidRPr="007D5393">
              <w:rPr>
                <w:rStyle w:val="Hyperlink"/>
              </w:rPr>
              <w:t>V. DSRIP Quality Subcommittee Summary</w:t>
            </w:r>
            <w:r>
              <w:rPr>
                <w:webHidden/>
              </w:rPr>
              <w:tab/>
            </w:r>
            <w:r>
              <w:rPr>
                <w:webHidden/>
              </w:rPr>
              <w:fldChar w:fldCharType="begin"/>
            </w:r>
            <w:r>
              <w:rPr>
                <w:webHidden/>
              </w:rPr>
              <w:instrText xml:space="preserve"> PAGEREF _Toc5362570 \h </w:instrText>
            </w:r>
            <w:r>
              <w:rPr>
                <w:webHidden/>
              </w:rPr>
            </w:r>
            <w:r>
              <w:rPr>
                <w:webHidden/>
              </w:rPr>
              <w:fldChar w:fldCharType="separate"/>
            </w:r>
            <w:r>
              <w:rPr>
                <w:webHidden/>
              </w:rPr>
              <w:t>16</w:t>
            </w:r>
            <w:r>
              <w:rPr>
                <w:webHidden/>
              </w:rPr>
              <w:fldChar w:fldCharType="end"/>
            </w:r>
          </w:hyperlink>
        </w:p>
        <w:p w14:paraId="32CF778D" w14:textId="311125AA" w:rsidR="008D26BF" w:rsidRDefault="008D26BF">
          <w:pPr>
            <w:pStyle w:val="TOC2"/>
            <w:rPr>
              <w:rFonts w:asciiTheme="minorHAnsi" w:eastAsiaTheme="minorEastAsia" w:hAnsiTheme="minorHAnsi"/>
              <w:b w:val="0"/>
            </w:rPr>
          </w:pPr>
          <w:hyperlink w:anchor="_Toc5362571" w:history="1">
            <w:r w:rsidRPr="007D5393">
              <w:rPr>
                <w:rStyle w:val="Hyperlink"/>
              </w:rPr>
              <w:t>VI. Public Comment</w:t>
            </w:r>
            <w:r>
              <w:rPr>
                <w:webHidden/>
              </w:rPr>
              <w:tab/>
            </w:r>
            <w:r>
              <w:rPr>
                <w:webHidden/>
              </w:rPr>
              <w:fldChar w:fldCharType="begin"/>
            </w:r>
            <w:r>
              <w:rPr>
                <w:webHidden/>
              </w:rPr>
              <w:instrText xml:space="preserve"> PAGEREF _Toc5362571 \h </w:instrText>
            </w:r>
            <w:r>
              <w:rPr>
                <w:webHidden/>
              </w:rPr>
            </w:r>
            <w:r>
              <w:rPr>
                <w:webHidden/>
              </w:rPr>
              <w:fldChar w:fldCharType="separate"/>
            </w:r>
            <w:r>
              <w:rPr>
                <w:webHidden/>
              </w:rPr>
              <w:t>18</w:t>
            </w:r>
            <w:r>
              <w:rPr>
                <w:webHidden/>
              </w:rPr>
              <w:fldChar w:fldCharType="end"/>
            </w:r>
          </w:hyperlink>
        </w:p>
        <w:p w14:paraId="5C2A33AA" w14:textId="325D5A9B" w:rsidR="008D26BF" w:rsidRDefault="008D26BF">
          <w:pPr>
            <w:pStyle w:val="TOC2"/>
            <w:rPr>
              <w:rFonts w:asciiTheme="minorHAnsi" w:eastAsiaTheme="minorEastAsia" w:hAnsiTheme="minorHAnsi"/>
              <w:b w:val="0"/>
            </w:rPr>
          </w:pPr>
          <w:hyperlink w:anchor="_Toc5362572" w:history="1">
            <w:r w:rsidRPr="007D5393">
              <w:rPr>
                <w:rStyle w:val="Hyperlink"/>
              </w:rPr>
              <w:t>Appendix A:  Taskforce-Identified Developmental Measures and Measure Concepts by Domain as of July 2018</w:t>
            </w:r>
            <w:r>
              <w:rPr>
                <w:webHidden/>
              </w:rPr>
              <w:tab/>
            </w:r>
            <w:r>
              <w:rPr>
                <w:webHidden/>
              </w:rPr>
              <w:fldChar w:fldCharType="begin"/>
            </w:r>
            <w:r>
              <w:rPr>
                <w:webHidden/>
              </w:rPr>
              <w:instrText xml:space="preserve"> PAGEREF _Toc5362572 \h </w:instrText>
            </w:r>
            <w:r>
              <w:rPr>
                <w:webHidden/>
              </w:rPr>
            </w:r>
            <w:r>
              <w:rPr>
                <w:webHidden/>
              </w:rPr>
              <w:fldChar w:fldCharType="separate"/>
            </w:r>
            <w:r>
              <w:rPr>
                <w:webHidden/>
              </w:rPr>
              <w:t>19</w:t>
            </w:r>
            <w:r>
              <w:rPr>
                <w:webHidden/>
              </w:rPr>
              <w:fldChar w:fldCharType="end"/>
            </w:r>
          </w:hyperlink>
        </w:p>
        <w:p w14:paraId="5A0CD99F" w14:textId="29524059" w:rsidR="008D26BF" w:rsidRDefault="008D26BF">
          <w:pPr>
            <w:pStyle w:val="TOC2"/>
            <w:rPr>
              <w:rFonts w:asciiTheme="minorHAnsi" w:eastAsiaTheme="minorEastAsia" w:hAnsiTheme="minorHAnsi"/>
              <w:b w:val="0"/>
            </w:rPr>
          </w:pPr>
          <w:hyperlink w:anchor="_Toc5362573" w:history="1">
            <w:r w:rsidRPr="007D5393">
              <w:rPr>
                <w:rStyle w:val="Hyperlink"/>
              </w:rPr>
              <w:t>Appendix B:  MassHealth DSRIP ACO, Behavioral Health Community Partner, and Long-term Services and Supports Community Partner Measure Sets as of July 2018</w:t>
            </w:r>
            <w:r>
              <w:rPr>
                <w:webHidden/>
              </w:rPr>
              <w:tab/>
            </w:r>
            <w:r>
              <w:rPr>
                <w:webHidden/>
              </w:rPr>
              <w:fldChar w:fldCharType="begin"/>
            </w:r>
            <w:r>
              <w:rPr>
                <w:webHidden/>
              </w:rPr>
              <w:instrText xml:space="preserve"> PAGEREF _Toc5362573 \h </w:instrText>
            </w:r>
            <w:r>
              <w:rPr>
                <w:webHidden/>
              </w:rPr>
            </w:r>
            <w:r>
              <w:rPr>
                <w:webHidden/>
              </w:rPr>
              <w:fldChar w:fldCharType="separate"/>
            </w:r>
            <w:r>
              <w:rPr>
                <w:webHidden/>
              </w:rPr>
              <w:t>21</w:t>
            </w:r>
            <w:r>
              <w:rPr>
                <w:webHidden/>
              </w:rPr>
              <w:fldChar w:fldCharType="end"/>
            </w:r>
          </w:hyperlink>
        </w:p>
        <w:p w14:paraId="3A0592F0" w14:textId="31DC9E99" w:rsidR="008D26BF" w:rsidRDefault="008D26BF">
          <w:pPr>
            <w:pStyle w:val="TOC2"/>
            <w:rPr>
              <w:rFonts w:asciiTheme="minorHAnsi" w:eastAsiaTheme="minorEastAsia" w:hAnsiTheme="minorHAnsi"/>
              <w:b w:val="0"/>
            </w:rPr>
          </w:pPr>
          <w:hyperlink w:anchor="_Toc5362574" w:history="1">
            <w:r w:rsidRPr="007D5393">
              <w:rPr>
                <w:rStyle w:val="Hyperlink"/>
              </w:rPr>
              <w:t>Appendix C: Summary of Responses to Request for Public Comment</w:t>
            </w:r>
            <w:r>
              <w:rPr>
                <w:webHidden/>
              </w:rPr>
              <w:tab/>
            </w:r>
            <w:r>
              <w:rPr>
                <w:webHidden/>
              </w:rPr>
              <w:fldChar w:fldCharType="begin"/>
            </w:r>
            <w:r>
              <w:rPr>
                <w:webHidden/>
              </w:rPr>
              <w:instrText xml:space="preserve"> PAGEREF _Toc5362574 \h </w:instrText>
            </w:r>
            <w:r>
              <w:rPr>
                <w:webHidden/>
              </w:rPr>
            </w:r>
            <w:r>
              <w:rPr>
                <w:webHidden/>
              </w:rPr>
              <w:fldChar w:fldCharType="separate"/>
            </w:r>
            <w:r>
              <w:rPr>
                <w:webHidden/>
              </w:rPr>
              <w:t>27</w:t>
            </w:r>
            <w:r>
              <w:rPr>
                <w:webHidden/>
              </w:rPr>
              <w:fldChar w:fldCharType="end"/>
            </w:r>
          </w:hyperlink>
        </w:p>
        <w:p w14:paraId="7DCF3314" w14:textId="6C6BA8C4" w:rsidR="007B3CFB" w:rsidRDefault="007B3CFB">
          <w:r>
            <w:rPr>
              <w:b/>
              <w:bCs/>
              <w:noProof/>
            </w:rPr>
            <w:fldChar w:fldCharType="end"/>
          </w:r>
        </w:p>
      </w:sdtContent>
    </w:sdt>
    <w:p w14:paraId="10E77CCE" w14:textId="77777777" w:rsidR="007B3CFB" w:rsidRDefault="007B3CFB">
      <w:pPr>
        <w:rPr>
          <w:rFonts w:eastAsiaTheme="majorEastAsia" w:cstheme="majorBidi"/>
          <w:b/>
          <w:color w:val="002060"/>
          <w:sz w:val="26"/>
          <w:szCs w:val="26"/>
        </w:rPr>
      </w:pPr>
    </w:p>
    <w:p w14:paraId="1BABAC1A" w14:textId="77777777" w:rsidR="007B3CFB" w:rsidRDefault="007B3CFB">
      <w:pPr>
        <w:rPr>
          <w:rFonts w:eastAsiaTheme="majorEastAsia" w:cstheme="majorBidi"/>
          <w:b/>
          <w:color w:val="002060"/>
          <w:sz w:val="26"/>
          <w:szCs w:val="26"/>
        </w:rPr>
      </w:pPr>
      <w:r>
        <w:br w:type="page"/>
      </w:r>
    </w:p>
    <w:p w14:paraId="23F61CF1" w14:textId="77777777" w:rsidR="007B3CFB" w:rsidRDefault="007B3CFB" w:rsidP="007B3CFB">
      <w:pPr>
        <w:pStyle w:val="Heading2"/>
      </w:pPr>
      <w:bookmarkStart w:id="36" w:name="_Toc5362561"/>
      <w:r w:rsidRPr="00935837">
        <w:lastRenderedPageBreak/>
        <w:t xml:space="preserve">I. </w:t>
      </w:r>
      <w:r>
        <w:t>Introduction</w:t>
      </w:r>
      <w:bookmarkEnd w:id="36"/>
    </w:p>
    <w:p w14:paraId="33C10592" w14:textId="77777777" w:rsidR="007B3CFB" w:rsidRDefault="007B3CFB" w:rsidP="007B3CFB"/>
    <w:p w14:paraId="0EFF787A" w14:textId="77777777" w:rsidR="007B3CFB" w:rsidRDefault="007B3CFB" w:rsidP="000C7039">
      <w:pPr>
        <w:pStyle w:val="Heading3"/>
        <w:numPr>
          <w:ilvl w:val="0"/>
          <w:numId w:val="6"/>
        </w:numPr>
        <w:spacing w:after="200"/>
        <w:ind w:left="360"/>
      </w:pPr>
      <w:bookmarkStart w:id="37" w:name="_Toc5362562"/>
      <w:r>
        <w:t>Background</w:t>
      </w:r>
      <w:bookmarkEnd w:id="37"/>
    </w:p>
    <w:p w14:paraId="3625D89F" w14:textId="263FC1F2" w:rsidR="00CE1567" w:rsidRDefault="00347CCE" w:rsidP="00E81F43">
      <w:pPr>
        <w:spacing w:after="200"/>
      </w:pPr>
      <w:r w:rsidRPr="00347CCE">
        <w:t xml:space="preserve">Quality measurement serves an important role in ensuring the quality of health care, identifying areas for improvement and facilitating accountability. </w:t>
      </w:r>
      <w:r w:rsidR="00A23A86">
        <w:t xml:space="preserve"> </w:t>
      </w:r>
      <w:r w:rsidRPr="00347CCE">
        <w:t xml:space="preserve">The role of quality measurement </w:t>
      </w:r>
      <w:r w:rsidR="00A27CF2">
        <w:t xml:space="preserve">will continue to </w:t>
      </w:r>
      <w:r w:rsidR="00E72403">
        <w:t xml:space="preserve">expand </w:t>
      </w:r>
      <w:r w:rsidR="00A27CF2">
        <w:t>with the f</w:t>
      </w:r>
      <w:r w:rsidRPr="00347CCE">
        <w:t>ederal and state policy mandate</w:t>
      </w:r>
      <w:r w:rsidR="00A27CF2">
        <w:t>s</w:t>
      </w:r>
      <w:r w:rsidRPr="00347CCE">
        <w:t xml:space="preserve"> to shift the U.S. health care system from fee-for-service (FFS) reimbursement to alternative payment models (APM</w:t>
      </w:r>
      <w:r w:rsidR="00290462">
        <w:t>s</w:t>
      </w:r>
      <w:r w:rsidRPr="00347CCE">
        <w:t xml:space="preserve">), where payments to providers are tied to quality </w:t>
      </w:r>
      <w:r w:rsidR="00CA5D0C">
        <w:t>and cost efficiency</w:t>
      </w:r>
      <w:r w:rsidRPr="00347CCE">
        <w:t>.</w:t>
      </w:r>
      <w:r w:rsidR="009D1865">
        <w:rPr>
          <w:rStyle w:val="FootnoteReference"/>
        </w:rPr>
        <w:footnoteReference w:id="2"/>
      </w:r>
      <w:r w:rsidR="009D1865" w:rsidRPr="009D1865">
        <w:rPr>
          <w:vertAlign w:val="superscript"/>
        </w:rPr>
        <w:t>,</w:t>
      </w:r>
      <w:r w:rsidR="009D1865">
        <w:rPr>
          <w:rStyle w:val="FootnoteReference"/>
        </w:rPr>
        <w:footnoteReference w:id="3"/>
      </w:r>
      <w:r w:rsidR="009D1865" w:rsidRPr="009D1865">
        <w:rPr>
          <w:vertAlign w:val="superscript"/>
        </w:rPr>
        <w:t>,</w:t>
      </w:r>
      <w:r w:rsidR="009D1865">
        <w:rPr>
          <w:rStyle w:val="FootnoteReference"/>
        </w:rPr>
        <w:footnoteReference w:id="4"/>
      </w:r>
      <w:r w:rsidR="00A23A86">
        <w:t xml:space="preserve"> </w:t>
      </w:r>
      <w:r w:rsidR="00CE1567">
        <w:t xml:space="preserve"> The incorporation of quality measures into APM contracts serves the essential role of </w:t>
      </w:r>
      <w:r w:rsidR="00763F75">
        <w:t xml:space="preserve">promoting high quality patient care and preventing the withholding of necessary care. </w:t>
      </w:r>
    </w:p>
    <w:p w14:paraId="79BD89E7" w14:textId="40A98193" w:rsidR="00A23A86" w:rsidRDefault="00520F73" w:rsidP="00E81F43">
      <w:pPr>
        <w:spacing w:after="200"/>
      </w:pPr>
      <w:r>
        <w:t>APM adoption among the three largest Massachusetts-based insurers</w:t>
      </w:r>
      <w:r w:rsidR="00295F0C">
        <w:t>, representing 63 percent of the commercial population,</w:t>
      </w:r>
      <w:r>
        <w:t xml:space="preserve"> </w:t>
      </w:r>
      <w:r w:rsidR="00CA5D0C">
        <w:t xml:space="preserve">grew </w:t>
      </w:r>
      <w:r>
        <w:t xml:space="preserve">from 47 percent to 56 percent from 2014 to 2016.  In 2016, the rate of APM adoption </w:t>
      </w:r>
      <w:r w:rsidR="0054308C">
        <w:t xml:space="preserve">was </w:t>
      </w:r>
      <w:r>
        <w:t xml:space="preserve">42 percent for </w:t>
      </w:r>
      <w:r w:rsidR="0054308C">
        <w:t xml:space="preserve">the overall </w:t>
      </w:r>
      <w:r>
        <w:t>commercial</w:t>
      </w:r>
      <w:r w:rsidR="0054308C">
        <w:t xml:space="preserve"> population</w:t>
      </w:r>
      <w:r>
        <w:t>, 37 percent for</w:t>
      </w:r>
      <w:r w:rsidR="0054308C">
        <w:t xml:space="preserve"> non-Medicare Advantage</w:t>
      </w:r>
      <w:r>
        <w:t xml:space="preserve"> Medicare contracts, and </w:t>
      </w:r>
      <w:r w:rsidR="0054308C">
        <w:t>36</w:t>
      </w:r>
      <w:r>
        <w:t xml:space="preserve"> percent for MassHealth </w:t>
      </w:r>
      <w:r w:rsidR="0054308C">
        <w:t xml:space="preserve">managed care organization </w:t>
      </w:r>
      <w:r>
        <w:t xml:space="preserve">contracts.  </w:t>
      </w:r>
      <w:r w:rsidR="00347CCE" w:rsidRPr="00347CCE">
        <w:t>The uptake of APM</w:t>
      </w:r>
      <w:r w:rsidR="00742035">
        <w:t>s</w:t>
      </w:r>
      <w:r w:rsidR="00347CCE" w:rsidRPr="00347CCE">
        <w:t xml:space="preserve"> in Massachusetts is </w:t>
      </w:r>
      <w:r w:rsidR="009C69A6">
        <w:t>anticipated</w:t>
      </w:r>
      <w:r w:rsidR="00347CCE" w:rsidRPr="00347CCE">
        <w:t xml:space="preserve"> to </w:t>
      </w:r>
      <w:r>
        <w:t xml:space="preserve">further </w:t>
      </w:r>
      <w:r w:rsidR="00347CCE" w:rsidRPr="00347CCE">
        <w:t xml:space="preserve">increase with the </w:t>
      </w:r>
      <w:r w:rsidR="00E50349">
        <w:t xml:space="preserve">2018 </w:t>
      </w:r>
      <w:r w:rsidR="00347CCE" w:rsidRPr="00347CCE">
        <w:t>launch of MassHealth’s Accountable Care Organization (ACO</w:t>
      </w:r>
      <w:r w:rsidR="00A667BB">
        <w:rPr>
          <w:rStyle w:val="FootnoteReference"/>
        </w:rPr>
        <w:footnoteReference w:id="5"/>
      </w:r>
      <w:r w:rsidR="00347CCE" w:rsidRPr="00347CCE">
        <w:t>) program.</w:t>
      </w:r>
      <w:r w:rsidR="009D1865">
        <w:rPr>
          <w:rStyle w:val="FootnoteReference"/>
        </w:rPr>
        <w:footnoteReference w:id="6"/>
      </w:r>
    </w:p>
    <w:p w14:paraId="0A43301C" w14:textId="05CCC5BC" w:rsidR="006122C3" w:rsidRDefault="00A23A86" w:rsidP="00E81F43">
      <w:pPr>
        <w:spacing w:after="200"/>
      </w:pPr>
      <w:r>
        <w:t xml:space="preserve">Currently, there is a lack of alignment of </w:t>
      </w:r>
      <w:r w:rsidR="00E57810">
        <w:t xml:space="preserve">quality </w:t>
      </w:r>
      <w:r>
        <w:t xml:space="preserve">measures </w:t>
      </w:r>
      <w:r w:rsidR="006122C3">
        <w:t>across private and public programs</w:t>
      </w:r>
      <w:r>
        <w:t xml:space="preserve"> in the Commonwealth</w:t>
      </w:r>
      <w:r w:rsidR="004A7F39">
        <w:t>.</w:t>
      </w:r>
      <w:r>
        <w:t xml:space="preserve">  The Health Policy Commission </w:t>
      </w:r>
      <w:r w:rsidR="00742035">
        <w:t xml:space="preserve">(HPC) </w:t>
      </w:r>
      <w:r>
        <w:t xml:space="preserve">and </w:t>
      </w:r>
      <w:r w:rsidR="00742035">
        <w:t>Center</w:t>
      </w:r>
      <w:r>
        <w:t xml:space="preserve"> </w:t>
      </w:r>
      <w:r w:rsidR="00742035">
        <w:t xml:space="preserve">of </w:t>
      </w:r>
      <w:r>
        <w:t xml:space="preserve">Health Information </w:t>
      </w:r>
      <w:r w:rsidR="00742035">
        <w:t xml:space="preserve">and Analysis (CHIA) </w:t>
      </w:r>
      <w:r>
        <w:t>evaluated measures</w:t>
      </w:r>
      <w:r w:rsidR="00601234">
        <w:t xml:space="preserve"> across the market. </w:t>
      </w:r>
      <w:r w:rsidR="00995DA7">
        <w:t xml:space="preserve"> </w:t>
      </w:r>
      <w:r w:rsidR="00601234">
        <w:t>This review</w:t>
      </w:r>
      <w:r>
        <w:t xml:space="preserve"> </w:t>
      </w:r>
      <w:r w:rsidR="00A27CF2">
        <w:t xml:space="preserve">included </w:t>
      </w:r>
      <w:r w:rsidR="00601234">
        <w:t xml:space="preserve">measures in the following categories: (i) </w:t>
      </w:r>
      <w:r>
        <w:t xml:space="preserve">APM contracts by three </w:t>
      </w:r>
      <w:r w:rsidR="00601234">
        <w:t xml:space="preserve">large </w:t>
      </w:r>
      <w:r>
        <w:t>commercial payers</w:t>
      </w:r>
      <w:r w:rsidR="00601234">
        <w:rPr>
          <w:rStyle w:val="FootnoteReference"/>
        </w:rPr>
        <w:footnoteReference w:id="7"/>
      </w:r>
      <w:r w:rsidR="00601234">
        <w:t>;</w:t>
      </w:r>
      <w:r>
        <w:t xml:space="preserve"> </w:t>
      </w:r>
      <w:r w:rsidR="00601234">
        <w:t xml:space="preserve">(ii) </w:t>
      </w:r>
      <w:r>
        <w:t xml:space="preserve">the </w:t>
      </w:r>
      <w:r w:rsidR="00B32D80">
        <w:t>then-</w:t>
      </w:r>
      <w:r>
        <w:t>pilot MassHealth ACO</w:t>
      </w:r>
      <w:r w:rsidR="00601234">
        <w:t xml:space="preserve"> program</w:t>
      </w:r>
      <w:r w:rsidR="008B46AB">
        <w:rPr>
          <w:rStyle w:val="FootnoteReference"/>
        </w:rPr>
        <w:footnoteReference w:id="8"/>
      </w:r>
      <w:r w:rsidR="00601234">
        <w:t xml:space="preserve">; </w:t>
      </w:r>
      <w:r w:rsidR="00995DA7">
        <w:t xml:space="preserve">and </w:t>
      </w:r>
      <w:r w:rsidR="00601234">
        <w:t>(iii)</w:t>
      </w:r>
      <w:r>
        <w:t xml:space="preserve"> the Centers for Medicare and Medicaid Services (CMS) and </w:t>
      </w:r>
      <w:r w:rsidR="00623D06">
        <w:t xml:space="preserve">the </w:t>
      </w:r>
      <w:r>
        <w:t xml:space="preserve">Core Quality Measures Collaborative (CQMC) measure set. </w:t>
      </w:r>
      <w:r w:rsidR="00A47200">
        <w:t xml:space="preserve"> </w:t>
      </w:r>
      <w:r w:rsidR="00601234">
        <w:t>A total of 106 measures were reviewed, and a</w:t>
      </w:r>
      <w:r w:rsidR="006C25FF">
        <w:t xml:space="preserve">s seen in </w:t>
      </w:r>
      <w:r w:rsidR="006C25FF" w:rsidRPr="00D6227D">
        <w:rPr>
          <w:b/>
        </w:rPr>
        <w:t>Figure 1</w:t>
      </w:r>
      <w:r w:rsidR="006C25FF">
        <w:t xml:space="preserve">, </w:t>
      </w:r>
      <w:r>
        <w:t>only one measure was found in all five measure sets</w:t>
      </w:r>
      <w:r w:rsidR="00A27CF2">
        <w:t xml:space="preserve"> and</w:t>
      </w:r>
      <w:r w:rsidR="00E57810">
        <w:t xml:space="preserve"> </w:t>
      </w:r>
      <w:r>
        <w:t>62 measures were unique to just one measure set.</w:t>
      </w:r>
      <w:r w:rsidR="001A0347">
        <w:rPr>
          <w:rStyle w:val="FootnoteReference"/>
        </w:rPr>
        <w:footnoteReference w:id="9"/>
      </w:r>
      <w:r w:rsidR="000B6CEB">
        <w:t xml:space="preserve">  </w:t>
      </w:r>
    </w:p>
    <w:p w14:paraId="02E1C48F" w14:textId="16D6BEEB" w:rsidR="00E82F18" w:rsidRDefault="00E82F18" w:rsidP="00E81F43">
      <w:pPr>
        <w:spacing w:after="200"/>
        <w:rPr>
          <w:b/>
        </w:rPr>
      </w:pPr>
    </w:p>
    <w:p w14:paraId="2A3E5CEC" w14:textId="77777777" w:rsidR="002913C6" w:rsidRDefault="006C25FF" w:rsidP="002913C6">
      <w:pPr>
        <w:spacing w:after="200"/>
        <w:rPr>
          <w:b/>
        </w:rPr>
      </w:pPr>
      <w:r w:rsidRPr="00D6227D">
        <w:rPr>
          <w:b/>
        </w:rPr>
        <w:lastRenderedPageBreak/>
        <w:t xml:space="preserve">Figure 1:  Measure Misalignment among Major Massachusetts Payers and Predominance of </w:t>
      </w:r>
      <w:r>
        <w:rPr>
          <w:b/>
        </w:rPr>
        <w:t>Measures</w:t>
      </w:r>
    </w:p>
    <w:p w14:paraId="357F9256" w14:textId="77777777" w:rsidR="006C25FF" w:rsidRDefault="00E82F18" w:rsidP="002913C6">
      <w:pPr>
        <w:spacing w:after="200"/>
        <w:jc w:val="center"/>
      </w:pPr>
      <w:r>
        <w:rPr>
          <w:noProof/>
        </w:rPr>
        <w:drawing>
          <wp:inline distT="0" distB="0" distL="0" distR="0" wp14:anchorId="2D1D97B4" wp14:editId="7F17F343">
            <wp:extent cx="5104263" cy="2920621"/>
            <wp:effectExtent l="0" t="0" r="1270" b="0"/>
            <wp:docPr id="1"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1DBFCF" w14:textId="735802B3" w:rsidR="009D1865" w:rsidRDefault="009D1865" w:rsidP="00E81F43">
      <w:pPr>
        <w:spacing w:after="200"/>
      </w:pPr>
      <w:r>
        <w:t>Furthermore, there is a financial burden associated with quality measure</w:t>
      </w:r>
      <w:r w:rsidR="00487DD3">
        <w:t>ment</w:t>
      </w:r>
      <w:r>
        <w:t xml:space="preserve">.  </w:t>
      </w:r>
      <w:r w:rsidRPr="009D1865">
        <w:t>The Massachusetts Health &amp; Hospital Association (MHA) conducted a</w:t>
      </w:r>
      <w:r w:rsidR="00A27CF2">
        <w:t>n</w:t>
      </w:r>
      <w:r w:rsidRPr="009D1865">
        <w:t xml:space="preserve"> analysis of the resources used by Massachusetts hospitals to report quality measures required by state and federal agencies. </w:t>
      </w:r>
      <w:r>
        <w:t xml:space="preserve"> </w:t>
      </w:r>
      <w:r w:rsidRPr="009D1865">
        <w:t xml:space="preserve">Based on </w:t>
      </w:r>
      <w:r w:rsidR="008B46AB">
        <w:t xml:space="preserve">conservative </w:t>
      </w:r>
      <w:r w:rsidRPr="009D1865">
        <w:t xml:space="preserve">financial estimates provided by survey respondents and extrapolated to account for non-survey respondents, </w:t>
      </w:r>
      <w:r w:rsidR="00A27CF2">
        <w:t xml:space="preserve">MHA estimated that </w:t>
      </w:r>
      <w:r w:rsidRPr="009D1865">
        <w:t xml:space="preserve">the 2016 statewide expenditure on quality measurement </w:t>
      </w:r>
      <w:r w:rsidR="008B46AB">
        <w:t xml:space="preserve">for providers </w:t>
      </w:r>
      <w:r w:rsidRPr="009D1865">
        <w:t>alone was more than $67 million.</w:t>
      </w:r>
      <w:r>
        <w:rPr>
          <w:rStyle w:val="FootnoteReference"/>
        </w:rPr>
        <w:footnoteReference w:id="10"/>
      </w:r>
      <w:r w:rsidR="00382F6D">
        <w:t xml:space="preserve">  Whether </w:t>
      </w:r>
      <w:r w:rsidR="009146E3">
        <w:t xml:space="preserve">or not </w:t>
      </w:r>
      <w:r w:rsidR="00382F6D">
        <w:t>this level of investment in quality measurement is warranted in order to assure high quality care in the Commonwealth, it is a sizable administrative expense.</w:t>
      </w:r>
    </w:p>
    <w:p w14:paraId="6F804F6E" w14:textId="7DEF5BEA" w:rsidR="00114ADA" w:rsidRDefault="008B46AB" w:rsidP="00E81F43">
      <w:pPr>
        <w:spacing w:after="200"/>
      </w:pPr>
      <w:r>
        <w:t>Some of the burden associated with reporting on quality measures may be unavoidable.  For example, some of the lack of alignment of quality measures stems from reporting requirements mandated by CMS</w:t>
      </w:r>
      <w:r w:rsidR="000F78B6">
        <w:t xml:space="preserve"> for Medicare</w:t>
      </w:r>
      <w:r>
        <w:t xml:space="preserve">.  Efforts to align performance measures at the state level are unlikely to have a major impact at the federal level, nor is it likely to reduce payer reporting requirements to national </w:t>
      </w:r>
      <w:r w:rsidR="00382F6D">
        <w:t xml:space="preserve">accreditation </w:t>
      </w:r>
      <w:r>
        <w:t xml:space="preserve">organizations like the National Committee for Quality Assurance (NCQA).  </w:t>
      </w:r>
    </w:p>
    <w:p w14:paraId="201CC78C" w14:textId="5BBEE303" w:rsidR="00D47C51" w:rsidRDefault="00A23A86" w:rsidP="00E81F43">
      <w:pPr>
        <w:spacing w:after="200"/>
      </w:pPr>
      <w:r>
        <w:t xml:space="preserve">As the role of </w:t>
      </w:r>
      <w:r w:rsidR="009D1865">
        <w:t xml:space="preserve">and cost associated with </w:t>
      </w:r>
      <w:r>
        <w:t xml:space="preserve">quality improvement grows, so does the need for advancing a coordinated quality strategy, both nationally and in the Commonwealth.  </w:t>
      </w:r>
      <w:r w:rsidR="00260708">
        <w:t>There have been two federal efforts of note to align quality measure sets</w:t>
      </w:r>
      <w:r w:rsidR="00390BAD">
        <w:t xml:space="preserve">.  </w:t>
      </w:r>
      <w:r w:rsidR="004163D4">
        <w:t xml:space="preserve">First,  the </w:t>
      </w:r>
      <w:r w:rsidR="00390BAD">
        <w:t xml:space="preserve">Institute of Medicine (now the Academy of Medicine) recommended 15 core measures </w:t>
      </w:r>
      <w:r w:rsidR="004163D4">
        <w:t xml:space="preserve">primarily for monitoring national and regional performance </w:t>
      </w:r>
      <w:r w:rsidR="00390BAD">
        <w:t xml:space="preserve">in its 2015 report titled “Vital Signs: Core Metrics </w:t>
      </w:r>
      <w:r w:rsidR="00390BAD">
        <w:lastRenderedPageBreak/>
        <w:t>for Health and Health Care Progress</w:t>
      </w:r>
      <w:r w:rsidR="00A81E82">
        <w:t>.</w:t>
      </w:r>
      <w:r w:rsidR="00390BAD">
        <w:t>”</w:t>
      </w:r>
      <w:r w:rsidR="00A81E82">
        <w:rPr>
          <w:rStyle w:val="FootnoteReference"/>
        </w:rPr>
        <w:footnoteReference w:id="11"/>
      </w:r>
      <w:r w:rsidR="00A81E82" w:rsidRPr="00A81E82">
        <w:t xml:space="preserve"> </w:t>
      </w:r>
      <w:r w:rsidR="00A81E82">
        <w:t xml:space="preserve"> Second, </w:t>
      </w:r>
      <w:r w:rsidR="00390BAD">
        <w:t xml:space="preserve">CMS released seven core measure sets developed </w:t>
      </w:r>
      <w:r w:rsidR="00A81E82">
        <w:t xml:space="preserve">by the Core Quality Metrics Committee (CQMC), a </w:t>
      </w:r>
      <w:r w:rsidR="00390BAD">
        <w:t xml:space="preserve">partnership </w:t>
      </w:r>
      <w:r w:rsidR="00A81E82">
        <w:t>between</w:t>
      </w:r>
      <w:r w:rsidR="00A81E82" w:rsidDel="00A81E82">
        <w:t xml:space="preserve"> </w:t>
      </w:r>
      <w:r w:rsidR="00390BAD">
        <w:t>the health insurance industry</w:t>
      </w:r>
      <w:r w:rsidR="00A81E82">
        <w:t>,</w:t>
      </w:r>
      <w:r w:rsidR="00A81E82" w:rsidRPr="00F602BB">
        <w:t xml:space="preserve"> </w:t>
      </w:r>
      <w:r w:rsidR="00A81E82">
        <w:t xml:space="preserve">provider organizations, medical professional societies, </w:t>
      </w:r>
      <w:r w:rsidR="00390BAD">
        <w:t>and</w:t>
      </w:r>
      <w:r w:rsidR="001546D6">
        <w:t xml:space="preserve"> the National Quality Forum (</w:t>
      </w:r>
      <w:r w:rsidR="00390BAD">
        <w:t>NQF</w:t>
      </w:r>
      <w:r w:rsidR="001546D6">
        <w:t>)</w:t>
      </w:r>
      <w:r w:rsidR="00390BAD">
        <w:t xml:space="preserve"> between 2016 and 2017.</w:t>
      </w:r>
      <w:r w:rsidR="00390BAD">
        <w:rPr>
          <w:rStyle w:val="FootnoteReference"/>
        </w:rPr>
        <w:footnoteReference w:id="12"/>
      </w:r>
      <w:r w:rsidR="00390BAD">
        <w:rPr>
          <w:vertAlign w:val="superscript"/>
        </w:rPr>
        <w:t xml:space="preserve"> </w:t>
      </w:r>
      <w:r w:rsidR="00390BAD">
        <w:t xml:space="preserve"> Uptake</w:t>
      </w:r>
      <w:r w:rsidR="007F0C1B" w:rsidRPr="007F0C1B">
        <w:t xml:space="preserve"> </w:t>
      </w:r>
      <w:r w:rsidR="00A81E82">
        <w:t xml:space="preserve">of the CQMC Measure Set </w:t>
      </w:r>
      <w:r w:rsidR="00382F6D">
        <w:t xml:space="preserve">has thus far been </w:t>
      </w:r>
      <w:r w:rsidR="00390BAD">
        <w:t>limited</w:t>
      </w:r>
      <w:r w:rsidR="00EC0DB1">
        <w:t xml:space="preserve"> in Massac</w:t>
      </w:r>
      <w:r w:rsidR="00111DA9">
        <w:t>husetts and nationally</w:t>
      </w:r>
      <w:r w:rsidR="001D1314">
        <w:t>.</w:t>
      </w:r>
      <w:r w:rsidR="00A41FF2">
        <w:rPr>
          <w:rStyle w:val="FootnoteReference"/>
        </w:rPr>
        <w:footnoteReference w:id="13"/>
      </w:r>
    </w:p>
    <w:p w14:paraId="5C2D3E0B" w14:textId="1FAB6D50" w:rsidR="00390BAD" w:rsidRDefault="00A41FF2" w:rsidP="00E81F43">
      <w:pPr>
        <w:spacing w:after="200"/>
      </w:pPr>
      <w:r>
        <w:t xml:space="preserve">In parallel, </w:t>
      </w:r>
      <w:r w:rsidR="00390BAD">
        <w:t xml:space="preserve">states, such as Oregon, Rhode Island, and Washington have taken initiative to develop their own aligned measure sets through legislation or </w:t>
      </w:r>
      <w:r w:rsidR="000C6C0D">
        <w:t>regulation</w:t>
      </w:r>
      <w:r w:rsidR="00390BAD">
        <w:t>.</w:t>
      </w:r>
      <w:r w:rsidR="00390BAD">
        <w:rPr>
          <w:rStyle w:val="FootnoteReference"/>
        </w:rPr>
        <w:footnoteReference w:id="14"/>
      </w:r>
      <w:r w:rsidR="00D47C51">
        <w:t xml:space="preserve"> </w:t>
      </w:r>
      <w:r>
        <w:t xml:space="preserve"> These state-led efforts to facilitate measure alignment provide an opportunity to create measure sets specific to a state’s priorities and population and can be maintained in a timely manner.  State-specific measure sets may, however, pose challenges for provider and payer organizations with a presence in multiple states.</w:t>
      </w:r>
    </w:p>
    <w:p w14:paraId="582991AF" w14:textId="6972F49B" w:rsidR="00183B23" w:rsidRDefault="000229A4" w:rsidP="00E81F43">
      <w:pPr>
        <w:spacing w:after="200"/>
      </w:pPr>
      <w:r>
        <w:t>In Massachusetts, the Executive Office of Health and Human Services</w:t>
      </w:r>
      <w:r w:rsidR="00382E89">
        <w:t xml:space="preserve"> (EOHHS)</w:t>
      </w:r>
      <w:r>
        <w:t xml:space="preserve">, has prioritized </w:t>
      </w:r>
      <w:r w:rsidRPr="000229A4">
        <w:t>improving population health outcomes</w:t>
      </w:r>
      <w:r w:rsidR="001473B9">
        <w:t xml:space="preserve"> and administrative simplification</w:t>
      </w:r>
      <w:r w:rsidRPr="000229A4">
        <w:t xml:space="preserve"> through payment reform. </w:t>
      </w:r>
      <w:r w:rsidR="00111DA9">
        <w:t xml:space="preserve"> </w:t>
      </w:r>
      <w:r w:rsidR="009D1865">
        <w:t xml:space="preserve">Aligning quality measures </w:t>
      </w:r>
      <w:r w:rsidR="006824A7">
        <w:t xml:space="preserve">in Massachusetts </w:t>
      </w:r>
      <w:r w:rsidR="009D1865">
        <w:t xml:space="preserve">will help convey a unified message on quality measurement to </w:t>
      </w:r>
      <w:r w:rsidR="00A23A86">
        <w:t>p</w:t>
      </w:r>
      <w:r w:rsidR="004A7F39">
        <w:t>roviders</w:t>
      </w:r>
      <w:r w:rsidR="0087515E">
        <w:t xml:space="preserve"> and payers</w:t>
      </w:r>
      <w:r w:rsidR="009D1865">
        <w:t xml:space="preserve">, </w:t>
      </w:r>
      <w:r w:rsidR="0087515E">
        <w:t xml:space="preserve">in an effort to promote and support quality improvement in key areas.   </w:t>
      </w:r>
      <w:r w:rsidR="00434618">
        <w:t xml:space="preserve">It </w:t>
      </w:r>
      <w:r w:rsidR="00850339">
        <w:t xml:space="preserve">should </w:t>
      </w:r>
      <w:r w:rsidR="00434618">
        <w:t xml:space="preserve">also </w:t>
      </w:r>
      <w:r w:rsidR="009D1865">
        <w:t xml:space="preserve">reduce the </w:t>
      </w:r>
      <w:r w:rsidR="006122C3">
        <w:t xml:space="preserve">administrative burden </w:t>
      </w:r>
      <w:r w:rsidR="009D1865">
        <w:t>of reporting</w:t>
      </w:r>
      <w:r w:rsidR="00434618">
        <w:t xml:space="preserve"> </w:t>
      </w:r>
      <w:r w:rsidR="00450DB7">
        <w:t>and</w:t>
      </w:r>
      <w:r w:rsidR="00434618">
        <w:t xml:space="preserve"> the need for providers to </w:t>
      </w:r>
      <w:r w:rsidR="00AA298E">
        <w:t>respond to differing contractual requirements for quality improvement focus</w:t>
      </w:r>
      <w:r w:rsidR="009D1865">
        <w:t xml:space="preserve"> </w:t>
      </w:r>
      <w:r w:rsidR="00390BAD">
        <w:t>–</w:t>
      </w:r>
      <w:r w:rsidR="00450DB7">
        <w:t xml:space="preserve"> </w:t>
      </w:r>
      <w:r w:rsidR="006122C3">
        <w:t xml:space="preserve">both </w:t>
      </w:r>
      <w:r w:rsidR="00450DB7">
        <w:t xml:space="preserve">of which are </w:t>
      </w:r>
      <w:r w:rsidR="006122C3">
        <w:t>time consuming</w:t>
      </w:r>
      <w:r w:rsidR="00D131F3">
        <w:t>,</w:t>
      </w:r>
      <w:r w:rsidR="006122C3">
        <w:t xml:space="preserve"> costly</w:t>
      </w:r>
      <w:r w:rsidR="00D131F3">
        <w:t xml:space="preserve"> and contribute to physician burnout</w:t>
      </w:r>
      <w:r w:rsidR="004A7F39">
        <w:t>.</w:t>
      </w:r>
      <w:r w:rsidR="00170270">
        <w:rPr>
          <w:rStyle w:val="FootnoteReference"/>
        </w:rPr>
        <w:footnoteReference w:id="15"/>
      </w:r>
      <w:r w:rsidR="006130D2" w:rsidRPr="006130D2">
        <w:rPr>
          <w:vertAlign w:val="superscript"/>
        </w:rPr>
        <w:t>,</w:t>
      </w:r>
      <w:r w:rsidR="00170270">
        <w:rPr>
          <w:rStyle w:val="FootnoteReference"/>
        </w:rPr>
        <w:footnoteReference w:id="16"/>
      </w:r>
      <w:r w:rsidR="004A2D17">
        <w:t xml:space="preserve">  </w:t>
      </w:r>
      <w:r w:rsidR="00681AC6">
        <w:t xml:space="preserve"> </w:t>
      </w:r>
    </w:p>
    <w:p w14:paraId="3FBDAD09" w14:textId="77777777" w:rsidR="007B3CFB" w:rsidRPr="00E81F43" w:rsidRDefault="007B3CFB" w:rsidP="00A61ECF">
      <w:pPr>
        <w:pStyle w:val="Heading3"/>
        <w:numPr>
          <w:ilvl w:val="0"/>
          <w:numId w:val="6"/>
        </w:numPr>
        <w:spacing w:after="200"/>
        <w:ind w:left="360"/>
      </w:pPr>
      <w:bookmarkStart w:id="38" w:name="_Toc5362563"/>
      <w:r>
        <w:t>Convening of the Quality Alignment Taskforce</w:t>
      </w:r>
      <w:r w:rsidR="00EC2A0B">
        <w:t xml:space="preserve"> and DSRIP Quality Subcommittee</w:t>
      </w:r>
      <w:bookmarkEnd w:id="38"/>
    </w:p>
    <w:p w14:paraId="6AA40A15" w14:textId="797B9720" w:rsidR="00183B23" w:rsidRDefault="00BD0AE6" w:rsidP="00E81F43">
      <w:pPr>
        <w:spacing w:after="200"/>
      </w:pPr>
      <w:r>
        <w:t>In 2017, t</w:t>
      </w:r>
      <w:r w:rsidR="00E73689">
        <w:t xml:space="preserve">he </w:t>
      </w:r>
      <w:r w:rsidR="00543BE0">
        <w:t>EOHHS convened a Quality Alignment Taskforce</w:t>
      </w:r>
      <w:r w:rsidR="004A7F39">
        <w:t xml:space="preserve"> (Taskforce)</w:t>
      </w:r>
      <w:r w:rsidR="00780B1F">
        <w:t xml:space="preserve"> to help </w:t>
      </w:r>
      <w:r>
        <w:t xml:space="preserve">define an aligned measure set for use in </w:t>
      </w:r>
      <w:r w:rsidR="00487DD3">
        <w:t>global budget-based</w:t>
      </w:r>
      <w:r w:rsidR="00446B08">
        <w:t xml:space="preserve"> </w:t>
      </w:r>
      <w:r w:rsidR="00824B9E">
        <w:t>risk contracts, which are inclusive of</w:t>
      </w:r>
      <w:r w:rsidR="00824B9E" w:rsidDel="00824B9E">
        <w:t xml:space="preserve"> </w:t>
      </w:r>
      <w:r w:rsidR="00380087">
        <w:lastRenderedPageBreak/>
        <w:t>MassHealth</w:t>
      </w:r>
      <w:r w:rsidR="00824B9E">
        <w:t xml:space="preserve"> ACO and commercial </w:t>
      </w:r>
      <w:r>
        <w:t xml:space="preserve">ACO contracts.  </w:t>
      </w:r>
      <w:r w:rsidR="00E90438">
        <w:t xml:space="preserve">EOHHS’s objectives were to a) reduce the administrative burden on provider organizations associated with operating under multiple, non-aligned contractual measure sets, including burden associated with resources dedicated to varied quality improvement initiatives and to measure reporting, and b) focus </w:t>
      </w:r>
      <w:r w:rsidR="002F78D3">
        <w:t xml:space="preserve">provider </w:t>
      </w:r>
      <w:r w:rsidR="00E90438">
        <w:t>quality improvement efforts on state health opportunities and priorities.</w:t>
      </w:r>
      <w:r>
        <w:t xml:space="preserve">  </w:t>
      </w:r>
      <w:r w:rsidR="00780B1F">
        <w:t xml:space="preserve">Specifically, the </w:t>
      </w:r>
      <w:r w:rsidR="00D320F6">
        <w:t xml:space="preserve">Secretary convened the </w:t>
      </w:r>
      <w:r w:rsidR="00780B1F">
        <w:t xml:space="preserve">Taskforce </w:t>
      </w:r>
      <w:r w:rsidR="00D320F6">
        <w:t xml:space="preserve">to </w:t>
      </w:r>
      <w:r w:rsidR="00730502">
        <w:t>recommend</w:t>
      </w:r>
      <w:r w:rsidR="00D320F6">
        <w:t xml:space="preserve"> an aligned measure set for voluntary adoption by private and public payers and by providers</w:t>
      </w:r>
      <w:r w:rsidR="00D43595">
        <w:t xml:space="preserve"> in </w:t>
      </w:r>
      <w:r w:rsidR="00824B9E">
        <w:t>global budget-based risk contracts</w:t>
      </w:r>
      <w:r w:rsidR="00D320F6">
        <w:t>.</w:t>
      </w:r>
      <w:r w:rsidR="00780B1F" w:rsidRPr="001967C3">
        <w:t xml:space="preserve"> </w:t>
      </w:r>
      <w:r w:rsidR="00C2225C">
        <w:t xml:space="preserve"> </w:t>
      </w:r>
      <w:r w:rsidR="00D43595">
        <w:t xml:space="preserve">Importantly, </w:t>
      </w:r>
      <w:r w:rsidR="000C6C0D">
        <w:t xml:space="preserve">the Taskforce excluded </w:t>
      </w:r>
      <w:r w:rsidR="00C30D06">
        <w:t xml:space="preserve">payer/ACO contracts for </w:t>
      </w:r>
      <w:r w:rsidR="00D43595">
        <w:t xml:space="preserve">Medicare </w:t>
      </w:r>
      <w:r w:rsidR="00C30D06">
        <w:t>populations</w:t>
      </w:r>
      <w:r w:rsidR="0022593A">
        <w:rPr>
          <w:rStyle w:val="FootnoteReference"/>
        </w:rPr>
        <w:footnoteReference w:id="17"/>
      </w:r>
      <w:r w:rsidR="0022593A">
        <w:t xml:space="preserve"> </w:t>
      </w:r>
      <w:r w:rsidR="00D43595">
        <w:t xml:space="preserve">from </w:t>
      </w:r>
      <w:r w:rsidR="000C6C0D">
        <w:t xml:space="preserve">its </w:t>
      </w:r>
      <w:r w:rsidR="00D43595">
        <w:t>scope</w:t>
      </w:r>
      <w:r w:rsidR="000C6C0D">
        <w:t xml:space="preserve"> and did not consider measures for </w:t>
      </w:r>
      <w:r w:rsidR="00344715">
        <w:t xml:space="preserve">use in </w:t>
      </w:r>
      <w:r w:rsidR="000C6C0D">
        <w:t>public reporting or in tiering of provider networks</w:t>
      </w:r>
      <w:r w:rsidR="00D43595">
        <w:t>.</w:t>
      </w:r>
    </w:p>
    <w:p w14:paraId="21098FD0" w14:textId="77777777" w:rsidR="00BD0AE6" w:rsidRDefault="004F50BA" w:rsidP="004F50BA">
      <w:pPr>
        <w:spacing w:after="200"/>
      </w:pPr>
      <w:r>
        <w:t xml:space="preserve">EOHHS also </w:t>
      </w:r>
      <w:r w:rsidR="00E90438">
        <w:t xml:space="preserve">convened a </w:t>
      </w:r>
      <w:r>
        <w:t xml:space="preserve">Delivery System Reform Incentive Payment (DSRIP) Quality Subcommittee (Subcommittee), a subgroup of the Taskforce.  The Subcommittee </w:t>
      </w:r>
      <w:r w:rsidR="006F7022">
        <w:t>was designed</w:t>
      </w:r>
      <w:r>
        <w:t xml:space="preserve"> to advise MassHealth on performance measures and </w:t>
      </w:r>
      <w:r w:rsidR="009B7F46">
        <w:t xml:space="preserve">performance assessment </w:t>
      </w:r>
      <w:r>
        <w:t>methodologies for the MassHealth ACO a</w:t>
      </w:r>
      <w:r w:rsidR="00A30F59">
        <w:t>nd Community Partner programs.</w:t>
      </w:r>
    </w:p>
    <w:p w14:paraId="06DEE2AD" w14:textId="77777777" w:rsidR="00183B23" w:rsidRDefault="00780B1F" w:rsidP="00E81F43">
      <w:r>
        <w:t>EOHHS i</w:t>
      </w:r>
      <w:r w:rsidR="00543BE0">
        <w:t>ssued a Notice of Opportunity on March 17, 2017 seeking</w:t>
      </w:r>
      <w:r w:rsidR="00543BE0" w:rsidRPr="00543BE0">
        <w:t xml:space="preserve"> </w:t>
      </w:r>
      <w:r w:rsidR="00543BE0">
        <w:t>individuals with expertise in health</w:t>
      </w:r>
      <w:r w:rsidR="008227B6">
        <w:t xml:space="preserve"> </w:t>
      </w:r>
      <w:r w:rsidR="00543BE0">
        <w:t>care quality measurement from the following cons</w:t>
      </w:r>
      <w:r w:rsidR="00A30F59">
        <w:t>tituencies:</w:t>
      </w:r>
    </w:p>
    <w:p w14:paraId="2FAABE98" w14:textId="77777777" w:rsidR="00183B23" w:rsidRDefault="0012169B" w:rsidP="00F628AA">
      <w:pPr>
        <w:pStyle w:val="ListParagraph"/>
        <w:numPr>
          <w:ilvl w:val="0"/>
          <w:numId w:val="7"/>
        </w:numPr>
      </w:pPr>
      <w:r>
        <w:t>r</w:t>
      </w:r>
      <w:r w:rsidR="00543BE0">
        <w:t xml:space="preserve">epresentatives from provider organizations (including medical, behavioral health, and </w:t>
      </w:r>
      <w:r>
        <w:t>long-term services and supports (</w:t>
      </w:r>
      <w:r w:rsidR="00543BE0">
        <w:t>LTSS</w:t>
      </w:r>
      <w:r>
        <w:t>)</w:t>
      </w:r>
      <w:r w:rsidR="00543BE0">
        <w:t>) with experience in and responsibility for quality improvement and reporting;</w:t>
      </w:r>
    </w:p>
    <w:p w14:paraId="445EAC74" w14:textId="77777777" w:rsidR="00183B23" w:rsidRDefault="0012169B" w:rsidP="00F628AA">
      <w:pPr>
        <w:pStyle w:val="ListParagraph"/>
        <w:numPr>
          <w:ilvl w:val="0"/>
          <w:numId w:val="7"/>
        </w:numPr>
      </w:pPr>
      <w:r>
        <w:t>r</w:t>
      </w:r>
      <w:r w:rsidR="00543BE0">
        <w:t>epresentatives from commercial and Medicaid managed care health plans with experience in and responsibility for performance measurement activities related to alternative payment models;</w:t>
      </w:r>
    </w:p>
    <w:p w14:paraId="7F0AB2CE" w14:textId="77777777" w:rsidR="00183B23" w:rsidRDefault="0012169B" w:rsidP="00F628AA">
      <w:pPr>
        <w:pStyle w:val="ListParagraph"/>
        <w:numPr>
          <w:ilvl w:val="0"/>
          <w:numId w:val="7"/>
        </w:numPr>
      </w:pPr>
      <w:r>
        <w:t>c</w:t>
      </w:r>
      <w:r w:rsidR="00543BE0">
        <w:t>onsumer and family/caregiver advocates</w:t>
      </w:r>
      <w:r>
        <w:t xml:space="preserve">, </w:t>
      </w:r>
      <w:r w:rsidR="00543BE0">
        <w:t>and</w:t>
      </w:r>
    </w:p>
    <w:p w14:paraId="587A92C7" w14:textId="77777777" w:rsidR="00183B23" w:rsidRDefault="0012169B" w:rsidP="00F628AA">
      <w:pPr>
        <w:pStyle w:val="ListParagraph"/>
        <w:numPr>
          <w:ilvl w:val="0"/>
          <w:numId w:val="7"/>
        </w:numPr>
        <w:spacing w:after="200"/>
      </w:pPr>
      <w:r>
        <w:t>r</w:t>
      </w:r>
      <w:r w:rsidR="00543BE0">
        <w:t>epresentatives from academia and/or the research community with expertise in quality measurement methods and best practices.</w:t>
      </w:r>
    </w:p>
    <w:p w14:paraId="715DC591" w14:textId="77777777" w:rsidR="00E90438" w:rsidRDefault="009D1468" w:rsidP="00E81F43">
      <w:pPr>
        <w:spacing w:after="200"/>
      </w:pPr>
      <w:r>
        <w:t>Twenty</w:t>
      </w:r>
      <w:r w:rsidR="00D03C53">
        <w:t xml:space="preserve"> </w:t>
      </w:r>
      <w:r w:rsidR="00BD0AE6">
        <w:t xml:space="preserve">stakeholder organization representatives and 10 state agency personnel </w:t>
      </w:r>
      <w:r w:rsidR="00D03C53">
        <w:t xml:space="preserve">were selected to participate </w:t>
      </w:r>
      <w:r w:rsidR="00BD0AE6">
        <w:t>on</w:t>
      </w:r>
      <w:r w:rsidR="00254E11">
        <w:t xml:space="preserve"> </w:t>
      </w:r>
      <w:r w:rsidR="00D03C53">
        <w:t>the Taskforce.</w:t>
      </w:r>
      <w:r w:rsidR="00183B23">
        <w:t xml:space="preserve">  </w:t>
      </w:r>
      <w:r w:rsidR="004F50BA">
        <w:t xml:space="preserve">Eleven members from stakeholder organizations and three members from state agency partners also participated as members of the Subcommittee.  </w:t>
      </w:r>
      <w:r w:rsidR="00183B23" w:rsidRPr="00BD0AE6">
        <w:rPr>
          <w:b/>
        </w:rPr>
        <w:t>Table</w:t>
      </w:r>
      <w:r w:rsidR="00A27CF2" w:rsidRPr="00BD0AE6">
        <w:rPr>
          <w:b/>
        </w:rPr>
        <w:t xml:space="preserve"> 1</w:t>
      </w:r>
      <w:r w:rsidR="00A27CF2">
        <w:t xml:space="preserve"> </w:t>
      </w:r>
      <w:r w:rsidR="00183B23">
        <w:t xml:space="preserve">includes information about each stakeholder and state agency representative </w:t>
      </w:r>
      <w:r w:rsidR="005621E5">
        <w:t>who served</w:t>
      </w:r>
      <w:r w:rsidR="009A38E7">
        <w:t xml:space="preserve"> </w:t>
      </w:r>
      <w:r w:rsidR="00183B23">
        <w:t>on the Taskforce</w:t>
      </w:r>
      <w:r w:rsidR="009A38E7">
        <w:t xml:space="preserve"> </w:t>
      </w:r>
      <w:r w:rsidR="00CA7B10">
        <w:t xml:space="preserve">between May 2017 and </w:t>
      </w:r>
      <w:r w:rsidR="006E1903">
        <w:t xml:space="preserve">July </w:t>
      </w:r>
      <w:r w:rsidR="00CA7B10">
        <w:t>2018</w:t>
      </w:r>
      <w:r w:rsidR="00183B23">
        <w:t>.</w:t>
      </w:r>
    </w:p>
    <w:p w14:paraId="64108755" w14:textId="77777777" w:rsidR="007C1115" w:rsidRDefault="007C1115">
      <w:pPr>
        <w:rPr>
          <w:rFonts w:eastAsiaTheme="majorEastAsia" w:cstheme="majorBidi"/>
          <w:b/>
          <w:color w:val="002060"/>
        </w:rPr>
      </w:pPr>
      <w:r>
        <w:rPr>
          <w:b/>
        </w:rPr>
        <w:br w:type="page"/>
      </w:r>
    </w:p>
    <w:p w14:paraId="35712D62" w14:textId="43C12761" w:rsidR="00183B23" w:rsidRDefault="00183B23" w:rsidP="00E81F43">
      <w:pPr>
        <w:pStyle w:val="Heading5"/>
        <w:keepNext w:val="0"/>
        <w:keepLines w:val="0"/>
        <w:spacing w:before="0" w:after="200"/>
      </w:pPr>
      <w:r w:rsidRPr="00935837">
        <w:rPr>
          <w:b/>
        </w:rPr>
        <w:lastRenderedPageBreak/>
        <w:t xml:space="preserve">Table </w:t>
      </w:r>
      <w:r w:rsidR="00A27CF2">
        <w:rPr>
          <w:b/>
        </w:rPr>
        <w:t>1</w:t>
      </w:r>
      <w:r w:rsidRPr="00935837">
        <w:rPr>
          <w:b/>
        </w:rPr>
        <w:t xml:space="preserve">:  Taskforce </w:t>
      </w:r>
      <w:r>
        <w:rPr>
          <w:b/>
        </w:rPr>
        <w:t>Members</w:t>
      </w:r>
    </w:p>
    <w:tbl>
      <w:tblPr>
        <w:tblStyle w:val="TableGrid"/>
        <w:tblW w:w="0" w:type="auto"/>
        <w:jc w:val="center"/>
        <w:tblLook w:val="04A0" w:firstRow="1" w:lastRow="0" w:firstColumn="1" w:lastColumn="0" w:noHBand="0" w:noVBand="1"/>
      </w:tblPr>
      <w:tblGrid>
        <w:gridCol w:w="8388"/>
      </w:tblGrid>
      <w:tr w:rsidR="00635F8C" w:rsidRPr="00935837" w14:paraId="20BAE409" w14:textId="77777777" w:rsidTr="00BD0AE6">
        <w:trPr>
          <w:jc w:val="center"/>
        </w:trPr>
        <w:tc>
          <w:tcPr>
            <w:tcW w:w="8388" w:type="dxa"/>
            <w:shd w:val="clear" w:color="auto" w:fill="002060"/>
            <w:vAlign w:val="center"/>
          </w:tcPr>
          <w:p w14:paraId="51E6DD0C" w14:textId="77777777" w:rsidR="00183B23" w:rsidRPr="00935837" w:rsidRDefault="00183B23" w:rsidP="00503B9F">
            <w:pPr>
              <w:rPr>
                <w:b/>
              </w:rPr>
            </w:pPr>
            <w:r>
              <w:rPr>
                <w:b/>
              </w:rPr>
              <w:t>Stakeholder Organizations</w:t>
            </w:r>
          </w:p>
        </w:tc>
      </w:tr>
      <w:tr w:rsidR="00183B23" w14:paraId="19156242" w14:textId="77777777" w:rsidTr="00AA1452">
        <w:trPr>
          <w:jc w:val="center"/>
        </w:trPr>
        <w:tc>
          <w:tcPr>
            <w:tcW w:w="8388" w:type="dxa"/>
            <w:vAlign w:val="center"/>
          </w:tcPr>
          <w:p w14:paraId="3CCAFC78" w14:textId="77777777" w:rsidR="00183B23" w:rsidRDefault="00183B23" w:rsidP="00F628AA">
            <w:pPr>
              <w:pStyle w:val="ListParagraph"/>
              <w:numPr>
                <w:ilvl w:val="0"/>
                <w:numId w:val="8"/>
              </w:numPr>
              <w:spacing w:before="80"/>
            </w:pPr>
            <w:r w:rsidRPr="00925305">
              <w:t xml:space="preserve">Mark </w:t>
            </w:r>
            <w:proofErr w:type="spellStart"/>
            <w:r w:rsidRPr="00925305">
              <w:t>Alexakos</w:t>
            </w:r>
            <w:proofErr w:type="spellEnd"/>
            <w:r w:rsidRPr="00925305">
              <w:t>, MD, MPP</w:t>
            </w:r>
            <w:r>
              <w:t xml:space="preserve"> (Lynn Community Health Center)</w:t>
            </w:r>
            <w:r w:rsidR="004F50BA" w:rsidRPr="004F50BA">
              <w:rPr>
                <w:vertAlign w:val="superscript"/>
              </w:rPr>
              <w:t>+</w:t>
            </w:r>
          </w:p>
          <w:p w14:paraId="52446135" w14:textId="77777777" w:rsidR="00183B23" w:rsidRPr="00E73689" w:rsidRDefault="00183B23" w:rsidP="00F628AA">
            <w:pPr>
              <w:pStyle w:val="ListParagraph"/>
              <w:numPr>
                <w:ilvl w:val="0"/>
                <w:numId w:val="8"/>
              </w:numPr>
            </w:pPr>
            <w:r w:rsidRPr="00E73689">
              <w:t>Richard Antonelli, MD, MS (Boston Children’s Hospital)</w:t>
            </w:r>
            <w:r w:rsidR="004F50BA" w:rsidRPr="004F50BA">
              <w:rPr>
                <w:vertAlign w:val="superscript"/>
              </w:rPr>
              <w:t>+</w:t>
            </w:r>
          </w:p>
          <w:p w14:paraId="24521163" w14:textId="77777777" w:rsidR="00183B23" w:rsidRPr="00E73689" w:rsidRDefault="00183B23" w:rsidP="00F628AA">
            <w:pPr>
              <w:pStyle w:val="ListParagraph"/>
              <w:numPr>
                <w:ilvl w:val="0"/>
                <w:numId w:val="8"/>
              </w:numPr>
            </w:pPr>
            <w:r w:rsidRPr="00E73689">
              <w:t>Arlene Ash, PhD (University of Massachusetts Medical School)</w:t>
            </w:r>
            <w:r w:rsidR="004F50BA" w:rsidRPr="001E1B72">
              <w:rPr>
                <w:vertAlign w:val="superscript"/>
              </w:rPr>
              <w:t>+</w:t>
            </w:r>
          </w:p>
          <w:p w14:paraId="7B71C25A" w14:textId="77777777" w:rsidR="00183B23" w:rsidRPr="00E73689" w:rsidRDefault="00183B23" w:rsidP="00F628AA">
            <w:pPr>
              <w:pStyle w:val="ListParagraph"/>
              <w:numPr>
                <w:ilvl w:val="0"/>
                <w:numId w:val="8"/>
              </w:numPr>
            </w:pPr>
            <w:r w:rsidRPr="00E73689">
              <w:t>Barrie Baker, MD, MBA (Tufts Health Public Plans)*</w:t>
            </w:r>
          </w:p>
          <w:p w14:paraId="5639EA29" w14:textId="77777777" w:rsidR="00183B23" w:rsidRPr="00E73689" w:rsidRDefault="00183B23" w:rsidP="00F628AA">
            <w:pPr>
              <w:pStyle w:val="ListParagraph"/>
              <w:numPr>
                <w:ilvl w:val="0"/>
                <w:numId w:val="8"/>
              </w:numPr>
            </w:pPr>
            <w:r w:rsidRPr="00E73689">
              <w:t>Dennis Heaphy, MEd, MPH (Disability Policy Consortium)</w:t>
            </w:r>
            <w:r w:rsidR="004F50BA" w:rsidRPr="001E1B72">
              <w:rPr>
                <w:vertAlign w:val="superscript"/>
              </w:rPr>
              <w:t>+</w:t>
            </w:r>
          </w:p>
          <w:p w14:paraId="06D8FD4A" w14:textId="77777777" w:rsidR="00183B23" w:rsidRPr="00E73689" w:rsidRDefault="00183B23" w:rsidP="00F628AA">
            <w:pPr>
              <w:pStyle w:val="ListParagraph"/>
              <w:numPr>
                <w:ilvl w:val="0"/>
                <w:numId w:val="8"/>
              </w:numPr>
            </w:pPr>
            <w:r w:rsidRPr="00E73689">
              <w:t xml:space="preserve">Lisa </w:t>
            </w:r>
            <w:proofErr w:type="spellStart"/>
            <w:r w:rsidRPr="00E73689">
              <w:t>Iezzoni</w:t>
            </w:r>
            <w:proofErr w:type="spellEnd"/>
            <w:r w:rsidRPr="00E73689">
              <w:t>, MD, MSc (Massachusetts General Hospital / Harvard Medical School)</w:t>
            </w:r>
            <w:r w:rsidR="004F50BA" w:rsidRPr="001E1B72">
              <w:rPr>
                <w:vertAlign w:val="superscript"/>
              </w:rPr>
              <w:t>+</w:t>
            </w:r>
          </w:p>
          <w:p w14:paraId="4D79C3EB" w14:textId="77777777" w:rsidR="00183B23" w:rsidRPr="00E73689" w:rsidRDefault="00183B23" w:rsidP="00F628AA">
            <w:pPr>
              <w:pStyle w:val="ListParagraph"/>
              <w:numPr>
                <w:ilvl w:val="0"/>
                <w:numId w:val="8"/>
              </w:numPr>
            </w:pPr>
            <w:r w:rsidRPr="00E73689">
              <w:t>Thomas Isaac, MD, MBA, MPH (</w:t>
            </w:r>
            <w:proofErr w:type="spellStart"/>
            <w:r w:rsidRPr="00E73689">
              <w:t>Atrius</w:t>
            </w:r>
            <w:proofErr w:type="spellEnd"/>
            <w:r w:rsidRPr="00E73689">
              <w:t xml:space="preserve"> Health)</w:t>
            </w:r>
          </w:p>
          <w:p w14:paraId="535DE583" w14:textId="77777777" w:rsidR="00183B23" w:rsidRPr="00E73689" w:rsidRDefault="00183B23" w:rsidP="00F628AA">
            <w:pPr>
              <w:pStyle w:val="ListParagraph"/>
              <w:numPr>
                <w:ilvl w:val="0"/>
                <w:numId w:val="8"/>
              </w:numPr>
            </w:pPr>
            <w:r w:rsidRPr="00E73689">
              <w:t xml:space="preserve">Melinda Karp, MBA, represented </w:t>
            </w:r>
            <w:r w:rsidR="001A0347">
              <w:t xml:space="preserve">two </w:t>
            </w:r>
            <w:r w:rsidRPr="00E73689">
              <w:t>or more times by Elissa Adair, PhD (Commonwealth Care Alliance</w:t>
            </w:r>
            <w:r w:rsidR="00B70924">
              <w:t>)</w:t>
            </w:r>
            <w:r w:rsidR="004F50BA" w:rsidRPr="001E1B72">
              <w:rPr>
                <w:vertAlign w:val="superscript"/>
              </w:rPr>
              <w:t>+</w:t>
            </w:r>
          </w:p>
          <w:p w14:paraId="543AB5F2" w14:textId="77777777" w:rsidR="00714A80" w:rsidRDefault="00714A80" w:rsidP="00F628AA">
            <w:pPr>
              <w:pStyle w:val="ListParagraph"/>
              <w:numPr>
                <w:ilvl w:val="0"/>
                <w:numId w:val="8"/>
              </w:numPr>
            </w:pPr>
            <w:r w:rsidRPr="00925305">
              <w:t>Renee Altman Nefussy</w:t>
            </w:r>
            <w:r>
              <w:t xml:space="preserve"> (Tufts Health Plan)</w:t>
            </w:r>
          </w:p>
          <w:p w14:paraId="6B62D935" w14:textId="77777777" w:rsidR="00183B23" w:rsidRPr="00E73689" w:rsidRDefault="00183B23" w:rsidP="00F628AA">
            <w:pPr>
              <w:pStyle w:val="ListParagraph"/>
              <w:numPr>
                <w:ilvl w:val="0"/>
                <w:numId w:val="8"/>
              </w:numPr>
            </w:pPr>
            <w:r w:rsidRPr="00E73689">
              <w:t xml:space="preserve">Holly Oh, MD, represented </w:t>
            </w:r>
            <w:r w:rsidR="001A0347">
              <w:t xml:space="preserve">two </w:t>
            </w:r>
            <w:r w:rsidRPr="00E73689">
              <w:t xml:space="preserve">or more times by Stephanie </w:t>
            </w:r>
            <w:proofErr w:type="spellStart"/>
            <w:r w:rsidRPr="00E73689">
              <w:t>Giannetto</w:t>
            </w:r>
            <w:proofErr w:type="spellEnd"/>
            <w:r w:rsidRPr="00E73689">
              <w:t>, MS (The Dimmock Center; Community Care Cooperative)</w:t>
            </w:r>
            <w:r w:rsidR="004F50BA" w:rsidRPr="001E1B72">
              <w:rPr>
                <w:vertAlign w:val="superscript"/>
              </w:rPr>
              <w:t>+</w:t>
            </w:r>
          </w:p>
          <w:p w14:paraId="5E262E5D" w14:textId="77777777" w:rsidR="00183B23" w:rsidRPr="00E73689" w:rsidRDefault="00183B23" w:rsidP="00F628AA">
            <w:pPr>
              <w:pStyle w:val="ListParagraph"/>
              <w:numPr>
                <w:ilvl w:val="0"/>
                <w:numId w:val="8"/>
              </w:numPr>
            </w:pPr>
            <w:r w:rsidRPr="00E73689">
              <w:t xml:space="preserve">Elisabeth </w:t>
            </w:r>
            <w:proofErr w:type="spellStart"/>
            <w:r w:rsidRPr="00E73689">
              <w:t>Okrant</w:t>
            </w:r>
            <w:proofErr w:type="spellEnd"/>
            <w:r w:rsidRPr="00E73689">
              <w:t>, MPH (Massachusetts Behavioral Health Partnership / Beacon Health Options)</w:t>
            </w:r>
            <w:r w:rsidR="004F50BA" w:rsidRPr="001E1B72">
              <w:rPr>
                <w:vertAlign w:val="superscript"/>
              </w:rPr>
              <w:t>+</w:t>
            </w:r>
          </w:p>
          <w:p w14:paraId="79CD8FF5" w14:textId="77777777" w:rsidR="00183B23" w:rsidRPr="00E73689" w:rsidRDefault="00183B23" w:rsidP="00F628AA">
            <w:pPr>
              <w:pStyle w:val="ListParagraph"/>
              <w:numPr>
                <w:ilvl w:val="0"/>
                <w:numId w:val="8"/>
              </w:numPr>
            </w:pPr>
            <w:r w:rsidRPr="00E73689">
              <w:t>Dan Olshansky, LICSW (Behavioral Health Network)</w:t>
            </w:r>
            <w:r w:rsidR="004F50BA" w:rsidRPr="001E1B72">
              <w:rPr>
                <w:vertAlign w:val="superscript"/>
              </w:rPr>
              <w:t>+</w:t>
            </w:r>
          </w:p>
          <w:p w14:paraId="5E18929A" w14:textId="77777777" w:rsidR="00183B23" w:rsidRPr="00E73689" w:rsidRDefault="00183B23" w:rsidP="00F628AA">
            <w:pPr>
              <w:pStyle w:val="ListParagraph"/>
              <w:numPr>
                <w:ilvl w:val="0"/>
                <w:numId w:val="8"/>
              </w:numPr>
            </w:pPr>
            <w:r w:rsidRPr="00E73689">
              <w:t>Claire Cecile Pierce, MD (South End Community Health Center / Harvard Medical School)*</w:t>
            </w:r>
            <w:r w:rsidR="004F50BA">
              <w:rPr>
                <w:vertAlign w:val="superscript"/>
              </w:rPr>
              <w:t>,</w:t>
            </w:r>
            <w:r w:rsidR="004F50BA" w:rsidRPr="001E1B72">
              <w:rPr>
                <w:vertAlign w:val="superscript"/>
              </w:rPr>
              <w:t>+</w:t>
            </w:r>
          </w:p>
          <w:p w14:paraId="6FBD0DA9" w14:textId="77777777" w:rsidR="00183B23" w:rsidRDefault="00183B23" w:rsidP="00F628AA">
            <w:pPr>
              <w:pStyle w:val="ListParagraph"/>
              <w:numPr>
                <w:ilvl w:val="0"/>
                <w:numId w:val="8"/>
              </w:numPr>
            </w:pPr>
            <w:r w:rsidRPr="00925305">
              <w:t>Michael Sherman, MD, MBA, MS</w:t>
            </w:r>
            <w:r>
              <w:t xml:space="preserve">, represented </w:t>
            </w:r>
            <w:r w:rsidR="001A0347">
              <w:t xml:space="preserve">two </w:t>
            </w:r>
            <w:r>
              <w:t xml:space="preserve">or more times by </w:t>
            </w:r>
            <w:r w:rsidRPr="00925305">
              <w:t>Tina Whitney, RN, BSN, CCM</w:t>
            </w:r>
            <w:r>
              <w:t xml:space="preserve"> (</w:t>
            </w:r>
            <w:r w:rsidRPr="00925305">
              <w:t>Harvard Pilgrim Health Care</w:t>
            </w:r>
            <w:r>
              <w:t>)</w:t>
            </w:r>
          </w:p>
          <w:p w14:paraId="42C205EE" w14:textId="77777777" w:rsidR="00183B23" w:rsidRDefault="00183B23" w:rsidP="00F628AA">
            <w:pPr>
              <w:pStyle w:val="ListParagraph"/>
              <w:numPr>
                <w:ilvl w:val="0"/>
                <w:numId w:val="8"/>
              </w:numPr>
            </w:pPr>
            <w:r>
              <w:t xml:space="preserve">Barbra Rabson, MPH, represented </w:t>
            </w:r>
            <w:r w:rsidR="001A0347">
              <w:t xml:space="preserve">two </w:t>
            </w:r>
            <w:r>
              <w:t>or more times by Karen Smith, MCP (</w:t>
            </w:r>
            <w:r w:rsidRPr="00925305">
              <w:t>Massachusetts Health Quality Partners</w:t>
            </w:r>
            <w:r>
              <w:t>)</w:t>
            </w:r>
            <w:r w:rsidR="004F50BA" w:rsidRPr="001E1B72">
              <w:rPr>
                <w:vertAlign w:val="superscript"/>
              </w:rPr>
              <w:t>+</w:t>
            </w:r>
          </w:p>
          <w:p w14:paraId="286A46EA" w14:textId="7C3A7F99" w:rsidR="00183B23" w:rsidRDefault="00183B23" w:rsidP="00F628AA">
            <w:pPr>
              <w:pStyle w:val="ListParagraph"/>
              <w:numPr>
                <w:ilvl w:val="0"/>
                <w:numId w:val="8"/>
              </w:numPr>
            </w:pPr>
            <w:r w:rsidRPr="00925305">
              <w:t>Dana Gelb Safran, ScD</w:t>
            </w:r>
            <w:r>
              <w:t>, represented by Wei Ying, MBA (</w:t>
            </w:r>
            <w:r w:rsidRPr="00925305">
              <w:t>Blue Cross Blue Shield of Massachusetts</w:t>
            </w:r>
            <w:r>
              <w:t>)</w:t>
            </w:r>
          </w:p>
          <w:p w14:paraId="102F557A" w14:textId="77777777" w:rsidR="00183B23" w:rsidRDefault="00183B23" w:rsidP="00F628AA">
            <w:pPr>
              <w:pStyle w:val="ListParagraph"/>
              <w:numPr>
                <w:ilvl w:val="0"/>
                <w:numId w:val="8"/>
              </w:numPr>
            </w:pPr>
            <w:r>
              <w:t xml:space="preserve">Robert Schreiber, MD (Hebrew </w:t>
            </w:r>
            <w:proofErr w:type="spellStart"/>
            <w:r>
              <w:t>SeniorLife</w:t>
            </w:r>
            <w:proofErr w:type="spellEnd"/>
            <w:r>
              <w:t>)*</w:t>
            </w:r>
          </w:p>
          <w:p w14:paraId="02EEF454" w14:textId="77777777" w:rsidR="00183B23" w:rsidRDefault="00183B23" w:rsidP="00F628AA">
            <w:pPr>
              <w:pStyle w:val="ListParagraph"/>
              <w:numPr>
                <w:ilvl w:val="0"/>
                <w:numId w:val="8"/>
              </w:numPr>
            </w:pPr>
            <w:r w:rsidRPr="00925305">
              <w:t>Jacqueline Spain, MD</w:t>
            </w:r>
            <w:r>
              <w:t xml:space="preserve"> (Health New England)</w:t>
            </w:r>
          </w:p>
          <w:p w14:paraId="241FE72D" w14:textId="57E1D2D2" w:rsidR="00183B23" w:rsidRDefault="00183B23" w:rsidP="00F628AA">
            <w:pPr>
              <w:pStyle w:val="ListParagraph"/>
              <w:numPr>
                <w:ilvl w:val="0"/>
                <w:numId w:val="8"/>
              </w:numPr>
            </w:pPr>
            <w:r w:rsidRPr="00925305">
              <w:t>Aswita Tan-McGrory, MBA, MS</w:t>
            </w:r>
            <w:r w:rsidR="00AD529C">
              <w:t>PH</w:t>
            </w:r>
            <w:r>
              <w:t xml:space="preserve"> (The </w:t>
            </w:r>
            <w:r w:rsidRPr="00925305">
              <w:t>Disparities Solutions Center at Massachusetts General Hospital</w:t>
            </w:r>
            <w:r>
              <w:t>)</w:t>
            </w:r>
          </w:p>
          <w:p w14:paraId="76F466B7" w14:textId="77777777" w:rsidR="00183B23" w:rsidRDefault="00183B23" w:rsidP="00F628AA">
            <w:pPr>
              <w:pStyle w:val="ListParagraph"/>
              <w:numPr>
                <w:ilvl w:val="0"/>
                <w:numId w:val="8"/>
              </w:numPr>
              <w:spacing w:after="80"/>
            </w:pPr>
            <w:r w:rsidRPr="00925305">
              <w:t>Christian Dankers, MD, MBA</w:t>
            </w:r>
            <w:r>
              <w:t>, previously represented by Neil Wagle, MD, MBA* and Eric Weil, MD* (Partners HealthCare)</w:t>
            </w:r>
          </w:p>
        </w:tc>
      </w:tr>
      <w:tr w:rsidR="00635F8C" w:rsidRPr="00935837" w14:paraId="692E1ACA" w14:textId="77777777" w:rsidTr="00503B9F">
        <w:trPr>
          <w:jc w:val="center"/>
        </w:trPr>
        <w:tc>
          <w:tcPr>
            <w:tcW w:w="8388" w:type="dxa"/>
            <w:shd w:val="clear" w:color="auto" w:fill="002060"/>
            <w:vAlign w:val="center"/>
          </w:tcPr>
          <w:p w14:paraId="6467477B" w14:textId="77777777" w:rsidR="00183B23" w:rsidRPr="00935837" w:rsidRDefault="00183B23" w:rsidP="00503B9F">
            <w:pPr>
              <w:rPr>
                <w:b/>
              </w:rPr>
            </w:pPr>
            <w:r>
              <w:rPr>
                <w:b/>
              </w:rPr>
              <w:t>State Agencies</w:t>
            </w:r>
          </w:p>
        </w:tc>
      </w:tr>
      <w:tr w:rsidR="00183B23" w14:paraId="51741A38" w14:textId="77777777" w:rsidTr="00AA1452">
        <w:trPr>
          <w:jc w:val="center"/>
        </w:trPr>
        <w:tc>
          <w:tcPr>
            <w:tcW w:w="8388" w:type="dxa"/>
            <w:vAlign w:val="center"/>
          </w:tcPr>
          <w:p w14:paraId="28C6A0CF" w14:textId="77777777" w:rsidR="00183B23" w:rsidRDefault="00183B23" w:rsidP="00F628AA">
            <w:pPr>
              <w:pStyle w:val="ListParagraph"/>
              <w:numPr>
                <w:ilvl w:val="0"/>
                <w:numId w:val="8"/>
              </w:numPr>
              <w:spacing w:before="80"/>
            </w:pPr>
            <w:r w:rsidRPr="00925305">
              <w:t>Lauren Peters, JD</w:t>
            </w:r>
            <w:r>
              <w:t xml:space="preserve"> and </w:t>
            </w:r>
            <w:r w:rsidRPr="00925305">
              <w:t>Ipek Demirsoy, MBA</w:t>
            </w:r>
            <w:r>
              <w:t>, Taskforce Co-Chairs, both previously represented by Alice Moore</w:t>
            </w:r>
            <w:r w:rsidR="00DB2219">
              <w:t>, JD</w:t>
            </w:r>
            <w:r>
              <w:t>* (</w:t>
            </w:r>
            <w:r w:rsidRPr="00925305">
              <w:t>Executive Office of Health and Human Services</w:t>
            </w:r>
            <w:r>
              <w:t>)</w:t>
            </w:r>
          </w:p>
          <w:p w14:paraId="6713EE7A" w14:textId="77777777" w:rsidR="00183B23" w:rsidRDefault="00183B23" w:rsidP="00F628AA">
            <w:pPr>
              <w:pStyle w:val="ListParagraph"/>
              <w:numPr>
                <w:ilvl w:val="0"/>
                <w:numId w:val="8"/>
              </w:numPr>
            </w:pPr>
            <w:r>
              <w:t>David Whitham (Executive Office of Health and Human Services)*</w:t>
            </w:r>
          </w:p>
          <w:p w14:paraId="02B0B0E4" w14:textId="77777777" w:rsidR="00183B23" w:rsidRDefault="00BC765C" w:rsidP="00F628AA">
            <w:pPr>
              <w:pStyle w:val="ListParagraph"/>
              <w:numPr>
                <w:ilvl w:val="0"/>
                <w:numId w:val="8"/>
              </w:numPr>
            </w:pPr>
            <w:r>
              <w:t>Katherine</w:t>
            </w:r>
            <w:r w:rsidR="00183B23" w:rsidRPr="00925305">
              <w:t xml:space="preserve"> Fillo, PhD</w:t>
            </w:r>
            <w:r>
              <w:t>, RN-BC</w:t>
            </w:r>
            <w:r w:rsidR="00183B23">
              <w:t xml:space="preserve"> (</w:t>
            </w:r>
            <w:r w:rsidR="00183B23" w:rsidRPr="00925305">
              <w:t xml:space="preserve">Massachusetts Department of </w:t>
            </w:r>
            <w:r w:rsidR="00183B23">
              <w:t xml:space="preserve">Public </w:t>
            </w:r>
            <w:r w:rsidR="00183B23" w:rsidRPr="00925305">
              <w:t>Health</w:t>
            </w:r>
            <w:r w:rsidR="00183B23">
              <w:t>)</w:t>
            </w:r>
            <w:r w:rsidR="004F50BA" w:rsidRPr="001E1B72">
              <w:rPr>
                <w:vertAlign w:val="superscript"/>
              </w:rPr>
              <w:t>+</w:t>
            </w:r>
          </w:p>
          <w:p w14:paraId="4F7EC3E3" w14:textId="77777777" w:rsidR="00183B23" w:rsidRDefault="00183B23" w:rsidP="00F628AA">
            <w:pPr>
              <w:pStyle w:val="ListParagraph"/>
              <w:numPr>
                <w:ilvl w:val="0"/>
                <w:numId w:val="8"/>
              </w:numPr>
            </w:pPr>
            <w:r w:rsidRPr="00925305">
              <w:t>David Tringali, MA</w:t>
            </w:r>
            <w:r>
              <w:t xml:space="preserve"> (</w:t>
            </w:r>
            <w:r w:rsidRPr="00925305">
              <w:t>Massachusetts Department of Mental Health</w:t>
            </w:r>
            <w:r>
              <w:t>)</w:t>
            </w:r>
            <w:r w:rsidR="004F50BA" w:rsidRPr="001E1B72">
              <w:rPr>
                <w:vertAlign w:val="superscript"/>
              </w:rPr>
              <w:t>+</w:t>
            </w:r>
          </w:p>
          <w:p w14:paraId="4D2DC9FC" w14:textId="77777777" w:rsidR="00183B23" w:rsidRDefault="00183B23" w:rsidP="00F628AA">
            <w:pPr>
              <w:pStyle w:val="ListParagraph"/>
              <w:numPr>
                <w:ilvl w:val="0"/>
                <w:numId w:val="8"/>
              </w:numPr>
            </w:pPr>
            <w:r w:rsidRPr="00925305">
              <w:t>Ray Campbell, MPA</w:t>
            </w:r>
            <w:r>
              <w:t xml:space="preserve">, represented </w:t>
            </w:r>
            <w:r w:rsidR="001A0347">
              <w:t xml:space="preserve">two </w:t>
            </w:r>
            <w:r>
              <w:t xml:space="preserve">or more times by Lisa Ahlgren, MPH, </w:t>
            </w:r>
            <w:r w:rsidR="003D0AED">
              <w:t>and</w:t>
            </w:r>
            <w:r>
              <w:t xml:space="preserve"> Cristi Carman, MPH (Center for Health Information and Analysis)</w:t>
            </w:r>
          </w:p>
          <w:p w14:paraId="70AAB650" w14:textId="77777777" w:rsidR="00183B23" w:rsidRDefault="00183B23" w:rsidP="00F628AA">
            <w:pPr>
              <w:pStyle w:val="ListParagraph"/>
              <w:numPr>
                <w:ilvl w:val="0"/>
                <w:numId w:val="8"/>
              </w:numPr>
            </w:pPr>
            <w:r w:rsidRPr="00925305">
              <w:t>Katie Shea Barrett, MPH</w:t>
            </w:r>
            <w:r>
              <w:t xml:space="preserve"> (Health Policy Commission)</w:t>
            </w:r>
          </w:p>
          <w:p w14:paraId="60211F3C" w14:textId="77777777" w:rsidR="00183B23" w:rsidRDefault="00183B23" w:rsidP="00F628AA">
            <w:pPr>
              <w:pStyle w:val="ListParagraph"/>
              <w:numPr>
                <w:ilvl w:val="0"/>
                <w:numId w:val="8"/>
              </w:numPr>
              <w:spacing w:after="80"/>
            </w:pPr>
            <w:r w:rsidRPr="00925305">
              <w:t>Linda Shaughnessy, MBA</w:t>
            </w:r>
            <w:r>
              <w:t xml:space="preserve"> (MassHealth)</w:t>
            </w:r>
            <w:r w:rsidR="00984902" w:rsidRPr="001552BC">
              <w:rPr>
                <w:vertAlign w:val="superscript"/>
              </w:rPr>
              <w:t>+</w:t>
            </w:r>
          </w:p>
          <w:p w14:paraId="71B82A85" w14:textId="77777777" w:rsidR="00183B23" w:rsidRDefault="006E1903" w:rsidP="00F628AA">
            <w:pPr>
              <w:pStyle w:val="ListParagraph"/>
              <w:numPr>
                <w:ilvl w:val="0"/>
                <w:numId w:val="8"/>
              </w:numPr>
            </w:pPr>
            <w:r>
              <w:t>Clara Filice, MD, MPH, MHS,</w:t>
            </w:r>
            <w:r w:rsidR="001552BC" w:rsidRPr="001552BC">
              <w:rPr>
                <w:vertAlign w:val="superscript"/>
              </w:rPr>
              <w:t>+</w:t>
            </w:r>
            <w:r>
              <w:t xml:space="preserve"> previously represented by </w:t>
            </w:r>
            <w:r w:rsidR="00183B23" w:rsidRPr="00925305">
              <w:t>A</w:t>
            </w:r>
            <w:r w:rsidR="00183B23">
              <w:t xml:space="preserve">lon Peltz, MD, </w:t>
            </w:r>
            <w:r w:rsidR="00183B23">
              <w:lastRenderedPageBreak/>
              <w:t>MBA, MHS,</w:t>
            </w:r>
            <w:r w:rsidR="001552BC">
              <w:t>*</w:t>
            </w:r>
            <w:r w:rsidR="00183B23">
              <w:t xml:space="preserve"> </w:t>
            </w:r>
            <w:r>
              <w:t xml:space="preserve">and by </w:t>
            </w:r>
            <w:r w:rsidR="00183B23">
              <w:t>Randi Berkowitz, MD (MassHealth)</w:t>
            </w:r>
            <w:r w:rsidR="004F50BA">
              <w:t>*</w:t>
            </w:r>
          </w:p>
          <w:p w14:paraId="41441578" w14:textId="77777777" w:rsidR="00183B23" w:rsidRDefault="00183B23" w:rsidP="00F628AA">
            <w:pPr>
              <w:pStyle w:val="ListParagraph"/>
              <w:numPr>
                <w:ilvl w:val="0"/>
                <w:numId w:val="8"/>
              </w:numPr>
            </w:pPr>
            <w:r>
              <w:t>Gail Grossman (Massachusetts Department of Developmental Services)*</w:t>
            </w:r>
          </w:p>
          <w:p w14:paraId="6BF87ED3" w14:textId="5FD64DEE" w:rsidR="00183B23" w:rsidRDefault="00183B23" w:rsidP="001A0347">
            <w:pPr>
              <w:pStyle w:val="ListParagraph"/>
              <w:numPr>
                <w:ilvl w:val="0"/>
                <w:numId w:val="8"/>
              </w:numPr>
            </w:pPr>
            <w:r w:rsidRPr="00925305">
              <w:t>Roberta Herman, MD</w:t>
            </w:r>
            <w:r>
              <w:t xml:space="preserve">, represented </w:t>
            </w:r>
            <w:r w:rsidR="001A0347">
              <w:t xml:space="preserve">two </w:t>
            </w:r>
            <w:r>
              <w:t>or more times Rachelle Mercier, Esq., MPH (Group Insurance Commission)</w:t>
            </w:r>
          </w:p>
          <w:p w14:paraId="51F8D0EE" w14:textId="77777777" w:rsidR="00183B23" w:rsidRDefault="00183B23" w:rsidP="003E7493">
            <w:pPr>
              <w:pStyle w:val="ListParagraph"/>
              <w:numPr>
                <w:ilvl w:val="0"/>
                <w:numId w:val="8"/>
              </w:numPr>
              <w:spacing w:after="80"/>
            </w:pPr>
            <w:r w:rsidRPr="00925305">
              <w:t>Kevin Beagan, MPH, MPP</w:t>
            </w:r>
            <w:r>
              <w:t xml:space="preserve">, represented </w:t>
            </w:r>
            <w:r w:rsidR="001A0347">
              <w:t xml:space="preserve">two </w:t>
            </w:r>
            <w:r>
              <w:t>or more times by Marissa Vertes (</w:t>
            </w:r>
            <w:r w:rsidRPr="00925305">
              <w:t>Division of Insurance</w:t>
            </w:r>
            <w:r>
              <w:t>)</w:t>
            </w:r>
          </w:p>
        </w:tc>
      </w:tr>
    </w:tbl>
    <w:p w14:paraId="6E1EB56D" w14:textId="77777777" w:rsidR="009A539C" w:rsidRDefault="00E73689" w:rsidP="00183B23">
      <w:pPr>
        <w:ind w:firstLine="720"/>
        <w:rPr>
          <w:i/>
        </w:rPr>
      </w:pPr>
      <w:r>
        <w:rPr>
          <w:i/>
        </w:rPr>
        <w:lastRenderedPageBreak/>
        <w:t>*I</w:t>
      </w:r>
      <w:r w:rsidR="009A539C" w:rsidRPr="009A539C">
        <w:rPr>
          <w:i/>
        </w:rPr>
        <w:t xml:space="preserve">ndicates a </w:t>
      </w:r>
      <w:r w:rsidR="009A539C">
        <w:rPr>
          <w:i/>
        </w:rPr>
        <w:t xml:space="preserve">member </w:t>
      </w:r>
      <w:r w:rsidR="003F7B6E">
        <w:rPr>
          <w:i/>
        </w:rPr>
        <w:t>who</w:t>
      </w:r>
      <w:r w:rsidR="003F7B6E" w:rsidRPr="009A539C">
        <w:rPr>
          <w:i/>
        </w:rPr>
        <w:t xml:space="preserve"> </w:t>
      </w:r>
      <w:r w:rsidR="009A539C" w:rsidRPr="009A539C">
        <w:rPr>
          <w:i/>
        </w:rPr>
        <w:t>no longer participates on the Taskforce.</w:t>
      </w:r>
    </w:p>
    <w:p w14:paraId="2B2303B2" w14:textId="77777777" w:rsidR="004F50BA" w:rsidRPr="009A539C" w:rsidRDefault="004F50BA" w:rsidP="00183B23">
      <w:pPr>
        <w:ind w:firstLine="720"/>
        <w:rPr>
          <w:i/>
        </w:rPr>
      </w:pPr>
      <w:r w:rsidRPr="00D205AC">
        <w:rPr>
          <w:i/>
          <w:vertAlign w:val="superscript"/>
        </w:rPr>
        <w:t>+</w:t>
      </w:r>
      <w:r>
        <w:rPr>
          <w:i/>
        </w:rPr>
        <w:t>Indicates a member who also participates on the Subcommittee.</w:t>
      </w:r>
    </w:p>
    <w:p w14:paraId="7951891F" w14:textId="77777777" w:rsidR="009E1B7A" w:rsidRDefault="009E1B7A" w:rsidP="009E1B7A"/>
    <w:p w14:paraId="480652B6" w14:textId="4B753DF0" w:rsidR="00854F11" w:rsidRDefault="00854F11" w:rsidP="00854F11">
      <w:pPr>
        <w:spacing w:after="200"/>
      </w:pPr>
      <w:r>
        <w:t>EOHHS engaged Bailit Health Purchasing, LLC (Bailit Health) to staff and facilitate the meetings.</w:t>
      </w:r>
    </w:p>
    <w:p w14:paraId="359FF20D" w14:textId="2151994E" w:rsidR="00183B23" w:rsidRPr="001A0347" w:rsidRDefault="00183B23" w:rsidP="00E81F43">
      <w:pPr>
        <w:spacing w:after="200"/>
      </w:pPr>
      <w:r>
        <w:t>The Taskforce centered its work around two primary goals.  The first goal was to g</w:t>
      </w:r>
      <w:r w:rsidRPr="00543BE0">
        <w:t xml:space="preserve">ain consensus </w:t>
      </w:r>
      <w:r w:rsidRPr="001A0347">
        <w:t>on a</w:t>
      </w:r>
      <w:r w:rsidR="00A27CF2" w:rsidRPr="001A0347">
        <w:t>n aligned</w:t>
      </w:r>
      <w:r w:rsidRPr="001A0347">
        <w:t xml:space="preserve"> quality measure set </w:t>
      </w:r>
      <w:r w:rsidR="00A27CF2" w:rsidRPr="001A0347">
        <w:t xml:space="preserve">for payers and providers to implement in </w:t>
      </w:r>
      <w:r w:rsidR="00B70E29">
        <w:t>global budget-based risk contracts</w:t>
      </w:r>
      <w:r w:rsidRPr="001A0347">
        <w:t xml:space="preserve">.  The second goal was to identify strategic priority areas for measure development </w:t>
      </w:r>
      <w:r w:rsidR="00BD0AE6" w:rsidRPr="001A0347">
        <w:t>where measure gaps exist</w:t>
      </w:r>
      <w:r w:rsidR="00A30F59" w:rsidRPr="001A0347">
        <w:t>.</w:t>
      </w:r>
    </w:p>
    <w:p w14:paraId="54159FB5" w14:textId="77777777" w:rsidR="00E90438" w:rsidRDefault="00E90438" w:rsidP="00E90438">
      <w:pPr>
        <w:spacing w:after="200"/>
      </w:pPr>
      <w:r w:rsidRPr="001A0347">
        <w:t xml:space="preserve">There were </w:t>
      </w:r>
      <w:r w:rsidR="00D6227D" w:rsidRPr="001A0347">
        <w:t xml:space="preserve">19 </w:t>
      </w:r>
      <w:r w:rsidRPr="001A0347">
        <w:t xml:space="preserve">Taskforce meetings and 14 Subcommittee meetings between </w:t>
      </w:r>
      <w:r w:rsidR="004A7F39" w:rsidRPr="001A0347">
        <w:t xml:space="preserve">May 2017 and </w:t>
      </w:r>
      <w:r w:rsidR="00D6227D" w:rsidRPr="001A0347">
        <w:t xml:space="preserve">July </w:t>
      </w:r>
      <w:r w:rsidR="004A7F39" w:rsidRPr="001A0347">
        <w:t>2018</w:t>
      </w:r>
      <w:r w:rsidR="00780B1F" w:rsidRPr="001A0347">
        <w:t>.</w:t>
      </w:r>
      <w:r w:rsidRPr="001A0347">
        <w:t xml:space="preserve">  This report, prepared by Bailit Health, primarily focuses on describing the work of the Taskforce and recom</w:t>
      </w:r>
      <w:r>
        <w:t>mendations for next steps (</w:t>
      </w:r>
      <w:r w:rsidRPr="00E90438">
        <w:rPr>
          <w:b/>
        </w:rPr>
        <w:t>Sections II</w:t>
      </w:r>
      <w:r>
        <w:t xml:space="preserve">, </w:t>
      </w:r>
      <w:r w:rsidRPr="00E90438">
        <w:rPr>
          <w:b/>
        </w:rPr>
        <w:t>III</w:t>
      </w:r>
      <w:r>
        <w:t xml:space="preserve">, and </w:t>
      </w:r>
      <w:r w:rsidR="007B11D4" w:rsidRPr="007B11D4">
        <w:rPr>
          <w:b/>
        </w:rPr>
        <w:t>I</w:t>
      </w:r>
      <w:r w:rsidRPr="00E90438">
        <w:rPr>
          <w:b/>
        </w:rPr>
        <w:t>V</w:t>
      </w:r>
      <w:r>
        <w:t xml:space="preserve">), </w:t>
      </w:r>
      <w:r w:rsidR="007B11D4">
        <w:t>and</w:t>
      </w:r>
      <w:r>
        <w:t xml:space="preserve"> includes a brief description of the work of the Subcommittee (</w:t>
      </w:r>
      <w:r>
        <w:rPr>
          <w:b/>
        </w:rPr>
        <w:t>S</w:t>
      </w:r>
      <w:r w:rsidR="007B11D4">
        <w:rPr>
          <w:b/>
        </w:rPr>
        <w:t xml:space="preserve">ection </w:t>
      </w:r>
      <w:r w:rsidRPr="00E90438">
        <w:rPr>
          <w:b/>
        </w:rPr>
        <w:t>V</w:t>
      </w:r>
      <w:r>
        <w:t>).</w:t>
      </w:r>
    </w:p>
    <w:p w14:paraId="5C9CCB6D" w14:textId="77777777" w:rsidR="00935837" w:rsidRDefault="00935837" w:rsidP="00E81F43">
      <w:pPr>
        <w:pStyle w:val="Heading2"/>
        <w:keepNext w:val="0"/>
        <w:keepLines w:val="0"/>
        <w:spacing w:before="0" w:after="200"/>
      </w:pPr>
      <w:bookmarkStart w:id="39" w:name="_Toc5362564"/>
      <w:r w:rsidRPr="00935837">
        <w:t xml:space="preserve">II. </w:t>
      </w:r>
      <w:r w:rsidR="00EC2A0B">
        <w:t xml:space="preserve">Quality Alignment Taskforce </w:t>
      </w:r>
      <w:r w:rsidRPr="00935837">
        <w:t>Measure Selection Process</w:t>
      </w:r>
      <w:bookmarkEnd w:id="39"/>
    </w:p>
    <w:p w14:paraId="06350B4A" w14:textId="440DB169" w:rsidR="00FD6D7B" w:rsidRDefault="001967C3" w:rsidP="00E81F43">
      <w:pPr>
        <w:spacing w:after="200"/>
      </w:pPr>
      <w:r>
        <w:t xml:space="preserve">The Taskforce </w:t>
      </w:r>
      <w:r w:rsidR="00BD0AE6">
        <w:t>adopted</w:t>
      </w:r>
      <w:r w:rsidR="00935837">
        <w:t xml:space="preserve"> several </w:t>
      </w:r>
      <w:r w:rsidR="00A27CF2">
        <w:t xml:space="preserve">parameters </w:t>
      </w:r>
      <w:r w:rsidR="00935837">
        <w:t xml:space="preserve">to help inform its initial measure review process.  </w:t>
      </w:r>
      <w:r w:rsidR="00A27CF2">
        <w:t>First, i</w:t>
      </w:r>
      <w:r w:rsidR="00935837">
        <w:t>t focus</w:t>
      </w:r>
      <w:r w:rsidR="003E7493">
        <w:t>ed</w:t>
      </w:r>
      <w:r w:rsidR="00935837">
        <w:t xml:space="preserve"> on measures for both adult </w:t>
      </w:r>
      <w:r w:rsidR="00E90438">
        <w:t xml:space="preserve">(non-elderly) </w:t>
      </w:r>
      <w:r w:rsidR="00935837">
        <w:t>and pediatric population</w:t>
      </w:r>
      <w:r w:rsidR="00E90438">
        <w:t>s</w:t>
      </w:r>
      <w:r w:rsidR="00935837">
        <w:t>.  The</w:t>
      </w:r>
      <w:r w:rsidR="00A27CF2">
        <w:t xml:space="preserve">n, </w:t>
      </w:r>
      <w:r w:rsidR="003E7493">
        <w:t>it</w:t>
      </w:r>
      <w:r w:rsidR="00935837">
        <w:t xml:space="preserve"> </w:t>
      </w:r>
      <w:r w:rsidR="00FD6D7B">
        <w:t>selected 16 performance measure domains</w:t>
      </w:r>
      <w:r w:rsidR="003E7493">
        <w:rPr>
          <w:rStyle w:val="FootnoteReference"/>
        </w:rPr>
        <w:footnoteReference w:id="18"/>
      </w:r>
      <w:r w:rsidR="003E7493">
        <w:t xml:space="preserve">; each domain </w:t>
      </w:r>
      <w:r w:rsidR="00E90438">
        <w:t>identifie</w:t>
      </w:r>
      <w:r w:rsidR="003E7493">
        <w:t>s</w:t>
      </w:r>
      <w:r w:rsidR="00E90438">
        <w:t xml:space="preserve"> </w:t>
      </w:r>
      <w:r w:rsidR="003E7493">
        <w:t xml:space="preserve">an important area of </w:t>
      </w:r>
      <w:r w:rsidR="00B64363">
        <w:t>focus for the overall measure set</w:t>
      </w:r>
      <w:r w:rsidR="00FD6D7B">
        <w:t xml:space="preserve">.  </w:t>
      </w:r>
      <w:r w:rsidR="00907D94">
        <w:t>T</w:t>
      </w:r>
      <w:r w:rsidR="00FD6D7B">
        <w:t xml:space="preserve">he Taskforce deferred </w:t>
      </w:r>
      <w:r w:rsidR="009C353D">
        <w:t xml:space="preserve">consideration and </w:t>
      </w:r>
      <w:r w:rsidR="00FD6D7B">
        <w:t xml:space="preserve">adoption of Inpatient Care measures until </w:t>
      </w:r>
      <w:r w:rsidR="007C50AC">
        <w:t>its second year of work</w:t>
      </w:r>
      <w:r w:rsidR="00FD6D7B">
        <w:t xml:space="preserve">. </w:t>
      </w:r>
      <w:r w:rsidR="00D9456B">
        <w:t xml:space="preserve"> </w:t>
      </w:r>
      <w:r w:rsidR="00FD6D7B">
        <w:t>The 16 performance measu</w:t>
      </w:r>
      <w:r w:rsidR="00A27CF2">
        <w:t xml:space="preserve">re domains can be found in </w:t>
      </w:r>
      <w:r w:rsidR="00A27CF2" w:rsidRPr="00BD0AE6">
        <w:rPr>
          <w:b/>
        </w:rPr>
        <w:t>Table 2</w:t>
      </w:r>
      <w:r w:rsidR="00A27CF2">
        <w:t>.</w:t>
      </w:r>
    </w:p>
    <w:p w14:paraId="36E1B2B8" w14:textId="77777777" w:rsidR="00FD6D7B" w:rsidRDefault="00FD6D7B" w:rsidP="004E44A9">
      <w:pPr>
        <w:pStyle w:val="Heading5"/>
        <w:keepNext w:val="0"/>
        <w:keepLines w:val="0"/>
        <w:spacing w:before="0" w:after="200"/>
      </w:pPr>
      <w:r w:rsidRPr="00935837">
        <w:rPr>
          <w:b/>
        </w:rPr>
        <w:t xml:space="preserve">Table </w:t>
      </w:r>
      <w:r w:rsidR="00A27CF2">
        <w:rPr>
          <w:b/>
        </w:rPr>
        <w:t>2</w:t>
      </w:r>
      <w:r w:rsidRPr="00935837">
        <w:rPr>
          <w:b/>
        </w:rPr>
        <w:t xml:space="preserve">:  </w:t>
      </w:r>
      <w:r>
        <w:rPr>
          <w:b/>
        </w:rPr>
        <w:t>Performance Measure Domains</w:t>
      </w:r>
      <w:r w:rsidR="0082733F">
        <w:rPr>
          <w:rStyle w:val="FootnoteReference"/>
          <w:b/>
        </w:rPr>
        <w:footnoteReference w:id="19"/>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788"/>
        <w:gridCol w:w="4788"/>
      </w:tblGrid>
      <w:tr w:rsidR="00B20244" w14:paraId="490B6407" w14:textId="77777777" w:rsidTr="00AA1452">
        <w:trPr>
          <w:trHeight w:val="2304"/>
          <w:jc w:val="center"/>
        </w:trPr>
        <w:tc>
          <w:tcPr>
            <w:tcW w:w="4788" w:type="dxa"/>
            <w:vAlign w:val="center"/>
          </w:tcPr>
          <w:p w14:paraId="7B5DED32" w14:textId="77777777" w:rsidR="00FD6D7B" w:rsidRPr="00B76572" w:rsidRDefault="00FD6D7B" w:rsidP="00F628AA">
            <w:pPr>
              <w:pStyle w:val="ListParagraph"/>
              <w:numPr>
                <w:ilvl w:val="0"/>
                <w:numId w:val="3"/>
              </w:numPr>
            </w:pPr>
            <w:r w:rsidRPr="00B76572">
              <w:t>Preventive Care</w:t>
            </w:r>
          </w:p>
          <w:p w14:paraId="5D6191AC" w14:textId="77777777" w:rsidR="00FD6D7B" w:rsidRPr="00B76572" w:rsidRDefault="00FD6D7B" w:rsidP="00F628AA">
            <w:pPr>
              <w:pStyle w:val="ListParagraph"/>
              <w:numPr>
                <w:ilvl w:val="0"/>
                <w:numId w:val="3"/>
              </w:numPr>
            </w:pPr>
            <w:r w:rsidRPr="00B76572">
              <w:t>Behavioral Health</w:t>
            </w:r>
          </w:p>
          <w:p w14:paraId="031E4CBA" w14:textId="77777777" w:rsidR="00FD6D7B" w:rsidRPr="00B76572" w:rsidRDefault="00FD6D7B" w:rsidP="00F628AA">
            <w:pPr>
              <w:pStyle w:val="ListParagraph"/>
              <w:numPr>
                <w:ilvl w:val="0"/>
                <w:numId w:val="3"/>
              </w:numPr>
            </w:pPr>
            <w:r w:rsidRPr="00B76572">
              <w:t>Opioid Prescribing and Treatment</w:t>
            </w:r>
          </w:p>
          <w:p w14:paraId="3C723BDC" w14:textId="77777777" w:rsidR="00C630D2" w:rsidRPr="00B76572" w:rsidRDefault="00C630D2" w:rsidP="00C630D2">
            <w:pPr>
              <w:pStyle w:val="ListParagraph"/>
              <w:numPr>
                <w:ilvl w:val="0"/>
                <w:numId w:val="3"/>
              </w:numPr>
            </w:pPr>
            <w:r w:rsidRPr="00B76572">
              <w:t>Acute Care</w:t>
            </w:r>
          </w:p>
          <w:p w14:paraId="056F3AEC" w14:textId="77777777" w:rsidR="00FD6D7B" w:rsidRPr="00B76572" w:rsidRDefault="00FD6D7B" w:rsidP="00F628AA">
            <w:pPr>
              <w:pStyle w:val="ListParagraph"/>
              <w:numPr>
                <w:ilvl w:val="0"/>
                <w:numId w:val="3"/>
              </w:numPr>
            </w:pPr>
            <w:r w:rsidRPr="00B76572">
              <w:t>Maternity Care</w:t>
            </w:r>
            <w:r>
              <w:rPr>
                <w:rStyle w:val="FootnoteReference"/>
              </w:rPr>
              <w:footnoteReference w:id="20"/>
            </w:r>
          </w:p>
          <w:p w14:paraId="477991CE" w14:textId="77777777" w:rsidR="00FD6D7B" w:rsidRPr="00B76572" w:rsidRDefault="00FD6D7B" w:rsidP="00F628AA">
            <w:pPr>
              <w:pStyle w:val="ListParagraph"/>
              <w:numPr>
                <w:ilvl w:val="0"/>
                <w:numId w:val="3"/>
              </w:numPr>
            </w:pPr>
            <w:r w:rsidRPr="00B76572">
              <w:t>Chronic Illness Care</w:t>
            </w:r>
          </w:p>
          <w:p w14:paraId="1DDB6407" w14:textId="77777777" w:rsidR="00FD6D7B" w:rsidRPr="00B76572" w:rsidRDefault="00FD6D7B" w:rsidP="00F628AA">
            <w:pPr>
              <w:pStyle w:val="ListParagraph"/>
              <w:numPr>
                <w:ilvl w:val="0"/>
                <w:numId w:val="3"/>
              </w:numPr>
            </w:pPr>
            <w:r w:rsidRPr="00B76572">
              <w:t>Equity</w:t>
            </w:r>
          </w:p>
          <w:p w14:paraId="0499325E" w14:textId="77777777" w:rsidR="00FD6D7B" w:rsidRDefault="00FD6D7B" w:rsidP="00F628AA">
            <w:pPr>
              <w:pStyle w:val="ListParagraph"/>
              <w:numPr>
                <w:ilvl w:val="0"/>
                <w:numId w:val="3"/>
              </w:numPr>
            </w:pPr>
            <w:r w:rsidRPr="00B76572">
              <w:t xml:space="preserve">Social Determinants of Health </w:t>
            </w:r>
          </w:p>
        </w:tc>
        <w:tc>
          <w:tcPr>
            <w:tcW w:w="4788" w:type="dxa"/>
            <w:vAlign w:val="center"/>
          </w:tcPr>
          <w:p w14:paraId="042E011E" w14:textId="77777777" w:rsidR="00FD6D7B" w:rsidRDefault="00FD6D7B" w:rsidP="00F628AA">
            <w:pPr>
              <w:pStyle w:val="ListParagraph"/>
              <w:numPr>
                <w:ilvl w:val="0"/>
                <w:numId w:val="3"/>
              </w:numPr>
            </w:pPr>
            <w:r w:rsidRPr="00B76572">
              <w:t>Health Behaviors</w:t>
            </w:r>
          </w:p>
          <w:p w14:paraId="73ED7B84" w14:textId="77777777" w:rsidR="00FD6D7B" w:rsidRPr="00B76572" w:rsidRDefault="00FD6D7B" w:rsidP="00F628AA">
            <w:pPr>
              <w:pStyle w:val="ListParagraph"/>
              <w:numPr>
                <w:ilvl w:val="0"/>
                <w:numId w:val="3"/>
              </w:numPr>
            </w:pPr>
            <w:r w:rsidRPr="00B76572">
              <w:t>Patient Experience</w:t>
            </w:r>
          </w:p>
          <w:p w14:paraId="78A869D1" w14:textId="77777777" w:rsidR="00FD6D7B" w:rsidRPr="00B76572" w:rsidRDefault="00FD6D7B" w:rsidP="00F628AA">
            <w:pPr>
              <w:pStyle w:val="ListParagraph"/>
              <w:numPr>
                <w:ilvl w:val="0"/>
                <w:numId w:val="3"/>
              </w:numPr>
            </w:pPr>
            <w:r w:rsidRPr="00B76572">
              <w:t>Care Coordination</w:t>
            </w:r>
          </w:p>
          <w:p w14:paraId="6FF0624C" w14:textId="77777777" w:rsidR="00FD6D7B" w:rsidRPr="00B76572" w:rsidRDefault="00FD6D7B" w:rsidP="00F628AA">
            <w:pPr>
              <w:pStyle w:val="ListParagraph"/>
              <w:numPr>
                <w:ilvl w:val="0"/>
                <w:numId w:val="3"/>
              </w:numPr>
            </w:pPr>
            <w:r w:rsidRPr="00B76572">
              <w:t>Integration</w:t>
            </w:r>
          </w:p>
          <w:p w14:paraId="73F7E2AF" w14:textId="77777777" w:rsidR="00FD6D7B" w:rsidRPr="00B76572" w:rsidRDefault="00FD6D7B" w:rsidP="00F628AA">
            <w:pPr>
              <w:pStyle w:val="ListParagraph"/>
              <w:numPr>
                <w:ilvl w:val="0"/>
                <w:numId w:val="3"/>
              </w:numPr>
            </w:pPr>
            <w:r w:rsidRPr="00B76572">
              <w:t>Patient/Provider Communication</w:t>
            </w:r>
          </w:p>
          <w:p w14:paraId="07C05521" w14:textId="77777777" w:rsidR="00FD6D7B" w:rsidRPr="00B76572" w:rsidRDefault="00FD6D7B" w:rsidP="00F628AA">
            <w:pPr>
              <w:pStyle w:val="ListParagraph"/>
              <w:numPr>
                <w:ilvl w:val="0"/>
                <w:numId w:val="3"/>
              </w:numPr>
            </w:pPr>
            <w:r w:rsidRPr="00B76572">
              <w:t>Patient Engagement</w:t>
            </w:r>
          </w:p>
          <w:p w14:paraId="788E88B5" w14:textId="77777777" w:rsidR="00D9456B" w:rsidRDefault="00FD6D7B" w:rsidP="00F628AA">
            <w:pPr>
              <w:pStyle w:val="ListParagraph"/>
              <w:numPr>
                <w:ilvl w:val="0"/>
                <w:numId w:val="3"/>
              </w:numPr>
            </w:pPr>
            <w:r w:rsidRPr="00B76572">
              <w:t>Team-based Care</w:t>
            </w:r>
          </w:p>
          <w:p w14:paraId="0F1F9107" w14:textId="77777777" w:rsidR="00FD6D7B" w:rsidRPr="00B76572" w:rsidRDefault="00FD6D7B" w:rsidP="00F628AA">
            <w:pPr>
              <w:pStyle w:val="ListParagraph"/>
              <w:numPr>
                <w:ilvl w:val="0"/>
                <w:numId w:val="3"/>
              </w:numPr>
            </w:pPr>
            <w:r w:rsidRPr="00B76572">
              <w:t>Relationship-centered Care</w:t>
            </w:r>
          </w:p>
        </w:tc>
      </w:tr>
    </w:tbl>
    <w:p w14:paraId="55093A02" w14:textId="77777777" w:rsidR="00FD6D7B" w:rsidRPr="004E44A9" w:rsidRDefault="00FD6D7B" w:rsidP="00935837">
      <w:pPr>
        <w:ind w:firstLine="720"/>
      </w:pPr>
    </w:p>
    <w:p w14:paraId="5E0333EB" w14:textId="31AC3D3C" w:rsidR="00D9456B" w:rsidRDefault="00D9456B" w:rsidP="00E81F43">
      <w:pPr>
        <w:spacing w:after="200"/>
      </w:pPr>
      <w:r>
        <w:t xml:space="preserve">Because one of the Taskforce’s primary objectives was to facilitate </w:t>
      </w:r>
      <w:r w:rsidR="002240EF">
        <w:t xml:space="preserve">measure </w:t>
      </w:r>
      <w:r>
        <w:t xml:space="preserve">alignment across </w:t>
      </w:r>
      <w:r w:rsidR="00C378A6">
        <w:t xml:space="preserve">payer </w:t>
      </w:r>
      <w:r w:rsidR="005C5648">
        <w:t xml:space="preserve">global budget-based risk </w:t>
      </w:r>
      <w:r w:rsidR="002240EF">
        <w:t>contracts</w:t>
      </w:r>
      <w:r w:rsidR="00090B47">
        <w:rPr>
          <w:rStyle w:val="FootnoteReference"/>
        </w:rPr>
        <w:footnoteReference w:id="21"/>
      </w:r>
      <w:r>
        <w:t xml:space="preserve">, </w:t>
      </w:r>
      <w:r w:rsidR="00A27CF2">
        <w:t>the Taskforce</w:t>
      </w:r>
      <w:r>
        <w:t xml:space="preserve"> limited its initial review of candidate measures by </w:t>
      </w:r>
      <w:r w:rsidR="00E90438">
        <w:t>drawing on measures from 12 measure sets</w:t>
      </w:r>
      <w:r>
        <w:t xml:space="preserve">.  </w:t>
      </w:r>
      <w:r w:rsidR="00E332AC">
        <w:t>These included</w:t>
      </w:r>
      <w:r>
        <w:t xml:space="preserve"> three measure sets that were currently in use in </w:t>
      </w:r>
      <w:r w:rsidR="00F21858">
        <w:t>by the state’s three largest insurers in their</w:t>
      </w:r>
      <w:r w:rsidR="00A27CF2" w:rsidRPr="00A27CF2">
        <w:t xml:space="preserve"> </w:t>
      </w:r>
      <w:r w:rsidR="005C5648">
        <w:t>global budget-based risk</w:t>
      </w:r>
      <w:r w:rsidR="005C5648" w:rsidDel="00446B08">
        <w:t xml:space="preserve"> </w:t>
      </w:r>
      <w:r w:rsidRPr="00A27CF2">
        <w:t xml:space="preserve">contracts, three local and state measure sets, and six national measure sets.  </w:t>
      </w:r>
      <w:r w:rsidRPr="00BD0AE6">
        <w:rPr>
          <w:b/>
        </w:rPr>
        <w:t>Table</w:t>
      </w:r>
      <w:r w:rsidR="00A27CF2" w:rsidRPr="00BD0AE6">
        <w:rPr>
          <w:b/>
        </w:rPr>
        <w:t xml:space="preserve"> 3</w:t>
      </w:r>
      <w:r w:rsidR="00A27CF2" w:rsidRPr="00A27CF2">
        <w:t xml:space="preserve"> s</w:t>
      </w:r>
      <w:r w:rsidRPr="00A27CF2">
        <w:t>u</w:t>
      </w:r>
      <w:r>
        <w:t xml:space="preserve">mmarizes the 12 measure sets </w:t>
      </w:r>
      <w:r w:rsidR="00DB763D">
        <w:t xml:space="preserve">from which </w:t>
      </w:r>
      <w:r w:rsidR="000457C9">
        <w:t>the Taskforce drew the initial measures for consideration</w:t>
      </w:r>
      <w:r w:rsidR="00A30F59">
        <w:t>.</w:t>
      </w:r>
    </w:p>
    <w:p w14:paraId="3BEBAC5E" w14:textId="77777777" w:rsidR="00D9456B" w:rsidRDefault="00D9456B" w:rsidP="004E44A9">
      <w:pPr>
        <w:pStyle w:val="Heading5"/>
        <w:keepNext w:val="0"/>
        <w:keepLines w:val="0"/>
        <w:spacing w:before="0" w:after="200"/>
      </w:pPr>
      <w:r w:rsidRPr="00935837">
        <w:rPr>
          <w:b/>
        </w:rPr>
        <w:t xml:space="preserve">Table </w:t>
      </w:r>
      <w:r w:rsidR="00A27CF2">
        <w:rPr>
          <w:b/>
        </w:rPr>
        <w:t>3</w:t>
      </w:r>
      <w:r w:rsidRPr="00935837">
        <w:rPr>
          <w:b/>
        </w:rPr>
        <w:t xml:space="preserve">:  </w:t>
      </w:r>
      <w:r>
        <w:rPr>
          <w:b/>
        </w:rPr>
        <w:t>Measure Sets of Interest</w:t>
      </w:r>
    </w:p>
    <w:tbl>
      <w:tblPr>
        <w:tblStyle w:val="TableGrid"/>
        <w:tblW w:w="0" w:type="auto"/>
        <w:jc w:val="center"/>
        <w:tblLook w:val="04A0" w:firstRow="1" w:lastRow="0" w:firstColumn="1" w:lastColumn="0" w:noHBand="0" w:noVBand="1"/>
      </w:tblPr>
      <w:tblGrid>
        <w:gridCol w:w="8388"/>
      </w:tblGrid>
      <w:tr w:rsidR="00635F8C" w:rsidRPr="00935837" w14:paraId="4F7631DC" w14:textId="77777777" w:rsidTr="00742035">
        <w:trPr>
          <w:jc w:val="center"/>
        </w:trPr>
        <w:tc>
          <w:tcPr>
            <w:tcW w:w="8388" w:type="dxa"/>
            <w:shd w:val="clear" w:color="auto" w:fill="002060"/>
            <w:vAlign w:val="center"/>
          </w:tcPr>
          <w:p w14:paraId="5B405E80" w14:textId="59FE9902" w:rsidR="00D9456B" w:rsidRPr="00935837" w:rsidRDefault="00D9456B" w:rsidP="00742035">
            <w:pPr>
              <w:rPr>
                <w:b/>
              </w:rPr>
            </w:pPr>
            <w:r w:rsidRPr="00D9456B">
              <w:rPr>
                <w:b/>
              </w:rPr>
              <w:t xml:space="preserve">Measures currently in use in </w:t>
            </w:r>
            <w:r w:rsidR="005C5648" w:rsidRPr="004D1FEB">
              <w:rPr>
                <w:b/>
              </w:rPr>
              <w:t>global budget-based risk</w:t>
            </w:r>
            <w:r w:rsidR="00E0024B" w:rsidRPr="00D9456B">
              <w:rPr>
                <w:b/>
              </w:rPr>
              <w:t xml:space="preserve"> </w:t>
            </w:r>
            <w:r w:rsidRPr="00D9456B">
              <w:rPr>
                <w:b/>
              </w:rPr>
              <w:t>contracts by providers and payers</w:t>
            </w:r>
          </w:p>
        </w:tc>
      </w:tr>
      <w:tr w:rsidR="00D9456B" w14:paraId="625CAF24" w14:textId="77777777" w:rsidTr="00AA1452">
        <w:trPr>
          <w:jc w:val="center"/>
        </w:trPr>
        <w:tc>
          <w:tcPr>
            <w:tcW w:w="8388" w:type="dxa"/>
            <w:vAlign w:val="center"/>
          </w:tcPr>
          <w:p w14:paraId="0463AB34" w14:textId="77777777" w:rsidR="00D9456B" w:rsidRDefault="00D9456B" w:rsidP="00F628AA">
            <w:pPr>
              <w:pStyle w:val="ListParagraph"/>
              <w:numPr>
                <w:ilvl w:val="0"/>
                <w:numId w:val="4"/>
              </w:numPr>
            </w:pPr>
            <w:r>
              <w:t>Harvard Pilgrim Health Care (2017)</w:t>
            </w:r>
          </w:p>
          <w:p w14:paraId="7EAB9B0A" w14:textId="77777777" w:rsidR="00D9456B" w:rsidRDefault="00D9456B" w:rsidP="00F628AA">
            <w:pPr>
              <w:pStyle w:val="ListParagraph"/>
              <w:numPr>
                <w:ilvl w:val="0"/>
                <w:numId w:val="4"/>
              </w:numPr>
            </w:pPr>
            <w:r>
              <w:t>Blue Cross Blue Shield of MA (2017)</w:t>
            </w:r>
          </w:p>
          <w:p w14:paraId="1867D4D5" w14:textId="77777777" w:rsidR="00D9456B" w:rsidRDefault="00D9456B" w:rsidP="00F628AA">
            <w:pPr>
              <w:pStyle w:val="ListParagraph"/>
              <w:numPr>
                <w:ilvl w:val="0"/>
                <w:numId w:val="4"/>
              </w:numPr>
            </w:pPr>
            <w:r>
              <w:t>Tufts Health Plan (2017)</w:t>
            </w:r>
          </w:p>
        </w:tc>
      </w:tr>
      <w:tr w:rsidR="00635F8C" w:rsidRPr="00935837" w14:paraId="624CEFE4" w14:textId="77777777" w:rsidTr="00BD0AE6">
        <w:trPr>
          <w:jc w:val="center"/>
        </w:trPr>
        <w:tc>
          <w:tcPr>
            <w:tcW w:w="8388" w:type="dxa"/>
            <w:shd w:val="clear" w:color="auto" w:fill="002060"/>
            <w:vAlign w:val="center"/>
          </w:tcPr>
          <w:p w14:paraId="18B7E806" w14:textId="77777777" w:rsidR="00BD0AE6" w:rsidRPr="00935837" w:rsidRDefault="00BD0AE6" w:rsidP="00BD0AE6">
            <w:pPr>
              <w:rPr>
                <w:b/>
              </w:rPr>
            </w:pPr>
            <w:r w:rsidRPr="00D9456B">
              <w:rPr>
                <w:b/>
              </w:rPr>
              <w:t>Measures found in local and state measure sets</w:t>
            </w:r>
          </w:p>
        </w:tc>
      </w:tr>
      <w:tr w:rsidR="00BD0AE6" w14:paraId="0442F8F8" w14:textId="77777777" w:rsidTr="00AA1452">
        <w:trPr>
          <w:jc w:val="center"/>
        </w:trPr>
        <w:tc>
          <w:tcPr>
            <w:tcW w:w="8388" w:type="dxa"/>
            <w:vAlign w:val="center"/>
          </w:tcPr>
          <w:p w14:paraId="3C9BE322" w14:textId="77777777" w:rsidR="00BD0AE6" w:rsidRDefault="00BD0AE6" w:rsidP="00F628AA">
            <w:pPr>
              <w:pStyle w:val="ListParagraph"/>
              <w:numPr>
                <w:ilvl w:val="0"/>
                <w:numId w:val="4"/>
              </w:numPr>
            </w:pPr>
            <w:r>
              <w:t>Boston Public Health Commission (2016)</w:t>
            </w:r>
          </w:p>
          <w:p w14:paraId="43655902" w14:textId="77777777" w:rsidR="00BD0AE6" w:rsidRDefault="00BD0AE6" w:rsidP="00F628AA">
            <w:pPr>
              <w:pStyle w:val="ListParagraph"/>
              <w:numPr>
                <w:ilvl w:val="0"/>
                <w:numId w:val="4"/>
              </w:numPr>
            </w:pPr>
            <w:r>
              <w:t xml:space="preserve">MassHealth Delivery System Reform Incentive Payment (DSRIP) ACO Measure Set – </w:t>
            </w:r>
            <w:r w:rsidRPr="00A2652C">
              <w:rPr>
                <w:i/>
              </w:rPr>
              <w:t>payment measures only</w:t>
            </w:r>
            <w:r>
              <w:t xml:space="preserve"> (2017)</w:t>
            </w:r>
          </w:p>
          <w:p w14:paraId="22146A69" w14:textId="77777777" w:rsidR="00BD0AE6" w:rsidRDefault="00BD0AE6" w:rsidP="00F628AA">
            <w:pPr>
              <w:pStyle w:val="ListParagraph"/>
              <w:numPr>
                <w:ilvl w:val="0"/>
                <w:numId w:val="4"/>
              </w:numPr>
            </w:pPr>
            <w:r>
              <w:t>Massachusetts Standard Quality Measure Set (2017)</w:t>
            </w:r>
          </w:p>
        </w:tc>
      </w:tr>
      <w:tr w:rsidR="00635F8C" w14:paraId="325C2F00" w14:textId="77777777" w:rsidTr="00BD0AE6">
        <w:trPr>
          <w:jc w:val="center"/>
        </w:trPr>
        <w:tc>
          <w:tcPr>
            <w:tcW w:w="8388" w:type="dxa"/>
            <w:shd w:val="clear" w:color="auto" w:fill="002060"/>
            <w:vAlign w:val="center"/>
          </w:tcPr>
          <w:p w14:paraId="1855E5C3" w14:textId="77777777" w:rsidR="00BD0AE6" w:rsidRPr="00372A9F" w:rsidRDefault="00BD0AE6" w:rsidP="00BD0AE6">
            <w:pPr>
              <w:rPr>
                <w:b/>
              </w:rPr>
            </w:pPr>
            <w:r w:rsidRPr="00372A9F">
              <w:rPr>
                <w:b/>
              </w:rPr>
              <w:t>Measures found in national measure sets</w:t>
            </w:r>
          </w:p>
        </w:tc>
      </w:tr>
      <w:tr w:rsidR="00BD0AE6" w14:paraId="3C7DFDE7" w14:textId="77777777" w:rsidTr="00AA1452">
        <w:trPr>
          <w:jc w:val="center"/>
        </w:trPr>
        <w:tc>
          <w:tcPr>
            <w:tcW w:w="8388" w:type="dxa"/>
            <w:vAlign w:val="center"/>
          </w:tcPr>
          <w:p w14:paraId="1583DF94" w14:textId="77777777" w:rsidR="00BD0AE6" w:rsidRDefault="00BD0AE6" w:rsidP="00F628AA">
            <w:pPr>
              <w:pStyle w:val="ListParagraph"/>
              <w:numPr>
                <w:ilvl w:val="0"/>
                <w:numId w:val="5"/>
              </w:numPr>
            </w:pPr>
            <w:r>
              <w:t>CMS/AHIP Core Quality Measure</w:t>
            </w:r>
            <w:r w:rsidR="00A30F59">
              <w:t>s Collaborative (February 2016)</w:t>
            </w:r>
          </w:p>
          <w:p w14:paraId="7F24FCAA" w14:textId="77777777" w:rsidR="00BD0AE6" w:rsidRDefault="00BD0AE6" w:rsidP="00F628AA">
            <w:pPr>
              <w:pStyle w:val="ListParagraph"/>
              <w:numPr>
                <w:ilvl w:val="0"/>
                <w:numId w:val="5"/>
              </w:numPr>
            </w:pPr>
            <w:r>
              <w:t>CMS Medicaid Child Core Set (2017)</w:t>
            </w:r>
          </w:p>
          <w:p w14:paraId="48FE0609" w14:textId="77777777" w:rsidR="00BD0AE6" w:rsidRDefault="00BD0AE6" w:rsidP="00F628AA">
            <w:pPr>
              <w:pStyle w:val="ListParagraph"/>
              <w:numPr>
                <w:ilvl w:val="0"/>
                <w:numId w:val="5"/>
              </w:numPr>
            </w:pPr>
            <w:r>
              <w:t>CMS Medicaid Adult Core Set (2017)</w:t>
            </w:r>
          </w:p>
          <w:p w14:paraId="543A5FE9" w14:textId="77777777" w:rsidR="00BD0AE6" w:rsidRDefault="00BD0AE6" w:rsidP="00F628AA">
            <w:pPr>
              <w:pStyle w:val="ListParagraph"/>
              <w:numPr>
                <w:ilvl w:val="0"/>
                <w:numId w:val="5"/>
              </w:numPr>
            </w:pPr>
            <w:r>
              <w:t>CMS Medicare Part C &amp; D Star Ratings Measures (2017)</w:t>
            </w:r>
          </w:p>
          <w:p w14:paraId="5E7E42E9" w14:textId="77777777" w:rsidR="00BD0AE6" w:rsidRDefault="00BD0AE6" w:rsidP="00F628AA">
            <w:pPr>
              <w:pStyle w:val="ListParagraph"/>
              <w:numPr>
                <w:ilvl w:val="0"/>
                <w:numId w:val="5"/>
              </w:numPr>
            </w:pPr>
            <w:r>
              <w:t>CMS Merit-based Incentive Payment System (2017)</w:t>
            </w:r>
          </w:p>
          <w:p w14:paraId="2CD9D99C" w14:textId="77777777" w:rsidR="00BD0AE6" w:rsidRDefault="00BD0AE6" w:rsidP="00F628AA">
            <w:pPr>
              <w:pStyle w:val="ListParagraph"/>
              <w:numPr>
                <w:ilvl w:val="0"/>
                <w:numId w:val="5"/>
              </w:numPr>
            </w:pPr>
            <w:r>
              <w:t>NCQA Health Plan Ranking (2017)</w:t>
            </w:r>
          </w:p>
        </w:tc>
      </w:tr>
    </w:tbl>
    <w:p w14:paraId="488264A7" w14:textId="77777777" w:rsidR="004E44A9" w:rsidRDefault="004E44A9" w:rsidP="00D9456B">
      <w:pPr>
        <w:rPr>
          <w:color w:val="FF0000"/>
        </w:rPr>
      </w:pPr>
    </w:p>
    <w:p w14:paraId="4D5C3D6C" w14:textId="1B9CA097" w:rsidR="00F61F08" w:rsidRPr="00F61F08" w:rsidRDefault="00F61F08" w:rsidP="00E81F43">
      <w:pPr>
        <w:spacing w:after="200"/>
        <w:rPr>
          <w:color w:val="FF0000"/>
        </w:rPr>
      </w:pPr>
      <w:r w:rsidRPr="00F61F08">
        <w:t>The Taskforce</w:t>
      </w:r>
      <w:r w:rsidR="00063848">
        <w:t xml:space="preserve"> </w:t>
      </w:r>
      <w:r w:rsidR="00083DEA">
        <w:t xml:space="preserve">initially </w:t>
      </w:r>
      <w:r w:rsidR="00A27CF2">
        <w:t xml:space="preserve">considered </w:t>
      </w:r>
      <w:r w:rsidRPr="00F61F08">
        <w:t>measure</w:t>
      </w:r>
      <w:r w:rsidR="00A27CF2">
        <w:t>s</w:t>
      </w:r>
      <w:r w:rsidRPr="00F61F08">
        <w:t xml:space="preserve"> </w:t>
      </w:r>
      <w:r w:rsidR="00A27CF2">
        <w:t xml:space="preserve">that addressed </w:t>
      </w:r>
      <w:r w:rsidRPr="00F61F08">
        <w:t>one of the Taskforce’s performance measure domains and</w:t>
      </w:r>
      <w:r w:rsidR="00063848">
        <w:t xml:space="preserve"> </w:t>
      </w:r>
      <w:r w:rsidR="00A27CF2">
        <w:t xml:space="preserve">were </w:t>
      </w:r>
      <w:r w:rsidRPr="00F61F08">
        <w:t>found in at least two of the 12 measure sets of intere</w:t>
      </w:r>
      <w:r w:rsidR="00A27CF2">
        <w:t>st.</w:t>
      </w:r>
      <w:r w:rsidRPr="00F61F08">
        <w:t xml:space="preserve">  The Taskforce</w:t>
      </w:r>
      <w:r w:rsidR="0073100C">
        <w:t xml:space="preserve"> </w:t>
      </w:r>
      <w:r w:rsidR="00547F6A">
        <w:t xml:space="preserve">made exceptions when none of the measure sets contained measures within one of the domains of interest </w:t>
      </w:r>
      <w:r w:rsidRPr="00F61F08">
        <w:t>(e.</w:t>
      </w:r>
      <w:r w:rsidR="00A27CF2">
        <w:t>g., Care Coordination).</w:t>
      </w:r>
      <w:r>
        <w:t xml:space="preserve">  </w:t>
      </w:r>
      <w:r w:rsidR="00121B73">
        <w:t xml:space="preserve">Because </w:t>
      </w:r>
      <w:r>
        <w:t xml:space="preserve">the Taskforce performed </w:t>
      </w:r>
      <w:r w:rsidR="00023B8F">
        <w:t xml:space="preserve">its work </w:t>
      </w:r>
      <w:r>
        <w:t>in parallel to and in coordination with MassHealth’s development of an ACO contractual measure</w:t>
      </w:r>
      <w:r w:rsidR="0075033C">
        <w:t xml:space="preserve"> set</w:t>
      </w:r>
      <w:r>
        <w:t xml:space="preserve">, the Taskforce </w:t>
      </w:r>
      <w:r w:rsidR="00A27CF2">
        <w:t xml:space="preserve">also </w:t>
      </w:r>
      <w:r>
        <w:t xml:space="preserve">gave special consideration to </w:t>
      </w:r>
      <w:r w:rsidR="00F23505">
        <w:t xml:space="preserve">all </w:t>
      </w:r>
      <w:r>
        <w:t xml:space="preserve">measures found in the MassHealth </w:t>
      </w:r>
      <w:r w:rsidR="00876B26">
        <w:t xml:space="preserve">DSRIP </w:t>
      </w:r>
      <w:r>
        <w:t>ACO Measure Set</w:t>
      </w:r>
      <w:r w:rsidR="00167EEB">
        <w:t>.</w:t>
      </w:r>
      <w:r>
        <w:t xml:space="preserve"> </w:t>
      </w:r>
      <w:r w:rsidR="00167EEB">
        <w:t xml:space="preserve"> At the </w:t>
      </w:r>
      <w:r w:rsidR="00F23505">
        <w:t>suggestion</w:t>
      </w:r>
      <w:r w:rsidR="00167EEB">
        <w:t xml:space="preserve"> of a Taskforce member, the Taskforce also </w:t>
      </w:r>
      <w:r w:rsidR="001C260B">
        <w:t xml:space="preserve">considered </w:t>
      </w:r>
      <w:r w:rsidR="007B11D4">
        <w:t>all</w:t>
      </w:r>
      <w:r w:rsidR="001C260B">
        <w:t xml:space="preserve"> measures in</w:t>
      </w:r>
      <w:r>
        <w:t xml:space="preserve"> the CQM</w:t>
      </w:r>
      <w:r w:rsidR="00EB7210">
        <w:t>C</w:t>
      </w:r>
      <w:r>
        <w:t xml:space="preserve"> Measure Set </w:t>
      </w:r>
      <w:r w:rsidR="001C260B">
        <w:t xml:space="preserve">because it was </w:t>
      </w:r>
      <w:r>
        <w:t>identified to be a robust, well-developed measure set.</w:t>
      </w:r>
    </w:p>
    <w:p w14:paraId="1FB6F9EF" w14:textId="347284A2" w:rsidR="00A27CF2" w:rsidRDefault="00640510" w:rsidP="00AE0573">
      <w:pPr>
        <w:spacing w:after="240"/>
      </w:pPr>
      <w:bookmarkStart w:id="40" w:name="_Hlk523139564"/>
      <w:r>
        <w:t xml:space="preserve">During the </w:t>
      </w:r>
      <w:r w:rsidR="00D03C53">
        <w:t xml:space="preserve">initial round </w:t>
      </w:r>
      <w:r>
        <w:t>of measures review, t</w:t>
      </w:r>
      <w:r w:rsidR="00B76572">
        <w:t xml:space="preserve">he Taskforce reviewed candidate measures by population and by domain and decided </w:t>
      </w:r>
      <w:r w:rsidR="004809FA">
        <w:t xml:space="preserve">if </w:t>
      </w:r>
      <w:r w:rsidR="00B76572">
        <w:t xml:space="preserve">it wanted to tentatively endorse each measure.  </w:t>
      </w:r>
      <w:r w:rsidR="00D03C53">
        <w:t xml:space="preserve">This initial </w:t>
      </w:r>
      <w:r w:rsidR="00E22895">
        <w:t xml:space="preserve">review </w:t>
      </w:r>
      <w:r w:rsidR="00D03C53">
        <w:t>included robust discussion about each measure, evaluation of current statewide performance and opportunity for improvement</w:t>
      </w:r>
      <w:r w:rsidR="00A27CF2">
        <w:t xml:space="preserve">, </w:t>
      </w:r>
      <w:r w:rsidR="00D03C53">
        <w:t xml:space="preserve">applicability </w:t>
      </w:r>
      <w:r w:rsidR="00A27CF2">
        <w:t xml:space="preserve">of the measure </w:t>
      </w:r>
      <w:r w:rsidR="00D03C53">
        <w:t xml:space="preserve">to multiple payers, </w:t>
      </w:r>
      <w:r w:rsidR="00D03C53">
        <w:lastRenderedPageBreak/>
        <w:t>and analysis of adequate denominator size at the individual payer and ACO level</w:t>
      </w:r>
      <w:r w:rsidR="00E22895">
        <w:t>, when possible</w:t>
      </w:r>
      <w:r w:rsidR="00A30F59">
        <w:t>.</w:t>
      </w:r>
      <w:r w:rsidR="005C5648" w:rsidRPr="005C5648">
        <w:t xml:space="preserve"> </w:t>
      </w:r>
      <w:r w:rsidR="001F08D5">
        <w:t xml:space="preserve"> </w:t>
      </w:r>
      <w:r w:rsidR="005C5648">
        <w:t>Taskforce members did not always agree on which measures to tentatively endorse due to differing opin</w:t>
      </w:r>
      <w:r w:rsidR="00763F75">
        <w:t>ions on the measure’s ability to</w:t>
      </w:r>
      <w:r w:rsidR="005C5648">
        <w:t xml:space="preserve"> meaningfully impact clinical practices and patient outcomes relative to the burden associated with reporting the measure.  The Taskforce debated the merits of such measures until members reached consensus</w:t>
      </w:r>
      <w:r w:rsidR="00763F75">
        <w:t>.</w:t>
      </w:r>
      <w:r w:rsidR="005C5648">
        <w:rPr>
          <w:rStyle w:val="FootnoteReference"/>
        </w:rPr>
        <w:footnoteReference w:id="22"/>
      </w:r>
      <w:r w:rsidR="00D20416">
        <w:t xml:space="preserve"> </w:t>
      </w:r>
      <w:bookmarkEnd w:id="40"/>
      <w:r w:rsidR="00E87DF9">
        <w:t xml:space="preserve"> </w:t>
      </w:r>
      <w:r w:rsidR="00A27CF2">
        <w:t xml:space="preserve">In the </w:t>
      </w:r>
      <w:r w:rsidR="00E22895">
        <w:t xml:space="preserve">second and </w:t>
      </w:r>
      <w:r w:rsidR="00A27CF2">
        <w:t xml:space="preserve">final round of measures review, the Taskforce </w:t>
      </w:r>
      <w:r w:rsidR="00384091">
        <w:t>formally applied</w:t>
      </w:r>
      <w:r w:rsidR="00A27CF2">
        <w:t xml:space="preserve"> nine guiding principles it previously selected to help evaluate each tentatively endorsed measure to ensure each measure aligned with the Taskforce’s priorities.  There were four principles </w:t>
      </w:r>
      <w:r w:rsidR="00023B8F">
        <w:t xml:space="preserve">the Taskforce </w:t>
      </w:r>
      <w:r w:rsidR="00A27CF2">
        <w:t xml:space="preserve">applied to individual measures, and five principles </w:t>
      </w:r>
      <w:r w:rsidR="00C80D23">
        <w:t xml:space="preserve">to </w:t>
      </w:r>
      <w:r w:rsidR="00023B8F">
        <w:t xml:space="preserve">the </w:t>
      </w:r>
      <w:r w:rsidR="00A27CF2">
        <w:t>measure set as a whole.</w:t>
      </w:r>
      <w:r w:rsidR="00CF69D3">
        <w:t xml:space="preserve">  </w:t>
      </w:r>
      <w:r w:rsidR="00CF69D3" w:rsidRPr="00BD0AE6">
        <w:rPr>
          <w:b/>
        </w:rPr>
        <w:t>Table 4</w:t>
      </w:r>
      <w:r w:rsidR="00CF69D3">
        <w:t xml:space="preserve"> b</w:t>
      </w:r>
      <w:r w:rsidR="00A27CF2">
        <w:t xml:space="preserve">elow </w:t>
      </w:r>
      <w:r w:rsidR="00C80D23">
        <w:t xml:space="preserve">lists </w:t>
      </w:r>
      <w:r w:rsidR="00A27CF2">
        <w:t xml:space="preserve">the Taskforce’s guiding principles.  </w:t>
      </w:r>
      <w:r w:rsidR="00B76572">
        <w:t xml:space="preserve">Bailit Health and </w:t>
      </w:r>
      <w:r w:rsidR="00D43595">
        <w:t xml:space="preserve">state staff </w:t>
      </w:r>
      <w:r w:rsidR="00B76572">
        <w:t>scored each of the tent</w:t>
      </w:r>
      <w:r w:rsidR="00297E54">
        <w:t xml:space="preserve">atively endorsed measures against the Taskforce’s guiding principles and presented the results to the Taskforce.  </w:t>
      </w:r>
      <w:r w:rsidR="00A27CF2" w:rsidRPr="001967C3">
        <w:t>Measures d</w:t>
      </w:r>
      <w:r w:rsidR="00A27CF2">
        <w:t>id</w:t>
      </w:r>
      <w:r w:rsidR="00A27CF2" w:rsidRPr="001967C3">
        <w:t xml:space="preserve"> not need to satisfy all of the guiding principles in order to be selected.</w:t>
      </w:r>
      <w:r w:rsidR="00A27CF2">
        <w:t xml:space="preserve">  </w:t>
      </w:r>
      <w:r w:rsidR="00547F6A">
        <w:t>During this round of measures review, the Taskforce gave final endorsement to 25 measures.</w:t>
      </w:r>
    </w:p>
    <w:p w14:paraId="499F1A45" w14:textId="77777777" w:rsidR="00A27CF2" w:rsidRDefault="00A27CF2" w:rsidP="00AE0573">
      <w:pPr>
        <w:pStyle w:val="Heading5"/>
        <w:keepNext w:val="0"/>
        <w:keepLines w:val="0"/>
        <w:spacing w:before="0" w:after="240"/>
      </w:pPr>
      <w:r w:rsidRPr="00935837">
        <w:rPr>
          <w:b/>
        </w:rPr>
        <w:t xml:space="preserve">Table </w:t>
      </w:r>
      <w:r w:rsidR="00CF69D3">
        <w:rPr>
          <w:b/>
        </w:rPr>
        <w:t>4</w:t>
      </w:r>
      <w:r w:rsidRPr="00935837">
        <w:rPr>
          <w:b/>
        </w:rPr>
        <w:t xml:space="preserve">:  </w:t>
      </w:r>
      <w:r>
        <w:rPr>
          <w:b/>
        </w:rPr>
        <w:t>Measure Set</w:t>
      </w:r>
      <w:r w:rsidRPr="00935837">
        <w:rPr>
          <w:b/>
        </w:rPr>
        <w:t xml:space="preserve"> Guiding Principles</w:t>
      </w:r>
    </w:p>
    <w:tbl>
      <w:tblPr>
        <w:tblStyle w:val="TableGrid"/>
        <w:tblW w:w="0" w:type="auto"/>
        <w:jc w:val="center"/>
        <w:tblLook w:val="04A0" w:firstRow="1" w:lastRow="0" w:firstColumn="1" w:lastColumn="0" w:noHBand="0" w:noVBand="1"/>
      </w:tblPr>
      <w:tblGrid>
        <w:gridCol w:w="8388"/>
      </w:tblGrid>
      <w:tr w:rsidR="00B20244" w:rsidRPr="00935837" w14:paraId="0C2D233A" w14:textId="77777777" w:rsidTr="000748B8">
        <w:trPr>
          <w:tblHeader/>
          <w:jc w:val="center"/>
        </w:trPr>
        <w:tc>
          <w:tcPr>
            <w:tcW w:w="8388" w:type="dxa"/>
            <w:tcBorders>
              <w:bottom w:val="single" w:sz="4" w:space="0" w:color="auto"/>
            </w:tcBorders>
            <w:shd w:val="clear" w:color="auto" w:fill="002060"/>
            <w:vAlign w:val="center"/>
          </w:tcPr>
          <w:p w14:paraId="77BF97BD" w14:textId="77777777" w:rsidR="00A27CF2" w:rsidRPr="00935837" w:rsidRDefault="00A27CF2" w:rsidP="00714A80">
            <w:pPr>
              <w:rPr>
                <w:b/>
              </w:rPr>
            </w:pPr>
            <w:r w:rsidRPr="00935837">
              <w:rPr>
                <w:b/>
              </w:rPr>
              <w:t>Principles to be applied to individual measures</w:t>
            </w:r>
          </w:p>
        </w:tc>
      </w:tr>
      <w:tr w:rsidR="00A27CF2" w14:paraId="0434BFE1" w14:textId="77777777" w:rsidTr="000748B8">
        <w:trPr>
          <w:jc w:val="center"/>
        </w:trPr>
        <w:tc>
          <w:tcPr>
            <w:tcW w:w="8388" w:type="dxa"/>
            <w:tcBorders>
              <w:bottom w:val="single" w:sz="4" w:space="0" w:color="auto"/>
            </w:tcBorders>
            <w:vAlign w:val="center"/>
          </w:tcPr>
          <w:p w14:paraId="3AAD1B66" w14:textId="77777777" w:rsidR="00A27CF2" w:rsidRDefault="00A27CF2" w:rsidP="00F628AA">
            <w:pPr>
              <w:pStyle w:val="ListParagraph"/>
              <w:numPr>
                <w:ilvl w:val="0"/>
                <w:numId w:val="1"/>
              </w:numPr>
            </w:pPr>
            <w:r>
              <w:t>Evidence-based, scientifically acceptable, nationally-endorsed and valid at the level at which it is being used (ACO-level in particular).</w:t>
            </w:r>
            <w:r>
              <w:rPr>
                <w:rStyle w:val="FootnoteReference"/>
              </w:rPr>
              <w:footnoteReference w:id="23"/>
            </w:r>
          </w:p>
          <w:p w14:paraId="21FCB604" w14:textId="77777777" w:rsidR="00A27CF2" w:rsidRDefault="00A27CF2" w:rsidP="00F628AA">
            <w:pPr>
              <w:pStyle w:val="ListParagraph"/>
              <w:numPr>
                <w:ilvl w:val="0"/>
                <w:numId w:val="1"/>
              </w:numPr>
            </w:pPr>
            <w:r>
              <w:t>Required data should be either readily available, not overly burdensome to collect, or, if burdensome, of demonstrable value for improving patient care.</w:t>
            </w:r>
          </w:p>
          <w:p w14:paraId="76DF84ED" w14:textId="77777777" w:rsidR="00A27CF2" w:rsidRDefault="00A27CF2" w:rsidP="00F628AA">
            <w:pPr>
              <w:pStyle w:val="ListParagraph"/>
              <w:numPr>
                <w:ilvl w:val="0"/>
                <w:numId w:val="1"/>
              </w:numPr>
            </w:pPr>
            <w:r>
              <w:t>Represents an opportunity for improvement</w:t>
            </w:r>
            <w:r w:rsidR="00BC765C">
              <w:t>.</w:t>
            </w:r>
          </w:p>
          <w:p w14:paraId="77FB7141" w14:textId="77777777" w:rsidR="00A27CF2" w:rsidRDefault="00A27CF2" w:rsidP="00F628AA">
            <w:pPr>
              <w:pStyle w:val="ListParagraph"/>
              <w:numPr>
                <w:ilvl w:val="0"/>
                <w:numId w:val="1"/>
              </w:numPr>
            </w:pPr>
            <w:r>
              <w:t>Is important to consumers and supports the triple aim of better care, better health and lower cost.</w:t>
            </w:r>
          </w:p>
        </w:tc>
      </w:tr>
      <w:tr w:rsidR="00635F8C" w:rsidRPr="00935837" w14:paraId="1FCD93CF" w14:textId="77777777" w:rsidTr="00AE0573">
        <w:trPr>
          <w:jc w:val="center"/>
        </w:trPr>
        <w:tc>
          <w:tcPr>
            <w:tcW w:w="8388" w:type="dxa"/>
            <w:tcBorders>
              <w:top w:val="nil"/>
            </w:tcBorders>
            <w:shd w:val="clear" w:color="auto" w:fill="002060"/>
            <w:vAlign w:val="center"/>
          </w:tcPr>
          <w:p w14:paraId="76B1D88D" w14:textId="77777777" w:rsidR="00A27CF2" w:rsidRPr="00935837" w:rsidRDefault="00A27CF2" w:rsidP="00714A80">
            <w:pPr>
              <w:rPr>
                <w:b/>
              </w:rPr>
            </w:pPr>
            <w:r w:rsidRPr="00935837">
              <w:rPr>
                <w:b/>
              </w:rPr>
              <w:t>Principles to be applied to the measure set</w:t>
            </w:r>
          </w:p>
        </w:tc>
      </w:tr>
      <w:tr w:rsidR="00A27CF2" w14:paraId="16119CFD" w14:textId="77777777" w:rsidTr="000748B8">
        <w:trPr>
          <w:jc w:val="center"/>
        </w:trPr>
        <w:tc>
          <w:tcPr>
            <w:tcW w:w="8388" w:type="dxa"/>
            <w:vAlign w:val="center"/>
          </w:tcPr>
          <w:p w14:paraId="2CAC25F8" w14:textId="77777777" w:rsidR="00A27CF2" w:rsidRDefault="00A27CF2" w:rsidP="00F628AA">
            <w:pPr>
              <w:pStyle w:val="ListParagraph"/>
              <w:numPr>
                <w:ilvl w:val="0"/>
                <w:numId w:val="2"/>
              </w:numPr>
            </w:pPr>
            <w:r>
              <w:t>Prioritize health outcomes, including measures sourced from clini</w:t>
            </w:r>
            <w:r w:rsidR="00A30F59">
              <w:t>cal and patient-reported data.</w:t>
            </w:r>
          </w:p>
          <w:p w14:paraId="633976A8" w14:textId="77777777" w:rsidR="00A27CF2" w:rsidRDefault="00A27CF2" w:rsidP="00F628AA">
            <w:pPr>
              <w:pStyle w:val="ListParagraph"/>
              <w:numPr>
                <w:ilvl w:val="0"/>
                <w:numId w:val="2"/>
              </w:numPr>
            </w:pPr>
            <w:r>
              <w:t>Provide a largely complete and holistic view of the entity being evaluated (e.g., ACO, primary care practice, hospit</w:t>
            </w:r>
            <w:r w:rsidR="00A30F59">
              <w:t>al).</w:t>
            </w:r>
          </w:p>
          <w:p w14:paraId="2E89E386" w14:textId="77777777" w:rsidR="00A27CF2" w:rsidRDefault="00A27CF2" w:rsidP="00F628AA">
            <w:pPr>
              <w:pStyle w:val="ListParagraph"/>
              <w:numPr>
                <w:ilvl w:val="0"/>
                <w:numId w:val="2"/>
              </w:numPr>
            </w:pPr>
            <w:r>
              <w:t>The measure set</w:t>
            </w:r>
            <w:r w:rsidR="00A30F59">
              <w:t xml:space="preserve"> should strive for parsimony.</w:t>
            </w:r>
          </w:p>
          <w:p w14:paraId="7AEA5302" w14:textId="77777777" w:rsidR="00A27CF2" w:rsidRDefault="00A27CF2" w:rsidP="00F628AA">
            <w:pPr>
              <w:pStyle w:val="ListParagraph"/>
              <w:numPr>
                <w:ilvl w:val="0"/>
                <w:numId w:val="2"/>
              </w:numPr>
            </w:pPr>
            <w:r>
              <w:t>Taken as a whole, high performance on the proposed measure set should significantly advance the delivery system toward the goals of safe, timely, effective, efficient, equitable, patient-centered (STEEEP) care.</w:t>
            </w:r>
          </w:p>
          <w:p w14:paraId="0A7F70EF" w14:textId="77777777" w:rsidR="00A27CF2" w:rsidRDefault="00A27CF2" w:rsidP="00F628AA">
            <w:pPr>
              <w:pStyle w:val="ListParagraph"/>
              <w:numPr>
                <w:ilvl w:val="0"/>
                <w:numId w:val="2"/>
              </w:numPr>
            </w:pPr>
            <w:r>
              <w:t>Promotes value</w:t>
            </w:r>
            <w:r>
              <w:rPr>
                <w:rStyle w:val="FootnoteReference"/>
              </w:rPr>
              <w:footnoteReference w:id="24"/>
            </w:r>
            <w:r>
              <w:t xml:space="preserve"> for consumers, purchasers, and providers.</w:t>
            </w:r>
          </w:p>
        </w:tc>
      </w:tr>
    </w:tbl>
    <w:p w14:paraId="28EB6C89" w14:textId="77777777" w:rsidR="009E21EE" w:rsidRDefault="009E21EE" w:rsidP="00E81F43">
      <w:pPr>
        <w:pStyle w:val="Heading2"/>
        <w:keepNext w:val="0"/>
        <w:keepLines w:val="0"/>
        <w:spacing w:before="0" w:after="200"/>
      </w:pPr>
    </w:p>
    <w:p w14:paraId="3CC05107" w14:textId="5B4CB5E8" w:rsidR="007557B5" w:rsidRPr="007557B5" w:rsidRDefault="007557B5" w:rsidP="00E81F43">
      <w:pPr>
        <w:pStyle w:val="Heading2"/>
        <w:keepNext w:val="0"/>
        <w:keepLines w:val="0"/>
        <w:spacing w:before="0" w:after="200"/>
      </w:pPr>
      <w:bookmarkStart w:id="42" w:name="_Toc5362565"/>
      <w:r w:rsidRPr="007557B5">
        <w:lastRenderedPageBreak/>
        <w:t>III. Quality Alignment Taskforce Results and Outcomes</w:t>
      </w:r>
      <w:bookmarkEnd w:id="42"/>
      <w:r w:rsidRPr="007557B5">
        <w:t xml:space="preserve"> </w:t>
      </w:r>
    </w:p>
    <w:p w14:paraId="38F15F72" w14:textId="77777777" w:rsidR="003961FA" w:rsidRPr="003961FA" w:rsidRDefault="003961FA" w:rsidP="00DF0175">
      <w:pPr>
        <w:pStyle w:val="Heading3"/>
        <w:numPr>
          <w:ilvl w:val="0"/>
          <w:numId w:val="13"/>
        </w:numPr>
        <w:spacing w:after="200"/>
        <w:ind w:left="360"/>
      </w:pPr>
      <w:bookmarkStart w:id="43" w:name="_Toc5362566"/>
      <w:r w:rsidRPr="003B7D21">
        <w:t>Structure of the Massachusetts Aligned Measure Set</w:t>
      </w:r>
      <w:bookmarkEnd w:id="43"/>
    </w:p>
    <w:p w14:paraId="1EE77374" w14:textId="5BD29949" w:rsidR="003B7D21" w:rsidRDefault="00AD43F1" w:rsidP="00E81F43">
      <w:pPr>
        <w:spacing w:after="200"/>
      </w:pPr>
      <w:r>
        <w:t xml:space="preserve">The Taskforce reached consensus </w:t>
      </w:r>
      <w:r w:rsidRPr="003B7D21">
        <w:t xml:space="preserve">on </w:t>
      </w:r>
      <w:r w:rsidR="003B7D21" w:rsidRPr="003B7D21">
        <w:t>six</w:t>
      </w:r>
      <w:r w:rsidR="007557B5" w:rsidRPr="003B7D21">
        <w:t xml:space="preserve"> categories </w:t>
      </w:r>
      <w:r w:rsidR="00714A80">
        <w:t xml:space="preserve">to </w:t>
      </w:r>
      <w:r w:rsidR="00A6051D">
        <w:t xml:space="preserve">define the </w:t>
      </w:r>
      <w:r w:rsidR="000B4A6D">
        <w:t xml:space="preserve">use </w:t>
      </w:r>
      <w:r w:rsidR="00DA21DE">
        <w:t xml:space="preserve">of the Taskforce’s </w:t>
      </w:r>
      <w:r w:rsidR="00A6051D">
        <w:t xml:space="preserve">measures </w:t>
      </w:r>
      <w:r w:rsidR="00BC765C">
        <w:t>that received final endorsement</w:t>
      </w:r>
      <w:r w:rsidR="007557B5" w:rsidRPr="003B7D21">
        <w:t>.</w:t>
      </w:r>
      <w:r w:rsidR="003961FA" w:rsidRPr="003B7D21">
        <w:t xml:space="preserve">  </w:t>
      </w:r>
      <w:r w:rsidR="00432F27">
        <w:t xml:space="preserve">For </w:t>
      </w:r>
      <w:r w:rsidR="005C060B">
        <w:t>p</w:t>
      </w:r>
      <w:r w:rsidR="003961FA" w:rsidRPr="003B7D21">
        <w:t xml:space="preserve">ayers </w:t>
      </w:r>
      <w:r w:rsidR="00432F27">
        <w:t>that</w:t>
      </w:r>
      <w:r w:rsidR="00A667BB">
        <w:t xml:space="preserve"> voluntarily</w:t>
      </w:r>
      <w:r w:rsidR="00432F27">
        <w:t xml:space="preserve"> choose to adopt the measures, those payers and </w:t>
      </w:r>
      <w:r w:rsidR="00A667BB">
        <w:t xml:space="preserve">their contracting </w:t>
      </w:r>
      <w:r w:rsidR="00432F27">
        <w:t xml:space="preserve">ACOs </w:t>
      </w:r>
      <w:r w:rsidR="003961FA" w:rsidRPr="003B7D21">
        <w:t xml:space="preserve">are expected to primarily select measures for use in </w:t>
      </w:r>
      <w:r w:rsidR="00CF68E5">
        <w:t>their</w:t>
      </w:r>
      <w:r w:rsidR="00CF68E5" w:rsidRPr="003B7D21">
        <w:t xml:space="preserve"> </w:t>
      </w:r>
      <w:r w:rsidR="003961FA" w:rsidRPr="003B7D21">
        <w:t xml:space="preserve">contracts from the two main categories of measures </w:t>
      </w:r>
      <w:r w:rsidR="003961FA">
        <w:t xml:space="preserve">– the Core Set and the Menu Set.  The </w:t>
      </w:r>
      <w:r w:rsidR="003961FA" w:rsidRPr="00714A80">
        <w:rPr>
          <w:b/>
        </w:rPr>
        <w:t>Core Set</w:t>
      </w:r>
      <w:r w:rsidR="003961FA">
        <w:t xml:space="preserve"> includes measures that payers and ACOs are expected to use, while the </w:t>
      </w:r>
      <w:r w:rsidR="003961FA" w:rsidRPr="00714A80">
        <w:rPr>
          <w:b/>
        </w:rPr>
        <w:t>Menu Set</w:t>
      </w:r>
      <w:r w:rsidR="003961FA">
        <w:t xml:space="preserve"> includes </w:t>
      </w:r>
      <w:r w:rsidR="00097BDB">
        <w:t xml:space="preserve">all other </w:t>
      </w:r>
      <w:r w:rsidR="003961FA">
        <w:t xml:space="preserve">measures from which payers and ACOs </w:t>
      </w:r>
      <w:r w:rsidR="00616DCF">
        <w:t>may</w:t>
      </w:r>
      <w:r w:rsidR="003961FA">
        <w:t xml:space="preserve"> to choose to supplement </w:t>
      </w:r>
      <w:r w:rsidR="00A7390F">
        <w:t xml:space="preserve">the Core measures in their </w:t>
      </w:r>
      <w:r w:rsidR="003961FA">
        <w:t>contractual measure set</w:t>
      </w:r>
      <w:r w:rsidR="00C2225C">
        <w:t xml:space="preserve"> (with the possible exception</w:t>
      </w:r>
      <w:r w:rsidR="00D6691E">
        <w:t>s</w:t>
      </w:r>
      <w:r w:rsidR="00C2225C">
        <w:t xml:space="preserve"> described below)</w:t>
      </w:r>
      <w:r w:rsidR="003961FA">
        <w:t>.</w:t>
      </w:r>
      <w:r w:rsidR="00714A80">
        <w:rPr>
          <w:rStyle w:val="FootnoteReference"/>
        </w:rPr>
        <w:footnoteReference w:id="25"/>
      </w:r>
    </w:p>
    <w:p w14:paraId="60CCDD28" w14:textId="4B271089" w:rsidR="00814850" w:rsidRDefault="00814850" w:rsidP="00E81F43">
      <w:pPr>
        <w:spacing w:after="200"/>
      </w:pPr>
      <w:r>
        <w:t xml:space="preserve">The Taskforce </w:t>
      </w:r>
      <w:r w:rsidR="00963D00">
        <w:t xml:space="preserve">adopted </w:t>
      </w:r>
      <w:r>
        <w:t>the following principles specific to Core Measure Set adoption:</w:t>
      </w:r>
    </w:p>
    <w:p w14:paraId="2E4D421E" w14:textId="77777777" w:rsidR="00B621D0" w:rsidRDefault="00A30F59" w:rsidP="00F628AA">
      <w:pPr>
        <w:pStyle w:val="ListParagraph"/>
        <w:numPr>
          <w:ilvl w:val="0"/>
          <w:numId w:val="9"/>
        </w:numPr>
      </w:pPr>
      <w:r>
        <w:t>No more than five in number</w:t>
      </w:r>
    </w:p>
    <w:p w14:paraId="64EE32AB" w14:textId="77777777" w:rsidR="00B621D0" w:rsidRDefault="00A30F59" w:rsidP="00F628AA">
      <w:pPr>
        <w:pStyle w:val="ListParagraph"/>
        <w:numPr>
          <w:ilvl w:val="0"/>
          <w:numId w:val="9"/>
        </w:numPr>
      </w:pPr>
      <w:r>
        <w:t>Outcomes-oriented</w:t>
      </w:r>
    </w:p>
    <w:p w14:paraId="211AA5B0" w14:textId="77777777" w:rsidR="00B621D0" w:rsidRDefault="00BA6EA9" w:rsidP="00F628AA">
      <w:pPr>
        <w:pStyle w:val="ListParagraph"/>
        <w:numPr>
          <w:ilvl w:val="0"/>
          <w:numId w:val="9"/>
        </w:numPr>
      </w:pPr>
      <w:r>
        <w:t>A</w:t>
      </w:r>
      <w:r w:rsidR="00B621D0">
        <w:t xml:space="preserve">t least one measure </w:t>
      </w:r>
      <w:r w:rsidR="00D965EE">
        <w:t xml:space="preserve">is </w:t>
      </w:r>
      <w:r w:rsidR="00B621D0">
        <w:t>focused on behavioral health</w:t>
      </w:r>
    </w:p>
    <w:p w14:paraId="16530311" w14:textId="77777777" w:rsidR="00B621D0" w:rsidRDefault="00B621D0" w:rsidP="00F628AA">
      <w:pPr>
        <w:pStyle w:val="ListParagraph"/>
        <w:numPr>
          <w:ilvl w:val="0"/>
          <w:numId w:val="9"/>
        </w:numPr>
      </w:pPr>
      <w:r>
        <w:t>Universally applicable to the greatest extent possible</w:t>
      </w:r>
    </w:p>
    <w:p w14:paraId="09A96A83" w14:textId="77777777" w:rsidR="00B621D0" w:rsidRDefault="00B621D0" w:rsidP="00F628AA">
      <w:pPr>
        <w:pStyle w:val="ListParagraph"/>
        <w:numPr>
          <w:ilvl w:val="0"/>
          <w:numId w:val="9"/>
        </w:numPr>
      </w:pPr>
      <w:r>
        <w:t>Crucial from a public health perspective</w:t>
      </w:r>
    </w:p>
    <w:p w14:paraId="4367D412" w14:textId="161A93E4" w:rsidR="00B621D0" w:rsidRDefault="00B621D0" w:rsidP="00F628AA">
      <w:pPr>
        <w:pStyle w:val="ListParagraph"/>
        <w:numPr>
          <w:ilvl w:val="0"/>
          <w:numId w:val="9"/>
        </w:numPr>
      </w:pPr>
      <w:r>
        <w:t xml:space="preserve">Comprised of measures that are highly aligned across existing payer </w:t>
      </w:r>
      <w:r w:rsidR="00E4265B">
        <w:t>global budget-based risk</w:t>
      </w:r>
      <w:r w:rsidR="00E4265B" w:rsidDel="00446B08">
        <w:t xml:space="preserve"> </w:t>
      </w:r>
      <w:r>
        <w:t>contract measures</w:t>
      </w:r>
    </w:p>
    <w:p w14:paraId="013F7E06" w14:textId="77777777" w:rsidR="00814850" w:rsidRDefault="00B621D0" w:rsidP="00F628AA">
      <w:pPr>
        <w:pStyle w:val="ListParagraph"/>
        <w:numPr>
          <w:ilvl w:val="0"/>
          <w:numId w:val="9"/>
        </w:numPr>
      </w:pPr>
      <w:r>
        <w:t>Enhances valu</w:t>
      </w:r>
      <w:r w:rsidR="00BA6EA9">
        <w:t>e</w:t>
      </w:r>
    </w:p>
    <w:p w14:paraId="7BD26A97" w14:textId="77777777" w:rsidR="00B621D0" w:rsidRDefault="00B621D0" w:rsidP="00714A80">
      <w:pPr>
        <w:pStyle w:val="ListParagraph"/>
      </w:pPr>
    </w:p>
    <w:p w14:paraId="52502ED2" w14:textId="06849D7B" w:rsidR="00424689" w:rsidRDefault="00CF69D3" w:rsidP="00E81F43">
      <w:pPr>
        <w:spacing w:after="200"/>
      </w:pPr>
      <w:r>
        <w:t>In addition, t</w:t>
      </w:r>
      <w:r w:rsidR="00372A9F">
        <w:t xml:space="preserve">he Taskforce </w:t>
      </w:r>
      <w:r w:rsidR="00BC765C">
        <w:t>identified</w:t>
      </w:r>
      <w:r w:rsidR="00372A9F">
        <w:t xml:space="preserve"> four </w:t>
      </w:r>
      <w:r w:rsidR="000C6C0D">
        <w:t xml:space="preserve">categories of </w:t>
      </w:r>
      <w:r w:rsidR="00372A9F">
        <w:t>measure</w:t>
      </w:r>
      <w:r w:rsidR="000C6C0D">
        <w:t>s</w:t>
      </w:r>
      <w:r w:rsidR="00372A9F">
        <w:t xml:space="preserve"> to supplement the Core and Menu Set</w:t>
      </w:r>
      <w:r w:rsidR="007E70D4">
        <w:t>s</w:t>
      </w:r>
      <w:r w:rsidR="00792E3B">
        <w:t>.  While the Taskforce d</w:t>
      </w:r>
      <w:r w:rsidR="00472F51">
        <w:t>id</w:t>
      </w:r>
      <w:r w:rsidR="00792E3B">
        <w:t xml:space="preserve"> not anticipate this to be of frequent occurrence, payers and providers c</w:t>
      </w:r>
      <w:r w:rsidR="00427D71">
        <w:t>ould</w:t>
      </w:r>
      <w:r w:rsidR="00792E3B">
        <w:t xml:space="preserve"> elect to include measures from the On Deck and Developmental Sets </w:t>
      </w:r>
      <w:r w:rsidR="00427D71">
        <w:t xml:space="preserve">(defined </w:t>
      </w:r>
      <w:r w:rsidR="00792E3B">
        <w:t>below</w:t>
      </w:r>
      <w:r w:rsidR="00427D71">
        <w:t>)</w:t>
      </w:r>
      <w:r w:rsidR="00792E3B">
        <w:t xml:space="preserve"> as part of their contractual measure set</w:t>
      </w:r>
      <w:r w:rsidR="00022A3E">
        <w:t>s</w:t>
      </w:r>
      <w:r w:rsidR="00792E3B">
        <w:t>.</w:t>
      </w:r>
    </w:p>
    <w:p w14:paraId="69211F5B" w14:textId="37972D5F" w:rsidR="00795694" w:rsidRDefault="003961FA" w:rsidP="00F628AA">
      <w:pPr>
        <w:pStyle w:val="ListParagraph"/>
        <w:numPr>
          <w:ilvl w:val="0"/>
          <w:numId w:val="12"/>
        </w:numPr>
        <w:spacing w:after="200"/>
      </w:pPr>
      <w:r>
        <w:t xml:space="preserve">The </w:t>
      </w:r>
      <w:r w:rsidRPr="00714A80">
        <w:rPr>
          <w:b/>
        </w:rPr>
        <w:t>Monitoring Set</w:t>
      </w:r>
      <w:r>
        <w:t xml:space="preserve"> </w:t>
      </w:r>
      <w:r w:rsidR="007E70D4">
        <w:t xml:space="preserve">includes </w:t>
      </w:r>
      <w:r>
        <w:t xml:space="preserve">measures that the Taskforce identified to be a priority area of interest, but </w:t>
      </w:r>
      <w:r w:rsidR="00070B31">
        <w:t xml:space="preserve">because </w:t>
      </w:r>
      <w:r>
        <w:t xml:space="preserve">recent performance </w:t>
      </w:r>
      <w:r w:rsidR="004F1685">
        <w:t>was</w:t>
      </w:r>
      <w:r>
        <w:t xml:space="preserve"> high, or data not currently available</w:t>
      </w:r>
      <w:r w:rsidR="00070B31">
        <w:t xml:space="preserve">, </w:t>
      </w:r>
      <w:r w:rsidR="00795694">
        <w:t>were not endorsed for Core or Menu Set use</w:t>
      </w:r>
      <w:r>
        <w:t xml:space="preserve">.  </w:t>
      </w:r>
      <w:r w:rsidR="0042017D">
        <w:t>Monitoring Set measures are</w:t>
      </w:r>
      <w:r w:rsidR="00795694">
        <w:t xml:space="preserve"> intended to </w:t>
      </w:r>
      <w:r w:rsidR="0042017D">
        <w:t>be used for</w:t>
      </w:r>
      <w:r w:rsidR="00795694">
        <w:t xml:space="preserve"> performance </w:t>
      </w:r>
      <w:r w:rsidR="0042017D">
        <w:t>tracking</w:t>
      </w:r>
      <w:r w:rsidR="00F8634E">
        <w:t xml:space="preserve"> to ensure performance does not decline</w:t>
      </w:r>
      <w:r w:rsidR="00350A93">
        <w:t xml:space="preserve">.  If performance does decline, the Monitoring </w:t>
      </w:r>
      <w:r w:rsidR="000877BC">
        <w:t>Set measures may be reconsidered by the Taskforce for inclusion in the Core and Menu Sets.</w:t>
      </w:r>
      <w:r w:rsidR="007D3442">
        <w:t xml:space="preserve">  </w:t>
      </w:r>
      <w:r w:rsidR="001554A0">
        <w:t xml:space="preserve">The Taskforce recommended that </w:t>
      </w:r>
      <w:r w:rsidR="007D3442">
        <w:t>Monitoring Set m</w:t>
      </w:r>
      <w:r w:rsidR="007D3442" w:rsidRPr="00831E37">
        <w:t>easures that utilize claims data be calculated at the ACO level</w:t>
      </w:r>
      <w:r w:rsidR="007D3442">
        <w:t xml:space="preserve">, while </w:t>
      </w:r>
      <w:r w:rsidR="007D3442" w:rsidRPr="00831E37">
        <w:t>measures that utilize clinical data be calculated at alternative levels (e.g., hospital, state)</w:t>
      </w:r>
      <w:r w:rsidR="00714A80">
        <w:t>.</w:t>
      </w:r>
    </w:p>
    <w:p w14:paraId="36BCC392" w14:textId="6BB1D811" w:rsidR="00844629" w:rsidRDefault="00372A9F" w:rsidP="00F628AA">
      <w:pPr>
        <w:pStyle w:val="ListParagraph"/>
        <w:numPr>
          <w:ilvl w:val="0"/>
          <w:numId w:val="12"/>
        </w:numPr>
        <w:spacing w:after="200"/>
      </w:pPr>
      <w:r>
        <w:t xml:space="preserve">The </w:t>
      </w:r>
      <w:proofErr w:type="gramStart"/>
      <w:r w:rsidRPr="00714A80">
        <w:rPr>
          <w:b/>
        </w:rPr>
        <w:t>On</w:t>
      </w:r>
      <w:proofErr w:type="gramEnd"/>
      <w:r w:rsidRPr="00714A80">
        <w:rPr>
          <w:b/>
        </w:rPr>
        <w:t xml:space="preserve"> Deck Set</w:t>
      </w:r>
      <w:r>
        <w:t xml:space="preserve"> includes measures that </w:t>
      </w:r>
      <w:r w:rsidR="00A31462">
        <w:t xml:space="preserve">the Taskforce </w:t>
      </w:r>
      <w:r w:rsidR="00157E02">
        <w:t>has endorsed for the Core or Menu Set</w:t>
      </w:r>
      <w:r w:rsidR="00F27E03">
        <w:t xml:space="preserve">, </w:t>
      </w:r>
      <w:r w:rsidR="00772534">
        <w:t>and</w:t>
      </w:r>
      <w:r w:rsidR="00F27E03">
        <w:t xml:space="preserve"> which </w:t>
      </w:r>
      <w:r w:rsidR="00963D00">
        <w:t xml:space="preserve">the Taskforce </w:t>
      </w:r>
      <w:r>
        <w:t xml:space="preserve">will move into </w:t>
      </w:r>
      <w:r w:rsidR="00F27E03">
        <w:t>those</w:t>
      </w:r>
      <w:r>
        <w:t xml:space="preserve"> set</w:t>
      </w:r>
      <w:r w:rsidR="00714A80">
        <w:t>s</w:t>
      </w:r>
      <w:r>
        <w:t xml:space="preserve"> in the two or three years </w:t>
      </w:r>
      <w:r w:rsidR="000E2156">
        <w:t xml:space="preserve">following endorsement </w:t>
      </w:r>
      <w:r w:rsidR="00F27E03">
        <w:t>to give providers time to prepare for reporting</w:t>
      </w:r>
      <w:r w:rsidR="00A30F59">
        <w:t>.</w:t>
      </w:r>
    </w:p>
    <w:p w14:paraId="02A785E5" w14:textId="40AF1EAE" w:rsidR="00056248" w:rsidRDefault="00372A9F" w:rsidP="00F628AA">
      <w:pPr>
        <w:pStyle w:val="ListParagraph"/>
        <w:numPr>
          <w:ilvl w:val="0"/>
          <w:numId w:val="12"/>
        </w:numPr>
        <w:spacing w:after="200"/>
      </w:pPr>
      <w:r>
        <w:t xml:space="preserve">The </w:t>
      </w:r>
      <w:r w:rsidRPr="00714A80">
        <w:rPr>
          <w:b/>
        </w:rPr>
        <w:t>Developmental Set</w:t>
      </w:r>
      <w:r>
        <w:t xml:space="preserve"> includes measures </w:t>
      </w:r>
      <w:r w:rsidR="00B77F00">
        <w:t>and measure concepts</w:t>
      </w:r>
      <w:r>
        <w:t xml:space="preserve"> that address priority areas for the Taskforce, but the measure has not yet been defined</w:t>
      </w:r>
      <w:r w:rsidR="007C5F33">
        <w:t>,</w:t>
      </w:r>
      <w:r>
        <w:t xml:space="preserve"> validated and/or tested for implementatio</w:t>
      </w:r>
      <w:r w:rsidR="00A30F59">
        <w:t>n.</w:t>
      </w:r>
    </w:p>
    <w:p w14:paraId="6FC84B1A" w14:textId="1561AF26" w:rsidR="003961FA" w:rsidRPr="003B7D21" w:rsidRDefault="00372A9F" w:rsidP="00F628AA">
      <w:pPr>
        <w:pStyle w:val="ListParagraph"/>
        <w:numPr>
          <w:ilvl w:val="0"/>
          <w:numId w:val="12"/>
        </w:numPr>
        <w:spacing w:after="200"/>
      </w:pPr>
      <w:r>
        <w:lastRenderedPageBreak/>
        <w:t xml:space="preserve">The </w:t>
      </w:r>
      <w:r w:rsidRPr="00C2225C">
        <w:rPr>
          <w:b/>
        </w:rPr>
        <w:t xml:space="preserve">Innovation </w:t>
      </w:r>
      <w:r w:rsidR="00792E3B">
        <w:t xml:space="preserve">measure category </w:t>
      </w:r>
      <w:r>
        <w:t xml:space="preserve">includes </w:t>
      </w:r>
      <w:r w:rsidR="00C2225C">
        <w:t>m</w:t>
      </w:r>
      <w:r w:rsidR="00C2225C" w:rsidRPr="00C2225C">
        <w:t xml:space="preserve">easures which address a) clinical topics or clinical outcomes in the Core or Menu Sets utilizing a novel approach or b) clinical topics that are not addressed in the Core or Menu Sets.  </w:t>
      </w:r>
      <w:r w:rsidR="00C2225C">
        <w:t xml:space="preserve">Innovation measures are intended to advance measure development and therefore </w:t>
      </w:r>
      <w:r w:rsidR="00C2225C" w:rsidRPr="00C2225C">
        <w:t xml:space="preserve">cannot </w:t>
      </w:r>
      <w:r w:rsidR="00C2225C">
        <w:t xml:space="preserve">include measures that </w:t>
      </w:r>
      <w:r w:rsidR="00C2225C" w:rsidRPr="00C2225C">
        <w:t>have been previously considered and rejected by the Taskforce as Core or Menu measures.</w:t>
      </w:r>
      <w:r w:rsidR="00C2225C">
        <w:t xml:space="preserve">  </w:t>
      </w:r>
      <w:r w:rsidR="00C2225C" w:rsidRPr="00C2225C">
        <w:t>Innovation measures can be used as pay-for-performance or pay-for-reporting at the mutual agreement of the payer and ACO.</w:t>
      </w:r>
      <w:r w:rsidR="00C2225C">
        <w:t xml:space="preserve">  </w:t>
      </w:r>
      <w:r w:rsidR="00963D00">
        <w:t xml:space="preserve">For payers choosing to voluntarily adopt the Massachusetts Aligned Measure Set and its associated parameters, use of </w:t>
      </w:r>
      <w:r w:rsidR="00C2225C" w:rsidRPr="00C2225C">
        <w:t>Innovation measures, at the outset, will not be limited in number</w:t>
      </w:r>
      <w:r w:rsidR="00963D00">
        <w:t>.</w:t>
      </w:r>
      <w:r w:rsidR="00C2225C">
        <w:t xml:space="preserve"> </w:t>
      </w:r>
      <w:r w:rsidR="002866C5">
        <w:t xml:space="preserve"> </w:t>
      </w:r>
      <w:r w:rsidR="00963D00">
        <w:t>T</w:t>
      </w:r>
      <w:r w:rsidR="00C2225C">
        <w:t xml:space="preserve">he Taskforce </w:t>
      </w:r>
      <w:r w:rsidR="00855B9C">
        <w:t>recommended</w:t>
      </w:r>
      <w:r w:rsidR="00C2225C">
        <w:t xml:space="preserve"> monitor</w:t>
      </w:r>
      <w:r w:rsidR="00855B9C">
        <w:t>ing</w:t>
      </w:r>
      <w:r w:rsidR="00C2225C">
        <w:t xml:space="preserve"> and revisit</w:t>
      </w:r>
      <w:r w:rsidR="00855B9C">
        <w:t>ing</w:t>
      </w:r>
      <w:r w:rsidR="00C2225C">
        <w:t xml:space="preserve"> use of Innovation measures</w:t>
      </w:r>
      <w:r w:rsidR="00C2225C" w:rsidRPr="00C2225C">
        <w:t>.</w:t>
      </w:r>
      <w:r w:rsidR="00131A3B">
        <w:t xml:space="preserve">  The Taskforce </w:t>
      </w:r>
      <w:r w:rsidR="00DA1F6C">
        <w:t xml:space="preserve">also recommended </w:t>
      </w:r>
      <w:r w:rsidR="00131A3B">
        <w:t>evaluat</w:t>
      </w:r>
      <w:r w:rsidR="00DA1F6C">
        <w:t>ing</w:t>
      </w:r>
      <w:r w:rsidR="00131A3B">
        <w:t xml:space="preserve"> Innovation measures, once developed and tested, for inclusion in the Menu, On Deck, or Developmental Sets.</w:t>
      </w:r>
      <w:r w:rsidR="00131A3B" w:rsidDel="00131A3B">
        <w:rPr>
          <w:rStyle w:val="CommentReference"/>
        </w:rPr>
        <w:t xml:space="preserve"> </w:t>
      </w:r>
    </w:p>
    <w:p w14:paraId="71F60507" w14:textId="7D6A01B0" w:rsidR="00547F6A" w:rsidRDefault="00547F6A" w:rsidP="00547F6A">
      <w:pPr>
        <w:spacing w:after="200"/>
      </w:pPr>
      <w:r>
        <w:t xml:space="preserve">Early in the Taskforce process, members discussed and could not agree on whether the </w:t>
      </w:r>
      <w:r w:rsidR="00854F11">
        <w:t>A</w:t>
      </w:r>
      <w:r>
        <w:t xml:space="preserve">ligned </w:t>
      </w:r>
      <w:r w:rsidR="00854F11">
        <w:t>M</w:t>
      </w:r>
      <w:r>
        <w:t xml:space="preserve">easure </w:t>
      </w:r>
      <w:r w:rsidR="00854F11">
        <w:t>S</w:t>
      </w:r>
      <w:r>
        <w:t>et should solely be a “menu” from which insurers and providers would cho</w:t>
      </w:r>
      <w:r w:rsidR="0075033C">
        <w:t>o</w:t>
      </w:r>
      <w:r>
        <w:t xml:space="preserve">se, or if there should also be a small core set </w:t>
      </w:r>
      <w:r w:rsidR="00313BCF">
        <w:t>of me</w:t>
      </w:r>
      <w:r w:rsidR="007641A1">
        <w:t xml:space="preserve">asures </w:t>
      </w:r>
      <w:r>
        <w:t>that all insurer-provider contracts would be expected to utilize.</w:t>
      </w:r>
      <w:r>
        <w:rPr>
          <w:rStyle w:val="FootnoteReference"/>
        </w:rPr>
        <w:footnoteReference w:id="26"/>
      </w:r>
      <w:r>
        <w:t xml:space="preserve">  Providers </w:t>
      </w:r>
      <w:r w:rsidR="0034296F">
        <w:t>generally</w:t>
      </w:r>
      <w:r>
        <w:t xml:space="preserve"> advocated for adoption of a Core Set with a Menu Set, while insurers argued for only a Menu Set.</w:t>
      </w:r>
      <w:r w:rsidR="0034296F">
        <w:t xml:space="preserve"> </w:t>
      </w:r>
    </w:p>
    <w:p w14:paraId="5A5FCBB8" w14:textId="40FF88DC" w:rsidR="00372A9F" w:rsidRDefault="00547F6A" w:rsidP="00A90F50">
      <w:pPr>
        <w:pStyle w:val="CommentText"/>
      </w:pPr>
      <w:r>
        <w:t>When the Taskforce revisited the question of Core and Menu Measure Sets in the spring of 2018, it formally voted to endorse a Core and a Menu Set approach or a Menu-only Set approach</w:t>
      </w:r>
      <w:r w:rsidR="00A07FA7">
        <w:t xml:space="preserve">.  At this time, the Taskforce revised the definition of Core measures to adhere to a set of seven guiding principles, as described above.  </w:t>
      </w:r>
      <w:r>
        <w:t xml:space="preserve">The overwhelming majority of </w:t>
      </w:r>
      <w:r w:rsidR="0056690A">
        <w:t>members formally</w:t>
      </w:r>
      <w:r>
        <w:t xml:space="preserve"> voted in support of a Core and Menu Set approach. </w:t>
      </w:r>
      <w:r w:rsidR="000D4A25">
        <w:t xml:space="preserve"> </w:t>
      </w:r>
      <w:r w:rsidR="00DA21DE">
        <w:t>Two insurer Taskforce members voted for a Core and Menu Set, while three voted in opposition.</w:t>
      </w:r>
      <w:r w:rsidR="00372A9F">
        <w:t xml:space="preserve">  </w:t>
      </w:r>
      <w:r w:rsidR="0034296F">
        <w:t xml:space="preserve">One provider group agreed with the concept of a </w:t>
      </w:r>
      <w:r w:rsidR="00A90F50">
        <w:t xml:space="preserve">Core </w:t>
      </w:r>
      <w:r w:rsidR="0034296F">
        <w:t xml:space="preserve">and </w:t>
      </w:r>
      <w:r w:rsidR="00A90F50">
        <w:t xml:space="preserve">Menu </w:t>
      </w:r>
      <w:r w:rsidR="0034296F">
        <w:t xml:space="preserve">set, but given the specific measures under consideration for inclusion in the </w:t>
      </w:r>
      <w:r w:rsidR="00A90F50">
        <w:t>C</w:t>
      </w:r>
      <w:r w:rsidR="0034296F">
        <w:t xml:space="preserve">ore </w:t>
      </w:r>
      <w:r w:rsidR="00A90F50">
        <w:t xml:space="preserve">Set </w:t>
      </w:r>
      <w:r w:rsidR="0034296F">
        <w:t xml:space="preserve">opted for the </w:t>
      </w:r>
      <w:r w:rsidR="00A90F50">
        <w:t>M</w:t>
      </w:r>
      <w:r w:rsidR="0034296F">
        <w:t>enu</w:t>
      </w:r>
      <w:r w:rsidR="00A90F50">
        <w:t>-</w:t>
      </w:r>
      <w:r w:rsidR="0034296F">
        <w:t xml:space="preserve">only </w:t>
      </w:r>
      <w:r w:rsidR="00A90F50">
        <w:t xml:space="preserve">Set </w:t>
      </w:r>
      <w:r w:rsidR="0034296F">
        <w:t>option.</w:t>
      </w:r>
      <w:r w:rsidR="00372A9F">
        <w:t xml:space="preserve"> </w:t>
      </w:r>
      <w:r w:rsidR="00A90F50">
        <w:t xml:space="preserve"> </w:t>
      </w:r>
      <w:r w:rsidR="00372A9F" w:rsidRPr="00547F6A">
        <w:rPr>
          <w:b/>
        </w:rPr>
        <w:t xml:space="preserve">Table </w:t>
      </w:r>
      <w:r w:rsidR="007947D9" w:rsidRPr="00547F6A">
        <w:rPr>
          <w:b/>
        </w:rPr>
        <w:t>5</w:t>
      </w:r>
      <w:r w:rsidR="00372A9F" w:rsidRPr="00CF69D3">
        <w:t xml:space="preserve"> below </w:t>
      </w:r>
      <w:r w:rsidR="00A2557C">
        <w:t xml:space="preserve">provides </w:t>
      </w:r>
      <w:r w:rsidR="00CF69D3">
        <w:t>the results of this vote</w:t>
      </w:r>
      <w:r w:rsidR="00372A9F">
        <w:t>.</w:t>
      </w:r>
    </w:p>
    <w:p w14:paraId="762C5284" w14:textId="77777777" w:rsidR="00A90F50" w:rsidRDefault="00A90F50" w:rsidP="00A90F50">
      <w:pPr>
        <w:pStyle w:val="CommentText"/>
      </w:pPr>
    </w:p>
    <w:p w14:paraId="28174995" w14:textId="150FE639" w:rsidR="00372A9F" w:rsidRDefault="00372A9F" w:rsidP="00612758">
      <w:pPr>
        <w:pStyle w:val="Heading5"/>
        <w:keepNext w:val="0"/>
        <w:keepLines w:val="0"/>
        <w:spacing w:before="0" w:after="200"/>
        <w:jc w:val="center"/>
        <w:rPr>
          <w:b/>
        </w:rPr>
      </w:pPr>
      <w:r w:rsidRPr="00935837">
        <w:rPr>
          <w:b/>
        </w:rPr>
        <w:t xml:space="preserve">Table </w:t>
      </w:r>
      <w:r w:rsidR="007947D9">
        <w:rPr>
          <w:b/>
        </w:rPr>
        <w:t>5</w:t>
      </w:r>
      <w:r w:rsidRPr="00935837">
        <w:rPr>
          <w:b/>
        </w:rPr>
        <w:t xml:space="preserve">:  </w:t>
      </w:r>
      <w:r w:rsidR="00503B9F">
        <w:rPr>
          <w:b/>
        </w:rPr>
        <w:t>Members Voting for or Against a Core and Menu Set Approach</w:t>
      </w:r>
      <w:r w:rsidR="006E1903">
        <w:rPr>
          <w:rStyle w:val="FootnoteReference"/>
          <w:b/>
        </w:rPr>
        <w:footnoteReference w:id="27"/>
      </w:r>
    </w:p>
    <w:tbl>
      <w:tblPr>
        <w:tblStyle w:val="TableGrid"/>
        <w:tblW w:w="0" w:type="auto"/>
        <w:jc w:val="center"/>
        <w:tblLook w:val="04A0" w:firstRow="1" w:lastRow="0" w:firstColumn="1" w:lastColumn="0" w:noHBand="0" w:noVBand="1"/>
      </w:tblPr>
      <w:tblGrid>
        <w:gridCol w:w="3888"/>
        <w:gridCol w:w="1980"/>
      </w:tblGrid>
      <w:tr w:rsidR="008E3D14" w14:paraId="25D55E31" w14:textId="77777777" w:rsidTr="001858D1">
        <w:trPr>
          <w:jc w:val="center"/>
        </w:trPr>
        <w:tc>
          <w:tcPr>
            <w:tcW w:w="3888" w:type="dxa"/>
            <w:shd w:val="clear" w:color="auto" w:fill="002060"/>
          </w:tcPr>
          <w:p w14:paraId="4B3E0615" w14:textId="56B5F8EA" w:rsidR="008E3D14" w:rsidRPr="008E3D14" w:rsidRDefault="008E3D14" w:rsidP="008E3D14">
            <w:pPr>
              <w:rPr>
                <w:b/>
              </w:rPr>
            </w:pPr>
            <w:r w:rsidRPr="008E3D14">
              <w:rPr>
                <w:b/>
              </w:rPr>
              <w:t>Vote</w:t>
            </w:r>
          </w:p>
        </w:tc>
        <w:tc>
          <w:tcPr>
            <w:tcW w:w="1980" w:type="dxa"/>
            <w:shd w:val="clear" w:color="auto" w:fill="002060"/>
          </w:tcPr>
          <w:p w14:paraId="257C1F9C" w14:textId="6E107EA4" w:rsidR="008E3D14" w:rsidRPr="008E3D14" w:rsidRDefault="008E3D14" w:rsidP="008E3D14">
            <w:pPr>
              <w:rPr>
                <w:b/>
              </w:rPr>
            </w:pPr>
            <w:r w:rsidRPr="008E3D14">
              <w:rPr>
                <w:b/>
              </w:rPr>
              <w:t xml:space="preserve">Number of </w:t>
            </w:r>
            <w:r w:rsidR="00F42246">
              <w:rPr>
                <w:b/>
              </w:rPr>
              <w:t>Votes</w:t>
            </w:r>
          </w:p>
        </w:tc>
      </w:tr>
      <w:tr w:rsidR="008E3D14" w14:paraId="11C51268" w14:textId="77777777" w:rsidTr="001858D1">
        <w:trPr>
          <w:jc w:val="center"/>
        </w:trPr>
        <w:tc>
          <w:tcPr>
            <w:tcW w:w="3888" w:type="dxa"/>
          </w:tcPr>
          <w:p w14:paraId="058B5253" w14:textId="52995DE1" w:rsidR="008E3D14" w:rsidRDefault="008E3D14" w:rsidP="008E3D14">
            <w:r>
              <w:t>Core and Menu Set</w:t>
            </w:r>
          </w:p>
        </w:tc>
        <w:tc>
          <w:tcPr>
            <w:tcW w:w="1980" w:type="dxa"/>
          </w:tcPr>
          <w:p w14:paraId="4CE1E96E" w14:textId="21F4A28A" w:rsidR="008E3D14" w:rsidRDefault="008E3D14" w:rsidP="001858D1">
            <w:pPr>
              <w:jc w:val="center"/>
            </w:pPr>
            <w:r>
              <w:t>20</w:t>
            </w:r>
          </w:p>
        </w:tc>
      </w:tr>
      <w:tr w:rsidR="008E3D14" w14:paraId="74D3F979" w14:textId="77777777" w:rsidTr="001858D1">
        <w:trPr>
          <w:jc w:val="center"/>
        </w:trPr>
        <w:tc>
          <w:tcPr>
            <w:tcW w:w="3888" w:type="dxa"/>
          </w:tcPr>
          <w:p w14:paraId="505FD368" w14:textId="107AF98C" w:rsidR="008E3D14" w:rsidRDefault="008E3D14" w:rsidP="008E3D14">
            <w:r>
              <w:t>Menu-only Set</w:t>
            </w:r>
          </w:p>
        </w:tc>
        <w:tc>
          <w:tcPr>
            <w:tcW w:w="1980" w:type="dxa"/>
          </w:tcPr>
          <w:p w14:paraId="073E1C65" w14:textId="562B236F" w:rsidR="008E3D14" w:rsidRDefault="008E3D14" w:rsidP="001858D1">
            <w:pPr>
              <w:jc w:val="center"/>
            </w:pPr>
            <w:r>
              <w:t>4</w:t>
            </w:r>
          </w:p>
        </w:tc>
      </w:tr>
      <w:tr w:rsidR="008E3D14" w14:paraId="0EE546AB" w14:textId="77777777" w:rsidTr="001858D1">
        <w:trPr>
          <w:jc w:val="center"/>
        </w:trPr>
        <w:tc>
          <w:tcPr>
            <w:tcW w:w="3888" w:type="dxa"/>
          </w:tcPr>
          <w:p w14:paraId="03168C4C" w14:textId="2A680B62" w:rsidR="008E3D14" w:rsidRDefault="008E3D14" w:rsidP="008E3D14">
            <w:r>
              <w:t>Absent and therefore, unable to vote</w:t>
            </w:r>
          </w:p>
        </w:tc>
        <w:tc>
          <w:tcPr>
            <w:tcW w:w="1980" w:type="dxa"/>
          </w:tcPr>
          <w:p w14:paraId="13110479" w14:textId="7489666C" w:rsidR="008E3D14" w:rsidRDefault="008E3D14" w:rsidP="001858D1">
            <w:pPr>
              <w:jc w:val="center"/>
            </w:pPr>
            <w:r>
              <w:t>3</w:t>
            </w:r>
          </w:p>
        </w:tc>
      </w:tr>
    </w:tbl>
    <w:p w14:paraId="1DFFD4E0" w14:textId="4A455C66" w:rsidR="00163E96" w:rsidRDefault="00163E96" w:rsidP="008E3D14"/>
    <w:p w14:paraId="776073BF" w14:textId="38E21EE4" w:rsidR="008E3D14" w:rsidRPr="008E3D14" w:rsidRDefault="00163E96" w:rsidP="008E3D14">
      <w:r>
        <w:br w:type="page"/>
      </w:r>
    </w:p>
    <w:p w14:paraId="46A264CC" w14:textId="77777777" w:rsidR="00E81F43" w:rsidRDefault="003961FA" w:rsidP="0065307C">
      <w:pPr>
        <w:pStyle w:val="Heading3"/>
        <w:numPr>
          <w:ilvl w:val="0"/>
          <w:numId w:val="13"/>
        </w:numPr>
        <w:spacing w:after="200"/>
        <w:ind w:left="360"/>
      </w:pPr>
      <w:bookmarkStart w:id="44" w:name="_Toc5362567"/>
      <w:r>
        <w:lastRenderedPageBreak/>
        <w:t xml:space="preserve">Composition </w:t>
      </w:r>
      <w:r w:rsidRPr="003961FA">
        <w:t>of the Massachusetts Aligned Measure Set</w:t>
      </w:r>
      <w:bookmarkEnd w:id="44"/>
    </w:p>
    <w:p w14:paraId="5F01C9B0" w14:textId="6F2E688C" w:rsidR="00547F6A" w:rsidRDefault="00640510" w:rsidP="00E81F43">
      <w:pPr>
        <w:spacing w:after="200"/>
      </w:pPr>
      <w:r>
        <w:t>The Taskforce review</w:t>
      </w:r>
      <w:r w:rsidRPr="008B062E">
        <w:t xml:space="preserve">ed 151 measures during its </w:t>
      </w:r>
      <w:r w:rsidR="00D03C53" w:rsidRPr="008B062E">
        <w:t>initial round</w:t>
      </w:r>
      <w:r w:rsidRPr="008B062E">
        <w:t xml:space="preserve"> of measures review</w:t>
      </w:r>
      <w:r w:rsidR="0052592C">
        <w:t>.</w:t>
      </w:r>
      <w:r w:rsidR="00A01AEF">
        <w:rPr>
          <w:rStyle w:val="FootnoteReference"/>
        </w:rPr>
        <w:footnoteReference w:id="28"/>
      </w:r>
      <w:r w:rsidR="00A01AEF">
        <w:t xml:space="preserve"> </w:t>
      </w:r>
      <w:r w:rsidR="0052592C">
        <w:t xml:space="preserve"> As a result, the Taskforce</w:t>
      </w:r>
      <w:r w:rsidR="009D1468">
        <w:t xml:space="preserve"> </w:t>
      </w:r>
      <w:r w:rsidRPr="008B062E">
        <w:t>tentatively endorsed 33 measures</w:t>
      </w:r>
      <w:r w:rsidR="003110C7">
        <w:t xml:space="preserve"> for the Core or Menu Sets</w:t>
      </w:r>
      <w:r w:rsidR="008B062E" w:rsidRPr="008B062E">
        <w:t xml:space="preserve">, four Monitoring measures, and </w:t>
      </w:r>
      <w:r w:rsidRPr="008B062E">
        <w:t xml:space="preserve">16 </w:t>
      </w:r>
      <w:r w:rsidR="008B062E" w:rsidRPr="008B062E">
        <w:t>D</w:t>
      </w:r>
      <w:r w:rsidRPr="008B062E">
        <w:t>evelopmental</w:t>
      </w:r>
      <w:r w:rsidR="008B062E" w:rsidRPr="008B062E">
        <w:t xml:space="preserve"> measures</w:t>
      </w:r>
      <w:r w:rsidR="009D1468">
        <w:t xml:space="preserve"> and </w:t>
      </w:r>
      <w:r w:rsidR="001760AA">
        <w:t>chose</w:t>
      </w:r>
      <w:r w:rsidR="00714A80">
        <w:t xml:space="preserve"> to</w:t>
      </w:r>
      <w:r w:rsidR="001760AA" w:rsidRPr="008B062E">
        <w:t xml:space="preserve"> </w:t>
      </w:r>
      <w:r w:rsidRPr="008B062E">
        <w:t xml:space="preserve">not endorse 98 measures. </w:t>
      </w:r>
      <w:r w:rsidR="004809FA" w:rsidRPr="008B062E">
        <w:t xml:space="preserve"> </w:t>
      </w:r>
      <w:r w:rsidRPr="008B062E">
        <w:t xml:space="preserve">During the </w:t>
      </w:r>
      <w:r w:rsidR="001760AA">
        <w:t xml:space="preserve">second and </w:t>
      </w:r>
      <w:r w:rsidR="00D03C53" w:rsidRPr="008B062E">
        <w:t xml:space="preserve">final </w:t>
      </w:r>
      <w:r w:rsidR="00D03C53" w:rsidRPr="00774270">
        <w:t>round</w:t>
      </w:r>
      <w:r w:rsidRPr="00774270">
        <w:t xml:space="preserve">, the Taskforce endorsed </w:t>
      </w:r>
      <w:r w:rsidR="00CF69D3" w:rsidRPr="00774270">
        <w:t>four Core</w:t>
      </w:r>
      <w:r w:rsidR="008B062E" w:rsidRPr="00774270">
        <w:t xml:space="preserve"> </w:t>
      </w:r>
      <w:r w:rsidRPr="00774270">
        <w:t xml:space="preserve">measures, </w:t>
      </w:r>
      <w:r w:rsidR="00CF69D3" w:rsidRPr="00774270">
        <w:t>1</w:t>
      </w:r>
      <w:r w:rsidR="0063330E" w:rsidRPr="00774270">
        <w:t>7</w:t>
      </w:r>
      <w:r w:rsidR="00CF69D3" w:rsidRPr="00774270">
        <w:t xml:space="preserve"> Menu measures, </w:t>
      </w:r>
      <w:r w:rsidR="00C2225C" w:rsidRPr="00774270">
        <w:t xml:space="preserve">and eight </w:t>
      </w:r>
      <w:r w:rsidR="00CF69D3" w:rsidRPr="00774270">
        <w:t>Monitoring measures</w:t>
      </w:r>
      <w:r w:rsidRPr="00774270">
        <w:t xml:space="preserve">. </w:t>
      </w:r>
      <w:r w:rsidR="00DA21DE" w:rsidRPr="00774270">
        <w:t xml:space="preserve"> </w:t>
      </w:r>
      <w:r w:rsidR="00C2225C" w:rsidRPr="00774270">
        <w:t>The Taskforce did not endorse any On Deck measures</w:t>
      </w:r>
      <w:r w:rsidR="0056690A">
        <w:t>,</w:t>
      </w:r>
      <w:r w:rsidR="00C2225C" w:rsidRPr="00774270">
        <w:t xml:space="preserve"> but </w:t>
      </w:r>
      <w:r w:rsidR="00C2225C">
        <w:t>retain</w:t>
      </w:r>
      <w:r w:rsidR="0056690A">
        <w:t>ed</w:t>
      </w:r>
      <w:r w:rsidR="00C2225C">
        <w:t xml:space="preserve"> the category for future use.</w:t>
      </w:r>
    </w:p>
    <w:p w14:paraId="2DF96F74" w14:textId="0B60DA2C" w:rsidR="00547F6A" w:rsidRDefault="00547F6A" w:rsidP="00547F6A">
      <w:pPr>
        <w:spacing w:after="200"/>
      </w:pPr>
      <w:r>
        <w:t>The Taskforce wanted to adopt a depression outcome measure as a Core measure, but technical challenges with implementation of a single measure led to a compromise solution</w:t>
      </w:r>
      <w:r w:rsidR="0056690A">
        <w:t>:</w:t>
      </w:r>
      <w:r>
        <w:t xml:space="preserve">  </w:t>
      </w:r>
      <w:r w:rsidR="0056690A">
        <w:t>i</w:t>
      </w:r>
      <w:r>
        <w:t xml:space="preserve">nsurers and providers would select at least one behavioral health measure for contracting </w:t>
      </w:r>
      <w:r w:rsidR="0056690A">
        <w:t>(</w:t>
      </w:r>
      <w:r>
        <w:t xml:space="preserve">from a list of </w:t>
      </w:r>
      <w:r w:rsidR="007249C4">
        <w:t xml:space="preserve">one substance use treatment measure </w:t>
      </w:r>
      <w:r w:rsidR="00730502">
        <w:t>and</w:t>
      </w:r>
      <w:r w:rsidR="007249C4">
        <w:t xml:space="preserve"> four depression</w:t>
      </w:r>
      <w:r w:rsidR="00730502">
        <w:t xml:space="preserve"> treatment</w:t>
      </w:r>
      <w:r w:rsidR="007249C4">
        <w:t xml:space="preserve"> measures</w:t>
      </w:r>
      <w:r w:rsidR="0056690A">
        <w:t>)</w:t>
      </w:r>
      <w:r>
        <w:t xml:space="preserve">.  </w:t>
      </w:r>
      <w:r w:rsidR="00AD6A62">
        <w:t>The Taskforce recommend</w:t>
      </w:r>
      <w:r w:rsidR="00DC1922">
        <w:t>ed</w:t>
      </w:r>
      <w:r w:rsidR="00AD6A62">
        <w:t xml:space="preserve"> that o</w:t>
      </w:r>
      <w:r>
        <w:t xml:space="preserve">ver time the Taskforce work towards future </w:t>
      </w:r>
      <w:r w:rsidR="00AA6A85">
        <w:t xml:space="preserve">endorsement </w:t>
      </w:r>
      <w:r>
        <w:t>of a common depression outcome measure based on collaboration and learning, refinement</w:t>
      </w:r>
      <w:r w:rsidR="0056690A">
        <w:t>,</w:t>
      </w:r>
      <w:r>
        <w:t xml:space="preserve"> and advancements in payers’ and providers’ </w:t>
      </w:r>
      <w:r w:rsidR="0056690A">
        <w:t>ability</w:t>
      </w:r>
      <w:r>
        <w:t xml:space="preserve"> t</w:t>
      </w:r>
      <w:r w:rsidR="00A30F59">
        <w:t>o address technical challenges.</w:t>
      </w:r>
    </w:p>
    <w:p w14:paraId="55358DB4" w14:textId="0B3993DE" w:rsidR="008B062E" w:rsidRDefault="00640510" w:rsidP="00E81F43">
      <w:pPr>
        <w:spacing w:after="200"/>
      </w:pPr>
      <w:r w:rsidRPr="00DA21DE">
        <w:rPr>
          <w:b/>
        </w:rPr>
        <w:t>T</w:t>
      </w:r>
      <w:r w:rsidR="009D1468" w:rsidRPr="00DA21DE">
        <w:rPr>
          <w:b/>
        </w:rPr>
        <w:t xml:space="preserve">able </w:t>
      </w:r>
      <w:r w:rsidR="007947D9" w:rsidRPr="00DA21DE">
        <w:rPr>
          <w:b/>
        </w:rPr>
        <w:t>6</w:t>
      </w:r>
      <w:r w:rsidR="009D1468">
        <w:t xml:space="preserve"> below summarizes the </w:t>
      </w:r>
      <w:r>
        <w:t>final</w:t>
      </w:r>
      <w:r w:rsidR="009D1468">
        <w:t xml:space="preserve"> Massachusetts Aligned Measure Set</w:t>
      </w:r>
      <w:r w:rsidR="00F80F2F">
        <w:t xml:space="preserve"> recommended by the Taskforce</w:t>
      </w:r>
      <w:r>
        <w:t>.</w:t>
      </w:r>
      <w:r w:rsidR="00D366CB">
        <w:t xml:space="preserve">  </w:t>
      </w:r>
      <w:r w:rsidR="00315D7C">
        <w:t>For the Core Measure Set, a</w:t>
      </w:r>
      <w:r w:rsidR="00D366CB">
        <w:t xml:space="preserve">cronyms in parentheses refer to the </w:t>
      </w:r>
      <w:r w:rsidR="00E96C48">
        <w:t>organization that developed and/or maintains the measure’s specifications.</w:t>
      </w:r>
    </w:p>
    <w:p w14:paraId="028A270F" w14:textId="66706F1B" w:rsidR="008B062E" w:rsidRDefault="008B062E" w:rsidP="00E81F43">
      <w:pPr>
        <w:pStyle w:val="Heading5"/>
        <w:keepNext w:val="0"/>
        <w:keepLines w:val="0"/>
        <w:spacing w:before="0" w:after="200"/>
      </w:pPr>
      <w:r w:rsidRPr="00935837">
        <w:rPr>
          <w:b/>
        </w:rPr>
        <w:t xml:space="preserve">Table </w:t>
      </w:r>
      <w:r w:rsidR="007947D9">
        <w:rPr>
          <w:b/>
        </w:rPr>
        <w:t>6</w:t>
      </w:r>
      <w:r w:rsidRPr="00935837">
        <w:rPr>
          <w:b/>
        </w:rPr>
        <w:t xml:space="preserve">:  </w:t>
      </w:r>
      <w:r w:rsidR="00F80F2F">
        <w:rPr>
          <w:b/>
        </w:rPr>
        <w:t xml:space="preserve">Recommended </w:t>
      </w:r>
      <w:r w:rsidR="00503B9F">
        <w:rPr>
          <w:b/>
        </w:rPr>
        <w:t xml:space="preserve">Massachusetts </w:t>
      </w:r>
      <w:r w:rsidRPr="00935837">
        <w:rPr>
          <w:b/>
        </w:rPr>
        <w:t>Aligne</w:t>
      </w:r>
      <w:r w:rsidR="00503B9F">
        <w:rPr>
          <w:b/>
        </w:rPr>
        <w:t>d</w:t>
      </w:r>
      <w:r w:rsidRPr="00935837">
        <w:rPr>
          <w:b/>
        </w:rPr>
        <w:t xml:space="preserve"> </w:t>
      </w:r>
      <w:r w:rsidR="00503B9F">
        <w:rPr>
          <w:b/>
        </w:rPr>
        <w:t>Measure Set</w:t>
      </w:r>
    </w:p>
    <w:tbl>
      <w:tblPr>
        <w:tblStyle w:val="TableGrid"/>
        <w:tblW w:w="0" w:type="auto"/>
        <w:jc w:val="center"/>
        <w:tblLook w:val="04A0" w:firstRow="1" w:lastRow="0" w:firstColumn="1" w:lastColumn="0" w:noHBand="0" w:noVBand="1"/>
      </w:tblPr>
      <w:tblGrid>
        <w:gridCol w:w="8388"/>
      </w:tblGrid>
      <w:tr w:rsidR="00635F8C" w:rsidRPr="00935837" w14:paraId="3CBCCB0F" w14:textId="77777777" w:rsidTr="00701CEF">
        <w:trPr>
          <w:jc w:val="center"/>
        </w:trPr>
        <w:tc>
          <w:tcPr>
            <w:tcW w:w="8388" w:type="dxa"/>
            <w:tcBorders>
              <w:bottom w:val="single" w:sz="4" w:space="0" w:color="auto"/>
            </w:tcBorders>
            <w:shd w:val="clear" w:color="auto" w:fill="002060"/>
            <w:vAlign w:val="center"/>
          </w:tcPr>
          <w:p w14:paraId="090916CF" w14:textId="77777777" w:rsidR="008B062E" w:rsidRPr="00935837" w:rsidRDefault="008B062E" w:rsidP="00503B9F">
            <w:pPr>
              <w:rPr>
                <w:b/>
              </w:rPr>
            </w:pPr>
            <w:r>
              <w:rPr>
                <w:b/>
              </w:rPr>
              <w:t>Core Measures</w:t>
            </w:r>
          </w:p>
        </w:tc>
      </w:tr>
      <w:tr w:rsidR="008B062E" w14:paraId="6174D38A" w14:textId="77777777" w:rsidTr="000748B8">
        <w:trPr>
          <w:jc w:val="center"/>
        </w:trPr>
        <w:tc>
          <w:tcPr>
            <w:tcW w:w="8388" w:type="dxa"/>
            <w:tcBorders>
              <w:bottom w:val="single" w:sz="4" w:space="0" w:color="auto"/>
            </w:tcBorders>
            <w:vAlign w:val="center"/>
          </w:tcPr>
          <w:p w14:paraId="31C6D056" w14:textId="77777777" w:rsidR="008B062E" w:rsidRDefault="008B062E" w:rsidP="00701CEF">
            <w:pPr>
              <w:pStyle w:val="ListParagraph"/>
              <w:numPr>
                <w:ilvl w:val="0"/>
                <w:numId w:val="10"/>
              </w:numPr>
              <w:spacing w:before="40"/>
            </w:pPr>
            <w:r>
              <w:t>Controlling High Blood Pressure</w:t>
            </w:r>
          </w:p>
          <w:p w14:paraId="33335241" w14:textId="77777777" w:rsidR="008B062E" w:rsidRDefault="008B062E" w:rsidP="00F628AA">
            <w:pPr>
              <w:pStyle w:val="ListParagraph"/>
              <w:numPr>
                <w:ilvl w:val="0"/>
                <w:numId w:val="10"/>
              </w:numPr>
            </w:pPr>
            <w:r>
              <w:t>Comprehensive Diabetes Care: Hemoglobin A1c Poor Control (&gt;9.0%)</w:t>
            </w:r>
          </w:p>
          <w:p w14:paraId="52E74760" w14:textId="77777777" w:rsidR="008B062E" w:rsidRDefault="008B062E" w:rsidP="00F628AA">
            <w:pPr>
              <w:pStyle w:val="ListParagraph"/>
              <w:numPr>
                <w:ilvl w:val="0"/>
                <w:numId w:val="10"/>
              </w:numPr>
            </w:pPr>
            <w:r>
              <w:t>CG-CAHPS</w:t>
            </w:r>
            <w:r w:rsidR="00E46E64">
              <w:rPr>
                <w:rStyle w:val="FootnoteReference"/>
              </w:rPr>
              <w:footnoteReference w:id="29"/>
            </w:r>
            <w:r>
              <w:t xml:space="preserve"> (MHQP</w:t>
            </w:r>
            <w:r w:rsidR="007B11D4">
              <w:rPr>
                <w:rStyle w:val="FootnoteReference"/>
              </w:rPr>
              <w:footnoteReference w:id="30"/>
            </w:r>
            <w:r>
              <w:t xml:space="preserve"> version)</w:t>
            </w:r>
            <w:r w:rsidR="007B11D4">
              <w:rPr>
                <w:rStyle w:val="FootnoteReference"/>
              </w:rPr>
              <w:footnoteReference w:id="31"/>
            </w:r>
          </w:p>
          <w:p w14:paraId="2D4BC5FE" w14:textId="3B789637" w:rsidR="008B062E" w:rsidRDefault="008B062E" w:rsidP="00F628AA">
            <w:pPr>
              <w:pStyle w:val="ListParagraph"/>
              <w:numPr>
                <w:ilvl w:val="0"/>
                <w:numId w:val="10"/>
              </w:numPr>
            </w:pPr>
            <w:r>
              <w:t xml:space="preserve">At least one of the following </w:t>
            </w:r>
            <w:r w:rsidR="00A30F59">
              <w:t>behavioral health</w:t>
            </w:r>
            <w:r w:rsidR="0056690A">
              <w:t xml:space="preserve"> measures</w:t>
            </w:r>
            <w:r w:rsidR="00A30F59">
              <w:t>:</w:t>
            </w:r>
          </w:p>
          <w:p w14:paraId="04AB76B2" w14:textId="77777777" w:rsidR="008B062E" w:rsidRDefault="008B062E" w:rsidP="00F628AA">
            <w:pPr>
              <w:pStyle w:val="ListParagraph"/>
              <w:numPr>
                <w:ilvl w:val="1"/>
                <w:numId w:val="10"/>
              </w:numPr>
            </w:pPr>
            <w:r>
              <w:t>Initiation and Engagement of Alcohol and Other Drug Abuse or Dependence Treatment (either the Initiation or Engagement Phase)</w:t>
            </w:r>
          </w:p>
          <w:p w14:paraId="40F55093" w14:textId="77777777" w:rsidR="008B062E" w:rsidRDefault="008B062E" w:rsidP="008B062E">
            <w:pPr>
              <w:pStyle w:val="ListParagraph"/>
              <w:jc w:val="center"/>
            </w:pPr>
            <w:r>
              <w:t>OR</w:t>
            </w:r>
          </w:p>
          <w:p w14:paraId="1E20DCF0" w14:textId="77777777" w:rsidR="008B062E" w:rsidRDefault="008B062E" w:rsidP="00F628AA">
            <w:pPr>
              <w:pStyle w:val="ListParagraph"/>
              <w:numPr>
                <w:ilvl w:val="1"/>
                <w:numId w:val="10"/>
              </w:numPr>
            </w:pPr>
            <w:r>
              <w:t>At least one of the following depression-related measures:</w:t>
            </w:r>
          </w:p>
          <w:p w14:paraId="6DC8AC3D" w14:textId="77777777" w:rsidR="008B062E" w:rsidRDefault="008B062E" w:rsidP="00F628AA">
            <w:pPr>
              <w:pStyle w:val="ListParagraph"/>
              <w:numPr>
                <w:ilvl w:val="2"/>
                <w:numId w:val="10"/>
              </w:numPr>
            </w:pPr>
            <w:r>
              <w:t>Depression Screening and Follow-Up (CMS or NCQA)</w:t>
            </w:r>
          </w:p>
          <w:p w14:paraId="4684A42F" w14:textId="77777777" w:rsidR="008B062E" w:rsidRDefault="008B062E" w:rsidP="00F628AA">
            <w:pPr>
              <w:pStyle w:val="ListParagraph"/>
              <w:numPr>
                <w:ilvl w:val="2"/>
                <w:numId w:val="10"/>
              </w:numPr>
            </w:pPr>
            <w:r>
              <w:t>Depression Response – Progress Towards Remission (MNCM)</w:t>
            </w:r>
          </w:p>
          <w:p w14:paraId="699B7B02" w14:textId="77777777" w:rsidR="008B062E" w:rsidRDefault="008B062E" w:rsidP="00F628AA">
            <w:pPr>
              <w:pStyle w:val="ListParagraph"/>
              <w:numPr>
                <w:ilvl w:val="2"/>
                <w:numId w:val="10"/>
              </w:numPr>
            </w:pPr>
            <w:r>
              <w:t>Depression Remission (MNCM)</w:t>
            </w:r>
          </w:p>
          <w:p w14:paraId="0CCAF710" w14:textId="77777777" w:rsidR="008B062E" w:rsidRDefault="008B062E" w:rsidP="00701CEF">
            <w:pPr>
              <w:pStyle w:val="ListParagraph"/>
              <w:numPr>
                <w:ilvl w:val="2"/>
                <w:numId w:val="10"/>
              </w:numPr>
              <w:spacing w:after="40"/>
              <w:ind w:left="2174" w:hanging="187"/>
            </w:pPr>
            <w:r>
              <w:t>Depression Remission or Response (HEDIS)</w:t>
            </w:r>
          </w:p>
        </w:tc>
      </w:tr>
      <w:tr w:rsidR="00635F8C" w14:paraId="0E16FB6D" w14:textId="77777777" w:rsidTr="00701CEF">
        <w:trPr>
          <w:jc w:val="center"/>
        </w:trPr>
        <w:tc>
          <w:tcPr>
            <w:tcW w:w="8388" w:type="dxa"/>
            <w:tcBorders>
              <w:top w:val="single" w:sz="4" w:space="0" w:color="auto"/>
              <w:left w:val="nil"/>
              <w:bottom w:val="nil"/>
              <w:right w:val="nil"/>
            </w:tcBorders>
            <w:vAlign w:val="center"/>
          </w:tcPr>
          <w:p w14:paraId="53520F04" w14:textId="77777777" w:rsidR="00701CEF" w:rsidRDefault="00701CEF" w:rsidP="00701CEF"/>
        </w:tc>
      </w:tr>
      <w:tr w:rsidR="00635F8C" w:rsidRPr="00935837" w14:paraId="105A61EE" w14:textId="77777777" w:rsidTr="00701CEF">
        <w:trPr>
          <w:jc w:val="center"/>
        </w:trPr>
        <w:tc>
          <w:tcPr>
            <w:tcW w:w="8388" w:type="dxa"/>
            <w:tcBorders>
              <w:top w:val="nil"/>
            </w:tcBorders>
            <w:shd w:val="clear" w:color="auto" w:fill="002060"/>
            <w:vAlign w:val="center"/>
          </w:tcPr>
          <w:p w14:paraId="22B83873" w14:textId="77777777" w:rsidR="008B062E" w:rsidRPr="00935837" w:rsidRDefault="008B062E" w:rsidP="00503B9F">
            <w:pPr>
              <w:rPr>
                <w:b/>
              </w:rPr>
            </w:pPr>
            <w:r>
              <w:rPr>
                <w:b/>
              </w:rPr>
              <w:lastRenderedPageBreak/>
              <w:t>Menu Measures</w:t>
            </w:r>
          </w:p>
        </w:tc>
      </w:tr>
      <w:tr w:rsidR="008B062E" w14:paraId="5C730B22" w14:textId="77777777" w:rsidTr="000748B8">
        <w:trPr>
          <w:jc w:val="center"/>
        </w:trPr>
        <w:tc>
          <w:tcPr>
            <w:tcW w:w="8388" w:type="dxa"/>
            <w:vAlign w:val="center"/>
          </w:tcPr>
          <w:p w14:paraId="766BAC3E" w14:textId="02245B62" w:rsidR="008B062E" w:rsidRDefault="008B062E" w:rsidP="00701CEF">
            <w:pPr>
              <w:pStyle w:val="ListParagraph"/>
              <w:numPr>
                <w:ilvl w:val="0"/>
                <w:numId w:val="10"/>
              </w:numPr>
              <w:spacing w:before="40"/>
            </w:pPr>
            <w:r>
              <w:t xml:space="preserve">Childhood Immunization Status (Combo </w:t>
            </w:r>
            <w:r w:rsidR="00C0426A">
              <w:t>10</w:t>
            </w:r>
            <w:r>
              <w:t>)</w:t>
            </w:r>
          </w:p>
          <w:p w14:paraId="1BBBBCFD" w14:textId="47D26663" w:rsidR="008B062E" w:rsidRDefault="008B062E" w:rsidP="00F628AA">
            <w:pPr>
              <w:pStyle w:val="ListParagraph"/>
              <w:numPr>
                <w:ilvl w:val="0"/>
                <w:numId w:val="10"/>
              </w:numPr>
            </w:pPr>
            <w:r>
              <w:t xml:space="preserve">Immunizations for Adolescents (Combo </w:t>
            </w:r>
            <w:r w:rsidR="00C0426A">
              <w:t>2</w:t>
            </w:r>
            <w:r>
              <w:t>)</w:t>
            </w:r>
          </w:p>
          <w:p w14:paraId="0C4DF022" w14:textId="77777777" w:rsidR="008B062E" w:rsidRDefault="008B062E" w:rsidP="00F628AA">
            <w:pPr>
              <w:pStyle w:val="ListParagraph"/>
              <w:numPr>
                <w:ilvl w:val="0"/>
                <w:numId w:val="10"/>
              </w:numPr>
            </w:pPr>
            <w:r>
              <w:t>Influenza Immunization</w:t>
            </w:r>
          </w:p>
          <w:p w14:paraId="25020100" w14:textId="77777777" w:rsidR="008B062E" w:rsidRDefault="0063330E" w:rsidP="00F628AA">
            <w:pPr>
              <w:pStyle w:val="ListParagraph"/>
              <w:numPr>
                <w:ilvl w:val="0"/>
                <w:numId w:val="10"/>
              </w:numPr>
            </w:pPr>
            <w:r>
              <w:t>Chlamydia Screening</w:t>
            </w:r>
          </w:p>
          <w:p w14:paraId="58ED1CC3" w14:textId="77777777" w:rsidR="008B062E" w:rsidRDefault="008B062E" w:rsidP="00F628AA">
            <w:pPr>
              <w:pStyle w:val="ListParagraph"/>
              <w:numPr>
                <w:ilvl w:val="0"/>
                <w:numId w:val="10"/>
              </w:numPr>
            </w:pPr>
            <w:r>
              <w:t>Breast Cancer Screening</w:t>
            </w:r>
          </w:p>
          <w:p w14:paraId="1B7554C9" w14:textId="77777777" w:rsidR="008B062E" w:rsidRDefault="008B062E" w:rsidP="00F628AA">
            <w:pPr>
              <w:pStyle w:val="ListParagraph"/>
              <w:numPr>
                <w:ilvl w:val="0"/>
                <w:numId w:val="10"/>
              </w:numPr>
            </w:pPr>
            <w:r>
              <w:t>Cervical Cancer Screening</w:t>
            </w:r>
          </w:p>
          <w:p w14:paraId="7F4264BA" w14:textId="77777777" w:rsidR="008B062E" w:rsidRDefault="008B062E" w:rsidP="00F628AA">
            <w:pPr>
              <w:pStyle w:val="ListParagraph"/>
              <w:numPr>
                <w:ilvl w:val="0"/>
                <w:numId w:val="10"/>
              </w:numPr>
            </w:pPr>
            <w:r>
              <w:t>Colorectal Cancer Screening</w:t>
            </w:r>
          </w:p>
          <w:p w14:paraId="311F3F3D" w14:textId="77777777" w:rsidR="008B062E" w:rsidRDefault="008B062E" w:rsidP="00F628AA">
            <w:pPr>
              <w:pStyle w:val="ListParagraph"/>
              <w:numPr>
                <w:ilvl w:val="0"/>
                <w:numId w:val="10"/>
              </w:numPr>
            </w:pPr>
            <w:r>
              <w:t>Asthma Medication Ratio</w:t>
            </w:r>
          </w:p>
          <w:p w14:paraId="16C9D0D1" w14:textId="77777777" w:rsidR="008B062E" w:rsidRDefault="008B062E" w:rsidP="00F628AA">
            <w:pPr>
              <w:pStyle w:val="ListParagraph"/>
              <w:numPr>
                <w:ilvl w:val="0"/>
                <w:numId w:val="10"/>
              </w:numPr>
            </w:pPr>
            <w:r>
              <w:t>Comprehensive Diabetes Care: Eye Exam</w:t>
            </w:r>
          </w:p>
          <w:p w14:paraId="575CAA9B" w14:textId="77777777" w:rsidR="008B062E" w:rsidRDefault="008B062E" w:rsidP="00F628AA">
            <w:pPr>
              <w:pStyle w:val="ListParagraph"/>
              <w:numPr>
                <w:ilvl w:val="0"/>
                <w:numId w:val="10"/>
              </w:numPr>
            </w:pPr>
            <w:r>
              <w:t>Comprehensive Diabetes Care: Blood Pressure Control (&lt;140/90 mm Hg)</w:t>
            </w:r>
          </w:p>
          <w:p w14:paraId="1909DD7E" w14:textId="77777777" w:rsidR="008B062E" w:rsidRDefault="008B062E" w:rsidP="00F628AA">
            <w:pPr>
              <w:pStyle w:val="ListParagraph"/>
              <w:numPr>
                <w:ilvl w:val="0"/>
                <w:numId w:val="10"/>
              </w:numPr>
            </w:pPr>
            <w:r>
              <w:t>Metabolic Monitoring for Children and Adolescents on Antipsychotics</w:t>
            </w:r>
          </w:p>
          <w:p w14:paraId="2A82F4CE" w14:textId="77777777" w:rsidR="008B062E" w:rsidRDefault="008B062E" w:rsidP="00F628AA">
            <w:pPr>
              <w:pStyle w:val="ListParagraph"/>
              <w:numPr>
                <w:ilvl w:val="0"/>
                <w:numId w:val="10"/>
              </w:numPr>
            </w:pPr>
            <w:r>
              <w:t>Child and Adolescent Major Depressive Disorder: Suicide Risk Assessment</w:t>
            </w:r>
          </w:p>
          <w:p w14:paraId="7CF647FE" w14:textId="77777777" w:rsidR="008B062E" w:rsidRDefault="008B062E" w:rsidP="00F628AA">
            <w:pPr>
              <w:pStyle w:val="ListParagraph"/>
              <w:numPr>
                <w:ilvl w:val="0"/>
                <w:numId w:val="10"/>
              </w:numPr>
            </w:pPr>
            <w:r>
              <w:t>Follow-Up After Hospitalization for Mental Illness (7-Day)</w:t>
            </w:r>
          </w:p>
          <w:p w14:paraId="0F34CE37" w14:textId="77777777" w:rsidR="008B062E" w:rsidRDefault="008B062E" w:rsidP="00F628AA">
            <w:pPr>
              <w:pStyle w:val="ListParagraph"/>
              <w:numPr>
                <w:ilvl w:val="0"/>
                <w:numId w:val="10"/>
              </w:numPr>
            </w:pPr>
            <w:r>
              <w:t>Follow-Up After Hospitalization for Mental Illness (30-Day)</w:t>
            </w:r>
          </w:p>
          <w:p w14:paraId="77D7E008" w14:textId="77777777" w:rsidR="008B062E" w:rsidRDefault="008B062E" w:rsidP="00F628AA">
            <w:pPr>
              <w:pStyle w:val="ListParagraph"/>
              <w:numPr>
                <w:ilvl w:val="0"/>
                <w:numId w:val="10"/>
              </w:numPr>
            </w:pPr>
            <w:r>
              <w:t xml:space="preserve">Follow-up After Emergency Department Visit for Mental Health (7-Day) </w:t>
            </w:r>
          </w:p>
          <w:p w14:paraId="2FBA7AC2" w14:textId="77777777" w:rsidR="008B062E" w:rsidRDefault="008B062E" w:rsidP="00F628AA">
            <w:pPr>
              <w:pStyle w:val="ListParagraph"/>
              <w:numPr>
                <w:ilvl w:val="0"/>
                <w:numId w:val="10"/>
              </w:numPr>
            </w:pPr>
            <w:r>
              <w:t>Continuity of Pharmacotherapy for Opioid Use Disorder</w:t>
            </w:r>
          </w:p>
          <w:p w14:paraId="20043507" w14:textId="77777777" w:rsidR="008B062E" w:rsidRDefault="008B062E" w:rsidP="00701CEF">
            <w:pPr>
              <w:pStyle w:val="ListParagraph"/>
              <w:numPr>
                <w:ilvl w:val="0"/>
                <w:numId w:val="10"/>
              </w:numPr>
              <w:spacing w:after="40"/>
            </w:pPr>
            <w:r>
              <w:t>Use of Imaging Studies for Low Back Pain</w:t>
            </w:r>
          </w:p>
        </w:tc>
      </w:tr>
      <w:tr w:rsidR="00635F8C" w14:paraId="56BDE20A" w14:textId="77777777" w:rsidTr="00503B9F">
        <w:trPr>
          <w:jc w:val="center"/>
        </w:trPr>
        <w:tc>
          <w:tcPr>
            <w:tcW w:w="8388" w:type="dxa"/>
            <w:shd w:val="clear" w:color="auto" w:fill="002060"/>
            <w:vAlign w:val="center"/>
          </w:tcPr>
          <w:p w14:paraId="447EFD08" w14:textId="77777777" w:rsidR="00503B9F" w:rsidRPr="00503B9F" w:rsidRDefault="00503B9F" w:rsidP="00503B9F">
            <w:pPr>
              <w:rPr>
                <w:b/>
              </w:rPr>
            </w:pPr>
            <w:r w:rsidRPr="00503B9F">
              <w:rPr>
                <w:b/>
              </w:rPr>
              <w:t>Monitoring Measures</w:t>
            </w:r>
          </w:p>
        </w:tc>
      </w:tr>
      <w:tr w:rsidR="00503B9F" w14:paraId="29D4ECE3" w14:textId="77777777" w:rsidTr="000748B8">
        <w:trPr>
          <w:jc w:val="center"/>
        </w:trPr>
        <w:tc>
          <w:tcPr>
            <w:tcW w:w="8388" w:type="dxa"/>
            <w:vAlign w:val="center"/>
          </w:tcPr>
          <w:p w14:paraId="4D957412" w14:textId="77777777" w:rsidR="00C2225C" w:rsidRPr="00392827" w:rsidRDefault="00C2225C" w:rsidP="00701CEF">
            <w:pPr>
              <w:pStyle w:val="ListParagraph"/>
              <w:numPr>
                <w:ilvl w:val="0"/>
                <w:numId w:val="14"/>
              </w:numPr>
              <w:spacing w:before="40"/>
            </w:pPr>
            <w:r w:rsidRPr="00392827">
              <w:t>Well-Child Visits in the First 15 Months of Life</w:t>
            </w:r>
          </w:p>
          <w:p w14:paraId="7992B997" w14:textId="77777777" w:rsidR="00C2225C" w:rsidRPr="00392827" w:rsidRDefault="00C2225C" w:rsidP="00F628AA">
            <w:pPr>
              <w:pStyle w:val="ListParagraph"/>
              <w:numPr>
                <w:ilvl w:val="0"/>
                <w:numId w:val="14"/>
              </w:numPr>
            </w:pPr>
            <w:r w:rsidRPr="00392827">
              <w:t>Well-Child Visits in the 3rd, 4th, 5th, and 6th Years of Life</w:t>
            </w:r>
          </w:p>
          <w:p w14:paraId="0CE6DB02" w14:textId="77777777" w:rsidR="00C2225C" w:rsidRPr="00392827" w:rsidRDefault="00C2225C" w:rsidP="00F628AA">
            <w:pPr>
              <w:pStyle w:val="ListParagraph"/>
              <w:numPr>
                <w:ilvl w:val="0"/>
                <w:numId w:val="14"/>
              </w:numPr>
            </w:pPr>
            <w:r w:rsidRPr="00392827">
              <w:t>Adolescent Well-Care Visit</w:t>
            </w:r>
          </w:p>
          <w:p w14:paraId="0F6C86AA" w14:textId="77777777" w:rsidR="00C2225C" w:rsidRPr="00392827" w:rsidRDefault="00C2225C" w:rsidP="00F628AA">
            <w:pPr>
              <w:pStyle w:val="ListParagraph"/>
              <w:numPr>
                <w:ilvl w:val="0"/>
                <w:numId w:val="14"/>
              </w:numPr>
            </w:pPr>
            <w:r w:rsidRPr="00392827">
              <w:t xml:space="preserve">Comprehensive Diabetes Care: Hemoglobin A1c Testing </w:t>
            </w:r>
          </w:p>
          <w:p w14:paraId="5176DE4E" w14:textId="77777777" w:rsidR="00C2225C" w:rsidRPr="00392827" w:rsidRDefault="00C2225C" w:rsidP="00F628AA">
            <w:pPr>
              <w:pStyle w:val="ListParagraph"/>
              <w:numPr>
                <w:ilvl w:val="0"/>
                <w:numId w:val="14"/>
              </w:numPr>
            </w:pPr>
            <w:r w:rsidRPr="00392827">
              <w:t>Comprehensive Diabetes Care: Medical Attention for Nephropathy</w:t>
            </w:r>
          </w:p>
          <w:p w14:paraId="583B392A" w14:textId="77777777" w:rsidR="00C2225C" w:rsidRPr="00392827" w:rsidRDefault="00C2225C" w:rsidP="00F628AA">
            <w:pPr>
              <w:pStyle w:val="ListParagraph"/>
              <w:numPr>
                <w:ilvl w:val="0"/>
                <w:numId w:val="14"/>
              </w:numPr>
            </w:pPr>
            <w:r w:rsidRPr="00392827">
              <w:t>Contraceptive Care – Postpartum</w:t>
            </w:r>
          </w:p>
          <w:p w14:paraId="730CF07F" w14:textId="77777777" w:rsidR="00C2225C" w:rsidRPr="00392827" w:rsidRDefault="00C2225C" w:rsidP="00F628AA">
            <w:pPr>
              <w:pStyle w:val="ListParagraph"/>
              <w:numPr>
                <w:ilvl w:val="0"/>
                <w:numId w:val="14"/>
              </w:numPr>
            </w:pPr>
            <w:r w:rsidRPr="00392827">
              <w:t>Prenatal &amp; Postpartum Care - Timeliness of Prenatal Care</w:t>
            </w:r>
          </w:p>
          <w:p w14:paraId="52733C16" w14:textId="1D7DD9A9" w:rsidR="00503B9F" w:rsidRDefault="00C2225C" w:rsidP="00701CEF">
            <w:pPr>
              <w:pStyle w:val="ListParagraph"/>
              <w:numPr>
                <w:ilvl w:val="0"/>
                <w:numId w:val="14"/>
              </w:numPr>
              <w:spacing w:after="40"/>
            </w:pPr>
            <w:r w:rsidRPr="00392827">
              <w:t>Incidence of Episiotomy</w:t>
            </w:r>
            <w:r w:rsidR="00791CC3">
              <w:rPr>
                <w:rStyle w:val="FootnoteReference"/>
              </w:rPr>
              <w:footnoteReference w:id="32"/>
            </w:r>
          </w:p>
        </w:tc>
      </w:tr>
    </w:tbl>
    <w:p w14:paraId="68909296" w14:textId="77777777" w:rsidR="00547F6A" w:rsidRDefault="00547F6A" w:rsidP="00547F6A"/>
    <w:p w14:paraId="0D546155" w14:textId="59331755" w:rsidR="00DA21DE" w:rsidRDefault="00DA21DE" w:rsidP="00E81F43">
      <w:pPr>
        <w:spacing w:after="200"/>
      </w:pPr>
      <w:r w:rsidRPr="00DA21DE">
        <w:t xml:space="preserve">The Core and Menu </w:t>
      </w:r>
      <w:r>
        <w:t>S</w:t>
      </w:r>
      <w:r w:rsidRPr="00DA21DE">
        <w:t xml:space="preserve">ets were established with the expectation that they would be </w:t>
      </w:r>
      <w:r w:rsidR="00547F6A">
        <w:t>reassessed</w:t>
      </w:r>
      <w:r w:rsidRPr="00DA21DE">
        <w:t xml:space="preserve"> annually</w:t>
      </w:r>
      <w:r w:rsidR="00080223">
        <w:t xml:space="preserve"> by the Taskforce</w:t>
      </w:r>
      <w:r w:rsidRPr="00DA21DE">
        <w:t>, including to consider changes in national clinical guidelines and national measure specifications.</w:t>
      </w:r>
      <w:r w:rsidR="008D33AB">
        <w:t xml:space="preserve">  The Taskforce will define this annual review process as part of its next phase of work, as outlined in Section IV below.</w:t>
      </w:r>
    </w:p>
    <w:p w14:paraId="7926AF60" w14:textId="4569BFDB" w:rsidR="00E81F43" w:rsidRDefault="004A7F39" w:rsidP="00E81F43">
      <w:pPr>
        <w:spacing w:after="200"/>
      </w:pPr>
      <w:r>
        <w:t xml:space="preserve">The Taskforce endorsed the concept of </w:t>
      </w:r>
      <w:r w:rsidR="00503B9F">
        <w:t xml:space="preserve">Innovation </w:t>
      </w:r>
      <w:r>
        <w:t xml:space="preserve">measures </w:t>
      </w:r>
      <w:r w:rsidR="001000C5">
        <w:t xml:space="preserve">to </w:t>
      </w:r>
      <w:r w:rsidR="00BC765C">
        <w:t>enable</w:t>
      </w:r>
      <w:r w:rsidR="001000C5">
        <w:t xml:space="preserve"> payers and providers flexibility to pursue </w:t>
      </w:r>
      <w:r w:rsidR="00E83BC8">
        <w:t>the</w:t>
      </w:r>
      <w:r w:rsidR="00CF69D3">
        <w:t xml:space="preserve"> development and</w:t>
      </w:r>
      <w:r w:rsidR="00E83BC8">
        <w:t xml:space="preserve"> implementation of </w:t>
      </w:r>
      <w:r w:rsidR="00503B9F">
        <w:t xml:space="preserve">novel </w:t>
      </w:r>
      <w:r w:rsidR="001000C5">
        <w:t>measures</w:t>
      </w:r>
      <w:r w:rsidR="00E83BC8">
        <w:t xml:space="preserve">.  These </w:t>
      </w:r>
      <w:r w:rsidR="00F139E9">
        <w:t xml:space="preserve">Innovation </w:t>
      </w:r>
      <w:r w:rsidR="00E83BC8">
        <w:t xml:space="preserve">measures </w:t>
      </w:r>
      <w:r w:rsidR="005E477B">
        <w:t xml:space="preserve">will </w:t>
      </w:r>
      <w:r w:rsidR="00E83BC8">
        <w:t>allow focus on specific clinical conditions or populations that are of mutual interest to a payer-ACO dyad.</w:t>
      </w:r>
    </w:p>
    <w:p w14:paraId="5C22EA3D" w14:textId="34B79304" w:rsidR="002E2066" w:rsidRDefault="002E2066" w:rsidP="002E2066">
      <w:pPr>
        <w:pStyle w:val="CommentText"/>
      </w:pPr>
      <w:r>
        <w:t>Finally, over the course of the Taskforce meetings, members periodically identified gaps in existing available measures relative to the Taskforce’s identified priorities.  The gaps were specific to a condition, a treatment, a population, or a dimension of care (e.g., outcome).  In some instances, measure</w:t>
      </w:r>
      <w:r w:rsidR="0056690A">
        <w:t>s were identified to</w:t>
      </w:r>
      <w:r>
        <w:t xml:space="preserve"> require additional developmental work</w:t>
      </w:r>
      <w:r w:rsidR="0056690A">
        <w:t xml:space="preserve"> prior to being</w:t>
      </w:r>
      <w:r>
        <w:t xml:space="preserve"> considered for adoption.  In other cases, members identified a measure concept that </w:t>
      </w:r>
      <w:r>
        <w:lastRenderedPageBreak/>
        <w:t>need</w:t>
      </w:r>
      <w:r w:rsidR="00891277">
        <w:t>ed</w:t>
      </w:r>
      <w:r>
        <w:t xml:space="preserve"> further analy</w:t>
      </w:r>
      <w:r w:rsidR="00891277">
        <w:t>sis to be</w:t>
      </w:r>
      <w:r>
        <w:t xml:space="preserve"> developed </w:t>
      </w:r>
      <w:r w:rsidR="00891277">
        <w:t>into</w:t>
      </w:r>
      <w:r>
        <w:t xml:space="preserve"> a measure.  </w:t>
      </w:r>
      <w:r w:rsidRPr="002E2066">
        <w:rPr>
          <w:b/>
        </w:rPr>
        <w:t>Appendix A</w:t>
      </w:r>
      <w:r>
        <w:t xml:space="preserve"> lists the developmental measures and measure concepts identified as of July 2018.</w:t>
      </w:r>
    </w:p>
    <w:p w14:paraId="42810372" w14:textId="77777777" w:rsidR="00503B9F" w:rsidRDefault="00503B9F" w:rsidP="00A57D16"/>
    <w:p w14:paraId="6A6E0BB8" w14:textId="29D2C693" w:rsidR="00E81F43" w:rsidRDefault="00A57D16" w:rsidP="00640748">
      <w:pPr>
        <w:pStyle w:val="Heading3"/>
        <w:numPr>
          <w:ilvl w:val="0"/>
          <w:numId w:val="13"/>
        </w:numPr>
        <w:spacing w:after="200"/>
        <w:ind w:left="360"/>
      </w:pPr>
      <w:bookmarkStart w:id="45" w:name="_Toc5362568"/>
      <w:r>
        <w:t xml:space="preserve">Implementation </w:t>
      </w:r>
      <w:r w:rsidRPr="003961FA">
        <w:t>of the</w:t>
      </w:r>
      <w:r w:rsidR="00BA0B2A">
        <w:t xml:space="preserve"> Recommended</w:t>
      </w:r>
      <w:r w:rsidRPr="003961FA">
        <w:t xml:space="preserve"> Massachusetts Aligned Measure Set</w:t>
      </w:r>
      <w:bookmarkEnd w:id="45"/>
    </w:p>
    <w:p w14:paraId="1AC493D9" w14:textId="756EA1D9" w:rsidR="00E81F43" w:rsidRDefault="00C41087" w:rsidP="00E81F43">
      <w:pPr>
        <w:spacing w:after="200"/>
      </w:pPr>
      <w:r>
        <w:t>Taskforce s</w:t>
      </w:r>
      <w:r w:rsidR="00503B9F">
        <w:t>taff</w:t>
      </w:r>
      <w:r w:rsidR="00E40B47">
        <w:t xml:space="preserve"> initially</w:t>
      </w:r>
      <w:r w:rsidR="00503B9F">
        <w:t xml:space="preserve"> </w:t>
      </w:r>
      <w:r w:rsidR="00D146CB">
        <w:t xml:space="preserve">suggested that the Taskforce recommend that payers electing to voluntarily adopt the </w:t>
      </w:r>
      <w:r w:rsidR="006C25FF">
        <w:t xml:space="preserve">Massachusetts </w:t>
      </w:r>
      <w:r w:rsidR="00503B9F">
        <w:t xml:space="preserve">Aligned Measure Set </w:t>
      </w:r>
      <w:r w:rsidR="00D146CB">
        <w:t xml:space="preserve">implement the set in their ACO contracts </w:t>
      </w:r>
      <w:r w:rsidR="00547F6A">
        <w:t xml:space="preserve">effective </w:t>
      </w:r>
      <w:r w:rsidR="00CD62B5">
        <w:t>January 1, 2019</w:t>
      </w:r>
      <w:r w:rsidR="0030489D">
        <w:t xml:space="preserve">.  </w:t>
      </w:r>
      <w:r>
        <w:t>Taskforce s</w:t>
      </w:r>
      <w:r w:rsidR="00D146CB">
        <w:t xml:space="preserve">taff further suggested </w:t>
      </w:r>
      <w:r w:rsidR="00891277">
        <w:t>that any new or revised</w:t>
      </w:r>
      <w:r w:rsidR="0030489D">
        <w:t xml:space="preserve"> </w:t>
      </w:r>
      <w:r w:rsidR="0030489D" w:rsidRPr="0030489D">
        <w:t xml:space="preserve">contracts </w:t>
      </w:r>
      <w:r w:rsidR="00891277">
        <w:t xml:space="preserve">should </w:t>
      </w:r>
      <w:r w:rsidR="0030489D" w:rsidRPr="0030489D">
        <w:t xml:space="preserve">include </w:t>
      </w:r>
      <w:r w:rsidR="00F17E03">
        <w:t xml:space="preserve">measures from the Core </w:t>
      </w:r>
      <w:r w:rsidR="004229A9">
        <w:t xml:space="preserve">and </w:t>
      </w:r>
      <w:r w:rsidR="00F17E03">
        <w:t>Menu Measure Sets</w:t>
      </w:r>
      <w:r w:rsidR="00891277">
        <w:t xml:space="preserve"> and changes to measures should be incorporated</w:t>
      </w:r>
      <w:r w:rsidR="00F17E03">
        <w:t xml:space="preserve"> </w:t>
      </w:r>
      <w:r w:rsidR="00891277">
        <w:t>if</w:t>
      </w:r>
      <w:r w:rsidR="0030489D" w:rsidRPr="0030489D">
        <w:t xml:space="preserve"> </w:t>
      </w:r>
      <w:r w:rsidR="00A31462">
        <w:t>the Taskforce identifie</w:t>
      </w:r>
      <w:r w:rsidR="004229A9">
        <w:t>d</w:t>
      </w:r>
      <w:r w:rsidR="00A31462">
        <w:t xml:space="preserve"> </w:t>
      </w:r>
      <w:r w:rsidR="0030489D" w:rsidRPr="0030489D">
        <w:t>the change at least six months in ad</w:t>
      </w:r>
      <w:r w:rsidR="0030489D">
        <w:t>vance of the</w:t>
      </w:r>
      <w:r w:rsidR="00122F3E">
        <w:t xml:space="preserve"> contractual</w:t>
      </w:r>
      <w:r w:rsidR="0030489D">
        <w:t xml:space="preserve"> performance period.  </w:t>
      </w:r>
      <w:r w:rsidR="0030489D" w:rsidRPr="0030489D">
        <w:t xml:space="preserve">This policy </w:t>
      </w:r>
      <w:r w:rsidR="00B83EBB" w:rsidRPr="0030489D">
        <w:t>w</w:t>
      </w:r>
      <w:r w:rsidR="004229A9">
        <w:t>ould</w:t>
      </w:r>
      <w:r w:rsidR="00B83EBB" w:rsidRPr="0030489D">
        <w:t xml:space="preserve"> </w:t>
      </w:r>
      <w:r w:rsidR="0030489D" w:rsidRPr="0030489D">
        <w:t>not apply to changes in specifications to HEDIS measures (typically released in July each year).</w:t>
      </w:r>
      <w:r w:rsidR="008D33AB">
        <w:rPr>
          <w:rStyle w:val="FootnoteReference"/>
        </w:rPr>
        <w:footnoteReference w:id="33"/>
      </w:r>
    </w:p>
    <w:p w14:paraId="2D28FAB4" w14:textId="0478F9DF" w:rsidR="00E81F43" w:rsidRDefault="00503B9F" w:rsidP="00E81F43">
      <w:pPr>
        <w:spacing w:after="200"/>
      </w:pPr>
      <w:r w:rsidRPr="00E40B47">
        <w:t xml:space="preserve">The Taskforce </w:t>
      </w:r>
      <w:r w:rsidR="00891277">
        <w:t xml:space="preserve">was uncertain that implementation of </w:t>
      </w:r>
      <w:r w:rsidR="00CD62B5" w:rsidRPr="00E40B47">
        <w:t>the measure set by January 1, 2019 was feasible</w:t>
      </w:r>
      <w:r w:rsidR="00891277">
        <w:t>,</w:t>
      </w:r>
      <w:r w:rsidR="000B6F51" w:rsidRPr="00E40B47">
        <w:t xml:space="preserve"> given the length and complexity of </w:t>
      </w:r>
      <w:r w:rsidR="005C5866">
        <w:t>commercial</w:t>
      </w:r>
      <w:r w:rsidR="00122F3E">
        <w:t xml:space="preserve"> payer/ACO</w:t>
      </w:r>
      <w:r w:rsidR="005C5866">
        <w:t xml:space="preserve"> </w:t>
      </w:r>
      <w:r w:rsidR="000B6F51" w:rsidRPr="00E40B47">
        <w:t>contract negotiations</w:t>
      </w:r>
      <w:r w:rsidR="00CD62B5" w:rsidRPr="00E40B47">
        <w:t>.</w:t>
      </w:r>
      <w:r w:rsidR="007E51C1" w:rsidRPr="00E40B47">
        <w:t xml:space="preserve">  </w:t>
      </w:r>
      <w:r w:rsidR="00E40B47">
        <w:t>P</w:t>
      </w:r>
      <w:r w:rsidR="00E40B47" w:rsidRPr="00E40B47">
        <w:t xml:space="preserve">ayer representatives </w:t>
      </w:r>
      <w:r w:rsidR="00547F6A">
        <w:t xml:space="preserve">argued that they could not open multi-year contracts without opening the entirety of their contracts to renegotiations.  </w:t>
      </w:r>
      <w:r w:rsidR="00E40B47">
        <w:t xml:space="preserve">In addition, </w:t>
      </w:r>
      <w:r w:rsidR="00E40B47" w:rsidRPr="00E40B47">
        <w:t xml:space="preserve">payer representatives </w:t>
      </w:r>
      <w:r w:rsidR="00547F6A">
        <w:t xml:space="preserve">said they needed </w:t>
      </w:r>
      <w:r w:rsidR="00111E9E">
        <w:t xml:space="preserve">between six to 18 </w:t>
      </w:r>
      <w:r w:rsidR="00547F6A">
        <w:t xml:space="preserve">months’ notice of contractual measures changes.  </w:t>
      </w:r>
      <w:r w:rsidR="00343612">
        <w:t>Based on this feedback</w:t>
      </w:r>
      <w:r w:rsidR="00F17E03">
        <w:t xml:space="preserve">, Taskforce </w:t>
      </w:r>
      <w:r w:rsidR="00343612">
        <w:t xml:space="preserve">staff and payer representatives </w:t>
      </w:r>
      <w:r w:rsidR="004D37C8">
        <w:t xml:space="preserve">recommended </w:t>
      </w:r>
      <w:r w:rsidR="00F17E03">
        <w:t>that payers</w:t>
      </w:r>
      <w:r w:rsidR="004D37C8">
        <w:t xml:space="preserve"> voluntarily adopting the Massachusetts Aligned Measure Set</w:t>
      </w:r>
      <w:r w:rsidR="00F17E03">
        <w:t xml:space="preserve"> </w:t>
      </w:r>
      <w:r w:rsidR="004D37C8">
        <w:t xml:space="preserve">incorporate the measures into </w:t>
      </w:r>
      <w:r w:rsidR="00F17E03">
        <w:t xml:space="preserve">contracts </w:t>
      </w:r>
      <w:r w:rsidR="004D37C8">
        <w:t xml:space="preserve">with ACOs </w:t>
      </w:r>
      <w:r w:rsidR="002B4E9F">
        <w:t xml:space="preserve">with renewal dates </w:t>
      </w:r>
      <w:r w:rsidR="00F17E03">
        <w:t>on or after January 1, 2020</w:t>
      </w:r>
      <w:r w:rsidR="004D37C8">
        <w:t>.  Further, they recommended</w:t>
      </w:r>
      <w:r w:rsidR="00343612">
        <w:t xml:space="preserve"> </w:t>
      </w:r>
      <w:r w:rsidR="004D37C8">
        <w:t>that</w:t>
      </w:r>
      <w:r w:rsidR="009B5F8E">
        <w:t xml:space="preserve"> </w:t>
      </w:r>
      <w:r w:rsidR="00343612">
        <w:t xml:space="preserve">any changes to the </w:t>
      </w:r>
      <w:r w:rsidR="004D37C8">
        <w:t xml:space="preserve">Massachusetts </w:t>
      </w:r>
      <w:r w:rsidR="00343612">
        <w:t xml:space="preserve">Aligned Measure Set be established </w:t>
      </w:r>
      <w:r w:rsidR="00C92293">
        <w:t xml:space="preserve">annually </w:t>
      </w:r>
      <w:r w:rsidR="00343612">
        <w:t xml:space="preserve">no later than March for </w:t>
      </w:r>
      <w:r w:rsidR="004D37C8">
        <w:t xml:space="preserve">contract </w:t>
      </w:r>
      <w:r w:rsidR="00343612">
        <w:t xml:space="preserve">implementation in the </w:t>
      </w:r>
      <w:r w:rsidR="00891277">
        <w:t>subsequent</w:t>
      </w:r>
      <w:r w:rsidR="00343612">
        <w:t xml:space="preserve"> calendar year.  The Taskforce will continue its discussion relative to implementation </w:t>
      </w:r>
      <w:r w:rsidR="00FA45CC">
        <w:t xml:space="preserve">during </w:t>
      </w:r>
      <w:r w:rsidR="00F851DE">
        <w:t xml:space="preserve">its </w:t>
      </w:r>
      <w:r w:rsidR="00E51517">
        <w:t>next meeting in September 2018.</w:t>
      </w:r>
    </w:p>
    <w:p w14:paraId="1826A659" w14:textId="3657C169" w:rsidR="007B3CFB" w:rsidRDefault="00CD62B5" w:rsidP="00E81F43">
      <w:pPr>
        <w:spacing w:after="200"/>
      </w:pPr>
      <w:r>
        <w:t xml:space="preserve">The Taskforce also agreed to </w:t>
      </w:r>
      <w:r w:rsidR="004809FA">
        <w:t>po</w:t>
      </w:r>
      <w:r>
        <w:t>st</w:t>
      </w:r>
      <w:r w:rsidR="004809FA">
        <w:t xml:space="preserve"> </w:t>
      </w:r>
      <w:r w:rsidR="0030489D" w:rsidRPr="0030489D">
        <w:t xml:space="preserve">the </w:t>
      </w:r>
      <w:r w:rsidR="004809FA">
        <w:t xml:space="preserve">final </w:t>
      </w:r>
      <w:r>
        <w:t>Massachusetts Aligned M</w:t>
      </w:r>
      <w:r w:rsidR="0030489D" w:rsidRPr="0030489D">
        <w:t xml:space="preserve">easure </w:t>
      </w:r>
      <w:r>
        <w:t>S</w:t>
      </w:r>
      <w:r w:rsidR="0030489D" w:rsidRPr="0030489D">
        <w:t xml:space="preserve">et on the EOHHS website </w:t>
      </w:r>
      <w:r w:rsidR="004809FA">
        <w:t>and invit</w:t>
      </w:r>
      <w:r>
        <w:t>e</w:t>
      </w:r>
      <w:r w:rsidR="004809FA">
        <w:t xml:space="preserve"> </w:t>
      </w:r>
      <w:r w:rsidR="0030489D" w:rsidRPr="0030489D">
        <w:t>the public to submit written feedback.</w:t>
      </w:r>
      <w:r w:rsidR="0030489D">
        <w:t xml:space="preserve">  </w:t>
      </w:r>
      <w:r w:rsidR="0030489D" w:rsidRPr="0030489D">
        <w:t xml:space="preserve">Taskforce staff </w:t>
      </w:r>
      <w:r>
        <w:t xml:space="preserve">will compile </w:t>
      </w:r>
      <w:r w:rsidR="0030489D" w:rsidRPr="0030489D">
        <w:t xml:space="preserve">feedback and </w:t>
      </w:r>
      <w:r w:rsidR="004809FA">
        <w:t xml:space="preserve">will share </w:t>
      </w:r>
      <w:r w:rsidR="0030489D" w:rsidRPr="0030489D">
        <w:t>it with the Taskforce to inform the annual review process</w:t>
      </w:r>
      <w:r w:rsidR="00C67096">
        <w:t xml:space="preserve"> in 2019</w:t>
      </w:r>
      <w:r w:rsidR="0030489D" w:rsidRPr="0030489D">
        <w:t>.</w:t>
      </w:r>
    </w:p>
    <w:p w14:paraId="1DC85C32" w14:textId="77777777" w:rsidR="0030489D" w:rsidRDefault="007B3CFB" w:rsidP="00E81F43">
      <w:pPr>
        <w:pStyle w:val="Heading2"/>
        <w:keepNext w:val="0"/>
        <w:keepLines w:val="0"/>
        <w:spacing w:before="0" w:after="200"/>
      </w:pPr>
      <w:bookmarkStart w:id="46" w:name="_Toc5362569"/>
      <w:r w:rsidRPr="00935837">
        <w:t>I</w:t>
      </w:r>
      <w:r>
        <w:t>V</w:t>
      </w:r>
      <w:r w:rsidRPr="00935837">
        <w:t xml:space="preserve">. </w:t>
      </w:r>
      <w:r w:rsidR="00EC2A0B">
        <w:t xml:space="preserve">Quality Alignment Taskforce </w:t>
      </w:r>
      <w:r>
        <w:t>Next Steps and Future Directions</w:t>
      </w:r>
      <w:bookmarkEnd w:id="46"/>
    </w:p>
    <w:p w14:paraId="2A859A4F" w14:textId="463A9783" w:rsidR="000D00D9" w:rsidRPr="007947D9" w:rsidRDefault="000D00D9" w:rsidP="000D00D9">
      <w:pPr>
        <w:spacing w:after="200"/>
      </w:pPr>
      <w:r>
        <w:t xml:space="preserve">The Taskforce identified several areas of </w:t>
      </w:r>
      <w:r w:rsidR="00001B19">
        <w:t xml:space="preserve">future </w:t>
      </w:r>
      <w:r>
        <w:t xml:space="preserve">work.  First, the Taskforce </w:t>
      </w:r>
      <w:r w:rsidR="004D37C8">
        <w:t>recommended that the state assess implementation</w:t>
      </w:r>
      <w:r>
        <w:t xml:space="preserve"> of the Massachusetts Aligned Measure Set into </w:t>
      </w:r>
      <w:r w:rsidR="00716C23">
        <w:t>global budget-based risk</w:t>
      </w:r>
      <w:r w:rsidR="00716C23" w:rsidDel="00446B08">
        <w:t xml:space="preserve"> </w:t>
      </w:r>
      <w:r>
        <w:t xml:space="preserve">contracts.  </w:t>
      </w:r>
      <w:r w:rsidR="004D37C8">
        <w:t>In response,</w:t>
      </w:r>
      <w:r w:rsidR="00716C23">
        <w:t xml:space="preserve"> the HPC and CHIA</w:t>
      </w:r>
      <w:r w:rsidR="004D37C8">
        <w:t xml:space="preserve"> committed to</w:t>
      </w:r>
      <w:r w:rsidR="00716C23">
        <w:t xml:space="preserve"> monitor</w:t>
      </w:r>
      <w:r w:rsidR="004D37C8">
        <w:t>ing</w:t>
      </w:r>
      <w:r w:rsidR="00716C23">
        <w:t xml:space="preserve"> implementation of the Aligned Measure Set over the next year and </w:t>
      </w:r>
      <w:r w:rsidR="004D37C8">
        <w:t>to sharing</w:t>
      </w:r>
      <w:r w:rsidR="00716C23">
        <w:t xml:space="preserve"> this information with the Taskforce.  While adoption of the Aligned Measure Set w</w:t>
      </w:r>
      <w:r w:rsidR="004D37C8">
        <w:t xml:space="preserve">ill be </w:t>
      </w:r>
      <w:r w:rsidR="00716C23">
        <w:t xml:space="preserve">voluntary, </w:t>
      </w:r>
      <w:r w:rsidR="00B554A1">
        <w:t xml:space="preserve">two </w:t>
      </w:r>
      <w:r w:rsidR="00716C23">
        <w:t xml:space="preserve">organizations have already expressed a commitment to </w:t>
      </w:r>
      <w:r w:rsidR="004D37C8">
        <w:t>utilizing</w:t>
      </w:r>
      <w:r w:rsidR="00716C23">
        <w:t xml:space="preserve"> the Measure Set.  MassHealth and the Group Insurance Commission</w:t>
      </w:r>
      <w:r w:rsidR="004D37C8">
        <w:rPr>
          <w:rStyle w:val="FootnoteReference"/>
        </w:rPr>
        <w:footnoteReference w:id="34"/>
      </w:r>
      <w:r w:rsidR="00716C23">
        <w:t xml:space="preserve"> </w:t>
      </w:r>
      <w:r w:rsidR="004D37C8">
        <w:t xml:space="preserve">have </w:t>
      </w:r>
      <w:r w:rsidR="00716C23">
        <w:t xml:space="preserve">updated their respective </w:t>
      </w:r>
      <w:r w:rsidR="004D37C8">
        <w:t xml:space="preserve">contractual </w:t>
      </w:r>
      <w:r w:rsidR="00716C23">
        <w:t xml:space="preserve">measure sets to align with Massachusetts Aligned Measure Set as a result of the Quality Alignment Taskforce.  </w:t>
      </w:r>
      <w:r w:rsidR="00A3577D">
        <w:t xml:space="preserve">As of </w:t>
      </w:r>
      <w:r w:rsidR="00051393">
        <w:t>the date of the Taskforce’s July meeting, a</w:t>
      </w:r>
      <w:r>
        <w:t xml:space="preserve">doption of the Aligned Measure Set </w:t>
      </w:r>
      <w:r w:rsidR="00051393">
        <w:t>wa</w:t>
      </w:r>
      <w:r>
        <w:t xml:space="preserve">s </w:t>
      </w:r>
      <w:r w:rsidR="007947D9">
        <w:t>voluntary,</w:t>
      </w:r>
      <w:r w:rsidR="00E87AB5">
        <w:t xml:space="preserve"> and </w:t>
      </w:r>
      <w:r w:rsidR="0052038B">
        <w:t xml:space="preserve">at least one commercial insurer has confirmed that it </w:t>
      </w:r>
      <w:r w:rsidR="00D852CC">
        <w:t xml:space="preserve">will </w:t>
      </w:r>
      <w:r w:rsidR="0052038B">
        <w:t xml:space="preserve">not </w:t>
      </w:r>
      <w:r w:rsidR="00D852CC">
        <w:t xml:space="preserve">adopt the measure set in </w:t>
      </w:r>
      <w:r w:rsidR="004D37C8">
        <w:t xml:space="preserve">its </w:t>
      </w:r>
      <w:r w:rsidR="00D852CC" w:rsidRPr="007947D9">
        <w:t>contract</w:t>
      </w:r>
      <w:r w:rsidR="007947D9" w:rsidRPr="007947D9">
        <w:t>s.</w:t>
      </w:r>
      <w:r w:rsidR="006C25FF">
        <w:t xml:space="preserve"> </w:t>
      </w:r>
      <w:r w:rsidR="0052038B">
        <w:t xml:space="preserve"> </w:t>
      </w:r>
    </w:p>
    <w:p w14:paraId="59597ED1" w14:textId="38DCC6F7" w:rsidR="00187E5F" w:rsidRDefault="000D00D9" w:rsidP="000D00D9">
      <w:pPr>
        <w:spacing w:after="200"/>
      </w:pPr>
      <w:r>
        <w:lastRenderedPageBreak/>
        <w:t xml:space="preserve">Second, the Taskforce will shift its attention to begin addressing measure gaps and Developmental measures.  This will include prioritizing </w:t>
      </w:r>
      <w:r w:rsidR="009A6E0D">
        <w:t xml:space="preserve">on </w:t>
      </w:r>
      <w:r>
        <w:t xml:space="preserve">which Developmental measures to focus and identifying resources to develop, test, and then implement these measures.  </w:t>
      </w:r>
      <w:r w:rsidR="00187E5F">
        <w:t xml:space="preserve">In some instances, this work will require the Taskforce to convene one or more subgroups.  For example, the Taskforce already expressed interest in creating a work group to discuss how to stratify measures for the purpose of measuring equities and disparities, including identifying which data points to use (e.g., race/ethnicity, gender, language) for stratification.  This work group could also identify a short list of social determinants of health (SDOH)-related ICD-10 codes for provider and plans to begin collecting.  The Taskforce has already indicated a willingness to collaborate with other work groups, such as the MassHealth-convened </w:t>
      </w:r>
      <w:r w:rsidR="00E5722E" w:rsidRPr="00E5722E">
        <w:t>Social Services Integration Workgroup</w:t>
      </w:r>
      <w:r w:rsidR="00E5722E" w:rsidRPr="00E5722E" w:rsidDel="00E5722E">
        <w:t xml:space="preserve"> </w:t>
      </w:r>
      <w:r w:rsidR="00187E5F">
        <w:t>focused on SDOH</w:t>
      </w:r>
      <w:r w:rsidR="00CF2944">
        <w:t xml:space="preserve">.  In addition, the Taskforce has expressed interest in collaborating with other </w:t>
      </w:r>
      <w:r w:rsidR="00187E5F">
        <w:t>states</w:t>
      </w:r>
      <w:r w:rsidR="00CF2944">
        <w:t xml:space="preserve"> that are also developing measures</w:t>
      </w:r>
      <w:r w:rsidR="00187E5F">
        <w:t>, such as Oregon</w:t>
      </w:r>
      <w:r w:rsidR="00A455AA">
        <w:t>.</w:t>
      </w:r>
      <w:r w:rsidR="008C3937">
        <w:t xml:space="preserve"> </w:t>
      </w:r>
      <w:r w:rsidR="00E337D4">
        <w:t>The Taskforce aims to identify a process to advance Developmental measure and measure concepts in the fall of 2018.</w:t>
      </w:r>
      <w:r w:rsidR="00187E5F">
        <w:t xml:space="preserve">Third, the Taskforce will begin considering measures in performance </w:t>
      </w:r>
      <w:r w:rsidR="00001B19">
        <w:t>measure domains</w:t>
      </w:r>
      <w:r w:rsidR="00A778A2">
        <w:t xml:space="preserve"> not considered for the 2019 Massachusetts Aligned Measure Set.  As part of this work, the Taskforce recommended</w:t>
      </w:r>
      <w:r w:rsidR="00001B19">
        <w:t xml:space="preserve"> considering measures related to inpatient</w:t>
      </w:r>
      <w:r w:rsidR="00A778A2">
        <w:t xml:space="preserve"> </w:t>
      </w:r>
      <w:r w:rsidR="00001B19">
        <w:t xml:space="preserve">care, which could also include </w:t>
      </w:r>
      <w:r w:rsidR="00A778A2">
        <w:t xml:space="preserve">convening a work group to help determine how to adapt facility-based measures for ACOs.  In addition, the Taskforce also expressed an interest in considering </w:t>
      </w:r>
      <w:r w:rsidR="00854F11">
        <w:t xml:space="preserve">service </w:t>
      </w:r>
      <w:r w:rsidR="00A778A2">
        <w:t xml:space="preserve">utilization measures, </w:t>
      </w:r>
      <w:r w:rsidR="00891277">
        <w:t xml:space="preserve">namely, </w:t>
      </w:r>
      <w:r w:rsidR="00A778A2">
        <w:t>the utilization measures that MassHealth is currently including in its DSRIP ACO Measure Set.  The Taskforce also discussed the idea of utilizing multi-payer case-mix data to generate adequate denominator sizes for at least select measures that would otherwise be problematic when generated on an individual payer bas</w:t>
      </w:r>
      <w:r w:rsidR="00001B19">
        <w:t>is</w:t>
      </w:r>
      <w:r w:rsidR="005123E3" w:rsidRPr="005123E3">
        <w:t xml:space="preserve"> </w:t>
      </w:r>
      <w:r w:rsidR="005123E3">
        <w:t>(e.g., select pediatric-focused behavioral health measures)</w:t>
      </w:r>
      <w:r w:rsidR="00001B19">
        <w:t xml:space="preserve">.  If it can determine a feasible way to implement this strategy, the Taskforce may </w:t>
      </w:r>
      <w:r w:rsidR="00DD3314">
        <w:t>consider measures in additional performance measure domains.</w:t>
      </w:r>
    </w:p>
    <w:p w14:paraId="5962FD9A" w14:textId="2B1DA9E6" w:rsidR="009A539C" w:rsidRDefault="00187E5F" w:rsidP="00A2652C">
      <w:pPr>
        <w:spacing w:after="200"/>
      </w:pPr>
      <w:r>
        <w:t>Fourth</w:t>
      </w:r>
      <w:r w:rsidR="000D00D9">
        <w:t xml:space="preserve">, the Taskforce will need </w:t>
      </w:r>
      <w:r w:rsidR="000006C7">
        <w:t xml:space="preserve">to </w:t>
      </w:r>
      <w:r w:rsidR="000D00D9">
        <w:t xml:space="preserve">develop a process to provide ongoing maintenance of the measure set.  </w:t>
      </w:r>
      <w:r w:rsidR="00526954">
        <w:t>The Taskforce recommended an</w:t>
      </w:r>
      <w:r w:rsidR="000D00D9">
        <w:t xml:space="preserve"> annual review process </w:t>
      </w:r>
      <w:r w:rsidR="00526954">
        <w:t xml:space="preserve">that </w:t>
      </w:r>
      <w:r w:rsidR="000D00D9">
        <w:t>will consider whether the Massachusetts Aligned Measure Set addresses the statewide health priorities</w:t>
      </w:r>
      <w:r w:rsidR="00DD3314">
        <w:t>;</w:t>
      </w:r>
      <w:r w:rsidR="000D00D9">
        <w:t xml:space="preserve"> incorporate any changes to the </w:t>
      </w:r>
      <w:r w:rsidR="00DD3314">
        <w:t xml:space="preserve">Measure </w:t>
      </w:r>
      <w:r w:rsidR="000D00D9">
        <w:t>Set in response to public comment</w:t>
      </w:r>
      <w:r w:rsidR="00DD3314">
        <w:t>;</w:t>
      </w:r>
      <w:r w:rsidR="000D00D9">
        <w:t xml:space="preserve"> update the </w:t>
      </w:r>
      <w:r w:rsidR="00891277">
        <w:t>M</w:t>
      </w:r>
      <w:r w:rsidR="000D00D9">
        <w:t xml:space="preserve">easure </w:t>
      </w:r>
      <w:r w:rsidR="00891277">
        <w:t>S</w:t>
      </w:r>
      <w:r w:rsidR="000D00D9">
        <w:t>et to reflect any changes in measure specifications, endorsement status</w:t>
      </w:r>
      <w:r w:rsidR="00DD3314">
        <w:t>,</w:t>
      </w:r>
      <w:r w:rsidR="000D00D9">
        <w:t xml:space="preserve"> or changes in opportunity for improvement</w:t>
      </w:r>
      <w:r w:rsidR="00DD3314">
        <w:t>;</w:t>
      </w:r>
      <w:r w:rsidR="000D00D9">
        <w:t xml:space="preserve"> modify which measures are included in the Core and Menu Sets once there is greater clari</w:t>
      </w:r>
      <w:r w:rsidR="00460F1D">
        <w:t>t</w:t>
      </w:r>
      <w:r w:rsidR="000D00D9">
        <w:t xml:space="preserve">y around which measures payers and ACOs are including in </w:t>
      </w:r>
      <w:r w:rsidR="006740DE">
        <w:t xml:space="preserve">their </w:t>
      </w:r>
      <w:r w:rsidR="00A2652C">
        <w:t>contracts</w:t>
      </w:r>
      <w:r w:rsidR="001F227C">
        <w:t xml:space="preserve">; </w:t>
      </w:r>
      <w:r w:rsidR="002A6641">
        <w:t xml:space="preserve">discuss if there are any measures to remove; </w:t>
      </w:r>
      <w:r w:rsidR="001F227C">
        <w:t>and track performance for measures in the Monitoring Set.</w:t>
      </w:r>
    </w:p>
    <w:p w14:paraId="45A7E971" w14:textId="5736F9FE" w:rsidR="00C9050A" w:rsidRDefault="00C9050A" w:rsidP="00C9050A">
      <w:pPr>
        <w:pStyle w:val="Heading2"/>
        <w:keepNext w:val="0"/>
        <w:keepLines w:val="0"/>
        <w:spacing w:before="0" w:after="200"/>
      </w:pPr>
      <w:bookmarkStart w:id="47" w:name="_Toc5362570"/>
      <w:r>
        <w:t>V</w:t>
      </w:r>
      <w:r w:rsidRPr="00935837">
        <w:t xml:space="preserve">. </w:t>
      </w:r>
      <w:r>
        <w:t>DSRIP Quality Subcommittee</w:t>
      </w:r>
      <w:r w:rsidR="002C431A">
        <w:t xml:space="preserve"> Summary</w:t>
      </w:r>
      <w:bookmarkEnd w:id="47"/>
    </w:p>
    <w:p w14:paraId="075B2B7E" w14:textId="6B25DB3B" w:rsidR="00A16CAE" w:rsidRDefault="00C9050A" w:rsidP="00A16CAE">
      <w:r>
        <w:t>MassHealth convened the DSRIP Quality Subcommittee (Subcommittee) to advise MassHealth on quality measures and methodology for the ACO and</w:t>
      </w:r>
      <w:r w:rsidR="00DB77C1">
        <w:t xml:space="preserve"> </w:t>
      </w:r>
      <w:r>
        <w:t xml:space="preserve">the Community Partner measure sets.  Over the Subcommittee’s initial year of work (June 2017 through June 2018), the group provided MassHealth with ongoing technical assessments of the measure specifications, the performance goals for each measure, the categorization of measures into “performance” </w:t>
      </w:r>
      <w:r w:rsidR="00D170C5">
        <w:t xml:space="preserve">(payment) </w:t>
      </w:r>
      <w:r>
        <w:t xml:space="preserve">and “monitoring” domains, and the timeline for moving new measures to the </w:t>
      </w:r>
      <w:r w:rsidR="00D170C5">
        <w:t xml:space="preserve">payment incentive </w:t>
      </w:r>
      <w:r>
        <w:t>measure slate.  MassHealth</w:t>
      </w:r>
      <w:r w:rsidR="00A16CAE" w:rsidRPr="00A16CAE">
        <w:t xml:space="preserve"> </w:t>
      </w:r>
      <w:r w:rsidR="00A16CAE">
        <w:t>is developing</w:t>
      </w:r>
      <w:r w:rsidR="00A16CAE" w:rsidDel="00A16CAE">
        <w:t xml:space="preserve"> </w:t>
      </w:r>
      <w:r>
        <w:t>member experience surveys for</w:t>
      </w:r>
      <w:r w:rsidR="000E588E">
        <w:t xml:space="preserve"> three categories of its population:</w:t>
      </w:r>
      <w:r>
        <w:t xml:space="preserve"> </w:t>
      </w:r>
      <w:r w:rsidR="00A16CAE">
        <w:t xml:space="preserve">its </w:t>
      </w:r>
      <w:r>
        <w:t xml:space="preserve">ACO population, Behavioral Health Community Partner </w:t>
      </w:r>
      <w:r>
        <w:lastRenderedPageBreak/>
        <w:t>population, and Long-Term Services and Supports (LTSS) Community Partner population.</w:t>
      </w:r>
      <w:r w:rsidR="00D153FD">
        <w:rPr>
          <w:rStyle w:val="FootnoteReference"/>
        </w:rPr>
        <w:footnoteReference w:id="35"/>
      </w:r>
      <w:r w:rsidR="00A16CAE">
        <w:t xml:space="preserve">  </w:t>
      </w:r>
      <w:r w:rsidR="00A16CAE" w:rsidRPr="00A16CAE">
        <w:t xml:space="preserve"> </w:t>
      </w:r>
      <w:r w:rsidR="00A16CAE">
        <w:t>The Subcommittee helped inform MassHealth on which questions to include in the survey and each survey’s target population.</w:t>
      </w:r>
    </w:p>
    <w:p w14:paraId="7B267803" w14:textId="77777777" w:rsidR="00C9050A" w:rsidRDefault="00C9050A" w:rsidP="00C9050A"/>
    <w:p w14:paraId="73BC04BE" w14:textId="3BFB28FE" w:rsidR="00C9050A" w:rsidRDefault="00C9050A" w:rsidP="00C9050A">
      <w:r>
        <w:t>The Subcommittee worked closely</w:t>
      </w:r>
      <w:r w:rsidR="00A9785D">
        <w:t xml:space="preserve"> to advise </w:t>
      </w:r>
      <w:r>
        <w:t xml:space="preserve">MassHealth </w:t>
      </w:r>
      <w:r w:rsidR="009E3478">
        <w:t xml:space="preserve">as it developed measures </w:t>
      </w:r>
      <w:r>
        <w:t xml:space="preserve">that addressed </w:t>
      </w:r>
      <w:r w:rsidR="00891277">
        <w:t xml:space="preserve">key </w:t>
      </w:r>
      <w:r w:rsidR="00EC2A0B">
        <w:t>aspects of MassHealth ACO performance for which the DSRIP ACO Meas</w:t>
      </w:r>
      <w:r w:rsidR="00D513FE">
        <w:t>u</w:t>
      </w:r>
      <w:r w:rsidR="00EC2A0B">
        <w:t>re Set lacked a robust measure</w:t>
      </w:r>
      <w:r w:rsidR="0019320E">
        <w:t xml:space="preserve">.  Development </w:t>
      </w:r>
      <w:r w:rsidR="00D50DA9">
        <w:t xml:space="preserve">areas included </w:t>
      </w:r>
      <w:r>
        <w:t>measures related to care planning, care integration, and community tenure.</w:t>
      </w:r>
      <w:r w:rsidR="00891277">
        <w:rPr>
          <w:rStyle w:val="FootnoteReference"/>
        </w:rPr>
        <w:footnoteReference w:id="36"/>
      </w:r>
      <w:r w:rsidR="0070404A" w:rsidRPr="0070404A">
        <w:rPr>
          <w:vertAlign w:val="superscript"/>
        </w:rPr>
        <w:t>,</w:t>
      </w:r>
      <w:r w:rsidR="00973C83">
        <w:rPr>
          <w:rStyle w:val="FootnoteReference"/>
        </w:rPr>
        <w:footnoteReference w:id="37"/>
      </w:r>
      <w:r>
        <w:t xml:space="preserve">  Because MassHealth </w:t>
      </w:r>
      <w:r w:rsidR="00120794">
        <w:t xml:space="preserve">is </w:t>
      </w:r>
      <w:r>
        <w:t>required to receive CMS approval on any revisions to the measure slate and specifications</w:t>
      </w:r>
      <w:r w:rsidR="00250FCE">
        <w:t>, the conversations with the Subcommittee were iterative and spanned several meetings in order to respond to CMS’ feedback on MassHealth’s proposed changes</w:t>
      </w:r>
      <w:r>
        <w:t xml:space="preserve">.  </w:t>
      </w:r>
      <w:r w:rsidR="00D8652E">
        <w:t xml:space="preserve">The Subcommittee also considered how to address alignment issues with the </w:t>
      </w:r>
      <w:r w:rsidR="00F420EA">
        <w:t xml:space="preserve">parallel development of the Massachusetts Aligned Measure Set.  </w:t>
      </w:r>
    </w:p>
    <w:p w14:paraId="11F02F1D" w14:textId="77777777" w:rsidR="00BC5E99" w:rsidRDefault="00BC5E99" w:rsidP="00D205AC"/>
    <w:p w14:paraId="0F0EF47F" w14:textId="5874BFD5" w:rsidR="00C9050A" w:rsidRDefault="00C9050A" w:rsidP="00D205AC">
      <w:r>
        <w:t>The MassHealth DSRIP ACO Measure Set includes 22 pay-for-performance quality measures, member experi</w:t>
      </w:r>
      <w:r w:rsidR="00120794">
        <w:t>ence survey measures</w:t>
      </w:r>
      <w:r>
        <w:t xml:space="preserve"> (</w:t>
      </w:r>
      <w:r w:rsidR="0001796C">
        <w:t>discussed above</w:t>
      </w:r>
      <w:r>
        <w:t xml:space="preserve">), and 28 monitoring measures.  </w:t>
      </w:r>
      <w:r w:rsidR="00EC2A0B">
        <w:t xml:space="preserve">ACOs will be financially accountable for performance on ten </w:t>
      </w:r>
      <w:r>
        <w:t xml:space="preserve">pay-for-performance measures starting in 2019 and </w:t>
      </w:r>
      <w:r w:rsidR="00EC2A0B">
        <w:t xml:space="preserve">for all 22 measures in </w:t>
      </w:r>
      <w:r>
        <w:t xml:space="preserve">2020.  </w:t>
      </w:r>
      <w:r w:rsidR="00EC2A0B">
        <w:t xml:space="preserve">ACOs will also be held accountable for performance on </w:t>
      </w:r>
      <w:r w:rsidR="0063330E">
        <w:t xml:space="preserve">member experience </w:t>
      </w:r>
      <w:r w:rsidR="00120794">
        <w:t xml:space="preserve">starting in 2019 and increasingly in </w:t>
      </w:r>
      <w:r w:rsidR="0063330E">
        <w:t>2020.</w:t>
      </w:r>
    </w:p>
    <w:p w14:paraId="4BC66F32" w14:textId="77777777" w:rsidR="00C9050A" w:rsidRDefault="00C9050A" w:rsidP="00C9050A">
      <w:pPr>
        <w:ind w:firstLine="720"/>
      </w:pPr>
    </w:p>
    <w:p w14:paraId="218AC469" w14:textId="77777777" w:rsidR="00C023F3" w:rsidRDefault="00120794" w:rsidP="00D205AC">
      <w:r>
        <w:t xml:space="preserve">The </w:t>
      </w:r>
      <w:r w:rsidR="00C9050A">
        <w:t xml:space="preserve">MassHealth DSRIP Behavioral Health Community Partner Measure Set includes 13 pay-for-performance measures and the LTSS Community Partner Measure Set includes eight pay-for-performance measures.  Each program </w:t>
      </w:r>
      <w:r>
        <w:t xml:space="preserve">will also include member experience </w:t>
      </w:r>
      <w:r w:rsidR="00C9050A">
        <w:t>survey</w:t>
      </w:r>
      <w:r>
        <w:t xml:space="preserve"> measures</w:t>
      </w:r>
      <w:r w:rsidR="00C9050A">
        <w:t xml:space="preserve">.  </w:t>
      </w:r>
      <w:r w:rsidR="00EC2A0B">
        <w:t xml:space="preserve">Behavioral Health and LTSS Community </w:t>
      </w:r>
      <w:r w:rsidR="00135361">
        <w:t>P</w:t>
      </w:r>
      <w:r w:rsidR="00EC2A0B">
        <w:t xml:space="preserve">artners will be held financially accountable for the </w:t>
      </w:r>
      <w:r w:rsidR="00C9050A">
        <w:t xml:space="preserve">pay-for-performance and member experience </w:t>
      </w:r>
      <w:r>
        <w:t xml:space="preserve">measures </w:t>
      </w:r>
      <w:r w:rsidR="00C9050A">
        <w:t>beginning in 2020.</w:t>
      </w:r>
      <w:r w:rsidR="004E2AC9">
        <w:t xml:space="preserve">  </w:t>
      </w:r>
    </w:p>
    <w:p w14:paraId="3446FDA8" w14:textId="77777777" w:rsidR="00C023F3" w:rsidRDefault="00C023F3" w:rsidP="00D205AC"/>
    <w:p w14:paraId="49859167" w14:textId="79CAE95E" w:rsidR="00C9050A" w:rsidRDefault="00C9050A" w:rsidP="00D205AC">
      <w:r>
        <w:t xml:space="preserve">The </w:t>
      </w:r>
      <w:r w:rsidR="00120794">
        <w:t xml:space="preserve">quality measure sets for </w:t>
      </w:r>
      <w:r>
        <w:t>MassHealth ACO</w:t>
      </w:r>
      <w:r w:rsidR="00120794">
        <w:t>s</w:t>
      </w:r>
      <w:r>
        <w:t>, Behavioral Health Community Partner</w:t>
      </w:r>
      <w:r w:rsidR="00120794">
        <w:t>s</w:t>
      </w:r>
      <w:r>
        <w:t>, and LTSS Community Partner</w:t>
      </w:r>
      <w:r w:rsidR="00120794">
        <w:t>s</w:t>
      </w:r>
      <w:r>
        <w:t xml:space="preserve"> can be found in </w:t>
      </w:r>
      <w:r w:rsidRPr="00D170C5">
        <w:rPr>
          <w:b/>
        </w:rPr>
        <w:t xml:space="preserve">Appendix </w:t>
      </w:r>
      <w:r w:rsidR="002E2066">
        <w:rPr>
          <w:b/>
        </w:rPr>
        <w:t>B</w:t>
      </w:r>
      <w:r>
        <w:t>.</w:t>
      </w:r>
      <w:r w:rsidR="00365AB1">
        <w:rPr>
          <w:rStyle w:val="FootnoteReference"/>
        </w:rPr>
        <w:footnoteReference w:id="38"/>
      </w:r>
      <w:r w:rsidR="00120794">
        <w:t xml:space="preserve">  </w:t>
      </w:r>
      <w:r w:rsidR="00D12DB2">
        <w:t>MassHealth expects to finalize these m</w:t>
      </w:r>
      <w:r w:rsidR="00120794">
        <w:t>ember experience survey</w:t>
      </w:r>
      <w:r w:rsidR="00B868DB">
        <w:t>s</w:t>
      </w:r>
      <w:r w:rsidR="00120794">
        <w:t xml:space="preserve"> </w:t>
      </w:r>
      <w:r w:rsidR="004E517A">
        <w:t>with the Massachusetts Health Quality Partners</w:t>
      </w:r>
      <w:r w:rsidR="004E517A" w:rsidDel="004E517A">
        <w:t xml:space="preserve"> </w:t>
      </w:r>
      <w:r w:rsidR="00120794">
        <w:t>this year.</w:t>
      </w:r>
    </w:p>
    <w:p w14:paraId="2427EBD8" w14:textId="77777777" w:rsidR="00C9050A" w:rsidRDefault="00C9050A" w:rsidP="00C9050A"/>
    <w:p w14:paraId="4763389A" w14:textId="025CA5A7" w:rsidR="00B94F5C" w:rsidRDefault="00C9050A" w:rsidP="00D205AC">
      <w:r>
        <w:t xml:space="preserve">MassHealth regularly consulted with the Subcommittee </w:t>
      </w:r>
      <w:r w:rsidR="00F05D64">
        <w:t xml:space="preserve">for advice </w:t>
      </w:r>
      <w:r>
        <w:t xml:space="preserve">on how to modify the ACO Measure Set to align with the Massachusetts Aligned Measure Set being developed by the Taskforce.  In the end, there were three instances in which MassHealth’s measure set did not align with the Massachusetts Aligned Measure Set.  </w:t>
      </w:r>
      <w:r w:rsidR="00B94F5C">
        <w:t>The</w:t>
      </w:r>
      <w:r w:rsidR="00E1375C">
        <w:t xml:space="preserve"> Taskforce recommended that MassHealth</w:t>
      </w:r>
      <w:r w:rsidR="00BA65D2">
        <w:t xml:space="preserve">’s adoption of the Aligned Measure Set </w:t>
      </w:r>
      <w:r w:rsidR="0036518A">
        <w:t xml:space="preserve">allow for deviations </w:t>
      </w:r>
      <w:r w:rsidR="001216B2">
        <w:t>to</w:t>
      </w:r>
      <w:r w:rsidR="00B94F5C">
        <w:t xml:space="preserve"> meet Medicaid-specific program needs.  </w:t>
      </w:r>
      <w:r w:rsidR="0037690E">
        <w:t xml:space="preserve">These modifications are outlined in </w:t>
      </w:r>
      <w:r w:rsidR="0037690E" w:rsidRPr="0037690E">
        <w:rPr>
          <w:b/>
        </w:rPr>
        <w:t>Table 7</w:t>
      </w:r>
      <w:r w:rsidR="0037690E">
        <w:t>.</w:t>
      </w:r>
    </w:p>
    <w:p w14:paraId="326D3E8D" w14:textId="0646927B" w:rsidR="00F6128A" w:rsidRDefault="00F6128A">
      <w:pPr>
        <w:rPr>
          <w:rFonts w:eastAsiaTheme="majorEastAsia" w:cstheme="majorBidi"/>
          <w:b/>
          <w:color w:val="002060"/>
        </w:rPr>
      </w:pPr>
    </w:p>
    <w:p w14:paraId="6CE5F308" w14:textId="39CE17A1" w:rsidR="000A5681" w:rsidRDefault="000A5681" w:rsidP="000A5681">
      <w:pPr>
        <w:pStyle w:val="Heading5"/>
        <w:keepNext w:val="0"/>
        <w:keepLines w:val="0"/>
        <w:spacing w:before="0" w:after="200"/>
      </w:pPr>
      <w:r w:rsidRPr="00935837">
        <w:rPr>
          <w:b/>
        </w:rPr>
        <w:lastRenderedPageBreak/>
        <w:t xml:space="preserve">Table </w:t>
      </w:r>
      <w:r>
        <w:rPr>
          <w:b/>
        </w:rPr>
        <w:t>7</w:t>
      </w:r>
      <w:r w:rsidRPr="00935837">
        <w:rPr>
          <w:b/>
        </w:rPr>
        <w:t xml:space="preserve">:  </w:t>
      </w:r>
      <w:r>
        <w:rPr>
          <w:b/>
        </w:rPr>
        <w:t xml:space="preserve">Massachusetts Aligned Measure Set Modifications for MassHealth </w:t>
      </w:r>
    </w:p>
    <w:tbl>
      <w:tblPr>
        <w:tblStyle w:val="TableGrid"/>
        <w:tblW w:w="0" w:type="auto"/>
        <w:tblLook w:val="04A0" w:firstRow="1" w:lastRow="0" w:firstColumn="1" w:lastColumn="0" w:noHBand="0" w:noVBand="1"/>
      </w:tblPr>
      <w:tblGrid>
        <w:gridCol w:w="4788"/>
        <w:gridCol w:w="4788"/>
      </w:tblGrid>
      <w:tr w:rsidR="000A5681" w14:paraId="51CAB59E" w14:textId="77777777" w:rsidTr="000A5681">
        <w:tc>
          <w:tcPr>
            <w:tcW w:w="4788" w:type="dxa"/>
            <w:shd w:val="clear" w:color="auto" w:fill="002060"/>
          </w:tcPr>
          <w:p w14:paraId="49892406" w14:textId="0C7F980D" w:rsidR="000A5681" w:rsidRPr="000A5681" w:rsidRDefault="0029146D" w:rsidP="00D205AC">
            <w:pPr>
              <w:rPr>
                <w:b/>
                <w:color w:val="FFFFFF" w:themeColor="background1"/>
              </w:rPr>
            </w:pPr>
            <w:r>
              <w:rPr>
                <w:b/>
                <w:color w:val="FFFFFF" w:themeColor="background1"/>
              </w:rPr>
              <w:t>Modification</w:t>
            </w:r>
          </w:p>
        </w:tc>
        <w:tc>
          <w:tcPr>
            <w:tcW w:w="4788" w:type="dxa"/>
            <w:shd w:val="clear" w:color="auto" w:fill="002060"/>
          </w:tcPr>
          <w:p w14:paraId="2D37D3F2" w14:textId="2FCE66A1" w:rsidR="000A5681" w:rsidRPr="000A5681" w:rsidRDefault="000A5681" w:rsidP="00D205AC">
            <w:pPr>
              <w:rPr>
                <w:b/>
                <w:color w:val="FFFFFF" w:themeColor="background1"/>
              </w:rPr>
            </w:pPr>
            <w:r w:rsidRPr="000A5681">
              <w:rPr>
                <w:b/>
                <w:color w:val="FFFFFF" w:themeColor="background1"/>
              </w:rPr>
              <w:t>Rationale</w:t>
            </w:r>
            <w:r w:rsidR="0037690E">
              <w:rPr>
                <w:b/>
                <w:color w:val="FFFFFF" w:themeColor="background1"/>
              </w:rPr>
              <w:t xml:space="preserve"> for Modification</w:t>
            </w:r>
          </w:p>
        </w:tc>
      </w:tr>
      <w:tr w:rsidR="000A5681" w14:paraId="75B59268" w14:textId="77777777" w:rsidTr="000A5681">
        <w:tc>
          <w:tcPr>
            <w:tcW w:w="4788" w:type="dxa"/>
          </w:tcPr>
          <w:p w14:paraId="68A64BE8" w14:textId="20DC6D7C" w:rsidR="000A5681" w:rsidRDefault="0029146D" w:rsidP="00D205AC">
            <w:r>
              <w:t xml:space="preserve">Inclusion of </w:t>
            </w:r>
            <w:r w:rsidR="0037690E">
              <w:t>Prenatal and Postpartum Care – Timeliness of Prenatal Care</w:t>
            </w:r>
            <w:r w:rsidR="00597707">
              <w:t>.</w:t>
            </w:r>
          </w:p>
        </w:tc>
        <w:tc>
          <w:tcPr>
            <w:tcW w:w="4788" w:type="dxa"/>
          </w:tcPr>
          <w:p w14:paraId="4EBAF77F" w14:textId="21D0FBF7" w:rsidR="000A5681" w:rsidRDefault="0037690E" w:rsidP="00D205AC">
            <w:r>
              <w:t>Addressed a MassHealth priority foc</w:t>
            </w:r>
            <w:r w:rsidR="00BF2EB4">
              <w:t xml:space="preserve">us area. The </w:t>
            </w:r>
            <w:r>
              <w:t xml:space="preserve">Taskforce’s measure set did not include any maternity care measures. </w:t>
            </w:r>
          </w:p>
        </w:tc>
      </w:tr>
      <w:tr w:rsidR="000A5681" w14:paraId="4E654FC3" w14:textId="77777777" w:rsidTr="000A5681">
        <w:tc>
          <w:tcPr>
            <w:tcW w:w="4788" w:type="dxa"/>
          </w:tcPr>
          <w:p w14:paraId="51BEA6BA" w14:textId="4361027E" w:rsidR="000A5681" w:rsidRDefault="0029146D" w:rsidP="00D205AC">
            <w:r>
              <w:t>Inclusion of r</w:t>
            </w:r>
            <w:r w:rsidR="0037690E">
              <w:t>eadmission and acute unplanned admission for individuals with diabetes measures</w:t>
            </w:r>
            <w:r w:rsidR="00597707">
              <w:t>.</w:t>
            </w:r>
          </w:p>
        </w:tc>
        <w:tc>
          <w:tcPr>
            <w:tcW w:w="4788" w:type="dxa"/>
          </w:tcPr>
          <w:p w14:paraId="1A0F0CA8" w14:textId="1319702B" w:rsidR="000A5681" w:rsidRDefault="0037690E" w:rsidP="00D205AC">
            <w:r>
              <w:t>The Taskforce chose not to consider any utilization measures for its initial measure set.</w:t>
            </w:r>
          </w:p>
        </w:tc>
      </w:tr>
      <w:tr w:rsidR="000A5681" w14:paraId="3C2F7E40" w14:textId="77777777" w:rsidTr="000A5681">
        <w:tc>
          <w:tcPr>
            <w:tcW w:w="4788" w:type="dxa"/>
          </w:tcPr>
          <w:p w14:paraId="1FB1D7AA" w14:textId="76A71918" w:rsidR="000A5681" w:rsidRDefault="001A1D4F" w:rsidP="00D205AC">
            <w:r>
              <w:t>Inclusion of s</w:t>
            </w:r>
            <w:r w:rsidR="00F855FD">
              <w:t xml:space="preserve">everal measures </w:t>
            </w:r>
            <w:r w:rsidR="00B90477">
              <w:t xml:space="preserve">that </w:t>
            </w:r>
            <w:r w:rsidR="00F855FD">
              <w:t xml:space="preserve">do not need to align with the Massachusetts Aligned Measure Set </w:t>
            </w:r>
            <w:r w:rsidR="00B90477">
              <w:t>because they are not applicable to a</w:t>
            </w:r>
            <w:r w:rsidR="00442C52">
              <w:t xml:space="preserve"> commercially insured population </w:t>
            </w:r>
            <w:r w:rsidR="00F855FD">
              <w:t>(e.g., Oral Health Evaluation, Behavioral Health Community Partner and LTSS Community Partner Engagement)</w:t>
            </w:r>
            <w:r w:rsidR="00597707">
              <w:t>.</w:t>
            </w:r>
          </w:p>
        </w:tc>
        <w:tc>
          <w:tcPr>
            <w:tcW w:w="4788" w:type="dxa"/>
          </w:tcPr>
          <w:p w14:paraId="10EB0C7D" w14:textId="4F604AC4" w:rsidR="00F855FD" w:rsidRDefault="00F855FD" w:rsidP="00F855FD">
            <w:r>
              <w:t>Addressed MassHealth-specific services and populations.</w:t>
            </w:r>
          </w:p>
          <w:p w14:paraId="04AB56D9" w14:textId="77777777" w:rsidR="000A5681" w:rsidRDefault="000A5681" w:rsidP="00D205AC"/>
        </w:tc>
      </w:tr>
    </w:tbl>
    <w:p w14:paraId="69E4FA3B" w14:textId="024E15BF" w:rsidR="00816E9F" w:rsidRDefault="00816E9F" w:rsidP="002E2066">
      <w:pPr>
        <w:pStyle w:val="Heading2"/>
      </w:pPr>
    </w:p>
    <w:p w14:paraId="08A4E687" w14:textId="30A9A1DA" w:rsidR="003732DD" w:rsidRDefault="003732DD" w:rsidP="003732DD">
      <w:pPr>
        <w:pStyle w:val="Heading2"/>
        <w:spacing w:before="0" w:after="200"/>
      </w:pPr>
      <w:bookmarkStart w:id="48" w:name="_Toc5362571"/>
      <w:r>
        <w:t>VI. Public Comment</w:t>
      </w:r>
      <w:bookmarkEnd w:id="48"/>
    </w:p>
    <w:p w14:paraId="0A248AC1" w14:textId="7B93A252" w:rsidR="003732DD" w:rsidRPr="003732DD" w:rsidRDefault="003732DD" w:rsidP="003732DD">
      <w:r>
        <w:t>Taskforce staff posted the “</w:t>
      </w:r>
      <w:r w:rsidRPr="003732DD">
        <w:t>Massachusetts Executive Office of Health and Human Services Quality Alignment Taskforce Report on Work through July 2018</w:t>
      </w:r>
      <w:r>
        <w:t>” for public comment on September 11, 2018 and received five responses.  A summary of responses can be found in</w:t>
      </w:r>
      <w:r w:rsidRPr="003732DD">
        <w:t xml:space="preserve"> </w:t>
      </w:r>
      <w:r w:rsidRPr="003732DD">
        <w:rPr>
          <w:b/>
        </w:rPr>
        <w:t>Appendix C</w:t>
      </w:r>
      <w:r>
        <w:t xml:space="preserve">. </w:t>
      </w:r>
    </w:p>
    <w:p w14:paraId="25686CA7" w14:textId="77777777" w:rsidR="00816E9F" w:rsidRDefault="00816E9F">
      <w:pPr>
        <w:rPr>
          <w:rFonts w:eastAsiaTheme="majorEastAsia" w:cstheme="majorBidi"/>
          <w:b/>
          <w:color w:val="002060"/>
          <w:sz w:val="26"/>
          <w:szCs w:val="26"/>
        </w:rPr>
      </w:pPr>
      <w:r>
        <w:br w:type="page"/>
      </w:r>
    </w:p>
    <w:p w14:paraId="094F0EB5" w14:textId="321D038F" w:rsidR="002E2066" w:rsidRDefault="002E2066" w:rsidP="002E2066">
      <w:pPr>
        <w:pStyle w:val="Heading2"/>
      </w:pPr>
      <w:bookmarkStart w:id="49" w:name="_Toc5362572"/>
      <w:r w:rsidRPr="002E2066">
        <w:lastRenderedPageBreak/>
        <w:t xml:space="preserve">Appendix A:  Taskforce-Identified Developmental Measures and Measure Concepts </w:t>
      </w:r>
      <w:r w:rsidR="00352134">
        <w:t xml:space="preserve">by Domain </w:t>
      </w:r>
      <w:r w:rsidRPr="002E2066">
        <w:t>as of July 2018</w:t>
      </w:r>
      <w:bookmarkEnd w:id="49"/>
    </w:p>
    <w:p w14:paraId="38F3F84A" w14:textId="77777777" w:rsidR="00352134" w:rsidRDefault="00352134" w:rsidP="00BE66DB"/>
    <w:tbl>
      <w:tblPr>
        <w:tblStyle w:val="TableGrid"/>
        <w:tblW w:w="0" w:type="auto"/>
        <w:jc w:val="center"/>
        <w:tblLook w:val="04A0" w:firstRow="1" w:lastRow="0" w:firstColumn="1" w:lastColumn="0" w:noHBand="0" w:noVBand="1"/>
      </w:tblPr>
      <w:tblGrid>
        <w:gridCol w:w="8874"/>
      </w:tblGrid>
      <w:tr w:rsidR="00635F8C" w:rsidRPr="00935837" w14:paraId="5FD55F38" w14:textId="77777777" w:rsidTr="00CC11C0">
        <w:trPr>
          <w:jc w:val="center"/>
        </w:trPr>
        <w:tc>
          <w:tcPr>
            <w:tcW w:w="8874" w:type="dxa"/>
            <w:shd w:val="clear" w:color="auto" w:fill="002060"/>
            <w:vAlign w:val="center"/>
          </w:tcPr>
          <w:p w14:paraId="0289141D" w14:textId="77777777" w:rsidR="00352134" w:rsidRPr="00935837" w:rsidRDefault="00352134" w:rsidP="0054308C">
            <w:pPr>
              <w:rPr>
                <w:b/>
              </w:rPr>
            </w:pPr>
            <w:r>
              <w:rPr>
                <w:b/>
              </w:rPr>
              <w:t>Prevention/Early Detection</w:t>
            </w:r>
          </w:p>
        </w:tc>
      </w:tr>
      <w:tr w:rsidR="00352134" w14:paraId="19FB1D40" w14:textId="77777777" w:rsidTr="000748B8">
        <w:trPr>
          <w:jc w:val="center"/>
        </w:trPr>
        <w:tc>
          <w:tcPr>
            <w:tcW w:w="8874" w:type="dxa"/>
            <w:vAlign w:val="center"/>
          </w:tcPr>
          <w:p w14:paraId="17B2DA83" w14:textId="77777777" w:rsidR="00BE66DB" w:rsidRPr="00BE66DB" w:rsidRDefault="00BE66DB" w:rsidP="002913C6">
            <w:pPr>
              <w:spacing w:before="40"/>
              <w:rPr>
                <w:b/>
                <w:i/>
                <w:u w:val="single"/>
              </w:rPr>
            </w:pPr>
            <w:r w:rsidRPr="00BE66DB">
              <w:rPr>
                <w:b/>
                <w:i/>
                <w:u w:val="single"/>
              </w:rPr>
              <w:t>Measures that Require Developmental Work</w:t>
            </w:r>
          </w:p>
          <w:p w14:paraId="4375A509" w14:textId="77777777" w:rsidR="00352134" w:rsidRDefault="00352134" w:rsidP="00F628AA">
            <w:pPr>
              <w:pStyle w:val="ListParagraph"/>
              <w:numPr>
                <w:ilvl w:val="0"/>
                <w:numId w:val="16"/>
              </w:numPr>
            </w:pPr>
            <w:r w:rsidRPr="00352134">
              <w:t>Developmental Screening for Behavi</w:t>
            </w:r>
            <w:r>
              <w:t>oral Health Needs: Under Age 21</w:t>
            </w:r>
          </w:p>
          <w:p w14:paraId="1349351F" w14:textId="77777777" w:rsidR="00BE66DB" w:rsidRDefault="00BE66DB" w:rsidP="00F628AA">
            <w:pPr>
              <w:pStyle w:val="ListParagraph"/>
              <w:numPr>
                <w:ilvl w:val="0"/>
                <w:numId w:val="16"/>
              </w:numPr>
            </w:pPr>
            <w:r w:rsidRPr="00352134">
              <w:t>Primary Caries Prevention Intervention as Offered by Primary Care Providers, including Dentist</w:t>
            </w:r>
          </w:p>
          <w:p w14:paraId="7A879A7C" w14:textId="77777777" w:rsidR="00BE66DB" w:rsidRPr="00CC11C0" w:rsidRDefault="00BE66DB" w:rsidP="00BE66DB">
            <w:pPr>
              <w:ind w:left="360"/>
              <w:rPr>
                <w:sz w:val="10"/>
                <w:szCs w:val="10"/>
              </w:rPr>
            </w:pPr>
          </w:p>
          <w:p w14:paraId="3F3E780A" w14:textId="77777777" w:rsidR="00BE66DB" w:rsidRPr="00BE66DB" w:rsidRDefault="00BE66DB" w:rsidP="00BE66DB">
            <w:pPr>
              <w:rPr>
                <w:b/>
                <w:i/>
                <w:u w:val="single"/>
              </w:rPr>
            </w:pPr>
            <w:r w:rsidRPr="00BE66DB">
              <w:rPr>
                <w:b/>
                <w:i/>
                <w:u w:val="single"/>
              </w:rPr>
              <w:t>Measure Concepts</w:t>
            </w:r>
          </w:p>
          <w:p w14:paraId="5A8FEE2C" w14:textId="77777777" w:rsidR="00352134" w:rsidRDefault="00352134" w:rsidP="00F628AA">
            <w:pPr>
              <w:pStyle w:val="ListParagraph"/>
              <w:numPr>
                <w:ilvl w:val="0"/>
                <w:numId w:val="16"/>
              </w:numPr>
            </w:pPr>
            <w:r>
              <w:t xml:space="preserve">Oral </w:t>
            </w:r>
            <w:r w:rsidR="00BE66DB">
              <w:t>health</w:t>
            </w:r>
          </w:p>
          <w:p w14:paraId="5EB10651" w14:textId="77777777" w:rsidR="00BE66DB" w:rsidRDefault="00BE66DB" w:rsidP="00F628AA">
            <w:pPr>
              <w:pStyle w:val="ListParagraph"/>
              <w:numPr>
                <w:ilvl w:val="0"/>
                <w:numId w:val="16"/>
              </w:numPr>
            </w:pPr>
            <w:r w:rsidRPr="00352134">
              <w:t xml:space="preserve">Obesity </w:t>
            </w:r>
            <w:r>
              <w:t>r</w:t>
            </w:r>
            <w:r w:rsidRPr="00352134">
              <w:t>eduction</w:t>
            </w:r>
          </w:p>
          <w:p w14:paraId="484C46B0" w14:textId="77777777" w:rsidR="00BE66DB" w:rsidRPr="00352134" w:rsidRDefault="00BE66DB" w:rsidP="00F628AA">
            <w:pPr>
              <w:pStyle w:val="ListParagraph"/>
              <w:numPr>
                <w:ilvl w:val="0"/>
                <w:numId w:val="16"/>
              </w:numPr>
            </w:pPr>
            <w:r>
              <w:t>Pediatric behavioral health</w:t>
            </w:r>
          </w:p>
          <w:p w14:paraId="3140B20B" w14:textId="77777777" w:rsidR="00352134" w:rsidRDefault="00352134" w:rsidP="002913C6">
            <w:pPr>
              <w:pStyle w:val="ListParagraph"/>
              <w:numPr>
                <w:ilvl w:val="0"/>
                <w:numId w:val="16"/>
              </w:numPr>
              <w:spacing w:after="40"/>
            </w:pPr>
            <w:r w:rsidRPr="00352134">
              <w:t xml:space="preserve">Tobacco </w:t>
            </w:r>
            <w:r w:rsidR="00BE66DB">
              <w:t>q</w:t>
            </w:r>
            <w:r w:rsidRPr="00352134">
              <w:t xml:space="preserve">uit </w:t>
            </w:r>
            <w:r w:rsidR="00BE66DB">
              <w:t>r</w:t>
            </w:r>
            <w:r w:rsidRPr="00352134">
              <w:t>ate</w:t>
            </w:r>
          </w:p>
        </w:tc>
      </w:tr>
      <w:tr w:rsidR="00635F8C" w:rsidRPr="00935837" w14:paraId="305FE644" w14:textId="77777777" w:rsidTr="00CC11C0">
        <w:trPr>
          <w:jc w:val="center"/>
        </w:trPr>
        <w:tc>
          <w:tcPr>
            <w:tcW w:w="8874" w:type="dxa"/>
            <w:shd w:val="clear" w:color="auto" w:fill="002060"/>
            <w:vAlign w:val="center"/>
          </w:tcPr>
          <w:p w14:paraId="519DDE24" w14:textId="77777777" w:rsidR="00352134" w:rsidRPr="00935837" w:rsidRDefault="00352134" w:rsidP="0054308C">
            <w:pPr>
              <w:rPr>
                <w:b/>
              </w:rPr>
            </w:pPr>
            <w:r>
              <w:rPr>
                <w:b/>
              </w:rPr>
              <w:t>Chronic Illness Care</w:t>
            </w:r>
          </w:p>
        </w:tc>
      </w:tr>
      <w:tr w:rsidR="00352134" w14:paraId="67B3D289" w14:textId="77777777" w:rsidTr="000748B8">
        <w:trPr>
          <w:jc w:val="center"/>
        </w:trPr>
        <w:tc>
          <w:tcPr>
            <w:tcW w:w="8874" w:type="dxa"/>
            <w:vAlign w:val="center"/>
          </w:tcPr>
          <w:p w14:paraId="6A119AB6" w14:textId="77777777" w:rsidR="00BE66DB" w:rsidRPr="008457A7" w:rsidRDefault="00BE66DB" w:rsidP="002913C6">
            <w:pPr>
              <w:spacing w:before="40"/>
              <w:rPr>
                <w:b/>
                <w:i/>
                <w:u w:val="single"/>
              </w:rPr>
            </w:pPr>
            <w:r w:rsidRPr="008457A7">
              <w:rPr>
                <w:b/>
                <w:i/>
                <w:u w:val="single"/>
              </w:rPr>
              <w:t>Measures that Require Developmental Work</w:t>
            </w:r>
          </w:p>
          <w:p w14:paraId="40693A6B" w14:textId="77777777" w:rsidR="00352134" w:rsidRDefault="00352134" w:rsidP="00F628AA">
            <w:pPr>
              <w:pStyle w:val="ListParagraph"/>
              <w:numPr>
                <w:ilvl w:val="0"/>
                <w:numId w:val="16"/>
              </w:numPr>
            </w:pPr>
            <w:r w:rsidRPr="00352134">
              <w:t>Optimal Diabetes Care</w:t>
            </w:r>
          </w:p>
          <w:p w14:paraId="1FF2EFD8" w14:textId="77777777" w:rsidR="00352134" w:rsidRDefault="00352134" w:rsidP="00F628AA">
            <w:pPr>
              <w:pStyle w:val="ListParagraph"/>
              <w:numPr>
                <w:ilvl w:val="0"/>
                <w:numId w:val="16"/>
              </w:numPr>
            </w:pPr>
            <w:r w:rsidRPr="00352134">
              <w:t>Optimal Asthma Control</w:t>
            </w:r>
          </w:p>
          <w:p w14:paraId="45E7E432" w14:textId="77777777" w:rsidR="00BE66DB" w:rsidRPr="00CC11C0" w:rsidRDefault="00BE66DB" w:rsidP="00BE66DB">
            <w:pPr>
              <w:rPr>
                <w:b/>
                <w:i/>
                <w:sz w:val="10"/>
                <w:szCs w:val="10"/>
                <w:u w:val="single"/>
              </w:rPr>
            </w:pPr>
          </w:p>
          <w:p w14:paraId="6C2A2AE0" w14:textId="77777777" w:rsidR="00BE66DB" w:rsidRPr="008457A7" w:rsidRDefault="00BE66DB" w:rsidP="00BE66DB">
            <w:pPr>
              <w:rPr>
                <w:b/>
                <w:i/>
                <w:u w:val="single"/>
              </w:rPr>
            </w:pPr>
            <w:r w:rsidRPr="008457A7">
              <w:rPr>
                <w:b/>
                <w:i/>
                <w:u w:val="single"/>
              </w:rPr>
              <w:t>Measure Concepts</w:t>
            </w:r>
          </w:p>
          <w:p w14:paraId="28BBD5FA" w14:textId="77777777" w:rsidR="00BE66DB" w:rsidRPr="00352134" w:rsidRDefault="00BE66DB" w:rsidP="00F628AA">
            <w:pPr>
              <w:pStyle w:val="ListParagraph"/>
              <w:numPr>
                <w:ilvl w:val="0"/>
                <w:numId w:val="16"/>
              </w:numPr>
            </w:pPr>
            <w:r>
              <w:t>Blood pressure control</w:t>
            </w:r>
          </w:p>
          <w:p w14:paraId="490CA260" w14:textId="77777777" w:rsidR="00BE66DB" w:rsidRDefault="00BE66DB" w:rsidP="00F628AA">
            <w:pPr>
              <w:pStyle w:val="ListParagraph"/>
              <w:numPr>
                <w:ilvl w:val="0"/>
                <w:numId w:val="16"/>
              </w:numPr>
            </w:pPr>
            <w:r>
              <w:t>Pediatric asthma</w:t>
            </w:r>
          </w:p>
          <w:p w14:paraId="04BE0C74" w14:textId="77777777" w:rsidR="00BE66DB" w:rsidRDefault="00BE66DB" w:rsidP="00F628AA">
            <w:pPr>
              <w:pStyle w:val="ListParagraph"/>
              <w:numPr>
                <w:ilvl w:val="0"/>
                <w:numId w:val="16"/>
              </w:numPr>
            </w:pPr>
            <w:r>
              <w:t>Pediatric behavioral health</w:t>
            </w:r>
          </w:p>
          <w:p w14:paraId="09F06DE0" w14:textId="77777777" w:rsidR="00352134" w:rsidRDefault="00352134" w:rsidP="002913C6">
            <w:pPr>
              <w:pStyle w:val="ListParagraph"/>
              <w:numPr>
                <w:ilvl w:val="0"/>
                <w:numId w:val="16"/>
              </w:numPr>
              <w:spacing w:after="40"/>
            </w:pPr>
            <w:r w:rsidRPr="00352134">
              <w:t xml:space="preserve">Statin </w:t>
            </w:r>
            <w:r w:rsidR="00BE66DB">
              <w:t>t</w:t>
            </w:r>
            <w:r w:rsidRPr="00352134">
              <w:t>herapy (</w:t>
            </w:r>
            <w:r w:rsidR="00BE66DB">
              <w:t>m</w:t>
            </w:r>
            <w:r w:rsidRPr="00352134">
              <w:t xml:space="preserve">edication </w:t>
            </w:r>
            <w:r w:rsidR="00BE66DB">
              <w:t>i</w:t>
            </w:r>
            <w:r w:rsidRPr="00352134">
              <w:t xml:space="preserve">ntensity or </w:t>
            </w:r>
            <w:r w:rsidR="00BE66DB">
              <w:t>m</w:t>
            </w:r>
            <w:r w:rsidRPr="00352134">
              <w:t xml:space="preserve">edical/LDL </w:t>
            </w:r>
            <w:r w:rsidR="00BE66DB">
              <w:t>g</w:t>
            </w:r>
            <w:r w:rsidRPr="00352134">
              <w:t xml:space="preserve">oal) for </w:t>
            </w:r>
            <w:r w:rsidR="00BE66DB">
              <w:t>p</w:t>
            </w:r>
            <w:r w:rsidRPr="00352134">
              <w:t xml:space="preserve">atients with </w:t>
            </w:r>
            <w:r w:rsidR="00BE66DB">
              <w:t>d</w:t>
            </w:r>
            <w:r w:rsidRPr="00352134">
              <w:t>iabetes</w:t>
            </w:r>
          </w:p>
        </w:tc>
      </w:tr>
      <w:tr w:rsidR="00635F8C" w14:paraId="48F5398C" w14:textId="77777777" w:rsidTr="00CC11C0">
        <w:trPr>
          <w:jc w:val="center"/>
        </w:trPr>
        <w:tc>
          <w:tcPr>
            <w:tcW w:w="8874" w:type="dxa"/>
            <w:shd w:val="clear" w:color="auto" w:fill="002060"/>
            <w:vAlign w:val="center"/>
          </w:tcPr>
          <w:p w14:paraId="78A0B964" w14:textId="77777777" w:rsidR="00352134" w:rsidRPr="00503B9F" w:rsidRDefault="00352134" w:rsidP="0054308C">
            <w:pPr>
              <w:rPr>
                <w:b/>
              </w:rPr>
            </w:pPr>
            <w:r>
              <w:rPr>
                <w:b/>
              </w:rPr>
              <w:t>Acute Care</w:t>
            </w:r>
          </w:p>
        </w:tc>
      </w:tr>
      <w:tr w:rsidR="00352134" w14:paraId="56912AF7" w14:textId="77777777" w:rsidTr="000748B8">
        <w:trPr>
          <w:jc w:val="center"/>
        </w:trPr>
        <w:tc>
          <w:tcPr>
            <w:tcW w:w="8874" w:type="dxa"/>
            <w:vAlign w:val="center"/>
          </w:tcPr>
          <w:p w14:paraId="02AD9265" w14:textId="77777777" w:rsidR="00BE66DB" w:rsidRPr="008457A7" w:rsidRDefault="00BE66DB" w:rsidP="002913C6">
            <w:pPr>
              <w:spacing w:before="40"/>
              <w:rPr>
                <w:b/>
                <w:i/>
                <w:u w:val="single"/>
              </w:rPr>
            </w:pPr>
            <w:r w:rsidRPr="008457A7">
              <w:rPr>
                <w:b/>
                <w:i/>
                <w:u w:val="single"/>
              </w:rPr>
              <w:t>Measures that Require Developmental Work</w:t>
            </w:r>
          </w:p>
          <w:p w14:paraId="57D5DAB2" w14:textId="77777777" w:rsidR="00352134" w:rsidRPr="00352134" w:rsidRDefault="00352134" w:rsidP="00F628AA">
            <w:pPr>
              <w:pStyle w:val="ListParagraph"/>
              <w:numPr>
                <w:ilvl w:val="0"/>
                <w:numId w:val="16"/>
              </w:numPr>
            </w:pPr>
            <w:r w:rsidRPr="00352134">
              <w:t>Functional Status Assessment for Total Knee Replacement</w:t>
            </w:r>
          </w:p>
          <w:p w14:paraId="4233CCBC" w14:textId="77777777" w:rsidR="00352134" w:rsidRDefault="00352134" w:rsidP="00F628AA">
            <w:pPr>
              <w:pStyle w:val="ListParagraph"/>
              <w:numPr>
                <w:ilvl w:val="0"/>
                <w:numId w:val="16"/>
              </w:numPr>
            </w:pPr>
            <w:r w:rsidRPr="00352134">
              <w:t>Functional Status Assessment for Total Hip Replacement</w:t>
            </w:r>
          </w:p>
          <w:p w14:paraId="5842329E" w14:textId="77777777" w:rsidR="00BE66DB" w:rsidRPr="00CC11C0" w:rsidRDefault="00BE66DB" w:rsidP="00BE66DB">
            <w:pPr>
              <w:rPr>
                <w:b/>
                <w:i/>
                <w:sz w:val="10"/>
                <w:szCs w:val="10"/>
                <w:u w:val="single"/>
              </w:rPr>
            </w:pPr>
          </w:p>
          <w:p w14:paraId="7E9CCDEE" w14:textId="77777777" w:rsidR="00BE66DB" w:rsidRPr="008457A7" w:rsidRDefault="00BE66DB" w:rsidP="00BE66DB">
            <w:pPr>
              <w:rPr>
                <w:b/>
                <w:i/>
                <w:u w:val="single"/>
              </w:rPr>
            </w:pPr>
            <w:r w:rsidRPr="008457A7">
              <w:rPr>
                <w:b/>
                <w:i/>
                <w:u w:val="single"/>
              </w:rPr>
              <w:t>Measure Concepts</w:t>
            </w:r>
          </w:p>
          <w:p w14:paraId="6095314C" w14:textId="77777777" w:rsidR="00BE66DB" w:rsidRDefault="00BE66DB" w:rsidP="002913C6">
            <w:pPr>
              <w:pStyle w:val="ListParagraph"/>
              <w:numPr>
                <w:ilvl w:val="0"/>
                <w:numId w:val="16"/>
              </w:numPr>
              <w:spacing w:after="40"/>
            </w:pPr>
            <w:r>
              <w:t>Overall functional status</w:t>
            </w:r>
          </w:p>
        </w:tc>
      </w:tr>
      <w:tr w:rsidR="00635F8C" w14:paraId="60992CB7" w14:textId="77777777" w:rsidTr="00CC11C0">
        <w:trPr>
          <w:jc w:val="center"/>
        </w:trPr>
        <w:tc>
          <w:tcPr>
            <w:tcW w:w="8874" w:type="dxa"/>
            <w:shd w:val="clear" w:color="auto" w:fill="002060"/>
            <w:vAlign w:val="center"/>
          </w:tcPr>
          <w:p w14:paraId="1A2A3753" w14:textId="77777777" w:rsidR="00352134" w:rsidRPr="00503B9F" w:rsidRDefault="00352134" w:rsidP="0054308C">
            <w:pPr>
              <w:rPr>
                <w:b/>
              </w:rPr>
            </w:pPr>
            <w:r>
              <w:rPr>
                <w:b/>
              </w:rPr>
              <w:t>Maternity Care</w:t>
            </w:r>
          </w:p>
        </w:tc>
      </w:tr>
      <w:tr w:rsidR="00352134" w14:paraId="0FD682F1" w14:textId="77777777" w:rsidTr="000748B8">
        <w:trPr>
          <w:jc w:val="center"/>
        </w:trPr>
        <w:tc>
          <w:tcPr>
            <w:tcW w:w="8874" w:type="dxa"/>
            <w:vAlign w:val="center"/>
          </w:tcPr>
          <w:p w14:paraId="6F553FD8" w14:textId="77777777" w:rsidR="00BE66DB" w:rsidRPr="008457A7" w:rsidRDefault="00BE66DB" w:rsidP="002913C6">
            <w:pPr>
              <w:spacing w:before="40"/>
              <w:rPr>
                <w:b/>
                <w:i/>
                <w:u w:val="single"/>
              </w:rPr>
            </w:pPr>
            <w:r w:rsidRPr="008457A7">
              <w:rPr>
                <w:b/>
                <w:i/>
                <w:u w:val="single"/>
              </w:rPr>
              <w:t>Measure Concepts</w:t>
            </w:r>
          </w:p>
          <w:p w14:paraId="347F39BB" w14:textId="77777777" w:rsidR="00352134" w:rsidRPr="00352134" w:rsidRDefault="00352134" w:rsidP="002913C6">
            <w:pPr>
              <w:pStyle w:val="ListParagraph"/>
              <w:numPr>
                <w:ilvl w:val="0"/>
                <w:numId w:val="16"/>
              </w:numPr>
              <w:spacing w:after="40"/>
            </w:pPr>
            <w:r>
              <w:t>Outcomes-focused maternity care measures</w:t>
            </w:r>
          </w:p>
        </w:tc>
      </w:tr>
      <w:tr w:rsidR="00635F8C" w14:paraId="0969185C" w14:textId="77777777" w:rsidTr="00887D67">
        <w:trPr>
          <w:jc w:val="center"/>
        </w:trPr>
        <w:tc>
          <w:tcPr>
            <w:tcW w:w="8874" w:type="dxa"/>
            <w:shd w:val="clear" w:color="auto" w:fill="002060"/>
            <w:vAlign w:val="center"/>
          </w:tcPr>
          <w:p w14:paraId="336A2062" w14:textId="77777777" w:rsidR="00C630D2" w:rsidRPr="00503B9F" w:rsidRDefault="00C630D2" w:rsidP="00887D67">
            <w:pPr>
              <w:rPr>
                <w:b/>
              </w:rPr>
            </w:pPr>
            <w:r>
              <w:rPr>
                <w:b/>
              </w:rPr>
              <w:t>Equity</w:t>
            </w:r>
          </w:p>
        </w:tc>
      </w:tr>
      <w:tr w:rsidR="00C630D2" w14:paraId="363BCAD2" w14:textId="77777777" w:rsidTr="000748B8">
        <w:trPr>
          <w:jc w:val="center"/>
        </w:trPr>
        <w:tc>
          <w:tcPr>
            <w:tcW w:w="8874" w:type="dxa"/>
            <w:vAlign w:val="center"/>
          </w:tcPr>
          <w:p w14:paraId="1FD84336" w14:textId="77777777" w:rsidR="00C630D2" w:rsidRPr="008457A7" w:rsidRDefault="00C630D2" w:rsidP="002913C6">
            <w:pPr>
              <w:spacing w:before="40"/>
              <w:rPr>
                <w:b/>
                <w:i/>
                <w:u w:val="single"/>
              </w:rPr>
            </w:pPr>
            <w:r w:rsidRPr="008457A7">
              <w:rPr>
                <w:b/>
                <w:i/>
                <w:u w:val="single"/>
              </w:rPr>
              <w:t>Measure Concepts</w:t>
            </w:r>
          </w:p>
          <w:p w14:paraId="46973486" w14:textId="77777777" w:rsidR="00C630D2" w:rsidRPr="00352134" w:rsidRDefault="00C630D2" w:rsidP="00C630D2">
            <w:pPr>
              <w:pStyle w:val="ListParagraph"/>
              <w:numPr>
                <w:ilvl w:val="0"/>
                <w:numId w:val="16"/>
              </w:numPr>
            </w:pPr>
            <w:r w:rsidRPr="00352134">
              <w:t>Stratify existing measures by race/ethnicity, age, gender, language, disability status, etc.</w:t>
            </w:r>
          </w:p>
          <w:p w14:paraId="31C6E494" w14:textId="77777777" w:rsidR="00C630D2" w:rsidRDefault="00C630D2" w:rsidP="002913C6">
            <w:pPr>
              <w:pStyle w:val="ListParagraph"/>
              <w:numPr>
                <w:ilvl w:val="0"/>
                <w:numId w:val="16"/>
              </w:numPr>
              <w:spacing w:after="40"/>
            </w:pPr>
            <w:r w:rsidRPr="00352134">
              <w:t>Stratify measures, to the extent that data systems allow, by subpopulations, to be defined at a later time, as a Developmental measure for monitoring purposes</w:t>
            </w:r>
          </w:p>
        </w:tc>
      </w:tr>
      <w:tr w:rsidR="00635F8C" w14:paraId="7DFDC110" w14:textId="77777777" w:rsidTr="005D541B">
        <w:trPr>
          <w:jc w:val="center"/>
        </w:trPr>
        <w:tc>
          <w:tcPr>
            <w:tcW w:w="8874" w:type="dxa"/>
            <w:tcBorders>
              <w:bottom w:val="single" w:sz="4" w:space="0" w:color="auto"/>
            </w:tcBorders>
            <w:shd w:val="clear" w:color="auto" w:fill="002060"/>
            <w:vAlign w:val="center"/>
          </w:tcPr>
          <w:p w14:paraId="2EE0B7F3" w14:textId="77777777" w:rsidR="00C630D2" w:rsidRPr="00503B9F" w:rsidRDefault="00C630D2" w:rsidP="00887D67">
            <w:pPr>
              <w:rPr>
                <w:b/>
              </w:rPr>
            </w:pPr>
            <w:r>
              <w:rPr>
                <w:b/>
              </w:rPr>
              <w:t>Social Determinants of Health</w:t>
            </w:r>
          </w:p>
        </w:tc>
      </w:tr>
      <w:tr w:rsidR="00C630D2" w14:paraId="4CEB8C75" w14:textId="77777777" w:rsidTr="000748B8">
        <w:trPr>
          <w:jc w:val="center"/>
        </w:trPr>
        <w:tc>
          <w:tcPr>
            <w:tcW w:w="8874" w:type="dxa"/>
            <w:tcBorders>
              <w:bottom w:val="single" w:sz="4" w:space="0" w:color="auto"/>
            </w:tcBorders>
            <w:vAlign w:val="center"/>
          </w:tcPr>
          <w:p w14:paraId="0AE47036" w14:textId="77777777" w:rsidR="00C630D2" w:rsidRPr="008457A7" w:rsidRDefault="00C630D2" w:rsidP="002913C6">
            <w:pPr>
              <w:spacing w:before="40"/>
              <w:rPr>
                <w:b/>
                <w:i/>
                <w:u w:val="single"/>
              </w:rPr>
            </w:pPr>
            <w:r w:rsidRPr="008457A7">
              <w:rPr>
                <w:b/>
                <w:i/>
                <w:u w:val="single"/>
              </w:rPr>
              <w:t>Measures that Require Developmental Work</w:t>
            </w:r>
          </w:p>
          <w:p w14:paraId="78B18295" w14:textId="77777777" w:rsidR="00C630D2" w:rsidRDefault="00C630D2" w:rsidP="002913C6">
            <w:pPr>
              <w:pStyle w:val="ListParagraph"/>
              <w:numPr>
                <w:ilvl w:val="0"/>
                <w:numId w:val="16"/>
              </w:numPr>
              <w:spacing w:after="40"/>
            </w:pPr>
            <w:r w:rsidRPr="00352134">
              <w:t>Social Services Screening</w:t>
            </w:r>
          </w:p>
        </w:tc>
      </w:tr>
      <w:tr w:rsidR="00635F8C" w14:paraId="342169F9" w14:textId="77777777" w:rsidTr="005D541B">
        <w:trPr>
          <w:jc w:val="center"/>
        </w:trPr>
        <w:tc>
          <w:tcPr>
            <w:tcW w:w="8874" w:type="dxa"/>
            <w:tcBorders>
              <w:top w:val="single" w:sz="4" w:space="0" w:color="auto"/>
              <w:left w:val="nil"/>
              <w:bottom w:val="nil"/>
              <w:right w:val="nil"/>
            </w:tcBorders>
            <w:vAlign w:val="center"/>
          </w:tcPr>
          <w:p w14:paraId="037847F0" w14:textId="77777777" w:rsidR="005D541B" w:rsidRDefault="005D541B" w:rsidP="002913C6">
            <w:pPr>
              <w:spacing w:before="40"/>
              <w:rPr>
                <w:b/>
                <w:i/>
                <w:u w:val="single"/>
              </w:rPr>
            </w:pPr>
          </w:p>
          <w:p w14:paraId="386C7716" w14:textId="77777777" w:rsidR="005D541B" w:rsidRPr="008457A7" w:rsidRDefault="005D541B" w:rsidP="002913C6">
            <w:pPr>
              <w:spacing w:before="40"/>
              <w:rPr>
                <w:b/>
                <w:i/>
                <w:u w:val="single"/>
              </w:rPr>
            </w:pPr>
          </w:p>
        </w:tc>
      </w:tr>
      <w:tr w:rsidR="00635F8C" w14:paraId="5E004BC6" w14:textId="77777777" w:rsidTr="005D541B">
        <w:trPr>
          <w:jc w:val="center"/>
        </w:trPr>
        <w:tc>
          <w:tcPr>
            <w:tcW w:w="8874" w:type="dxa"/>
            <w:tcBorders>
              <w:top w:val="nil"/>
            </w:tcBorders>
            <w:shd w:val="clear" w:color="auto" w:fill="002060"/>
            <w:vAlign w:val="center"/>
          </w:tcPr>
          <w:p w14:paraId="00EB4D47" w14:textId="77777777" w:rsidR="00352134" w:rsidRDefault="00352134" w:rsidP="0054308C">
            <w:r w:rsidRPr="008457A7">
              <w:rPr>
                <w:b/>
              </w:rPr>
              <w:lastRenderedPageBreak/>
              <w:t>Patient Experience</w:t>
            </w:r>
          </w:p>
        </w:tc>
      </w:tr>
      <w:tr w:rsidR="00352134" w14:paraId="7C646929" w14:textId="77777777" w:rsidTr="000748B8">
        <w:trPr>
          <w:jc w:val="center"/>
        </w:trPr>
        <w:tc>
          <w:tcPr>
            <w:tcW w:w="8874" w:type="dxa"/>
            <w:vAlign w:val="center"/>
          </w:tcPr>
          <w:p w14:paraId="4C67C080" w14:textId="77777777" w:rsidR="00BE66DB" w:rsidRPr="008457A7" w:rsidRDefault="00BE66DB" w:rsidP="002913C6">
            <w:pPr>
              <w:spacing w:before="40"/>
              <w:rPr>
                <w:b/>
                <w:i/>
                <w:u w:val="single"/>
              </w:rPr>
            </w:pPr>
            <w:r w:rsidRPr="008457A7">
              <w:rPr>
                <w:b/>
                <w:i/>
                <w:u w:val="single"/>
              </w:rPr>
              <w:t>Measure Concepts</w:t>
            </w:r>
          </w:p>
          <w:p w14:paraId="4350BE13" w14:textId="77777777" w:rsidR="00352134" w:rsidRPr="00352134" w:rsidRDefault="00352134" w:rsidP="00C630D2">
            <w:pPr>
              <w:pStyle w:val="ListParagraph"/>
              <w:numPr>
                <w:ilvl w:val="0"/>
                <w:numId w:val="16"/>
              </w:numPr>
            </w:pPr>
            <w:r w:rsidRPr="00352134">
              <w:t>A modified version of CG-CAHPS that supplements, modifies, or substitutes questions (including, potentially, the PPIC and PICS)</w:t>
            </w:r>
          </w:p>
          <w:p w14:paraId="0B98B500" w14:textId="77777777" w:rsidR="00352134" w:rsidRDefault="00352134" w:rsidP="002913C6">
            <w:pPr>
              <w:pStyle w:val="ListParagraph"/>
              <w:numPr>
                <w:ilvl w:val="0"/>
                <w:numId w:val="16"/>
              </w:numPr>
              <w:spacing w:after="40"/>
            </w:pPr>
            <w:r w:rsidRPr="00352134">
              <w:t>A modified version of CG-CAHPS for a non-primary care attributed population</w:t>
            </w:r>
          </w:p>
        </w:tc>
      </w:tr>
      <w:tr w:rsidR="00635F8C" w14:paraId="682F9D3F" w14:textId="77777777" w:rsidTr="00887D67">
        <w:trPr>
          <w:jc w:val="center"/>
        </w:trPr>
        <w:tc>
          <w:tcPr>
            <w:tcW w:w="8874" w:type="dxa"/>
            <w:shd w:val="clear" w:color="auto" w:fill="002060"/>
            <w:vAlign w:val="center"/>
          </w:tcPr>
          <w:p w14:paraId="33233185" w14:textId="77777777" w:rsidR="00C630D2" w:rsidRDefault="00C630D2" w:rsidP="00887D67">
            <w:r>
              <w:rPr>
                <w:b/>
              </w:rPr>
              <w:t>Care Coordination</w:t>
            </w:r>
          </w:p>
        </w:tc>
      </w:tr>
      <w:tr w:rsidR="00C630D2" w14:paraId="190B0835" w14:textId="77777777" w:rsidTr="000748B8">
        <w:trPr>
          <w:jc w:val="center"/>
        </w:trPr>
        <w:tc>
          <w:tcPr>
            <w:tcW w:w="8874" w:type="dxa"/>
            <w:vAlign w:val="center"/>
          </w:tcPr>
          <w:p w14:paraId="05B0633D" w14:textId="77777777" w:rsidR="00C630D2" w:rsidRPr="008457A7" w:rsidRDefault="00C630D2" w:rsidP="002913C6">
            <w:pPr>
              <w:spacing w:before="40"/>
              <w:rPr>
                <w:b/>
                <w:i/>
                <w:u w:val="single"/>
              </w:rPr>
            </w:pPr>
            <w:r w:rsidRPr="008457A7">
              <w:rPr>
                <w:b/>
                <w:i/>
                <w:u w:val="single"/>
              </w:rPr>
              <w:t>Measure Concepts</w:t>
            </w:r>
          </w:p>
          <w:p w14:paraId="5ADBDD78" w14:textId="77777777" w:rsidR="00C630D2" w:rsidRDefault="00C630D2" w:rsidP="00C630D2">
            <w:pPr>
              <w:pStyle w:val="ListParagraph"/>
              <w:numPr>
                <w:ilvl w:val="0"/>
                <w:numId w:val="16"/>
              </w:numPr>
            </w:pPr>
            <w:r>
              <w:t>Care management and coordination of services</w:t>
            </w:r>
          </w:p>
          <w:p w14:paraId="3FCC3B48" w14:textId="77777777" w:rsidR="00C630D2" w:rsidRDefault="00C630D2" w:rsidP="002913C6">
            <w:pPr>
              <w:pStyle w:val="ListParagraph"/>
              <w:numPr>
                <w:ilvl w:val="0"/>
                <w:numId w:val="16"/>
              </w:numPr>
              <w:spacing w:after="40"/>
            </w:pPr>
            <w:r>
              <w:t xml:space="preserve">Care planning </w:t>
            </w:r>
          </w:p>
        </w:tc>
      </w:tr>
      <w:tr w:rsidR="00635F8C" w14:paraId="4C3229D5" w14:textId="77777777" w:rsidTr="00CC11C0">
        <w:trPr>
          <w:jc w:val="center"/>
        </w:trPr>
        <w:tc>
          <w:tcPr>
            <w:tcW w:w="8874" w:type="dxa"/>
            <w:shd w:val="clear" w:color="auto" w:fill="002060"/>
            <w:vAlign w:val="center"/>
          </w:tcPr>
          <w:p w14:paraId="5746A4EE" w14:textId="77777777" w:rsidR="00352134" w:rsidRDefault="00352134" w:rsidP="0054308C">
            <w:r w:rsidRPr="008457A7">
              <w:rPr>
                <w:b/>
              </w:rPr>
              <w:t>Integration</w:t>
            </w:r>
          </w:p>
        </w:tc>
      </w:tr>
      <w:tr w:rsidR="00352134" w14:paraId="4D6E9BE8" w14:textId="77777777" w:rsidTr="000748B8">
        <w:trPr>
          <w:jc w:val="center"/>
        </w:trPr>
        <w:tc>
          <w:tcPr>
            <w:tcW w:w="8874" w:type="dxa"/>
            <w:vAlign w:val="center"/>
          </w:tcPr>
          <w:p w14:paraId="3B7BB562" w14:textId="77777777" w:rsidR="00BE66DB" w:rsidRPr="008457A7" w:rsidRDefault="00BE66DB" w:rsidP="002913C6">
            <w:pPr>
              <w:spacing w:before="40"/>
              <w:rPr>
                <w:b/>
                <w:i/>
                <w:u w:val="single"/>
              </w:rPr>
            </w:pPr>
            <w:r w:rsidRPr="008457A7">
              <w:rPr>
                <w:b/>
                <w:i/>
                <w:u w:val="single"/>
              </w:rPr>
              <w:t>Measures that Require Developmental Work</w:t>
            </w:r>
          </w:p>
          <w:p w14:paraId="13EA44C0" w14:textId="77777777" w:rsidR="00352134" w:rsidRPr="00352134" w:rsidRDefault="00352134" w:rsidP="00C630D2">
            <w:pPr>
              <w:pStyle w:val="ListParagraph"/>
              <w:numPr>
                <w:ilvl w:val="0"/>
                <w:numId w:val="16"/>
              </w:numPr>
            </w:pPr>
            <w:r w:rsidRPr="00352134">
              <w:t xml:space="preserve">Community </w:t>
            </w:r>
            <w:r>
              <w:t>T</w:t>
            </w:r>
            <w:r w:rsidRPr="00352134">
              <w:t>enure</w:t>
            </w:r>
          </w:p>
          <w:p w14:paraId="1D5C2C8E" w14:textId="77777777" w:rsidR="00BE66DB" w:rsidRPr="00CC11C0" w:rsidRDefault="00BE66DB" w:rsidP="00BE66DB">
            <w:pPr>
              <w:rPr>
                <w:b/>
                <w:i/>
                <w:sz w:val="10"/>
                <w:szCs w:val="10"/>
                <w:u w:val="single"/>
              </w:rPr>
            </w:pPr>
          </w:p>
          <w:p w14:paraId="7425FCE7" w14:textId="77777777" w:rsidR="00BE66DB" w:rsidRPr="008457A7" w:rsidRDefault="00BE66DB" w:rsidP="00BE66DB">
            <w:pPr>
              <w:rPr>
                <w:b/>
                <w:i/>
                <w:u w:val="single"/>
              </w:rPr>
            </w:pPr>
            <w:r w:rsidRPr="008457A7">
              <w:rPr>
                <w:b/>
                <w:i/>
                <w:u w:val="single"/>
              </w:rPr>
              <w:t>Measure Concepts</w:t>
            </w:r>
          </w:p>
          <w:p w14:paraId="70642865" w14:textId="3A15AE91" w:rsidR="00352134" w:rsidRDefault="00352134" w:rsidP="002913C6">
            <w:pPr>
              <w:pStyle w:val="ListParagraph"/>
              <w:numPr>
                <w:ilvl w:val="0"/>
                <w:numId w:val="16"/>
              </w:numPr>
              <w:spacing w:after="40"/>
            </w:pPr>
            <w:r>
              <w:t xml:space="preserve">Integration, notably for </w:t>
            </w:r>
            <w:r w:rsidRPr="00352134">
              <w:t>behavioral health populations and for when a member is involved with one or more state agencies</w:t>
            </w:r>
          </w:p>
        </w:tc>
      </w:tr>
      <w:tr w:rsidR="00635F8C" w14:paraId="28BEF16A" w14:textId="77777777" w:rsidTr="00887D67">
        <w:trPr>
          <w:jc w:val="center"/>
        </w:trPr>
        <w:tc>
          <w:tcPr>
            <w:tcW w:w="8874" w:type="dxa"/>
            <w:shd w:val="clear" w:color="auto" w:fill="002060"/>
            <w:vAlign w:val="center"/>
          </w:tcPr>
          <w:p w14:paraId="275FFECE" w14:textId="77777777" w:rsidR="00C630D2" w:rsidRDefault="00C630D2" w:rsidP="00887D67">
            <w:r>
              <w:rPr>
                <w:b/>
              </w:rPr>
              <w:t>Patient Engagement</w:t>
            </w:r>
          </w:p>
        </w:tc>
      </w:tr>
      <w:tr w:rsidR="00C630D2" w14:paraId="15B2E918" w14:textId="77777777" w:rsidTr="000748B8">
        <w:trPr>
          <w:jc w:val="center"/>
        </w:trPr>
        <w:tc>
          <w:tcPr>
            <w:tcW w:w="8874" w:type="dxa"/>
            <w:vAlign w:val="center"/>
          </w:tcPr>
          <w:p w14:paraId="40403B69" w14:textId="77777777" w:rsidR="00C630D2" w:rsidRPr="008457A7" w:rsidRDefault="00C630D2" w:rsidP="002913C6">
            <w:pPr>
              <w:spacing w:before="40"/>
              <w:rPr>
                <w:b/>
                <w:i/>
                <w:u w:val="single"/>
              </w:rPr>
            </w:pPr>
            <w:r w:rsidRPr="008457A7">
              <w:rPr>
                <w:b/>
                <w:i/>
                <w:u w:val="single"/>
              </w:rPr>
              <w:t>Measure Concepts</w:t>
            </w:r>
          </w:p>
          <w:p w14:paraId="7B34050E" w14:textId="05EAA9BA" w:rsidR="00C630D2" w:rsidRDefault="00C630D2" w:rsidP="002913C6">
            <w:pPr>
              <w:pStyle w:val="ListParagraph"/>
              <w:numPr>
                <w:ilvl w:val="0"/>
                <w:numId w:val="16"/>
              </w:numPr>
              <w:spacing w:after="40"/>
            </w:pPr>
            <w:r>
              <w:t>Patient activation</w:t>
            </w:r>
          </w:p>
        </w:tc>
      </w:tr>
      <w:tr w:rsidR="00635F8C" w14:paraId="51196498" w14:textId="77777777" w:rsidTr="00CC11C0">
        <w:trPr>
          <w:jc w:val="center"/>
        </w:trPr>
        <w:tc>
          <w:tcPr>
            <w:tcW w:w="8874" w:type="dxa"/>
            <w:shd w:val="clear" w:color="auto" w:fill="002060"/>
            <w:vAlign w:val="center"/>
          </w:tcPr>
          <w:p w14:paraId="0BA4ECB4" w14:textId="77777777" w:rsidR="00352134" w:rsidRPr="00BE66DB" w:rsidRDefault="00352134" w:rsidP="00352134">
            <w:pPr>
              <w:rPr>
                <w:b/>
              </w:rPr>
            </w:pPr>
            <w:r>
              <w:rPr>
                <w:b/>
              </w:rPr>
              <w:t>Other</w:t>
            </w:r>
          </w:p>
        </w:tc>
      </w:tr>
      <w:tr w:rsidR="00352134" w14:paraId="7DCE7D55" w14:textId="77777777" w:rsidTr="000748B8">
        <w:trPr>
          <w:jc w:val="center"/>
        </w:trPr>
        <w:tc>
          <w:tcPr>
            <w:tcW w:w="8874" w:type="dxa"/>
            <w:vAlign w:val="center"/>
          </w:tcPr>
          <w:p w14:paraId="563505B1" w14:textId="77777777" w:rsidR="00BE66DB" w:rsidRPr="008457A7" w:rsidRDefault="00BE66DB" w:rsidP="002913C6">
            <w:pPr>
              <w:spacing w:before="40"/>
              <w:rPr>
                <w:b/>
                <w:i/>
                <w:u w:val="single"/>
              </w:rPr>
            </w:pPr>
            <w:r w:rsidRPr="008457A7">
              <w:rPr>
                <w:b/>
                <w:i/>
                <w:u w:val="single"/>
              </w:rPr>
              <w:t>Measure Concepts</w:t>
            </w:r>
          </w:p>
          <w:p w14:paraId="4B283569" w14:textId="77777777" w:rsidR="00BE66DB" w:rsidRDefault="00BE66DB" w:rsidP="00C630D2">
            <w:pPr>
              <w:pStyle w:val="ListParagraph"/>
              <w:numPr>
                <w:ilvl w:val="0"/>
                <w:numId w:val="16"/>
              </w:numPr>
            </w:pPr>
            <w:r>
              <w:t>Accessibility of specialist care</w:t>
            </w:r>
          </w:p>
          <w:p w14:paraId="6095DC60" w14:textId="77777777" w:rsidR="00BE66DB" w:rsidRDefault="00BE66DB" w:rsidP="00C630D2">
            <w:pPr>
              <w:pStyle w:val="ListParagraph"/>
              <w:numPr>
                <w:ilvl w:val="0"/>
                <w:numId w:val="16"/>
              </w:numPr>
            </w:pPr>
            <w:r>
              <w:t>Clinician burnout/provider satisfaction</w:t>
            </w:r>
          </w:p>
          <w:p w14:paraId="703449E8" w14:textId="77777777" w:rsidR="00BE66DB" w:rsidRDefault="00BE66DB" w:rsidP="00C630D2">
            <w:pPr>
              <w:pStyle w:val="ListParagraph"/>
              <w:numPr>
                <w:ilvl w:val="0"/>
                <w:numId w:val="16"/>
              </w:numPr>
            </w:pPr>
            <w:r>
              <w:t>Consumer affordability of health care</w:t>
            </w:r>
          </w:p>
          <w:p w14:paraId="21042CDD" w14:textId="77777777" w:rsidR="00BE66DB" w:rsidRDefault="00BE66DB" w:rsidP="00C630D2">
            <w:pPr>
              <w:pStyle w:val="ListParagraph"/>
              <w:numPr>
                <w:ilvl w:val="0"/>
                <w:numId w:val="16"/>
              </w:numPr>
            </w:pPr>
            <w:r>
              <w:t>Disability-adjusted life years</w:t>
            </w:r>
          </w:p>
          <w:p w14:paraId="3839DD32" w14:textId="77777777" w:rsidR="00BE66DB" w:rsidRDefault="00BE66DB" w:rsidP="00C630D2">
            <w:pPr>
              <w:pStyle w:val="ListParagraph"/>
              <w:numPr>
                <w:ilvl w:val="0"/>
                <w:numId w:val="16"/>
              </w:numPr>
            </w:pPr>
            <w:r>
              <w:t xml:space="preserve">EHR interoperability </w:t>
            </w:r>
          </w:p>
          <w:p w14:paraId="1EE7A8DF" w14:textId="77777777" w:rsidR="00BE66DB" w:rsidRDefault="00BE66DB" w:rsidP="00C630D2">
            <w:pPr>
              <w:pStyle w:val="ListParagraph"/>
              <w:numPr>
                <w:ilvl w:val="0"/>
                <w:numId w:val="16"/>
              </w:numPr>
            </w:pPr>
            <w:r>
              <w:t>Life status</w:t>
            </w:r>
            <w:r w:rsidR="00C90D68">
              <w:t xml:space="preserve"> measures</w:t>
            </w:r>
            <w:r>
              <w:t xml:space="preserve">, </w:t>
            </w:r>
            <w:r w:rsidR="00C90D68">
              <w:t xml:space="preserve">potentially </w:t>
            </w:r>
            <w:r>
              <w:t xml:space="preserve">including </w:t>
            </w:r>
            <w:r w:rsidR="00C90D68">
              <w:t>kindergarten readiness</w:t>
            </w:r>
            <w:r w:rsidR="00552D02">
              <w:t xml:space="preserve">, </w:t>
            </w:r>
            <w:r>
              <w:t>high school graduation rate</w:t>
            </w:r>
            <w:r w:rsidR="00552D02">
              <w:t xml:space="preserve"> and other measures</w:t>
            </w:r>
          </w:p>
          <w:p w14:paraId="38464775" w14:textId="77777777" w:rsidR="00BE66DB" w:rsidRDefault="00BE66DB" w:rsidP="00C630D2">
            <w:pPr>
              <w:pStyle w:val="ListParagraph"/>
              <w:numPr>
                <w:ilvl w:val="0"/>
                <w:numId w:val="16"/>
              </w:numPr>
            </w:pPr>
            <w:r>
              <w:t xml:space="preserve">Measures </w:t>
            </w:r>
            <w:r w:rsidR="00552D02">
              <w:t xml:space="preserve">specific </w:t>
            </w:r>
            <w:r>
              <w:t xml:space="preserve">to vulnerable populations (e.g., </w:t>
            </w:r>
            <w:r w:rsidR="004209CB">
              <w:t xml:space="preserve">those with </w:t>
            </w:r>
            <w:r>
              <w:t>sickle cell</w:t>
            </w:r>
            <w:r w:rsidR="004209CB">
              <w:t xml:space="preserve"> disease</w:t>
            </w:r>
            <w:r>
              <w:t>)</w:t>
            </w:r>
          </w:p>
          <w:p w14:paraId="7B30222D" w14:textId="77777777" w:rsidR="00BE66DB" w:rsidRDefault="00BE66DB" w:rsidP="00C630D2">
            <w:pPr>
              <w:pStyle w:val="ListParagraph"/>
              <w:numPr>
                <w:ilvl w:val="0"/>
                <w:numId w:val="16"/>
              </w:numPr>
            </w:pPr>
            <w:r>
              <w:t>Overall sense of well-being and health outcomes</w:t>
            </w:r>
          </w:p>
          <w:p w14:paraId="009C0DEA" w14:textId="77777777" w:rsidR="00352134" w:rsidRDefault="00BE66DB" w:rsidP="002913C6">
            <w:pPr>
              <w:pStyle w:val="ListParagraph"/>
              <w:numPr>
                <w:ilvl w:val="0"/>
                <w:numId w:val="16"/>
              </w:numPr>
              <w:spacing w:after="40"/>
            </w:pPr>
            <w:r>
              <w:t>Patient-reported outcome measures</w:t>
            </w:r>
          </w:p>
        </w:tc>
      </w:tr>
    </w:tbl>
    <w:p w14:paraId="75AB0FFA" w14:textId="77777777" w:rsidR="00C9050A" w:rsidRPr="002E2066" w:rsidRDefault="00C9050A" w:rsidP="00BE66DB">
      <w:r w:rsidRPr="002E2066">
        <w:br w:type="page"/>
      </w:r>
    </w:p>
    <w:p w14:paraId="6582E4DE" w14:textId="77777777" w:rsidR="00C9050A" w:rsidRDefault="00C9050A" w:rsidP="00C9050A">
      <w:pPr>
        <w:pStyle w:val="Heading2"/>
        <w:sectPr w:rsidR="00C905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992FE8C" w14:textId="67016195" w:rsidR="00C9050A" w:rsidRPr="00220565" w:rsidRDefault="00C9050A" w:rsidP="00C9050A">
      <w:pPr>
        <w:pStyle w:val="Heading2"/>
      </w:pPr>
      <w:bookmarkStart w:id="50" w:name="_Toc5362573"/>
      <w:r w:rsidRPr="00220565">
        <w:lastRenderedPageBreak/>
        <w:t xml:space="preserve">Appendix </w:t>
      </w:r>
      <w:r w:rsidR="002E2066">
        <w:t>B</w:t>
      </w:r>
      <w:r w:rsidRPr="00220565">
        <w:t>:  MassHealth DSRIP ACO, Behavioral Health Community Partner, and Long-term Services and Supports Community Partner Measure Sets</w:t>
      </w:r>
      <w:r w:rsidR="00AE1A11">
        <w:t xml:space="preserve"> as of July 2018</w:t>
      </w:r>
      <w:r w:rsidR="008B46AB">
        <w:rPr>
          <w:rStyle w:val="FootnoteReference"/>
        </w:rPr>
        <w:footnoteReference w:id="39"/>
      </w:r>
      <w:bookmarkEnd w:id="50"/>
    </w:p>
    <w:p w14:paraId="473C4243" w14:textId="77777777" w:rsidR="00C9050A" w:rsidRPr="00220565" w:rsidRDefault="00C9050A" w:rsidP="00C9050A">
      <w:pPr>
        <w:ind w:firstLine="720"/>
        <w:rPr>
          <w:b/>
        </w:rPr>
      </w:pPr>
    </w:p>
    <w:tbl>
      <w:tblPr>
        <w:tblW w:w="14031" w:type="dxa"/>
        <w:jc w:val="center"/>
        <w:tblCellMar>
          <w:left w:w="0" w:type="dxa"/>
          <w:right w:w="0" w:type="dxa"/>
        </w:tblCellMar>
        <w:tblLook w:val="04A0" w:firstRow="1" w:lastRow="0" w:firstColumn="1" w:lastColumn="0" w:noHBand="0" w:noVBand="1"/>
      </w:tblPr>
      <w:tblGrid>
        <w:gridCol w:w="1217"/>
        <w:gridCol w:w="2728"/>
        <w:gridCol w:w="5321"/>
        <w:gridCol w:w="900"/>
        <w:gridCol w:w="900"/>
        <w:gridCol w:w="720"/>
        <w:gridCol w:w="720"/>
        <w:gridCol w:w="630"/>
        <w:gridCol w:w="895"/>
      </w:tblGrid>
      <w:tr w:rsidR="00C9050A" w:rsidRPr="00220565" w14:paraId="7F8310AF" w14:textId="77777777" w:rsidTr="00BD164E">
        <w:trPr>
          <w:trHeight w:val="288"/>
          <w:jc w:val="center"/>
        </w:trPr>
        <w:tc>
          <w:tcPr>
            <w:tcW w:w="14031" w:type="dxa"/>
            <w:gridSpan w:val="9"/>
            <w:tcBorders>
              <w:top w:val="single" w:sz="8" w:space="0" w:color="BFBFBF"/>
              <w:left w:val="single" w:sz="8" w:space="0" w:color="BFBFBF"/>
              <w:bottom w:val="single" w:sz="8" w:space="0" w:color="BFBFBF"/>
              <w:right w:val="single" w:sz="8" w:space="0" w:color="BFBFBF"/>
            </w:tcBorders>
            <w:shd w:val="clear" w:color="auto" w:fill="DEEAF6"/>
            <w:noWrap/>
            <w:tcMar>
              <w:top w:w="0" w:type="dxa"/>
              <w:left w:w="108" w:type="dxa"/>
              <w:bottom w:w="0" w:type="dxa"/>
              <w:right w:w="108" w:type="dxa"/>
            </w:tcMar>
            <w:vAlign w:val="center"/>
          </w:tcPr>
          <w:p w14:paraId="6DC6D26A" w14:textId="77777777" w:rsidR="00C9050A" w:rsidRPr="00220565" w:rsidRDefault="00C9050A" w:rsidP="00BD164E">
            <w:pPr>
              <w:rPr>
                <w:rFonts w:eastAsia="Times New Roman" w:cs="Arial"/>
                <w:b/>
                <w:bCs/>
                <w:color w:val="000000"/>
                <w:sz w:val="18"/>
                <w:szCs w:val="18"/>
                <w:shd w:val="clear" w:color="auto" w:fill="DEEAF6"/>
              </w:rPr>
            </w:pPr>
            <w:r w:rsidRPr="00220565">
              <w:rPr>
                <w:rFonts w:eastAsia="Times New Roman" w:cs="Arial"/>
                <w:b/>
                <w:bCs/>
                <w:color w:val="000000"/>
                <w:sz w:val="18"/>
                <w:szCs w:val="18"/>
                <w:shd w:val="clear" w:color="auto" w:fill="DEEAF6"/>
              </w:rPr>
              <w:t>MassHealth DSRIP ACO Quality Measure Set</w:t>
            </w:r>
          </w:p>
        </w:tc>
      </w:tr>
      <w:tr w:rsidR="00C9050A" w:rsidRPr="00220565" w14:paraId="10F62794" w14:textId="77777777" w:rsidTr="00BD164E">
        <w:trPr>
          <w:trHeight w:val="260"/>
          <w:jc w:val="center"/>
        </w:trPr>
        <w:tc>
          <w:tcPr>
            <w:tcW w:w="1217" w:type="dxa"/>
            <w:vMerge w:val="restart"/>
            <w:tcBorders>
              <w:top w:val="single" w:sz="8" w:space="0" w:color="BFBFBF"/>
              <w:left w:val="single" w:sz="8" w:space="0" w:color="BFBFBF"/>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6224043B" w14:textId="77777777" w:rsidR="00C9050A" w:rsidRPr="00220565" w:rsidRDefault="00C9050A" w:rsidP="00BD164E">
            <w:pPr>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w:t>
            </w:r>
          </w:p>
        </w:tc>
        <w:tc>
          <w:tcPr>
            <w:tcW w:w="2728"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1AC3329D" w14:textId="77777777" w:rsidR="00C9050A" w:rsidRPr="00220565" w:rsidRDefault="00C9050A" w:rsidP="00BD164E">
            <w:pPr>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Measure Name</w:t>
            </w:r>
          </w:p>
        </w:tc>
        <w:tc>
          <w:tcPr>
            <w:tcW w:w="5321"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4D796915" w14:textId="77777777" w:rsidR="00C9050A" w:rsidRPr="00220565" w:rsidRDefault="00C9050A" w:rsidP="00BD164E">
            <w:pPr>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Measure Description</w:t>
            </w:r>
          </w:p>
        </w:tc>
        <w:tc>
          <w:tcPr>
            <w:tcW w:w="900"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45C11F5F" w14:textId="77777777" w:rsidR="00C9050A" w:rsidRPr="00220565" w:rsidRDefault="00C9050A" w:rsidP="00BD164E">
            <w:pPr>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Data Source</w:t>
            </w:r>
          </w:p>
        </w:tc>
        <w:tc>
          <w:tcPr>
            <w:tcW w:w="3865" w:type="dxa"/>
            <w:gridSpan w:val="5"/>
            <w:tcBorders>
              <w:top w:val="single" w:sz="8" w:space="0" w:color="BFBFBF"/>
              <w:left w:val="nil"/>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1CDD6A10" w14:textId="77777777" w:rsidR="00C9050A" w:rsidRPr="00220565" w:rsidRDefault="00C9050A" w:rsidP="00BD164E">
            <w:pPr>
              <w:jc w:val="center"/>
              <w:rPr>
                <w:rFonts w:eastAsia="Times New Roman" w:cs="Arial"/>
                <w:b/>
                <w:bCs/>
                <w:color w:val="000000"/>
                <w:sz w:val="18"/>
                <w:szCs w:val="18"/>
                <w:shd w:val="clear" w:color="auto" w:fill="DEEAF6"/>
              </w:rPr>
            </w:pPr>
            <w:r w:rsidRPr="00220565">
              <w:rPr>
                <w:rFonts w:eastAsia="Times New Roman" w:cs="Arial"/>
                <w:b/>
                <w:bCs/>
                <w:color w:val="000000"/>
                <w:sz w:val="18"/>
                <w:szCs w:val="18"/>
                <w:shd w:val="clear" w:color="auto" w:fill="DEEAF6"/>
              </w:rPr>
              <w:t>Measure Payment Status</w:t>
            </w:r>
          </w:p>
          <w:p w14:paraId="753AA686" w14:textId="77777777" w:rsidR="00C9050A" w:rsidRPr="00220565" w:rsidRDefault="00C9050A" w:rsidP="00BD164E">
            <w:pPr>
              <w:jc w:val="center"/>
              <w:rPr>
                <w:rFonts w:eastAsia="Times New Roman" w:cs="Arial"/>
                <w:b/>
                <w:bCs/>
                <w:color w:val="000000"/>
                <w:sz w:val="18"/>
                <w:szCs w:val="18"/>
                <w:shd w:val="clear" w:color="auto" w:fill="DEEAF6"/>
              </w:rPr>
            </w:pPr>
            <w:r w:rsidRPr="00220565">
              <w:rPr>
                <w:rFonts w:eastAsia="Times New Roman" w:cs="Arial"/>
                <w:color w:val="000000"/>
                <w:sz w:val="18"/>
                <w:szCs w:val="18"/>
                <w:shd w:val="clear" w:color="auto" w:fill="DEEAF6"/>
              </w:rPr>
              <w:t>(P = Performance, R= Reporting,</w:t>
            </w:r>
          </w:p>
          <w:p w14:paraId="66136427" w14:textId="77777777" w:rsidR="00C9050A" w:rsidRPr="00220565" w:rsidRDefault="00C9050A" w:rsidP="00BD164E">
            <w:pPr>
              <w:jc w:val="center"/>
              <w:rPr>
                <w:rFonts w:eastAsia="Times New Roman" w:cs="Times New Roman"/>
                <w:sz w:val="24"/>
                <w:szCs w:val="24"/>
                <w:shd w:val="clear" w:color="auto" w:fill="DEEAF6"/>
              </w:rPr>
            </w:pPr>
            <w:r w:rsidRPr="00220565">
              <w:rPr>
                <w:rFonts w:eastAsia="Times New Roman" w:cs="Arial"/>
                <w:color w:val="000000"/>
                <w:sz w:val="18"/>
                <w:szCs w:val="18"/>
                <w:shd w:val="clear" w:color="auto" w:fill="DEEAF6"/>
              </w:rPr>
              <w:t>P4R = Pay for Reporting)</w:t>
            </w:r>
          </w:p>
        </w:tc>
      </w:tr>
      <w:tr w:rsidR="00C9050A" w:rsidRPr="00220565" w14:paraId="71C39F9A" w14:textId="77777777" w:rsidTr="00BD164E">
        <w:trPr>
          <w:trHeight w:val="159"/>
          <w:jc w:val="center"/>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4E591276" w14:textId="77777777" w:rsidR="00C9050A" w:rsidRPr="00220565" w:rsidRDefault="00C9050A" w:rsidP="00BD164E">
            <w:pPr>
              <w:rPr>
                <w:rFonts w:eastAsia="Times New Roman" w:cs="Times New Roman"/>
                <w:sz w:val="24"/>
                <w:szCs w:val="24"/>
                <w:shd w:val="clear" w:color="auto" w:fill="DEEAF6"/>
              </w:rPr>
            </w:pPr>
          </w:p>
        </w:tc>
        <w:tc>
          <w:tcPr>
            <w:tcW w:w="0" w:type="auto"/>
            <w:vMerge/>
            <w:tcBorders>
              <w:top w:val="single" w:sz="8" w:space="0" w:color="BFBFBF"/>
              <w:left w:val="nil"/>
              <w:bottom w:val="single" w:sz="8" w:space="0" w:color="BFBFBF"/>
              <w:right w:val="single" w:sz="8" w:space="0" w:color="BFBFBF"/>
            </w:tcBorders>
            <w:vAlign w:val="center"/>
            <w:hideMark/>
          </w:tcPr>
          <w:p w14:paraId="4A260D76" w14:textId="77777777" w:rsidR="00C9050A" w:rsidRPr="00220565" w:rsidRDefault="00C9050A" w:rsidP="00BD164E">
            <w:pPr>
              <w:rPr>
                <w:rFonts w:eastAsia="Times New Roman" w:cs="Times New Roman"/>
                <w:sz w:val="24"/>
                <w:szCs w:val="24"/>
                <w:shd w:val="clear" w:color="auto" w:fill="DEEAF6"/>
              </w:rPr>
            </w:pPr>
          </w:p>
        </w:tc>
        <w:tc>
          <w:tcPr>
            <w:tcW w:w="5321" w:type="dxa"/>
            <w:vMerge/>
            <w:tcBorders>
              <w:top w:val="single" w:sz="8" w:space="0" w:color="BFBFBF"/>
              <w:left w:val="nil"/>
              <w:bottom w:val="single" w:sz="8" w:space="0" w:color="BFBFBF"/>
              <w:right w:val="single" w:sz="8" w:space="0" w:color="BFBFBF"/>
            </w:tcBorders>
            <w:vAlign w:val="center"/>
            <w:hideMark/>
          </w:tcPr>
          <w:p w14:paraId="30DF447B" w14:textId="77777777" w:rsidR="00C9050A" w:rsidRPr="00220565" w:rsidRDefault="00C9050A" w:rsidP="00BD164E">
            <w:pPr>
              <w:rPr>
                <w:rFonts w:eastAsia="Times New Roman" w:cs="Times New Roman"/>
                <w:sz w:val="24"/>
                <w:szCs w:val="24"/>
                <w:shd w:val="clear" w:color="auto" w:fill="DEEAF6"/>
              </w:rPr>
            </w:pPr>
          </w:p>
        </w:tc>
        <w:tc>
          <w:tcPr>
            <w:tcW w:w="900" w:type="dxa"/>
            <w:vMerge/>
            <w:tcBorders>
              <w:top w:val="single" w:sz="8" w:space="0" w:color="BFBFBF"/>
              <w:left w:val="nil"/>
              <w:bottom w:val="single" w:sz="8" w:space="0" w:color="BFBFBF"/>
              <w:right w:val="single" w:sz="8" w:space="0" w:color="BFBFBF"/>
            </w:tcBorders>
            <w:vAlign w:val="center"/>
            <w:hideMark/>
          </w:tcPr>
          <w:p w14:paraId="0052E9A5" w14:textId="77777777" w:rsidR="00C9050A" w:rsidRPr="00220565" w:rsidRDefault="00C9050A" w:rsidP="00BD164E">
            <w:pPr>
              <w:rPr>
                <w:rFonts w:eastAsia="Times New Roman" w:cs="Times New Roman"/>
                <w:sz w:val="24"/>
                <w:szCs w:val="24"/>
                <w:shd w:val="clear" w:color="auto" w:fill="DEEAF6"/>
              </w:rPr>
            </w:pPr>
          </w:p>
        </w:tc>
        <w:tc>
          <w:tcPr>
            <w:tcW w:w="900" w:type="dxa"/>
            <w:tcBorders>
              <w:top w:val="nil"/>
              <w:left w:val="nil"/>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07DA12F2" w14:textId="77777777" w:rsidR="00C9050A" w:rsidRPr="00220565" w:rsidRDefault="00C9050A" w:rsidP="00BD164E">
            <w:pPr>
              <w:spacing w:line="159" w:lineRule="atLeast"/>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2018</w:t>
            </w:r>
          </w:p>
        </w:tc>
        <w:tc>
          <w:tcPr>
            <w:tcW w:w="72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541583A3" w14:textId="77777777" w:rsidR="00C9050A" w:rsidRPr="00220565" w:rsidRDefault="00C9050A" w:rsidP="00BD164E">
            <w:pPr>
              <w:spacing w:line="159" w:lineRule="atLeast"/>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2019</w:t>
            </w:r>
          </w:p>
        </w:tc>
        <w:tc>
          <w:tcPr>
            <w:tcW w:w="72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5867F57F" w14:textId="77777777" w:rsidR="00C9050A" w:rsidRPr="00220565" w:rsidRDefault="00C9050A" w:rsidP="00BD164E">
            <w:pPr>
              <w:spacing w:line="159" w:lineRule="atLeast"/>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2020</w:t>
            </w:r>
          </w:p>
        </w:tc>
        <w:tc>
          <w:tcPr>
            <w:tcW w:w="63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2741EC45" w14:textId="77777777" w:rsidR="00C9050A" w:rsidRPr="00220565" w:rsidRDefault="00C9050A" w:rsidP="00BD164E">
            <w:pPr>
              <w:spacing w:line="159" w:lineRule="atLeast"/>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2021</w:t>
            </w:r>
          </w:p>
        </w:tc>
        <w:tc>
          <w:tcPr>
            <w:tcW w:w="895"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2711D275" w14:textId="77777777" w:rsidR="00C9050A" w:rsidRPr="00220565" w:rsidRDefault="00C9050A" w:rsidP="00BD164E">
            <w:pPr>
              <w:spacing w:line="159" w:lineRule="atLeast"/>
              <w:jc w:val="center"/>
              <w:rPr>
                <w:rFonts w:eastAsia="Times New Roman" w:cs="Times New Roman"/>
                <w:sz w:val="24"/>
                <w:szCs w:val="24"/>
                <w:shd w:val="clear" w:color="auto" w:fill="DEEAF6"/>
              </w:rPr>
            </w:pPr>
            <w:r w:rsidRPr="00220565">
              <w:rPr>
                <w:rFonts w:eastAsia="Times New Roman" w:cs="Arial"/>
                <w:b/>
                <w:bCs/>
                <w:color w:val="000000"/>
                <w:sz w:val="18"/>
                <w:szCs w:val="18"/>
                <w:shd w:val="clear" w:color="auto" w:fill="DEEAF6"/>
              </w:rPr>
              <w:t>2022</w:t>
            </w:r>
          </w:p>
        </w:tc>
      </w:tr>
      <w:tr w:rsidR="00C9050A" w:rsidRPr="00220565" w14:paraId="3199848E" w14:textId="77777777" w:rsidTr="00BD164E">
        <w:trPr>
          <w:trHeight w:val="28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8CED39F" w14:textId="77777777" w:rsidR="00C9050A" w:rsidRPr="00220565" w:rsidRDefault="00C9050A" w:rsidP="00BD164E">
            <w:pPr>
              <w:rPr>
                <w:rFonts w:eastAsia="Times New Roman" w:cs="Times New Roman"/>
                <w:sz w:val="24"/>
                <w:szCs w:val="24"/>
              </w:rPr>
            </w:pPr>
            <w:r w:rsidRPr="00220565">
              <w:rPr>
                <w:rFonts w:eastAsia="Times New Roman" w:cs="Arial"/>
                <w:b/>
                <w:bCs/>
                <w:color w:val="000000"/>
                <w:sz w:val="18"/>
                <w:szCs w:val="18"/>
              </w:rPr>
              <w:t>Domain 1 – Prevention &amp; Wellness</w:t>
            </w:r>
          </w:p>
        </w:tc>
      </w:tr>
      <w:tr w:rsidR="00C9050A" w:rsidRPr="00220565" w14:paraId="357F7C68"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97F16E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B9F45A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Childhood Immunization Status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8411E45"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who received all recommended immunizations by their 2nd birthday</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53312C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3647B1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0D2110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5E4B2F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1B314C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E3229E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5BB73AFC"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6D47FA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1328D7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Immunizations for Adolescents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6955D0"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13 years of age who received all recommended vaccines, including the HPV series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30DC8A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2D7A26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57F482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FFD31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752DC4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0DA248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7055B31B"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F5EB26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3</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EEE357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Timeliness of Prenatal Care</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385E43B"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deliveries in which the member received a prenatal care visit in the first trimester or within 42 days of enrollment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29188A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433FA4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9157BE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3F9F1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BC7227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181819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3929B03E"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2C4FB8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8</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F3746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Controlling High Blood Pressure</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BC4F932"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18 to 64 years of age with hypertension and whose blood pressure was adequately controlled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E98B72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3B616C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B95779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019896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EB96BC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A682A3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58C83DFB"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F5B0FF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9</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37F6D1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Comprehensive Diabetes Care: A1c Poor Control</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A88CB58"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18 to 64 years of age with diabetes whose most recent HbA1c level demonstrated poor control (&gt; 9.0%)</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CEDCD7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9EFB6D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C46AF9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ECC4C3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E94B19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6D14E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2CB19A56" w14:textId="77777777" w:rsidTr="00BD164E">
        <w:trPr>
          <w:trHeight w:val="720"/>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4FEB26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7</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A0E182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Asthma Medication Ratio</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9C1F6CC"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5 to 64 years of age who were identified as having persistent asthma and had a ratio of controller medications to total asthma medications of 0.50 or greater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125CD6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2457B0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E8C8AA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0AF7A2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6EEE22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56772F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40A665AC" w14:textId="77777777" w:rsidTr="00BD164E">
        <w:trPr>
          <w:trHeight w:val="720"/>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347AA8B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10</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0A7354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Follow-up Care for Children Prescribed ADHD Medication (Initiation)</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9B45CA9"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6 to 12 years of age who were newly prescribed ADHD medication and had a follow-up care visit within 30 days of when the first ADHD medication was dispensed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7536DC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6A72F7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6D5406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14642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F539AA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5614BD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375FBFB8"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4A973BA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6D8F43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Metabolic Monitoring for Children and Adolescents on Antipsychotics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C1D23A3"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 to 17 years of age who had two or more antipsychotic prescriptions and received metabolic testing</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4ED1F9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7E2F6E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268AC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6A5E69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58C8FA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C6F5D6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41C2B904" w14:textId="77777777" w:rsidTr="00BD164E">
        <w:trPr>
          <w:trHeight w:val="20"/>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F4AB44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lastRenderedPageBreak/>
              <w:t>15</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FF22D9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Follow-Up After Hospitalization for Mental Illness (7 days)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8CB6C4C"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discharges for members 6 to 64 years of age, hospitalized for mental illness, where the member received follow-up with a mental health practitioner within 7 days of discharge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F0657C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1635C8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BE1164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51FC7C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F40FDF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5C5F5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2F3393D1" w14:textId="77777777" w:rsidTr="00813FE6">
        <w:trPr>
          <w:trHeight w:val="1152"/>
          <w:jc w:val="center"/>
        </w:trPr>
        <w:tc>
          <w:tcPr>
            <w:tcW w:w="1217" w:type="dxa"/>
            <w:tcBorders>
              <w:top w:val="single" w:sz="4" w:space="0" w:color="BFBFBF" w:themeColor="background1" w:themeShade="BF"/>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640A69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21</w:t>
            </w:r>
          </w:p>
        </w:tc>
        <w:tc>
          <w:tcPr>
            <w:tcW w:w="2728"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5942F9E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Initiation and Engagement of Alcohol, or Other Drug Abuse or Dependence Treatment</w:t>
            </w:r>
          </w:p>
        </w:tc>
        <w:tc>
          <w:tcPr>
            <w:tcW w:w="5321"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79798B46"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 </w:t>
            </w:r>
          </w:p>
          <w:p w14:paraId="46E0E867"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13 to 64 years of age who are diagnosed with a new episode of alcohol, opioid, or other drug abuse or dependency who initiate treatment within 14 days of diagnosis and who receive at ≥2 additional services within 30 days of the initiation visit</w:t>
            </w:r>
          </w:p>
        </w:tc>
        <w:tc>
          <w:tcPr>
            <w:tcW w:w="90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3D40878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single" w:sz="4" w:space="0" w:color="BFBFBF" w:themeColor="background1" w:themeShade="BF"/>
              <w:left w:val="nil"/>
              <w:bottom w:val="single" w:sz="8" w:space="0" w:color="BFBFBF"/>
              <w:right w:val="single" w:sz="8" w:space="0" w:color="BFBFBF"/>
            </w:tcBorders>
            <w:noWrap/>
            <w:tcMar>
              <w:top w:w="0" w:type="dxa"/>
              <w:left w:w="108" w:type="dxa"/>
              <w:bottom w:w="0" w:type="dxa"/>
              <w:right w:w="108" w:type="dxa"/>
            </w:tcMar>
            <w:vAlign w:val="center"/>
            <w:hideMark/>
          </w:tcPr>
          <w:p w14:paraId="6F9BB37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43408DE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1E90E79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3811F57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2403572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5561601F" w14:textId="77777777" w:rsidTr="00BD164E">
        <w:trPr>
          <w:trHeight w:val="28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8BA7D2F" w14:textId="77777777" w:rsidR="00C9050A" w:rsidRPr="00220565" w:rsidRDefault="00C9050A" w:rsidP="00BD164E">
            <w:pPr>
              <w:rPr>
                <w:rFonts w:eastAsia="Times New Roman" w:cs="Times New Roman"/>
                <w:sz w:val="24"/>
                <w:szCs w:val="24"/>
              </w:rPr>
            </w:pPr>
            <w:r w:rsidRPr="00220565">
              <w:rPr>
                <w:rFonts w:eastAsia="Times New Roman" w:cs="Arial"/>
                <w:b/>
                <w:bCs/>
                <w:color w:val="000000"/>
                <w:sz w:val="18"/>
                <w:szCs w:val="18"/>
              </w:rPr>
              <w:t>Domain 2 – Care Integration</w:t>
            </w:r>
          </w:p>
        </w:tc>
      </w:tr>
      <w:tr w:rsidR="00C9050A" w:rsidRPr="00220565" w14:paraId="7D2EDA4D"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3B15C4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4</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62CFF0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Oral Health Evaluation</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740B271"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under age 21 years who received a comprehensive or periodic oral evaluation during the year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0A7F6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75C670E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8E629A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0D7EBE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682557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15677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42BCC496" w14:textId="77777777" w:rsidTr="00BD164E">
        <w:trPr>
          <w:trHeight w:val="720"/>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979C44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5</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F6B4E2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Tobacco Use: Screening and Cessation Intervention</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2A11144"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18 to 64 years of age who were screened for tobacco use one or more times within 24 months, and if identified as a tobacco user, received cessation counseling intervention</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820504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7AB4369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E9E27C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69B61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67C843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E96B0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7C0A25E5"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ECE99C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6</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6EEB86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Depression Screening and Follow-Up for Adolescents and Adults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F25B922"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age 12 to 64 years of age who were screened for clinical depression, and if screened positive for depression, who received follow-up care within 30 days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53C4C81"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54FD42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28A5CC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115B66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044AB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4B4180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249EB135" w14:textId="77777777" w:rsidTr="00BD164E">
        <w:trPr>
          <w:trHeight w:val="720"/>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C5CB73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11</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BEE21C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 </w:t>
            </w:r>
          </w:p>
          <w:p w14:paraId="7992DD3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Depression Remission or Response*</w:t>
            </w:r>
          </w:p>
          <w:p w14:paraId="123D154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 </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C66AC65"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sz w:val="18"/>
                <w:szCs w:val="18"/>
              </w:rPr>
              <w:t>Percentage of members 12 to 64 years of age with a diagnosis of depression and elevated PHQ-9 score, who received follow-up evaluation with PHQ-9 and experienced response or remission in 4 to 8 months following the elevated score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9F089D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BE4CD3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3A1246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7FE351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E47C3F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235CA4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40C647FD"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70111C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13</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F14AD4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ED Visits for Individuals with Mental Illness, Addiction, or Co-occurring Conditions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747710D"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Number of ED visits for members 18 to 64 years of age identified with a diagnosis of serious mental illness, substance addiction, or co-occurring conditions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AC8E2D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7B3AAF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2B1F98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0BE944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A4C02C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1143F1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63A444E1"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1C48E3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14</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C910E5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Follow-Up After Emergency Department Visit for Mental Illness (7 days)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3DF7C64"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ED visits for members 18 to 64 years of age with a principal diagnosis of mental illness, where the member received follow-up care within 7 days of ED discharge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FB3D3E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0D635D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4DD486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2FB7E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9AF68D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56025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78EDEB8B"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FF348F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16</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3426A9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Hospital Readmissions (Adult)</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6010F28"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Case-mix adjusted rate of acute unplanned hospital readmissions within 30 days of discharge for members 18 to 64 years of age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1AF509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DB4842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13DD1D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BA6DAA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B1EF41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D86D6D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4B1F638A"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A723F1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17</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BEB181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Health-Related Social Needs Screening</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5090AAB"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who were screened for health-related social needs in the measurement year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6EB1EF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Hybrid</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750F78D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P4R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D9CAAA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E4B7F9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16AA33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3053DC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1A1DE6A0" w14:textId="77777777" w:rsidTr="00BD164E">
        <w:trPr>
          <w:trHeight w:val="576"/>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E3A8F1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lastRenderedPageBreak/>
              <w:t>18</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78FEC5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 xml:space="preserve">Behavioral Health Community Partner Engagement </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76A01DE"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18 to 64 years of age who engaged with a BH Community Partner and received a treatment plan within 3 months (92 days) of Community Partner assignment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D69A0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BE1075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2E28E6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87E1FC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95A94C"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D8CB58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0A3A85C6" w14:textId="77777777" w:rsidTr="00813FE6">
        <w:trPr>
          <w:cantSplit/>
          <w:trHeight w:val="576"/>
          <w:jc w:val="center"/>
        </w:trPr>
        <w:tc>
          <w:tcPr>
            <w:tcW w:w="1217" w:type="dxa"/>
            <w:tcBorders>
              <w:top w:val="single" w:sz="4" w:space="0" w:color="BFBFBF" w:themeColor="background1" w:themeShade="BF"/>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8253A1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19</w:t>
            </w:r>
          </w:p>
        </w:tc>
        <w:tc>
          <w:tcPr>
            <w:tcW w:w="2728"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1732D73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 xml:space="preserve">Long-Term Services and Supports Community Partner Engagement </w:t>
            </w:r>
          </w:p>
        </w:tc>
        <w:tc>
          <w:tcPr>
            <w:tcW w:w="5321"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1476C4FA"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Percentage of members 3 to 64 years of age who engaged with an LTSS Community Partner and received a care plan within 3 months (92 days) of Community Partner assignment</w:t>
            </w:r>
          </w:p>
        </w:tc>
        <w:tc>
          <w:tcPr>
            <w:tcW w:w="90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2B6F718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single" w:sz="4" w:space="0" w:color="BFBFBF" w:themeColor="background1" w:themeShade="BF"/>
              <w:left w:val="nil"/>
              <w:bottom w:val="single" w:sz="8" w:space="0" w:color="BFBFBF"/>
              <w:right w:val="single" w:sz="8" w:space="0" w:color="BFBFBF"/>
            </w:tcBorders>
            <w:noWrap/>
            <w:tcMar>
              <w:top w:w="0" w:type="dxa"/>
              <w:left w:w="108" w:type="dxa"/>
              <w:bottom w:w="0" w:type="dxa"/>
              <w:right w:w="108" w:type="dxa"/>
            </w:tcMar>
            <w:vAlign w:val="center"/>
            <w:hideMark/>
          </w:tcPr>
          <w:p w14:paraId="6D641A0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3448007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4945F75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1C2ED45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single" w:sz="4" w:space="0" w:color="BFBFBF" w:themeColor="background1" w:themeShade="BF"/>
              <w:left w:val="nil"/>
              <w:bottom w:val="single" w:sz="8" w:space="0" w:color="BFBFBF"/>
              <w:right w:val="single" w:sz="8" w:space="0" w:color="BFBFBF"/>
            </w:tcBorders>
            <w:tcMar>
              <w:top w:w="0" w:type="dxa"/>
              <w:left w:w="108" w:type="dxa"/>
              <w:bottom w:w="0" w:type="dxa"/>
              <w:right w:w="108" w:type="dxa"/>
            </w:tcMar>
            <w:vAlign w:val="center"/>
            <w:hideMark/>
          </w:tcPr>
          <w:p w14:paraId="4B94101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0E6BA26B" w14:textId="77777777" w:rsidTr="00BD164E">
        <w:trPr>
          <w:trHeight w:val="864"/>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22AA59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20</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9206A1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Community Tenure: BH and LTSS Community Partner Members*</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B924647"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 The number of eligible days ACO assigned members 18 to 64 years of age who are assigned to either a Behavioral Health (BH) or a Long-Term Services and Supports (LTSS) Community Partner (CP) resided in their home or in a community setting without utilizing acute or post-acute inpatient services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59EE77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C217EC4"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C08FF3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032DA69"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9F1BF4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A446F38"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1D481853"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242AC0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CD60A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 xml:space="preserve">Acute Unplanned Admissions for Individuals with Diabetes </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C00D827"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This measure will assess the case-mix adjusted rate of acute unplanned hospital admissions for individuals 18 to 64 years of age with diabetes.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7713DF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Admin</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E61FE1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05CE93B"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76C5D77"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34A80C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C3A8D3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52940A11" w14:textId="77777777" w:rsidTr="00BD164E">
        <w:trPr>
          <w:trHeight w:val="28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1D9FB8B" w14:textId="77777777" w:rsidR="00C9050A" w:rsidRPr="00220565" w:rsidRDefault="00C9050A" w:rsidP="00BD164E">
            <w:pPr>
              <w:rPr>
                <w:rFonts w:eastAsia="Times New Roman" w:cs="Times New Roman"/>
                <w:sz w:val="24"/>
                <w:szCs w:val="24"/>
              </w:rPr>
            </w:pPr>
            <w:r w:rsidRPr="00220565">
              <w:rPr>
                <w:rFonts w:eastAsia="Times New Roman" w:cs="Arial"/>
                <w:b/>
                <w:bCs/>
                <w:color w:val="000000"/>
                <w:sz w:val="18"/>
                <w:szCs w:val="18"/>
              </w:rPr>
              <w:t>Domain 3 – Patient Experience: Overall Rating and Care Delivery</w:t>
            </w:r>
          </w:p>
        </w:tc>
      </w:tr>
      <w:tr w:rsidR="00C9050A" w:rsidRPr="00220565" w14:paraId="5476AFAB"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45310B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23</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1B4C41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Overall Rating and Care Delivery</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ED4C755"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Composite Related to Communications and Willingness to Recommend (To be finalized)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3EFDB3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Survey</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3B90CC5"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D2BA1DA"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DED228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D536CE3"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4852F5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r w:rsidR="00C9050A" w:rsidRPr="00220565" w14:paraId="2E61B81A" w14:textId="77777777" w:rsidTr="00BD164E">
        <w:trPr>
          <w:trHeight w:val="28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83E0564" w14:textId="77777777" w:rsidR="00C9050A" w:rsidRPr="00220565" w:rsidRDefault="00C9050A" w:rsidP="00BD164E">
            <w:pPr>
              <w:rPr>
                <w:rFonts w:eastAsia="Times New Roman" w:cs="Times New Roman"/>
                <w:sz w:val="24"/>
                <w:szCs w:val="24"/>
              </w:rPr>
            </w:pPr>
            <w:r w:rsidRPr="00220565">
              <w:rPr>
                <w:rFonts w:eastAsia="Times New Roman" w:cs="Arial"/>
                <w:b/>
                <w:bCs/>
                <w:color w:val="000000"/>
                <w:sz w:val="18"/>
                <w:szCs w:val="18"/>
              </w:rPr>
              <w:t>Domain 4 – Patient Experience: Person-Centered Integrated Care</w:t>
            </w:r>
          </w:p>
        </w:tc>
      </w:tr>
      <w:tr w:rsidR="00C9050A" w:rsidRPr="00220565" w14:paraId="794AECC8" w14:textId="77777777" w:rsidTr="00BD164E">
        <w:trPr>
          <w:trHeight w:val="432"/>
          <w:jc w:val="center"/>
        </w:trPr>
        <w:tc>
          <w:tcPr>
            <w:tcW w:w="121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5E09110"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24</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32A07E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Person-centered Integrated Care</w:t>
            </w:r>
          </w:p>
        </w:tc>
        <w:tc>
          <w:tcPr>
            <w:tcW w:w="532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E7EE557" w14:textId="77777777" w:rsidR="00C9050A" w:rsidRPr="00220565" w:rsidRDefault="00C9050A" w:rsidP="006716AD">
            <w:pPr>
              <w:spacing w:before="40" w:after="40"/>
              <w:jc w:val="center"/>
              <w:rPr>
                <w:rFonts w:eastAsia="Times New Roman" w:cs="Times New Roman"/>
                <w:sz w:val="24"/>
                <w:szCs w:val="24"/>
              </w:rPr>
            </w:pPr>
            <w:r w:rsidRPr="00220565">
              <w:rPr>
                <w:rFonts w:eastAsia="Times New Roman" w:cs="Arial"/>
                <w:color w:val="000000"/>
                <w:sz w:val="18"/>
                <w:szCs w:val="18"/>
              </w:rPr>
              <w:t>Composites Related to Care Planning, Self-Management and Integration of Care (To be finalized)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5311712"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Survey</w:t>
            </w:r>
          </w:p>
        </w:tc>
        <w:tc>
          <w:tcPr>
            <w:tcW w:w="90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74EC68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4243E8E"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R</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D80A8ED"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DD4FAF"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c>
          <w:tcPr>
            <w:tcW w:w="895"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446C046" w14:textId="77777777" w:rsidR="00C9050A" w:rsidRPr="00220565" w:rsidRDefault="00C9050A" w:rsidP="00BD164E">
            <w:pPr>
              <w:jc w:val="center"/>
              <w:rPr>
                <w:rFonts w:eastAsia="Times New Roman" w:cs="Times New Roman"/>
                <w:sz w:val="24"/>
                <w:szCs w:val="24"/>
              </w:rPr>
            </w:pPr>
            <w:r w:rsidRPr="00220565">
              <w:rPr>
                <w:rFonts w:eastAsia="Times New Roman" w:cs="Arial"/>
                <w:color w:val="000000"/>
                <w:sz w:val="18"/>
                <w:szCs w:val="18"/>
              </w:rPr>
              <w:t>P</w:t>
            </w:r>
          </w:p>
        </w:tc>
      </w:tr>
    </w:tbl>
    <w:p w14:paraId="4A6AAD11" w14:textId="77777777" w:rsidR="00C9050A" w:rsidRPr="00220565" w:rsidRDefault="00C9050A" w:rsidP="00C9050A">
      <w:pPr>
        <w:rPr>
          <w:rFonts w:eastAsiaTheme="majorEastAsia" w:cs="Arial"/>
          <w:i/>
          <w:color w:val="2E74B5" w:themeColor="accent1" w:themeShade="BF"/>
          <w:sz w:val="18"/>
          <w:szCs w:val="18"/>
        </w:rPr>
      </w:pPr>
    </w:p>
    <w:p w14:paraId="797E3B1E" w14:textId="77777777" w:rsidR="00C9050A" w:rsidRPr="00220565" w:rsidRDefault="00C9050A" w:rsidP="00C9050A">
      <w:pPr>
        <w:rPr>
          <w:b/>
          <w:color w:val="000000" w:themeColor="text1"/>
        </w:rPr>
      </w:pPr>
      <w:r w:rsidRPr="00220565">
        <w:rPr>
          <w:rFonts w:eastAsiaTheme="majorEastAsia" w:cs="Arial"/>
          <w:i/>
          <w:color w:val="000000" w:themeColor="text1"/>
          <w:sz w:val="18"/>
          <w:szCs w:val="18"/>
        </w:rPr>
        <w:t>*  - indicates the measure will be weighted 50% relative to all other measures in BP3 (2020)</w:t>
      </w:r>
    </w:p>
    <w:p w14:paraId="7AAED4D9" w14:textId="77777777" w:rsidR="00C9050A" w:rsidRPr="00220565" w:rsidRDefault="00C9050A" w:rsidP="00C9050A"/>
    <w:p w14:paraId="5EBCDFE5" w14:textId="656A1336" w:rsidR="00E51C1C" w:rsidRPr="00220565" w:rsidRDefault="00E51C1C" w:rsidP="00C9050A">
      <w:pPr>
        <w:rPr>
          <w:b/>
        </w:rPr>
      </w:pPr>
      <w:r>
        <w:rPr>
          <w:b/>
        </w:rPr>
        <w:br w:type="page"/>
      </w:r>
    </w:p>
    <w:tbl>
      <w:tblPr>
        <w:tblStyle w:val="GridTable1Light-Accent11"/>
        <w:tblW w:w="14036" w:type="dxa"/>
        <w:jc w:val="center"/>
        <w:tblLayout w:type="fixed"/>
        <w:tblLook w:val="04A0" w:firstRow="1" w:lastRow="0" w:firstColumn="1" w:lastColumn="0" w:noHBand="0" w:noVBand="1"/>
      </w:tblPr>
      <w:tblGrid>
        <w:gridCol w:w="506"/>
        <w:gridCol w:w="2672"/>
        <w:gridCol w:w="6161"/>
        <w:gridCol w:w="829"/>
        <w:gridCol w:w="900"/>
        <w:gridCol w:w="630"/>
        <w:gridCol w:w="720"/>
        <w:gridCol w:w="810"/>
        <w:gridCol w:w="808"/>
      </w:tblGrid>
      <w:tr w:rsidR="00B20244" w:rsidRPr="00220565" w14:paraId="6224516D" w14:textId="77777777" w:rsidTr="000748B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dxa"/>
            <w:gridSpan w:val="9"/>
            <w:tcBorders>
              <w:right w:val="single" w:sz="4" w:space="0" w:color="B4C6E7" w:themeColor="accent5" w:themeTint="66"/>
            </w:tcBorders>
            <w:shd w:val="clear" w:color="auto" w:fill="DEEAF6" w:themeFill="accent1" w:themeFillTint="33"/>
            <w:noWrap/>
            <w:vAlign w:val="center"/>
          </w:tcPr>
          <w:p w14:paraId="4BB10BF3"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lastRenderedPageBreak/>
              <w:t>Behavioral Health Community Partner Measure Slate</w:t>
            </w:r>
          </w:p>
        </w:tc>
      </w:tr>
      <w:tr w:rsidR="00B20244" w:rsidRPr="00220565" w14:paraId="7551F52D" w14:textId="77777777" w:rsidTr="000748B8">
        <w:trPr>
          <w:trHeight w:val="456"/>
          <w:jc w:val="center"/>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DEEAF6" w:themeFill="accent1" w:themeFillTint="33"/>
            <w:noWrap/>
            <w:vAlign w:val="bottom"/>
          </w:tcPr>
          <w:p w14:paraId="2654AEDF" w14:textId="77777777" w:rsidR="00C9050A" w:rsidRPr="00220565" w:rsidRDefault="00C9050A" w:rsidP="00BD164E">
            <w:pPr>
              <w:jc w:val="cente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vMerge w:val="restart"/>
            <w:shd w:val="clear" w:color="auto" w:fill="DEEAF6" w:themeFill="accent1" w:themeFillTint="33"/>
            <w:vAlign w:val="bottom"/>
          </w:tcPr>
          <w:p w14:paraId="19C5668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Measure Name</w:t>
            </w:r>
          </w:p>
        </w:tc>
        <w:tc>
          <w:tcPr>
            <w:tcW w:w="0" w:type="dxa"/>
            <w:vMerge w:val="restart"/>
            <w:shd w:val="clear" w:color="auto" w:fill="DEEAF6" w:themeFill="accent1" w:themeFillTint="33"/>
            <w:vAlign w:val="bottom"/>
          </w:tcPr>
          <w:p w14:paraId="44FBD1E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Measure Description</w:t>
            </w:r>
          </w:p>
        </w:tc>
        <w:tc>
          <w:tcPr>
            <w:tcW w:w="0" w:type="dxa"/>
            <w:vMerge w:val="restart"/>
            <w:shd w:val="clear" w:color="auto" w:fill="DEEAF6" w:themeFill="accent1" w:themeFillTint="33"/>
            <w:vAlign w:val="bottom"/>
          </w:tcPr>
          <w:p w14:paraId="0BB0DBA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Data </w:t>
            </w:r>
          </w:p>
        </w:tc>
        <w:tc>
          <w:tcPr>
            <w:tcW w:w="0" w:type="dxa"/>
            <w:gridSpan w:val="5"/>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bottom"/>
          </w:tcPr>
          <w:p w14:paraId="1AE80AE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Measure Payment Status</w:t>
            </w:r>
          </w:p>
          <w:p w14:paraId="52F753A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color w:val="000000"/>
                <w:sz w:val="18"/>
                <w:szCs w:val="18"/>
              </w:rPr>
              <w:t>(P= Performance, R= Reporting)</w:t>
            </w:r>
          </w:p>
        </w:tc>
      </w:tr>
      <w:tr w:rsidR="00635F8C" w:rsidRPr="00220565" w14:paraId="3124683C" w14:textId="77777777" w:rsidTr="00BD164E">
        <w:trPr>
          <w:trHeight w:val="2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DEEAF6" w:themeFill="accent1" w:themeFillTint="33"/>
            <w:noWrap/>
            <w:vAlign w:val="center"/>
          </w:tcPr>
          <w:p w14:paraId="6437BDAD" w14:textId="77777777" w:rsidR="00C9050A" w:rsidRPr="00220565" w:rsidRDefault="00C9050A" w:rsidP="00BD164E">
            <w:pPr>
              <w:jc w:val="center"/>
              <w:rPr>
                <w:rFonts w:ascii="Book Antiqua" w:eastAsia="Times New Roman" w:hAnsi="Book Antiqua" w:cs="Arial"/>
                <w:color w:val="000000"/>
                <w:sz w:val="18"/>
                <w:szCs w:val="18"/>
              </w:rPr>
            </w:pPr>
          </w:p>
        </w:tc>
        <w:tc>
          <w:tcPr>
            <w:tcW w:w="2672" w:type="dxa"/>
            <w:vMerge/>
            <w:shd w:val="clear" w:color="auto" w:fill="DEEAF6" w:themeFill="accent1" w:themeFillTint="33"/>
            <w:vAlign w:val="center"/>
          </w:tcPr>
          <w:p w14:paraId="4974794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6161" w:type="dxa"/>
            <w:vMerge/>
            <w:shd w:val="clear" w:color="auto" w:fill="DEEAF6" w:themeFill="accent1" w:themeFillTint="33"/>
            <w:vAlign w:val="center"/>
          </w:tcPr>
          <w:p w14:paraId="145D740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829" w:type="dxa"/>
            <w:vMerge/>
            <w:shd w:val="clear" w:color="auto" w:fill="DEEAF6" w:themeFill="accent1" w:themeFillTint="33"/>
            <w:vAlign w:val="center"/>
          </w:tcPr>
          <w:p w14:paraId="603A201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90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30ED03F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2018</w:t>
            </w:r>
          </w:p>
        </w:tc>
        <w:tc>
          <w:tcPr>
            <w:tcW w:w="6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0FBEFC9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2019</w:t>
            </w:r>
          </w:p>
        </w:tc>
        <w:tc>
          <w:tcPr>
            <w:tcW w:w="72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2CEE0EF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2020</w:t>
            </w:r>
          </w:p>
        </w:tc>
        <w:tc>
          <w:tcPr>
            <w:tcW w:w="8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43C1043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2021</w:t>
            </w:r>
          </w:p>
        </w:tc>
        <w:tc>
          <w:tcPr>
            <w:tcW w:w="80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5ECB1D0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2022</w:t>
            </w:r>
          </w:p>
        </w:tc>
      </w:tr>
      <w:tr w:rsidR="00C9050A" w:rsidRPr="00220565" w14:paraId="3D95AAD0"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5CBF9A77"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Domain 1: Care Integration</w:t>
            </w:r>
          </w:p>
        </w:tc>
      </w:tr>
      <w:tr w:rsidR="00C9050A" w:rsidRPr="00220565" w14:paraId="0FA9A405" w14:textId="77777777" w:rsidTr="000748B8">
        <w:trPr>
          <w:trHeight w:val="144"/>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1C6B066"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1</w:t>
            </w:r>
          </w:p>
        </w:tc>
        <w:tc>
          <w:tcPr>
            <w:tcW w:w="0" w:type="dxa"/>
            <w:vAlign w:val="center"/>
          </w:tcPr>
          <w:p w14:paraId="2E6A13CB"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Community Partner Engagement</w:t>
            </w:r>
          </w:p>
        </w:tc>
        <w:tc>
          <w:tcPr>
            <w:tcW w:w="0" w:type="dxa"/>
            <w:vAlign w:val="center"/>
          </w:tcPr>
          <w:p w14:paraId="36862B50"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18 to 64 years of age who engaged with a BH Community Partner and received a completed treatment plan within 3 months (92 days) of Community Partner assignment</w:t>
            </w:r>
          </w:p>
        </w:tc>
        <w:tc>
          <w:tcPr>
            <w:tcW w:w="0" w:type="dxa"/>
            <w:vAlign w:val="center"/>
          </w:tcPr>
          <w:p w14:paraId="54386A5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1355448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4931F715"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CE0C1E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757AF27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8B4804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3278F1F0"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A061C32"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2</w:t>
            </w:r>
          </w:p>
        </w:tc>
        <w:tc>
          <w:tcPr>
            <w:tcW w:w="0" w:type="dxa"/>
            <w:vAlign w:val="center"/>
          </w:tcPr>
          <w:p w14:paraId="577495D6"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Annual Treatment Plan Completion</w:t>
            </w:r>
          </w:p>
        </w:tc>
        <w:tc>
          <w:tcPr>
            <w:tcW w:w="0" w:type="dxa"/>
            <w:vAlign w:val="center"/>
          </w:tcPr>
          <w:p w14:paraId="2EA50D55"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18 to 64 years of age who received a completed a treatment plan within the measurement year</w:t>
            </w:r>
          </w:p>
        </w:tc>
        <w:tc>
          <w:tcPr>
            <w:tcW w:w="0" w:type="dxa"/>
            <w:vAlign w:val="center"/>
          </w:tcPr>
          <w:p w14:paraId="0CFD408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AA091C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2D05048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48BF10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77AAA40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862D45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68E69B0E" w14:textId="77777777" w:rsidTr="000748B8">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4E63FFA" w14:textId="77777777" w:rsidR="00C9050A" w:rsidRPr="00220565" w:rsidRDefault="00C9050A" w:rsidP="00BD164E">
            <w:pPr>
              <w:jc w:val="cente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2*</w:t>
            </w:r>
          </w:p>
        </w:tc>
        <w:tc>
          <w:tcPr>
            <w:tcW w:w="0" w:type="dxa"/>
            <w:vAlign w:val="center"/>
          </w:tcPr>
          <w:p w14:paraId="70315812"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Enhanced Person-Centered Care Planning</w:t>
            </w:r>
          </w:p>
        </w:tc>
        <w:tc>
          <w:tcPr>
            <w:tcW w:w="0" w:type="dxa"/>
          </w:tcPr>
          <w:p w14:paraId="300CAD37"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TBD</w:t>
            </w:r>
          </w:p>
          <w:p w14:paraId="715DE86D"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Measure will speak to content, timeliness, and person-centeredness of an iterative care plan </w:t>
            </w:r>
          </w:p>
        </w:tc>
        <w:tc>
          <w:tcPr>
            <w:tcW w:w="0" w:type="dxa"/>
            <w:vAlign w:val="center"/>
          </w:tcPr>
          <w:p w14:paraId="3AAA887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TBD</w:t>
            </w:r>
          </w:p>
        </w:tc>
        <w:tc>
          <w:tcPr>
            <w:tcW w:w="0" w:type="dxa"/>
            <w:noWrap/>
            <w:vAlign w:val="center"/>
          </w:tcPr>
          <w:p w14:paraId="3B41582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noWrap/>
            <w:vAlign w:val="center"/>
          </w:tcPr>
          <w:p w14:paraId="54DFA8B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noWrap/>
            <w:vAlign w:val="center"/>
          </w:tcPr>
          <w:p w14:paraId="2359029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vAlign w:val="center"/>
          </w:tcPr>
          <w:p w14:paraId="28C57A4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220565">
              <w:rPr>
                <w:rFonts w:ascii="Book Antiqua" w:eastAsia="Times New Roman" w:hAnsi="Book Antiqua" w:cs="Arial"/>
                <w:color w:val="000000"/>
                <w:sz w:val="18"/>
                <w:szCs w:val="18"/>
              </w:rPr>
              <w:t>P</w:t>
            </w:r>
          </w:p>
        </w:tc>
        <w:tc>
          <w:tcPr>
            <w:tcW w:w="0" w:type="dxa"/>
            <w:vAlign w:val="center"/>
          </w:tcPr>
          <w:p w14:paraId="3AF1CA3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220565">
              <w:rPr>
                <w:rFonts w:ascii="Book Antiqua" w:eastAsia="Times New Roman" w:hAnsi="Book Antiqua" w:cs="Arial"/>
                <w:color w:val="000000"/>
                <w:sz w:val="18"/>
                <w:szCs w:val="18"/>
              </w:rPr>
              <w:t>P</w:t>
            </w:r>
          </w:p>
        </w:tc>
      </w:tr>
      <w:tr w:rsidR="00635F8C" w:rsidRPr="00220565" w14:paraId="4AAAB0DD" w14:textId="77777777" w:rsidTr="00110B4A">
        <w:trPr>
          <w:cantSplit/>
          <w:trHeight w:val="288"/>
          <w:jc w:val="center"/>
        </w:trPr>
        <w:tc>
          <w:tcPr>
            <w:cnfStyle w:val="001000000000" w:firstRow="0" w:lastRow="0" w:firstColumn="1" w:lastColumn="0" w:oddVBand="0" w:evenVBand="0" w:oddHBand="0" w:evenHBand="0" w:firstRowFirstColumn="0" w:firstRowLastColumn="0" w:lastRowFirstColumn="0" w:lastRowLastColumn="0"/>
            <w:tcW w:w="506" w:type="dxa"/>
            <w:noWrap/>
            <w:vAlign w:val="center"/>
          </w:tcPr>
          <w:p w14:paraId="71D75F72"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3</w:t>
            </w:r>
          </w:p>
        </w:tc>
        <w:tc>
          <w:tcPr>
            <w:tcW w:w="2672" w:type="dxa"/>
            <w:vAlign w:val="center"/>
          </w:tcPr>
          <w:p w14:paraId="6E757FD0"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Follow-up with CP after acute or post-acute stay (3 days)</w:t>
            </w:r>
          </w:p>
        </w:tc>
        <w:tc>
          <w:tcPr>
            <w:tcW w:w="6161" w:type="dxa"/>
          </w:tcPr>
          <w:p w14:paraId="2CB541E1"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acute or post-acute stays for enrollees 18 to 64 years of age where the member received follow-up from the BH CP within 3 business days of discharge</w:t>
            </w:r>
          </w:p>
        </w:tc>
        <w:tc>
          <w:tcPr>
            <w:tcW w:w="829" w:type="dxa"/>
            <w:vAlign w:val="center"/>
          </w:tcPr>
          <w:p w14:paraId="40AD1D3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900" w:type="dxa"/>
            <w:noWrap/>
            <w:vAlign w:val="center"/>
          </w:tcPr>
          <w:p w14:paraId="4C45D37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630" w:type="dxa"/>
            <w:noWrap/>
            <w:vAlign w:val="center"/>
          </w:tcPr>
          <w:p w14:paraId="2DCD6C7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720" w:type="dxa"/>
            <w:noWrap/>
            <w:vAlign w:val="center"/>
          </w:tcPr>
          <w:p w14:paraId="3CC6157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810" w:type="dxa"/>
            <w:noWrap/>
            <w:vAlign w:val="center"/>
          </w:tcPr>
          <w:p w14:paraId="1631B3E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808" w:type="dxa"/>
            <w:noWrap/>
            <w:vAlign w:val="center"/>
          </w:tcPr>
          <w:p w14:paraId="0BD021B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58B44F5B"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114FF564"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4</w:t>
            </w:r>
          </w:p>
        </w:tc>
        <w:tc>
          <w:tcPr>
            <w:tcW w:w="0" w:type="dxa"/>
            <w:vAlign w:val="center"/>
          </w:tcPr>
          <w:p w14:paraId="4385AE68"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Follow-up with any provider after ED visit</w:t>
            </w:r>
          </w:p>
        </w:tc>
        <w:tc>
          <w:tcPr>
            <w:tcW w:w="0" w:type="dxa"/>
            <w:vAlign w:val="center"/>
          </w:tcPr>
          <w:p w14:paraId="7A80A4A5"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ED visits for enrollees 18 to 64 years of age where the member received follow-up within 7 days of ED discharge</w:t>
            </w:r>
          </w:p>
        </w:tc>
        <w:tc>
          <w:tcPr>
            <w:tcW w:w="0" w:type="dxa"/>
            <w:vAlign w:val="center"/>
          </w:tcPr>
          <w:p w14:paraId="3439381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122A993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07447CF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979F89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742F7A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2F227A2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1640E60F"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18552A35"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Domain 2: Population Health</w:t>
            </w:r>
          </w:p>
        </w:tc>
      </w:tr>
      <w:tr w:rsidR="00B20244" w:rsidRPr="00220565" w14:paraId="637F4D7B" w14:textId="77777777" w:rsidTr="000748B8">
        <w:trPr>
          <w:trHeight w:val="144"/>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BDD6EE" w:themeColor="accent1" w:themeTint="66"/>
            </w:tcBorders>
            <w:noWrap/>
            <w:vAlign w:val="center"/>
            <w:hideMark/>
          </w:tcPr>
          <w:p w14:paraId="52C686C5"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5</w:t>
            </w:r>
          </w:p>
        </w:tc>
        <w:tc>
          <w:tcPr>
            <w:tcW w:w="0" w:type="dxa"/>
            <w:tcBorders>
              <w:bottom w:val="single" w:sz="4" w:space="0" w:color="BDD6EE" w:themeColor="accent1" w:themeTint="66"/>
            </w:tcBorders>
            <w:vAlign w:val="center"/>
            <w:hideMark/>
          </w:tcPr>
          <w:p w14:paraId="252D0BAF"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Annual primary care visit</w:t>
            </w:r>
          </w:p>
        </w:tc>
        <w:tc>
          <w:tcPr>
            <w:tcW w:w="0" w:type="dxa"/>
            <w:tcBorders>
              <w:bottom w:val="single" w:sz="4" w:space="0" w:color="BDD6EE" w:themeColor="accent1" w:themeTint="66"/>
            </w:tcBorders>
            <w:vAlign w:val="center"/>
            <w:hideMark/>
          </w:tcPr>
          <w:p w14:paraId="4C26036D"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18 to 64 years of age who had an annual primary care visit in the measurement year</w:t>
            </w:r>
          </w:p>
        </w:tc>
        <w:tc>
          <w:tcPr>
            <w:tcW w:w="0" w:type="dxa"/>
            <w:tcBorders>
              <w:bottom w:val="single" w:sz="4" w:space="0" w:color="BDD6EE" w:themeColor="accent1" w:themeTint="66"/>
            </w:tcBorders>
            <w:vAlign w:val="center"/>
            <w:hideMark/>
          </w:tcPr>
          <w:p w14:paraId="695E580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tcBorders>
              <w:top w:val="single" w:sz="4" w:space="0" w:color="B4C6E7" w:themeColor="accent5" w:themeTint="66"/>
              <w:bottom w:val="single" w:sz="4" w:space="0" w:color="BDD6EE" w:themeColor="accent1" w:themeTint="66"/>
            </w:tcBorders>
            <w:noWrap/>
            <w:vAlign w:val="center"/>
            <w:hideMark/>
          </w:tcPr>
          <w:p w14:paraId="636489F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tcBorders>
              <w:top w:val="single" w:sz="4" w:space="0" w:color="B4C6E7" w:themeColor="accent5" w:themeTint="66"/>
              <w:bottom w:val="single" w:sz="4" w:space="0" w:color="BDD6EE" w:themeColor="accent1" w:themeTint="66"/>
            </w:tcBorders>
            <w:noWrap/>
            <w:vAlign w:val="center"/>
            <w:hideMark/>
          </w:tcPr>
          <w:p w14:paraId="230DBF1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tcBorders>
              <w:top w:val="single" w:sz="4" w:space="0" w:color="B4C6E7" w:themeColor="accent5" w:themeTint="66"/>
              <w:bottom w:val="single" w:sz="4" w:space="0" w:color="BDD6EE" w:themeColor="accent1" w:themeTint="66"/>
            </w:tcBorders>
            <w:noWrap/>
            <w:vAlign w:val="center"/>
            <w:hideMark/>
          </w:tcPr>
          <w:p w14:paraId="6169BB7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tcBorders>
              <w:top w:val="single" w:sz="4" w:space="0" w:color="B4C6E7" w:themeColor="accent5" w:themeTint="66"/>
              <w:bottom w:val="single" w:sz="4" w:space="0" w:color="BDD6EE" w:themeColor="accent1" w:themeTint="66"/>
            </w:tcBorders>
            <w:noWrap/>
            <w:vAlign w:val="center"/>
            <w:hideMark/>
          </w:tcPr>
          <w:p w14:paraId="304893D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tcBorders>
              <w:top w:val="single" w:sz="4" w:space="0" w:color="B4C6E7" w:themeColor="accent5" w:themeTint="66"/>
              <w:bottom w:val="single" w:sz="4" w:space="0" w:color="BDD6EE" w:themeColor="accent1" w:themeTint="66"/>
            </w:tcBorders>
            <w:noWrap/>
            <w:vAlign w:val="center"/>
            <w:hideMark/>
          </w:tcPr>
          <w:p w14:paraId="6B5CD5B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635F8C" w:rsidRPr="00220565" w14:paraId="3BA4BA7A" w14:textId="77777777" w:rsidTr="00BD164E">
        <w:trPr>
          <w:trHeight w:val="288"/>
          <w:jc w:val="center"/>
        </w:trPr>
        <w:tc>
          <w:tcPr>
            <w:cnfStyle w:val="001000000000" w:firstRow="0" w:lastRow="0" w:firstColumn="1" w:lastColumn="0" w:oddVBand="0" w:evenVBand="0" w:oddHBand="0" w:evenHBand="0" w:firstRowFirstColumn="0" w:firstRowLastColumn="0" w:lastRowFirstColumn="0" w:lastRowLastColumn="0"/>
            <w:tcW w:w="506" w:type="dxa"/>
            <w:tcBorders>
              <w:top w:val="single" w:sz="4" w:space="0" w:color="BDD6EE" w:themeColor="accent1" w:themeTint="66"/>
            </w:tcBorders>
            <w:noWrap/>
            <w:vAlign w:val="center"/>
          </w:tcPr>
          <w:p w14:paraId="25CC4186"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6</w:t>
            </w:r>
          </w:p>
        </w:tc>
        <w:tc>
          <w:tcPr>
            <w:tcW w:w="2672" w:type="dxa"/>
            <w:tcBorders>
              <w:top w:val="single" w:sz="4" w:space="0" w:color="BDD6EE" w:themeColor="accent1" w:themeTint="66"/>
            </w:tcBorders>
            <w:vAlign w:val="center"/>
          </w:tcPr>
          <w:p w14:paraId="27FA835A"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 w:val="18"/>
              </w:rPr>
            </w:pPr>
            <w:r w:rsidRPr="00220565">
              <w:rPr>
                <w:rFonts w:ascii="Book Antiqua" w:eastAsia="Times New Roman" w:hAnsi="Book Antiqua" w:cs="Arial"/>
                <w:color w:val="000000"/>
                <w:sz w:val="18"/>
                <w:szCs w:val="18"/>
              </w:rPr>
              <w:t>Community Tenure</w:t>
            </w:r>
          </w:p>
        </w:tc>
        <w:tc>
          <w:tcPr>
            <w:tcW w:w="6161" w:type="dxa"/>
            <w:tcBorders>
              <w:top w:val="single" w:sz="4" w:space="0" w:color="BDD6EE" w:themeColor="accent1" w:themeTint="66"/>
            </w:tcBorders>
            <w:vAlign w:val="center"/>
          </w:tcPr>
          <w:p w14:paraId="508DED16"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Rate of eligible days CP enrollees 18 to 64 years of age resided in a community setting without utilizing acute or post-acute inpatient services</w:t>
            </w:r>
          </w:p>
        </w:tc>
        <w:tc>
          <w:tcPr>
            <w:tcW w:w="829" w:type="dxa"/>
            <w:tcBorders>
              <w:top w:val="single" w:sz="4" w:space="0" w:color="BDD6EE" w:themeColor="accent1" w:themeTint="66"/>
            </w:tcBorders>
            <w:vAlign w:val="center"/>
          </w:tcPr>
          <w:p w14:paraId="6FCD333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900" w:type="dxa"/>
            <w:tcBorders>
              <w:top w:val="single" w:sz="4" w:space="0" w:color="BDD6EE" w:themeColor="accent1" w:themeTint="66"/>
            </w:tcBorders>
            <w:noWrap/>
            <w:vAlign w:val="center"/>
          </w:tcPr>
          <w:p w14:paraId="2E32B71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630" w:type="dxa"/>
            <w:tcBorders>
              <w:top w:val="single" w:sz="4" w:space="0" w:color="BDD6EE" w:themeColor="accent1" w:themeTint="66"/>
            </w:tcBorders>
            <w:noWrap/>
            <w:vAlign w:val="center"/>
          </w:tcPr>
          <w:p w14:paraId="6AA7062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720" w:type="dxa"/>
            <w:tcBorders>
              <w:top w:val="single" w:sz="4" w:space="0" w:color="BDD6EE" w:themeColor="accent1" w:themeTint="66"/>
            </w:tcBorders>
            <w:noWrap/>
            <w:vAlign w:val="center"/>
          </w:tcPr>
          <w:p w14:paraId="24A32E3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810" w:type="dxa"/>
            <w:tcBorders>
              <w:top w:val="single" w:sz="4" w:space="0" w:color="BDD6EE" w:themeColor="accent1" w:themeTint="66"/>
            </w:tcBorders>
            <w:noWrap/>
            <w:vAlign w:val="center"/>
          </w:tcPr>
          <w:p w14:paraId="2330514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808" w:type="dxa"/>
            <w:tcBorders>
              <w:top w:val="single" w:sz="4" w:space="0" w:color="BDD6EE" w:themeColor="accent1" w:themeTint="66"/>
            </w:tcBorders>
            <w:noWrap/>
            <w:vAlign w:val="center"/>
          </w:tcPr>
          <w:p w14:paraId="0FAB59E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74E0910D" w14:textId="77777777" w:rsidTr="000748B8">
        <w:trPr>
          <w:trHeight w:val="144"/>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9929FB4"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7</w:t>
            </w:r>
          </w:p>
        </w:tc>
        <w:tc>
          <w:tcPr>
            <w:tcW w:w="0" w:type="dxa"/>
            <w:vAlign w:val="center"/>
          </w:tcPr>
          <w:p w14:paraId="49059DDF"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Initiation of Alcohol, Opioid, or Other Drug Abuse or Dependence Treatment</w:t>
            </w:r>
          </w:p>
        </w:tc>
        <w:tc>
          <w:tcPr>
            <w:tcW w:w="0" w:type="dxa"/>
            <w:vAlign w:val="center"/>
          </w:tcPr>
          <w:p w14:paraId="778659E9"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Percentage of enrollees 18 to 64 years of age who were diagnosed with a new episode of alcohol, opioid, or other drug abuse or dependency who initiated treatment within 14 days of diagnosis </w:t>
            </w:r>
          </w:p>
        </w:tc>
        <w:tc>
          <w:tcPr>
            <w:tcW w:w="0" w:type="dxa"/>
            <w:vAlign w:val="center"/>
          </w:tcPr>
          <w:p w14:paraId="7834410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07B0378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0E4E617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FFD4FD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3ECEDD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136DC30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23C05917" w14:textId="77777777" w:rsidTr="000748B8">
        <w:trPr>
          <w:trHeight w:val="20"/>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6299CED"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8</w:t>
            </w:r>
          </w:p>
        </w:tc>
        <w:tc>
          <w:tcPr>
            <w:tcW w:w="0" w:type="dxa"/>
            <w:vAlign w:val="center"/>
          </w:tcPr>
          <w:p w14:paraId="65761E04"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Engagement of Alcohol, Opioid, or Other Drug Abuse or Dependence Treatment</w:t>
            </w:r>
          </w:p>
        </w:tc>
        <w:tc>
          <w:tcPr>
            <w:tcW w:w="0" w:type="dxa"/>
            <w:vAlign w:val="center"/>
          </w:tcPr>
          <w:p w14:paraId="7F6A6B32"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18 to 64 years of age who were diagnosed with a new episode of alcohol, opioid, or other drug abuse or dependency who received ≥2 additional services within 30 days of the initiation visit</w:t>
            </w:r>
          </w:p>
        </w:tc>
        <w:tc>
          <w:tcPr>
            <w:tcW w:w="0" w:type="dxa"/>
            <w:vAlign w:val="center"/>
          </w:tcPr>
          <w:p w14:paraId="309F650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DF2E3B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A16526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563DD0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3227A4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1CB9ECD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41E14512" w14:textId="77777777" w:rsidTr="000748B8">
        <w:trPr>
          <w:trHeight w:val="20"/>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5267E6E" w14:textId="77777777" w:rsidR="00C9050A" w:rsidRPr="00220565" w:rsidRDefault="00C9050A" w:rsidP="00BD164E">
            <w:pPr>
              <w:jc w:val="cente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9</w:t>
            </w:r>
          </w:p>
        </w:tc>
        <w:tc>
          <w:tcPr>
            <w:tcW w:w="0" w:type="dxa"/>
            <w:vAlign w:val="center"/>
          </w:tcPr>
          <w:p w14:paraId="50CD08D8"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Follow-Up After Hospitalization for Mental Illness (7 days)</w:t>
            </w:r>
          </w:p>
        </w:tc>
        <w:tc>
          <w:tcPr>
            <w:tcW w:w="0" w:type="dxa"/>
            <w:vAlign w:val="center"/>
          </w:tcPr>
          <w:p w14:paraId="64D919DD"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discharges for enrollees 18 to 64 years of age, hospitalized for treatment of mental illness, where the member received follow-up with a mental health practitioner within 7 days of discharge</w:t>
            </w:r>
          </w:p>
        </w:tc>
        <w:tc>
          <w:tcPr>
            <w:tcW w:w="0" w:type="dxa"/>
            <w:vAlign w:val="center"/>
          </w:tcPr>
          <w:p w14:paraId="77C2137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B72AB4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2922A3C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0F1FE6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EB9B1F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4EC8CC5"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222D53F3" w14:textId="77777777" w:rsidTr="000748B8">
        <w:trPr>
          <w:trHeight w:val="20"/>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A23A5C4"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10</w:t>
            </w:r>
          </w:p>
        </w:tc>
        <w:tc>
          <w:tcPr>
            <w:tcW w:w="0" w:type="dxa"/>
            <w:vAlign w:val="center"/>
          </w:tcPr>
          <w:p w14:paraId="449B556D"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7"/>
                <w:szCs w:val="17"/>
              </w:rPr>
            </w:pPr>
            <w:r w:rsidRPr="00220565">
              <w:rPr>
                <w:rFonts w:ascii="Book Antiqua" w:eastAsia="Times New Roman" w:hAnsi="Book Antiqua" w:cs="Arial"/>
                <w:color w:val="000000"/>
                <w:sz w:val="17"/>
                <w:szCs w:val="17"/>
              </w:rPr>
              <w:t xml:space="preserve">Diabetes Screening for Individuals </w:t>
            </w:r>
            <w:r w:rsidR="007B11D4" w:rsidRPr="00220565">
              <w:rPr>
                <w:rFonts w:ascii="Book Antiqua" w:eastAsia="Times New Roman" w:hAnsi="Book Antiqua" w:cs="Arial"/>
                <w:color w:val="000000"/>
                <w:sz w:val="17"/>
                <w:szCs w:val="17"/>
              </w:rPr>
              <w:t>with</w:t>
            </w:r>
            <w:r w:rsidRPr="00220565">
              <w:rPr>
                <w:rFonts w:ascii="Book Antiqua" w:eastAsia="Times New Roman" w:hAnsi="Book Antiqua" w:cs="Arial"/>
                <w:color w:val="000000"/>
                <w:sz w:val="17"/>
                <w:szCs w:val="17"/>
              </w:rPr>
              <w:t xml:space="preserve"> Schizophrenia or Bipolar Disorder Who Are Using Antipsychotic Medication  </w:t>
            </w:r>
          </w:p>
        </w:tc>
        <w:tc>
          <w:tcPr>
            <w:tcW w:w="0" w:type="dxa"/>
            <w:vAlign w:val="center"/>
          </w:tcPr>
          <w:p w14:paraId="16290EF1"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with schizophrenia or bipolar disorder, who were dispensed an antipsychotic medication, and had diabetes screening</w:t>
            </w:r>
          </w:p>
        </w:tc>
        <w:tc>
          <w:tcPr>
            <w:tcW w:w="0" w:type="dxa"/>
            <w:vAlign w:val="center"/>
          </w:tcPr>
          <w:p w14:paraId="402EECF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344DEF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42BC9B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7EE6F6C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7D95328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5FC1A03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05F4734D"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FFA5A8F"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lastRenderedPageBreak/>
              <w:t>11</w:t>
            </w:r>
          </w:p>
        </w:tc>
        <w:tc>
          <w:tcPr>
            <w:tcW w:w="0" w:type="dxa"/>
            <w:vAlign w:val="center"/>
            <w:hideMark/>
          </w:tcPr>
          <w:p w14:paraId="0270EC28"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Tobacco Use: Screening and Cessation Intervention</w:t>
            </w:r>
          </w:p>
        </w:tc>
        <w:tc>
          <w:tcPr>
            <w:tcW w:w="0" w:type="dxa"/>
            <w:vAlign w:val="center"/>
            <w:hideMark/>
          </w:tcPr>
          <w:p w14:paraId="41206398"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TBD</w:t>
            </w:r>
          </w:p>
        </w:tc>
        <w:tc>
          <w:tcPr>
            <w:tcW w:w="0" w:type="dxa"/>
            <w:vAlign w:val="center"/>
            <w:hideMark/>
          </w:tcPr>
          <w:p w14:paraId="1299866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26C4FEA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noWrap/>
            <w:vAlign w:val="center"/>
          </w:tcPr>
          <w:p w14:paraId="6E69DDC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E6CF87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5851F2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3F0A373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7F3CBC88"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0DF8074D"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sz w:val="18"/>
                <w:szCs w:val="18"/>
              </w:rPr>
              <w:t>Domain 3: Avoidable Utilization</w:t>
            </w:r>
          </w:p>
        </w:tc>
      </w:tr>
      <w:tr w:rsidR="00C9050A" w:rsidRPr="00220565" w14:paraId="2DC0C923" w14:textId="77777777" w:rsidTr="000748B8">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819AA03"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12</w:t>
            </w:r>
          </w:p>
        </w:tc>
        <w:tc>
          <w:tcPr>
            <w:tcW w:w="0" w:type="dxa"/>
            <w:vAlign w:val="center"/>
          </w:tcPr>
          <w:p w14:paraId="6B9C11A0"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hAnsi="Book Antiqua" w:cs="Arial"/>
                <w:sz w:val="18"/>
                <w:szCs w:val="18"/>
              </w:rPr>
              <w:t>ED Visits for Adults with SMI, Addiction, or Co-occurring Conditions</w:t>
            </w:r>
          </w:p>
        </w:tc>
        <w:tc>
          <w:tcPr>
            <w:tcW w:w="0" w:type="dxa"/>
          </w:tcPr>
          <w:p w14:paraId="5D5D0D7A"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sz w:val="18"/>
                <w:szCs w:val="18"/>
              </w:rPr>
              <w:t xml:space="preserve">The rate of ED visits for enrollees 18 to 64 years of age identified with a </w:t>
            </w:r>
            <w:r w:rsidRPr="00220565">
              <w:rPr>
                <w:rFonts w:ascii="Book Antiqua" w:hAnsi="Book Antiqua" w:cs="Arial"/>
                <w:sz w:val="18"/>
                <w:szCs w:val="18"/>
              </w:rPr>
              <w:t>diagnosis of serious mental illness, substance addiction, or co-occurring conditions</w:t>
            </w:r>
          </w:p>
        </w:tc>
        <w:tc>
          <w:tcPr>
            <w:tcW w:w="0" w:type="dxa"/>
            <w:vAlign w:val="center"/>
          </w:tcPr>
          <w:p w14:paraId="55DADFF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48CE7D4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4A95E1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08A986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00491C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A59AFF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479744E3"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7F109D9"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13</w:t>
            </w:r>
          </w:p>
        </w:tc>
        <w:tc>
          <w:tcPr>
            <w:tcW w:w="0" w:type="dxa"/>
            <w:vAlign w:val="center"/>
          </w:tcPr>
          <w:p w14:paraId="5513A445"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220565">
              <w:rPr>
                <w:rFonts w:ascii="Book Antiqua" w:hAnsi="Book Antiqua" w:cs="Arial"/>
                <w:sz w:val="18"/>
              </w:rPr>
              <w:t xml:space="preserve">Hospital Readmissions (Adult) </w:t>
            </w:r>
          </w:p>
        </w:tc>
        <w:tc>
          <w:tcPr>
            <w:tcW w:w="0" w:type="dxa"/>
            <w:vAlign w:val="center"/>
          </w:tcPr>
          <w:p w14:paraId="6D91CE1F"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rPr>
            </w:pPr>
            <w:r w:rsidRPr="00220565">
              <w:rPr>
                <w:rFonts w:ascii="Book Antiqua" w:hAnsi="Book Antiqua" w:cs="Arial"/>
                <w:sz w:val="18"/>
              </w:rPr>
              <w:t>The rate of acute unplanned hospital readmissions within 30 days of discharge for enrollees 18 to 64 years of age</w:t>
            </w:r>
          </w:p>
        </w:tc>
        <w:tc>
          <w:tcPr>
            <w:tcW w:w="0" w:type="dxa"/>
            <w:vAlign w:val="center"/>
          </w:tcPr>
          <w:p w14:paraId="0D9D5A0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8944FA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CC0BCF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291D4C6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408157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252CED45"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bl>
    <w:p w14:paraId="267B9F62" w14:textId="443BE083" w:rsidR="00E51C1C" w:rsidRDefault="00E51C1C" w:rsidP="00C9050A"/>
    <w:p w14:paraId="2D9B91FA" w14:textId="65A83BDB" w:rsidR="00110B4A" w:rsidRPr="00220565" w:rsidRDefault="00E51C1C" w:rsidP="00C9050A">
      <w:r>
        <w:br w:type="page"/>
      </w:r>
    </w:p>
    <w:tbl>
      <w:tblPr>
        <w:tblStyle w:val="GridTable1Light-Accent11"/>
        <w:tblW w:w="14367" w:type="dxa"/>
        <w:jc w:val="center"/>
        <w:tblLayout w:type="fixed"/>
        <w:tblLook w:val="04A0" w:firstRow="1" w:lastRow="0" w:firstColumn="1" w:lastColumn="0" w:noHBand="0" w:noVBand="1"/>
      </w:tblPr>
      <w:tblGrid>
        <w:gridCol w:w="432"/>
        <w:gridCol w:w="2950"/>
        <w:gridCol w:w="6142"/>
        <w:gridCol w:w="1080"/>
        <w:gridCol w:w="912"/>
        <w:gridCol w:w="712"/>
        <w:gridCol w:w="712"/>
        <w:gridCol w:w="712"/>
        <w:gridCol w:w="715"/>
      </w:tblGrid>
      <w:tr w:rsidR="00B20244" w:rsidRPr="00220565" w14:paraId="24BF758E" w14:textId="77777777" w:rsidTr="000748B8">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0" w:type="dxa"/>
            <w:gridSpan w:val="9"/>
            <w:tcBorders>
              <w:right w:val="single" w:sz="4" w:space="0" w:color="B4C6E7" w:themeColor="accent5" w:themeTint="66"/>
            </w:tcBorders>
            <w:shd w:val="clear" w:color="auto" w:fill="DEEAF6" w:themeFill="accent1" w:themeFillTint="33"/>
            <w:noWrap/>
            <w:vAlign w:val="center"/>
          </w:tcPr>
          <w:p w14:paraId="6F9E3E0D" w14:textId="33DEC162" w:rsidR="00C9050A" w:rsidRPr="00220565" w:rsidRDefault="00C9050A" w:rsidP="00BD164E">
            <w:pPr>
              <w:rPr>
                <w:rFonts w:ascii="Book Antiqua" w:eastAsia="Times New Roman" w:hAnsi="Book Antiqua" w:cs="Arial"/>
                <w:color w:val="000000"/>
                <w:sz w:val="18"/>
                <w:szCs w:val="18"/>
              </w:rPr>
            </w:pPr>
            <w:r w:rsidRPr="00220565">
              <w:rPr>
                <w:rFonts w:ascii="Book Antiqua" w:hAnsi="Book Antiqua"/>
              </w:rPr>
              <w:lastRenderedPageBreak/>
              <w:br w:type="page"/>
            </w:r>
            <w:r w:rsidRPr="00220565">
              <w:rPr>
                <w:rFonts w:ascii="Book Antiqua" w:eastAsia="Times New Roman" w:hAnsi="Book Antiqua" w:cs="Arial"/>
                <w:color w:val="000000"/>
                <w:sz w:val="18"/>
                <w:szCs w:val="18"/>
              </w:rPr>
              <w:t>LTSS Community Partner Measure Slate</w:t>
            </w:r>
          </w:p>
        </w:tc>
      </w:tr>
      <w:tr w:rsidR="00B20244" w:rsidRPr="00220565" w14:paraId="23DE569E" w14:textId="77777777" w:rsidTr="000748B8">
        <w:trPr>
          <w:trHeight w:val="413"/>
          <w:jc w:val="center"/>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DEEAF6" w:themeFill="accent1" w:themeFillTint="33"/>
            <w:noWrap/>
            <w:vAlign w:val="center"/>
          </w:tcPr>
          <w:p w14:paraId="600D93BD" w14:textId="77777777" w:rsidR="00C9050A" w:rsidRPr="00220565" w:rsidRDefault="00C9050A" w:rsidP="00BD164E">
            <w:pPr>
              <w:jc w:val="cente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vMerge w:val="restart"/>
            <w:shd w:val="clear" w:color="auto" w:fill="DEEAF6" w:themeFill="accent1" w:themeFillTint="33"/>
            <w:vAlign w:val="center"/>
          </w:tcPr>
          <w:p w14:paraId="03E99A9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Measure Name</w:t>
            </w:r>
          </w:p>
        </w:tc>
        <w:tc>
          <w:tcPr>
            <w:tcW w:w="0" w:type="dxa"/>
            <w:vMerge w:val="restart"/>
            <w:shd w:val="clear" w:color="auto" w:fill="DEEAF6" w:themeFill="accent1" w:themeFillTint="33"/>
            <w:vAlign w:val="center"/>
          </w:tcPr>
          <w:p w14:paraId="33DD7AE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Measure Description</w:t>
            </w:r>
          </w:p>
        </w:tc>
        <w:tc>
          <w:tcPr>
            <w:tcW w:w="0" w:type="dxa"/>
            <w:vMerge w:val="restart"/>
            <w:shd w:val="clear" w:color="auto" w:fill="DEEAF6" w:themeFill="accent1" w:themeFillTint="33"/>
            <w:vAlign w:val="center"/>
          </w:tcPr>
          <w:p w14:paraId="52C027F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Data </w:t>
            </w:r>
          </w:p>
        </w:tc>
        <w:tc>
          <w:tcPr>
            <w:tcW w:w="0" w:type="dxa"/>
            <w:gridSpan w:val="5"/>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30CAE05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Measure Payment Status                 </w:t>
            </w:r>
          </w:p>
          <w:p w14:paraId="720E264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 Performance, R= Reporting)</w:t>
            </w:r>
          </w:p>
        </w:tc>
      </w:tr>
      <w:tr w:rsidR="00635F8C" w:rsidRPr="00220565" w14:paraId="282CF8AD" w14:textId="77777777" w:rsidTr="00BD164E">
        <w:trPr>
          <w:trHeight w:val="66"/>
          <w:jc w:val="center"/>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DEEAF6" w:themeFill="accent1" w:themeFillTint="33"/>
            <w:noWrap/>
            <w:vAlign w:val="center"/>
          </w:tcPr>
          <w:p w14:paraId="23ADBE7F" w14:textId="77777777" w:rsidR="00C9050A" w:rsidRPr="00220565" w:rsidRDefault="00C9050A" w:rsidP="00BD164E">
            <w:pPr>
              <w:jc w:val="center"/>
              <w:rPr>
                <w:rFonts w:ascii="Book Antiqua" w:eastAsia="Times New Roman" w:hAnsi="Book Antiqua" w:cs="Arial"/>
                <w:color w:val="000000"/>
                <w:sz w:val="18"/>
                <w:szCs w:val="18"/>
              </w:rPr>
            </w:pPr>
          </w:p>
        </w:tc>
        <w:tc>
          <w:tcPr>
            <w:tcW w:w="2950" w:type="dxa"/>
            <w:vMerge/>
            <w:shd w:val="clear" w:color="auto" w:fill="DEEAF6" w:themeFill="accent1" w:themeFillTint="33"/>
            <w:vAlign w:val="center"/>
          </w:tcPr>
          <w:p w14:paraId="5B71D278"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6142" w:type="dxa"/>
            <w:vMerge/>
            <w:shd w:val="clear" w:color="auto" w:fill="DEEAF6" w:themeFill="accent1" w:themeFillTint="33"/>
            <w:vAlign w:val="center"/>
          </w:tcPr>
          <w:p w14:paraId="38A4389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1080" w:type="dxa"/>
            <w:vMerge/>
            <w:shd w:val="clear" w:color="auto" w:fill="DEEAF6" w:themeFill="accent1" w:themeFillTint="33"/>
            <w:vAlign w:val="center"/>
          </w:tcPr>
          <w:p w14:paraId="0F1C8B8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p>
        </w:tc>
        <w:tc>
          <w:tcPr>
            <w:tcW w:w="91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5522294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2018</w:t>
            </w:r>
          </w:p>
        </w:tc>
        <w:tc>
          <w:tcPr>
            <w:tcW w:w="71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1A96D4E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2019</w:t>
            </w:r>
          </w:p>
        </w:tc>
        <w:tc>
          <w:tcPr>
            <w:tcW w:w="71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27724D4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2020</w:t>
            </w:r>
          </w:p>
        </w:tc>
        <w:tc>
          <w:tcPr>
            <w:tcW w:w="71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670C635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2021</w:t>
            </w:r>
          </w:p>
        </w:tc>
        <w:tc>
          <w:tcPr>
            <w:tcW w:w="71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EEAF6" w:themeFill="accent1" w:themeFillTint="33"/>
            <w:noWrap/>
            <w:vAlign w:val="center"/>
          </w:tcPr>
          <w:p w14:paraId="614B7DF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
                <w:color w:val="000000"/>
                <w:sz w:val="18"/>
                <w:szCs w:val="18"/>
              </w:rPr>
            </w:pPr>
            <w:r w:rsidRPr="00220565">
              <w:rPr>
                <w:rFonts w:ascii="Book Antiqua" w:eastAsia="Times New Roman" w:hAnsi="Book Antiqua" w:cs="Arial"/>
                <w:b/>
                <w:color w:val="000000"/>
                <w:sz w:val="18"/>
                <w:szCs w:val="18"/>
              </w:rPr>
              <w:t>2022</w:t>
            </w:r>
          </w:p>
        </w:tc>
      </w:tr>
      <w:tr w:rsidR="00C9050A" w:rsidRPr="00220565" w14:paraId="7D6CF59C"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604CCD4D"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Domain 1: Care Integration</w:t>
            </w:r>
          </w:p>
        </w:tc>
      </w:tr>
      <w:tr w:rsidR="00C9050A" w:rsidRPr="00220565" w14:paraId="3C286365"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8175E6D"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1</w:t>
            </w:r>
          </w:p>
        </w:tc>
        <w:tc>
          <w:tcPr>
            <w:tcW w:w="0" w:type="dxa"/>
            <w:vAlign w:val="center"/>
          </w:tcPr>
          <w:p w14:paraId="138E6613"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Community Partner Engagement</w:t>
            </w:r>
          </w:p>
        </w:tc>
        <w:tc>
          <w:tcPr>
            <w:tcW w:w="0" w:type="dxa"/>
            <w:vAlign w:val="center"/>
          </w:tcPr>
          <w:p w14:paraId="58EE9EA6"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3 to 64 years of age who engaged with a LTSS Community Partner and received a completed care plan within 3 months (92 days) of Community Partner assignment</w:t>
            </w:r>
          </w:p>
        </w:tc>
        <w:tc>
          <w:tcPr>
            <w:tcW w:w="0" w:type="dxa"/>
            <w:vAlign w:val="center"/>
          </w:tcPr>
          <w:p w14:paraId="5549258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7231F3C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0162E30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49AD52F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1955E25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ED929E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43F9B55F" w14:textId="77777777" w:rsidTr="000748B8">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479FE8B"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2</w:t>
            </w:r>
          </w:p>
        </w:tc>
        <w:tc>
          <w:tcPr>
            <w:tcW w:w="0" w:type="dxa"/>
            <w:vAlign w:val="center"/>
          </w:tcPr>
          <w:p w14:paraId="07270712"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Annual Care Plan Completion</w:t>
            </w:r>
          </w:p>
        </w:tc>
        <w:tc>
          <w:tcPr>
            <w:tcW w:w="0" w:type="dxa"/>
            <w:vAlign w:val="center"/>
          </w:tcPr>
          <w:p w14:paraId="7F46F8A7"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enrollees 3 to 64 years of age who received a completed a care plan within the measurement year</w:t>
            </w:r>
          </w:p>
        </w:tc>
        <w:tc>
          <w:tcPr>
            <w:tcW w:w="0" w:type="dxa"/>
            <w:vAlign w:val="center"/>
          </w:tcPr>
          <w:p w14:paraId="60BE2AE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7A81EDD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58F055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ACD7EC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78846DE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B79352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78E231C9" w14:textId="77777777" w:rsidTr="000748B8">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DAFD5ED" w14:textId="77777777" w:rsidR="00C9050A" w:rsidRPr="00220565" w:rsidRDefault="00C9050A" w:rsidP="00BD164E">
            <w:pPr>
              <w:jc w:val="cente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2*</w:t>
            </w:r>
          </w:p>
        </w:tc>
        <w:tc>
          <w:tcPr>
            <w:tcW w:w="0" w:type="dxa"/>
            <w:vAlign w:val="center"/>
          </w:tcPr>
          <w:p w14:paraId="3DAECBD3"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Enhanced Person-Centered Care Planning</w:t>
            </w:r>
          </w:p>
        </w:tc>
        <w:tc>
          <w:tcPr>
            <w:tcW w:w="0" w:type="dxa"/>
          </w:tcPr>
          <w:p w14:paraId="75CE389D"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TBD</w:t>
            </w:r>
          </w:p>
          <w:p w14:paraId="035ECC82"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 xml:space="preserve">Measure will speak to content, timeliness, and person-centeredness of an iterative care plan </w:t>
            </w:r>
          </w:p>
        </w:tc>
        <w:tc>
          <w:tcPr>
            <w:tcW w:w="0" w:type="dxa"/>
            <w:vAlign w:val="center"/>
          </w:tcPr>
          <w:p w14:paraId="66D8593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TBD</w:t>
            </w:r>
          </w:p>
        </w:tc>
        <w:tc>
          <w:tcPr>
            <w:tcW w:w="0" w:type="dxa"/>
            <w:noWrap/>
            <w:vAlign w:val="center"/>
          </w:tcPr>
          <w:p w14:paraId="14E453F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noWrap/>
            <w:vAlign w:val="center"/>
          </w:tcPr>
          <w:p w14:paraId="167656F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w:t>
            </w:r>
          </w:p>
        </w:tc>
        <w:tc>
          <w:tcPr>
            <w:tcW w:w="0" w:type="dxa"/>
            <w:noWrap/>
            <w:vAlign w:val="center"/>
          </w:tcPr>
          <w:p w14:paraId="54F4187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35AED3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24C017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0E5F5819" w14:textId="77777777" w:rsidTr="000748B8">
        <w:trPr>
          <w:trHeight w:val="576"/>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189CE542"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3</w:t>
            </w:r>
          </w:p>
        </w:tc>
        <w:tc>
          <w:tcPr>
            <w:tcW w:w="0" w:type="dxa"/>
            <w:vAlign w:val="center"/>
          </w:tcPr>
          <w:p w14:paraId="5613C48E"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Follow-up with CP after acute or post-acute stay (3 days)</w:t>
            </w:r>
          </w:p>
        </w:tc>
        <w:tc>
          <w:tcPr>
            <w:tcW w:w="0" w:type="dxa"/>
            <w:vAlign w:val="center"/>
          </w:tcPr>
          <w:p w14:paraId="4F686289"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Percentage of acute or post-acute stays for enrollees 3 to 64 years of age where the member received follow-up from the LTSS CP within 3 business days of discharge</w:t>
            </w:r>
          </w:p>
        </w:tc>
        <w:tc>
          <w:tcPr>
            <w:tcW w:w="0" w:type="dxa"/>
            <w:vAlign w:val="center"/>
          </w:tcPr>
          <w:p w14:paraId="729911A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75467B5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2BF5E23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2F42157"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3AAFB36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0182B4D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34DED881"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7AC363F6"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Domain 2: Population Health</w:t>
            </w:r>
          </w:p>
        </w:tc>
      </w:tr>
      <w:tr w:rsidR="00C9050A" w:rsidRPr="00220565" w14:paraId="7B8977EE"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4249FF5"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4</w:t>
            </w:r>
          </w:p>
        </w:tc>
        <w:tc>
          <w:tcPr>
            <w:tcW w:w="0" w:type="dxa"/>
            <w:vAlign w:val="center"/>
          </w:tcPr>
          <w:p w14:paraId="6C1964B3"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 w:val="18"/>
              </w:rPr>
            </w:pPr>
            <w:r w:rsidRPr="00220565">
              <w:rPr>
                <w:rFonts w:ascii="Book Antiqua" w:eastAsia="Times New Roman" w:hAnsi="Book Antiqua" w:cs="Arial"/>
                <w:color w:val="000000"/>
                <w:sz w:val="18"/>
                <w:szCs w:val="18"/>
              </w:rPr>
              <w:t>Community Tenure</w:t>
            </w:r>
          </w:p>
        </w:tc>
        <w:tc>
          <w:tcPr>
            <w:tcW w:w="0" w:type="dxa"/>
            <w:vAlign w:val="center"/>
          </w:tcPr>
          <w:p w14:paraId="25391A0B"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The rate of eligible days CP enrollees 3 to 64 years of age resided in a community setting without utilizing acute or post-acute inpatient services</w:t>
            </w:r>
          </w:p>
        </w:tc>
        <w:tc>
          <w:tcPr>
            <w:tcW w:w="0" w:type="dxa"/>
            <w:vAlign w:val="center"/>
          </w:tcPr>
          <w:p w14:paraId="1AA8EAF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5D49FC4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7A615DF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045E5221"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3181727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4E10F4B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635F8C" w:rsidRPr="00220565" w14:paraId="1C27DA8A" w14:textId="77777777" w:rsidTr="006716AD">
        <w:trPr>
          <w:trHeight w:val="432"/>
          <w:jc w:val="center"/>
        </w:trPr>
        <w:tc>
          <w:tcPr>
            <w:cnfStyle w:val="001000000000" w:firstRow="0" w:lastRow="0" w:firstColumn="1" w:lastColumn="0" w:oddVBand="0" w:evenVBand="0" w:oddHBand="0" w:evenHBand="0" w:firstRowFirstColumn="0" w:firstRowLastColumn="0" w:lastRowFirstColumn="0" w:lastRowLastColumn="0"/>
            <w:tcW w:w="432" w:type="dxa"/>
            <w:noWrap/>
            <w:vAlign w:val="center"/>
            <w:hideMark/>
          </w:tcPr>
          <w:p w14:paraId="63CAE908"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b w:val="0"/>
                <w:color w:val="000000"/>
                <w:sz w:val="18"/>
                <w:szCs w:val="18"/>
              </w:rPr>
              <w:t>5</w:t>
            </w:r>
          </w:p>
        </w:tc>
        <w:tc>
          <w:tcPr>
            <w:tcW w:w="2950" w:type="dxa"/>
            <w:vAlign w:val="center"/>
            <w:hideMark/>
          </w:tcPr>
          <w:p w14:paraId="7A5AD69B"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Annual primary care visit</w:t>
            </w:r>
          </w:p>
        </w:tc>
        <w:tc>
          <w:tcPr>
            <w:tcW w:w="6142" w:type="dxa"/>
            <w:vAlign w:val="center"/>
            <w:hideMark/>
          </w:tcPr>
          <w:p w14:paraId="09E7FE6F"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Percentage of enrollees 3 to 64 years of age who had an annual primary care visit in the measurement year</w:t>
            </w:r>
          </w:p>
        </w:tc>
        <w:tc>
          <w:tcPr>
            <w:tcW w:w="1080" w:type="dxa"/>
            <w:vAlign w:val="center"/>
            <w:hideMark/>
          </w:tcPr>
          <w:p w14:paraId="2418A13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Admin</w:t>
            </w:r>
          </w:p>
        </w:tc>
        <w:tc>
          <w:tcPr>
            <w:tcW w:w="912" w:type="dxa"/>
            <w:tcBorders>
              <w:top w:val="single" w:sz="4" w:space="0" w:color="B4C6E7" w:themeColor="accent5" w:themeTint="66"/>
            </w:tcBorders>
            <w:noWrap/>
            <w:vAlign w:val="center"/>
            <w:hideMark/>
          </w:tcPr>
          <w:p w14:paraId="5FECCFD5"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R</w:t>
            </w:r>
          </w:p>
        </w:tc>
        <w:tc>
          <w:tcPr>
            <w:tcW w:w="712" w:type="dxa"/>
            <w:tcBorders>
              <w:top w:val="single" w:sz="4" w:space="0" w:color="B4C6E7" w:themeColor="accent5" w:themeTint="66"/>
            </w:tcBorders>
            <w:noWrap/>
            <w:vAlign w:val="center"/>
            <w:hideMark/>
          </w:tcPr>
          <w:p w14:paraId="1AEE01F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R</w:t>
            </w:r>
          </w:p>
        </w:tc>
        <w:tc>
          <w:tcPr>
            <w:tcW w:w="712" w:type="dxa"/>
            <w:tcBorders>
              <w:top w:val="single" w:sz="4" w:space="0" w:color="B4C6E7" w:themeColor="accent5" w:themeTint="66"/>
            </w:tcBorders>
            <w:noWrap/>
            <w:vAlign w:val="center"/>
            <w:hideMark/>
          </w:tcPr>
          <w:p w14:paraId="37CDFD3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P</w:t>
            </w:r>
          </w:p>
        </w:tc>
        <w:tc>
          <w:tcPr>
            <w:tcW w:w="712" w:type="dxa"/>
            <w:tcBorders>
              <w:top w:val="single" w:sz="4" w:space="0" w:color="B4C6E7" w:themeColor="accent5" w:themeTint="66"/>
            </w:tcBorders>
            <w:noWrap/>
            <w:vAlign w:val="center"/>
            <w:hideMark/>
          </w:tcPr>
          <w:p w14:paraId="74778EA0"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P</w:t>
            </w:r>
          </w:p>
        </w:tc>
        <w:tc>
          <w:tcPr>
            <w:tcW w:w="715" w:type="dxa"/>
            <w:tcBorders>
              <w:top w:val="single" w:sz="4" w:space="0" w:color="B4C6E7" w:themeColor="accent5" w:themeTint="66"/>
            </w:tcBorders>
            <w:noWrap/>
            <w:vAlign w:val="center"/>
            <w:hideMark/>
          </w:tcPr>
          <w:p w14:paraId="29A78F0E"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bCs/>
                <w:color w:val="000000"/>
                <w:sz w:val="18"/>
                <w:szCs w:val="18"/>
              </w:rPr>
            </w:pPr>
            <w:r w:rsidRPr="00220565">
              <w:rPr>
                <w:rFonts w:ascii="Book Antiqua" w:eastAsia="Times New Roman" w:hAnsi="Book Antiqua" w:cs="Arial"/>
                <w:bCs/>
                <w:color w:val="000000"/>
                <w:sz w:val="18"/>
                <w:szCs w:val="18"/>
              </w:rPr>
              <w:t>P</w:t>
            </w:r>
          </w:p>
        </w:tc>
      </w:tr>
      <w:tr w:rsidR="00C9050A" w:rsidRPr="00220565" w14:paraId="717BB742"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FF79A6D"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6</w:t>
            </w:r>
          </w:p>
        </w:tc>
        <w:tc>
          <w:tcPr>
            <w:tcW w:w="0" w:type="dxa"/>
            <w:vAlign w:val="center"/>
          </w:tcPr>
          <w:p w14:paraId="18EC2D9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Oral Health Evaluation</w:t>
            </w:r>
          </w:p>
        </w:tc>
        <w:tc>
          <w:tcPr>
            <w:tcW w:w="0" w:type="dxa"/>
            <w:vAlign w:val="center"/>
          </w:tcPr>
          <w:p w14:paraId="379D4269"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7"/>
              </w:rPr>
            </w:pPr>
            <w:r w:rsidRPr="00220565">
              <w:rPr>
                <w:rFonts w:ascii="Book Antiqua" w:eastAsia="Times New Roman" w:hAnsi="Book Antiqua" w:cs="Arial"/>
                <w:color w:val="000000"/>
                <w:sz w:val="18"/>
                <w:szCs w:val="17"/>
              </w:rPr>
              <w:t>Percentage of enrollees 3 to 20 years of age who received a comprehensive or periodic oral evaluation within the measurement year</w:t>
            </w:r>
          </w:p>
        </w:tc>
        <w:tc>
          <w:tcPr>
            <w:tcW w:w="0" w:type="dxa"/>
            <w:vAlign w:val="center"/>
          </w:tcPr>
          <w:p w14:paraId="2709801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328423A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257F4EA"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535B808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785EE53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B8BE92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4EC8587F" w14:textId="77777777" w:rsidTr="000748B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gridSpan w:val="9"/>
            <w:noWrap/>
            <w:vAlign w:val="center"/>
          </w:tcPr>
          <w:p w14:paraId="32324D32" w14:textId="77777777" w:rsidR="00C9050A" w:rsidRPr="00220565" w:rsidRDefault="00C9050A" w:rsidP="00BD164E">
            <w:pPr>
              <w:rPr>
                <w:rFonts w:ascii="Book Antiqua" w:eastAsia="Times New Roman" w:hAnsi="Book Antiqua" w:cs="Arial"/>
                <w:color w:val="000000"/>
                <w:sz w:val="18"/>
                <w:szCs w:val="18"/>
              </w:rPr>
            </w:pPr>
            <w:r w:rsidRPr="00220565">
              <w:rPr>
                <w:rFonts w:ascii="Book Antiqua" w:hAnsi="Book Antiqua" w:cs="Arial"/>
                <w:sz w:val="18"/>
              </w:rPr>
              <w:t>Domain 3: Avoidable Utilization</w:t>
            </w:r>
          </w:p>
        </w:tc>
      </w:tr>
      <w:tr w:rsidR="00C9050A" w:rsidRPr="00220565" w14:paraId="42FF8931" w14:textId="77777777" w:rsidTr="000748B8">
        <w:trPr>
          <w:trHeight w:val="485"/>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6F7D819"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7</w:t>
            </w:r>
          </w:p>
        </w:tc>
        <w:tc>
          <w:tcPr>
            <w:tcW w:w="0" w:type="dxa"/>
            <w:vAlign w:val="center"/>
          </w:tcPr>
          <w:p w14:paraId="1D2A40BA" w14:textId="77777777" w:rsidR="00C9050A" w:rsidRPr="00220565" w:rsidRDefault="00C9050A" w:rsidP="00BD164E">
            <w:pPr>
              <w:spacing w:before="120" w:after="12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 w:val="18"/>
                <w:szCs w:val="18"/>
              </w:rPr>
            </w:pPr>
            <w:r w:rsidRPr="00220565">
              <w:rPr>
                <w:rFonts w:ascii="Book Antiqua" w:hAnsi="Book Antiqua" w:cs="Arial"/>
                <w:sz w:val="18"/>
              </w:rPr>
              <w:t xml:space="preserve">Hospital Readmissions (Adult) </w:t>
            </w:r>
          </w:p>
        </w:tc>
        <w:tc>
          <w:tcPr>
            <w:tcW w:w="0" w:type="dxa"/>
            <w:vAlign w:val="center"/>
          </w:tcPr>
          <w:p w14:paraId="7901ECF8"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sz w:val="18"/>
                <w:szCs w:val="18"/>
              </w:rPr>
            </w:pPr>
            <w:r w:rsidRPr="00220565">
              <w:rPr>
                <w:rFonts w:ascii="Book Antiqua" w:hAnsi="Book Antiqua" w:cs="Arial"/>
                <w:sz w:val="18"/>
              </w:rPr>
              <w:t>The rate of acute unplanned hospital readmissions within 30 days of discharge for enrollees 18 to 64 years of age</w:t>
            </w:r>
          </w:p>
        </w:tc>
        <w:tc>
          <w:tcPr>
            <w:tcW w:w="0" w:type="dxa"/>
            <w:vAlign w:val="center"/>
          </w:tcPr>
          <w:p w14:paraId="59ECD84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6E323B7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182020FF"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239E8552"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136D547D"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644EEDA4"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r w:rsidR="00C9050A" w:rsidRPr="00220565" w14:paraId="5AFCDAF3" w14:textId="77777777" w:rsidTr="000748B8">
        <w:trPr>
          <w:trHeight w:val="432"/>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03EE3C2" w14:textId="77777777" w:rsidR="00C9050A" w:rsidRPr="00220565" w:rsidRDefault="00C9050A" w:rsidP="00BD164E">
            <w:pPr>
              <w:jc w:val="center"/>
              <w:rPr>
                <w:rFonts w:ascii="Book Antiqua" w:eastAsia="Times New Roman" w:hAnsi="Book Antiqua" w:cs="Arial"/>
                <w:b w:val="0"/>
                <w:color w:val="000000"/>
                <w:sz w:val="18"/>
                <w:szCs w:val="18"/>
              </w:rPr>
            </w:pPr>
            <w:r w:rsidRPr="00220565">
              <w:rPr>
                <w:rFonts w:ascii="Book Antiqua" w:eastAsia="Times New Roman" w:hAnsi="Book Antiqua" w:cs="Arial"/>
                <w:color w:val="000000"/>
                <w:sz w:val="18"/>
                <w:szCs w:val="18"/>
              </w:rPr>
              <w:t>8</w:t>
            </w:r>
          </w:p>
        </w:tc>
        <w:tc>
          <w:tcPr>
            <w:tcW w:w="0" w:type="dxa"/>
            <w:vAlign w:val="center"/>
          </w:tcPr>
          <w:p w14:paraId="67B463D7" w14:textId="77777777" w:rsidR="00C9050A" w:rsidRPr="00220565" w:rsidRDefault="00C9050A" w:rsidP="00BD164E">
            <w:pPr>
              <w:spacing w:before="120" w:after="120"/>
              <w:cnfStyle w:val="000000000000" w:firstRow="0" w:lastRow="0" w:firstColumn="0" w:lastColumn="0" w:oddVBand="0" w:evenVBand="0" w:oddHBand="0" w:evenHBand="0" w:firstRowFirstColumn="0" w:firstRowLastColumn="0" w:lastRowFirstColumn="0" w:lastRowLastColumn="0"/>
              <w:rPr>
                <w:rFonts w:ascii="Book Antiqua" w:hAnsi="Book Antiqua" w:cs="Arial"/>
                <w:sz w:val="18"/>
              </w:rPr>
            </w:pPr>
            <w:r w:rsidRPr="00220565">
              <w:rPr>
                <w:rFonts w:ascii="Book Antiqua" w:hAnsi="Book Antiqua" w:cs="Arial"/>
                <w:sz w:val="18"/>
              </w:rPr>
              <w:t>Emergency Department Visits</w:t>
            </w:r>
          </w:p>
        </w:tc>
        <w:tc>
          <w:tcPr>
            <w:tcW w:w="0" w:type="dxa"/>
            <w:vAlign w:val="center"/>
          </w:tcPr>
          <w:p w14:paraId="0E670B32" w14:textId="77777777" w:rsidR="00C9050A" w:rsidRPr="00220565" w:rsidRDefault="00C9050A" w:rsidP="006716AD">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 w:val="18"/>
              </w:rPr>
            </w:pPr>
            <w:r w:rsidRPr="00220565">
              <w:rPr>
                <w:rFonts w:ascii="Book Antiqua" w:hAnsi="Book Antiqua" w:cs="Arial"/>
                <w:sz w:val="18"/>
              </w:rPr>
              <w:t>The rate of all-cause emergency department (ED) visits for enrollees 3 to 64 years of age</w:t>
            </w:r>
          </w:p>
        </w:tc>
        <w:tc>
          <w:tcPr>
            <w:tcW w:w="0" w:type="dxa"/>
            <w:vAlign w:val="center"/>
          </w:tcPr>
          <w:p w14:paraId="222539B5"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Admin</w:t>
            </w:r>
          </w:p>
        </w:tc>
        <w:tc>
          <w:tcPr>
            <w:tcW w:w="0" w:type="dxa"/>
            <w:noWrap/>
            <w:vAlign w:val="center"/>
          </w:tcPr>
          <w:p w14:paraId="0923A59B"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3794DE69"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R</w:t>
            </w:r>
          </w:p>
        </w:tc>
        <w:tc>
          <w:tcPr>
            <w:tcW w:w="0" w:type="dxa"/>
            <w:noWrap/>
            <w:vAlign w:val="center"/>
          </w:tcPr>
          <w:p w14:paraId="65253756"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5FC8CC3C"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c>
          <w:tcPr>
            <w:tcW w:w="0" w:type="dxa"/>
            <w:noWrap/>
            <w:vAlign w:val="center"/>
          </w:tcPr>
          <w:p w14:paraId="35500C83" w14:textId="77777777" w:rsidR="00C9050A" w:rsidRPr="00220565" w:rsidRDefault="00C9050A" w:rsidP="00BD164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Arial"/>
                <w:color w:val="000000"/>
                <w:sz w:val="18"/>
                <w:szCs w:val="18"/>
              </w:rPr>
            </w:pPr>
            <w:r w:rsidRPr="00220565">
              <w:rPr>
                <w:rFonts w:ascii="Book Antiqua" w:eastAsia="Times New Roman" w:hAnsi="Book Antiqua" w:cs="Arial"/>
                <w:color w:val="000000"/>
                <w:sz w:val="18"/>
                <w:szCs w:val="18"/>
              </w:rPr>
              <w:t>P</w:t>
            </w:r>
          </w:p>
        </w:tc>
      </w:tr>
    </w:tbl>
    <w:p w14:paraId="3168828E" w14:textId="2CF224A7" w:rsidR="003732DD" w:rsidRDefault="003732DD" w:rsidP="00C9050A">
      <w:pPr>
        <w:spacing w:after="200"/>
      </w:pPr>
    </w:p>
    <w:p w14:paraId="0C66F541" w14:textId="77777777" w:rsidR="003732DD" w:rsidRDefault="003732DD">
      <w:pPr>
        <w:sectPr w:rsidR="003732DD" w:rsidSect="00C9050A">
          <w:pgSz w:w="15840" w:h="12240" w:orient="landscape"/>
          <w:pgMar w:top="1440" w:right="1440" w:bottom="1440" w:left="1440" w:header="720" w:footer="720" w:gutter="0"/>
          <w:cols w:space="720"/>
          <w:docGrid w:linePitch="360"/>
        </w:sectPr>
      </w:pPr>
    </w:p>
    <w:p w14:paraId="6074E585" w14:textId="01E89D8B" w:rsidR="003732DD" w:rsidRDefault="003732DD" w:rsidP="007A5C26">
      <w:pPr>
        <w:pStyle w:val="Heading2"/>
      </w:pPr>
      <w:bookmarkStart w:id="51" w:name="_Toc5362574"/>
      <w:r>
        <w:lastRenderedPageBreak/>
        <w:t xml:space="preserve">Appendix C: Summary of </w:t>
      </w:r>
      <w:r w:rsidR="007A5C26">
        <w:t>Responses to Request for Public Comment</w:t>
      </w:r>
      <w:bookmarkEnd w:id="51"/>
    </w:p>
    <w:p w14:paraId="53F09EE8" w14:textId="510D1A13" w:rsidR="007A5C26" w:rsidRDefault="007A5C26"/>
    <w:p w14:paraId="7EAE3C0A" w14:textId="309C5928" w:rsidR="007A5C26" w:rsidRDefault="0075756D">
      <w:r>
        <w:t>Seven organizations submitted five responses to the request for public comment:</w:t>
      </w:r>
    </w:p>
    <w:p w14:paraId="60DC6078" w14:textId="64B6743E" w:rsidR="0075756D" w:rsidRDefault="0075756D" w:rsidP="0075756D">
      <w:pPr>
        <w:pStyle w:val="ListParagraph"/>
        <w:numPr>
          <w:ilvl w:val="0"/>
          <w:numId w:val="28"/>
        </w:numPr>
      </w:pPr>
      <w:r>
        <w:t>Community Catalyst, Health Care for All, and the Medical Leal Partnership Boston submitted a combined letter,</w:t>
      </w:r>
    </w:p>
    <w:p w14:paraId="46965420" w14:textId="332D504E" w:rsidR="0075756D" w:rsidRDefault="0075756D" w:rsidP="0075756D">
      <w:pPr>
        <w:pStyle w:val="ListParagraph"/>
        <w:numPr>
          <w:ilvl w:val="0"/>
          <w:numId w:val="28"/>
        </w:numPr>
      </w:pPr>
      <w:r>
        <w:t>Massachusetts Association of Health Plans,</w:t>
      </w:r>
    </w:p>
    <w:p w14:paraId="4C27AEA0" w14:textId="67DBBC03" w:rsidR="0075756D" w:rsidRDefault="0075756D" w:rsidP="0075756D">
      <w:pPr>
        <w:pStyle w:val="ListParagraph"/>
        <w:numPr>
          <w:ilvl w:val="0"/>
          <w:numId w:val="28"/>
        </w:numPr>
      </w:pPr>
      <w:r>
        <w:t>Massachusetts Health and Hospital Association,</w:t>
      </w:r>
    </w:p>
    <w:p w14:paraId="73C8AF41" w14:textId="5B02D84A" w:rsidR="0075756D" w:rsidRDefault="0075756D" w:rsidP="0075756D">
      <w:pPr>
        <w:pStyle w:val="ListParagraph"/>
        <w:numPr>
          <w:ilvl w:val="0"/>
          <w:numId w:val="28"/>
        </w:numPr>
      </w:pPr>
      <w:r>
        <w:t>Massachusetts Medical Society, and</w:t>
      </w:r>
    </w:p>
    <w:p w14:paraId="1730808D" w14:textId="00BABB91" w:rsidR="0075756D" w:rsidRDefault="0075756D" w:rsidP="0075756D">
      <w:pPr>
        <w:pStyle w:val="ListParagraph"/>
        <w:numPr>
          <w:ilvl w:val="0"/>
          <w:numId w:val="28"/>
        </w:numPr>
      </w:pPr>
      <w:r>
        <w:t>Partners HealthCare.</w:t>
      </w:r>
    </w:p>
    <w:p w14:paraId="16BA5151" w14:textId="02C1709C" w:rsidR="0075756D" w:rsidRDefault="0075756D" w:rsidP="0075756D"/>
    <w:p w14:paraId="5209D0E2" w14:textId="7953DC10" w:rsidR="0075756D" w:rsidRDefault="000D5538" w:rsidP="0075756D">
      <w:r>
        <w:t>The responses included several themes.</w:t>
      </w:r>
    </w:p>
    <w:p w14:paraId="212E4474" w14:textId="53853A94" w:rsidR="000D5538" w:rsidRDefault="000D5538" w:rsidP="0075756D"/>
    <w:p w14:paraId="39253361" w14:textId="7E4BA519" w:rsidR="000D5538" w:rsidRPr="00037356" w:rsidRDefault="000D5538" w:rsidP="0075756D">
      <w:pPr>
        <w:rPr>
          <w:b/>
        </w:rPr>
      </w:pPr>
      <w:r w:rsidRPr="00037356">
        <w:rPr>
          <w:b/>
        </w:rPr>
        <w:t xml:space="preserve">Theme 1: Taskforce Proceedings. </w:t>
      </w:r>
    </w:p>
    <w:p w14:paraId="02BDBE9C" w14:textId="2794C63B" w:rsidR="00E66AF2" w:rsidRDefault="00E66AF2" w:rsidP="0075756D">
      <w:r w:rsidRPr="00E66AF2">
        <w:rPr>
          <w:u w:val="single"/>
        </w:rPr>
        <w:t>Public Meetings:</w:t>
      </w:r>
      <w:r>
        <w:t xml:space="preserve"> One respondent recommended future meetings be open to the public to ensure a greater level of transparency and accountability.  </w:t>
      </w:r>
    </w:p>
    <w:p w14:paraId="3709A6B2" w14:textId="42FFF4F7" w:rsidR="00037356" w:rsidRDefault="00E66AF2" w:rsidP="0075756D">
      <w:r w:rsidRPr="00E66AF2">
        <w:rPr>
          <w:u w:val="single"/>
        </w:rPr>
        <w:t>Public Comment Period:</w:t>
      </w:r>
      <w:r>
        <w:t xml:space="preserve"> Another respondent expressed concern about the short timeframe for public comment and requested future public comment periods extend to at least 30 days.</w:t>
      </w:r>
    </w:p>
    <w:p w14:paraId="4A54102E" w14:textId="15FDA123" w:rsidR="00E66AF2" w:rsidRDefault="00E66AF2" w:rsidP="0075756D"/>
    <w:p w14:paraId="3E1B68D2" w14:textId="68B825CF" w:rsidR="00E66AF2" w:rsidRPr="00AC0F03" w:rsidRDefault="00E66AF2" w:rsidP="0075756D">
      <w:pPr>
        <w:rPr>
          <w:b/>
        </w:rPr>
      </w:pPr>
      <w:r w:rsidRPr="00AC0F03">
        <w:rPr>
          <w:b/>
        </w:rPr>
        <w:t>Theme 2: Taskforce Composition and Scope.</w:t>
      </w:r>
    </w:p>
    <w:p w14:paraId="7B8F5F3F" w14:textId="314281D3" w:rsidR="00E66AF2" w:rsidRDefault="00AC0F03" w:rsidP="0075756D">
      <w:r w:rsidRPr="00AC0F03">
        <w:rPr>
          <w:u w:val="single"/>
        </w:rPr>
        <w:t>Composition of the Taskforce:</w:t>
      </w:r>
      <w:r>
        <w:t xml:space="preserve"> </w:t>
      </w:r>
      <w:r w:rsidRPr="00AC0F03">
        <w:t>One respondent recommended broader representation of payer and employer representatives. One respondent recommended broader inclusion of consumer and patient representatives.</w:t>
      </w:r>
    </w:p>
    <w:p w14:paraId="7C99A23E" w14:textId="2E909D16" w:rsidR="00C9050A" w:rsidRDefault="006F795F" w:rsidP="006F795F">
      <w:r w:rsidRPr="006F795F">
        <w:rPr>
          <w:u w:val="single"/>
        </w:rPr>
        <w:t>Scope:</w:t>
      </w:r>
      <w:r w:rsidRPr="006F795F">
        <w:t xml:space="preserve"> Two respondents expressed disappointment that Medicare was not included in the alignment initiative as organizations are responsible for reporting for these measures.</w:t>
      </w:r>
    </w:p>
    <w:p w14:paraId="7CE725E9" w14:textId="4AA66271" w:rsidR="006F795F" w:rsidRDefault="006F795F" w:rsidP="006F795F"/>
    <w:p w14:paraId="6C1B5A32" w14:textId="4BD89809" w:rsidR="006F795F" w:rsidRPr="006F795F" w:rsidRDefault="006F795F" w:rsidP="006F795F">
      <w:pPr>
        <w:rPr>
          <w:b/>
        </w:rPr>
      </w:pPr>
      <w:r w:rsidRPr="006F795F">
        <w:rPr>
          <w:b/>
        </w:rPr>
        <w:t>Theme 3: Measure Set Domains, Measure Sets, and Structure.</w:t>
      </w:r>
    </w:p>
    <w:p w14:paraId="4F4D7633" w14:textId="2C42F369" w:rsidR="006F795F" w:rsidRDefault="006F795F" w:rsidP="006F795F">
      <w:r w:rsidRPr="00FC4B00">
        <w:rPr>
          <w:u w:val="single"/>
        </w:rPr>
        <w:t>Domains:</w:t>
      </w:r>
      <w:r>
        <w:t xml:space="preserve"> </w:t>
      </w:r>
      <w:r w:rsidRPr="006F795F">
        <w:t>One respondent recommended designating separate domains for mental health and substance use disorders.  It also recommended having a separate domain for opioids.</w:t>
      </w:r>
    </w:p>
    <w:p w14:paraId="1F80BDBE" w14:textId="2451ABDE" w:rsidR="00FC4B00" w:rsidRDefault="00FC4B00" w:rsidP="006F795F">
      <w:r w:rsidRPr="00FC4B00">
        <w:rPr>
          <w:u w:val="single"/>
        </w:rPr>
        <w:t>Measure Sets Reviewed:</w:t>
      </w:r>
      <w:r w:rsidRPr="00FC4B00">
        <w:t xml:space="preserve"> One respondent expressed concern that the measure selection process relied on a limited number of </w:t>
      </w:r>
      <w:proofErr w:type="gramStart"/>
      <w:r w:rsidRPr="00FC4B00">
        <w:t>measure</w:t>
      </w:r>
      <w:proofErr w:type="gramEnd"/>
      <w:r w:rsidRPr="00FC4B00">
        <w:t xml:space="preserve"> sets and did not look at measures used by innovative programs or providers in other states and focused on value instead of quality and health outcomes.</w:t>
      </w:r>
    </w:p>
    <w:p w14:paraId="6C3B3073" w14:textId="4BBDE53C" w:rsidR="00FC4B00" w:rsidRDefault="00FC4B00" w:rsidP="006F795F">
      <w:r w:rsidRPr="00FC4B00">
        <w:rPr>
          <w:u w:val="single"/>
        </w:rPr>
        <w:t>Structure:</w:t>
      </w:r>
      <w:r w:rsidRPr="00FC4B00">
        <w:t xml:space="preserve"> One respondent spoke in favor of a menu set only, asked for increased specificity on what constitutes a “novel” measure, and urged inclusion of EHR-derived measures in this category.</w:t>
      </w:r>
    </w:p>
    <w:p w14:paraId="4F0FFAB3" w14:textId="33117EF1" w:rsidR="00081F6D" w:rsidRDefault="00081F6D" w:rsidP="006F795F"/>
    <w:p w14:paraId="413FBC31" w14:textId="7781A17C" w:rsidR="00081F6D" w:rsidRPr="003C6DD3" w:rsidRDefault="00081F6D" w:rsidP="006F795F">
      <w:pPr>
        <w:rPr>
          <w:b/>
        </w:rPr>
      </w:pPr>
      <w:r w:rsidRPr="003C6DD3">
        <w:rPr>
          <w:b/>
        </w:rPr>
        <w:t>Theme 4:</w:t>
      </w:r>
      <w:r w:rsidR="003C6DD3" w:rsidRPr="003C6DD3">
        <w:rPr>
          <w:b/>
        </w:rPr>
        <w:t xml:space="preserve"> Recommended Measures.</w:t>
      </w:r>
    </w:p>
    <w:p w14:paraId="3AB56A1C" w14:textId="77777777" w:rsidR="002A1B68" w:rsidRPr="002A1B68" w:rsidRDefault="002A1B68" w:rsidP="002A1B68">
      <w:r w:rsidRPr="002A1B68">
        <w:rPr>
          <w:u w:val="single"/>
        </w:rPr>
        <w:t xml:space="preserve">Behavioral Health: </w:t>
      </w:r>
      <w:r w:rsidRPr="002A1B68">
        <w:t xml:space="preserve">One respondent expressed concern about the reliability of behavioral health measures with small denominators. Another respondent recommended that both depression and substance use disorders be required in the Core Set and to include additional measures in the Menu Set. </w:t>
      </w:r>
    </w:p>
    <w:p w14:paraId="7F6B3159" w14:textId="53DACEF7" w:rsidR="002A1B68" w:rsidRDefault="002A1B68" w:rsidP="002A1B68">
      <w:pPr>
        <w:rPr>
          <w:u w:val="single"/>
        </w:rPr>
      </w:pPr>
      <w:r w:rsidRPr="005A3CBE">
        <w:rPr>
          <w:u w:val="single"/>
        </w:rPr>
        <w:t>CG-CAHPS:</w:t>
      </w:r>
      <w:r w:rsidRPr="005A3CBE">
        <w:t xml:space="preserve"> One respondent expressed interest in adding a narrative component to CG-CAHPS.</w:t>
      </w:r>
    </w:p>
    <w:p w14:paraId="431D1C97" w14:textId="453AE4E0" w:rsidR="003C6DD3" w:rsidRDefault="002A1B68" w:rsidP="002A1B68">
      <w:r w:rsidRPr="002A1B68">
        <w:rPr>
          <w:u w:val="single"/>
        </w:rPr>
        <w:t>EHR Data:</w:t>
      </w:r>
      <w:r w:rsidRPr="002A1B68">
        <w:t xml:space="preserve"> Two respondents expressed interest in the use of EHR-derived measures when possible.</w:t>
      </w:r>
    </w:p>
    <w:p w14:paraId="0155787C" w14:textId="533B103A" w:rsidR="002A1B68" w:rsidRDefault="002A1B68" w:rsidP="002A1B68">
      <w:r w:rsidRPr="002A1B68">
        <w:rPr>
          <w:u w:val="single"/>
        </w:rPr>
        <w:t>HEDIS:</w:t>
      </w:r>
      <w:r w:rsidRPr="002A1B68">
        <w:t xml:space="preserve"> One respondent expressed concern that not all HEDIS measures were included in the set. Another respondent said that HEDIS measures are obsolete.</w:t>
      </w:r>
    </w:p>
    <w:p w14:paraId="1BEA663A" w14:textId="3DE0902A" w:rsidR="002A1B68" w:rsidRDefault="002A1B68" w:rsidP="002A1B68">
      <w:r w:rsidRPr="002A1B68">
        <w:rPr>
          <w:u w:val="single"/>
        </w:rPr>
        <w:lastRenderedPageBreak/>
        <w:t>Pediatrics and Maternal Health:</w:t>
      </w:r>
      <w:r w:rsidRPr="002A1B68">
        <w:t xml:space="preserve"> One respondent noted that the Core Set does not reflect many populations served by health care programs in the Commonwealth.  It recommended inclusion of a measure specific to pre-term delivery outcomes.</w:t>
      </w:r>
    </w:p>
    <w:p w14:paraId="71ECBA4B" w14:textId="112C20D9" w:rsidR="002A1B68" w:rsidRPr="002A1B68" w:rsidRDefault="002A1B68" w:rsidP="002A1B68">
      <w:r w:rsidRPr="002A1B68">
        <w:rPr>
          <w:u w:val="single"/>
        </w:rPr>
        <w:t>Physician Well-Being:</w:t>
      </w:r>
      <w:r w:rsidRPr="002A1B68">
        <w:t xml:space="preserve"> One respondent recommended inclusion of a physician well</w:t>
      </w:r>
      <w:r>
        <w:t>-being measure in the Core Set.</w:t>
      </w:r>
    </w:p>
    <w:p w14:paraId="6B07729F" w14:textId="64F4E797" w:rsidR="002A1B68" w:rsidRDefault="002A1B68" w:rsidP="002A1B68">
      <w:r w:rsidRPr="002A1B68">
        <w:rPr>
          <w:u w:val="single"/>
        </w:rPr>
        <w:t>Reduction of Measures:</w:t>
      </w:r>
      <w:r w:rsidRPr="002A1B68">
        <w:t xml:space="preserve"> Two respondents recommended limiting the set to a total of 14 measures.</w:t>
      </w:r>
    </w:p>
    <w:p w14:paraId="226585FE" w14:textId="2BD21799" w:rsidR="002A1B68" w:rsidRDefault="002A1B68" w:rsidP="002A1B68"/>
    <w:p w14:paraId="35E01682" w14:textId="0687AA68" w:rsidR="002A1B68" w:rsidRPr="002A1B68" w:rsidRDefault="002A1B68" w:rsidP="002A1B68">
      <w:pPr>
        <w:rPr>
          <w:b/>
        </w:rPr>
      </w:pPr>
      <w:r w:rsidRPr="002A1B68">
        <w:rPr>
          <w:b/>
        </w:rPr>
        <w:t xml:space="preserve">Theme 5: Developmental Measures. </w:t>
      </w:r>
    </w:p>
    <w:p w14:paraId="1DA0FAC6" w14:textId="5194F56D" w:rsidR="002A1B68" w:rsidRDefault="002A1B68" w:rsidP="002A1B68">
      <w:r w:rsidRPr="002A1B68">
        <w:rPr>
          <w:u w:val="single"/>
        </w:rPr>
        <w:t>Developmental Measures:</w:t>
      </w:r>
      <w:r w:rsidRPr="002A1B68">
        <w:t xml:space="preserve"> One respondent recommended promoting a number of measure concepts or measures addressing key domains (equity, social determinants of health, care coordination, patient/provider communication, patient engagement, team-based care, relationship-centered care, or health behaviors) as “pay-for-reporting” in Year 1. The respondent also urged the Taskforce to prioritize development of Developmental measures in key domains.</w:t>
      </w:r>
    </w:p>
    <w:p w14:paraId="60C2BB37" w14:textId="05214537" w:rsidR="004D5B60" w:rsidRPr="004D5B60" w:rsidRDefault="002A1B68" w:rsidP="004D5B60">
      <w:r w:rsidRPr="002A1B68">
        <w:rPr>
          <w:u w:val="single"/>
        </w:rPr>
        <w:t>Clinician Burnout:</w:t>
      </w:r>
      <w:r w:rsidRPr="002A1B68">
        <w:t xml:space="preserve"> </w:t>
      </w:r>
      <w:r w:rsidR="00B428DF">
        <w:t>Two</w:t>
      </w:r>
      <w:r w:rsidRPr="002A1B68">
        <w:t xml:space="preserve"> respondent</w:t>
      </w:r>
      <w:r w:rsidR="00B428DF">
        <w:t>s</w:t>
      </w:r>
      <w:r w:rsidRPr="002A1B68">
        <w:t xml:space="preserve"> appreciated the inclusion of clinician burnout in the list of Developmental measure concepts, and requested the Taskforce specifically focus on physician burnout.</w:t>
      </w:r>
    </w:p>
    <w:p w14:paraId="39E1F206" w14:textId="1FA45D94" w:rsidR="004D5B60" w:rsidRDefault="004D5B60" w:rsidP="004D5B60">
      <w:r w:rsidRPr="004D5B60">
        <w:rPr>
          <w:u w:val="single"/>
        </w:rPr>
        <w:t>Patient-Reported Outcome Measures (PROMs):</w:t>
      </w:r>
      <w:r w:rsidRPr="004D5B60">
        <w:t xml:space="preserve"> One respondent agreed that PROMS needed additional developmental work prior to consideration for implementation.</w:t>
      </w:r>
    </w:p>
    <w:p w14:paraId="7FA6BA92" w14:textId="7E3E714B" w:rsidR="004D5B60" w:rsidRDefault="004D5B60" w:rsidP="004D5B60">
      <w:r w:rsidRPr="004D5B60">
        <w:rPr>
          <w:u w:val="single"/>
        </w:rPr>
        <w:t>Social Determinants of Health, Behavioral Health, and LTSS Measures:</w:t>
      </w:r>
      <w:r w:rsidRPr="004D5B60">
        <w:t xml:space="preserve"> One respondent commended the Taskforce’s commitment to working on measures in these areas.</w:t>
      </w:r>
    </w:p>
    <w:p w14:paraId="3C8D48E0" w14:textId="33E95151" w:rsidR="004D5B60" w:rsidRDefault="004D5B60" w:rsidP="004D5B60"/>
    <w:p w14:paraId="18E1670C" w14:textId="378095F0" w:rsidR="004D5B60" w:rsidRPr="00EA2511" w:rsidRDefault="004D5B60" w:rsidP="004D5B60">
      <w:pPr>
        <w:rPr>
          <w:b/>
        </w:rPr>
      </w:pPr>
      <w:r w:rsidRPr="00EA2511">
        <w:rPr>
          <w:b/>
        </w:rPr>
        <w:t>Theme 6: Implementation</w:t>
      </w:r>
      <w:r w:rsidR="00EA2511">
        <w:rPr>
          <w:b/>
        </w:rPr>
        <w:t>.</w:t>
      </w:r>
    </w:p>
    <w:p w14:paraId="0BFF4112" w14:textId="009FA405" w:rsidR="004D5B60" w:rsidRDefault="00EA2511" w:rsidP="004D5B60">
      <w:r w:rsidRPr="00EA2511">
        <w:rPr>
          <w:u w:val="single"/>
        </w:rPr>
        <w:t>Voluntary Adoption:</w:t>
      </w:r>
      <w:r w:rsidRPr="00EA2511">
        <w:t xml:space="preserve"> One respondent appreciation for the voluntary nature of the measure set, but expressed concern about requiring plans to re-open contracts.  It recommended allowing 1-3 years for adoption to allow for the development of baseline and benchmark data.</w:t>
      </w:r>
    </w:p>
    <w:p w14:paraId="2DF563E9" w14:textId="68419867" w:rsidR="004F1439" w:rsidRDefault="00EA2511" w:rsidP="004D5B60">
      <w:r w:rsidRPr="00EA2511">
        <w:rPr>
          <w:u w:val="single"/>
        </w:rPr>
        <w:t>Payer Adoption:</w:t>
      </w:r>
      <w:r>
        <w:t xml:space="preserve"> </w:t>
      </w:r>
      <w:r w:rsidRPr="00EA2511">
        <w:t>Three respondents noted disappointment that there was not stronger commitment from payers to adopt the measure set.</w:t>
      </w:r>
    </w:p>
    <w:p w14:paraId="687C10DE" w14:textId="77777777" w:rsidR="00EA2511" w:rsidRDefault="00EA2511" w:rsidP="004D5B60"/>
    <w:p w14:paraId="18EDE292" w14:textId="0E4D20A7" w:rsidR="004D5B60" w:rsidRPr="00264436" w:rsidRDefault="004D5B60" w:rsidP="004D5B60">
      <w:pPr>
        <w:rPr>
          <w:b/>
        </w:rPr>
      </w:pPr>
      <w:r w:rsidRPr="00264436">
        <w:rPr>
          <w:b/>
        </w:rPr>
        <w:t>Theme 7: DSRIP</w:t>
      </w:r>
      <w:r w:rsidR="00DB0667" w:rsidRPr="00264436">
        <w:rPr>
          <w:b/>
        </w:rPr>
        <w:t xml:space="preserve"> Quality</w:t>
      </w:r>
      <w:r w:rsidRPr="00264436">
        <w:rPr>
          <w:b/>
        </w:rPr>
        <w:t xml:space="preserve"> Subcommittee</w:t>
      </w:r>
      <w:r w:rsidR="00264436" w:rsidRPr="00264436">
        <w:rPr>
          <w:b/>
        </w:rPr>
        <w:t>.</w:t>
      </w:r>
    </w:p>
    <w:p w14:paraId="720E80B4" w14:textId="5A20CCB7" w:rsidR="00EA2511" w:rsidRDefault="00264436" w:rsidP="004D5B60">
      <w:r w:rsidRPr="00264436">
        <w:rPr>
          <w:u w:val="single"/>
        </w:rPr>
        <w:t>Utilization of the NCQA CAHPS Survey:</w:t>
      </w:r>
      <w:r w:rsidRPr="00264436">
        <w:t xml:space="preserve"> One organization recommended the State use the NCQA CAHPS survey and noted that any additional surveys of the same patient population could create member abrasion.</w:t>
      </w:r>
    </w:p>
    <w:p w14:paraId="74B433AF" w14:textId="34FC0277" w:rsidR="004F1439" w:rsidRDefault="00264436" w:rsidP="004D5B60">
      <w:r w:rsidRPr="00264436">
        <w:rPr>
          <w:u w:val="single"/>
        </w:rPr>
        <w:t>Number of Measure Sets:</w:t>
      </w:r>
      <w:r w:rsidRPr="00264436">
        <w:t xml:space="preserve"> One organization questioned the alignment potential of the Massachusetts Aligned Measure Set, noting the additional measure sets developed for use by MassHealth ACOs and Community Partners as well as measures for SCO and OneCare populations.</w:t>
      </w:r>
    </w:p>
    <w:p w14:paraId="00DB7CE0" w14:textId="08F02204" w:rsidR="004F1439" w:rsidRPr="009A539C" w:rsidRDefault="00264436" w:rsidP="004D5B60">
      <w:r w:rsidRPr="00264436">
        <w:rPr>
          <w:u w:val="single"/>
        </w:rPr>
        <w:t>PHQ-9 Patient Health Questionnaire for Depression:</w:t>
      </w:r>
      <w:r w:rsidRPr="00264436">
        <w:t xml:space="preserve"> One organization noted that they did not think this measure was sufficiently matured to be used for payment.  The organization recommended continued use as pay for reporting.</w:t>
      </w:r>
    </w:p>
    <w:sectPr w:rsidR="004F1439" w:rsidRPr="009A539C" w:rsidSect="003732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A4CE" w14:textId="77777777" w:rsidR="00A06EF4" w:rsidRDefault="00A06EF4" w:rsidP="001967C3">
      <w:r>
        <w:separator/>
      </w:r>
    </w:p>
  </w:endnote>
  <w:endnote w:type="continuationSeparator" w:id="0">
    <w:p w14:paraId="1D5382EE" w14:textId="77777777" w:rsidR="00A06EF4" w:rsidRDefault="00A06EF4" w:rsidP="001967C3">
      <w:r>
        <w:continuationSeparator/>
      </w:r>
    </w:p>
  </w:endnote>
  <w:endnote w:type="continuationNotice" w:id="1">
    <w:p w14:paraId="54F085CC" w14:textId="77777777" w:rsidR="00A06EF4" w:rsidRDefault="00A0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5E82" w14:textId="77777777" w:rsidR="006F795F" w:rsidRDefault="006F7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120980578"/>
      <w:docPartObj>
        <w:docPartGallery w:val="Page Numbers (Bottom of Page)"/>
        <w:docPartUnique/>
      </w:docPartObj>
    </w:sdtPr>
    <w:sdtEndPr>
      <w:rPr>
        <w:noProof/>
      </w:rPr>
    </w:sdtEndPr>
    <w:sdtContent>
      <w:p w14:paraId="419CAE79" w14:textId="77777777" w:rsidR="006F795F" w:rsidRPr="00B76572" w:rsidRDefault="006F795F">
        <w:pPr>
          <w:pStyle w:val="Footer"/>
          <w:jc w:val="right"/>
          <w:rPr>
            <w:sz w:val="20"/>
          </w:rPr>
        </w:pPr>
        <w:r w:rsidRPr="00B76572">
          <w:rPr>
            <w:sz w:val="20"/>
          </w:rPr>
          <w:fldChar w:fldCharType="begin"/>
        </w:r>
        <w:r w:rsidRPr="00B76572">
          <w:rPr>
            <w:sz w:val="20"/>
          </w:rPr>
          <w:instrText xml:space="preserve"> PAGE   \* MERGEFORMAT </w:instrText>
        </w:r>
        <w:r w:rsidRPr="00B76572">
          <w:rPr>
            <w:sz w:val="20"/>
          </w:rPr>
          <w:fldChar w:fldCharType="separate"/>
        </w:r>
        <w:r>
          <w:rPr>
            <w:noProof/>
            <w:sz w:val="20"/>
          </w:rPr>
          <w:t>17</w:t>
        </w:r>
        <w:r w:rsidRPr="00B76572">
          <w:rPr>
            <w:noProof/>
            <w:sz w:val="20"/>
          </w:rPr>
          <w:fldChar w:fldCharType="end"/>
        </w:r>
      </w:p>
    </w:sdtContent>
  </w:sdt>
  <w:p w14:paraId="32DE2EA6" w14:textId="77777777" w:rsidR="006F795F" w:rsidRDefault="006F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B4BF" w14:textId="77777777" w:rsidR="006F795F" w:rsidRDefault="006F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C46BA" w14:textId="77777777" w:rsidR="00A06EF4" w:rsidRDefault="00A06EF4" w:rsidP="001967C3">
      <w:r>
        <w:separator/>
      </w:r>
    </w:p>
  </w:footnote>
  <w:footnote w:type="continuationSeparator" w:id="0">
    <w:p w14:paraId="2C5C9164" w14:textId="77777777" w:rsidR="00A06EF4" w:rsidRDefault="00A06EF4" w:rsidP="001967C3">
      <w:r>
        <w:continuationSeparator/>
      </w:r>
    </w:p>
  </w:footnote>
  <w:footnote w:type="continuationNotice" w:id="1">
    <w:p w14:paraId="6D39821F" w14:textId="77777777" w:rsidR="00A06EF4" w:rsidRDefault="00A06EF4"/>
  </w:footnote>
  <w:footnote w:id="2">
    <w:p w14:paraId="6E486016" w14:textId="77777777" w:rsidR="006F795F" w:rsidRPr="009C69A6" w:rsidRDefault="006F795F" w:rsidP="009D1865">
      <w:pPr>
        <w:pStyle w:val="FootnoteText"/>
        <w:rPr>
          <w:sz w:val="20"/>
        </w:rPr>
      </w:pPr>
      <w:r w:rsidRPr="009C69A6">
        <w:rPr>
          <w:rStyle w:val="FootnoteReference"/>
          <w:sz w:val="20"/>
        </w:rPr>
        <w:footnoteRef/>
      </w:r>
      <w:r w:rsidRPr="009C69A6">
        <w:rPr>
          <w:sz w:val="20"/>
        </w:rPr>
        <w:t xml:space="preserve"> Patient </w:t>
      </w:r>
      <w:r>
        <w:rPr>
          <w:sz w:val="20"/>
        </w:rPr>
        <w:t>P</w:t>
      </w:r>
      <w:r w:rsidRPr="009C69A6">
        <w:rPr>
          <w:sz w:val="20"/>
        </w:rPr>
        <w:t xml:space="preserve">rotection and </w:t>
      </w:r>
      <w:r>
        <w:rPr>
          <w:sz w:val="20"/>
        </w:rPr>
        <w:t>A</w:t>
      </w:r>
      <w:r w:rsidRPr="009C69A6">
        <w:rPr>
          <w:sz w:val="20"/>
        </w:rPr>
        <w:t xml:space="preserve">ffordable </w:t>
      </w:r>
      <w:r>
        <w:rPr>
          <w:sz w:val="20"/>
        </w:rPr>
        <w:t>C</w:t>
      </w:r>
      <w:r w:rsidRPr="009C69A6">
        <w:rPr>
          <w:sz w:val="20"/>
        </w:rPr>
        <w:t xml:space="preserve">are </w:t>
      </w:r>
      <w:r>
        <w:rPr>
          <w:sz w:val="20"/>
        </w:rPr>
        <w:t>A</w:t>
      </w:r>
      <w:r w:rsidRPr="009C69A6">
        <w:rPr>
          <w:sz w:val="20"/>
        </w:rPr>
        <w:t>ct, Public law 111-148 (2010).</w:t>
      </w:r>
    </w:p>
  </w:footnote>
  <w:footnote w:id="3">
    <w:p w14:paraId="699B1471" w14:textId="77777777" w:rsidR="006F795F" w:rsidRPr="009C69A6" w:rsidRDefault="006F795F" w:rsidP="009D1865">
      <w:pPr>
        <w:pStyle w:val="FootnoteText"/>
        <w:rPr>
          <w:sz w:val="20"/>
        </w:rPr>
      </w:pPr>
      <w:r w:rsidRPr="009C69A6">
        <w:rPr>
          <w:rStyle w:val="FootnoteReference"/>
          <w:sz w:val="20"/>
        </w:rPr>
        <w:footnoteRef/>
      </w:r>
      <w:r w:rsidRPr="009C69A6">
        <w:rPr>
          <w:sz w:val="20"/>
        </w:rPr>
        <w:t xml:space="preserve"> An </w:t>
      </w:r>
      <w:r>
        <w:rPr>
          <w:sz w:val="20"/>
        </w:rPr>
        <w:t>A</w:t>
      </w:r>
      <w:r w:rsidRPr="009C69A6">
        <w:rPr>
          <w:sz w:val="20"/>
        </w:rPr>
        <w:t xml:space="preserve">ct </w:t>
      </w:r>
      <w:r>
        <w:rPr>
          <w:sz w:val="20"/>
        </w:rPr>
        <w:t>I</w:t>
      </w:r>
      <w:r w:rsidRPr="009C69A6">
        <w:rPr>
          <w:sz w:val="20"/>
        </w:rPr>
        <w:t xml:space="preserve">mproving </w:t>
      </w:r>
      <w:r>
        <w:rPr>
          <w:sz w:val="20"/>
        </w:rPr>
        <w:t>the</w:t>
      </w:r>
      <w:r w:rsidRPr="009C69A6">
        <w:rPr>
          <w:sz w:val="20"/>
        </w:rPr>
        <w:t xml:space="preserve"> </w:t>
      </w:r>
      <w:r>
        <w:rPr>
          <w:sz w:val="20"/>
        </w:rPr>
        <w:t>Q</w:t>
      </w:r>
      <w:r w:rsidRPr="009C69A6">
        <w:rPr>
          <w:sz w:val="20"/>
        </w:rPr>
        <w:t xml:space="preserve">uality </w:t>
      </w:r>
      <w:r>
        <w:rPr>
          <w:sz w:val="20"/>
        </w:rPr>
        <w:t>of</w:t>
      </w:r>
      <w:r w:rsidRPr="009C69A6">
        <w:rPr>
          <w:sz w:val="20"/>
        </w:rPr>
        <w:t xml:space="preserve"> </w:t>
      </w:r>
      <w:r>
        <w:rPr>
          <w:sz w:val="20"/>
        </w:rPr>
        <w:t>H</w:t>
      </w:r>
      <w:r w:rsidRPr="009C69A6">
        <w:rPr>
          <w:sz w:val="20"/>
        </w:rPr>
        <w:t xml:space="preserve">ealth </w:t>
      </w:r>
      <w:r>
        <w:rPr>
          <w:sz w:val="20"/>
        </w:rPr>
        <w:t>C</w:t>
      </w:r>
      <w:r w:rsidRPr="009C69A6">
        <w:rPr>
          <w:sz w:val="20"/>
        </w:rPr>
        <w:t xml:space="preserve">are </w:t>
      </w:r>
      <w:r>
        <w:rPr>
          <w:sz w:val="20"/>
        </w:rPr>
        <w:t>and</w:t>
      </w:r>
      <w:r w:rsidRPr="009C69A6">
        <w:rPr>
          <w:sz w:val="20"/>
        </w:rPr>
        <w:t xml:space="preserve"> </w:t>
      </w:r>
      <w:r>
        <w:rPr>
          <w:sz w:val="20"/>
        </w:rPr>
        <w:t>R</w:t>
      </w:r>
      <w:r w:rsidRPr="009C69A6">
        <w:rPr>
          <w:sz w:val="20"/>
        </w:rPr>
        <w:t xml:space="preserve">educing </w:t>
      </w:r>
      <w:r>
        <w:rPr>
          <w:sz w:val="20"/>
        </w:rPr>
        <w:t>C</w:t>
      </w:r>
      <w:r w:rsidRPr="009C69A6">
        <w:rPr>
          <w:sz w:val="20"/>
        </w:rPr>
        <w:t xml:space="preserve">osts </w:t>
      </w:r>
      <w:r>
        <w:rPr>
          <w:sz w:val="20"/>
        </w:rPr>
        <w:t>T</w:t>
      </w:r>
      <w:r w:rsidRPr="009C69A6">
        <w:rPr>
          <w:sz w:val="20"/>
        </w:rPr>
        <w:t xml:space="preserve">hrough </w:t>
      </w:r>
      <w:r>
        <w:rPr>
          <w:sz w:val="20"/>
        </w:rPr>
        <w:t>I</w:t>
      </w:r>
      <w:r w:rsidRPr="009C69A6">
        <w:rPr>
          <w:sz w:val="20"/>
        </w:rPr>
        <w:t xml:space="preserve">ncreased </w:t>
      </w:r>
      <w:r>
        <w:rPr>
          <w:sz w:val="20"/>
        </w:rPr>
        <w:t>T</w:t>
      </w:r>
      <w:r w:rsidRPr="009C69A6">
        <w:rPr>
          <w:sz w:val="20"/>
        </w:rPr>
        <w:t xml:space="preserve">ransparency, </w:t>
      </w:r>
      <w:r>
        <w:rPr>
          <w:sz w:val="20"/>
        </w:rPr>
        <w:t>E</w:t>
      </w:r>
      <w:r w:rsidRPr="009C69A6">
        <w:rPr>
          <w:sz w:val="20"/>
        </w:rPr>
        <w:t xml:space="preserve">fficiency </w:t>
      </w:r>
      <w:r>
        <w:rPr>
          <w:sz w:val="20"/>
        </w:rPr>
        <w:t>and</w:t>
      </w:r>
      <w:r w:rsidRPr="009C69A6">
        <w:rPr>
          <w:sz w:val="20"/>
        </w:rPr>
        <w:t xml:space="preserve"> </w:t>
      </w:r>
      <w:r>
        <w:rPr>
          <w:sz w:val="20"/>
        </w:rPr>
        <w:t>I</w:t>
      </w:r>
      <w:r w:rsidRPr="009C69A6">
        <w:rPr>
          <w:sz w:val="20"/>
        </w:rPr>
        <w:t>nnovation, Chapter 224 (2012).</w:t>
      </w:r>
    </w:p>
  </w:footnote>
  <w:footnote w:id="4">
    <w:p w14:paraId="7D6C14FB" w14:textId="77777777" w:rsidR="006F795F" w:rsidRPr="001A0347" w:rsidRDefault="006F795F" w:rsidP="009D1865">
      <w:pPr>
        <w:pStyle w:val="FootnoteText"/>
        <w:rPr>
          <w:sz w:val="20"/>
        </w:rPr>
      </w:pPr>
      <w:r w:rsidRPr="009C69A6">
        <w:rPr>
          <w:rStyle w:val="FootnoteReference"/>
          <w:sz w:val="20"/>
        </w:rPr>
        <w:footnoteRef/>
      </w:r>
      <w:r w:rsidRPr="009C69A6">
        <w:rPr>
          <w:sz w:val="20"/>
        </w:rPr>
        <w:t xml:space="preserve"> Medica</w:t>
      </w:r>
      <w:r w:rsidRPr="001A0347">
        <w:rPr>
          <w:sz w:val="20"/>
        </w:rPr>
        <w:t>re Access and CHIP Reauthorization Act of 2015, Public law 114-10 (2015).</w:t>
      </w:r>
    </w:p>
  </w:footnote>
  <w:footnote w:id="5">
    <w:p w14:paraId="41DCAC8F" w14:textId="67993254" w:rsidR="006F795F" w:rsidRDefault="006F795F">
      <w:pPr>
        <w:pStyle w:val="FootnoteText"/>
      </w:pPr>
      <w:r>
        <w:rPr>
          <w:rStyle w:val="FootnoteReference"/>
        </w:rPr>
        <w:footnoteRef/>
      </w:r>
      <w:r>
        <w:t xml:space="preserve"> </w:t>
      </w:r>
      <w:r w:rsidRPr="00A667BB">
        <w:rPr>
          <w:sz w:val="20"/>
        </w:rPr>
        <w:t>For the purposes of this report, an ACO is defined as a provider organization that has entered into a global</w:t>
      </w:r>
      <w:r>
        <w:rPr>
          <w:sz w:val="20"/>
        </w:rPr>
        <w:t xml:space="preserve"> </w:t>
      </w:r>
      <w:r w:rsidRPr="00A667BB">
        <w:rPr>
          <w:sz w:val="20"/>
        </w:rPr>
        <w:t>budget</w:t>
      </w:r>
      <w:r>
        <w:rPr>
          <w:sz w:val="20"/>
        </w:rPr>
        <w:t>-</w:t>
      </w:r>
      <w:r w:rsidRPr="00A667BB">
        <w:rPr>
          <w:sz w:val="20"/>
        </w:rPr>
        <w:t>based risk contract with a commercial or MassHealth payer.</w:t>
      </w:r>
    </w:p>
  </w:footnote>
  <w:footnote w:id="6">
    <w:p w14:paraId="366DCA89" w14:textId="1DBB9173" w:rsidR="006F795F" w:rsidRPr="00995DA7" w:rsidRDefault="006F795F">
      <w:pPr>
        <w:pStyle w:val="FootnoteText"/>
        <w:rPr>
          <w:sz w:val="20"/>
        </w:rPr>
      </w:pPr>
      <w:r w:rsidRPr="001A0347">
        <w:rPr>
          <w:rStyle w:val="FootnoteReference"/>
          <w:sz w:val="20"/>
        </w:rPr>
        <w:footnoteRef/>
      </w:r>
      <w:r w:rsidRPr="001A0347">
        <w:rPr>
          <w:sz w:val="20"/>
        </w:rPr>
        <w:t xml:space="preserve"> Health Policy Commission.  2017 Cost Trends Report.  2018 Mar</w:t>
      </w:r>
      <w:r>
        <w:rPr>
          <w:sz w:val="20"/>
        </w:rPr>
        <w:t>ch</w:t>
      </w:r>
    </w:p>
  </w:footnote>
  <w:footnote w:id="7">
    <w:p w14:paraId="677F31B1" w14:textId="0AE01FA2" w:rsidR="006F795F" w:rsidRPr="00995DA7" w:rsidRDefault="006F795F">
      <w:pPr>
        <w:pStyle w:val="FootnoteText"/>
        <w:rPr>
          <w:sz w:val="20"/>
        </w:rPr>
      </w:pPr>
      <w:r w:rsidRPr="00995DA7">
        <w:rPr>
          <w:rStyle w:val="FootnoteReference"/>
          <w:sz w:val="20"/>
        </w:rPr>
        <w:footnoteRef/>
      </w:r>
      <w:r w:rsidRPr="00995DA7">
        <w:rPr>
          <w:sz w:val="20"/>
        </w:rPr>
        <w:t xml:space="preserve"> </w:t>
      </w:r>
      <w:r>
        <w:rPr>
          <w:sz w:val="20"/>
        </w:rPr>
        <w:t>We included measures which the three largest commercial payers (</w:t>
      </w:r>
      <w:r w:rsidRPr="00995DA7">
        <w:rPr>
          <w:sz w:val="20"/>
        </w:rPr>
        <w:t>Blue Cross Blue Shield of Massachusetts, Harvard Pilgrim Health Care, and Tufts Health Plan</w:t>
      </w:r>
      <w:r>
        <w:rPr>
          <w:sz w:val="20"/>
        </w:rPr>
        <w:t>) reported using in at least 10 of their contracts.</w:t>
      </w:r>
    </w:p>
  </w:footnote>
  <w:footnote w:id="8">
    <w:p w14:paraId="3C1231C6" w14:textId="11003BAF" w:rsidR="006F795F" w:rsidRDefault="006F795F">
      <w:pPr>
        <w:pStyle w:val="FootnoteText"/>
      </w:pPr>
      <w:r>
        <w:rPr>
          <w:rStyle w:val="FootnoteReference"/>
        </w:rPr>
        <w:footnoteRef/>
      </w:r>
      <w:r>
        <w:t xml:space="preserve"> </w:t>
      </w:r>
      <w:r w:rsidRPr="00685422">
        <w:rPr>
          <w:sz w:val="20"/>
        </w:rPr>
        <w:t>MassHealth has updated its measure set for its DSRIP ACO program.  More information can be found in Section V below.</w:t>
      </w:r>
    </w:p>
  </w:footnote>
  <w:footnote w:id="9">
    <w:p w14:paraId="15A24079" w14:textId="77777777" w:rsidR="006F795F" w:rsidRDefault="006F795F">
      <w:pPr>
        <w:pStyle w:val="FootnoteText"/>
      </w:pPr>
      <w:r w:rsidRPr="00995DA7">
        <w:rPr>
          <w:rStyle w:val="FootnoteReference"/>
          <w:sz w:val="20"/>
        </w:rPr>
        <w:footnoteRef/>
      </w:r>
      <w:r w:rsidRPr="00995DA7">
        <w:rPr>
          <w:sz w:val="20"/>
        </w:rPr>
        <w:t xml:space="preserve"> For more information on alignment of measures for the three main commercial payers, see the “HPC Data Points, Issue 5: Quality Measurement Misalignment in Massachusetts</w:t>
      </w:r>
      <w:r w:rsidRPr="001A0347">
        <w:rPr>
          <w:sz w:val="20"/>
        </w:rPr>
        <w:t xml:space="preserve">” at </w:t>
      </w:r>
      <w:hyperlink r:id="rId1" w:history="1">
        <w:r w:rsidRPr="00EA53B4">
          <w:rPr>
            <w:rStyle w:val="Hyperlink"/>
            <w:sz w:val="20"/>
          </w:rPr>
          <w:t>www.mass.gov/anf/budget-taxes-and-procurement/oversight-agencies/health-policy-commission/publications/hpc-datapoint-5-quality-measurement-misalignment.html</w:t>
        </w:r>
      </w:hyperlink>
      <w:r w:rsidRPr="001A0347">
        <w:rPr>
          <w:sz w:val="20"/>
        </w:rPr>
        <w:t>.  Last accessed July 27, 2018.</w:t>
      </w:r>
    </w:p>
  </w:footnote>
  <w:footnote w:id="10">
    <w:p w14:paraId="0C902E63" w14:textId="77777777" w:rsidR="006F795F" w:rsidRPr="00FB4897" w:rsidRDefault="006F795F" w:rsidP="00542158">
      <w:pPr>
        <w:shd w:val="clear" w:color="auto" w:fill="FFFFFF"/>
        <w:rPr>
          <w:sz w:val="20"/>
          <w:szCs w:val="20"/>
        </w:rPr>
      </w:pPr>
      <w:r w:rsidRPr="009C69A6">
        <w:rPr>
          <w:rStyle w:val="FootnoteReference"/>
          <w:sz w:val="20"/>
        </w:rPr>
        <w:footnoteRef/>
      </w:r>
      <w:r w:rsidRPr="009C69A6">
        <w:rPr>
          <w:sz w:val="20"/>
        </w:rPr>
        <w:t xml:space="preserve"> Massachusetts Health &amp; Hospital Association.  MHA quality measurement and reporting resources </w:t>
      </w:r>
      <w:r w:rsidRPr="00170270">
        <w:rPr>
          <w:sz w:val="20"/>
        </w:rPr>
        <w:t xml:space="preserve">survey </w:t>
      </w:r>
      <w:r w:rsidRPr="000C6C0D">
        <w:rPr>
          <w:sz w:val="20"/>
        </w:rPr>
        <w:t>results summary</w:t>
      </w:r>
      <w:r>
        <w:rPr>
          <w:sz w:val="20"/>
        </w:rPr>
        <w:t>,</w:t>
      </w:r>
      <w:r w:rsidRPr="000C6C0D">
        <w:rPr>
          <w:sz w:val="20"/>
        </w:rPr>
        <w:t xml:space="preserve"> 2016.</w:t>
      </w:r>
      <w:r>
        <w:rPr>
          <w:sz w:val="20"/>
        </w:rPr>
        <w:t xml:space="preserve">   </w:t>
      </w:r>
      <w:r w:rsidRPr="00FB4897">
        <w:rPr>
          <w:sz w:val="20"/>
        </w:rPr>
        <w:t xml:space="preserve">A national study found </w:t>
      </w:r>
      <w:r w:rsidRPr="00FB4897">
        <w:rPr>
          <w:rFonts w:cs="Arial"/>
          <w:sz w:val="20"/>
          <w:szCs w:val="20"/>
          <w:shd w:val="clear" w:color="auto" w:fill="FFFFFF"/>
        </w:rPr>
        <w:t>US physician practices in four common specialties spend, on average, 785 hours per physician and more than $15.4 billion dealing with the reporting of quality measures</w:t>
      </w:r>
      <w:r w:rsidRPr="00FB4897">
        <w:rPr>
          <w:rFonts w:cs="Arial"/>
          <w:sz w:val="20"/>
          <w:shd w:val="clear" w:color="auto" w:fill="FFFFFF"/>
        </w:rPr>
        <w:t xml:space="preserve">.  See Casalino LP et al. </w:t>
      </w:r>
      <w:r>
        <w:rPr>
          <w:rFonts w:cs="Arial"/>
          <w:color w:val="404042"/>
          <w:sz w:val="20"/>
          <w:shd w:val="clear" w:color="auto" w:fill="FFFFFF"/>
        </w:rPr>
        <w:t>“</w:t>
      </w:r>
      <w:hyperlink r:id="rId2" w:history="1">
        <w:r w:rsidRPr="00613FD9">
          <w:rPr>
            <w:rStyle w:val="Hyperlink"/>
            <w:rFonts w:cs="Arial"/>
            <w:sz w:val="20"/>
            <w:szCs w:val="20"/>
          </w:rPr>
          <w:t>US Physician Practices Spend More Than $15.4 Billion Annually To Report Quality Measures</w:t>
        </w:r>
      </w:hyperlink>
      <w:r w:rsidRPr="00613FD9">
        <w:rPr>
          <w:rFonts w:cs="Arial"/>
          <w:color w:val="404042"/>
          <w:sz w:val="20"/>
          <w:szCs w:val="20"/>
        </w:rPr>
        <w:t xml:space="preserve">” </w:t>
      </w:r>
      <w:r w:rsidRPr="00FB4897">
        <w:rPr>
          <w:rStyle w:val="journalname"/>
          <w:rFonts w:cs="Arial"/>
          <w:i/>
          <w:sz w:val="20"/>
          <w:szCs w:val="20"/>
          <w:shd w:val="clear" w:color="auto" w:fill="FFFFFF"/>
        </w:rPr>
        <w:t>Health Affairs</w:t>
      </w:r>
      <w:r w:rsidRPr="00FB4897">
        <w:rPr>
          <w:rFonts w:cs="Arial"/>
          <w:sz w:val="20"/>
          <w:szCs w:val="20"/>
          <w:shd w:val="clear" w:color="auto" w:fill="FFFFFF"/>
        </w:rPr>
        <w:t> </w:t>
      </w:r>
      <w:r w:rsidRPr="00FB4897">
        <w:rPr>
          <w:rStyle w:val="year"/>
          <w:rFonts w:cs="Arial"/>
          <w:sz w:val="20"/>
          <w:szCs w:val="20"/>
          <w:shd w:val="clear" w:color="auto" w:fill="FFFFFF"/>
        </w:rPr>
        <w:t>2016</w:t>
      </w:r>
      <w:r w:rsidRPr="00FB4897">
        <w:rPr>
          <w:rFonts w:cs="Arial"/>
          <w:sz w:val="20"/>
          <w:szCs w:val="20"/>
          <w:shd w:val="clear" w:color="auto" w:fill="FFFFFF"/>
        </w:rPr>
        <w:t> </w:t>
      </w:r>
      <w:r w:rsidRPr="00FB4897">
        <w:rPr>
          <w:rStyle w:val="volume"/>
          <w:rFonts w:cs="Arial"/>
          <w:sz w:val="20"/>
          <w:szCs w:val="20"/>
          <w:shd w:val="clear" w:color="auto" w:fill="FFFFFF"/>
        </w:rPr>
        <w:t>35</w:t>
      </w:r>
      <w:r w:rsidRPr="00FB4897">
        <w:rPr>
          <w:rFonts w:cs="Arial"/>
          <w:sz w:val="20"/>
          <w:szCs w:val="20"/>
          <w:shd w:val="clear" w:color="auto" w:fill="FFFFFF"/>
        </w:rPr>
        <w:t>:</w:t>
      </w:r>
      <w:r w:rsidRPr="00FB4897">
        <w:rPr>
          <w:rStyle w:val="issue"/>
          <w:rFonts w:cs="Arial"/>
          <w:sz w:val="20"/>
          <w:szCs w:val="20"/>
          <w:shd w:val="clear" w:color="auto" w:fill="FFFFFF"/>
        </w:rPr>
        <w:t>3</w:t>
      </w:r>
      <w:r w:rsidRPr="00FB4897">
        <w:rPr>
          <w:rFonts w:cs="Arial"/>
          <w:sz w:val="20"/>
          <w:szCs w:val="20"/>
          <w:shd w:val="clear" w:color="auto" w:fill="FFFFFF"/>
        </w:rPr>
        <w:t>, </w:t>
      </w:r>
      <w:r w:rsidRPr="00FB4897">
        <w:rPr>
          <w:rStyle w:val="page"/>
          <w:rFonts w:cs="Arial"/>
          <w:sz w:val="20"/>
          <w:szCs w:val="20"/>
          <w:shd w:val="clear" w:color="auto" w:fill="FFFFFF"/>
        </w:rPr>
        <w:t>401-406. </w:t>
      </w:r>
    </w:p>
  </w:footnote>
  <w:footnote w:id="11">
    <w:p w14:paraId="0C58969F" w14:textId="287AA4D4" w:rsidR="006F795F" w:rsidRPr="00F50D71" w:rsidRDefault="006F795F">
      <w:pPr>
        <w:pStyle w:val="FootnoteText"/>
        <w:rPr>
          <w:sz w:val="20"/>
        </w:rPr>
      </w:pPr>
      <w:r w:rsidRPr="00F50D71">
        <w:rPr>
          <w:rStyle w:val="FootnoteReference"/>
          <w:sz w:val="20"/>
        </w:rPr>
        <w:footnoteRef/>
      </w:r>
      <w:r w:rsidRPr="00F50D71">
        <w:rPr>
          <w:sz w:val="20"/>
        </w:rPr>
        <w:t xml:space="preserve"> Institute of Medicine. Vital Signs: Core Metrics for Health and Health Care Progress. National Academies Press, Washington, DC, 2015.</w:t>
      </w:r>
    </w:p>
  </w:footnote>
  <w:footnote w:id="12">
    <w:p w14:paraId="2D31119E" w14:textId="77777777" w:rsidR="006F795F" w:rsidRPr="00F50D71" w:rsidRDefault="006F795F">
      <w:pPr>
        <w:pStyle w:val="FootnoteText"/>
        <w:rPr>
          <w:sz w:val="20"/>
        </w:rPr>
      </w:pPr>
      <w:r w:rsidRPr="00F50D71">
        <w:rPr>
          <w:rStyle w:val="FootnoteReference"/>
          <w:sz w:val="20"/>
        </w:rPr>
        <w:footnoteRef/>
      </w:r>
      <w:r w:rsidRPr="00F50D71">
        <w:rPr>
          <w:sz w:val="20"/>
        </w:rPr>
        <w:t xml:space="preserve"> See “</w:t>
      </w:r>
      <w:r w:rsidRPr="00F50D71">
        <w:rPr>
          <w:rFonts w:cs="Arial"/>
          <w:color w:val="000000"/>
          <w:sz w:val="20"/>
          <w:shd w:val="clear" w:color="auto" w:fill="FFFFFF"/>
        </w:rPr>
        <w:t>Core Quality Measures Collaborative Release</w:t>
      </w:r>
      <w:r w:rsidRPr="00F50D71">
        <w:rPr>
          <w:sz w:val="20"/>
        </w:rPr>
        <w:t xml:space="preserve">” at </w:t>
      </w:r>
      <w:hyperlink r:id="rId3" w:history="1">
        <w:r w:rsidRPr="00F50D71">
          <w:rPr>
            <w:rStyle w:val="Hyperlink"/>
            <w:sz w:val="20"/>
          </w:rPr>
          <w:t>www.cms.gov/Newsroom/MediaReleaseDatabase/Fact-sheets/2016-Fact-sheets-items/2016-02-16.html</w:t>
        </w:r>
      </w:hyperlink>
      <w:r w:rsidRPr="00F50D71">
        <w:rPr>
          <w:sz w:val="20"/>
        </w:rPr>
        <w:t xml:space="preserve"> and “</w:t>
      </w:r>
      <w:r w:rsidRPr="00F50D71">
        <w:rPr>
          <w:rFonts w:cs="Arial"/>
          <w:color w:val="000000"/>
          <w:sz w:val="20"/>
          <w:shd w:val="clear" w:color="auto" w:fill="FFFFFF"/>
        </w:rPr>
        <w:t>Release of Core Quality Measures Collaborative Pediatric Core Measure Set</w:t>
      </w:r>
      <w:r w:rsidRPr="00F50D71">
        <w:rPr>
          <w:sz w:val="20"/>
        </w:rPr>
        <w:t xml:space="preserve">” at </w:t>
      </w:r>
      <w:hyperlink r:id="rId4" w:history="1">
        <w:r w:rsidRPr="00F50D71">
          <w:rPr>
            <w:rStyle w:val="Hyperlink"/>
            <w:sz w:val="20"/>
          </w:rPr>
          <w:t>www.cms.gov/Newsroom/MediaReleaseDatabase/Fact-sheets/2017-Fact-Sheet-items/2017-07-28.html</w:t>
        </w:r>
      </w:hyperlink>
      <w:r w:rsidRPr="00F50D71">
        <w:rPr>
          <w:sz w:val="20"/>
        </w:rPr>
        <w:t>.  Last accessed July 26, 2018.</w:t>
      </w:r>
    </w:p>
  </w:footnote>
  <w:footnote w:id="13">
    <w:p w14:paraId="0499B19A" w14:textId="6620C672" w:rsidR="006F795F" w:rsidRPr="00F50D71" w:rsidRDefault="006F795F">
      <w:pPr>
        <w:pStyle w:val="FootnoteText"/>
        <w:rPr>
          <w:sz w:val="20"/>
        </w:rPr>
      </w:pPr>
      <w:r w:rsidRPr="00F50D71">
        <w:rPr>
          <w:rStyle w:val="FootnoteReference"/>
          <w:sz w:val="20"/>
        </w:rPr>
        <w:footnoteRef/>
      </w:r>
      <w:r w:rsidRPr="00F50D71">
        <w:rPr>
          <w:sz w:val="20"/>
        </w:rPr>
        <w:t xml:space="preserve"> See “Adoption of Core Quality Measures Collaborative Core Measure Sets” at </w:t>
      </w:r>
      <w:r w:rsidRPr="00D15496">
        <w:rPr>
          <w:rStyle w:val="Hyperlink"/>
          <w:sz w:val="20"/>
        </w:rPr>
        <w:t>www.ahip.org/adoption-of-core-quality-measures-collaborative-core-measure-sets/</w:t>
      </w:r>
      <w:r w:rsidRPr="00F50D71">
        <w:rPr>
          <w:rStyle w:val="Hyperlink"/>
          <w:sz w:val="20"/>
        </w:rPr>
        <w:t>.</w:t>
      </w:r>
      <w:r w:rsidRPr="00F67ECE">
        <w:rPr>
          <w:rStyle w:val="Hyperlink"/>
          <w:color w:val="auto"/>
          <w:sz w:val="20"/>
          <w:u w:val="none"/>
        </w:rPr>
        <w:t xml:space="preserve">  Last accessed August 22, 2018.</w:t>
      </w:r>
    </w:p>
  </w:footnote>
  <w:footnote w:id="14">
    <w:p w14:paraId="4E7DB24A" w14:textId="77777777" w:rsidR="006F795F" w:rsidRPr="00F50D71" w:rsidRDefault="006F795F">
      <w:pPr>
        <w:pStyle w:val="FootnoteText"/>
        <w:rPr>
          <w:sz w:val="20"/>
        </w:rPr>
      </w:pPr>
      <w:r w:rsidRPr="00F50D71">
        <w:rPr>
          <w:rStyle w:val="FootnoteReference"/>
          <w:sz w:val="20"/>
        </w:rPr>
        <w:footnoteRef/>
      </w:r>
      <w:r w:rsidRPr="00F50D71">
        <w:rPr>
          <w:sz w:val="20"/>
        </w:rPr>
        <w:t xml:space="preserve"> See “Health Plan Quality Metrics Committee” at </w:t>
      </w:r>
      <w:hyperlink r:id="rId5" w:history="1">
        <w:r w:rsidRPr="00F50D71">
          <w:rPr>
            <w:rStyle w:val="Hyperlink"/>
            <w:sz w:val="20"/>
          </w:rPr>
          <w:t>www.oregon.gov/oha/HPA/ANALYTICS/Pages/Quality-Metrics-Committee.aspx</w:t>
        </w:r>
      </w:hyperlink>
      <w:r w:rsidRPr="00F50D71">
        <w:rPr>
          <w:rStyle w:val="Hyperlink"/>
          <w:color w:val="auto"/>
          <w:sz w:val="20"/>
          <w:u w:val="none"/>
        </w:rPr>
        <w:t xml:space="preserve">, “Rhode Island OHIC Regulation 2” at </w:t>
      </w:r>
      <w:hyperlink r:id="rId6" w:history="1">
        <w:r w:rsidRPr="00F50D71">
          <w:rPr>
            <w:rStyle w:val="Hyperlink"/>
            <w:sz w:val="20"/>
          </w:rPr>
          <w:t>www.ohic.ri.gov/documents/2016-OHIC-Regulation-2-amendments-2016-12-12-Effective-2017-1-1.pdf</w:t>
        </w:r>
      </w:hyperlink>
      <w:r w:rsidRPr="00F50D71">
        <w:rPr>
          <w:rStyle w:val="Hyperlink"/>
          <w:color w:val="auto"/>
          <w:sz w:val="20"/>
          <w:u w:val="none"/>
        </w:rPr>
        <w:t xml:space="preserve"> and “Performance Measures” at</w:t>
      </w:r>
      <w:r w:rsidRPr="00F50D71">
        <w:rPr>
          <w:rStyle w:val="Hyperlink"/>
          <w:color w:val="auto"/>
          <w:sz w:val="20"/>
        </w:rPr>
        <w:t xml:space="preserve"> </w:t>
      </w:r>
      <w:hyperlink r:id="rId7" w:history="1">
        <w:r w:rsidRPr="00F50D71">
          <w:rPr>
            <w:rStyle w:val="Hyperlink"/>
            <w:sz w:val="20"/>
          </w:rPr>
          <w:t>www.hca.wa.gov/about-hca/healthier-washington/performance-measures</w:t>
        </w:r>
      </w:hyperlink>
      <w:r w:rsidRPr="00F50D71">
        <w:rPr>
          <w:sz w:val="20"/>
        </w:rPr>
        <w:t>.  Last accessed July 26, 2018.</w:t>
      </w:r>
    </w:p>
  </w:footnote>
  <w:footnote w:id="15">
    <w:p w14:paraId="472D9D32" w14:textId="77777777" w:rsidR="006F795F" w:rsidRPr="00F50D71" w:rsidRDefault="006F795F">
      <w:pPr>
        <w:pStyle w:val="FootnoteText"/>
        <w:rPr>
          <w:sz w:val="20"/>
        </w:rPr>
      </w:pPr>
      <w:r w:rsidRPr="00F50D71">
        <w:rPr>
          <w:rStyle w:val="FootnoteReference"/>
          <w:sz w:val="20"/>
        </w:rPr>
        <w:footnoteRef/>
      </w:r>
      <w:r w:rsidRPr="00F50D71">
        <w:rPr>
          <w:sz w:val="20"/>
        </w:rPr>
        <w:t xml:space="preserve"> Research has shown electronic health record (EHR) use contributing to physician burnout, and a significant amount of physician time spent using EHRs involves entering data required to generate clinical quality measures.  Strongwater S and Lee TH.  “Are EMRs to Blame for Physician Burnout?”  </w:t>
      </w:r>
      <w:r w:rsidRPr="00F50D71">
        <w:rPr>
          <w:i/>
          <w:sz w:val="20"/>
        </w:rPr>
        <w:t>New England Journal of Medicine Catalyst</w:t>
      </w:r>
      <w:r w:rsidRPr="00F50D71">
        <w:rPr>
          <w:sz w:val="20"/>
        </w:rPr>
        <w:t>, October 24, 2016.</w:t>
      </w:r>
    </w:p>
  </w:footnote>
  <w:footnote w:id="16">
    <w:p w14:paraId="3BF4589D" w14:textId="77777777" w:rsidR="006F795F" w:rsidRDefault="006F795F">
      <w:pPr>
        <w:pStyle w:val="FootnoteText"/>
      </w:pPr>
      <w:r w:rsidRPr="00F50D71">
        <w:rPr>
          <w:rStyle w:val="FootnoteReference"/>
          <w:sz w:val="20"/>
        </w:rPr>
        <w:footnoteRef/>
      </w:r>
      <w:r w:rsidRPr="00F50D71">
        <w:rPr>
          <w:sz w:val="20"/>
        </w:rPr>
        <w:t xml:space="preserve"> Physician Burnout.  Agency for Healthcare Research and Quality.  See </w:t>
      </w:r>
      <w:hyperlink r:id="rId8" w:history="1">
        <w:r w:rsidRPr="00F50D71">
          <w:rPr>
            <w:rStyle w:val="Hyperlink"/>
            <w:sz w:val="20"/>
          </w:rPr>
          <w:t>www.ahrq.gov/professionals/clinicians-providers/ahrq-works/burnout/index.html</w:t>
        </w:r>
      </w:hyperlink>
      <w:r w:rsidRPr="00F50D71">
        <w:rPr>
          <w:sz w:val="20"/>
        </w:rPr>
        <w:t>.  Last accessed July 25, 2018.</w:t>
      </w:r>
    </w:p>
  </w:footnote>
  <w:footnote w:id="17">
    <w:p w14:paraId="27F84385" w14:textId="77777777" w:rsidR="006F795F" w:rsidRPr="0022593A" w:rsidRDefault="006F795F">
      <w:pPr>
        <w:pStyle w:val="FootnoteText"/>
        <w:rPr>
          <w:sz w:val="20"/>
        </w:rPr>
      </w:pPr>
      <w:r w:rsidRPr="0022593A">
        <w:rPr>
          <w:rStyle w:val="FootnoteReference"/>
          <w:sz w:val="20"/>
        </w:rPr>
        <w:footnoteRef/>
      </w:r>
      <w:r w:rsidRPr="0022593A">
        <w:rPr>
          <w:sz w:val="20"/>
        </w:rPr>
        <w:t xml:space="preserve"> The Taskforce did, however, consider whether candidate measures were in use by Medicare in its ACO contracts.</w:t>
      </w:r>
    </w:p>
  </w:footnote>
  <w:footnote w:id="18">
    <w:p w14:paraId="7A431FE7" w14:textId="77777777" w:rsidR="006F795F" w:rsidRDefault="006F795F">
      <w:pPr>
        <w:pStyle w:val="FootnoteText"/>
      </w:pPr>
      <w:r w:rsidRPr="00360B4C">
        <w:rPr>
          <w:rStyle w:val="FootnoteReference"/>
          <w:sz w:val="20"/>
        </w:rPr>
        <w:footnoteRef/>
      </w:r>
      <w:r w:rsidRPr="00360B4C">
        <w:rPr>
          <w:sz w:val="20"/>
        </w:rPr>
        <w:t xml:space="preserve"> Domains are defined as categories of similar measures. </w:t>
      </w:r>
    </w:p>
  </w:footnote>
  <w:footnote w:id="19">
    <w:p w14:paraId="7C2BD1E8" w14:textId="4D6F717F" w:rsidR="006F795F" w:rsidRDefault="006F795F">
      <w:pPr>
        <w:pStyle w:val="FootnoteText"/>
      </w:pPr>
      <w:r w:rsidRPr="0082733F">
        <w:rPr>
          <w:rStyle w:val="FootnoteReference"/>
          <w:sz w:val="20"/>
        </w:rPr>
        <w:footnoteRef/>
      </w:r>
      <w:r w:rsidRPr="0082733F">
        <w:rPr>
          <w:sz w:val="20"/>
        </w:rPr>
        <w:t xml:space="preserve"> The Taskforce </w:t>
      </w:r>
      <w:r>
        <w:rPr>
          <w:sz w:val="20"/>
        </w:rPr>
        <w:t xml:space="preserve">subsequently </w:t>
      </w:r>
      <w:r w:rsidRPr="0082733F">
        <w:rPr>
          <w:sz w:val="20"/>
        </w:rPr>
        <w:t>revised the “Preventive Care” domain to “Preventive Care/Early Detection” and incorporated the “Behavioral Health” domain into the “Preventive Care/Early Detection” and “Chronic Illness Care” domains.</w:t>
      </w:r>
    </w:p>
  </w:footnote>
  <w:footnote w:id="20">
    <w:p w14:paraId="3820AE30" w14:textId="77777777" w:rsidR="006F795F" w:rsidRPr="000E3F09" w:rsidRDefault="006F795F" w:rsidP="00FD6D7B">
      <w:pPr>
        <w:pStyle w:val="FootnoteText"/>
        <w:rPr>
          <w:sz w:val="20"/>
        </w:rPr>
      </w:pPr>
      <w:r w:rsidRPr="000E3F09">
        <w:rPr>
          <w:rStyle w:val="FootnoteReference"/>
          <w:sz w:val="20"/>
        </w:rPr>
        <w:footnoteRef/>
      </w:r>
      <w:r w:rsidRPr="000E3F09">
        <w:rPr>
          <w:sz w:val="20"/>
        </w:rPr>
        <w:t xml:space="preserve"> The Taskforce did not consider hospital-based maternity care measures but will do so in the future.</w:t>
      </w:r>
    </w:p>
  </w:footnote>
  <w:footnote w:id="21">
    <w:p w14:paraId="5E770C24" w14:textId="7CB32E75" w:rsidR="006F795F" w:rsidRDefault="006F795F">
      <w:pPr>
        <w:pStyle w:val="FootnoteText"/>
      </w:pPr>
      <w:r>
        <w:rPr>
          <w:rStyle w:val="FootnoteReference"/>
        </w:rPr>
        <w:footnoteRef/>
      </w:r>
      <w:r>
        <w:t xml:space="preserve"> </w:t>
      </w:r>
      <w:r>
        <w:rPr>
          <w:sz w:val="20"/>
        </w:rPr>
        <w:t>The Taskforce noted that q</w:t>
      </w:r>
      <w:r w:rsidRPr="00631017">
        <w:rPr>
          <w:sz w:val="20"/>
        </w:rPr>
        <w:t>uality measures used for</w:t>
      </w:r>
      <w:r>
        <w:rPr>
          <w:sz w:val="20"/>
        </w:rPr>
        <w:t xml:space="preserve"> APM accountability are sometimes distinct from those used to measure public health.</w:t>
      </w:r>
    </w:p>
  </w:footnote>
  <w:footnote w:id="22">
    <w:p w14:paraId="75229BC2" w14:textId="20A8D533" w:rsidR="006F795F" w:rsidRPr="00655067" w:rsidRDefault="006F795F">
      <w:pPr>
        <w:pStyle w:val="FootnoteText"/>
        <w:rPr>
          <w:sz w:val="20"/>
        </w:rPr>
      </w:pPr>
      <w:r w:rsidRPr="00655067">
        <w:rPr>
          <w:rStyle w:val="FootnoteReference"/>
          <w:sz w:val="20"/>
        </w:rPr>
        <w:footnoteRef/>
      </w:r>
      <w:r w:rsidRPr="00655067">
        <w:rPr>
          <w:sz w:val="20"/>
        </w:rPr>
        <w:t xml:space="preserve"> </w:t>
      </w:r>
      <w:bookmarkStart w:id="41" w:name="_Hlk523139620"/>
      <w:r w:rsidRPr="00655067">
        <w:rPr>
          <w:sz w:val="20"/>
        </w:rPr>
        <w:t>For example, members were conflicted on whether the Taskforce should include “Tobacco Use: Screening and Cessation Intervention” in its Measure Set.  Some members noted that the measure assesses a “check-the-box” process completed by providers that has little impact on clinical outcomes, while others expressed interest in including the measure given the negative impact of tobacco use on health, especially for certain patient populations.  The Taskforce decided against endorsing the measure and agreed to seek an outcomes-focused tobacco measure for future measure implementation.</w:t>
      </w:r>
      <w:bookmarkEnd w:id="41"/>
    </w:p>
  </w:footnote>
  <w:footnote w:id="23">
    <w:p w14:paraId="58C7397C" w14:textId="77777777" w:rsidR="006F795F" w:rsidRPr="000E3F09" w:rsidRDefault="006F795F" w:rsidP="00A27CF2">
      <w:pPr>
        <w:pStyle w:val="FootnoteText"/>
        <w:rPr>
          <w:iCs/>
          <w:sz w:val="20"/>
        </w:rPr>
      </w:pPr>
      <w:r w:rsidRPr="00655067">
        <w:rPr>
          <w:rStyle w:val="FootnoteReference"/>
          <w:sz w:val="20"/>
        </w:rPr>
        <w:footnoteRef/>
      </w:r>
      <w:r w:rsidRPr="00655067">
        <w:rPr>
          <w:sz w:val="20"/>
        </w:rPr>
        <w:t xml:space="preserve"> </w:t>
      </w:r>
      <w:r w:rsidRPr="00655067">
        <w:rPr>
          <w:iCs/>
          <w:sz w:val="20"/>
        </w:rPr>
        <w:t>Shall include but not be limited to measures endorsed by the National Committee for Quality Assurance (NCQA) and/or the NQF.</w:t>
      </w:r>
    </w:p>
  </w:footnote>
  <w:footnote w:id="24">
    <w:p w14:paraId="6DF51FEA" w14:textId="77777777" w:rsidR="006F795F" w:rsidRPr="0019711D" w:rsidRDefault="006F795F" w:rsidP="00A27CF2">
      <w:pPr>
        <w:pStyle w:val="FootnoteText"/>
        <w:rPr>
          <w:sz w:val="20"/>
        </w:rPr>
      </w:pPr>
      <w:r w:rsidRPr="0019711D">
        <w:rPr>
          <w:rStyle w:val="FootnoteReference"/>
          <w:sz w:val="20"/>
        </w:rPr>
        <w:footnoteRef/>
      </w:r>
      <w:r w:rsidRPr="0019711D">
        <w:rPr>
          <w:sz w:val="20"/>
        </w:rPr>
        <w:t xml:space="preserve"> </w:t>
      </w:r>
      <w:r w:rsidRPr="0019711D">
        <w:rPr>
          <w:rFonts w:eastAsia="Times New Roman"/>
          <w:iCs/>
          <w:sz w:val="20"/>
        </w:rPr>
        <w:t>“Value” has different meanings from the perspectives of consumer, purchasers and providers, but may include patient-centeredness, evidence-based, clinical effectiveness, and cost-effectiveness among other value attributes.</w:t>
      </w:r>
    </w:p>
  </w:footnote>
  <w:footnote w:id="25">
    <w:p w14:paraId="6FD633FD" w14:textId="271A7753" w:rsidR="006F795F" w:rsidRPr="00220986" w:rsidRDefault="006F795F">
      <w:pPr>
        <w:pStyle w:val="FootnoteText"/>
        <w:rPr>
          <w:sz w:val="20"/>
        </w:rPr>
      </w:pPr>
      <w:r w:rsidRPr="00202F66">
        <w:rPr>
          <w:rStyle w:val="FootnoteReference"/>
          <w:sz w:val="18"/>
        </w:rPr>
        <w:footnoteRef/>
      </w:r>
      <w:r w:rsidRPr="00202F66">
        <w:rPr>
          <w:sz w:val="18"/>
        </w:rPr>
        <w:t xml:space="preserve"> </w:t>
      </w:r>
      <w:r w:rsidRPr="00202F66">
        <w:rPr>
          <w:sz w:val="20"/>
        </w:rPr>
        <w:t>The Taskforce did not have substantive discussion about public reporting of the measure set</w:t>
      </w:r>
      <w:r>
        <w:rPr>
          <w:sz w:val="20"/>
        </w:rPr>
        <w:t>.</w:t>
      </w:r>
      <w:r w:rsidRPr="00202F66">
        <w:rPr>
          <w:sz w:val="20"/>
        </w:rPr>
        <w:t xml:space="preserve"> </w:t>
      </w:r>
      <w:r>
        <w:rPr>
          <w:sz w:val="20"/>
        </w:rPr>
        <w:t xml:space="preserve"> Taskforce members </w:t>
      </w:r>
      <w:r w:rsidRPr="00202F66">
        <w:rPr>
          <w:sz w:val="20"/>
        </w:rPr>
        <w:t>requested</w:t>
      </w:r>
      <w:r>
        <w:rPr>
          <w:sz w:val="20"/>
        </w:rPr>
        <w:t xml:space="preserve"> the opportunity</w:t>
      </w:r>
      <w:r w:rsidRPr="00202F66">
        <w:rPr>
          <w:sz w:val="20"/>
        </w:rPr>
        <w:t xml:space="preserve"> to reconsider the measure set with public reporting in mind </w:t>
      </w:r>
      <w:r>
        <w:rPr>
          <w:sz w:val="20"/>
        </w:rPr>
        <w:t xml:space="preserve">in the </w:t>
      </w:r>
      <w:r w:rsidRPr="00202F66">
        <w:rPr>
          <w:sz w:val="20"/>
        </w:rPr>
        <w:t xml:space="preserve">future </w:t>
      </w:r>
      <w:r>
        <w:rPr>
          <w:sz w:val="20"/>
        </w:rPr>
        <w:t xml:space="preserve">should </w:t>
      </w:r>
      <w:r w:rsidRPr="00202F66">
        <w:rPr>
          <w:sz w:val="20"/>
        </w:rPr>
        <w:t>Taskforce leadership or the Legislature</w:t>
      </w:r>
      <w:r>
        <w:rPr>
          <w:sz w:val="20"/>
        </w:rPr>
        <w:t xml:space="preserve"> have interest</w:t>
      </w:r>
      <w:r w:rsidRPr="00202F66">
        <w:rPr>
          <w:sz w:val="20"/>
        </w:rPr>
        <w:t>.</w:t>
      </w:r>
    </w:p>
  </w:footnote>
  <w:footnote w:id="26">
    <w:p w14:paraId="079564FA" w14:textId="77777777" w:rsidR="006F795F" w:rsidRPr="00137AC5" w:rsidRDefault="006F795F" w:rsidP="00547F6A">
      <w:pPr>
        <w:pStyle w:val="FootnoteText"/>
        <w:rPr>
          <w:sz w:val="20"/>
        </w:rPr>
      </w:pPr>
      <w:r w:rsidRPr="00137AC5">
        <w:rPr>
          <w:rStyle w:val="FootnoteReference"/>
          <w:sz w:val="20"/>
        </w:rPr>
        <w:footnoteRef/>
      </w:r>
      <w:r w:rsidRPr="00137AC5">
        <w:rPr>
          <w:sz w:val="20"/>
        </w:rPr>
        <w:t xml:space="preserve"> Allowance for exceptions in special instances was discussed, e.g., adult core measures that were not applicable for patients served by a pediatric ACO.</w:t>
      </w:r>
    </w:p>
  </w:footnote>
  <w:footnote w:id="27">
    <w:p w14:paraId="094F8C3D" w14:textId="77777777" w:rsidR="006F795F" w:rsidRPr="006E1903" w:rsidRDefault="006F795F">
      <w:pPr>
        <w:pStyle w:val="FootnoteText"/>
        <w:rPr>
          <w:sz w:val="20"/>
        </w:rPr>
      </w:pPr>
      <w:r w:rsidRPr="006E1903">
        <w:rPr>
          <w:rStyle w:val="FootnoteReference"/>
          <w:sz w:val="20"/>
        </w:rPr>
        <w:footnoteRef/>
      </w:r>
      <w:r w:rsidRPr="006E1903">
        <w:rPr>
          <w:sz w:val="20"/>
        </w:rPr>
        <w:t xml:space="preserve"> </w:t>
      </w:r>
      <w:r>
        <w:rPr>
          <w:sz w:val="20"/>
        </w:rPr>
        <w:t>Two initial Taskforce members, Rob Schreiber and David Whitham, were no longer Taskforce members at the time of the vote and therefore were not included in the total vote count.  In addition, MassHealth only had one vote.</w:t>
      </w:r>
    </w:p>
  </w:footnote>
  <w:footnote w:id="28">
    <w:p w14:paraId="4BC3A33A" w14:textId="77777777" w:rsidR="006F795F" w:rsidRPr="00220986" w:rsidRDefault="006F795F" w:rsidP="00A01AEF">
      <w:pPr>
        <w:pStyle w:val="FootnoteText"/>
        <w:rPr>
          <w:sz w:val="20"/>
        </w:rPr>
      </w:pPr>
      <w:r w:rsidRPr="00220986">
        <w:rPr>
          <w:rStyle w:val="FootnoteReference"/>
          <w:sz w:val="20"/>
        </w:rPr>
        <w:footnoteRef/>
      </w:r>
      <w:r w:rsidRPr="00220986">
        <w:rPr>
          <w:sz w:val="20"/>
        </w:rPr>
        <w:t xml:space="preserve"> </w:t>
      </w:r>
      <w:r>
        <w:rPr>
          <w:sz w:val="20"/>
        </w:rPr>
        <w:t>During</w:t>
      </w:r>
      <w:r w:rsidRPr="00220986">
        <w:rPr>
          <w:sz w:val="20"/>
        </w:rPr>
        <w:t xml:space="preserve"> the </w:t>
      </w:r>
      <w:r>
        <w:rPr>
          <w:sz w:val="20"/>
        </w:rPr>
        <w:t xml:space="preserve">review process the </w:t>
      </w:r>
      <w:r w:rsidRPr="00220986">
        <w:rPr>
          <w:sz w:val="20"/>
        </w:rPr>
        <w:t xml:space="preserve">Taskforce recognized that the </w:t>
      </w:r>
      <w:r>
        <w:rPr>
          <w:sz w:val="20"/>
        </w:rPr>
        <w:t>best achievable</w:t>
      </w:r>
      <w:r w:rsidRPr="00220986">
        <w:rPr>
          <w:sz w:val="20"/>
        </w:rPr>
        <w:t xml:space="preserve"> </w:t>
      </w:r>
      <w:r>
        <w:rPr>
          <w:sz w:val="20"/>
        </w:rPr>
        <w:t xml:space="preserve">performance </w:t>
      </w:r>
      <w:r w:rsidRPr="00220986">
        <w:rPr>
          <w:sz w:val="20"/>
        </w:rPr>
        <w:t xml:space="preserve">rate for all measures was not 100% </w:t>
      </w:r>
      <w:r>
        <w:rPr>
          <w:sz w:val="20"/>
        </w:rPr>
        <w:t>for many reasons</w:t>
      </w:r>
      <w:r w:rsidRPr="00220986">
        <w:rPr>
          <w:sz w:val="20"/>
        </w:rPr>
        <w:t>.</w:t>
      </w:r>
    </w:p>
  </w:footnote>
  <w:footnote w:id="29">
    <w:p w14:paraId="2B59C236" w14:textId="77777777" w:rsidR="006F795F" w:rsidRPr="007B11D4" w:rsidRDefault="006F795F">
      <w:pPr>
        <w:pStyle w:val="FootnoteText"/>
        <w:rPr>
          <w:sz w:val="18"/>
        </w:rPr>
      </w:pPr>
      <w:r>
        <w:rPr>
          <w:rStyle w:val="FootnoteReference"/>
        </w:rPr>
        <w:footnoteRef/>
      </w:r>
      <w:r>
        <w:t xml:space="preserve"> </w:t>
      </w:r>
      <w:r w:rsidRPr="008034CA">
        <w:rPr>
          <w:rFonts w:cstheme="minorHAnsi"/>
          <w:sz w:val="20"/>
        </w:rPr>
        <w:t xml:space="preserve">Clinician and Group Consumer Assessment of Healthcare Providers and Systems.  See </w:t>
      </w:r>
      <w:hyperlink r:id="rId9" w:history="1">
        <w:r w:rsidRPr="008034CA">
          <w:rPr>
            <w:rStyle w:val="Hyperlink"/>
            <w:rFonts w:cstheme="minorHAnsi"/>
            <w:sz w:val="20"/>
          </w:rPr>
          <w:t>www.ahrq.gov/cahps/surveys-guidance/cg/index.html</w:t>
        </w:r>
      </w:hyperlink>
      <w:r w:rsidRPr="008034CA">
        <w:rPr>
          <w:rFonts w:cstheme="minorHAnsi"/>
          <w:sz w:val="20"/>
        </w:rPr>
        <w:t xml:space="preserve">. </w:t>
      </w:r>
    </w:p>
  </w:footnote>
  <w:footnote w:id="30">
    <w:p w14:paraId="2D7C58CD" w14:textId="77777777" w:rsidR="006F795F" w:rsidRPr="007B11D4" w:rsidRDefault="006F795F">
      <w:pPr>
        <w:pStyle w:val="FootnoteText"/>
        <w:rPr>
          <w:sz w:val="20"/>
        </w:rPr>
      </w:pPr>
      <w:r w:rsidRPr="007B11D4">
        <w:rPr>
          <w:rStyle w:val="FootnoteReference"/>
          <w:sz w:val="20"/>
        </w:rPr>
        <w:footnoteRef/>
      </w:r>
      <w:r w:rsidRPr="007B11D4">
        <w:rPr>
          <w:sz w:val="20"/>
        </w:rPr>
        <w:t xml:space="preserve"> Massachusetts Health Quality Partners.  See </w:t>
      </w:r>
      <w:hyperlink r:id="rId10" w:history="1">
        <w:r w:rsidRPr="007B11D4">
          <w:rPr>
            <w:rStyle w:val="Hyperlink"/>
            <w:sz w:val="20"/>
          </w:rPr>
          <w:t>http://mhqp.org</w:t>
        </w:r>
      </w:hyperlink>
      <w:r w:rsidRPr="007B11D4">
        <w:rPr>
          <w:sz w:val="20"/>
        </w:rPr>
        <w:t>.</w:t>
      </w:r>
    </w:p>
  </w:footnote>
  <w:footnote w:id="31">
    <w:p w14:paraId="16677961" w14:textId="594770FF" w:rsidR="006F795F" w:rsidRDefault="006F795F">
      <w:pPr>
        <w:pStyle w:val="FootnoteText"/>
      </w:pPr>
      <w:r w:rsidRPr="007B11D4">
        <w:rPr>
          <w:rStyle w:val="FootnoteReference"/>
          <w:sz w:val="20"/>
        </w:rPr>
        <w:footnoteRef/>
      </w:r>
      <w:r w:rsidRPr="007B11D4">
        <w:rPr>
          <w:sz w:val="20"/>
        </w:rPr>
        <w:t xml:space="preserve"> </w:t>
      </w:r>
      <w:r w:rsidRPr="00C127BC">
        <w:rPr>
          <w:sz w:val="20"/>
        </w:rPr>
        <w:t xml:space="preserve">The Taskforce considered several surveys, such as the ACO CAHPS and CG-CAHPS surveys, and endorsed the MHQP-modified version of the CG-CAHPS survey because it was widely in use by both Medicaid and commercial payers in the state.  </w:t>
      </w:r>
      <w:r w:rsidRPr="007B11D4">
        <w:rPr>
          <w:sz w:val="20"/>
        </w:rPr>
        <w:t>The Taskforce did not endorse a specific survey measures or group of measures.</w:t>
      </w:r>
    </w:p>
  </w:footnote>
  <w:footnote w:id="32">
    <w:p w14:paraId="0013E0AB" w14:textId="01DB1DC7" w:rsidR="006F795F" w:rsidRPr="00864345" w:rsidRDefault="006F795F">
      <w:pPr>
        <w:pStyle w:val="FootnoteText"/>
        <w:rPr>
          <w:sz w:val="20"/>
        </w:rPr>
      </w:pPr>
      <w:r w:rsidRPr="00864345">
        <w:rPr>
          <w:rStyle w:val="FootnoteReference"/>
          <w:sz w:val="20"/>
        </w:rPr>
        <w:footnoteRef/>
      </w:r>
      <w:r w:rsidRPr="00864345">
        <w:rPr>
          <w:sz w:val="20"/>
        </w:rPr>
        <w:t xml:space="preserve"> </w:t>
      </w:r>
      <w:r>
        <w:rPr>
          <w:sz w:val="20"/>
        </w:rPr>
        <w:t xml:space="preserve">“Incidence of </w:t>
      </w:r>
      <w:r w:rsidRPr="00864345">
        <w:rPr>
          <w:sz w:val="20"/>
        </w:rPr>
        <w:t>Episiotomy</w:t>
      </w:r>
      <w:r>
        <w:rPr>
          <w:sz w:val="20"/>
        </w:rPr>
        <w:t>”</w:t>
      </w:r>
      <w:r w:rsidRPr="00864345">
        <w:rPr>
          <w:sz w:val="20"/>
        </w:rPr>
        <w:t xml:space="preserve"> </w:t>
      </w:r>
      <w:r>
        <w:rPr>
          <w:sz w:val="20"/>
        </w:rPr>
        <w:t>was categorized in the maternity care domain</w:t>
      </w:r>
      <w:r w:rsidRPr="00864345">
        <w:rPr>
          <w:sz w:val="20"/>
        </w:rPr>
        <w:t xml:space="preserve">.  This measure could also be categorized as an inpatient hospital measure.  </w:t>
      </w:r>
    </w:p>
  </w:footnote>
  <w:footnote w:id="33">
    <w:p w14:paraId="1B7BC594" w14:textId="1920B0AF" w:rsidR="006F795F" w:rsidRDefault="006F795F">
      <w:pPr>
        <w:pStyle w:val="FootnoteText"/>
      </w:pPr>
      <w:r>
        <w:rPr>
          <w:rStyle w:val="FootnoteReference"/>
        </w:rPr>
        <w:footnoteRef/>
      </w:r>
      <w:r>
        <w:t xml:space="preserve"> </w:t>
      </w:r>
      <w:r w:rsidRPr="003D4ED6">
        <w:rPr>
          <w:sz w:val="20"/>
        </w:rPr>
        <w:t xml:space="preserve">Payers, when reporting to NCQA, are already required </w:t>
      </w:r>
      <w:r>
        <w:rPr>
          <w:sz w:val="20"/>
        </w:rPr>
        <w:t xml:space="preserve">by NCQA </w:t>
      </w:r>
      <w:r w:rsidRPr="003D4ED6">
        <w:rPr>
          <w:sz w:val="20"/>
        </w:rPr>
        <w:t>to adhere to changes in specifications to HEDIS measures for the following measurement period (e.g., changes made in July 2018 for calendar year 2019).</w:t>
      </w:r>
    </w:p>
  </w:footnote>
  <w:footnote w:id="34">
    <w:p w14:paraId="064E035B" w14:textId="51ACF026" w:rsidR="006F795F" w:rsidRPr="004D37C8" w:rsidRDefault="006F795F">
      <w:pPr>
        <w:pStyle w:val="FootnoteText"/>
        <w:rPr>
          <w:sz w:val="20"/>
        </w:rPr>
      </w:pPr>
      <w:r w:rsidRPr="004D37C8">
        <w:rPr>
          <w:rStyle w:val="FootnoteReference"/>
          <w:sz w:val="20"/>
        </w:rPr>
        <w:footnoteRef/>
      </w:r>
      <w:r w:rsidRPr="004D37C8">
        <w:rPr>
          <w:sz w:val="20"/>
        </w:rPr>
        <w:t xml:space="preserve"> The GIC has adopted the measure set for their contracts with health plans.</w:t>
      </w:r>
    </w:p>
  </w:footnote>
  <w:footnote w:id="35">
    <w:p w14:paraId="304D54E3" w14:textId="72B79E48" w:rsidR="006F795F" w:rsidRDefault="006F795F">
      <w:pPr>
        <w:pStyle w:val="FootnoteText"/>
      </w:pPr>
      <w:r>
        <w:rPr>
          <w:rStyle w:val="FootnoteReference"/>
        </w:rPr>
        <w:footnoteRef/>
      </w:r>
      <w:r>
        <w:t xml:space="preserve"> </w:t>
      </w:r>
      <w:r w:rsidRPr="00D153FD">
        <w:rPr>
          <w:sz w:val="20"/>
        </w:rPr>
        <w:t>MassHealth is utilizing the MHQP version of the CG-CAHPS survey for its ACO population and is developing two separate surveys for its Behavioral Health and LTSS Community Partner populations.</w:t>
      </w:r>
    </w:p>
  </w:footnote>
  <w:footnote w:id="36">
    <w:p w14:paraId="1AA84DF7" w14:textId="5A8BF437" w:rsidR="006F795F" w:rsidRDefault="006F795F" w:rsidP="00891277">
      <w:pPr>
        <w:pStyle w:val="FootnoteText"/>
      </w:pPr>
      <w:r w:rsidRPr="00DB77C1">
        <w:rPr>
          <w:rStyle w:val="FootnoteReference"/>
          <w:sz w:val="20"/>
        </w:rPr>
        <w:footnoteRef/>
      </w:r>
      <w:r w:rsidRPr="00DB77C1">
        <w:rPr>
          <w:sz w:val="20"/>
        </w:rPr>
        <w:t xml:space="preserve"> The absence of a measure is because there are either</w:t>
      </w:r>
      <w:r>
        <w:rPr>
          <w:sz w:val="20"/>
        </w:rPr>
        <w:t xml:space="preserve"> </w:t>
      </w:r>
      <w:r w:rsidRPr="00DB77C1">
        <w:rPr>
          <w:sz w:val="20"/>
        </w:rPr>
        <w:t>no currently existing, validated measures in the identified areas</w:t>
      </w:r>
      <w:r w:rsidRPr="000D7D13">
        <w:rPr>
          <w:sz w:val="20"/>
        </w:rPr>
        <w:t xml:space="preserve"> </w:t>
      </w:r>
      <w:r w:rsidRPr="00DB77C1">
        <w:rPr>
          <w:sz w:val="20"/>
        </w:rPr>
        <w:t>or measures that the Subcommittee deemed to sufficiently address the Subcommittee’s intended purpose.</w:t>
      </w:r>
    </w:p>
  </w:footnote>
  <w:footnote w:id="37">
    <w:p w14:paraId="404E174C" w14:textId="430ADF44" w:rsidR="006F795F" w:rsidRPr="00A6664E" w:rsidRDefault="006F795F">
      <w:pPr>
        <w:pStyle w:val="FootnoteText"/>
        <w:rPr>
          <w:sz w:val="20"/>
        </w:rPr>
      </w:pPr>
      <w:r w:rsidRPr="00AF7677">
        <w:rPr>
          <w:rStyle w:val="FootnoteReference"/>
          <w:sz w:val="20"/>
        </w:rPr>
        <w:footnoteRef/>
      </w:r>
      <w:r w:rsidRPr="00AF7677">
        <w:rPr>
          <w:sz w:val="20"/>
        </w:rPr>
        <w:t xml:space="preserve"> As of the date of this report MassHealth’s development of these measures was not complete.</w:t>
      </w:r>
    </w:p>
  </w:footnote>
  <w:footnote w:id="38">
    <w:p w14:paraId="35C67C80" w14:textId="0649349D" w:rsidR="006F795F" w:rsidRDefault="006F795F">
      <w:pPr>
        <w:pStyle w:val="FootnoteText"/>
      </w:pPr>
      <w:r>
        <w:rPr>
          <w:rStyle w:val="FootnoteReference"/>
        </w:rPr>
        <w:footnoteRef/>
      </w:r>
      <w:r>
        <w:t xml:space="preserve"> </w:t>
      </w:r>
      <w:r w:rsidRPr="0070404A">
        <w:rPr>
          <w:sz w:val="20"/>
        </w:rPr>
        <w:t>The ACO, Behavioral Health Community Partner, and LTSS Community Partner Measure Sets were developed by MassHealth.  Only the Subcommittee, not the Taskforce, provided MassHealth with feedback on these measure sets.</w:t>
      </w:r>
    </w:p>
  </w:footnote>
  <w:footnote w:id="39">
    <w:p w14:paraId="3B097409" w14:textId="6B9C9C55" w:rsidR="006F795F" w:rsidRDefault="006F795F">
      <w:pPr>
        <w:pStyle w:val="FootnoteText"/>
      </w:pPr>
      <w:r>
        <w:rPr>
          <w:rStyle w:val="FootnoteReference"/>
        </w:rPr>
        <w:footnoteRef/>
      </w:r>
      <w:r>
        <w:t xml:space="preserve"> </w:t>
      </w:r>
      <w:r w:rsidRPr="0070404A">
        <w:rPr>
          <w:sz w:val="20"/>
        </w:rPr>
        <w:t>The ACO, Behavioral Health Community Partner, and LTSS Community Partner Measure Sets were developed by MassHealth</w:t>
      </w:r>
      <w:r>
        <w:rPr>
          <w:sz w:val="20"/>
        </w:rPr>
        <w:t xml:space="preserve"> with CMS</w:t>
      </w:r>
      <w:r w:rsidRPr="0070404A">
        <w:rPr>
          <w:sz w:val="20"/>
        </w:rPr>
        <w:t>.</w:t>
      </w:r>
      <w:r>
        <w:rPr>
          <w:sz w:val="20"/>
        </w:rPr>
        <w:t xml:space="preserve">  The </w:t>
      </w:r>
      <w:r w:rsidRPr="0070404A">
        <w:rPr>
          <w:sz w:val="20"/>
        </w:rPr>
        <w:t xml:space="preserve">Subcommittee, </w:t>
      </w:r>
      <w:r>
        <w:rPr>
          <w:sz w:val="20"/>
        </w:rPr>
        <w:t xml:space="preserve">and </w:t>
      </w:r>
      <w:r w:rsidRPr="0070404A">
        <w:rPr>
          <w:sz w:val="20"/>
        </w:rPr>
        <w:t>not the Taskforce, provided MassHealth with feedback on these measure sets.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9AC6" w14:textId="77777777" w:rsidR="006F795F" w:rsidRDefault="006F7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541C" w14:textId="2342CA32" w:rsidR="006F795F" w:rsidRDefault="006F7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E2A3" w14:textId="77777777" w:rsidR="006F795F" w:rsidRDefault="006F7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9541E"/>
    <w:multiLevelType w:val="hybridMultilevel"/>
    <w:tmpl w:val="B6FE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5C0C"/>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4EDE"/>
    <w:multiLevelType w:val="hybridMultilevel"/>
    <w:tmpl w:val="3D42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73041"/>
    <w:multiLevelType w:val="hybridMultilevel"/>
    <w:tmpl w:val="FE523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93A48"/>
    <w:multiLevelType w:val="hybridMultilevel"/>
    <w:tmpl w:val="FE523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01B"/>
    <w:multiLevelType w:val="hybridMultilevel"/>
    <w:tmpl w:val="B8CA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21BD1"/>
    <w:multiLevelType w:val="hybridMultilevel"/>
    <w:tmpl w:val="3D42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C2D8C"/>
    <w:multiLevelType w:val="hybridMultilevel"/>
    <w:tmpl w:val="95902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71A50"/>
    <w:multiLevelType w:val="hybridMultilevel"/>
    <w:tmpl w:val="D23602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91B92"/>
    <w:multiLevelType w:val="hybridMultilevel"/>
    <w:tmpl w:val="909EA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5A6D"/>
    <w:multiLevelType w:val="hybridMultilevel"/>
    <w:tmpl w:val="C72C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F5EA7"/>
    <w:multiLevelType w:val="hybridMultilevel"/>
    <w:tmpl w:val="CE14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885D32"/>
    <w:multiLevelType w:val="hybridMultilevel"/>
    <w:tmpl w:val="1B76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D5F0E"/>
    <w:multiLevelType w:val="hybridMultilevel"/>
    <w:tmpl w:val="1B76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A59E2"/>
    <w:multiLevelType w:val="hybridMultilevel"/>
    <w:tmpl w:val="F10E3A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A5B8E"/>
    <w:multiLevelType w:val="hybridMultilevel"/>
    <w:tmpl w:val="03505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6612A"/>
    <w:multiLevelType w:val="hybridMultilevel"/>
    <w:tmpl w:val="B8CA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A0189"/>
    <w:multiLevelType w:val="hybridMultilevel"/>
    <w:tmpl w:val="03505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D0E52"/>
    <w:multiLevelType w:val="hybridMultilevel"/>
    <w:tmpl w:val="6CF8FC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E0DD9"/>
    <w:multiLevelType w:val="hybridMultilevel"/>
    <w:tmpl w:val="5CAC8D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88B66F5"/>
    <w:multiLevelType w:val="hybridMultilevel"/>
    <w:tmpl w:val="03505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65577"/>
    <w:multiLevelType w:val="hybridMultilevel"/>
    <w:tmpl w:val="94D65624"/>
    <w:lvl w:ilvl="0" w:tplc="3E8E296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B48C9"/>
    <w:multiLevelType w:val="hybridMultilevel"/>
    <w:tmpl w:val="2F0C4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6D3059"/>
    <w:multiLevelType w:val="hybridMultilevel"/>
    <w:tmpl w:val="E17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55792"/>
    <w:multiLevelType w:val="hybridMultilevel"/>
    <w:tmpl w:val="76B2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61CD7"/>
    <w:multiLevelType w:val="hybridMultilevel"/>
    <w:tmpl w:val="3D42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6"/>
  </w:num>
  <w:num w:numId="4">
    <w:abstractNumId w:val="9"/>
  </w:num>
  <w:num w:numId="5">
    <w:abstractNumId w:val="19"/>
  </w:num>
  <w:num w:numId="6">
    <w:abstractNumId w:val="4"/>
  </w:num>
  <w:num w:numId="7">
    <w:abstractNumId w:val="24"/>
  </w:num>
  <w:num w:numId="8">
    <w:abstractNumId w:val="15"/>
  </w:num>
  <w:num w:numId="9">
    <w:abstractNumId w:val="21"/>
  </w:num>
  <w:num w:numId="10">
    <w:abstractNumId w:val="1"/>
  </w:num>
  <w:num w:numId="11">
    <w:abstractNumId w:val="22"/>
  </w:num>
  <w:num w:numId="12">
    <w:abstractNumId w:val="8"/>
  </w:num>
  <w:num w:numId="13">
    <w:abstractNumId w:val="3"/>
  </w:num>
  <w:num w:numId="14">
    <w:abstractNumId w:val="23"/>
  </w:num>
  <w:num w:numId="15">
    <w:abstractNumId w:val="7"/>
  </w:num>
  <w:num w:numId="16">
    <w:abstractNumId w:val="26"/>
  </w:num>
  <w:num w:numId="17">
    <w:abstractNumId w:val="10"/>
  </w:num>
  <w:num w:numId="18">
    <w:abstractNumId w:val="27"/>
  </w:num>
  <w:num w:numId="19">
    <w:abstractNumId w:val="2"/>
  </w:num>
  <w:num w:numId="20">
    <w:abstractNumId w:val="6"/>
  </w:num>
  <w:num w:numId="21">
    <w:abstractNumId w:val="12"/>
  </w:num>
  <w:num w:numId="22">
    <w:abstractNumId w:val="25"/>
  </w:num>
  <w:num w:numId="23">
    <w:abstractNumId w:val="13"/>
  </w:num>
  <w:num w:numId="24">
    <w:abstractNumId w:val="5"/>
  </w:num>
  <w:num w:numId="25">
    <w:abstractNumId w:val="14"/>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1B"/>
    <w:rsid w:val="000006C7"/>
    <w:rsid w:val="00001B19"/>
    <w:rsid w:val="00017534"/>
    <w:rsid w:val="0001796C"/>
    <w:rsid w:val="00020E64"/>
    <w:rsid w:val="00021121"/>
    <w:rsid w:val="000229A4"/>
    <w:rsid w:val="00022A3E"/>
    <w:rsid w:val="00023B8F"/>
    <w:rsid w:val="00031517"/>
    <w:rsid w:val="0003259E"/>
    <w:rsid w:val="00032DA2"/>
    <w:rsid w:val="00034D83"/>
    <w:rsid w:val="00036939"/>
    <w:rsid w:val="00037356"/>
    <w:rsid w:val="00040DD4"/>
    <w:rsid w:val="00042F7F"/>
    <w:rsid w:val="00044FFF"/>
    <w:rsid w:val="000457C9"/>
    <w:rsid w:val="00046195"/>
    <w:rsid w:val="0004654F"/>
    <w:rsid w:val="00047057"/>
    <w:rsid w:val="00047749"/>
    <w:rsid w:val="00050CDA"/>
    <w:rsid w:val="00051393"/>
    <w:rsid w:val="000531BD"/>
    <w:rsid w:val="000553C0"/>
    <w:rsid w:val="00056248"/>
    <w:rsid w:val="00057078"/>
    <w:rsid w:val="00060D88"/>
    <w:rsid w:val="00063848"/>
    <w:rsid w:val="00064FAA"/>
    <w:rsid w:val="00065403"/>
    <w:rsid w:val="00070678"/>
    <w:rsid w:val="00070B31"/>
    <w:rsid w:val="00072B59"/>
    <w:rsid w:val="000748B8"/>
    <w:rsid w:val="00077584"/>
    <w:rsid w:val="00080223"/>
    <w:rsid w:val="00081B97"/>
    <w:rsid w:val="00081F6D"/>
    <w:rsid w:val="00083DEA"/>
    <w:rsid w:val="000857DA"/>
    <w:rsid w:val="000877BC"/>
    <w:rsid w:val="00087E56"/>
    <w:rsid w:val="000908F0"/>
    <w:rsid w:val="00090B47"/>
    <w:rsid w:val="00097BDB"/>
    <w:rsid w:val="000A1700"/>
    <w:rsid w:val="000A4851"/>
    <w:rsid w:val="000A5681"/>
    <w:rsid w:val="000A57FF"/>
    <w:rsid w:val="000B4A6D"/>
    <w:rsid w:val="000B6CEB"/>
    <w:rsid w:val="000B6F51"/>
    <w:rsid w:val="000C2A26"/>
    <w:rsid w:val="000C6C0D"/>
    <w:rsid w:val="000C7039"/>
    <w:rsid w:val="000C713E"/>
    <w:rsid w:val="000D00D9"/>
    <w:rsid w:val="000D4A25"/>
    <w:rsid w:val="000D5538"/>
    <w:rsid w:val="000D557A"/>
    <w:rsid w:val="000D7D13"/>
    <w:rsid w:val="000E103F"/>
    <w:rsid w:val="000E2156"/>
    <w:rsid w:val="000E3F09"/>
    <w:rsid w:val="000E540B"/>
    <w:rsid w:val="000E588E"/>
    <w:rsid w:val="000E7911"/>
    <w:rsid w:val="000F78B6"/>
    <w:rsid w:val="000F7947"/>
    <w:rsid w:val="001000C5"/>
    <w:rsid w:val="001002A8"/>
    <w:rsid w:val="00107EDA"/>
    <w:rsid w:val="00110B4A"/>
    <w:rsid w:val="00110BB9"/>
    <w:rsid w:val="00110EF2"/>
    <w:rsid w:val="00111DA9"/>
    <w:rsid w:val="00111E9E"/>
    <w:rsid w:val="00114ADA"/>
    <w:rsid w:val="001171F9"/>
    <w:rsid w:val="0012045E"/>
    <w:rsid w:val="00120794"/>
    <w:rsid w:val="0012169B"/>
    <w:rsid w:val="001216B2"/>
    <w:rsid w:val="00121B73"/>
    <w:rsid w:val="00121B98"/>
    <w:rsid w:val="00122F3E"/>
    <w:rsid w:val="00126B98"/>
    <w:rsid w:val="001308EC"/>
    <w:rsid w:val="00131A3B"/>
    <w:rsid w:val="00132BDC"/>
    <w:rsid w:val="00134A0B"/>
    <w:rsid w:val="00135361"/>
    <w:rsid w:val="00136C92"/>
    <w:rsid w:val="001405D4"/>
    <w:rsid w:val="00141886"/>
    <w:rsid w:val="00141F67"/>
    <w:rsid w:val="00144270"/>
    <w:rsid w:val="001453FD"/>
    <w:rsid w:val="001473B9"/>
    <w:rsid w:val="001546D6"/>
    <w:rsid w:val="00154D8F"/>
    <w:rsid w:val="001552BC"/>
    <w:rsid w:val="001553DF"/>
    <w:rsid w:val="001554A0"/>
    <w:rsid w:val="00157E02"/>
    <w:rsid w:val="00161BC0"/>
    <w:rsid w:val="00163E96"/>
    <w:rsid w:val="0016428C"/>
    <w:rsid w:val="00167EEB"/>
    <w:rsid w:val="00170270"/>
    <w:rsid w:val="0017229B"/>
    <w:rsid w:val="001760AA"/>
    <w:rsid w:val="00182FB0"/>
    <w:rsid w:val="00183636"/>
    <w:rsid w:val="00183B23"/>
    <w:rsid w:val="001858D1"/>
    <w:rsid w:val="00185963"/>
    <w:rsid w:val="001868F4"/>
    <w:rsid w:val="00187E5F"/>
    <w:rsid w:val="0019320E"/>
    <w:rsid w:val="001967C3"/>
    <w:rsid w:val="0019711D"/>
    <w:rsid w:val="001971B2"/>
    <w:rsid w:val="001A0347"/>
    <w:rsid w:val="001A1D4F"/>
    <w:rsid w:val="001A6521"/>
    <w:rsid w:val="001B08E3"/>
    <w:rsid w:val="001B0FB9"/>
    <w:rsid w:val="001B5226"/>
    <w:rsid w:val="001B6A9C"/>
    <w:rsid w:val="001C17CB"/>
    <w:rsid w:val="001C260B"/>
    <w:rsid w:val="001C284F"/>
    <w:rsid w:val="001C609B"/>
    <w:rsid w:val="001D1314"/>
    <w:rsid w:val="001E4CFF"/>
    <w:rsid w:val="001E7DF7"/>
    <w:rsid w:val="001F08D5"/>
    <w:rsid w:val="001F16DA"/>
    <w:rsid w:val="001F227C"/>
    <w:rsid w:val="001F7CDC"/>
    <w:rsid w:val="00202F66"/>
    <w:rsid w:val="00204E51"/>
    <w:rsid w:val="00204F6E"/>
    <w:rsid w:val="00205C27"/>
    <w:rsid w:val="00211317"/>
    <w:rsid w:val="00217FFB"/>
    <w:rsid w:val="00220565"/>
    <w:rsid w:val="002206AE"/>
    <w:rsid w:val="00220986"/>
    <w:rsid w:val="002240EF"/>
    <w:rsid w:val="002245BB"/>
    <w:rsid w:val="00224D84"/>
    <w:rsid w:val="0022593A"/>
    <w:rsid w:val="00230E2A"/>
    <w:rsid w:val="0023726A"/>
    <w:rsid w:val="00240A6B"/>
    <w:rsid w:val="0024524A"/>
    <w:rsid w:val="00250FCE"/>
    <w:rsid w:val="0025149E"/>
    <w:rsid w:val="002521C1"/>
    <w:rsid w:val="00254E11"/>
    <w:rsid w:val="0025552D"/>
    <w:rsid w:val="00256A8C"/>
    <w:rsid w:val="00260708"/>
    <w:rsid w:val="00264436"/>
    <w:rsid w:val="0026445D"/>
    <w:rsid w:val="00266567"/>
    <w:rsid w:val="0027190B"/>
    <w:rsid w:val="0027307B"/>
    <w:rsid w:val="00275D1B"/>
    <w:rsid w:val="002819E7"/>
    <w:rsid w:val="002866C5"/>
    <w:rsid w:val="00290182"/>
    <w:rsid w:val="00290462"/>
    <w:rsid w:val="002913C6"/>
    <w:rsid w:val="0029146D"/>
    <w:rsid w:val="00292AD5"/>
    <w:rsid w:val="00293260"/>
    <w:rsid w:val="002945D7"/>
    <w:rsid w:val="00294722"/>
    <w:rsid w:val="00295F0C"/>
    <w:rsid w:val="00296C5B"/>
    <w:rsid w:val="00297E54"/>
    <w:rsid w:val="002A1B68"/>
    <w:rsid w:val="002A261B"/>
    <w:rsid w:val="002A49C6"/>
    <w:rsid w:val="002A6618"/>
    <w:rsid w:val="002A6641"/>
    <w:rsid w:val="002A71AE"/>
    <w:rsid w:val="002B4E9F"/>
    <w:rsid w:val="002B63B0"/>
    <w:rsid w:val="002C0EC0"/>
    <w:rsid w:val="002C0FD5"/>
    <w:rsid w:val="002C431A"/>
    <w:rsid w:val="002D32E1"/>
    <w:rsid w:val="002D40B1"/>
    <w:rsid w:val="002D5A7A"/>
    <w:rsid w:val="002E2066"/>
    <w:rsid w:val="002E2C2B"/>
    <w:rsid w:val="002E62AE"/>
    <w:rsid w:val="002E6841"/>
    <w:rsid w:val="002F70B3"/>
    <w:rsid w:val="002F78D3"/>
    <w:rsid w:val="00304472"/>
    <w:rsid w:val="0030489D"/>
    <w:rsid w:val="00307732"/>
    <w:rsid w:val="00310C3F"/>
    <w:rsid w:val="003110C7"/>
    <w:rsid w:val="00313BCF"/>
    <w:rsid w:val="00315D7C"/>
    <w:rsid w:val="00317012"/>
    <w:rsid w:val="00324584"/>
    <w:rsid w:val="003412CB"/>
    <w:rsid w:val="0034255A"/>
    <w:rsid w:val="0034296F"/>
    <w:rsid w:val="00343252"/>
    <w:rsid w:val="00343612"/>
    <w:rsid w:val="00344715"/>
    <w:rsid w:val="00347059"/>
    <w:rsid w:val="00347CCE"/>
    <w:rsid w:val="00350A93"/>
    <w:rsid w:val="00351C17"/>
    <w:rsid w:val="00352134"/>
    <w:rsid w:val="00352DCA"/>
    <w:rsid w:val="0035779E"/>
    <w:rsid w:val="00360B4C"/>
    <w:rsid w:val="0036518A"/>
    <w:rsid w:val="00365AB1"/>
    <w:rsid w:val="003664A1"/>
    <w:rsid w:val="00366FB7"/>
    <w:rsid w:val="00367F1C"/>
    <w:rsid w:val="0037280F"/>
    <w:rsid w:val="00372A9F"/>
    <w:rsid w:val="003732DD"/>
    <w:rsid w:val="00373F27"/>
    <w:rsid w:val="0037690E"/>
    <w:rsid w:val="00380087"/>
    <w:rsid w:val="00381889"/>
    <w:rsid w:val="00382E89"/>
    <w:rsid w:val="00382F6D"/>
    <w:rsid w:val="00384091"/>
    <w:rsid w:val="0038534C"/>
    <w:rsid w:val="00390650"/>
    <w:rsid w:val="00390BAD"/>
    <w:rsid w:val="00391A60"/>
    <w:rsid w:val="00392444"/>
    <w:rsid w:val="00392827"/>
    <w:rsid w:val="00392953"/>
    <w:rsid w:val="003961FA"/>
    <w:rsid w:val="003A154F"/>
    <w:rsid w:val="003A19F0"/>
    <w:rsid w:val="003A3E9D"/>
    <w:rsid w:val="003A4FF0"/>
    <w:rsid w:val="003B2319"/>
    <w:rsid w:val="003B4094"/>
    <w:rsid w:val="003B57D9"/>
    <w:rsid w:val="003B7124"/>
    <w:rsid w:val="003B7D21"/>
    <w:rsid w:val="003C3D5A"/>
    <w:rsid w:val="003C60BA"/>
    <w:rsid w:val="003C6423"/>
    <w:rsid w:val="003C6DD3"/>
    <w:rsid w:val="003C7D40"/>
    <w:rsid w:val="003D056C"/>
    <w:rsid w:val="003D0AED"/>
    <w:rsid w:val="003D4ED6"/>
    <w:rsid w:val="003D6455"/>
    <w:rsid w:val="003E49DE"/>
    <w:rsid w:val="003E5088"/>
    <w:rsid w:val="003E7493"/>
    <w:rsid w:val="003E777C"/>
    <w:rsid w:val="003F7824"/>
    <w:rsid w:val="003F7B6E"/>
    <w:rsid w:val="00405B87"/>
    <w:rsid w:val="004101CC"/>
    <w:rsid w:val="00410EF9"/>
    <w:rsid w:val="00412086"/>
    <w:rsid w:val="00415471"/>
    <w:rsid w:val="00416287"/>
    <w:rsid w:val="004163D4"/>
    <w:rsid w:val="004165C5"/>
    <w:rsid w:val="0042017D"/>
    <w:rsid w:val="004209CB"/>
    <w:rsid w:val="004229A9"/>
    <w:rsid w:val="00423CF7"/>
    <w:rsid w:val="00424689"/>
    <w:rsid w:val="00427D71"/>
    <w:rsid w:val="004303D5"/>
    <w:rsid w:val="004304D3"/>
    <w:rsid w:val="00432F27"/>
    <w:rsid w:val="00434618"/>
    <w:rsid w:val="004353FC"/>
    <w:rsid w:val="004418DD"/>
    <w:rsid w:val="00441919"/>
    <w:rsid w:val="00442C52"/>
    <w:rsid w:val="00446B08"/>
    <w:rsid w:val="00450DB7"/>
    <w:rsid w:val="0045291A"/>
    <w:rsid w:val="00455F10"/>
    <w:rsid w:val="004569AA"/>
    <w:rsid w:val="0046090D"/>
    <w:rsid w:val="00460F1D"/>
    <w:rsid w:val="0047126B"/>
    <w:rsid w:val="00471875"/>
    <w:rsid w:val="00472457"/>
    <w:rsid w:val="00472F51"/>
    <w:rsid w:val="004730AE"/>
    <w:rsid w:val="004742FD"/>
    <w:rsid w:val="004766EA"/>
    <w:rsid w:val="004809FA"/>
    <w:rsid w:val="0048155A"/>
    <w:rsid w:val="004874D1"/>
    <w:rsid w:val="00487DD3"/>
    <w:rsid w:val="004A009C"/>
    <w:rsid w:val="004A1EDD"/>
    <w:rsid w:val="004A2D17"/>
    <w:rsid w:val="004A5358"/>
    <w:rsid w:val="004A61FF"/>
    <w:rsid w:val="004A7F39"/>
    <w:rsid w:val="004B05B7"/>
    <w:rsid w:val="004B1489"/>
    <w:rsid w:val="004B15C5"/>
    <w:rsid w:val="004B2105"/>
    <w:rsid w:val="004B2B4D"/>
    <w:rsid w:val="004B2BF0"/>
    <w:rsid w:val="004C06E1"/>
    <w:rsid w:val="004C1433"/>
    <w:rsid w:val="004C1A53"/>
    <w:rsid w:val="004D1FEB"/>
    <w:rsid w:val="004D37C8"/>
    <w:rsid w:val="004D5967"/>
    <w:rsid w:val="004D5B60"/>
    <w:rsid w:val="004D6751"/>
    <w:rsid w:val="004D697E"/>
    <w:rsid w:val="004E1AD4"/>
    <w:rsid w:val="004E2AC9"/>
    <w:rsid w:val="004E36A6"/>
    <w:rsid w:val="004E44A9"/>
    <w:rsid w:val="004E517A"/>
    <w:rsid w:val="004F1439"/>
    <w:rsid w:val="004F1685"/>
    <w:rsid w:val="004F2C50"/>
    <w:rsid w:val="004F50BA"/>
    <w:rsid w:val="00502676"/>
    <w:rsid w:val="00503B9F"/>
    <w:rsid w:val="0050400D"/>
    <w:rsid w:val="00504464"/>
    <w:rsid w:val="005060B3"/>
    <w:rsid w:val="00507122"/>
    <w:rsid w:val="005123E3"/>
    <w:rsid w:val="00515F83"/>
    <w:rsid w:val="00516704"/>
    <w:rsid w:val="00516CD7"/>
    <w:rsid w:val="0052005F"/>
    <w:rsid w:val="0052038B"/>
    <w:rsid w:val="00520F73"/>
    <w:rsid w:val="00523ED0"/>
    <w:rsid w:val="00525308"/>
    <w:rsid w:val="0052592C"/>
    <w:rsid w:val="00526954"/>
    <w:rsid w:val="00527382"/>
    <w:rsid w:val="0053393B"/>
    <w:rsid w:val="0053492A"/>
    <w:rsid w:val="00542158"/>
    <w:rsid w:val="005427F6"/>
    <w:rsid w:val="0054308C"/>
    <w:rsid w:val="00543BE0"/>
    <w:rsid w:val="00545657"/>
    <w:rsid w:val="00547F6A"/>
    <w:rsid w:val="00552D02"/>
    <w:rsid w:val="005576A8"/>
    <w:rsid w:val="0056063A"/>
    <w:rsid w:val="005621E5"/>
    <w:rsid w:val="005641F8"/>
    <w:rsid w:val="0056690A"/>
    <w:rsid w:val="00566E10"/>
    <w:rsid w:val="0056750B"/>
    <w:rsid w:val="005812BD"/>
    <w:rsid w:val="0058266B"/>
    <w:rsid w:val="00586945"/>
    <w:rsid w:val="00592A94"/>
    <w:rsid w:val="00594410"/>
    <w:rsid w:val="00597707"/>
    <w:rsid w:val="005A07EF"/>
    <w:rsid w:val="005A0896"/>
    <w:rsid w:val="005A171B"/>
    <w:rsid w:val="005A3CBE"/>
    <w:rsid w:val="005A4090"/>
    <w:rsid w:val="005B0565"/>
    <w:rsid w:val="005B1844"/>
    <w:rsid w:val="005B218B"/>
    <w:rsid w:val="005B2B7B"/>
    <w:rsid w:val="005B5D86"/>
    <w:rsid w:val="005B7FDC"/>
    <w:rsid w:val="005C060B"/>
    <w:rsid w:val="005C2946"/>
    <w:rsid w:val="005C3FD9"/>
    <w:rsid w:val="005C5648"/>
    <w:rsid w:val="005C5866"/>
    <w:rsid w:val="005C6791"/>
    <w:rsid w:val="005C7172"/>
    <w:rsid w:val="005C7D0D"/>
    <w:rsid w:val="005D2DCC"/>
    <w:rsid w:val="005D5273"/>
    <w:rsid w:val="005D541B"/>
    <w:rsid w:val="005D67EE"/>
    <w:rsid w:val="005E3203"/>
    <w:rsid w:val="005E477B"/>
    <w:rsid w:val="005F2DAA"/>
    <w:rsid w:val="005F7F78"/>
    <w:rsid w:val="00600635"/>
    <w:rsid w:val="00601234"/>
    <w:rsid w:val="0060594D"/>
    <w:rsid w:val="00606380"/>
    <w:rsid w:val="0060787E"/>
    <w:rsid w:val="006122C3"/>
    <w:rsid w:val="00612758"/>
    <w:rsid w:val="006130D2"/>
    <w:rsid w:val="00613FD9"/>
    <w:rsid w:val="00615465"/>
    <w:rsid w:val="00615831"/>
    <w:rsid w:val="00616DCF"/>
    <w:rsid w:val="006234A9"/>
    <w:rsid w:val="00623D06"/>
    <w:rsid w:val="00626F88"/>
    <w:rsid w:val="00631017"/>
    <w:rsid w:val="0063330E"/>
    <w:rsid w:val="00635F8C"/>
    <w:rsid w:val="0063670A"/>
    <w:rsid w:val="00636C7B"/>
    <w:rsid w:val="00637E32"/>
    <w:rsid w:val="00640510"/>
    <w:rsid w:val="00640748"/>
    <w:rsid w:val="00643F0E"/>
    <w:rsid w:val="006443F6"/>
    <w:rsid w:val="00645252"/>
    <w:rsid w:val="00647F96"/>
    <w:rsid w:val="00652FDB"/>
    <w:rsid w:val="0065307C"/>
    <w:rsid w:val="00653F84"/>
    <w:rsid w:val="00653FC6"/>
    <w:rsid w:val="00655067"/>
    <w:rsid w:val="00662C27"/>
    <w:rsid w:val="00664AFC"/>
    <w:rsid w:val="00664E19"/>
    <w:rsid w:val="00666B40"/>
    <w:rsid w:val="006702D3"/>
    <w:rsid w:val="006707E0"/>
    <w:rsid w:val="006716AD"/>
    <w:rsid w:val="00673E9F"/>
    <w:rsid w:val="006740DE"/>
    <w:rsid w:val="00674B43"/>
    <w:rsid w:val="0067604E"/>
    <w:rsid w:val="006761CD"/>
    <w:rsid w:val="00681804"/>
    <w:rsid w:val="00681AC6"/>
    <w:rsid w:val="006824A7"/>
    <w:rsid w:val="00685422"/>
    <w:rsid w:val="00690022"/>
    <w:rsid w:val="0069150F"/>
    <w:rsid w:val="00694656"/>
    <w:rsid w:val="00694809"/>
    <w:rsid w:val="006954BC"/>
    <w:rsid w:val="006A2533"/>
    <w:rsid w:val="006A351F"/>
    <w:rsid w:val="006A5487"/>
    <w:rsid w:val="006A682E"/>
    <w:rsid w:val="006A69D4"/>
    <w:rsid w:val="006B44E0"/>
    <w:rsid w:val="006B474B"/>
    <w:rsid w:val="006C1398"/>
    <w:rsid w:val="006C25FF"/>
    <w:rsid w:val="006C2798"/>
    <w:rsid w:val="006C6F12"/>
    <w:rsid w:val="006D0391"/>
    <w:rsid w:val="006D1584"/>
    <w:rsid w:val="006D3D74"/>
    <w:rsid w:val="006D4C71"/>
    <w:rsid w:val="006D4FFA"/>
    <w:rsid w:val="006E1903"/>
    <w:rsid w:val="006E1A06"/>
    <w:rsid w:val="006E3162"/>
    <w:rsid w:val="006F19D2"/>
    <w:rsid w:val="006F7022"/>
    <w:rsid w:val="006F795F"/>
    <w:rsid w:val="00701CEF"/>
    <w:rsid w:val="00702D25"/>
    <w:rsid w:val="00703DA5"/>
    <w:rsid w:val="0070404A"/>
    <w:rsid w:val="007060A1"/>
    <w:rsid w:val="007118CF"/>
    <w:rsid w:val="00712FB0"/>
    <w:rsid w:val="00714A80"/>
    <w:rsid w:val="00715313"/>
    <w:rsid w:val="00716C23"/>
    <w:rsid w:val="00720818"/>
    <w:rsid w:val="00721D3A"/>
    <w:rsid w:val="00722C84"/>
    <w:rsid w:val="007249C4"/>
    <w:rsid w:val="007257F0"/>
    <w:rsid w:val="00730502"/>
    <w:rsid w:val="0073100C"/>
    <w:rsid w:val="00731611"/>
    <w:rsid w:val="00742035"/>
    <w:rsid w:val="00742948"/>
    <w:rsid w:val="00744098"/>
    <w:rsid w:val="0074572F"/>
    <w:rsid w:val="00747016"/>
    <w:rsid w:val="0075033C"/>
    <w:rsid w:val="007557B5"/>
    <w:rsid w:val="0075756D"/>
    <w:rsid w:val="00763F75"/>
    <w:rsid w:val="007641A1"/>
    <w:rsid w:val="0076632E"/>
    <w:rsid w:val="00770131"/>
    <w:rsid w:val="00772534"/>
    <w:rsid w:val="00772D45"/>
    <w:rsid w:val="00774270"/>
    <w:rsid w:val="0077768C"/>
    <w:rsid w:val="00780623"/>
    <w:rsid w:val="007807E1"/>
    <w:rsid w:val="00780B1F"/>
    <w:rsid w:val="007868CE"/>
    <w:rsid w:val="00791CC3"/>
    <w:rsid w:val="00792E3B"/>
    <w:rsid w:val="00793701"/>
    <w:rsid w:val="00793C41"/>
    <w:rsid w:val="007947D9"/>
    <w:rsid w:val="00795694"/>
    <w:rsid w:val="007A4AD6"/>
    <w:rsid w:val="007A4B6C"/>
    <w:rsid w:val="007A5C26"/>
    <w:rsid w:val="007A77B3"/>
    <w:rsid w:val="007B09F5"/>
    <w:rsid w:val="007B0A79"/>
    <w:rsid w:val="007B0E20"/>
    <w:rsid w:val="007B11D4"/>
    <w:rsid w:val="007B3CFB"/>
    <w:rsid w:val="007B3D49"/>
    <w:rsid w:val="007B53DE"/>
    <w:rsid w:val="007C1115"/>
    <w:rsid w:val="007C1819"/>
    <w:rsid w:val="007C1D73"/>
    <w:rsid w:val="007C50AC"/>
    <w:rsid w:val="007C5F33"/>
    <w:rsid w:val="007C6ABE"/>
    <w:rsid w:val="007D0F74"/>
    <w:rsid w:val="007D3442"/>
    <w:rsid w:val="007D60C0"/>
    <w:rsid w:val="007E2515"/>
    <w:rsid w:val="007E3392"/>
    <w:rsid w:val="007E4B87"/>
    <w:rsid w:val="007E51C1"/>
    <w:rsid w:val="007E70D4"/>
    <w:rsid w:val="007E7954"/>
    <w:rsid w:val="007F0C1B"/>
    <w:rsid w:val="007F15EB"/>
    <w:rsid w:val="007F6A33"/>
    <w:rsid w:val="007F770A"/>
    <w:rsid w:val="008059FB"/>
    <w:rsid w:val="00806AD5"/>
    <w:rsid w:val="00810A4F"/>
    <w:rsid w:val="00810C84"/>
    <w:rsid w:val="0081126D"/>
    <w:rsid w:val="00811432"/>
    <w:rsid w:val="00813FE6"/>
    <w:rsid w:val="00814850"/>
    <w:rsid w:val="00816E9F"/>
    <w:rsid w:val="00821BDA"/>
    <w:rsid w:val="008227B6"/>
    <w:rsid w:val="00823673"/>
    <w:rsid w:val="00823D45"/>
    <w:rsid w:val="00824792"/>
    <w:rsid w:val="00824B9E"/>
    <w:rsid w:val="0082733F"/>
    <w:rsid w:val="00831E37"/>
    <w:rsid w:val="00833D0A"/>
    <w:rsid w:val="0083412C"/>
    <w:rsid w:val="00836AA7"/>
    <w:rsid w:val="00836CFF"/>
    <w:rsid w:val="00844629"/>
    <w:rsid w:val="00844ED1"/>
    <w:rsid w:val="008475F6"/>
    <w:rsid w:val="00850339"/>
    <w:rsid w:val="00850848"/>
    <w:rsid w:val="00850AE8"/>
    <w:rsid w:val="00850E2F"/>
    <w:rsid w:val="0085370C"/>
    <w:rsid w:val="00854F11"/>
    <w:rsid w:val="00855B9C"/>
    <w:rsid w:val="008608A3"/>
    <w:rsid w:val="00864345"/>
    <w:rsid w:val="008665D0"/>
    <w:rsid w:val="0086773F"/>
    <w:rsid w:val="00867A44"/>
    <w:rsid w:val="0087116E"/>
    <w:rsid w:val="0087515E"/>
    <w:rsid w:val="00876B26"/>
    <w:rsid w:val="008777E6"/>
    <w:rsid w:val="00882C7A"/>
    <w:rsid w:val="00883297"/>
    <w:rsid w:val="00883EC6"/>
    <w:rsid w:val="00887D67"/>
    <w:rsid w:val="00891277"/>
    <w:rsid w:val="00892C1F"/>
    <w:rsid w:val="0089401D"/>
    <w:rsid w:val="0089469A"/>
    <w:rsid w:val="008A6204"/>
    <w:rsid w:val="008A71B8"/>
    <w:rsid w:val="008A78A2"/>
    <w:rsid w:val="008B062E"/>
    <w:rsid w:val="008B1434"/>
    <w:rsid w:val="008B384F"/>
    <w:rsid w:val="008B46AB"/>
    <w:rsid w:val="008B6E4B"/>
    <w:rsid w:val="008C26A5"/>
    <w:rsid w:val="008C3899"/>
    <w:rsid w:val="008C3937"/>
    <w:rsid w:val="008D0646"/>
    <w:rsid w:val="008D0B99"/>
    <w:rsid w:val="008D26BF"/>
    <w:rsid w:val="008D33AB"/>
    <w:rsid w:val="008D6D01"/>
    <w:rsid w:val="008D6FA6"/>
    <w:rsid w:val="008E355C"/>
    <w:rsid w:val="008E3D14"/>
    <w:rsid w:val="008E75AE"/>
    <w:rsid w:val="008F067B"/>
    <w:rsid w:val="008F4021"/>
    <w:rsid w:val="008F427D"/>
    <w:rsid w:val="008F65CA"/>
    <w:rsid w:val="008F7E21"/>
    <w:rsid w:val="00902040"/>
    <w:rsid w:val="00903F48"/>
    <w:rsid w:val="00904FB8"/>
    <w:rsid w:val="00907D94"/>
    <w:rsid w:val="00912652"/>
    <w:rsid w:val="00912EB4"/>
    <w:rsid w:val="009146E3"/>
    <w:rsid w:val="00916E9B"/>
    <w:rsid w:val="00917F96"/>
    <w:rsid w:val="0092046D"/>
    <w:rsid w:val="00925305"/>
    <w:rsid w:val="009264CC"/>
    <w:rsid w:val="009270AC"/>
    <w:rsid w:val="009300E0"/>
    <w:rsid w:val="0093493C"/>
    <w:rsid w:val="009352E7"/>
    <w:rsid w:val="00935837"/>
    <w:rsid w:val="00936293"/>
    <w:rsid w:val="00936ABD"/>
    <w:rsid w:val="009372CF"/>
    <w:rsid w:val="00942E2E"/>
    <w:rsid w:val="009474BA"/>
    <w:rsid w:val="00947BCF"/>
    <w:rsid w:val="00947DAE"/>
    <w:rsid w:val="00950560"/>
    <w:rsid w:val="009516D2"/>
    <w:rsid w:val="0095197C"/>
    <w:rsid w:val="00953E0C"/>
    <w:rsid w:val="0096063C"/>
    <w:rsid w:val="00963279"/>
    <w:rsid w:val="00963D00"/>
    <w:rsid w:val="00967114"/>
    <w:rsid w:val="00967DA4"/>
    <w:rsid w:val="009718F8"/>
    <w:rsid w:val="00971970"/>
    <w:rsid w:val="00973C83"/>
    <w:rsid w:val="00974975"/>
    <w:rsid w:val="00976160"/>
    <w:rsid w:val="00976A1A"/>
    <w:rsid w:val="009819D8"/>
    <w:rsid w:val="0098256A"/>
    <w:rsid w:val="00984902"/>
    <w:rsid w:val="00992D1E"/>
    <w:rsid w:val="00993703"/>
    <w:rsid w:val="00995DA7"/>
    <w:rsid w:val="00996CC9"/>
    <w:rsid w:val="009A2A23"/>
    <w:rsid w:val="009A38E7"/>
    <w:rsid w:val="009A539C"/>
    <w:rsid w:val="009A5FB6"/>
    <w:rsid w:val="009A61AC"/>
    <w:rsid w:val="009A6E0D"/>
    <w:rsid w:val="009B5A68"/>
    <w:rsid w:val="009B5F8E"/>
    <w:rsid w:val="009B76A2"/>
    <w:rsid w:val="009B7F46"/>
    <w:rsid w:val="009C042C"/>
    <w:rsid w:val="009C353D"/>
    <w:rsid w:val="009C5356"/>
    <w:rsid w:val="009C5CE8"/>
    <w:rsid w:val="009C69A6"/>
    <w:rsid w:val="009D1468"/>
    <w:rsid w:val="009D1865"/>
    <w:rsid w:val="009D3BE2"/>
    <w:rsid w:val="009D44FD"/>
    <w:rsid w:val="009E1B7A"/>
    <w:rsid w:val="009E21EE"/>
    <w:rsid w:val="009E3478"/>
    <w:rsid w:val="009F7AA4"/>
    <w:rsid w:val="00A01AEF"/>
    <w:rsid w:val="00A02EEA"/>
    <w:rsid w:val="00A06EF4"/>
    <w:rsid w:val="00A0734E"/>
    <w:rsid w:val="00A07FA7"/>
    <w:rsid w:val="00A1106C"/>
    <w:rsid w:val="00A141CC"/>
    <w:rsid w:val="00A167AC"/>
    <w:rsid w:val="00A16CAE"/>
    <w:rsid w:val="00A17195"/>
    <w:rsid w:val="00A23A86"/>
    <w:rsid w:val="00A2557C"/>
    <w:rsid w:val="00A2652C"/>
    <w:rsid w:val="00A27CF2"/>
    <w:rsid w:val="00A30F59"/>
    <w:rsid w:val="00A31462"/>
    <w:rsid w:val="00A3151C"/>
    <w:rsid w:val="00A31CAC"/>
    <w:rsid w:val="00A31D4C"/>
    <w:rsid w:val="00A346B8"/>
    <w:rsid w:val="00A3577D"/>
    <w:rsid w:val="00A35EBD"/>
    <w:rsid w:val="00A40ED3"/>
    <w:rsid w:val="00A41FF2"/>
    <w:rsid w:val="00A436EC"/>
    <w:rsid w:val="00A455AA"/>
    <w:rsid w:val="00A47200"/>
    <w:rsid w:val="00A52DE0"/>
    <w:rsid w:val="00A5449B"/>
    <w:rsid w:val="00A57D16"/>
    <w:rsid w:val="00A6051D"/>
    <w:rsid w:val="00A61ECF"/>
    <w:rsid w:val="00A6414F"/>
    <w:rsid w:val="00A645FA"/>
    <w:rsid w:val="00A6664E"/>
    <w:rsid w:val="00A66731"/>
    <w:rsid w:val="00A667BB"/>
    <w:rsid w:val="00A7390F"/>
    <w:rsid w:val="00A76BD8"/>
    <w:rsid w:val="00A778A2"/>
    <w:rsid w:val="00A81E82"/>
    <w:rsid w:val="00A83E1D"/>
    <w:rsid w:val="00A90F50"/>
    <w:rsid w:val="00A9204E"/>
    <w:rsid w:val="00A92133"/>
    <w:rsid w:val="00A93368"/>
    <w:rsid w:val="00A95E83"/>
    <w:rsid w:val="00A9785D"/>
    <w:rsid w:val="00AA1452"/>
    <w:rsid w:val="00AA2711"/>
    <w:rsid w:val="00AA298E"/>
    <w:rsid w:val="00AA365B"/>
    <w:rsid w:val="00AA6A85"/>
    <w:rsid w:val="00AA6DB3"/>
    <w:rsid w:val="00AB21E4"/>
    <w:rsid w:val="00AB31C1"/>
    <w:rsid w:val="00AB638A"/>
    <w:rsid w:val="00AB7473"/>
    <w:rsid w:val="00AC0F03"/>
    <w:rsid w:val="00AC43AD"/>
    <w:rsid w:val="00AC6FB4"/>
    <w:rsid w:val="00AD0452"/>
    <w:rsid w:val="00AD43F1"/>
    <w:rsid w:val="00AD529C"/>
    <w:rsid w:val="00AD6A62"/>
    <w:rsid w:val="00AE0573"/>
    <w:rsid w:val="00AE071F"/>
    <w:rsid w:val="00AE1A11"/>
    <w:rsid w:val="00AE45CC"/>
    <w:rsid w:val="00AE4A5F"/>
    <w:rsid w:val="00AE5620"/>
    <w:rsid w:val="00AE6794"/>
    <w:rsid w:val="00AE6CD4"/>
    <w:rsid w:val="00AF02C3"/>
    <w:rsid w:val="00AF2246"/>
    <w:rsid w:val="00AF7677"/>
    <w:rsid w:val="00AF7898"/>
    <w:rsid w:val="00AF7E32"/>
    <w:rsid w:val="00B036BE"/>
    <w:rsid w:val="00B05D8B"/>
    <w:rsid w:val="00B06032"/>
    <w:rsid w:val="00B12259"/>
    <w:rsid w:val="00B12DF4"/>
    <w:rsid w:val="00B178F2"/>
    <w:rsid w:val="00B20244"/>
    <w:rsid w:val="00B21C6F"/>
    <w:rsid w:val="00B22B95"/>
    <w:rsid w:val="00B23413"/>
    <w:rsid w:val="00B2405A"/>
    <w:rsid w:val="00B2598D"/>
    <w:rsid w:val="00B32D80"/>
    <w:rsid w:val="00B347B8"/>
    <w:rsid w:val="00B34B5F"/>
    <w:rsid w:val="00B36698"/>
    <w:rsid w:val="00B368B3"/>
    <w:rsid w:val="00B428DF"/>
    <w:rsid w:val="00B53D86"/>
    <w:rsid w:val="00B554A1"/>
    <w:rsid w:val="00B602B3"/>
    <w:rsid w:val="00B621D0"/>
    <w:rsid w:val="00B62E4F"/>
    <w:rsid w:val="00B64363"/>
    <w:rsid w:val="00B70924"/>
    <w:rsid w:val="00B70E29"/>
    <w:rsid w:val="00B71548"/>
    <w:rsid w:val="00B7437C"/>
    <w:rsid w:val="00B74B98"/>
    <w:rsid w:val="00B76572"/>
    <w:rsid w:val="00B76781"/>
    <w:rsid w:val="00B77E41"/>
    <w:rsid w:val="00B77F00"/>
    <w:rsid w:val="00B83EBB"/>
    <w:rsid w:val="00B868DB"/>
    <w:rsid w:val="00B86A44"/>
    <w:rsid w:val="00B90477"/>
    <w:rsid w:val="00B94F5C"/>
    <w:rsid w:val="00B97CFC"/>
    <w:rsid w:val="00BA0B2A"/>
    <w:rsid w:val="00BA65D2"/>
    <w:rsid w:val="00BA6EA9"/>
    <w:rsid w:val="00BB0AB1"/>
    <w:rsid w:val="00BB160F"/>
    <w:rsid w:val="00BB2AF3"/>
    <w:rsid w:val="00BB39D2"/>
    <w:rsid w:val="00BB4C2C"/>
    <w:rsid w:val="00BB4F09"/>
    <w:rsid w:val="00BB6169"/>
    <w:rsid w:val="00BC10D2"/>
    <w:rsid w:val="00BC3467"/>
    <w:rsid w:val="00BC3B40"/>
    <w:rsid w:val="00BC5E99"/>
    <w:rsid w:val="00BC765C"/>
    <w:rsid w:val="00BD0AE6"/>
    <w:rsid w:val="00BD1011"/>
    <w:rsid w:val="00BD164E"/>
    <w:rsid w:val="00BD2D44"/>
    <w:rsid w:val="00BD2D4C"/>
    <w:rsid w:val="00BD4DC6"/>
    <w:rsid w:val="00BD560F"/>
    <w:rsid w:val="00BD6425"/>
    <w:rsid w:val="00BE66DB"/>
    <w:rsid w:val="00BF1A24"/>
    <w:rsid w:val="00BF2EB4"/>
    <w:rsid w:val="00BF379D"/>
    <w:rsid w:val="00BF4BDC"/>
    <w:rsid w:val="00BF4C31"/>
    <w:rsid w:val="00BF5A8B"/>
    <w:rsid w:val="00C00D5C"/>
    <w:rsid w:val="00C0187A"/>
    <w:rsid w:val="00C023F3"/>
    <w:rsid w:val="00C03070"/>
    <w:rsid w:val="00C0426A"/>
    <w:rsid w:val="00C04570"/>
    <w:rsid w:val="00C127BC"/>
    <w:rsid w:val="00C151D9"/>
    <w:rsid w:val="00C160F3"/>
    <w:rsid w:val="00C2225C"/>
    <w:rsid w:val="00C2374D"/>
    <w:rsid w:val="00C2538E"/>
    <w:rsid w:val="00C2717D"/>
    <w:rsid w:val="00C272C1"/>
    <w:rsid w:val="00C30D06"/>
    <w:rsid w:val="00C310AB"/>
    <w:rsid w:val="00C353EA"/>
    <w:rsid w:val="00C378A6"/>
    <w:rsid w:val="00C41087"/>
    <w:rsid w:val="00C552FF"/>
    <w:rsid w:val="00C559DE"/>
    <w:rsid w:val="00C55FD8"/>
    <w:rsid w:val="00C56767"/>
    <w:rsid w:val="00C571F9"/>
    <w:rsid w:val="00C57C6A"/>
    <w:rsid w:val="00C630D2"/>
    <w:rsid w:val="00C67096"/>
    <w:rsid w:val="00C67AAA"/>
    <w:rsid w:val="00C747C0"/>
    <w:rsid w:val="00C752F1"/>
    <w:rsid w:val="00C80D23"/>
    <w:rsid w:val="00C871D4"/>
    <w:rsid w:val="00C87304"/>
    <w:rsid w:val="00C9050A"/>
    <w:rsid w:val="00C90D68"/>
    <w:rsid w:val="00C92293"/>
    <w:rsid w:val="00CA14E4"/>
    <w:rsid w:val="00CA2892"/>
    <w:rsid w:val="00CA5D0C"/>
    <w:rsid w:val="00CA7B10"/>
    <w:rsid w:val="00CB67D0"/>
    <w:rsid w:val="00CC11C0"/>
    <w:rsid w:val="00CC471B"/>
    <w:rsid w:val="00CD1859"/>
    <w:rsid w:val="00CD23E9"/>
    <w:rsid w:val="00CD62B5"/>
    <w:rsid w:val="00CE1567"/>
    <w:rsid w:val="00CE1CC4"/>
    <w:rsid w:val="00CE288E"/>
    <w:rsid w:val="00CE4BD2"/>
    <w:rsid w:val="00CE4F6E"/>
    <w:rsid w:val="00CE6F96"/>
    <w:rsid w:val="00CF2944"/>
    <w:rsid w:val="00CF68E5"/>
    <w:rsid w:val="00CF69D3"/>
    <w:rsid w:val="00CF76CC"/>
    <w:rsid w:val="00D03C53"/>
    <w:rsid w:val="00D102FC"/>
    <w:rsid w:val="00D12DB2"/>
    <w:rsid w:val="00D131F3"/>
    <w:rsid w:val="00D146CB"/>
    <w:rsid w:val="00D153FD"/>
    <w:rsid w:val="00D15496"/>
    <w:rsid w:val="00D15537"/>
    <w:rsid w:val="00D16DA9"/>
    <w:rsid w:val="00D170C5"/>
    <w:rsid w:val="00D20416"/>
    <w:rsid w:val="00D205AC"/>
    <w:rsid w:val="00D26531"/>
    <w:rsid w:val="00D320F6"/>
    <w:rsid w:val="00D366CB"/>
    <w:rsid w:val="00D36840"/>
    <w:rsid w:val="00D3745D"/>
    <w:rsid w:val="00D37C45"/>
    <w:rsid w:val="00D43595"/>
    <w:rsid w:val="00D45F08"/>
    <w:rsid w:val="00D46398"/>
    <w:rsid w:val="00D47732"/>
    <w:rsid w:val="00D47C51"/>
    <w:rsid w:val="00D50DA9"/>
    <w:rsid w:val="00D513FE"/>
    <w:rsid w:val="00D6227D"/>
    <w:rsid w:val="00D6372C"/>
    <w:rsid w:val="00D658C7"/>
    <w:rsid w:val="00D6691E"/>
    <w:rsid w:val="00D76C0F"/>
    <w:rsid w:val="00D80887"/>
    <w:rsid w:val="00D82ECD"/>
    <w:rsid w:val="00D852CC"/>
    <w:rsid w:val="00D86141"/>
    <w:rsid w:val="00D8652E"/>
    <w:rsid w:val="00D86CD3"/>
    <w:rsid w:val="00D9456B"/>
    <w:rsid w:val="00D9622C"/>
    <w:rsid w:val="00D965EE"/>
    <w:rsid w:val="00D9680E"/>
    <w:rsid w:val="00DA00A3"/>
    <w:rsid w:val="00DA1F6C"/>
    <w:rsid w:val="00DA21DE"/>
    <w:rsid w:val="00DA3468"/>
    <w:rsid w:val="00DA3838"/>
    <w:rsid w:val="00DA42AC"/>
    <w:rsid w:val="00DB0315"/>
    <w:rsid w:val="00DB0667"/>
    <w:rsid w:val="00DB2219"/>
    <w:rsid w:val="00DB6FCF"/>
    <w:rsid w:val="00DB763D"/>
    <w:rsid w:val="00DB77C1"/>
    <w:rsid w:val="00DC1922"/>
    <w:rsid w:val="00DC2D90"/>
    <w:rsid w:val="00DC37A9"/>
    <w:rsid w:val="00DD3314"/>
    <w:rsid w:val="00DD47F4"/>
    <w:rsid w:val="00DD5215"/>
    <w:rsid w:val="00DE0E97"/>
    <w:rsid w:val="00DE0F8A"/>
    <w:rsid w:val="00DE3852"/>
    <w:rsid w:val="00DF0175"/>
    <w:rsid w:val="00DF6618"/>
    <w:rsid w:val="00DF766E"/>
    <w:rsid w:val="00E0024B"/>
    <w:rsid w:val="00E004F2"/>
    <w:rsid w:val="00E079FF"/>
    <w:rsid w:val="00E07DBA"/>
    <w:rsid w:val="00E12354"/>
    <w:rsid w:val="00E12FF6"/>
    <w:rsid w:val="00E1375C"/>
    <w:rsid w:val="00E15DE9"/>
    <w:rsid w:val="00E21136"/>
    <w:rsid w:val="00E22895"/>
    <w:rsid w:val="00E23E0D"/>
    <w:rsid w:val="00E332AC"/>
    <w:rsid w:val="00E337D4"/>
    <w:rsid w:val="00E343C5"/>
    <w:rsid w:val="00E350F2"/>
    <w:rsid w:val="00E40B47"/>
    <w:rsid w:val="00E4265B"/>
    <w:rsid w:val="00E42A21"/>
    <w:rsid w:val="00E46E64"/>
    <w:rsid w:val="00E50349"/>
    <w:rsid w:val="00E51517"/>
    <w:rsid w:val="00E51C1C"/>
    <w:rsid w:val="00E5722E"/>
    <w:rsid w:val="00E57810"/>
    <w:rsid w:val="00E66AF2"/>
    <w:rsid w:val="00E71407"/>
    <w:rsid w:val="00E72403"/>
    <w:rsid w:val="00E73689"/>
    <w:rsid w:val="00E745E1"/>
    <w:rsid w:val="00E81F43"/>
    <w:rsid w:val="00E82F18"/>
    <w:rsid w:val="00E831AA"/>
    <w:rsid w:val="00E83BC8"/>
    <w:rsid w:val="00E87AB5"/>
    <w:rsid w:val="00E87DF9"/>
    <w:rsid w:val="00E90438"/>
    <w:rsid w:val="00E90FA8"/>
    <w:rsid w:val="00E93BA8"/>
    <w:rsid w:val="00E94A4F"/>
    <w:rsid w:val="00E96C48"/>
    <w:rsid w:val="00EA024A"/>
    <w:rsid w:val="00EA0C8C"/>
    <w:rsid w:val="00EA2511"/>
    <w:rsid w:val="00EB2E9B"/>
    <w:rsid w:val="00EB4584"/>
    <w:rsid w:val="00EB57E2"/>
    <w:rsid w:val="00EB6A72"/>
    <w:rsid w:val="00EB7210"/>
    <w:rsid w:val="00EC0DB1"/>
    <w:rsid w:val="00EC2A0B"/>
    <w:rsid w:val="00EC5B66"/>
    <w:rsid w:val="00ED0D61"/>
    <w:rsid w:val="00ED4F52"/>
    <w:rsid w:val="00ED54F8"/>
    <w:rsid w:val="00ED6D15"/>
    <w:rsid w:val="00ED70BF"/>
    <w:rsid w:val="00ED7924"/>
    <w:rsid w:val="00EE2D2E"/>
    <w:rsid w:val="00EE5AB1"/>
    <w:rsid w:val="00EE7BF0"/>
    <w:rsid w:val="00EF319E"/>
    <w:rsid w:val="00EF5A7E"/>
    <w:rsid w:val="00F04A9B"/>
    <w:rsid w:val="00F05D64"/>
    <w:rsid w:val="00F12FA4"/>
    <w:rsid w:val="00F139E9"/>
    <w:rsid w:val="00F17E03"/>
    <w:rsid w:val="00F21466"/>
    <w:rsid w:val="00F21858"/>
    <w:rsid w:val="00F23505"/>
    <w:rsid w:val="00F249B3"/>
    <w:rsid w:val="00F25E51"/>
    <w:rsid w:val="00F27E03"/>
    <w:rsid w:val="00F32028"/>
    <w:rsid w:val="00F340FF"/>
    <w:rsid w:val="00F35306"/>
    <w:rsid w:val="00F362EC"/>
    <w:rsid w:val="00F376CD"/>
    <w:rsid w:val="00F420EA"/>
    <w:rsid w:val="00F42246"/>
    <w:rsid w:val="00F42E90"/>
    <w:rsid w:val="00F46691"/>
    <w:rsid w:val="00F46AD4"/>
    <w:rsid w:val="00F50D71"/>
    <w:rsid w:val="00F512D9"/>
    <w:rsid w:val="00F53368"/>
    <w:rsid w:val="00F602BB"/>
    <w:rsid w:val="00F60838"/>
    <w:rsid w:val="00F6128A"/>
    <w:rsid w:val="00F61F08"/>
    <w:rsid w:val="00F628AA"/>
    <w:rsid w:val="00F67ECE"/>
    <w:rsid w:val="00F719EB"/>
    <w:rsid w:val="00F72FDE"/>
    <w:rsid w:val="00F74BC0"/>
    <w:rsid w:val="00F762C0"/>
    <w:rsid w:val="00F76BB0"/>
    <w:rsid w:val="00F80DE8"/>
    <w:rsid w:val="00F80F2F"/>
    <w:rsid w:val="00F83FF3"/>
    <w:rsid w:val="00F848C0"/>
    <w:rsid w:val="00F851DE"/>
    <w:rsid w:val="00F855FD"/>
    <w:rsid w:val="00F8634E"/>
    <w:rsid w:val="00F92BF0"/>
    <w:rsid w:val="00F932FF"/>
    <w:rsid w:val="00F97CD4"/>
    <w:rsid w:val="00FA45CC"/>
    <w:rsid w:val="00FB4897"/>
    <w:rsid w:val="00FC3199"/>
    <w:rsid w:val="00FC4B00"/>
    <w:rsid w:val="00FC7C79"/>
    <w:rsid w:val="00FD6D7B"/>
    <w:rsid w:val="00FE03F4"/>
    <w:rsid w:val="00FE4636"/>
    <w:rsid w:val="00FF299C"/>
    <w:rsid w:val="00FF43AD"/>
    <w:rsid w:val="00FF44E1"/>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71A5E"/>
  <w15:docId w15:val="{5A655203-BA6D-42FF-998E-8ADA9F1D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935837"/>
    <w:pPr>
      <w:keepNext/>
      <w:keepLines/>
      <w:spacing w:before="240"/>
      <w:outlineLvl w:val="0"/>
    </w:pPr>
    <w:rPr>
      <w:rFonts w:eastAsiaTheme="majorEastAsia" w:cstheme="majorBidi"/>
      <w:color w:val="002060"/>
      <w:sz w:val="32"/>
      <w:szCs w:val="32"/>
    </w:rPr>
  </w:style>
  <w:style w:type="paragraph" w:styleId="Heading2">
    <w:name w:val="heading 2"/>
    <w:basedOn w:val="Normal"/>
    <w:next w:val="Normal"/>
    <w:link w:val="Heading2Char"/>
    <w:uiPriority w:val="9"/>
    <w:unhideWhenUsed/>
    <w:qFormat/>
    <w:rsid w:val="007557B5"/>
    <w:pPr>
      <w:keepNext/>
      <w:keepLines/>
      <w:spacing w:before="40"/>
      <w:outlineLvl w:val="1"/>
    </w:pPr>
    <w:rPr>
      <w:rFonts w:eastAsiaTheme="majorEastAsia" w:cstheme="majorBidi"/>
      <w:b/>
      <w:color w:val="002060"/>
      <w:sz w:val="26"/>
      <w:szCs w:val="26"/>
    </w:rPr>
  </w:style>
  <w:style w:type="paragraph" w:styleId="Heading3">
    <w:name w:val="heading 3"/>
    <w:basedOn w:val="Normal"/>
    <w:next w:val="Normal"/>
    <w:link w:val="Heading3Char"/>
    <w:uiPriority w:val="9"/>
    <w:unhideWhenUsed/>
    <w:qFormat/>
    <w:rsid w:val="003961FA"/>
    <w:pPr>
      <w:keepNext/>
      <w:keepLines/>
      <w:spacing w:before="40"/>
      <w:outlineLvl w:val="2"/>
    </w:pPr>
    <w:rPr>
      <w:rFonts w:eastAsiaTheme="majorEastAsia" w:cstheme="majorBidi"/>
      <w:b/>
      <w:i/>
      <w:color w:val="002060"/>
      <w:sz w:val="24"/>
      <w:szCs w:val="24"/>
    </w:rPr>
  </w:style>
  <w:style w:type="paragraph" w:styleId="Heading4">
    <w:name w:val="heading 4"/>
    <w:basedOn w:val="Normal"/>
    <w:next w:val="Normal"/>
    <w:link w:val="Heading4Char"/>
    <w:uiPriority w:val="9"/>
    <w:unhideWhenUsed/>
    <w:qFormat/>
    <w:rsid w:val="00935837"/>
    <w:pPr>
      <w:keepNext/>
      <w:keepLines/>
      <w:spacing w:before="40"/>
      <w:outlineLvl w:val="3"/>
    </w:pPr>
    <w:rPr>
      <w:rFonts w:eastAsiaTheme="majorEastAsia" w:cstheme="majorBidi"/>
      <w:i/>
      <w:iCs/>
      <w:color w:val="002060"/>
    </w:rPr>
  </w:style>
  <w:style w:type="paragraph" w:styleId="Heading5">
    <w:name w:val="heading 5"/>
    <w:basedOn w:val="Normal"/>
    <w:next w:val="Normal"/>
    <w:link w:val="Heading5Char"/>
    <w:uiPriority w:val="9"/>
    <w:unhideWhenUsed/>
    <w:qFormat/>
    <w:rsid w:val="00935837"/>
    <w:pPr>
      <w:keepNext/>
      <w:keepLines/>
      <w:spacing w:before="40"/>
      <w:outlineLvl w:val="4"/>
    </w:pPr>
    <w:rPr>
      <w:rFonts w:eastAsiaTheme="majorEastAsia" w:cstheme="majorBidi"/>
      <w:color w:val="002060"/>
    </w:rPr>
  </w:style>
  <w:style w:type="paragraph" w:styleId="Heading6">
    <w:name w:val="heading 6"/>
    <w:basedOn w:val="Normal"/>
    <w:next w:val="Normal"/>
    <w:link w:val="Heading6Char"/>
    <w:uiPriority w:val="9"/>
    <w:unhideWhenUsed/>
    <w:qFormat/>
    <w:rsid w:val="00935837"/>
    <w:pPr>
      <w:keepNext/>
      <w:keepLines/>
      <w:spacing w:before="40"/>
      <w:outlineLvl w:val="5"/>
    </w:pPr>
    <w:rPr>
      <w:rFonts w:eastAsiaTheme="majorEastAsia" w:cstheme="majorBidi"/>
      <w:color w:val="002060"/>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837"/>
    <w:rPr>
      <w:rFonts w:eastAsiaTheme="majorEastAsia" w:cstheme="majorBidi"/>
      <w:color w:val="002060"/>
      <w:sz w:val="32"/>
      <w:szCs w:val="32"/>
    </w:rPr>
  </w:style>
  <w:style w:type="character" w:customStyle="1" w:styleId="Heading2Char">
    <w:name w:val="Heading 2 Char"/>
    <w:basedOn w:val="DefaultParagraphFont"/>
    <w:link w:val="Heading2"/>
    <w:uiPriority w:val="9"/>
    <w:rsid w:val="007557B5"/>
    <w:rPr>
      <w:rFonts w:eastAsiaTheme="majorEastAsia" w:cstheme="majorBidi"/>
      <w:b/>
      <w:color w:val="002060"/>
      <w:sz w:val="26"/>
      <w:szCs w:val="26"/>
    </w:rPr>
  </w:style>
  <w:style w:type="character" w:customStyle="1" w:styleId="Heading3Char">
    <w:name w:val="Heading 3 Char"/>
    <w:basedOn w:val="DefaultParagraphFont"/>
    <w:link w:val="Heading3"/>
    <w:uiPriority w:val="9"/>
    <w:rsid w:val="003961FA"/>
    <w:rPr>
      <w:rFonts w:eastAsiaTheme="majorEastAsia" w:cstheme="majorBidi"/>
      <w:b/>
      <w:i/>
      <w:color w:val="002060"/>
      <w:sz w:val="24"/>
      <w:szCs w:val="24"/>
    </w:rPr>
  </w:style>
  <w:style w:type="character" w:customStyle="1" w:styleId="Heading4Char">
    <w:name w:val="Heading 4 Char"/>
    <w:basedOn w:val="DefaultParagraphFont"/>
    <w:link w:val="Heading4"/>
    <w:uiPriority w:val="9"/>
    <w:rsid w:val="00935837"/>
    <w:rPr>
      <w:rFonts w:eastAsiaTheme="majorEastAsia" w:cstheme="majorBidi"/>
      <w:i/>
      <w:iCs/>
      <w:color w:val="002060"/>
    </w:rPr>
  </w:style>
  <w:style w:type="character" w:customStyle="1" w:styleId="Heading5Char">
    <w:name w:val="Heading 5 Char"/>
    <w:basedOn w:val="DefaultParagraphFont"/>
    <w:link w:val="Heading5"/>
    <w:uiPriority w:val="9"/>
    <w:rsid w:val="00935837"/>
    <w:rPr>
      <w:rFonts w:eastAsiaTheme="majorEastAsia" w:cstheme="majorBidi"/>
      <w:color w:val="002060"/>
    </w:rPr>
  </w:style>
  <w:style w:type="character" w:customStyle="1" w:styleId="Heading6Char">
    <w:name w:val="Heading 6 Char"/>
    <w:basedOn w:val="DefaultParagraphFont"/>
    <w:link w:val="Heading6"/>
    <w:uiPriority w:val="9"/>
    <w:rsid w:val="00935837"/>
    <w:rPr>
      <w:rFonts w:eastAsiaTheme="majorEastAsia" w:cstheme="majorBidi"/>
      <w:color w:val="00206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aliases w:val="Bullet List"/>
    <w:basedOn w:val="Normal"/>
    <w:link w:val="ListParagraphChar"/>
    <w:uiPriority w:val="34"/>
    <w:unhideWhenUsed/>
    <w:qFormat/>
    <w:rsid w:val="005A171B"/>
    <w:pPr>
      <w:ind w:left="720"/>
      <w:contextualSpacing/>
    </w:pPr>
  </w:style>
  <w:style w:type="character" w:styleId="FootnoteReference">
    <w:name w:val="footnote reference"/>
    <w:basedOn w:val="DefaultParagraphFont"/>
    <w:uiPriority w:val="99"/>
    <w:semiHidden/>
    <w:unhideWhenUsed/>
    <w:rsid w:val="001967C3"/>
    <w:rPr>
      <w:vertAlign w:val="superscript"/>
    </w:rPr>
  </w:style>
  <w:style w:type="paragraph" w:styleId="NormalWeb">
    <w:name w:val="Normal (Web)"/>
    <w:basedOn w:val="Normal"/>
    <w:uiPriority w:val="99"/>
    <w:semiHidden/>
    <w:unhideWhenUsed/>
    <w:rsid w:val="005E320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A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D61"/>
  </w:style>
  <w:style w:type="paragraph" w:styleId="NoSpacing">
    <w:name w:val="No Spacing"/>
    <w:uiPriority w:val="1"/>
    <w:qFormat/>
    <w:rsid w:val="00935837"/>
  </w:style>
  <w:style w:type="paragraph" w:styleId="TOCHeading">
    <w:name w:val="TOC Heading"/>
    <w:basedOn w:val="Heading1"/>
    <w:next w:val="Normal"/>
    <w:uiPriority w:val="39"/>
    <w:unhideWhenUsed/>
    <w:qFormat/>
    <w:rsid w:val="007B3CFB"/>
    <w:pPr>
      <w:spacing w:line="259" w:lineRule="auto"/>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7B3CFB"/>
    <w:pPr>
      <w:spacing w:after="100"/>
    </w:pPr>
  </w:style>
  <w:style w:type="paragraph" w:styleId="TOC2">
    <w:name w:val="toc 2"/>
    <w:basedOn w:val="Normal"/>
    <w:next w:val="Normal"/>
    <w:autoRedefine/>
    <w:uiPriority w:val="39"/>
    <w:unhideWhenUsed/>
    <w:rsid w:val="007B3CFB"/>
    <w:pPr>
      <w:tabs>
        <w:tab w:val="right" w:leader="dot" w:pos="9350"/>
      </w:tabs>
      <w:spacing w:after="100"/>
      <w:ind w:left="220"/>
    </w:pPr>
    <w:rPr>
      <w:b/>
      <w:noProof/>
    </w:rPr>
  </w:style>
  <w:style w:type="paragraph" w:styleId="TOC3">
    <w:name w:val="toc 3"/>
    <w:basedOn w:val="Normal"/>
    <w:next w:val="Normal"/>
    <w:autoRedefine/>
    <w:uiPriority w:val="39"/>
    <w:unhideWhenUsed/>
    <w:rsid w:val="00A27CF2"/>
    <w:pPr>
      <w:tabs>
        <w:tab w:val="left" w:pos="1100"/>
        <w:tab w:val="right" w:leader="dot" w:pos="9350"/>
      </w:tabs>
      <w:spacing w:after="100"/>
      <w:ind w:left="450"/>
    </w:pPr>
  </w:style>
  <w:style w:type="table" w:customStyle="1" w:styleId="GridTable1Light-Accent11">
    <w:name w:val="Grid Table 1 Light - Accent 11"/>
    <w:basedOn w:val="TableNormal"/>
    <w:uiPriority w:val="46"/>
    <w:rsid w:val="00C9050A"/>
    <w:rPr>
      <w:rFonts w:asciiTheme="minorHAnsi" w:hAnsiTheme="minorHAnsi"/>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B11D4"/>
    <w:rPr>
      <w:color w:val="808080"/>
      <w:shd w:val="clear" w:color="auto" w:fill="E6E6E6"/>
    </w:rPr>
  </w:style>
  <w:style w:type="character" w:customStyle="1" w:styleId="UnresolvedMention2">
    <w:name w:val="Unresolved Mention2"/>
    <w:basedOn w:val="DefaultParagraphFont"/>
    <w:uiPriority w:val="99"/>
    <w:semiHidden/>
    <w:unhideWhenUsed/>
    <w:rsid w:val="006130D2"/>
    <w:rPr>
      <w:color w:val="808080"/>
      <w:shd w:val="clear" w:color="auto" w:fill="E6E6E6"/>
    </w:rPr>
  </w:style>
  <w:style w:type="character" w:customStyle="1" w:styleId="nlmstring-name">
    <w:name w:val="nlm_string-name"/>
    <w:basedOn w:val="DefaultParagraphFont"/>
    <w:rsid w:val="00017534"/>
  </w:style>
  <w:style w:type="character" w:customStyle="1" w:styleId="journalname">
    <w:name w:val="journalname"/>
    <w:basedOn w:val="DefaultParagraphFont"/>
    <w:rsid w:val="00017534"/>
  </w:style>
  <w:style w:type="character" w:customStyle="1" w:styleId="year">
    <w:name w:val="year"/>
    <w:basedOn w:val="DefaultParagraphFont"/>
    <w:rsid w:val="00017534"/>
  </w:style>
  <w:style w:type="character" w:customStyle="1" w:styleId="volume">
    <w:name w:val="volume"/>
    <w:basedOn w:val="DefaultParagraphFont"/>
    <w:rsid w:val="00017534"/>
  </w:style>
  <w:style w:type="character" w:customStyle="1" w:styleId="issue">
    <w:name w:val="issue"/>
    <w:basedOn w:val="DefaultParagraphFont"/>
    <w:rsid w:val="00017534"/>
  </w:style>
  <w:style w:type="character" w:customStyle="1" w:styleId="page">
    <w:name w:val="page"/>
    <w:basedOn w:val="DefaultParagraphFont"/>
    <w:rsid w:val="00017534"/>
  </w:style>
  <w:style w:type="character" w:customStyle="1" w:styleId="UnresolvedMention3">
    <w:name w:val="Unresolved Mention3"/>
    <w:basedOn w:val="DefaultParagraphFont"/>
    <w:uiPriority w:val="99"/>
    <w:semiHidden/>
    <w:unhideWhenUsed/>
    <w:rsid w:val="00471875"/>
    <w:rPr>
      <w:color w:val="808080"/>
      <w:shd w:val="clear" w:color="auto" w:fill="E6E6E6"/>
    </w:rPr>
  </w:style>
  <w:style w:type="character" w:customStyle="1" w:styleId="ListParagraphChar">
    <w:name w:val="List Paragraph Char"/>
    <w:aliases w:val="Bullet List Char"/>
    <w:basedOn w:val="DefaultParagraphFont"/>
    <w:link w:val="ListParagraph"/>
    <w:uiPriority w:val="34"/>
    <w:locked/>
    <w:rsid w:val="00F8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295">
      <w:bodyDiv w:val="1"/>
      <w:marLeft w:val="0"/>
      <w:marRight w:val="0"/>
      <w:marTop w:val="0"/>
      <w:marBottom w:val="0"/>
      <w:divBdr>
        <w:top w:val="none" w:sz="0" w:space="0" w:color="auto"/>
        <w:left w:val="none" w:sz="0" w:space="0" w:color="auto"/>
        <w:bottom w:val="none" w:sz="0" w:space="0" w:color="auto"/>
        <w:right w:val="none" w:sz="0" w:space="0" w:color="auto"/>
      </w:divBdr>
    </w:div>
    <w:div w:id="96949211">
      <w:bodyDiv w:val="1"/>
      <w:marLeft w:val="0"/>
      <w:marRight w:val="0"/>
      <w:marTop w:val="0"/>
      <w:marBottom w:val="0"/>
      <w:divBdr>
        <w:top w:val="none" w:sz="0" w:space="0" w:color="auto"/>
        <w:left w:val="none" w:sz="0" w:space="0" w:color="auto"/>
        <w:bottom w:val="none" w:sz="0" w:space="0" w:color="auto"/>
        <w:right w:val="none" w:sz="0" w:space="0" w:color="auto"/>
      </w:divBdr>
    </w:div>
    <w:div w:id="111244015">
      <w:bodyDiv w:val="1"/>
      <w:marLeft w:val="0"/>
      <w:marRight w:val="0"/>
      <w:marTop w:val="0"/>
      <w:marBottom w:val="0"/>
      <w:divBdr>
        <w:top w:val="none" w:sz="0" w:space="0" w:color="auto"/>
        <w:left w:val="none" w:sz="0" w:space="0" w:color="auto"/>
        <w:bottom w:val="none" w:sz="0" w:space="0" w:color="auto"/>
        <w:right w:val="none" w:sz="0" w:space="0" w:color="auto"/>
      </w:divBdr>
    </w:div>
    <w:div w:id="112867186">
      <w:bodyDiv w:val="1"/>
      <w:marLeft w:val="0"/>
      <w:marRight w:val="0"/>
      <w:marTop w:val="0"/>
      <w:marBottom w:val="0"/>
      <w:divBdr>
        <w:top w:val="none" w:sz="0" w:space="0" w:color="auto"/>
        <w:left w:val="none" w:sz="0" w:space="0" w:color="auto"/>
        <w:bottom w:val="none" w:sz="0" w:space="0" w:color="auto"/>
        <w:right w:val="none" w:sz="0" w:space="0" w:color="auto"/>
      </w:divBdr>
    </w:div>
    <w:div w:id="151877099">
      <w:bodyDiv w:val="1"/>
      <w:marLeft w:val="0"/>
      <w:marRight w:val="0"/>
      <w:marTop w:val="0"/>
      <w:marBottom w:val="0"/>
      <w:divBdr>
        <w:top w:val="none" w:sz="0" w:space="0" w:color="auto"/>
        <w:left w:val="none" w:sz="0" w:space="0" w:color="auto"/>
        <w:bottom w:val="none" w:sz="0" w:space="0" w:color="auto"/>
        <w:right w:val="none" w:sz="0" w:space="0" w:color="auto"/>
      </w:divBdr>
    </w:div>
    <w:div w:id="280962635">
      <w:bodyDiv w:val="1"/>
      <w:marLeft w:val="0"/>
      <w:marRight w:val="0"/>
      <w:marTop w:val="0"/>
      <w:marBottom w:val="0"/>
      <w:divBdr>
        <w:top w:val="none" w:sz="0" w:space="0" w:color="auto"/>
        <w:left w:val="none" w:sz="0" w:space="0" w:color="auto"/>
        <w:bottom w:val="none" w:sz="0" w:space="0" w:color="auto"/>
        <w:right w:val="none" w:sz="0" w:space="0" w:color="auto"/>
      </w:divBdr>
    </w:div>
    <w:div w:id="341931317">
      <w:bodyDiv w:val="1"/>
      <w:marLeft w:val="0"/>
      <w:marRight w:val="0"/>
      <w:marTop w:val="0"/>
      <w:marBottom w:val="0"/>
      <w:divBdr>
        <w:top w:val="none" w:sz="0" w:space="0" w:color="auto"/>
        <w:left w:val="none" w:sz="0" w:space="0" w:color="auto"/>
        <w:bottom w:val="none" w:sz="0" w:space="0" w:color="auto"/>
        <w:right w:val="none" w:sz="0" w:space="0" w:color="auto"/>
      </w:divBdr>
    </w:div>
    <w:div w:id="456918971">
      <w:bodyDiv w:val="1"/>
      <w:marLeft w:val="0"/>
      <w:marRight w:val="0"/>
      <w:marTop w:val="0"/>
      <w:marBottom w:val="0"/>
      <w:divBdr>
        <w:top w:val="none" w:sz="0" w:space="0" w:color="auto"/>
        <w:left w:val="none" w:sz="0" w:space="0" w:color="auto"/>
        <w:bottom w:val="none" w:sz="0" w:space="0" w:color="auto"/>
        <w:right w:val="none" w:sz="0" w:space="0" w:color="auto"/>
      </w:divBdr>
    </w:div>
    <w:div w:id="690183225">
      <w:bodyDiv w:val="1"/>
      <w:marLeft w:val="0"/>
      <w:marRight w:val="0"/>
      <w:marTop w:val="0"/>
      <w:marBottom w:val="0"/>
      <w:divBdr>
        <w:top w:val="none" w:sz="0" w:space="0" w:color="auto"/>
        <w:left w:val="none" w:sz="0" w:space="0" w:color="auto"/>
        <w:bottom w:val="none" w:sz="0" w:space="0" w:color="auto"/>
        <w:right w:val="none" w:sz="0" w:space="0" w:color="auto"/>
      </w:divBdr>
    </w:div>
    <w:div w:id="714933982">
      <w:bodyDiv w:val="1"/>
      <w:marLeft w:val="0"/>
      <w:marRight w:val="0"/>
      <w:marTop w:val="0"/>
      <w:marBottom w:val="0"/>
      <w:divBdr>
        <w:top w:val="none" w:sz="0" w:space="0" w:color="auto"/>
        <w:left w:val="none" w:sz="0" w:space="0" w:color="auto"/>
        <w:bottom w:val="none" w:sz="0" w:space="0" w:color="auto"/>
        <w:right w:val="none" w:sz="0" w:space="0" w:color="auto"/>
      </w:divBdr>
    </w:div>
    <w:div w:id="748885210">
      <w:bodyDiv w:val="1"/>
      <w:marLeft w:val="0"/>
      <w:marRight w:val="0"/>
      <w:marTop w:val="0"/>
      <w:marBottom w:val="0"/>
      <w:divBdr>
        <w:top w:val="none" w:sz="0" w:space="0" w:color="auto"/>
        <w:left w:val="none" w:sz="0" w:space="0" w:color="auto"/>
        <w:bottom w:val="none" w:sz="0" w:space="0" w:color="auto"/>
        <w:right w:val="none" w:sz="0" w:space="0" w:color="auto"/>
      </w:divBdr>
    </w:div>
    <w:div w:id="881402254">
      <w:bodyDiv w:val="1"/>
      <w:marLeft w:val="0"/>
      <w:marRight w:val="0"/>
      <w:marTop w:val="0"/>
      <w:marBottom w:val="0"/>
      <w:divBdr>
        <w:top w:val="none" w:sz="0" w:space="0" w:color="auto"/>
        <w:left w:val="none" w:sz="0" w:space="0" w:color="auto"/>
        <w:bottom w:val="none" w:sz="0" w:space="0" w:color="auto"/>
        <w:right w:val="none" w:sz="0" w:space="0" w:color="auto"/>
      </w:divBdr>
    </w:div>
    <w:div w:id="947472572">
      <w:bodyDiv w:val="1"/>
      <w:marLeft w:val="0"/>
      <w:marRight w:val="0"/>
      <w:marTop w:val="0"/>
      <w:marBottom w:val="0"/>
      <w:divBdr>
        <w:top w:val="none" w:sz="0" w:space="0" w:color="auto"/>
        <w:left w:val="none" w:sz="0" w:space="0" w:color="auto"/>
        <w:bottom w:val="none" w:sz="0" w:space="0" w:color="auto"/>
        <w:right w:val="none" w:sz="0" w:space="0" w:color="auto"/>
      </w:divBdr>
    </w:div>
    <w:div w:id="988242009">
      <w:bodyDiv w:val="1"/>
      <w:marLeft w:val="0"/>
      <w:marRight w:val="0"/>
      <w:marTop w:val="0"/>
      <w:marBottom w:val="0"/>
      <w:divBdr>
        <w:top w:val="none" w:sz="0" w:space="0" w:color="auto"/>
        <w:left w:val="none" w:sz="0" w:space="0" w:color="auto"/>
        <w:bottom w:val="none" w:sz="0" w:space="0" w:color="auto"/>
        <w:right w:val="none" w:sz="0" w:space="0" w:color="auto"/>
      </w:divBdr>
    </w:div>
    <w:div w:id="1034892181">
      <w:bodyDiv w:val="1"/>
      <w:marLeft w:val="0"/>
      <w:marRight w:val="0"/>
      <w:marTop w:val="0"/>
      <w:marBottom w:val="0"/>
      <w:divBdr>
        <w:top w:val="none" w:sz="0" w:space="0" w:color="auto"/>
        <w:left w:val="none" w:sz="0" w:space="0" w:color="auto"/>
        <w:bottom w:val="none" w:sz="0" w:space="0" w:color="auto"/>
        <w:right w:val="none" w:sz="0" w:space="0" w:color="auto"/>
      </w:divBdr>
    </w:div>
    <w:div w:id="1142119442">
      <w:bodyDiv w:val="1"/>
      <w:marLeft w:val="0"/>
      <w:marRight w:val="0"/>
      <w:marTop w:val="0"/>
      <w:marBottom w:val="0"/>
      <w:divBdr>
        <w:top w:val="none" w:sz="0" w:space="0" w:color="auto"/>
        <w:left w:val="none" w:sz="0" w:space="0" w:color="auto"/>
        <w:bottom w:val="none" w:sz="0" w:space="0" w:color="auto"/>
        <w:right w:val="none" w:sz="0" w:space="0" w:color="auto"/>
      </w:divBdr>
    </w:div>
    <w:div w:id="1225945287">
      <w:bodyDiv w:val="1"/>
      <w:marLeft w:val="0"/>
      <w:marRight w:val="0"/>
      <w:marTop w:val="0"/>
      <w:marBottom w:val="0"/>
      <w:divBdr>
        <w:top w:val="none" w:sz="0" w:space="0" w:color="auto"/>
        <w:left w:val="none" w:sz="0" w:space="0" w:color="auto"/>
        <w:bottom w:val="none" w:sz="0" w:space="0" w:color="auto"/>
        <w:right w:val="none" w:sz="0" w:space="0" w:color="auto"/>
      </w:divBdr>
    </w:div>
    <w:div w:id="1401976788">
      <w:bodyDiv w:val="1"/>
      <w:marLeft w:val="0"/>
      <w:marRight w:val="0"/>
      <w:marTop w:val="0"/>
      <w:marBottom w:val="0"/>
      <w:divBdr>
        <w:top w:val="none" w:sz="0" w:space="0" w:color="auto"/>
        <w:left w:val="none" w:sz="0" w:space="0" w:color="auto"/>
        <w:bottom w:val="none" w:sz="0" w:space="0" w:color="auto"/>
        <w:right w:val="none" w:sz="0" w:space="0" w:color="auto"/>
      </w:divBdr>
    </w:div>
    <w:div w:id="1533420155">
      <w:bodyDiv w:val="1"/>
      <w:marLeft w:val="0"/>
      <w:marRight w:val="0"/>
      <w:marTop w:val="0"/>
      <w:marBottom w:val="0"/>
      <w:divBdr>
        <w:top w:val="none" w:sz="0" w:space="0" w:color="auto"/>
        <w:left w:val="none" w:sz="0" w:space="0" w:color="auto"/>
        <w:bottom w:val="none" w:sz="0" w:space="0" w:color="auto"/>
        <w:right w:val="none" w:sz="0" w:space="0" w:color="auto"/>
      </w:divBdr>
    </w:div>
    <w:div w:id="1773352879">
      <w:bodyDiv w:val="1"/>
      <w:marLeft w:val="0"/>
      <w:marRight w:val="0"/>
      <w:marTop w:val="0"/>
      <w:marBottom w:val="0"/>
      <w:divBdr>
        <w:top w:val="none" w:sz="0" w:space="0" w:color="auto"/>
        <w:left w:val="none" w:sz="0" w:space="0" w:color="auto"/>
        <w:bottom w:val="none" w:sz="0" w:space="0" w:color="auto"/>
        <w:right w:val="none" w:sz="0" w:space="0" w:color="auto"/>
      </w:divBdr>
    </w:div>
    <w:div w:id="1910142872">
      <w:bodyDiv w:val="1"/>
      <w:marLeft w:val="0"/>
      <w:marRight w:val="0"/>
      <w:marTop w:val="0"/>
      <w:marBottom w:val="0"/>
      <w:divBdr>
        <w:top w:val="none" w:sz="0" w:space="0" w:color="auto"/>
        <w:left w:val="none" w:sz="0" w:space="0" w:color="auto"/>
        <w:bottom w:val="none" w:sz="0" w:space="0" w:color="auto"/>
        <w:right w:val="none" w:sz="0" w:space="0" w:color="auto"/>
      </w:divBdr>
      <w:divsChild>
        <w:div w:id="188877003">
          <w:marLeft w:val="0"/>
          <w:marRight w:val="0"/>
          <w:marTop w:val="0"/>
          <w:marBottom w:val="0"/>
          <w:divBdr>
            <w:top w:val="none" w:sz="0" w:space="0" w:color="auto"/>
            <w:left w:val="none" w:sz="0" w:space="0" w:color="auto"/>
            <w:bottom w:val="none" w:sz="0" w:space="0" w:color="auto"/>
            <w:right w:val="none" w:sz="0" w:space="0" w:color="auto"/>
          </w:divBdr>
        </w:div>
        <w:div w:id="1419711068">
          <w:marLeft w:val="0"/>
          <w:marRight w:val="0"/>
          <w:marTop w:val="0"/>
          <w:marBottom w:val="0"/>
          <w:divBdr>
            <w:top w:val="none" w:sz="0" w:space="0" w:color="auto"/>
            <w:left w:val="none" w:sz="0" w:space="0" w:color="auto"/>
            <w:bottom w:val="none" w:sz="0" w:space="0" w:color="auto"/>
            <w:right w:val="none" w:sz="0" w:space="0" w:color="auto"/>
          </w:divBdr>
        </w:div>
      </w:divsChild>
    </w:div>
    <w:div w:id="1962832748">
      <w:bodyDiv w:val="1"/>
      <w:marLeft w:val="0"/>
      <w:marRight w:val="0"/>
      <w:marTop w:val="0"/>
      <w:marBottom w:val="0"/>
      <w:divBdr>
        <w:top w:val="none" w:sz="0" w:space="0" w:color="auto"/>
        <w:left w:val="none" w:sz="0" w:space="0" w:color="auto"/>
        <w:bottom w:val="none" w:sz="0" w:space="0" w:color="auto"/>
        <w:right w:val="none" w:sz="0" w:space="0" w:color="auto"/>
      </w:divBdr>
    </w:div>
    <w:div w:id="1971862892">
      <w:bodyDiv w:val="1"/>
      <w:marLeft w:val="0"/>
      <w:marRight w:val="0"/>
      <w:marTop w:val="0"/>
      <w:marBottom w:val="0"/>
      <w:divBdr>
        <w:top w:val="none" w:sz="0" w:space="0" w:color="auto"/>
        <w:left w:val="none" w:sz="0" w:space="0" w:color="auto"/>
        <w:bottom w:val="none" w:sz="0" w:space="0" w:color="auto"/>
        <w:right w:val="none" w:sz="0" w:space="0" w:color="auto"/>
      </w:divBdr>
    </w:div>
    <w:div w:id="20533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hrq.gov/professionals/clinicians-providers/ahrq-works/burnout/index.html" TargetMode="External"/><Relationship Id="rId3" Type="http://schemas.openxmlformats.org/officeDocument/2006/relationships/hyperlink" Target="http://www.cms.gov/Newsroom/MediaReleaseDatabase/Fact-sheets/2016-Fact-sheets-items/2016-02-16.html" TargetMode="External"/><Relationship Id="rId7" Type="http://schemas.openxmlformats.org/officeDocument/2006/relationships/hyperlink" Target="http://www.hca.wa.gov/about-hca/healthier-washington/performance-measures" TargetMode="External"/><Relationship Id="rId2" Type="http://schemas.openxmlformats.org/officeDocument/2006/relationships/hyperlink" Target="https://www.healthaffairs.org/doi/abs/10.1377/hlthaff.2015.1258" TargetMode="External"/><Relationship Id="rId1" Type="http://schemas.openxmlformats.org/officeDocument/2006/relationships/hyperlink" Target="http://www.mass.gov/anf/budget-taxes-and-procurement/oversight-agencies/health-policy-commission/publications/hpc-datapoint-5-quality-measurement-misalignment.html" TargetMode="External"/><Relationship Id="rId6" Type="http://schemas.openxmlformats.org/officeDocument/2006/relationships/hyperlink" Target="http://www.ohic.ri.gov/documents/2016-OHIC-Regulation-2-amendments-2016-12-12-Effective-2017-1-1.pdf" TargetMode="External"/><Relationship Id="rId5" Type="http://schemas.openxmlformats.org/officeDocument/2006/relationships/hyperlink" Target="http://www.oregon.gov/oha/HPA/ANALYTICS/Pages/Quality-Metrics-Committee.aspx" TargetMode="External"/><Relationship Id="rId10" Type="http://schemas.openxmlformats.org/officeDocument/2006/relationships/hyperlink" Target="http://mhqp.org" TargetMode="External"/><Relationship Id="rId4" Type="http://schemas.openxmlformats.org/officeDocument/2006/relationships/hyperlink" Target="http://www.cms.gov/Newsroom/MediaReleaseDatabase/Fact-sheets/2017-Fact-Sheet-items/2017-07-28.html" TargetMode="External"/><Relationship Id="rId9" Type="http://schemas.openxmlformats.org/officeDocument/2006/relationships/hyperlink" Target="http://www.ahrq.gov/cahps/surveys-guidance/c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anneganti\AppData\Roaming\Microsoft\Templates\Single%20spaced%20(blank).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Kanneganti\AppData\Local\Microsoft\Windows\INetCache\Content.Outlook\IC8D89JK\Taskforce%20measure%20alignment%20visu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51702640802646"/>
          <c:y val="6.7349836812988811E-2"/>
          <c:w val="0.84193839106762558"/>
          <c:h val="0.76843851678516217"/>
        </c:manualLayout>
      </c:layout>
      <c:barChart>
        <c:barDir val="col"/>
        <c:grouping val="stacked"/>
        <c:varyColors val="0"/>
        <c:ser>
          <c:idx val="0"/>
          <c:order val="0"/>
          <c:tx>
            <c:strRef>
              <c:f>'[Taskforce measure alignment visuals.xlsx]Sheet3'!$B$23</c:f>
              <c:strCache>
                <c:ptCount val="1"/>
                <c:pt idx="0">
                  <c:v>Outcome</c:v>
                </c:pt>
              </c:strCache>
            </c:strRef>
          </c:tx>
          <c:spPr>
            <a:solidFill>
              <a:srgbClr val="002060"/>
            </a:solidFill>
            <a:ln>
              <a:noFill/>
            </a:ln>
          </c:spPr>
          <c:invertIfNegative val="0"/>
          <c:cat>
            <c:numRef>
              <c:f>'[Taskforce measure alignment visuals.xlsx]Sheet3'!$A$24:$A$28</c:f>
              <c:numCache>
                <c:formatCode>General</c:formatCode>
                <c:ptCount val="5"/>
                <c:pt idx="0">
                  <c:v>1</c:v>
                </c:pt>
                <c:pt idx="1">
                  <c:v>2</c:v>
                </c:pt>
                <c:pt idx="2">
                  <c:v>3</c:v>
                </c:pt>
                <c:pt idx="3">
                  <c:v>4</c:v>
                </c:pt>
                <c:pt idx="4">
                  <c:v>5</c:v>
                </c:pt>
              </c:numCache>
            </c:numRef>
          </c:cat>
          <c:val>
            <c:numRef>
              <c:f>'[Taskforce measure alignment visuals.xlsx]Sheet3'!$B$24:$B$28</c:f>
              <c:numCache>
                <c:formatCode>General</c:formatCode>
                <c:ptCount val="5"/>
                <c:pt idx="0">
                  <c:v>19</c:v>
                </c:pt>
                <c:pt idx="1">
                  <c:v>3</c:v>
                </c:pt>
                <c:pt idx="2">
                  <c:v>1</c:v>
                </c:pt>
                <c:pt idx="3">
                  <c:v>1</c:v>
                </c:pt>
                <c:pt idx="4">
                  <c:v>1</c:v>
                </c:pt>
              </c:numCache>
            </c:numRef>
          </c:val>
          <c:extLst>
            <c:ext xmlns:c16="http://schemas.microsoft.com/office/drawing/2014/chart" uri="{C3380CC4-5D6E-409C-BE32-E72D297353CC}">
              <c16:uniqueId val="{00000000-CE73-476D-ADF0-3FC077E0746B}"/>
            </c:ext>
          </c:extLst>
        </c:ser>
        <c:ser>
          <c:idx val="1"/>
          <c:order val="1"/>
          <c:tx>
            <c:strRef>
              <c:f>'[Taskforce measure alignment visuals.xlsx]Sheet3'!$C$23</c:f>
              <c:strCache>
                <c:ptCount val="1"/>
                <c:pt idx="0">
                  <c:v>Patient Experience</c:v>
                </c:pt>
              </c:strCache>
            </c:strRef>
          </c:tx>
          <c:spPr>
            <a:solidFill>
              <a:srgbClr val="FFC000"/>
            </a:solidFill>
            <a:ln>
              <a:noFill/>
            </a:ln>
          </c:spPr>
          <c:invertIfNegative val="0"/>
          <c:cat>
            <c:numRef>
              <c:f>'[Taskforce measure alignment visuals.xlsx]Sheet3'!$A$24:$A$28</c:f>
              <c:numCache>
                <c:formatCode>General</c:formatCode>
                <c:ptCount val="5"/>
                <c:pt idx="0">
                  <c:v>1</c:v>
                </c:pt>
                <c:pt idx="1">
                  <c:v>2</c:v>
                </c:pt>
                <c:pt idx="2">
                  <c:v>3</c:v>
                </c:pt>
                <c:pt idx="3">
                  <c:v>4</c:v>
                </c:pt>
                <c:pt idx="4">
                  <c:v>5</c:v>
                </c:pt>
              </c:numCache>
            </c:numRef>
          </c:cat>
          <c:val>
            <c:numRef>
              <c:f>'[Taskforce measure alignment visuals.xlsx]Sheet3'!$C$24:$C$28</c:f>
              <c:numCache>
                <c:formatCode>General</c:formatCode>
                <c:ptCount val="5"/>
                <c:pt idx="0">
                  <c:v>11</c:v>
                </c:pt>
                <c:pt idx="1">
                  <c:v>6</c:v>
                </c:pt>
                <c:pt idx="2">
                  <c:v>6</c:v>
                </c:pt>
                <c:pt idx="3">
                  <c:v>0</c:v>
                </c:pt>
                <c:pt idx="4">
                  <c:v>0</c:v>
                </c:pt>
              </c:numCache>
            </c:numRef>
          </c:val>
          <c:extLst>
            <c:ext xmlns:c16="http://schemas.microsoft.com/office/drawing/2014/chart" uri="{C3380CC4-5D6E-409C-BE32-E72D297353CC}">
              <c16:uniqueId val="{00000001-CE73-476D-ADF0-3FC077E0746B}"/>
            </c:ext>
          </c:extLst>
        </c:ser>
        <c:ser>
          <c:idx val="2"/>
          <c:order val="2"/>
          <c:tx>
            <c:strRef>
              <c:f>'[Taskforce measure alignment visuals.xlsx]Sheet3'!$D$23</c:f>
              <c:strCache>
                <c:ptCount val="1"/>
                <c:pt idx="0">
                  <c:v>Process</c:v>
                </c:pt>
              </c:strCache>
            </c:strRef>
          </c:tx>
          <c:spPr>
            <a:solidFill>
              <a:schemeClr val="bg1">
                <a:lumMod val="75000"/>
              </a:schemeClr>
            </a:solidFill>
            <a:ln>
              <a:noFill/>
            </a:ln>
          </c:spPr>
          <c:invertIfNegative val="0"/>
          <c:dLbls>
            <c:dLbl>
              <c:idx val="0"/>
              <c:layout>
                <c:manualLayout>
                  <c:x val="-2.0980550508109758E-3"/>
                  <c:y val="-0.200660710876718"/>
                </c:manualLayout>
              </c:layout>
              <c:tx>
                <c:rich>
                  <a:bodyPr/>
                  <a:lstStyle/>
                  <a:p>
                    <a:r>
                      <a:rPr lang="en-US" sz="1100" b="1"/>
                      <a:t>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73-476D-ADF0-3FC077E0746B}"/>
                </c:ext>
              </c:extLst>
            </c:dLbl>
            <c:dLbl>
              <c:idx val="1"/>
              <c:layout>
                <c:manualLayout>
                  <c:x val="0"/>
                  <c:y val="-9.1254734637738463E-2"/>
                </c:manualLayout>
              </c:layout>
              <c:tx>
                <c:rich>
                  <a:bodyPr/>
                  <a:lstStyle/>
                  <a:p>
                    <a:r>
                      <a:rPr lang="en-US" sz="1100" b="1"/>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73-476D-ADF0-3FC077E0746B}"/>
                </c:ext>
              </c:extLst>
            </c:dLbl>
            <c:dLbl>
              <c:idx val="2"/>
              <c:layout>
                <c:manualLayout>
                  <c:x val="0"/>
                  <c:y val="-6.3371343498429392E-2"/>
                </c:manualLayout>
              </c:layout>
              <c:tx>
                <c:rich>
                  <a:bodyPr/>
                  <a:lstStyle/>
                  <a:p>
                    <a:r>
                      <a:rPr lang="en-US" sz="1100" b="1"/>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73-476D-ADF0-3FC077E0746B}"/>
                </c:ext>
              </c:extLst>
            </c:dLbl>
            <c:dLbl>
              <c:idx val="3"/>
              <c:layout>
                <c:manualLayout>
                  <c:x val="-7.6928893803320762E-17"/>
                  <c:y val="-7.0975904718241029E-2"/>
                </c:manualLayout>
              </c:layout>
              <c:tx>
                <c:rich>
                  <a:bodyPr/>
                  <a:lstStyle/>
                  <a:p>
                    <a:r>
                      <a:rPr lang="en-US" sz="1100" b="1"/>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73-476D-ADF0-3FC077E0746B}"/>
                </c:ext>
              </c:extLst>
            </c:dLbl>
            <c:dLbl>
              <c:idx val="4"/>
              <c:layout>
                <c:manualLayout>
                  <c:x val="0"/>
                  <c:y val="-3.2953098619183337E-2"/>
                </c:manualLayout>
              </c:layout>
              <c:tx>
                <c:rich>
                  <a:bodyPr/>
                  <a:lstStyle/>
                  <a:p>
                    <a:r>
                      <a:rPr lang="en-US" sz="1100" b="1"/>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73-476D-ADF0-3FC077E0746B}"/>
                </c:ext>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'[Taskforce measure alignment visuals.xlsx]Sheet3'!$A$24:$A$28</c:f>
              <c:numCache>
                <c:formatCode>General</c:formatCode>
                <c:ptCount val="5"/>
                <c:pt idx="0">
                  <c:v>1</c:v>
                </c:pt>
                <c:pt idx="1">
                  <c:v>2</c:v>
                </c:pt>
                <c:pt idx="2">
                  <c:v>3</c:v>
                </c:pt>
                <c:pt idx="3">
                  <c:v>4</c:v>
                </c:pt>
                <c:pt idx="4">
                  <c:v>5</c:v>
                </c:pt>
              </c:numCache>
            </c:numRef>
          </c:cat>
          <c:val>
            <c:numRef>
              <c:f>'[Taskforce measure alignment visuals.xlsx]Sheet3'!$D$24:$D$28</c:f>
              <c:numCache>
                <c:formatCode>General</c:formatCode>
                <c:ptCount val="5"/>
                <c:pt idx="0">
                  <c:v>32</c:v>
                </c:pt>
                <c:pt idx="1">
                  <c:v>12</c:v>
                </c:pt>
                <c:pt idx="2">
                  <c:v>7</c:v>
                </c:pt>
                <c:pt idx="3">
                  <c:v>7</c:v>
                </c:pt>
                <c:pt idx="4">
                  <c:v>0</c:v>
                </c:pt>
              </c:numCache>
            </c:numRef>
          </c:val>
          <c:extLst>
            <c:ext xmlns:c16="http://schemas.microsoft.com/office/drawing/2014/chart" uri="{C3380CC4-5D6E-409C-BE32-E72D297353CC}">
              <c16:uniqueId val="{00000007-CE73-476D-ADF0-3FC077E0746B}"/>
            </c:ext>
          </c:extLst>
        </c:ser>
        <c:dLbls>
          <c:showLegendKey val="0"/>
          <c:showVal val="0"/>
          <c:showCatName val="0"/>
          <c:showSerName val="0"/>
          <c:showPercent val="0"/>
          <c:showBubbleSize val="0"/>
        </c:dLbls>
        <c:gapWidth val="50"/>
        <c:overlap val="100"/>
        <c:axId val="74300032"/>
        <c:axId val="74302208"/>
      </c:barChart>
      <c:catAx>
        <c:axId val="74300032"/>
        <c:scaling>
          <c:orientation val="minMax"/>
        </c:scaling>
        <c:delete val="0"/>
        <c:axPos val="b"/>
        <c:title>
          <c:tx>
            <c:rich>
              <a:bodyPr/>
              <a:lstStyle/>
              <a:p>
                <a:pPr>
                  <a:defRPr sz="1100"/>
                </a:pPr>
                <a:r>
                  <a:rPr lang="en-US" sz="1100"/>
                  <a:t>Number of Payers Using Measure</a:t>
                </a:r>
              </a:p>
            </c:rich>
          </c:tx>
          <c:overlay val="0"/>
        </c:title>
        <c:numFmt formatCode="General" sourceLinked="1"/>
        <c:majorTickMark val="none"/>
        <c:minorTickMark val="none"/>
        <c:tickLblPos val="nextTo"/>
        <c:txPr>
          <a:bodyPr/>
          <a:lstStyle/>
          <a:p>
            <a:pPr>
              <a:defRPr sz="1100"/>
            </a:pPr>
            <a:endParaRPr lang="en-US"/>
          </a:p>
        </c:txPr>
        <c:crossAx val="74302208"/>
        <c:crosses val="autoZero"/>
        <c:auto val="1"/>
        <c:lblAlgn val="ctr"/>
        <c:lblOffset val="100"/>
        <c:tickLblSkip val="1"/>
        <c:noMultiLvlLbl val="0"/>
      </c:catAx>
      <c:valAx>
        <c:axId val="74302208"/>
        <c:scaling>
          <c:orientation val="minMax"/>
        </c:scaling>
        <c:delete val="0"/>
        <c:axPos val="l"/>
        <c:majorGridlines>
          <c:spPr>
            <a:ln>
              <a:noFill/>
            </a:ln>
          </c:spPr>
        </c:majorGridlines>
        <c:title>
          <c:tx>
            <c:rich>
              <a:bodyPr/>
              <a:lstStyle/>
              <a:p>
                <a:pPr>
                  <a:defRPr/>
                </a:pPr>
                <a:r>
                  <a:rPr lang="en-US" sz="1100"/>
                  <a:t>Number of Measures</a:t>
                </a:r>
              </a:p>
            </c:rich>
          </c:tx>
          <c:layout>
            <c:manualLayout>
              <c:xMode val="edge"/>
              <c:yMode val="edge"/>
              <c:x val="1.9258522020403086E-2"/>
              <c:y val="0.2073312753714005"/>
            </c:manualLayout>
          </c:layout>
          <c:overlay val="0"/>
        </c:title>
        <c:numFmt formatCode="General" sourceLinked="1"/>
        <c:majorTickMark val="out"/>
        <c:minorTickMark val="none"/>
        <c:tickLblPos val="nextTo"/>
        <c:txPr>
          <a:bodyPr/>
          <a:lstStyle/>
          <a:p>
            <a:pPr>
              <a:defRPr sz="1100"/>
            </a:pPr>
            <a:endParaRPr lang="en-US"/>
          </a:p>
        </c:txPr>
        <c:crossAx val="74300032"/>
        <c:crosses val="autoZero"/>
        <c:crossBetween val="between"/>
      </c:valAx>
    </c:plotArea>
    <c:legend>
      <c:legendPos val="t"/>
      <c:layout>
        <c:manualLayout>
          <c:xMode val="edge"/>
          <c:yMode val="edge"/>
          <c:x val="0.52850257864855754"/>
          <c:y val="0.11446714756820765"/>
          <c:w val="0.36005422713376356"/>
          <c:h val="0.26162018842911267"/>
        </c:manualLayout>
      </c:layout>
      <c:overlay val="0"/>
      <c:txPr>
        <a:bodyPr/>
        <a:lstStyle/>
        <a:p>
          <a:pPr>
            <a:defRPr sz="1100"/>
          </a:pPr>
          <a:endParaRPr lang="en-US"/>
        </a:p>
      </c:txPr>
    </c:legend>
    <c:plotVisOnly val="1"/>
    <c:dispBlanksAs val="gap"/>
    <c:showDLblsOverMax val="0"/>
  </c:chart>
  <c:spPr>
    <a:ln>
      <a:noFill/>
    </a:ln>
  </c:spPr>
  <c:txPr>
    <a:bodyPr/>
    <a:lstStyle/>
    <a:p>
      <a:pPr>
        <a:defRPr>
          <a:latin typeface="Book Antiqua" panose="0204060205030503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Deepti Kanneganti</DisplayName>
        <AccountId>15</AccountId>
        <AccountType/>
      </UserInfo>
      <UserInfo>
        <DisplayName>Michael Bailit</DisplayName>
        <AccountId>22</AccountId>
        <AccountType/>
      </UserInfo>
      <UserInfo>
        <DisplayName>Justine Zayhowski</DisplayName>
        <AccountId>2633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4" ma:contentTypeDescription="Create a new document." ma:contentTypeScope="" ma:versionID="bbea1032490aa0461f96750d679ca1ce">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60fe8ce23685696432a4a438cad5c38f"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d29a8555-db37-4257-91ea-e6d336cdedf2"/>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dc536f-1af3-405a-935d-0fb3b6674883"/>
    <ds:schemaRef ds:uri="http://www.w3.org/XML/1998/namespace"/>
  </ds:schemaRefs>
</ds:datastoreItem>
</file>

<file path=customXml/itemProps2.xml><?xml version="1.0" encoding="utf-8"?>
<ds:datastoreItem xmlns:ds="http://schemas.openxmlformats.org/officeDocument/2006/customXml" ds:itemID="{D4E38F36-9C24-4452-9BF8-848542197ED9}">
  <ds:schemaRefs>
    <ds:schemaRef ds:uri="http://schemas.microsoft.com/sharepoint/v3/contenttype/forms"/>
  </ds:schemaRefs>
</ds:datastoreItem>
</file>

<file path=customXml/itemProps3.xml><?xml version="1.0" encoding="utf-8"?>
<ds:datastoreItem xmlns:ds="http://schemas.openxmlformats.org/officeDocument/2006/customXml" ds:itemID="{C32D30C9-73CD-4E2B-A3C1-C9CC77BAE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76180-D347-49F6-8AC7-45BD6441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28</Pages>
  <Words>8594</Words>
  <Characters>48987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Deepti Kanneganti</dc:creator>
  <cp:lastModifiedBy>Justine Zayhowski</cp:lastModifiedBy>
  <cp:revision>8</cp:revision>
  <cp:lastPrinted>2018-07-27T13:40:00Z</cp:lastPrinted>
  <dcterms:created xsi:type="dcterms:W3CDTF">2019-02-25T14:23:00Z</dcterms:created>
  <dcterms:modified xsi:type="dcterms:W3CDTF">2019-04-05T17:15:00Z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0x010100F3F9B95F2EE52B4E9FB130DEE3F78C09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