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CE051C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871A42">
        <w:rPr>
          <w:rFonts w:ascii="Georgia" w:hAnsi="Georgia"/>
          <w:b/>
          <w:color w:val="990000"/>
          <w:sz w:val="22"/>
          <w:szCs w:val="22"/>
        </w:rPr>
        <w:t>9</w:t>
      </w:r>
      <w:r w:rsidRPr="00A32028">
        <w:rPr>
          <w:rFonts w:ascii="Georgia" w:hAnsi="Georgia"/>
          <w:b/>
          <w:color w:val="990000"/>
          <w:sz w:val="22"/>
          <w:szCs w:val="22"/>
        </w:rPr>
        <w:t>-</w:t>
      </w:r>
      <w:r w:rsidR="00F6118D">
        <w:rPr>
          <w:rFonts w:ascii="Georgia" w:hAnsi="Georgia"/>
          <w:b/>
          <w:color w:val="990000"/>
          <w:sz w:val="22"/>
          <w:szCs w:val="22"/>
        </w:rPr>
        <w:t>08</w:t>
      </w:r>
    </w:p>
    <w:p w:rsidR="00871A42" w:rsidRPr="00A32028" w:rsidRDefault="00F6118D" w:rsidP="00871A42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 15</w:t>
      </w:r>
      <w:r w:rsidR="00871A42">
        <w:rPr>
          <w:rFonts w:ascii="Georgia" w:hAnsi="Georgia"/>
          <w:b/>
          <w:color w:val="990000"/>
          <w:sz w:val="22"/>
          <w:szCs w:val="22"/>
        </w:rPr>
        <w:t>,</w:t>
      </w:r>
      <w:r w:rsidR="00871A42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871A42">
        <w:rPr>
          <w:rFonts w:ascii="Georgia" w:hAnsi="Georgia"/>
          <w:b/>
          <w:color w:val="990000"/>
          <w:sz w:val="22"/>
          <w:szCs w:val="22"/>
        </w:rPr>
        <w:t>2019</w:t>
      </w: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bookmarkStart w:id="0" w:name="_GoBack"/>
      <w:bookmarkEnd w:id="0"/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BE3220" w:rsidRDefault="00BE3220" w:rsidP="00BE3220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0C385C">
        <w:rPr>
          <w:rFonts w:ascii="Georgia" w:hAnsi="Georgia"/>
          <w:sz w:val="22"/>
          <w:szCs w:val="22"/>
        </w:rPr>
        <w:t>TO:</w:t>
      </w:r>
      <w:r w:rsidRPr="000C385C">
        <w:rPr>
          <w:rFonts w:ascii="Georgia" w:hAnsi="Georgia"/>
          <w:sz w:val="22"/>
          <w:szCs w:val="22"/>
        </w:rPr>
        <w:tab/>
        <w:t>MassHealth Eligibility Operations Staff</w:t>
      </w:r>
    </w:p>
    <w:p w:rsidR="007F27B4" w:rsidRPr="000C385C" w:rsidRDefault="007F27B4" w:rsidP="00BE3220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BE3220" w:rsidRPr="000C385C" w:rsidRDefault="00BE3220" w:rsidP="00BE3220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0C385C">
        <w:rPr>
          <w:rFonts w:ascii="Georgia" w:hAnsi="Georgia"/>
          <w:sz w:val="22"/>
          <w:szCs w:val="22"/>
        </w:rPr>
        <w:t>FROM:</w:t>
      </w:r>
      <w:r w:rsidRPr="000C385C">
        <w:rPr>
          <w:rFonts w:ascii="Georgia" w:hAnsi="Georgia"/>
          <w:sz w:val="22"/>
          <w:szCs w:val="22"/>
        </w:rPr>
        <w:tab/>
        <w:t>Heather Rossi, Deputy Policy Dire</w:t>
      </w:r>
      <w:r w:rsidR="007F27B4">
        <w:rPr>
          <w:rFonts w:ascii="Georgia" w:hAnsi="Georgia"/>
          <w:sz w:val="22"/>
          <w:szCs w:val="22"/>
        </w:rPr>
        <w:t>ctor for Eligibility [Signature of Heather Rossi]</w:t>
      </w:r>
    </w:p>
    <w:p w:rsidR="00BE3220" w:rsidRPr="000C385C" w:rsidRDefault="00BE3220" w:rsidP="00BE3220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871A42" w:rsidRPr="002E3F33" w:rsidRDefault="004117FD" w:rsidP="00BE3220">
      <w:pPr>
        <w:tabs>
          <w:tab w:val="left" w:pos="900"/>
        </w:tabs>
        <w:ind w:left="1440" w:right="576" w:hanging="900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871A42" w:rsidRPr="002E3F33">
        <w:rPr>
          <w:rFonts w:ascii="Georgia" w:hAnsi="Georgia"/>
          <w:sz w:val="22"/>
          <w:szCs w:val="22"/>
        </w:rPr>
        <w:t>The Act Relative to Veterans Benefits, Rights, Appreciation, Validation, and Enforcement (BRAVE Act)</w:t>
      </w:r>
    </w:p>
    <w:p w:rsidR="004117FD" w:rsidRPr="003737F7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871A42" w:rsidRPr="009D59BC" w:rsidRDefault="00871A42" w:rsidP="00871A42">
      <w:pPr>
        <w:ind w:left="3456" w:right="576" w:hanging="2880"/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  <w:r w:rsidRPr="009D59BC">
        <w:rPr>
          <w:rFonts w:ascii="Georgia" w:hAnsi="Georgia"/>
          <w:b/>
          <w:color w:val="FF0000"/>
          <w:sz w:val="24"/>
          <w:szCs w:val="24"/>
        </w:rPr>
        <w:t xml:space="preserve"> 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871A42" w:rsidRPr="00165D0F" w:rsidRDefault="00871A42" w:rsidP="00871A42">
      <w:pPr>
        <w:ind w:left="576" w:right="576"/>
        <w:rPr>
          <w:rFonts w:ascii="Georgia" w:hAnsi="Georgia" w:cs="Arial"/>
          <w:sz w:val="22"/>
          <w:szCs w:val="22"/>
        </w:rPr>
      </w:pPr>
      <w:r w:rsidRPr="00812A16">
        <w:rPr>
          <w:rFonts w:ascii="Georgia" w:hAnsi="Georgia" w:cs="Arial"/>
          <w:sz w:val="22"/>
          <w:szCs w:val="22"/>
        </w:rPr>
        <w:t xml:space="preserve">The Act Relative to Veterans Benefits, Rights, Appreciation, Validation and Enforcement, known as the “BRAVE Act,” is a new Act that was signed into law last year by </w:t>
      </w:r>
      <w:r>
        <w:rPr>
          <w:rFonts w:ascii="Georgia" w:hAnsi="Georgia" w:cs="Arial"/>
          <w:sz w:val="22"/>
          <w:szCs w:val="22"/>
        </w:rPr>
        <w:t xml:space="preserve">the </w:t>
      </w:r>
      <w:r w:rsidRPr="00812A16">
        <w:rPr>
          <w:rFonts w:ascii="Georgia" w:hAnsi="Georgia" w:cs="Arial"/>
          <w:sz w:val="22"/>
          <w:szCs w:val="22"/>
        </w:rPr>
        <w:t xml:space="preserve">Massachusetts Legislature and became effective November 7, 2018. The purpose of </w:t>
      </w:r>
      <w:r>
        <w:rPr>
          <w:rFonts w:ascii="Georgia" w:hAnsi="Georgia" w:cs="Arial"/>
          <w:sz w:val="22"/>
          <w:szCs w:val="22"/>
        </w:rPr>
        <w:t>the BRAVE</w:t>
      </w:r>
      <w:r w:rsidRPr="00812A16">
        <w:rPr>
          <w:rFonts w:ascii="Georgia" w:hAnsi="Georgia" w:cs="Arial"/>
          <w:sz w:val="22"/>
          <w:szCs w:val="22"/>
        </w:rPr>
        <w:t xml:space="preserve"> Act is to improve and expand the</w:t>
      </w:r>
      <w:r>
        <w:rPr>
          <w:rFonts w:ascii="Georgia" w:hAnsi="Georgia" w:cs="Arial"/>
          <w:sz w:val="22"/>
          <w:szCs w:val="22"/>
        </w:rPr>
        <w:t xml:space="preserve"> </w:t>
      </w:r>
      <w:r w:rsidRPr="00812A16">
        <w:rPr>
          <w:rFonts w:ascii="Georgia" w:hAnsi="Georgia" w:cs="Arial"/>
          <w:sz w:val="22"/>
          <w:szCs w:val="22"/>
        </w:rPr>
        <w:t>benefits</w:t>
      </w:r>
      <w:r>
        <w:rPr>
          <w:rFonts w:ascii="Georgia" w:hAnsi="Georgia" w:cs="Arial"/>
          <w:sz w:val="22"/>
          <w:szCs w:val="22"/>
        </w:rPr>
        <w:t xml:space="preserve"> </w:t>
      </w:r>
      <w:r w:rsidRPr="003433D6">
        <w:rPr>
          <w:rFonts w:ascii="Georgia" w:hAnsi="Georgia" w:cs="Arial"/>
          <w:sz w:val="22"/>
          <w:szCs w:val="22"/>
        </w:rPr>
        <w:t>available</w:t>
      </w:r>
      <w:r w:rsidRPr="00812A1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to</w:t>
      </w:r>
      <w:r w:rsidRPr="00812A16">
        <w:rPr>
          <w:rFonts w:ascii="Georgia" w:hAnsi="Georgia" w:cs="Arial"/>
          <w:sz w:val="22"/>
          <w:szCs w:val="22"/>
        </w:rPr>
        <w:t xml:space="preserve"> the Commonwealth’s veterans, active military members, and their families.</w:t>
      </w:r>
    </w:p>
    <w:p w:rsidR="005B3A7D" w:rsidRPr="00165D0F" w:rsidRDefault="005B3A7D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871A42" w:rsidRPr="009D59BC" w:rsidRDefault="00871A42" w:rsidP="00871A42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Massachusetts General Law Amendment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871A42" w:rsidRPr="00165D0F" w:rsidRDefault="00871A42" w:rsidP="00871A42">
      <w:pPr>
        <w:ind w:left="576" w:right="576"/>
        <w:rPr>
          <w:rFonts w:ascii="Georgia" w:hAnsi="Georgia" w:cs="Arial"/>
          <w:sz w:val="22"/>
          <w:szCs w:val="22"/>
        </w:rPr>
      </w:pPr>
      <w:r w:rsidRPr="00812A16">
        <w:rPr>
          <w:rFonts w:ascii="Georgia" w:hAnsi="Georgia" w:cs="Arial"/>
          <w:sz w:val="22"/>
          <w:szCs w:val="22"/>
        </w:rPr>
        <w:t>The</w:t>
      </w:r>
      <w:r>
        <w:rPr>
          <w:rFonts w:ascii="Georgia" w:hAnsi="Georgia" w:cs="Arial"/>
          <w:sz w:val="22"/>
          <w:szCs w:val="22"/>
        </w:rPr>
        <w:t xml:space="preserve"> BRAVE Act</w:t>
      </w:r>
      <w:r w:rsidRPr="00812A16">
        <w:rPr>
          <w:rFonts w:ascii="Georgia" w:hAnsi="Georgia" w:cs="Arial"/>
          <w:sz w:val="22"/>
          <w:szCs w:val="22"/>
        </w:rPr>
        <w:t xml:space="preserve"> amended Section 25 of Massachusetts General Laws (M</w:t>
      </w:r>
      <w:r>
        <w:rPr>
          <w:rFonts w:ascii="Georgia" w:hAnsi="Georgia" w:cs="Arial"/>
          <w:sz w:val="22"/>
          <w:szCs w:val="22"/>
        </w:rPr>
        <w:t>.</w:t>
      </w:r>
      <w:r w:rsidRPr="00812A16">
        <w:rPr>
          <w:rFonts w:ascii="Georgia" w:hAnsi="Georgia" w:cs="Arial"/>
          <w:sz w:val="22"/>
          <w:szCs w:val="22"/>
        </w:rPr>
        <w:t>G</w:t>
      </w:r>
      <w:r>
        <w:rPr>
          <w:rFonts w:ascii="Georgia" w:hAnsi="Georgia" w:cs="Arial"/>
          <w:sz w:val="22"/>
          <w:szCs w:val="22"/>
        </w:rPr>
        <w:t>.</w:t>
      </w:r>
      <w:r w:rsidRPr="00812A16">
        <w:rPr>
          <w:rFonts w:ascii="Georgia" w:hAnsi="Georgia" w:cs="Arial"/>
          <w:sz w:val="22"/>
          <w:szCs w:val="22"/>
        </w:rPr>
        <w:t>L</w:t>
      </w:r>
      <w:r>
        <w:rPr>
          <w:rFonts w:ascii="Georgia" w:hAnsi="Georgia" w:cs="Arial"/>
          <w:sz w:val="22"/>
          <w:szCs w:val="22"/>
        </w:rPr>
        <w:t>.</w:t>
      </w:r>
      <w:r w:rsidRPr="00812A16">
        <w:rPr>
          <w:rFonts w:ascii="Georgia" w:hAnsi="Georgia" w:cs="Arial"/>
          <w:sz w:val="22"/>
          <w:szCs w:val="22"/>
        </w:rPr>
        <w:t>) chapter 118E in how we count federal veterans’ benefits. Under this amendment, MassHealth will disregard “the entire amount of a monthly payment to a veteran or a widowed spouse of a veteran, including pension, aid and attendance and housebound benefits, from the United States Department of Veterans Affairs if the veteran or widowed spouse would not have received such a payment from the United States Department of Veterans Affairs but for unreimbursed medical expense.”</w:t>
      </w:r>
    </w:p>
    <w:p w:rsidR="00871A42" w:rsidRDefault="00871A42" w:rsidP="00871A42">
      <w:pPr>
        <w:ind w:left="576" w:right="576"/>
        <w:rPr>
          <w:rFonts w:ascii="Georgia" w:hAnsi="Georgia" w:cs="Arial"/>
          <w:sz w:val="22"/>
          <w:szCs w:val="22"/>
        </w:rPr>
      </w:pPr>
    </w:p>
    <w:p w:rsidR="000E07BB" w:rsidRPr="00812A16" w:rsidRDefault="000E07BB" w:rsidP="000E07BB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Summary</w:t>
      </w:r>
    </w:p>
    <w:p w:rsidR="005B3A7D" w:rsidRPr="009D59BC" w:rsidRDefault="005B3A7D" w:rsidP="00AD4B0C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</w:p>
    <w:p w:rsidR="000E07BB" w:rsidRDefault="000E07BB" w:rsidP="000E07BB">
      <w:pPr>
        <w:ind w:left="576" w:right="576"/>
        <w:rPr>
          <w:rFonts w:ascii="Georgia" w:hAnsi="Georgia" w:cs="Arial"/>
          <w:sz w:val="22"/>
          <w:szCs w:val="22"/>
        </w:rPr>
      </w:pPr>
      <w:r w:rsidRPr="00812A16">
        <w:rPr>
          <w:rFonts w:ascii="Georgia" w:hAnsi="Georgia" w:cs="Arial"/>
          <w:sz w:val="22"/>
          <w:szCs w:val="22"/>
        </w:rPr>
        <w:t xml:space="preserve">The Department of Veterans Affairs (VA) </w:t>
      </w:r>
      <w:r>
        <w:rPr>
          <w:rFonts w:ascii="Georgia" w:hAnsi="Georgia" w:cs="Arial"/>
          <w:sz w:val="22"/>
          <w:szCs w:val="22"/>
        </w:rPr>
        <w:t>subtracts</w:t>
      </w:r>
      <w:r w:rsidRPr="00812A16">
        <w:rPr>
          <w:rFonts w:ascii="Georgia" w:hAnsi="Georgia" w:cs="Arial"/>
          <w:sz w:val="22"/>
          <w:szCs w:val="22"/>
        </w:rPr>
        <w:t xml:space="preserve"> unreimbursed medical expenses (or UME) when determining </w:t>
      </w:r>
      <w:r>
        <w:rPr>
          <w:rFonts w:ascii="Georgia" w:hAnsi="Georgia" w:cs="Arial"/>
          <w:sz w:val="22"/>
          <w:szCs w:val="22"/>
        </w:rPr>
        <w:t xml:space="preserve">eligibility for </w:t>
      </w:r>
      <w:r w:rsidRPr="00812A16">
        <w:rPr>
          <w:rFonts w:ascii="Georgia" w:hAnsi="Georgia" w:cs="Arial"/>
          <w:sz w:val="22"/>
          <w:szCs w:val="22"/>
        </w:rPr>
        <w:t>some needs-based pension</w:t>
      </w:r>
      <w:r>
        <w:rPr>
          <w:rFonts w:ascii="Georgia" w:hAnsi="Georgia" w:cs="Arial"/>
          <w:sz w:val="22"/>
          <w:szCs w:val="22"/>
        </w:rPr>
        <w:t>s</w:t>
      </w:r>
      <w:r w:rsidRPr="00812A16">
        <w:rPr>
          <w:rFonts w:ascii="Georgia" w:hAnsi="Georgia" w:cs="Arial"/>
          <w:sz w:val="22"/>
          <w:szCs w:val="22"/>
        </w:rPr>
        <w:t xml:space="preserve"> and compensation payments. Under the BRAVE Act, </w:t>
      </w:r>
      <w:r>
        <w:rPr>
          <w:rFonts w:ascii="Georgia" w:hAnsi="Georgia" w:cs="Arial"/>
          <w:sz w:val="22"/>
          <w:szCs w:val="22"/>
        </w:rPr>
        <w:t>MassHealth</w:t>
      </w:r>
      <w:r w:rsidRPr="00812A1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will</w:t>
      </w:r>
      <w:r w:rsidRPr="00812A16">
        <w:rPr>
          <w:rFonts w:ascii="Georgia" w:hAnsi="Georgia" w:cs="Arial"/>
          <w:sz w:val="22"/>
          <w:szCs w:val="22"/>
        </w:rPr>
        <w:t xml:space="preserve"> disregard the </w:t>
      </w:r>
      <w:r>
        <w:rPr>
          <w:rFonts w:ascii="Georgia" w:hAnsi="Georgia" w:cs="Arial"/>
          <w:sz w:val="22"/>
          <w:szCs w:val="22"/>
        </w:rPr>
        <w:t xml:space="preserve">entire </w:t>
      </w:r>
      <w:r w:rsidRPr="00812A16">
        <w:rPr>
          <w:rFonts w:ascii="Georgia" w:hAnsi="Georgia" w:cs="Arial"/>
          <w:sz w:val="22"/>
          <w:szCs w:val="22"/>
        </w:rPr>
        <w:t xml:space="preserve">VA </w:t>
      </w:r>
      <w:r>
        <w:rPr>
          <w:rFonts w:ascii="Georgia" w:hAnsi="Georgia" w:cs="Arial"/>
          <w:sz w:val="22"/>
          <w:szCs w:val="22"/>
        </w:rPr>
        <w:t>pension payment, for the non-MAGI population,</w:t>
      </w:r>
      <w:r w:rsidRPr="00812A16">
        <w:rPr>
          <w:rFonts w:ascii="Georgia" w:hAnsi="Georgia" w:cs="Arial"/>
          <w:sz w:val="22"/>
          <w:szCs w:val="22"/>
        </w:rPr>
        <w:t xml:space="preserve"> only if the individual is receiving such payment because of </w:t>
      </w:r>
      <w:r>
        <w:rPr>
          <w:rFonts w:ascii="Georgia" w:hAnsi="Georgia" w:cs="Arial"/>
          <w:sz w:val="22"/>
          <w:szCs w:val="22"/>
        </w:rPr>
        <w:t>UME</w:t>
      </w:r>
      <w:r w:rsidRPr="00812A16">
        <w:rPr>
          <w:rFonts w:ascii="Georgia" w:hAnsi="Georgia" w:cs="Arial"/>
          <w:sz w:val="22"/>
          <w:szCs w:val="22"/>
        </w:rPr>
        <w:t>. For example, if an individual was otherwise ineligible to receive a VA pension because they were over the income threshold</w:t>
      </w:r>
      <w:r>
        <w:rPr>
          <w:rFonts w:ascii="Georgia" w:hAnsi="Georgia" w:cs="Arial"/>
          <w:sz w:val="22"/>
          <w:szCs w:val="22"/>
        </w:rPr>
        <w:t>,</w:t>
      </w:r>
      <w:r w:rsidRPr="00812A16">
        <w:rPr>
          <w:rFonts w:ascii="Georgia" w:hAnsi="Georgia" w:cs="Arial"/>
          <w:sz w:val="22"/>
          <w:szCs w:val="22"/>
        </w:rPr>
        <w:t xml:space="preserve"> but </w:t>
      </w:r>
      <w:r>
        <w:rPr>
          <w:rFonts w:ascii="Georgia" w:hAnsi="Georgia" w:cs="Arial"/>
          <w:sz w:val="22"/>
          <w:szCs w:val="22"/>
        </w:rPr>
        <w:t>by deducting</w:t>
      </w:r>
      <w:r w:rsidRPr="00812A16">
        <w:rPr>
          <w:rFonts w:ascii="Georgia" w:hAnsi="Georgia" w:cs="Arial"/>
          <w:sz w:val="22"/>
          <w:szCs w:val="22"/>
        </w:rPr>
        <w:t xml:space="preserve"> their </w:t>
      </w:r>
      <w:r>
        <w:rPr>
          <w:rFonts w:ascii="Georgia" w:hAnsi="Georgia" w:cs="Arial"/>
          <w:sz w:val="22"/>
          <w:szCs w:val="22"/>
        </w:rPr>
        <w:t>UME</w:t>
      </w:r>
      <w:r w:rsidRPr="00812A16">
        <w:rPr>
          <w:rFonts w:ascii="Georgia" w:hAnsi="Georgia" w:cs="Arial"/>
          <w:sz w:val="22"/>
          <w:szCs w:val="22"/>
        </w:rPr>
        <w:t xml:space="preserve"> from their total income, they fall below their applicable threshold, MassHealth will disregard the entire veterans</w:t>
      </w:r>
      <w:r>
        <w:rPr>
          <w:rFonts w:ascii="Georgia" w:hAnsi="Georgia" w:cs="Arial"/>
          <w:sz w:val="22"/>
          <w:szCs w:val="22"/>
        </w:rPr>
        <w:t>’</w:t>
      </w:r>
      <w:r w:rsidRPr="00812A16">
        <w:rPr>
          <w:rFonts w:ascii="Georgia" w:hAnsi="Georgia" w:cs="Arial"/>
          <w:sz w:val="22"/>
          <w:szCs w:val="22"/>
        </w:rPr>
        <w:t xml:space="preserve"> payment in the financial eligibility calculation</w:t>
      </w:r>
      <w:r>
        <w:rPr>
          <w:rFonts w:ascii="Georgia" w:hAnsi="Georgia" w:cs="Arial"/>
          <w:sz w:val="22"/>
          <w:szCs w:val="22"/>
        </w:rPr>
        <w:t xml:space="preserve"> as well as post-eligibility.</w:t>
      </w:r>
      <w:r w:rsidRPr="00812A16">
        <w:rPr>
          <w:rFonts w:ascii="Georgia" w:hAnsi="Georgia" w:cs="Arial"/>
          <w:sz w:val="22"/>
          <w:szCs w:val="22"/>
        </w:rPr>
        <w:t xml:space="preserve"> </w:t>
      </w:r>
    </w:p>
    <w:p w:rsidR="005B3A7D" w:rsidRPr="00165D0F" w:rsidRDefault="005B3A7D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Default="005B3A7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4117FD" w:rsidRDefault="004117FD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AD4B0C" w:rsidRDefault="00AD4B0C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4117FD" w:rsidRDefault="004117FD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4117FD" w:rsidRDefault="004117FD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4117FD" w:rsidRDefault="004117FD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AF6898" w:rsidRDefault="00BE3220" w:rsidP="005B3A7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41424A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41424A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41424A">
        <w:rPr>
          <w:rFonts w:ascii="Georgia" w:hAnsi="Georgia" w:cs="Arial"/>
          <w:i/>
          <w:sz w:val="22"/>
          <w:szCs w:val="22"/>
        </w:rPr>
        <w:t xml:space="preserve"> on next page)</w:t>
      </w:r>
    </w:p>
    <w:p w:rsidR="00A56D1A" w:rsidRDefault="0059389D" w:rsidP="0059389D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  <w:u w:val="single"/>
        </w:rPr>
        <w:br w:type="page"/>
      </w:r>
    </w:p>
    <w:p w:rsidR="004117FD" w:rsidRPr="004117FD" w:rsidRDefault="004117FD" w:rsidP="00A56D1A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lastRenderedPageBreak/>
        <w:t xml:space="preserve">Eligibility Operations Memo </w:t>
      </w:r>
      <w:r w:rsidR="003B3086">
        <w:rPr>
          <w:rFonts w:ascii="Georgia" w:hAnsi="Georgia"/>
          <w:b/>
          <w:color w:val="990000"/>
          <w:sz w:val="22"/>
          <w:szCs w:val="22"/>
        </w:rPr>
        <w:t>19-08</w:t>
      </w:r>
    </w:p>
    <w:p w:rsidR="000E07BB" w:rsidRDefault="00F6118D" w:rsidP="000E07B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July 15</w:t>
      </w:r>
      <w:r w:rsidR="000E07BB">
        <w:rPr>
          <w:rFonts w:ascii="Georgia" w:hAnsi="Georgia"/>
          <w:b/>
          <w:color w:val="990000"/>
          <w:sz w:val="22"/>
          <w:szCs w:val="22"/>
        </w:rPr>
        <w:t>,</w:t>
      </w:r>
      <w:r w:rsidR="000E07BB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0E07BB">
        <w:rPr>
          <w:rFonts w:ascii="Georgia" w:hAnsi="Georgia"/>
          <w:b/>
          <w:color w:val="990000"/>
          <w:sz w:val="22"/>
          <w:szCs w:val="22"/>
        </w:rPr>
        <w:t>2019</w:t>
      </w:r>
    </w:p>
    <w:p w:rsidR="004117FD" w:rsidRPr="004117FD" w:rsidRDefault="004117FD" w:rsidP="000E07B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 w:rsidR="005D3D51"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:rsidR="004117FD" w:rsidRPr="00A56D1A" w:rsidRDefault="004117F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4117FD" w:rsidRPr="00A56D1A" w:rsidRDefault="004117F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8B2039" w:rsidRDefault="008B2039" w:rsidP="000E07BB">
      <w:pPr>
        <w:ind w:left="576" w:right="576"/>
        <w:rPr>
          <w:rFonts w:ascii="Georgia" w:hAnsi="Georgia"/>
          <w:b/>
          <w:color w:val="990000"/>
          <w:sz w:val="24"/>
          <w:szCs w:val="24"/>
        </w:rPr>
      </w:pPr>
    </w:p>
    <w:p w:rsidR="000E07BB" w:rsidRPr="00812A16" w:rsidRDefault="000E07BB" w:rsidP="000E07BB">
      <w:pPr>
        <w:ind w:left="576" w:right="576"/>
        <w:rPr>
          <w:rFonts w:ascii="Georgia" w:hAnsi="Georgia" w:cs="Arial"/>
          <w:b/>
          <w:color w:val="FF0000"/>
          <w:sz w:val="22"/>
          <w:szCs w:val="22"/>
        </w:rPr>
      </w:pPr>
      <w:r>
        <w:rPr>
          <w:rFonts w:ascii="Georgia" w:hAnsi="Georgia"/>
          <w:b/>
          <w:color w:val="990000"/>
          <w:sz w:val="24"/>
          <w:szCs w:val="24"/>
        </w:rPr>
        <w:t>MAGI Population</w:t>
      </w:r>
    </w:p>
    <w:p w:rsidR="004117FD" w:rsidRPr="000E07BB" w:rsidRDefault="004117F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0E07BB" w:rsidRDefault="000E07BB" w:rsidP="000E07BB">
      <w:pPr>
        <w:ind w:left="576" w:right="576"/>
        <w:rPr>
          <w:rFonts w:ascii="Georgia" w:hAnsi="Georgia" w:cs="Arial"/>
          <w:sz w:val="22"/>
          <w:szCs w:val="22"/>
        </w:rPr>
      </w:pPr>
      <w:r w:rsidRPr="00812A16">
        <w:rPr>
          <w:rFonts w:ascii="Georgia" w:hAnsi="Georgia" w:cs="Arial"/>
          <w:sz w:val="22"/>
          <w:szCs w:val="22"/>
        </w:rPr>
        <w:t>Th</w:t>
      </w:r>
      <w:r>
        <w:rPr>
          <w:rFonts w:ascii="Georgia" w:hAnsi="Georgia" w:cs="Arial"/>
          <w:sz w:val="22"/>
          <w:szCs w:val="22"/>
        </w:rPr>
        <w:t xml:space="preserve">e BRAVE </w:t>
      </w:r>
      <w:r w:rsidRPr="00812A16">
        <w:rPr>
          <w:rFonts w:ascii="Georgia" w:hAnsi="Georgia" w:cs="Arial"/>
          <w:sz w:val="22"/>
          <w:szCs w:val="22"/>
        </w:rPr>
        <w:t xml:space="preserve">Act </w:t>
      </w:r>
      <w:r>
        <w:rPr>
          <w:rFonts w:ascii="Georgia" w:hAnsi="Georgia" w:cs="Arial"/>
          <w:sz w:val="22"/>
          <w:szCs w:val="22"/>
        </w:rPr>
        <w:t xml:space="preserve">does </w:t>
      </w:r>
      <w:r w:rsidRPr="00812A16">
        <w:rPr>
          <w:rFonts w:ascii="Georgia" w:hAnsi="Georgia" w:cs="Arial"/>
          <w:sz w:val="22"/>
          <w:szCs w:val="22"/>
        </w:rPr>
        <w:t xml:space="preserve">not </w:t>
      </w:r>
      <w:r>
        <w:rPr>
          <w:rFonts w:ascii="Georgia" w:hAnsi="Georgia" w:cs="Arial"/>
          <w:sz w:val="22"/>
          <w:szCs w:val="22"/>
        </w:rPr>
        <w:t>affect</w:t>
      </w:r>
      <w:r w:rsidRPr="00812A16">
        <w:rPr>
          <w:rFonts w:ascii="Georgia" w:hAnsi="Georgia" w:cs="Arial"/>
          <w:sz w:val="22"/>
          <w:szCs w:val="22"/>
        </w:rPr>
        <w:t xml:space="preserve"> our</w:t>
      </w:r>
      <w:r>
        <w:rPr>
          <w:rFonts w:ascii="Georgia" w:hAnsi="Georgia" w:cs="Arial"/>
          <w:sz w:val="22"/>
          <w:szCs w:val="22"/>
        </w:rPr>
        <w:t xml:space="preserve"> </w:t>
      </w:r>
      <w:r w:rsidRPr="00812A16">
        <w:rPr>
          <w:rFonts w:ascii="Georgia" w:hAnsi="Georgia" w:cs="Arial"/>
          <w:sz w:val="22"/>
          <w:szCs w:val="22"/>
        </w:rPr>
        <w:t>MAGI population as</w:t>
      </w:r>
      <w:r>
        <w:rPr>
          <w:rFonts w:ascii="Georgia" w:hAnsi="Georgia" w:cs="Arial"/>
          <w:sz w:val="22"/>
          <w:szCs w:val="22"/>
        </w:rPr>
        <w:t xml:space="preserve"> nontaxable v</w:t>
      </w:r>
      <w:r w:rsidRPr="00812A16">
        <w:rPr>
          <w:rFonts w:ascii="Georgia" w:hAnsi="Georgia" w:cs="Arial"/>
          <w:sz w:val="22"/>
          <w:szCs w:val="22"/>
        </w:rPr>
        <w:t>eterans’ benefits are already considered non-countable income for this population.</w:t>
      </w:r>
    </w:p>
    <w:p w:rsidR="004117FD" w:rsidRPr="00165D0F" w:rsidRDefault="004117FD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  <w:r w:rsidRPr="004153B5">
        <w:rPr>
          <w:rFonts w:ascii="Georgia" w:hAnsi="Georgia"/>
          <w:sz w:val="22"/>
          <w:szCs w:val="22"/>
        </w:rPr>
        <w:tab/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A458CF" w:rsidRDefault="00C100CF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9A0E9B">
      <w:pPr>
        <w:ind w:right="576"/>
        <w:rPr>
          <w:rFonts w:ascii="Georgia" w:hAnsi="Georgia" w:cs="Arial"/>
          <w:sz w:val="22"/>
          <w:szCs w:val="22"/>
        </w:rPr>
      </w:pPr>
    </w:p>
    <w:p w:rsidR="009A0E9B" w:rsidRDefault="009A0E9B" w:rsidP="009A0E9B">
      <w:pPr>
        <w:ind w:right="576"/>
        <w:rPr>
          <w:rFonts w:ascii="Georgia" w:hAnsi="Georgia" w:cs="Arial"/>
          <w:sz w:val="22"/>
          <w:szCs w:val="22"/>
        </w:rPr>
      </w:pPr>
    </w:p>
    <w:p w:rsidR="008B2039" w:rsidRDefault="009A0E9B" w:rsidP="009A0E9B">
      <w:pPr>
        <w:ind w:left="5760"/>
        <w:rPr>
          <w:rStyle w:val="Hyperlink"/>
          <w:rFonts w:ascii="Bookman Old Style" w:hAnsi="Bookman Old Style"/>
          <w:i/>
          <w:color w:val="auto"/>
          <w:u w:val="none"/>
        </w:rPr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</w:t>
      </w:r>
    </w:p>
    <w:p w:rsidR="008B2039" w:rsidRDefault="008B2039" w:rsidP="009A0E9B">
      <w:pPr>
        <w:ind w:left="5760"/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8B2039" w:rsidRDefault="008B2039" w:rsidP="009A0E9B">
      <w:pPr>
        <w:ind w:left="5760"/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9A0E9B" w:rsidRPr="009A0E9B" w:rsidRDefault="009A0E9B" w:rsidP="009A0E9B">
      <w:pPr>
        <w:ind w:left="5760"/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      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8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p w:rsidR="009A0E9B" w:rsidRPr="00A56D1A" w:rsidRDefault="009A0E9B" w:rsidP="009A0E9B">
      <w:pPr>
        <w:ind w:left="57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4B" w:rsidRDefault="003C434B">
      <w:r>
        <w:separator/>
      </w:r>
    </w:p>
  </w:endnote>
  <w:endnote w:type="continuationSeparator" w:id="0">
    <w:p w:rsidR="003C434B" w:rsidRDefault="003C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4B" w:rsidRDefault="003C434B">
      <w:r>
        <w:separator/>
      </w:r>
    </w:p>
  </w:footnote>
  <w:footnote w:type="continuationSeparator" w:id="0">
    <w:p w:rsidR="003C434B" w:rsidRDefault="003C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E07B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32E91"/>
    <w:rsid w:val="00263F44"/>
    <w:rsid w:val="00265FBB"/>
    <w:rsid w:val="0029448A"/>
    <w:rsid w:val="002C40EA"/>
    <w:rsid w:val="002E3B6A"/>
    <w:rsid w:val="002E5188"/>
    <w:rsid w:val="003065DA"/>
    <w:rsid w:val="003737F7"/>
    <w:rsid w:val="00374688"/>
    <w:rsid w:val="003869FD"/>
    <w:rsid w:val="003A31CA"/>
    <w:rsid w:val="003A6E1E"/>
    <w:rsid w:val="003B3086"/>
    <w:rsid w:val="003C434B"/>
    <w:rsid w:val="003E6045"/>
    <w:rsid w:val="004117FD"/>
    <w:rsid w:val="004153B5"/>
    <w:rsid w:val="00427DA0"/>
    <w:rsid w:val="004373B7"/>
    <w:rsid w:val="00437C15"/>
    <w:rsid w:val="00450E46"/>
    <w:rsid w:val="00461793"/>
    <w:rsid w:val="0047107E"/>
    <w:rsid w:val="004A5518"/>
    <w:rsid w:val="004D4BC9"/>
    <w:rsid w:val="005053E6"/>
    <w:rsid w:val="00505F90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399D"/>
    <w:rsid w:val="005C7D99"/>
    <w:rsid w:val="005D3D51"/>
    <w:rsid w:val="006233DC"/>
    <w:rsid w:val="00676163"/>
    <w:rsid w:val="006D49AA"/>
    <w:rsid w:val="00700C89"/>
    <w:rsid w:val="00702352"/>
    <w:rsid w:val="00757D07"/>
    <w:rsid w:val="00776856"/>
    <w:rsid w:val="007C63E4"/>
    <w:rsid w:val="007D38A4"/>
    <w:rsid w:val="007F1CCF"/>
    <w:rsid w:val="007F27B4"/>
    <w:rsid w:val="007F4A56"/>
    <w:rsid w:val="008031E5"/>
    <w:rsid w:val="00811DAF"/>
    <w:rsid w:val="008151A9"/>
    <w:rsid w:val="0082380C"/>
    <w:rsid w:val="0082579E"/>
    <w:rsid w:val="0082594F"/>
    <w:rsid w:val="008268F2"/>
    <w:rsid w:val="008708FF"/>
    <w:rsid w:val="00871A42"/>
    <w:rsid w:val="00894FF0"/>
    <w:rsid w:val="008A3B9D"/>
    <w:rsid w:val="008A6A30"/>
    <w:rsid w:val="008B2039"/>
    <w:rsid w:val="00902810"/>
    <w:rsid w:val="00930D16"/>
    <w:rsid w:val="0093651D"/>
    <w:rsid w:val="00965D5A"/>
    <w:rsid w:val="00977415"/>
    <w:rsid w:val="009841A9"/>
    <w:rsid w:val="009A0E9B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94049"/>
    <w:rsid w:val="00AA5B85"/>
    <w:rsid w:val="00AB155F"/>
    <w:rsid w:val="00AD2EF9"/>
    <w:rsid w:val="00AD4B0C"/>
    <w:rsid w:val="00AF6898"/>
    <w:rsid w:val="00B00FE7"/>
    <w:rsid w:val="00B03A46"/>
    <w:rsid w:val="00B058D1"/>
    <w:rsid w:val="00B12A3B"/>
    <w:rsid w:val="00B30A13"/>
    <w:rsid w:val="00B327EA"/>
    <w:rsid w:val="00B44F42"/>
    <w:rsid w:val="00B60798"/>
    <w:rsid w:val="00B940A1"/>
    <w:rsid w:val="00B964AA"/>
    <w:rsid w:val="00BD0F64"/>
    <w:rsid w:val="00BE3220"/>
    <w:rsid w:val="00BE49D9"/>
    <w:rsid w:val="00C046E9"/>
    <w:rsid w:val="00C100CF"/>
    <w:rsid w:val="00C16CEA"/>
    <w:rsid w:val="00C84B58"/>
    <w:rsid w:val="00C9185E"/>
    <w:rsid w:val="00CB3D77"/>
    <w:rsid w:val="00CE051C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9C"/>
    <w:rsid w:val="00DF15B5"/>
    <w:rsid w:val="00DF2BB6"/>
    <w:rsid w:val="00DF5421"/>
    <w:rsid w:val="00E25774"/>
    <w:rsid w:val="00E41994"/>
    <w:rsid w:val="00E70EF5"/>
    <w:rsid w:val="00ED5E99"/>
    <w:rsid w:val="00EF0846"/>
    <w:rsid w:val="00F00371"/>
    <w:rsid w:val="00F12CB8"/>
    <w:rsid w:val="00F1656D"/>
    <w:rsid w:val="00F3494C"/>
    <w:rsid w:val="00F35D39"/>
    <w:rsid w:val="00F5746D"/>
    <w:rsid w:val="00F6118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ssheal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2613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Ross Comeau</cp:lastModifiedBy>
  <cp:revision>4</cp:revision>
  <cp:lastPrinted>2019-07-15T18:23:00Z</cp:lastPrinted>
  <dcterms:created xsi:type="dcterms:W3CDTF">2019-07-15T18:08:00Z</dcterms:created>
  <dcterms:modified xsi:type="dcterms:W3CDTF">2019-07-15T18:24:00Z</dcterms:modified>
</cp:coreProperties>
</file>