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F958D5" w:rsidP="00664E3C">
      <w:pPr>
        <w:pStyle w:val="Header"/>
        <w:framePr w:h="1066" w:hRule="exact" w:hSpace="187" w:wrap="around" w:vAnchor="text" w:hAnchor="page" w:x="649" w:y="-28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67EABF" wp14:editId="5AA55F47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381125" cy="695325"/>
            <wp:effectExtent l="0" t="0" r="9525" b="9525"/>
            <wp:wrapNone/>
            <wp:docPr id="20" name="Picture 9" descr="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664E3C">
      <w:pPr>
        <w:framePr w:h="1066" w:hRule="exact" w:hSpace="187" w:wrap="around" w:vAnchor="text" w:hAnchor="page" w:x="649" w:y="-28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664E3C">
      <w:pPr>
        <w:pStyle w:val="Heading2"/>
        <w:framePr w:h="1066" w:hRule="exact" w:hSpace="187" w:wrap="around" w:vAnchor="text" w:hAnchor="page" w:x="649" w:y="-28"/>
        <w:ind w:left="2160"/>
        <w:suppressOverlap/>
      </w:pPr>
      <w:r>
        <w:t>Office of Medicaid</w:t>
      </w:r>
    </w:p>
    <w:p w:rsidR="00A56D1A" w:rsidRPr="0069586B" w:rsidRDefault="00A56D1A" w:rsidP="00664E3C">
      <w:pPr>
        <w:framePr w:h="1066" w:hRule="exact" w:hSpace="187" w:wrap="around" w:vAnchor="text" w:hAnchor="page" w:x="649" w:y="-28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2F3331" w:rsidRPr="002133FC" w:rsidRDefault="002F3331">
      <w:pPr>
        <w:tabs>
          <w:tab w:val="left" w:pos="5760"/>
        </w:tabs>
        <w:rPr>
          <w:rFonts w:ascii="Georgia" w:hAnsi="Georgia"/>
          <w:sz w:val="18"/>
          <w:szCs w:val="22"/>
        </w:rPr>
      </w:pP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3C686D">
        <w:rPr>
          <w:rFonts w:ascii="Georgia" w:hAnsi="Georgia"/>
          <w:b/>
          <w:color w:val="990000"/>
          <w:sz w:val="22"/>
          <w:szCs w:val="22"/>
        </w:rPr>
        <w:t>9-1</w:t>
      </w:r>
      <w:r w:rsidR="00534164">
        <w:rPr>
          <w:rFonts w:ascii="Georgia" w:hAnsi="Georgia"/>
          <w:b/>
          <w:color w:val="990000"/>
          <w:sz w:val="22"/>
          <w:szCs w:val="22"/>
        </w:rPr>
        <w:t>4</w:t>
      </w:r>
    </w:p>
    <w:p w:rsidR="004117FD" w:rsidRPr="00A32028" w:rsidRDefault="009A481C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Octo</w:t>
      </w:r>
      <w:r w:rsidR="003C686D">
        <w:rPr>
          <w:rFonts w:ascii="Georgia" w:hAnsi="Georgia"/>
          <w:b/>
          <w:color w:val="990000"/>
          <w:sz w:val="22"/>
          <w:szCs w:val="22"/>
        </w:rPr>
        <w:t xml:space="preserve">ber </w:t>
      </w:r>
      <w:r w:rsidR="004117FD">
        <w:rPr>
          <w:rFonts w:ascii="Georgia" w:hAnsi="Georgia"/>
          <w:b/>
          <w:color w:val="990000"/>
          <w:sz w:val="22"/>
          <w:szCs w:val="22"/>
        </w:rPr>
        <w:t>1</w:t>
      </w:r>
      <w:r w:rsidR="00BA103D">
        <w:rPr>
          <w:rFonts w:ascii="Georgia" w:hAnsi="Georgia"/>
          <w:b/>
          <w:color w:val="990000"/>
          <w:sz w:val="22"/>
          <w:szCs w:val="22"/>
        </w:rPr>
        <w:t>5</w:t>
      </w:r>
      <w:r w:rsidR="003C686D">
        <w:rPr>
          <w:rFonts w:ascii="Georgia" w:hAnsi="Georgia"/>
          <w:b/>
          <w:color w:val="990000"/>
          <w:sz w:val="22"/>
          <w:szCs w:val="22"/>
        </w:rPr>
        <w:t>, 2019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</w:t>
      </w:r>
      <w:bookmarkStart w:id="0" w:name="_GoBack"/>
      <w:bookmarkEnd w:id="0"/>
      <w:r w:rsidRPr="004153B5">
        <w:rPr>
          <w:rFonts w:ascii="Georgia" w:hAnsi="Georgia"/>
          <w:sz w:val="22"/>
          <w:szCs w:val="22"/>
        </w:rPr>
        <w:t>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53B5" w:rsidRDefault="004117FD" w:rsidP="00232E91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374688">
        <w:rPr>
          <w:rFonts w:ascii="Georgia" w:hAnsi="Georgia"/>
          <w:sz w:val="22"/>
          <w:szCs w:val="22"/>
        </w:rPr>
        <w:t>Heather Rossi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374688" w:rsidRPr="00374688">
        <w:rPr>
          <w:rFonts w:ascii="Georgia" w:hAnsi="Georgia"/>
          <w:sz w:val="22"/>
          <w:szCs w:val="22"/>
        </w:rPr>
        <w:t xml:space="preserve">Deputy Policy Director for </w:t>
      </w:r>
      <w:proofErr w:type="gramStart"/>
      <w:r w:rsidR="00374688" w:rsidRPr="00374688">
        <w:rPr>
          <w:rFonts w:ascii="Georgia" w:hAnsi="Georgia"/>
          <w:sz w:val="22"/>
          <w:szCs w:val="22"/>
        </w:rPr>
        <w:t>Eligibility</w:t>
      </w:r>
      <w:r w:rsidR="00F11BFB">
        <w:rPr>
          <w:rFonts w:ascii="Georgia" w:hAnsi="Georgia"/>
          <w:sz w:val="22"/>
          <w:szCs w:val="22"/>
        </w:rPr>
        <w:t xml:space="preserve"> </w:t>
      </w:r>
      <w:r w:rsidR="004246C7">
        <w:rPr>
          <w:rFonts w:ascii="Georgia" w:hAnsi="Georgia"/>
          <w:sz w:val="22"/>
          <w:szCs w:val="22"/>
        </w:rPr>
        <w:t xml:space="preserve"> [</w:t>
      </w:r>
      <w:proofErr w:type="gramEnd"/>
      <w:r w:rsidR="004246C7">
        <w:rPr>
          <w:rFonts w:ascii="Georgia" w:hAnsi="Georgia"/>
          <w:sz w:val="22"/>
          <w:szCs w:val="22"/>
        </w:rPr>
        <w:t>Signature of Heather Rossi]</w:t>
      </w:r>
    </w:p>
    <w:p w:rsidR="0072282C" w:rsidRPr="004153B5" w:rsidRDefault="0072282C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705FF8" w:rsidRPr="003C686D" w:rsidRDefault="008020E4" w:rsidP="00705FF8">
      <w:pPr>
        <w:tabs>
          <w:tab w:val="left" w:pos="540"/>
        </w:tabs>
        <w:ind w:right="576"/>
        <w:rPr>
          <w:rFonts w:ascii="Georgia" w:hAnsi="Georgia"/>
          <w:b/>
          <w:color w:val="990000"/>
          <w:sz w:val="24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4117FD" w:rsidRPr="004153B5">
        <w:rPr>
          <w:rFonts w:ascii="Georgia" w:hAnsi="Georgia"/>
          <w:sz w:val="22"/>
          <w:szCs w:val="22"/>
        </w:rPr>
        <w:t>RE:</w:t>
      </w:r>
      <w:r>
        <w:rPr>
          <w:rFonts w:ascii="Georgia" w:hAnsi="Georgia"/>
          <w:sz w:val="22"/>
          <w:szCs w:val="22"/>
        </w:rPr>
        <w:t xml:space="preserve"> </w:t>
      </w:r>
      <w:r w:rsidR="006F457A">
        <w:rPr>
          <w:rFonts w:ascii="Georgia" w:hAnsi="Georgia"/>
          <w:sz w:val="22"/>
          <w:szCs w:val="22"/>
        </w:rPr>
        <w:t xml:space="preserve"> </w:t>
      </w:r>
      <w:r w:rsidR="008972C8" w:rsidRPr="003C686D">
        <w:rPr>
          <w:rFonts w:ascii="Georgia" w:hAnsi="Georgia"/>
          <w:b/>
          <w:color w:val="990000"/>
          <w:sz w:val="24"/>
          <w:szCs w:val="22"/>
        </w:rPr>
        <w:t>Administrative Annual Renewals for Members in Long-term Care</w:t>
      </w:r>
    </w:p>
    <w:p w:rsidR="008020E4" w:rsidRPr="002133FC" w:rsidRDefault="008020E4" w:rsidP="00AD4B0C">
      <w:pPr>
        <w:ind w:left="3456" w:right="576" w:hanging="2880"/>
        <w:rPr>
          <w:rFonts w:ascii="Georgia" w:hAnsi="Georgia"/>
          <w:b/>
          <w:sz w:val="22"/>
          <w:szCs w:val="24"/>
        </w:rPr>
      </w:pPr>
    </w:p>
    <w:p w:rsidR="0072282C" w:rsidRPr="002133FC" w:rsidRDefault="0072282C" w:rsidP="00AD4B0C">
      <w:pPr>
        <w:ind w:left="3456" w:right="576" w:hanging="2880"/>
        <w:rPr>
          <w:rFonts w:ascii="Georgia" w:hAnsi="Georgia"/>
          <w:b/>
          <w:sz w:val="22"/>
          <w:szCs w:val="24"/>
        </w:rPr>
      </w:pPr>
    </w:p>
    <w:p w:rsidR="005B3A7D" w:rsidRPr="00705FF8" w:rsidRDefault="008972C8" w:rsidP="00AD4B0C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 w:rsidRPr="00705FF8">
        <w:rPr>
          <w:rFonts w:ascii="Georgia" w:hAnsi="Georgia"/>
          <w:b/>
          <w:color w:val="990000"/>
          <w:sz w:val="24"/>
          <w:szCs w:val="24"/>
        </w:rPr>
        <w:t>Summary</w:t>
      </w:r>
    </w:p>
    <w:p w:rsidR="005B3A7D" w:rsidRPr="002F3331" w:rsidRDefault="005B3A7D" w:rsidP="00A56D1A">
      <w:pPr>
        <w:ind w:left="576" w:right="576"/>
        <w:rPr>
          <w:rFonts w:ascii="Georgia" w:hAnsi="Georgia" w:cs="Arial"/>
          <w:sz w:val="14"/>
          <w:szCs w:val="22"/>
        </w:rPr>
      </w:pPr>
    </w:p>
    <w:p w:rsidR="008972C8" w:rsidRPr="008972C8" w:rsidRDefault="008972C8" w:rsidP="008972C8">
      <w:pPr>
        <w:ind w:left="576"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>MassHealth is required by state and federal laws to pe</w:t>
      </w:r>
      <w:r w:rsidR="006D5C0B">
        <w:rPr>
          <w:rFonts w:ascii="Georgia" w:hAnsi="Georgia" w:cs="Arial"/>
          <w:sz w:val="22"/>
          <w:szCs w:val="22"/>
        </w:rPr>
        <w:t>rform an annual eligibility ren</w:t>
      </w:r>
      <w:r w:rsidRPr="008972C8">
        <w:rPr>
          <w:rFonts w:ascii="Georgia" w:hAnsi="Georgia" w:cs="Arial"/>
          <w:sz w:val="22"/>
          <w:szCs w:val="22"/>
        </w:rPr>
        <w:t>ew</w:t>
      </w:r>
      <w:r w:rsidR="006D5C0B">
        <w:rPr>
          <w:rFonts w:ascii="Georgia" w:hAnsi="Georgia" w:cs="Arial"/>
          <w:sz w:val="22"/>
          <w:szCs w:val="22"/>
        </w:rPr>
        <w:t>al</w:t>
      </w:r>
      <w:r w:rsidRPr="008972C8">
        <w:rPr>
          <w:rFonts w:ascii="Georgia" w:hAnsi="Georgia" w:cs="Arial"/>
          <w:sz w:val="22"/>
          <w:szCs w:val="22"/>
        </w:rPr>
        <w:t xml:space="preserve"> for every member. For the purpose of streamlining the renewal process, MassHealth uses data matching to perform administrative renewals for certain eligible members. </w:t>
      </w:r>
      <w:r w:rsidR="00E33256">
        <w:rPr>
          <w:rFonts w:ascii="Georgia" w:hAnsi="Georgia" w:cs="Arial"/>
          <w:sz w:val="22"/>
          <w:szCs w:val="22"/>
        </w:rPr>
        <w:t>This Eligibility Operations Memo is an update to EOM 10-06</w:t>
      </w:r>
      <w:r w:rsidR="002133FC">
        <w:rPr>
          <w:rFonts w:ascii="Georgia" w:hAnsi="Georgia" w:cs="Arial"/>
          <w:sz w:val="22"/>
          <w:szCs w:val="22"/>
        </w:rPr>
        <w:t xml:space="preserve"> and does not change the current process or impact other MassHealth renewals</w:t>
      </w:r>
      <w:r w:rsidR="00BA103D">
        <w:rPr>
          <w:rFonts w:ascii="Georgia" w:hAnsi="Georgia" w:cs="Arial"/>
          <w:sz w:val="22"/>
          <w:szCs w:val="22"/>
        </w:rPr>
        <w:t>.</w:t>
      </w:r>
    </w:p>
    <w:p w:rsidR="005B3A7D" w:rsidRPr="00165D0F" w:rsidRDefault="005B3A7D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8972C8" w:rsidRPr="006F457A" w:rsidRDefault="008972C8" w:rsidP="00705FF8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 w:rsidRPr="006F457A">
        <w:rPr>
          <w:rFonts w:ascii="Georgia" w:hAnsi="Georgia"/>
          <w:b/>
          <w:color w:val="990000"/>
          <w:sz w:val="24"/>
          <w:szCs w:val="24"/>
        </w:rPr>
        <w:t xml:space="preserve">Administrative </w:t>
      </w:r>
      <w:r w:rsidR="006D5C0B" w:rsidRPr="006F457A">
        <w:rPr>
          <w:rFonts w:ascii="Georgia" w:hAnsi="Georgia"/>
          <w:b/>
          <w:color w:val="990000"/>
          <w:sz w:val="24"/>
          <w:szCs w:val="24"/>
        </w:rPr>
        <w:t xml:space="preserve">Annual </w:t>
      </w:r>
      <w:r w:rsidRPr="006F457A">
        <w:rPr>
          <w:rFonts w:ascii="Georgia" w:hAnsi="Georgia"/>
          <w:b/>
          <w:color w:val="990000"/>
          <w:sz w:val="24"/>
          <w:szCs w:val="24"/>
        </w:rPr>
        <w:t>Renewals for Certain Long-term-care Members</w:t>
      </w:r>
    </w:p>
    <w:p w:rsidR="005B3A7D" w:rsidRPr="002F3331" w:rsidRDefault="005B3A7D" w:rsidP="00A56D1A">
      <w:pPr>
        <w:ind w:left="576" w:right="576"/>
        <w:rPr>
          <w:rFonts w:ascii="Georgia" w:hAnsi="Georgia" w:cs="Arial"/>
          <w:b/>
          <w:sz w:val="14"/>
          <w:szCs w:val="22"/>
        </w:rPr>
      </w:pPr>
    </w:p>
    <w:p w:rsidR="005D6D8D" w:rsidRPr="008972C8" w:rsidRDefault="008972C8" w:rsidP="005D6D8D">
      <w:pPr>
        <w:ind w:left="576"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 xml:space="preserve">Certain Long-term-care (LTC) members </w:t>
      </w:r>
      <w:r w:rsidR="002133FC">
        <w:rPr>
          <w:rFonts w:ascii="Georgia" w:hAnsi="Georgia" w:cs="Arial"/>
          <w:sz w:val="22"/>
          <w:szCs w:val="22"/>
        </w:rPr>
        <w:t xml:space="preserve">in nursing facilities </w:t>
      </w:r>
      <w:r w:rsidRPr="008972C8">
        <w:rPr>
          <w:rFonts w:ascii="Georgia" w:hAnsi="Georgia" w:cs="Arial"/>
          <w:sz w:val="22"/>
          <w:szCs w:val="22"/>
        </w:rPr>
        <w:t xml:space="preserve">are eligible for the administrative renewal process if they meet specific criteria. LTC members who meet the following conditions are selected for </w:t>
      </w:r>
      <w:r w:rsidR="00D82057">
        <w:rPr>
          <w:rFonts w:ascii="Georgia" w:hAnsi="Georgia" w:cs="Arial"/>
          <w:sz w:val="22"/>
          <w:szCs w:val="22"/>
        </w:rPr>
        <w:t xml:space="preserve">an </w:t>
      </w:r>
      <w:r w:rsidRPr="008972C8">
        <w:rPr>
          <w:rFonts w:ascii="Georgia" w:hAnsi="Georgia" w:cs="Arial"/>
          <w:sz w:val="22"/>
          <w:szCs w:val="22"/>
        </w:rPr>
        <w:t>administrative renewal:</w:t>
      </w:r>
    </w:p>
    <w:p w:rsidR="008972C8" w:rsidRPr="008972C8" w:rsidRDefault="008972C8" w:rsidP="008972C8">
      <w:pPr>
        <w:numPr>
          <w:ilvl w:val="2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 xml:space="preserve">single with no dependents; </w:t>
      </w:r>
    </w:p>
    <w:p w:rsidR="008972C8" w:rsidRPr="008972C8" w:rsidRDefault="008972C8" w:rsidP="008972C8">
      <w:pPr>
        <w:numPr>
          <w:ilvl w:val="2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 xml:space="preserve">assets are less than $2,000; </w:t>
      </w:r>
    </w:p>
    <w:p w:rsidR="008972C8" w:rsidRDefault="008972C8" w:rsidP="008972C8">
      <w:pPr>
        <w:numPr>
          <w:ilvl w:val="2"/>
          <w:numId w:val="1"/>
        </w:numPr>
        <w:ind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 xml:space="preserve">social security is the only source of income; and </w:t>
      </w:r>
    </w:p>
    <w:p w:rsidR="006D4C44" w:rsidRDefault="005D6D8D" w:rsidP="008972C8">
      <w:pPr>
        <w:numPr>
          <w:ilvl w:val="2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Medicare is the only form of insurance</w:t>
      </w:r>
      <w:r w:rsidR="008020E4">
        <w:rPr>
          <w:rFonts w:ascii="Georgia" w:hAnsi="Georgia" w:cs="Arial"/>
          <w:sz w:val="22"/>
          <w:szCs w:val="22"/>
        </w:rPr>
        <w:t>.</w:t>
      </w:r>
    </w:p>
    <w:p w:rsidR="005B3A7D" w:rsidRPr="00922754" w:rsidRDefault="005B3A7D" w:rsidP="008020E4">
      <w:pPr>
        <w:ind w:right="576"/>
        <w:rPr>
          <w:rFonts w:ascii="Georgia" w:hAnsi="Georgia" w:cs="Arial"/>
          <w:sz w:val="22"/>
          <w:szCs w:val="22"/>
        </w:rPr>
      </w:pPr>
    </w:p>
    <w:p w:rsidR="008972C8" w:rsidRPr="00705FF8" w:rsidRDefault="006D5C0B" w:rsidP="00705FF8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 xml:space="preserve">Administrative </w:t>
      </w:r>
      <w:r w:rsidR="008972C8" w:rsidRPr="00705FF8">
        <w:rPr>
          <w:rFonts w:ascii="Georgia" w:hAnsi="Georgia"/>
          <w:b/>
          <w:color w:val="990000"/>
          <w:sz w:val="24"/>
          <w:szCs w:val="24"/>
        </w:rPr>
        <w:t>Renewal Process</w:t>
      </w:r>
    </w:p>
    <w:p w:rsidR="008972C8" w:rsidRPr="002F3331" w:rsidRDefault="008972C8" w:rsidP="00A56D1A">
      <w:pPr>
        <w:ind w:left="576" w:right="576"/>
        <w:rPr>
          <w:rFonts w:ascii="Georgia" w:hAnsi="Georgia" w:cs="Arial"/>
          <w:sz w:val="14"/>
          <w:szCs w:val="22"/>
        </w:rPr>
      </w:pPr>
    </w:p>
    <w:p w:rsidR="002F3331" w:rsidRDefault="002F3331" w:rsidP="008972C8">
      <w:pPr>
        <w:ind w:left="576" w:right="576"/>
        <w:rPr>
          <w:rFonts w:ascii="Georgia" w:hAnsi="Georgia" w:cs="Arial"/>
          <w:sz w:val="22"/>
          <w:szCs w:val="22"/>
        </w:rPr>
      </w:pPr>
      <w:r w:rsidRPr="002F3331">
        <w:rPr>
          <w:rFonts w:ascii="Georgia" w:hAnsi="Georgia" w:cs="Arial"/>
          <w:sz w:val="22"/>
          <w:szCs w:val="22"/>
        </w:rPr>
        <w:t xml:space="preserve">LTC members </w:t>
      </w:r>
      <w:r w:rsidR="0077102F">
        <w:rPr>
          <w:rFonts w:ascii="Georgia" w:hAnsi="Georgia" w:cs="Arial"/>
          <w:sz w:val="22"/>
          <w:szCs w:val="22"/>
        </w:rPr>
        <w:t xml:space="preserve">are </w:t>
      </w:r>
      <w:r w:rsidRPr="002F3331">
        <w:rPr>
          <w:rFonts w:ascii="Georgia" w:hAnsi="Georgia" w:cs="Arial"/>
          <w:sz w:val="22"/>
          <w:szCs w:val="22"/>
        </w:rPr>
        <w:t>selected for the administrative annual renewal process</w:t>
      </w:r>
      <w:r w:rsidR="0077102F">
        <w:rPr>
          <w:rFonts w:ascii="Georgia" w:hAnsi="Georgia" w:cs="Arial"/>
          <w:sz w:val="22"/>
          <w:szCs w:val="22"/>
        </w:rPr>
        <w:t xml:space="preserve"> in MA21.</w:t>
      </w:r>
      <w:r w:rsidR="002D3FED">
        <w:rPr>
          <w:rFonts w:ascii="Georgia" w:hAnsi="Georgia" w:cs="Arial"/>
          <w:sz w:val="22"/>
          <w:szCs w:val="22"/>
        </w:rPr>
        <w:t xml:space="preserve"> </w:t>
      </w:r>
      <w:r w:rsidR="0077102F">
        <w:rPr>
          <w:rFonts w:ascii="Georgia" w:hAnsi="Georgia" w:cs="Arial"/>
          <w:sz w:val="22"/>
          <w:szCs w:val="22"/>
        </w:rPr>
        <w:t>The member, and any Authorized Representatives,</w:t>
      </w:r>
      <w:r w:rsidRPr="002F3331">
        <w:rPr>
          <w:rFonts w:ascii="Georgia" w:hAnsi="Georgia" w:cs="Arial"/>
          <w:sz w:val="22"/>
          <w:szCs w:val="22"/>
        </w:rPr>
        <w:t xml:space="preserve"> </w:t>
      </w:r>
      <w:r w:rsidR="0077102F">
        <w:rPr>
          <w:rFonts w:ascii="Georgia" w:hAnsi="Georgia" w:cs="Arial"/>
          <w:sz w:val="22"/>
          <w:szCs w:val="22"/>
        </w:rPr>
        <w:t xml:space="preserve">will </w:t>
      </w:r>
      <w:r w:rsidRPr="002F3331">
        <w:rPr>
          <w:rFonts w:ascii="Georgia" w:hAnsi="Georgia" w:cs="Arial"/>
          <w:sz w:val="22"/>
          <w:szCs w:val="22"/>
        </w:rPr>
        <w:t>receive a notice from MassHealth stating that the</w:t>
      </w:r>
      <w:r w:rsidR="008020E4">
        <w:rPr>
          <w:rFonts w:ascii="Georgia" w:hAnsi="Georgia" w:cs="Arial"/>
          <w:sz w:val="22"/>
          <w:szCs w:val="22"/>
        </w:rPr>
        <w:t xml:space="preserve"> </w:t>
      </w:r>
      <w:r w:rsidRPr="002F3331">
        <w:rPr>
          <w:rFonts w:ascii="Georgia" w:hAnsi="Georgia" w:cs="Arial"/>
          <w:sz w:val="22"/>
          <w:szCs w:val="22"/>
        </w:rPr>
        <w:t>case was renewed electronically, they remain eligible for benefits, and that no action is required unless they have changes to report. The notice goes on to describe what types</w:t>
      </w:r>
      <w:r>
        <w:rPr>
          <w:rFonts w:ascii="Georgia" w:hAnsi="Georgia" w:cs="Arial"/>
          <w:sz w:val="22"/>
          <w:szCs w:val="22"/>
        </w:rPr>
        <w:t xml:space="preserve"> of changes should be reporte</w:t>
      </w:r>
      <w:r w:rsidR="0044437E">
        <w:rPr>
          <w:rFonts w:ascii="Georgia" w:hAnsi="Georgia" w:cs="Arial"/>
          <w:sz w:val="22"/>
          <w:szCs w:val="22"/>
        </w:rPr>
        <w:t>d and how to report them</w:t>
      </w:r>
      <w:r>
        <w:rPr>
          <w:rFonts w:ascii="Georgia" w:hAnsi="Georgia" w:cs="Arial"/>
          <w:sz w:val="22"/>
          <w:szCs w:val="22"/>
        </w:rPr>
        <w:t>.</w:t>
      </w:r>
    </w:p>
    <w:p w:rsidR="002F3331" w:rsidRDefault="002F3331" w:rsidP="002133FC">
      <w:pPr>
        <w:ind w:right="576"/>
        <w:rPr>
          <w:rFonts w:ascii="Georgia" w:hAnsi="Georgia" w:cs="Arial"/>
          <w:sz w:val="22"/>
          <w:szCs w:val="22"/>
        </w:rPr>
      </w:pPr>
    </w:p>
    <w:p w:rsidR="002F3331" w:rsidRPr="00705FF8" w:rsidRDefault="002F3331" w:rsidP="002F3331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 w:rsidRPr="00705FF8">
        <w:rPr>
          <w:rFonts w:ascii="Georgia" w:hAnsi="Georgia"/>
          <w:b/>
          <w:color w:val="990000"/>
          <w:sz w:val="24"/>
          <w:szCs w:val="24"/>
        </w:rPr>
        <w:t>Re</w:t>
      </w:r>
      <w:r>
        <w:rPr>
          <w:rFonts w:ascii="Georgia" w:hAnsi="Georgia"/>
          <w:b/>
          <w:color w:val="990000"/>
          <w:sz w:val="24"/>
          <w:szCs w:val="24"/>
        </w:rPr>
        <w:t>porting Changes</w:t>
      </w:r>
    </w:p>
    <w:p w:rsidR="002F3331" w:rsidRPr="002F3331" w:rsidRDefault="002F3331" w:rsidP="008972C8">
      <w:pPr>
        <w:ind w:left="576" w:right="576"/>
        <w:rPr>
          <w:rFonts w:ascii="Georgia" w:hAnsi="Georgia" w:cs="Arial"/>
          <w:sz w:val="14"/>
          <w:szCs w:val="22"/>
        </w:rPr>
      </w:pPr>
    </w:p>
    <w:p w:rsidR="00705FF8" w:rsidRDefault="008972C8" w:rsidP="006D5C0B">
      <w:pPr>
        <w:ind w:left="576" w:right="180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>MassHealth members who have changes to report can notify MassHealth by contactin</w:t>
      </w:r>
      <w:r>
        <w:rPr>
          <w:rFonts w:ascii="Georgia" w:hAnsi="Georgia" w:cs="Arial"/>
          <w:sz w:val="22"/>
          <w:szCs w:val="22"/>
        </w:rPr>
        <w:t>g MassHealth Customer Service at</w:t>
      </w:r>
      <w:r w:rsidRPr="008972C8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(</w:t>
      </w:r>
      <w:r w:rsidRPr="008972C8">
        <w:rPr>
          <w:rFonts w:ascii="Georgia" w:hAnsi="Georgia" w:cs="Arial"/>
          <w:sz w:val="22"/>
          <w:szCs w:val="22"/>
        </w:rPr>
        <w:t>800</w:t>
      </w:r>
      <w:r>
        <w:rPr>
          <w:rFonts w:ascii="Georgia" w:hAnsi="Georgia" w:cs="Arial"/>
          <w:sz w:val="22"/>
          <w:szCs w:val="22"/>
        </w:rPr>
        <w:t xml:space="preserve">) </w:t>
      </w:r>
      <w:r w:rsidRPr="008972C8">
        <w:rPr>
          <w:rFonts w:ascii="Georgia" w:hAnsi="Georgia" w:cs="Arial"/>
          <w:sz w:val="22"/>
          <w:szCs w:val="22"/>
        </w:rPr>
        <w:t>841-2900,</w:t>
      </w:r>
      <w:r w:rsidR="006D5C0B">
        <w:rPr>
          <w:rFonts w:ascii="Georgia" w:hAnsi="Georgia" w:cs="Arial"/>
          <w:sz w:val="22"/>
          <w:szCs w:val="22"/>
        </w:rPr>
        <w:t xml:space="preserve"> TTY (800) 497-4648,</w:t>
      </w:r>
      <w:r w:rsidRPr="008972C8">
        <w:rPr>
          <w:rFonts w:ascii="Georgia" w:hAnsi="Georgia" w:cs="Arial"/>
          <w:sz w:val="22"/>
          <w:szCs w:val="22"/>
        </w:rPr>
        <w:t xml:space="preserve"> fax at </w:t>
      </w:r>
      <w:r>
        <w:rPr>
          <w:rFonts w:ascii="Georgia" w:hAnsi="Georgia" w:cs="Arial"/>
          <w:sz w:val="22"/>
          <w:szCs w:val="22"/>
        </w:rPr>
        <w:t>(</w:t>
      </w:r>
      <w:r w:rsidRPr="008972C8">
        <w:rPr>
          <w:rFonts w:ascii="Georgia" w:hAnsi="Georgia" w:cs="Arial"/>
          <w:sz w:val="22"/>
          <w:szCs w:val="22"/>
        </w:rPr>
        <w:t>857</w:t>
      </w:r>
      <w:r>
        <w:rPr>
          <w:rFonts w:ascii="Georgia" w:hAnsi="Georgia" w:cs="Arial"/>
          <w:sz w:val="22"/>
          <w:szCs w:val="22"/>
        </w:rPr>
        <w:t xml:space="preserve">) </w:t>
      </w:r>
      <w:r w:rsidRPr="008972C8">
        <w:rPr>
          <w:rFonts w:ascii="Georgia" w:hAnsi="Georgia" w:cs="Arial"/>
          <w:sz w:val="22"/>
          <w:szCs w:val="22"/>
        </w:rPr>
        <w:t xml:space="preserve">323-8300, or at the following address: </w:t>
      </w:r>
    </w:p>
    <w:p w:rsidR="00705FF8" w:rsidRDefault="008972C8" w:rsidP="00705FF8">
      <w:pPr>
        <w:ind w:left="2880"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>Health Insurance Processing Center,</w:t>
      </w:r>
    </w:p>
    <w:p w:rsidR="00705FF8" w:rsidRDefault="00705FF8" w:rsidP="00705FF8">
      <w:pPr>
        <w:ind w:left="288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4405</w:t>
      </w:r>
    </w:p>
    <w:p w:rsidR="008972C8" w:rsidRPr="008972C8" w:rsidRDefault="008972C8" w:rsidP="00705FF8">
      <w:pPr>
        <w:ind w:left="2880" w:right="576"/>
        <w:rPr>
          <w:rFonts w:ascii="Georgia" w:hAnsi="Georgia" w:cs="Arial"/>
          <w:sz w:val="22"/>
          <w:szCs w:val="22"/>
        </w:rPr>
      </w:pPr>
      <w:r w:rsidRPr="008972C8">
        <w:rPr>
          <w:rFonts w:ascii="Georgia" w:hAnsi="Georgia" w:cs="Arial"/>
          <w:sz w:val="22"/>
          <w:szCs w:val="22"/>
        </w:rPr>
        <w:t xml:space="preserve">Taunton, MA 02780. </w:t>
      </w:r>
    </w:p>
    <w:p w:rsidR="00705FF8" w:rsidRPr="002133FC" w:rsidRDefault="00705FF8" w:rsidP="002133FC">
      <w:pPr>
        <w:ind w:left="3456" w:right="576" w:hanging="3456"/>
        <w:rPr>
          <w:rFonts w:ascii="Georgia" w:hAnsi="Georgia"/>
          <w:color w:val="990000"/>
          <w:sz w:val="22"/>
          <w:szCs w:val="24"/>
        </w:rPr>
      </w:pPr>
    </w:p>
    <w:p w:rsidR="00705FF8" w:rsidRDefault="00705FF8" w:rsidP="00705FF8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</w:p>
    <w:p w:rsidR="00705FF8" w:rsidRPr="002F3331" w:rsidRDefault="00705FF8" w:rsidP="00705FF8">
      <w:pPr>
        <w:ind w:left="576" w:right="576"/>
        <w:rPr>
          <w:rFonts w:ascii="Georgia" w:hAnsi="Georgia"/>
          <w:sz w:val="14"/>
          <w:szCs w:val="22"/>
        </w:rPr>
      </w:pPr>
    </w:p>
    <w:p w:rsidR="00705FF8" w:rsidRDefault="00705FF8" w:rsidP="00705FF8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2F3331" w:rsidRDefault="002F3331" w:rsidP="009A0E9B">
      <w:pPr>
        <w:ind w:left="5760"/>
        <w:rPr>
          <w:rStyle w:val="Hyperlink"/>
          <w:rFonts w:ascii="Bookman Old Style" w:hAnsi="Bookman Old Style"/>
          <w:i/>
          <w:color w:val="auto"/>
          <w:sz w:val="16"/>
          <w:u w:val="none"/>
        </w:rPr>
      </w:pPr>
    </w:p>
    <w:p w:rsidR="002F3331" w:rsidRPr="002F3331" w:rsidRDefault="002F3331" w:rsidP="009A0E9B">
      <w:pPr>
        <w:ind w:left="5760"/>
        <w:rPr>
          <w:rStyle w:val="Hyperlink"/>
          <w:rFonts w:ascii="Bookman Old Style" w:hAnsi="Bookman Old Style"/>
          <w:i/>
          <w:color w:val="auto"/>
          <w:sz w:val="18"/>
          <w:u w:val="none"/>
        </w:rPr>
      </w:pPr>
    </w:p>
    <w:p w:rsidR="009A0E9B" w:rsidRPr="009A0E9B" w:rsidRDefault="009A0E9B" w:rsidP="009A0E9B">
      <w:pPr>
        <w:ind w:left="5760"/>
      </w:pP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0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9A0E9B" w:rsidRPr="009A0E9B" w:rsidSect="003F4CB0">
      <w:type w:val="continuous"/>
      <w:pgSz w:w="12240" w:h="15840" w:code="1"/>
      <w:pgMar w:top="99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DC" w:rsidRDefault="00DD4EDC">
      <w:r>
        <w:separator/>
      </w:r>
    </w:p>
  </w:endnote>
  <w:endnote w:type="continuationSeparator" w:id="0">
    <w:p w:rsidR="00DD4EDC" w:rsidRDefault="00DD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DC" w:rsidRDefault="00DD4EDC">
      <w:r>
        <w:separator/>
      </w:r>
    </w:p>
  </w:footnote>
  <w:footnote w:type="continuationSeparator" w:id="0">
    <w:p w:rsidR="00DD4EDC" w:rsidRDefault="00DD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B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0tDA3NTQ0MDY1MzFW0lEKTi0uzszPAymwrAUAsbo7qSwAAAA="/>
  </w:docVars>
  <w:rsids>
    <w:rsidRoot w:val="00032BB1"/>
    <w:rsid w:val="000033C5"/>
    <w:rsid w:val="000149FE"/>
    <w:rsid w:val="00031A3D"/>
    <w:rsid w:val="00032BB1"/>
    <w:rsid w:val="00032C02"/>
    <w:rsid w:val="00041220"/>
    <w:rsid w:val="00054AEC"/>
    <w:rsid w:val="00080FFB"/>
    <w:rsid w:val="000861BC"/>
    <w:rsid w:val="00095863"/>
    <w:rsid w:val="000A2664"/>
    <w:rsid w:val="000C3FE0"/>
    <w:rsid w:val="000E3E10"/>
    <w:rsid w:val="00113E7F"/>
    <w:rsid w:val="00137FA7"/>
    <w:rsid w:val="0014797D"/>
    <w:rsid w:val="00153E24"/>
    <w:rsid w:val="001655EC"/>
    <w:rsid w:val="001746E6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133FC"/>
    <w:rsid w:val="00221668"/>
    <w:rsid w:val="00232E91"/>
    <w:rsid w:val="0026319B"/>
    <w:rsid w:val="00263F44"/>
    <w:rsid w:val="00265FBB"/>
    <w:rsid w:val="0029448A"/>
    <w:rsid w:val="002C40EA"/>
    <w:rsid w:val="002D3FED"/>
    <w:rsid w:val="002E3B6A"/>
    <w:rsid w:val="002E5188"/>
    <w:rsid w:val="002F3331"/>
    <w:rsid w:val="003065DA"/>
    <w:rsid w:val="003066CF"/>
    <w:rsid w:val="003737F7"/>
    <w:rsid w:val="00374688"/>
    <w:rsid w:val="003869FD"/>
    <w:rsid w:val="003A31CA"/>
    <w:rsid w:val="003A6E1E"/>
    <w:rsid w:val="003C686D"/>
    <w:rsid w:val="003C6C91"/>
    <w:rsid w:val="003F4CB0"/>
    <w:rsid w:val="004117FD"/>
    <w:rsid w:val="004153B5"/>
    <w:rsid w:val="004246C7"/>
    <w:rsid w:val="00427DA0"/>
    <w:rsid w:val="004373B7"/>
    <w:rsid w:val="00437C15"/>
    <w:rsid w:val="0044437E"/>
    <w:rsid w:val="00450E46"/>
    <w:rsid w:val="00461793"/>
    <w:rsid w:val="0047107E"/>
    <w:rsid w:val="004A5518"/>
    <w:rsid w:val="004D4BC9"/>
    <w:rsid w:val="00511043"/>
    <w:rsid w:val="005237ED"/>
    <w:rsid w:val="00526EAB"/>
    <w:rsid w:val="00534164"/>
    <w:rsid w:val="005763C9"/>
    <w:rsid w:val="00590E06"/>
    <w:rsid w:val="0059389D"/>
    <w:rsid w:val="005A2A68"/>
    <w:rsid w:val="005A3602"/>
    <w:rsid w:val="005A5C18"/>
    <w:rsid w:val="005B3A7D"/>
    <w:rsid w:val="005C33E4"/>
    <w:rsid w:val="005C7D99"/>
    <w:rsid w:val="005D6D8D"/>
    <w:rsid w:val="006233DC"/>
    <w:rsid w:val="00664E3C"/>
    <w:rsid w:val="00676163"/>
    <w:rsid w:val="006D49AA"/>
    <w:rsid w:val="006D4C44"/>
    <w:rsid w:val="006D5C0B"/>
    <w:rsid w:val="006F457A"/>
    <w:rsid w:val="00700C89"/>
    <w:rsid w:val="00702352"/>
    <w:rsid w:val="00705FF8"/>
    <w:rsid w:val="0072282C"/>
    <w:rsid w:val="00757D07"/>
    <w:rsid w:val="0077102F"/>
    <w:rsid w:val="00776856"/>
    <w:rsid w:val="007C63E4"/>
    <w:rsid w:val="007D38A4"/>
    <w:rsid w:val="007F1CCF"/>
    <w:rsid w:val="007F4A56"/>
    <w:rsid w:val="008020E4"/>
    <w:rsid w:val="008031E5"/>
    <w:rsid w:val="00811DAF"/>
    <w:rsid w:val="008151A9"/>
    <w:rsid w:val="0082380C"/>
    <w:rsid w:val="0082579E"/>
    <w:rsid w:val="0082594F"/>
    <w:rsid w:val="008268F2"/>
    <w:rsid w:val="008708FF"/>
    <w:rsid w:val="0088063F"/>
    <w:rsid w:val="00894FF0"/>
    <w:rsid w:val="008972C8"/>
    <w:rsid w:val="008A3B9D"/>
    <w:rsid w:val="008A6A30"/>
    <w:rsid w:val="00902810"/>
    <w:rsid w:val="00914338"/>
    <w:rsid w:val="00922754"/>
    <w:rsid w:val="00930D16"/>
    <w:rsid w:val="0093651D"/>
    <w:rsid w:val="00965D5A"/>
    <w:rsid w:val="00977415"/>
    <w:rsid w:val="009841A9"/>
    <w:rsid w:val="009A0E9B"/>
    <w:rsid w:val="009A481C"/>
    <w:rsid w:val="009B4513"/>
    <w:rsid w:val="009D15FA"/>
    <w:rsid w:val="009D59BC"/>
    <w:rsid w:val="009E484B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73B9D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A103D"/>
    <w:rsid w:val="00BC01F1"/>
    <w:rsid w:val="00BD0F64"/>
    <w:rsid w:val="00BE49D9"/>
    <w:rsid w:val="00C046E9"/>
    <w:rsid w:val="00C100CF"/>
    <w:rsid w:val="00C16CEA"/>
    <w:rsid w:val="00C56D6D"/>
    <w:rsid w:val="00C84B58"/>
    <w:rsid w:val="00C9185E"/>
    <w:rsid w:val="00CB3D77"/>
    <w:rsid w:val="00CF0AAB"/>
    <w:rsid w:val="00D20897"/>
    <w:rsid w:val="00D2728B"/>
    <w:rsid w:val="00D33ED2"/>
    <w:rsid w:val="00D55314"/>
    <w:rsid w:val="00D757EC"/>
    <w:rsid w:val="00D76690"/>
    <w:rsid w:val="00D82057"/>
    <w:rsid w:val="00D93D6D"/>
    <w:rsid w:val="00DD4EDC"/>
    <w:rsid w:val="00DD509A"/>
    <w:rsid w:val="00DD7B9C"/>
    <w:rsid w:val="00DF15B5"/>
    <w:rsid w:val="00DF2BB6"/>
    <w:rsid w:val="00DF5421"/>
    <w:rsid w:val="00E0156E"/>
    <w:rsid w:val="00E25774"/>
    <w:rsid w:val="00E33256"/>
    <w:rsid w:val="00E70EF5"/>
    <w:rsid w:val="00ED5E99"/>
    <w:rsid w:val="00EF0846"/>
    <w:rsid w:val="00F00371"/>
    <w:rsid w:val="00F11BFB"/>
    <w:rsid w:val="00F12CB8"/>
    <w:rsid w:val="00F1656D"/>
    <w:rsid w:val="00F3494C"/>
    <w:rsid w:val="00F35D39"/>
    <w:rsid w:val="00F45F67"/>
    <w:rsid w:val="00F5746D"/>
    <w:rsid w:val="00F902FE"/>
    <w:rsid w:val="00F958D5"/>
    <w:rsid w:val="00FC1193"/>
    <w:rsid w:val="00FC4903"/>
    <w:rsid w:val="00FD0B26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2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0E4"/>
  </w:style>
  <w:style w:type="character" w:customStyle="1" w:styleId="CommentTextChar">
    <w:name w:val="Comment Text Char"/>
    <w:basedOn w:val="DefaultParagraphFont"/>
    <w:link w:val="CommentText"/>
    <w:rsid w:val="008020E4"/>
  </w:style>
  <w:style w:type="paragraph" w:styleId="CommentSubject">
    <w:name w:val="annotation subject"/>
    <w:basedOn w:val="CommentText"/>
    <w:next w:val="CommentText"/>
    <w:link w:val="CommentSubjectChar"/>
    <w:rsid w:val="0080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0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2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0E4"/>
  </w:style>
  <w:style w:type="character" w:customStyle="1" w:styleId="CommentTextChar">
    <w:name w:val="Comment Text Char"/>
    <w:basedOn w:val="DefaultParagraphFont"/>
    <w:link w:val="CommentText"/>
    <w:rsid w:val="008020E4"/>
  </w:style>
  <w:style w:type="paragraph" w:styleId="CommentSubject">
    <w:name w:val="annotation subject"/>
    <w:basedOn w:val="CommentText"/>
    <w:next w:val="CommentText"/>
    <w:link w:val="CommentSubjectChar"/>
    <w:rsid w:val="0080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witter.com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B81D-91CD-4596-817F-512CDBB9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2160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2019-08-29T13:55:00Z</cp:lastPrinted>
  <dcterms:created xsi:type="dcterms:W3CDTF">2019-10-08T18:39:00Z</dcterms:created>
  <dcterms:modified xsi:type="dcterms:W3CDTF">2019-10-08T18:39:00Z</dcterms:modified>
</cp:coreProperties>
</file>