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1A" w:rsidRPr="00A91B56" w:rsidRDefault="002D265A" w:rsidP="00A56D1A">
      <w:pPr>
        <w:pStyle w:val="Header"/>
        <w:framePr w:h="1061" w:hRule="exact" w:hSpace="180" w:wrap="around" w:vAnchor="text" w:hAnchor="page" w:x="646" w:y="-29"/>
        <w:widowControl w:val="0"/>
        <w:tabs>
          <w:tab w:val="clear" w:pos="4320"/>
          <w:tab w:val="clear" w:pos="8640"/>
          <w:tab w:val="left" w:pos="5400"/>
        </w:tabs>
        <w:ind w:left="2160"/>
        <w:suppressOverlap/>
        <w:rPr>
          <w:rFonts w:ascii="Bookman Old Style" w:hAnsi="Bookman Old Style"/>
          <w:b/>
          <w:i/>
        </w:rPr>
      </w:pPr>
      <w:r w:rsidRPr="00A91B56">
        <w:rPr>
          <w:noProof/>
        </w:rPr>
        <w:drawing>
          <wp:anchor distT="0" distB="0" distL="114300" distR="114300" simplePos="0" relativeHeight="251657728" behindDoc="1" locked="0" layoutInCell="1" allowOverlap="1" wp14:anchorId="2ECED848" wp14:editId="504C0B23">
            <wp:simplePos x="0" y="0"/>
            <wp:positionH relativeFrom="column">
              <wp:posOffset>0</wp:posOffset>
            </wp:positionH>
            <wp:positionV relativeFrom="paragraph">
              <wp:posOffset>635</wp:posOffset>
            </wp:positionV>
            <wp:extent cx="1381125" cy="695325"/>
            <wp:effectExtent l="0" t="0" r="9525" b="9525"/>
            <wp:wrapNone/>
            <wp:docPr id="20" name="Picture 9" descr="Picture of Commonwealth of Massachusetts in background, with &quot;MassHealth&quot; superimposed on it. "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A56D1A" w:rsidRPr="00A91B56">
        <w:rPr>
          <w:rFonts w:ascii="Bookman Old Style" w:hAnsi="Bookman Old Style"/>
          <w:b/>
          <w:i/>
        </w:rPr>
        <w:t>Commonwealth of Massachusetts</w:t>
      </w:r>
    </w:p>
    <w:p w:rsidR="00A56D1A" w:rsidRPr="00A91B56" w:rsidRDefault="00A56D1A" w:rsidP="00A56D1A">
      <w:pPr>
        <w:framePr w:h="1061" w:hRule="exact" w:hSpace="180" w:wrap="around" w:vAnchor="text" w:hAnchor="page" w:x="646" w:y="-29"/>
        <w:widowControl w:val="0"/>
        <w:tabs>
          <w:tab w:val="left" w:pos="5400"/>
        </w:tabs>
        <w:ind w:left="2160"/>
        <w:suppressOverlap/>
        <w:rPr>
          <w:rFonts w:ascii="Bookman Old Style" w:hAnsi="Bookman Old Style"/>
          <w:b/>
          <w:i/>
        </w:rPr>
      </w:pPr>
      <w:r w:rsidRPr="00A91B56">
        <w:rPr>
          <w:rFonts w:ascii="Bookman Old Style" w:hAnsi="Bookman Old Style"/>
          <w:b/>
          <w:i/>
        </w:rPr>
        <w:t>Executive Office of Health and Human Services</w:t>
      </w:r>
    </w:p>
    <w:p w:rsidR="00A56D1A" w:rsidRPr="00A91B56" w:rsidRDefault="00A56D1A" w:rsidP="00A56D1A">
      <w:pPr>
        <w:pStyle w:val="Heading2"/>
        <w:framePr w:h="1061" w:hRule="exact" w:hSpace="180" w:wrap="around" w:vAnchor="text" w:hAnchor="page" w:x="646" w:y="-29"/>
        <w:ind w:left="2160"/>
        <w:suppressOverlap/>
      </w:pPr>
      <w:r w:rsidRPr="00A91B56">
        <w:t>Office of Medicaid</w:t>
      </w:r>
    </w:p>
    <w:p w:rsidR="00A56D1A" w:rsidRPr="00A91B56" w:rsidRDefault="00A56D1A" w:rsidP="00A56D1A">
      <w:pPr>
        <w:framePr w:h="1061" w:hRule="exact" w:hSpace="180" w:wrap="around" w:vAnchor="text" w:hAnchor="page" w:x="646" w:y="-29"/>
        <w:ind w:left="2160"/>
        <w:suppressOverlap/>
      </w:pPr>
      <w:r w:rsidRPr="00A91B56">
        <w:rPr>
          <w:rFonts w:ascii="Bookman Old Style" w:hAnsi="Bookman Old Style"/>
          <w:i/>
          <w:sz w:val="18"/>
        </w:rPr>
        <w:t>www.mass.gov/masshealth</w:t>
      </w:r>
    </w:p>
    <w:p w:rsidR="005B3A7D" w:rsidRPr="00A91B56" w:rsidRDefault="005B3A7D">
      <w:pPr>
        <w:tabs>
          <w:tab w:val="left" w:pos="5760"/>
        </w:tabs>
        <w:rPr>
          <w:rFonts w:ascii="Georgia" w:hAnsi="Georgia"/>
          <w:sz w:val="22"/>
          <w:szCs w:val="22"/>
        </w:rPr>
      </w:pPr>
    </w:p>
    <w:p w:rsidR="00171A36" w:rsidRPr="00B01A70" w:rsidRDefault="00171A36" w:rsidP="009B3C81">
      <w:pPr>
        <w:ind w:left="7920" w:right="576" w:hanging="2880"/>
        <w:rPr>
          <w:rFonts w:ascii="Georgia" w:hAnsi="Georgia"/>
          <w:b/>
          <w:color w:val="990000"/>
          <w:sz w:val="22"/>
          <w:szCs w:val="22"/>
        </w:rPr>
      </w:pPr>
      <w:r w:rsidRPr="00A91B56">
        <w:rPr>
          <w:rFonts w:ascii="Georgia" w:hAnsi="Georgia"/>
          <w:b/>
          <w:color w:val="990000"/>
          <w:sz w:val="22"/>
          <w:szCs w:val="22"/>
        </w:rPr>
        <w:t xml:space="preserve">Eligibility Operations Memo </w:t>
      </w:r>
      <w:r w:rsidR="00A91B56" w:rsidRPr="00B01A70">
        <w:rPr>
          <w:rFonts w:ascii="Georgia" w:hAnsi="Georgia"/>
          <w:b/>
          <w:color w:val="990000"/>
          <w:sz w:val="22"/>
          <w:szCs w:val="22"/>
        </w:rPr>
        <w:t>20-</w:t>
      </w:r>
      <w:r w:rsidR="00B01A70">
        <w:rPr>
          <w:rFonts w:ascii="Georgia" w:hAnsi="Georgia"/>
          <w:b/>
          <w:color w:val="990000"/>
          <w:sz w:val="22"/>
          <w:szCs w:val="22"/>
        </w:rPr>
        <w:t>02</w:t>
      </w:r>
    </w:p>
    <w:p w:rsidR="00171A36" w:rsidRPr="00B01A70" w:rsidRDefault="00A91B56" w:rsidP="009B3C81">
      <w:pPr>
        <w:ind w:left="7920" w:right="576" w:hanging="2880"/>
        <w:rPr>
          <w:rFonts w:ascii="Georgia" w:hAnsi="Georgia"/>
          <w:b/>
          <w:color w:val="990000"/>
          <w:sz w:val="22"/>
          <w:szCs w:val="22"/>
        </w:rPr>
      </w:pPr>
      <w:r w:rsidRPr="00B01A70">
        <w:rPr>
          <w:rFonts w:ascii="Georgia" w:hAnsi="Georgia"/>
          <w:b/>
          <w:color w:val="990000"/>
          <w:sz w:val="22"/>
          <w:szCs w:val="22"/>
        </w:rPr>
        <w:t>January 1</w:t>
      </w:r>
      <w:r w:rsidR="009B3C81" w:rsidRPr="00B01A70">
        <w:rPr>
          <w:rFonts w:ascii="Georgia" w:hAnsi="Georgia"/>
          <w:b/>
          <w:color w:val="990000"/>
          <w:sz w:val="22"/>
          <w:szCs w:val="22"/>
        </w:rPr>
        <w:t>,</w:t>
      </w:r>
      <w:r w:rsidR="00171A36" w:rsidRPr="00B01A70">
        <w:rPr>
          <w:rFonts w:ascii="Georgia" w:hAnsi="Georgia"/>
          <w:b/>
          <w:color w:val="990000"/>
          <w:sz w:val="22"/>
          <w:szCs w:val="22"/>
        </w:rPr>
        <w:t xml:space="preserve"> 20</w:t>
      </w:r>
      <w:r w:rsidRPr="00B01A70">
        <w:rPr>
          <w:rFonts w:ascii="Georgia" w:hAnsi="Georgia"/>
          <w:b/>
          <w:color w:val="990000"/>
          <w:sz w:val="22"/>
          <w:szCs w:val="22"/>
        </w:rPr>
        <w:t>20</w:t>
      </w:r>
    </w:p>
    <w:p w:rsidR="005B3A7D" w:rsidRPr="00B01A70" w:rsidRDefault="005B3A7D" w:rsidP="00A56D1A">
      <w:pPr>
        <w:tabs>
          <w:tab w:val="left" w:pos="900"/>
        </w:tabs>
        <w:ind w:left="576" w:right="576"/>
        <w:rPr>
          <w:rFonts w:ascii="Georgia" w:hAnsi="Georgia"/>
          <w:b/>
          <w:sz w:val="22"/>
          <w:szCs w:val="22"/>
        </w:rPr>
      </w:pPr>
    </w:p>
    <w:p w:rsidR="005B3A7D" w:rsidRPr="00B01A70" w:rsidRDefault="005B3A7D" w:rsidP="00A56D1A">
      <w:pPr>
        <w:tabs>
          <w:tab w:val="left" w:pos="900"/>
        </w:tabs>
        <w:ind w:left="576" w:right="576"/>
        <w:rPr>
          <w:rFonts w:ascii="Georgia" w:hAnsi="Georgia"/>
          <w:b/>
          <w:sz w:val="22"/>
          <w:szCs w:val="22"/>
        </w:rPr>
      </w:pPr>
    </w:p>
    <w:p w:rsidR="00A3075C" w:rsidRDefault="004117FD" w:rsidP="00A3075C">
      <w:pPr>
        <w:tabs>
          <w:tab w:val="left" w:pos="900"/>
        </w:tabs>
        <w:ind w:left="576" w:right="576"/>
        <w:rPr>
          <w:rFonts w:ascii="Georgia" w:hAnsi="Georgia"/>
          <w:sz w:val="22"/>
          <w:szCs w:val="22"/>
        </w:rPr>
      </w:pPr>
      <w:r w:rsidRPr="00B01A70">
        <w:rPr>
          <w:rFonts w:ascii="Georgia" w:hAnsi="Georgia"/>
          <w:sz w:val="22"/>
          <w:szCs w:val="22"/>
        </w:rPr>
        <w:t>TO:</w:t>
      </w:r>
      <w:r w:rsidR="00AD4B0C" w:rsidRPr="00B01A70">
        <w:rPr>
          <w:rFonts w:ascii="Georgia" w:hAnsi="Georgia"/>
          <w:sz w:val="22"/>
          <w:szCs w:val="22"/>
        </w:rPr>
        <w:tab/>
      </w:r>
      <w:r w:rsidR="00A3075C" w:rsidRPr="0041424A">
        <w:rPr>
          <w:rFonts w:ascii="Georgia" w:hAnsi="Georgia"/>
          <w:sz w:val="22"/>
          <w:szCs w:val="22"/>
        </w:rPr>
        <w:t>Eligi</w:t>
      </w:r>
      <w:bookmarkStart w:id="0" w:name="_GoBack"/>
      <w:bookmarkEnd w:id="0"/>
      <w:r w:rsidR="00A3075C" w:rsidRPr="0041424A">
        <w:rPr>
          <w:rFonts w:ascii="Georgia" w:hAnsi="Georgia"/>
          <w:sz w:val="22"/>
          <w:szCs w:val="22"/>
        </w:rPr>
        <w:t>bility Operations Staff</w:t>
      </w:r>
    </w:p>
    <w:p w:rsidR="00C84454" w:rsidRPr="0041424A" w:rsidRDefault="00C84454" w:rsidP="00A3075C">
      <w:pPr>
        <w:tabs>
          <w:tab w:val="left" w:pos="900"/>
        </w:tabs>
        <w:ind w:left="576" w:right="576"/>
        <w:rPr>
          <w:rFonts w:ascii="Georgia" w:hAnsi="Georgia"/>
          <w:sz w:val="22"/>
          <w:szCs w:val="22"/>
        </w:rPr>
      </w:pPr>
    </w:p>
    <w:p w:rsidR="00A3075C" w:rsidRPr="0041424A" w:rsidRDefault="00A3075C" w:rsidP="00A3075C">
      <w:pPr>
        <w:tabs>
          <w:tab w:val="left" w:pos="900"/>
        </w:tabs>
        <w:ind w:left="1440" w:right="576" w:hanging="864"/>
        <w:rPr>
          <w:rFonts w:ascii="Georgia" w:hAnsi="Georgia"/>
          <w:sz w:val="22"/>
          <w:szCs w:val="22"/>
        </w:rPr>
      </w:pPr>
      <w:r w:rsidRPr="0041424A">
        <w:rPr>
          <w:rFonts w:ascii="Georgia" w:hAnsi="Georgia"/>
          <w:sz w:val="22"/>
          <w:szCs w:val="22"/>
        </w:rPr>
        <w:t>FROM:</w:t>
      </w:r>
      <w:r w:rsidRPr="0041424A">
        <w:rPr>
          <w:rFonts w:ascii="Georgia" w:hAnsi="Georgia"/>
          <w:sz w:val="22"/>
          <w:szCs w:val="22"/>
        </w:rPr>
        <w:tab/>
        <w:t xml:space="preserve">Heather Rossi, Deputy Policy Director for </w:t>
      </w:r>
      <w:proofErr w:type="gramStart"/>
      <w:r w:rsidRPr="0041424A">
        <w:rPr>
          <w:rFonts w:ascii="Georgia" w:hAnsi="Georgia"/>
          <w:sz w:val="22"/>
          <w:szCs w:val="22"/>
        </w:rPr>
        <w:t xml:space="preserve">Eligibility  </w:t>
      </w:r>
      <w:r w:rsidR="00C84454">
        <w:rPr>
          <w:rFonts w:ascii="Georgia" w:hAnsi="Georgia"/>
          <w:sz w:val="22"/>
          <w:szCs w:val="22"/>
        </w:rPr>
        <w:t>[</w:t>
      </w:r>
      <w:proofErr w:type="gramEnd"/>
      <w:r w:rsidR="00C84454">
        <w:rPr>
          <w:rFonts w:ascii="Georgia" w:hAnsi="Georgia"/>
          <w:sz w:val="22"/>
          <w:szCs w:val="22"/>
        </w:rPr>
        <w:t>Signature of Heather Rossi]</w:t>
      </w:r>
      <w:r>
        <w:rPr>
          <w:rFonts w:ascii="Georgia" w:hAnsi="Georgia"/>
          <w:sz w:val="22"/>
          <w:szCs w:val="22"/>
        </w:rPr>
        <w:t xml:space="preserve"> </w:t>
      </w:r>
    </w:p>
    <w:p w:rsidR="00A3075C" w:rsidRPr="0041424A" w:rsidRDefault="00A3075C" w:rsidP="00A3075C">
      <w:pPr>
        <w:tabs>
          <w:tab w:val="left" w:pos="900"/>
        </w:tabs>
        <w:ind w:left="576" w:right="576"/>
        <w:rPr>
          <w:rFonts w:ascii="Georgia" w:hAnsi="Georgia"/>
          <w:sz w:val="22"/>
          <w:szCs w:val="22"/>
        </w:rPr>
      </w:pPr>
    </w:p>
    <w:p w:rsidR="004117FD" w:rsidRPr="00B01A70" w:rsidRDefault="004117FD" w:rsidP="00A3075C">
      <w:pPr>
        <w:tabs>
          <w:tab w:val="left" w:pos="900"/>
        </w:tabs>
        <w:ind w:left="576" w:right="576"/>
        <w:rPr>
          <w:rFonts w:ascii="Georgia" w:hAnsi="Georgia"/>
          <w:sz w:val="22"/>
          <w:szCs w:val="22"/>
        </w:rPr>
      </w:pPr>
      <w:r w:rsidRPr="00B01A70">
        <w:rPr>
          <w:rFonts w:ascii="Georgia" w:hAnsi="Georgia"/>
          <w:sz w:val="22"/>
          <w:szCs w:val="22"/>
        </w:rPr>
        <w:t>RE:</w:t>
      </w:r>
      <w:r w:rsidRPr="00B01A70">
        <w:rPr>
          <w:rFonts w:ascii="Georgia" w:hAnsi="Georgia"/>
          <w:sz w:val="22"/>
          <w:szCs w:val="22"/>
        </w:rPr>
        <w:tab/>
      </w:r>
      <w:r w:rsidR="00171A36" w:rsidRPr="00B01A70">
        <w:rPr>
          <w:rFonts w:ascii="Georgia" w:hAnsi="Georgia"/>
          <w:b/>
          <w:color w:val="000000"/>
          <w:sz w:val="22"/>
          <w:szCs w:val="22"/>
        </w:rPr>
        <w:t>Automatic Voter Registration</w:t>
      </w:r>
    </w:p>
    <w:p w:rsidR="005B3A7D" w:rsidRPr="00B01A70" w:rsidRDefault="005B3A7D" w:rsidP="00A56D1A">
      <w:pPr>
        <w:tabs>
          <w:tab w:val="left" w:pos="900"/>
        </w:tabs>
        <w:ind w:left="576" w:right="576"/>
        <w:rPr>
          <w:rFonts w:ascii="Georgia" w:hAnsi="Georgia"/>
          <w:b/>
          <w:sz w:val="22"/>
          <w:szCs w:val="22"/>
        </w:rPr>
      </w:pPr>
    </w:p>
    <w:p w:rsidR="00B005AF" w:rsidRDefault="00B005AF" w:rsidP="009F2B63">
      <w:pPr>
        <w:ind w:left="3456" w:right="576" w:hanging="2880"/>
        <w:rPr>
          <w:rFonts w:ascii="Georgia" w:hAnsi="Georgia"/>
          <w:b/>
          <w:color w:val="990000"/>
          <w:sz w:val="24"/>
          <w:szCs w:val="24"/>
        </w:rPr>
      </w:pPr>
    </w:p>
    <w:p w:rsidR="001A2DBB" w:rsidRPr="00B01A70" w:rsidRDefault="001A2DBB" w:rsidP="009F2B63">
      <w:pPr>
        <w:ind w:left="3456" w:right="576" w:hanging="2880"/>
        <w:rPr>
          <w:rFonts w:ascii="Georgia" w:hAnsi="Georgia"/>
          <w:b/>
          <w:sz w:val="24"/>
          <w:szCs w:val="24"/>
        </w:rPr>
      </w:pPr>
      <w:r w:rsidRPr="00B01A70">
        <w:rPr>
          <w:rFonts w:ascii="Georgia" w:hAnsi="Georgia"/>
          <w:b/>
          <w:color w:val="990000"/>
          <w:sz w:val="24"/>
          <w:szCs w:val="24"/>
        </w:rPr>
        <w:t>Introduction</w:t>
      </w:r>
    </w:p>
    <w:p w:rsidR="005B3A7D" w:rsidRPr="00B01A70" w:rsidRDefault="005B3A7D" w:rsidP="009F2B63">
      <w:pPr>
        <w:ind w:left="576" w:right="576"/>
        <w:rPr>
          <w:rFonts w:ascii="Georgia" w:hAnsi="Georgia" w:cs="Arial"/>
          <w:sz w:val="22"/>
          <w:szCs w:val="22"/>
        </w:rPr>
      </w:pPr>
    </w:p>
    <w:p w:rsidR="00B45234" w:rsidRPr="00B01A70" w:rsidRDefault="00B45234" w:rsidP="00B45234">
      <w:pPr>
        <w:autoSpaceDE w:val="0"/>
        <w:autoSpaceDN w:val="0"/>
        <w:adjustRightInd w:val="0"/>
        <w:ind w:left="576"/>
        <w:rPr>
          <w:rFonts w:ascii="Georgia" w:hAnsi="Georgia"/>
          <w:sz w:val="22"/>
          <w:szCs w:val="22"/>
          <w:shd w:val="clear" w:color="auto" w:fill="FFFFFF"/>
        </w:rPr>
      </w:pPr>
      <w:r w:rsidRPr="00B01A70">
        <w:rPr>
          <w:rFonts w:ascii="Georgia" w:hAnsi="Georgia"/>
          <w:sz w:val="22"/>
          <w:szCs w:val="22"/>
        </w:rPr>
        <w:t xml:space="preserve">On August 9, 2018, </w:t>
      </w:r>
      <w:r w:rsidRPr="001C3F35">
        <w:rPr>
          <w:rFonts w:ascii="Georgia" w:hAnsi="Georgia"/>
          <w:sz w:val="22"/>
          <w:szCs w:val="22"/>
          <w:shd w:val="clear" w:color="auto" w:fill="FFFFFF"/>
        </w:rPr>
        <w:t xml:space="preserve">Massachusetts became the 14th state in the country to adopt an automatic voter registration </w:t>
      </w:r>
      <w:r w:rsidR="003261DC" w:rsidRPr="00E86942">
        <w:rPr>
          <w:rFonts w:ascii="Georgia" w:hAnsi="Georgia"/>
          <w:sz w:val="22"/>
          <w:szCs w:val="22"/>
          <w:shd w:val="clear" w:color="auto" w:fill="FFFFFF"/>
        </w:rPr>
        <w:t xml:space="preserve">(AVR) </w:t>
      </w:r>
      <w:r w:rsidRPr="00E86942">
        <w:rPr>
          <w:rFonts w:ascii="Georgia" w:hAnsi="Georgia"/>
          <w:sz w:val="22"/>
          <w:szCs w:val="22"/>
          <w:shd w:val="clear" w:color="auto" w:fill="FFFFFF"/>
        </w:rPr>
        <w:t>system</w:t>
      </w:r>
      <w:r w:rsidRPr="00E86942">
        <w:rPr>
          <w:rFonts w:ascii="Georgia" w:hAnsi="Georgia"/>
          <w:sz w:val="22"/>
          <w:szCs w:val="22"/>
        </w:rPr>
        <w:t xml:space="preserve">. This </w:t>
      </w:r>
      <w:r w:rsidR="003261DC" w:rsidRPr="00E86942">
        <w:rPr>
          <w:rFonts w:ascii="Georgia" w:hAnsi="Georgia"/>
          <w:sz w:val="22"/>
          <w:szCs w:val="22"/>
        </w:rPr>
        <w:t xml:space="preserve">state law allows </w:t>
      </w:r>
      <w:r w:rsidRPr="00E86942">
        <w:rPr>
          <w:rFonts w:ascii="Georgia" w:hAnsi="Georgia"/>
          <w:sz w:val="22"/>
          <w:szCs w:val="22"/>
          <w:shd w:val="clear" w:color="auto" w:fill="FFFFFF"/>
        </w:rPr>
        <w:t>certain state residents who meet the AVR criteria to</w:t>
      </w:r>
      <w:r w:rsidR="003261DC" w:rsidRPr="00E86942">
        <w:rPr>
          <w:rFonts w:ascii="Georgia" w:hAnsi="Georgia"/>
          <w:sz w:val="22"/>
          <w:szCs w:val="22"/>
          <w:shd w:val="clear" w:color="auto" w:fill="FFFFFF"/>
        </w:rPr>
        <w:t xml:space="preserve"> automatically register to</w:t>
      </w:r>
      <w:r w:rsidRPr="00E86942">
        <w:rPr>
          <w:rFonts w:ascii="Georgia" w:hAnsi="Georgia"/>
          <w:sz w:val="22"/>
          <w:szCs w:val="22"/>
          <w:shd w:val="clear" w:color="auto" w:fill="FFFFFF"/>
        </w:rPr>
        <w:t xml:space="preserve"> vote when they make transactions at the state's Registry of Motor Vehicles (RMV) or through MassHealth and the Massachusetts Health Connector.</w:t>
      </w:r>
      <w:r w:rsidRPr="00B01A70">
        <w:rPr>
          <w:rFonts w:ascii="Georgia" w:hAnsi="Georgia"/>
          <w:sz w:val="22"/>
          <w:szCs w:val="22"/>
          <w:shd w:val="clear" w:color="auto" w:fill="FFFFFF"/>
        </w:rPr>
        <w:t xml:space="preserve"> </w:t>
      </w:r>
    </w:p>
    <w:p w:rsidR="00B45234" w:rsidRPr="00B01A70" w:rsidRDefault="00B45234" w:rsidP="00B45234">
      <w:pPr>
        <w:autoSpaceDE w:val="0"/>
        <w:autoSpaceDN w:val="0"/>
        <w:adjustRightInd w:val="0"/>
        <w:ind w:left="576"/>
        <w:rPr>
          <w:rFonts w:ascii="Georgia" w:hAnsi="Georgia" w:cs="TimesNewRomanPSMT"/>
          <w:sz w:val="22"/>
          <w:szCs w:val="22"/>
        </w:rPr>
      </w:pPr>
    </w:p>
    <w:p w:rsidR="00B45234" w:rsidRPr="00B01A70" w:rsidRDefault="00B45234" w:rsidP="00B45234">
      <w:pPr>
        <w:ind w:left="576"/>
        <w:rPr>
          <w:rFonts w:ascii="Georgia" w:hAnsi="Georgia"/>
          <w:sz w:val="22"/>
          <w:szCs w:val="22"/>
        </w:rPr>
      </w:pPr>
      <w:r w:rsidRPr="00B01A70">
        <w:rPr>
          <w:rFonts w:ascii="Georgia" w:hAnsi="Georgia"/>
          <w:sz w:val="22"/>
          <w:szCs w:val="22"/>
        </w:rPr>
        <w:t xml:space="preserve">On January 1, 2020, MassHealth </w:t>
      </w:r>
      <w:r w:rsidR="00A91B56">
        <w:rPr>
          <w:rFonts w:ascii="Georgia" w:hAnsi="Georgia"/>
          <w:sz w:val="22"/>
          <w:szCs w:val="22"/>
        </w:rPr>
        <w:t>began</w:t>
      </w:r>
      <w:r w:rsidRPr="005C5E54">
        <w:rPr>
          <w:rFonts w:ascii="Georgia" w:hAnsi="Georgia"/>
          <w:sz w:val="22"/>
          <w:szCs w:val="22"/>
        </w:rPr>
        <w:t xml:space="preserve"> supporting this new legislation by introducing the </w:t>
      </w:r>
      <w:r w:rsidR="003261DC" w:rsidRPr="00B01A70">
        <w:rPr>
          <w:rFonts w:ascii="Georgia" w:hAnsi="Georgia"/>
          <w:sz w:val="22"/>
          <w:szCs w:val="22"/>
        </w:rPr>
        <w:t>AVR</w:t>
      </w:r>
      <w:r w:rsidRPr="00B01A70">
        <w:rPr>
          <w:rFonts w:ascii="Georgia" w:hAnsi="Georgia"/>
          <w:sz w:val="22"/>
          <w:szCs w:val="22"/>
        </w:rPr>
        <w:t xml:space="preserve"> functionality in HIX. This functionality use</w:t>
      </w:r>
      <w:r w:rsidR="00A91B56">
        <w:rPr>
          <w:rFonts w:ascii="Georgia" w:hAnsi="Georgia"/>
          <w:sz w:val="22"/>
          <w:szCs w:val="22"/>
        </w:rPr>
        <w:t>s</w:t>
      </w:r>
      <w:r w:rsidRPr="005C5E54">
        <w:rPr>
          <w:rFonts w:ascii="Georgia" w:hAnsi="Georgia"/>
          <w:sz w:val="22"/>
          <w:szCs w:val="22"/>
        </w:rPr>
        <w:t xml:space="preserve"> criteria to automatically send voter registration information of certain </w:t>
      </w:r>
      <w:r w:rsidR="00C34047">
        <w:rPr>
          <w:rFonts w:ascii="Georgia" w:hAnsi="Georgia"/>
          <w:sz w:val="22"/>
          <w:szCs w:val="22"/>
        </w:rPr>
        <w:t xml:space="preserve">individuals on record, listed as the </w:t>
      </w:r>
      <w:r w:rsidRPr="005C5E54">
        <w:rPr>
          <w:rFonts w:ascii="Georgia" w:hAnsi="Georgia"/>
          <w:sz w:val="22"/>
          <w:szCs w:val="22"/>
        </w:rPr>
        <w:t>Head of Household (HOH)</w:t>
      </w:r>
      <w:r w:rsidR="00C34047">
        <w:rPr>
          <w:rFonts w:ascii="Georgia" w:hAnsi="Georgia"/>
          <w:sz w:val="22"/>
          <w:szCs w:val="22"/>
        </w:rPr>
        <w:t>,</w:t>
      </w:r>
      <w:r w:rsidRPr="005C5E54">
        <w:rPr>
          <w:rFonts w:ascii="Georgia" w:hAnsi="Georgia"/>
          <w:sz w:val="22"/>
          <w:szCs w:val="22"/>
        </w:rPr>
        <w:t xml:space="preserve"> to the Massachusetts Secretary of the Commonwealth (SOC) on</w:t>
      </w:r>
      <w:r w:rsidRPr="00B01A70">
        <w:rPr>
          <w:rFonts w:ascii="Georgia" w:hAnsi="Georgia"/>
          <w:sz w:val="22"/>
          <w:szCs w:val="22"/>
        </w:rPr>
        <w:t xml:space="preserve"> a daily basis in the form of a batch file. The SOC will then transmit the information to the individual’s town election officials to p</w:t>
      </w:r>
      <w:r w:rsidR="009B3C81" w:rsidRPr="00B01A70">
        <w:rPr>
          <w:rFonts w:ascii="Georgia" w:hAnsi="Georgia"/>
          <w:sz w:val="22"/>
          <w:szCs w:val="22"/>
        </w:rPr>
        <w:t>rocess the voter registrations.</w:t>
      </w:r>
    </w:p>
    <w:p w:rsidR="00B45234" w:rsidRPr="00B01A70" w:rsidRDefault="00B45234" w:rsidP="00B45234">
      <w:pPr>
        <w:ind w:left="576"/>
        <w:rPr>
          <w:rFonts w:ascii="Georgia" w:hAnsi="Georgia"/>
          <w:sz w:val="22"/>
          <w:szCs w:val="22"/>
        </w:rPr>
      </w:pPr>
    </w:p>
    <w:p w:rsidR="00B45234" w:rsidRPr="00B01A70" w:rsidRDefault="00B45234" w:rsidP="00B45234">
      <w:pPr>
        <w:ind w:left="576"/>
        <w:rPr>
          <w:rFonts w:ascii="Georgia" w:hAnsi="Georgia"/>
          <w:sz w:val="22"/>
          <w:szCs w:val="22"/>
        </w:rPr>
      </w:pPr>
      <w:r w:rsidRPr="00B01A70">
        <w:rPr>
          <w:rFonts w:ascii="Georgia" w:hAnsi="Georgia"/>
          <w:sz w:val="22"/>
          <w:szCs w:val="22"/>
        </w:rPr>
        <w:t xml:space="preserve">This AVR process will occur at the time of initial application done by phone or online and will not occur for subsequent Report a Change (RAC) or </w:t>
      </w:r>
      <w:r w:rsidR="007704DE" w:rsidRPr="00B01A70">
        <w:rPr>
          <w:rFonts w:ascii="Georgia" w:hAnsi="Georgia"/>
          <w:sz w:val="22"/>
          <w:szCs w:val="22"/>
        </w:rPr>
        <w:t>r</w:t>
      </w:r>
      <w:r w:rsidRPr="00B01A70">
        <w:rPr>
          <w:rFonts w:ascii="Georgia" w:hAnsi="Georgia"/>
          <w:sz w:val="22"/>
          <w:szCs w:val="22"/>
        </w:rPr>
        <w:t>enewal applications. AVR capabilities will be implemented in phases and will include all forms of initial applications in future</w:t>
      </w:r>
      <w:r w:rsidR="007704DE" w:rsidRPr="00B01A70">
        <w:rPr>
          <w:rFonts w:ascii="Georgia" w:hAnsi="Georgia"/>
          <w:sz w:val="22"/>
          <w:szCs w:val="22"/>
        </w:rPr>
        <w:t xml:space="preserve"> releases</w:t>
      </w:r>
      <w:r w:rsidR="00B33139">
        <w:rPr>
          <w:rFonts w:ascii="Georgia" w:hAnsi="Georgia"/>
          <w:sz w:val="22"/>
          <w:szCs w:val="22"/>
        </w:rPr>
        <w:t>,</w:t>
      </w:r>
      <w:r w:rsidR="007704DE" w:rsidRPr="00B01A70">
        <w:rPr>
          <w:rFonts w:ascii="Georgia" w:hAnsi="Georgia"/>
          <w:sz w:val="22"/>
          <w:szCs w:val="22"/>
        </w:rPr>
        <w:t xml:space="preserve"> such as </w:t>
      </w:r>
      <w:r w:rsidR="00E86942">
        <w:rPr>
          <w:rFonts w:ascii="Georgia" w:hAnsi="Georgia"/>
          <w:sz w:val="22"/>
          <w:szCs w:val="22"/>
        </w:rPr>
        <w:t>p</w:t>
      </w:r>
      <w:r w:rsidR="00E86942" w:rsidRPr="00B01A70">
        <w:rPr>
          <w:rFonts w:ascii="Georgia" w:hAnsi="Georgia"/>
          <w:sz w:val="22"/>
          <w:szCs w:val="22"/>
        </w:rPr>
        <w:t xml:space="preserve">aper </w:t>
      </w:r>
      <w:r w:rsidR="007704DE" w:rsidRPr="00B01A70">
        <w:rPr>
          <w:rFonts w:ascii="Georgia" w:hAnsi="Georgia"/>
          <w:sz w:val="22"/>
          <w:szCs w:val="22"/>
        </w:rPr>
        <w:t xml:space="preserve">and </w:t>
      </w:r>
      <w:r w:rsidR="00E86942">
        <w:rPr>
          <w:rFonts w:ascii="Georgia" w:hAnsi="Georgia"/>
          <w:sz w:val="22"/>
          <w:szCs w:val="22"/>
        </w:rPr>
        <w:t>i</w:t>
      </w:r>
      <w:r w:rsidR="00E86942" w:rsidRPr="00B01A70">
        <w:rPr>
          <w:rFonts w:ascii="Georgia" w:hAnsi="Georgia"/>
          <w:sz w:val="22"/>
          <w:szCs w:val="22"/>
        </w:rPr>
        <w:t>n</w:t>
      </w:r>
      <w:r w:rsidR="007704DE" w:rsidRPr="00B01A70">
        <w:rPr>
          <w:rFonts w:ascii="Georgia" w:hAnsi="Georgia"/>
          <w:sz w:val="22"/>
          <w:szCs w:val="22"/>
        </w:rPr>
        <w:t>-</w:t>
      </w:r>
      <w:r w:rsidR="00E86942">
        <w:rPr>
          <w:rFonts w:ascii="Georgia" w:hAnsi="Georgia"/>
          <w:sz w:val="22"/>
          <w:szCs w:val="22"/>
        </w:rPr>
        <w:t>p</w:t>
      </w:r>
      <w:r w:rsidR="00E86942" w:rsidRPr="00B01A70">
        <w:rPr>
          <w:rFonts w:ascii="Georgia" w:hAnsi="Georgia"/>
          <w:sz w:val="22"/>
          <w:szCs w:val="22"/>
        </w:rPr>
        <w:t>erson</w:t>
      </w:r>
      <w:r w:rsidRPr="00B01A70">
        <w:rPr>
          <w:rFonts w:ascii="Georgia" w:hAnsi="Georgia"/>
          <w:sz w:val="22"/>
          <w:szCs w:val="22"/>
        </w:rPr>
        <w:t xml:space="preserve">. This functionality is for certain HOH applicants who meet the AVR criteria. </w:t>
      </w:r>
    </w:p>
    <w:p w:rsidR="00B45234" w:rsidRPr="00B01A70" w:rsidRDefault="00B45234" w:rsidP="00B45234">
      <w:pPr>
        <w:ind w:left="576"/>
        <w:rPr>
          <w:rFonts w:ascii="Georgia" w:hAnsi="Georgia"/>
          <w:sz w:val="22"/>
          <w:szCs w:val="22"/>
        </w:rPr>
      </w:pPr>
    </w:p>
    <w:p w:rsidR="00B45234" w:rsidRPr="00B01A70" w:rsidRDefault="00B45234" w:rsidP="00B45234">
      <w:pPr>
        <w:ind w:left="576"/>
        <w:rPr>
          <w:rFonts w:ascii="Georgia" w:hAnsi="Georgia"/>
          <w:sz w:val="22"/>
          <w:szCs w:val="22"/>
        </w:rPr>
      </w:pPr>
      <w:r w:rsidRPr="00B01A70">
        <w:rPr>
          <w:rFonts w:ascii="Georgia" w:hAnsi="Georgia"/>
          <w:sz w:val="22"/>
          <w:szCs w:val="22"/>
        </w:rPr>
        <w:t>New AVR functionality will not impact or change current MassHealth</w:t>
      </w:r>
      <w:r w:rsidR="009B3C81" w:rsidRPr="00B01A70">
        <w:rPr>
          <w:rFonts w:ascii="Georgia" w:hAnsi="Georgia"/>
          <w:sz w:val="22"/>
          <w:szCs w:val="22"/>
        </w:rPr>
        <w:t xml:space="preserve"> voter registration processes.</w:t>
      </w:r>
    </w:p>
    <w:p w:rsidR="00D406D0" w:rsidRPr="00B01A70" w:rsidRDefault="00D406D0" w:rsidP="00B45234">
      <w:pPr>
        <w:ind w:left="576" w:right="576"/>
        <w:rPr>
          <w:rFonts w:ascii="Georgia" w:hAnsi="Georgia"/>
          <w:b/>
        </w:rPr>
      </w:pPr>
    </w:p>
    <w:p w:rsidR="00B45234" w:rsidRPr="00B01A70" w:rsidRDefault="00B45234" w:rsidP="00B45234">
      <w:pPr>
        <w:ind w:left="540" w:right="576"/>
        <w:rPr>
          <w:rFonts w:ascii="Georgia" w:hAnsi="Georgia"/>
          <w:b/>
          <w:color w:val="990000"/>
          <w:sz w:val="24"/>
          <w:szCs w:val="24"/>
        </w:rPr>
      </w:pPr>
      <w:r w:rsidRPr="00B01A70">
        <w:rPr>
          <w:rFonts w:ascii="Georgia" w:hAnsi="Georgia"/>
          <w:b/>
          <w:color w:val="990000"/>
          <w:sz w:val="24"/>
          <w:szCs w:val="24"/>
        </w:rPr>
        <w:t>HIX System Changes</w:t>
      </w:r>
    </w:p>
    <w:p w:rsidR="00B45234" w:rsidRPr="00B01A70" w:rsidRDefault="00B45234" w:rsidP="00B45234">
      <w:pPr>
        <w:ind w:left="630" w:right="576"/>
        <w:rPr>
          <w:rFonts w:ascii="Georgia" w:hAnsi="Georgia"/>
          <w:b/>
          <w:color w:val="990000"/>
          <w:sz w:val="22"/>
          <w:szCs w:val="22"/>
        </w:rPr>
      </w:pPr>
    </w:p>
    <w:p w:rsidR="00B45234" w:rsidRPr="00B01A70" w:rsidRDefault="00B45234" w:rsidP="00B45234">
      <w:pPr>
        <w:ind w:left="576" w:right="576"/>
        <w:rPr>
          <w:rFonts w:ascii="Georgia" w:hAnsi="Georgia"/>
          <w:sz w:val="22"/>
          <w:szCs w:val="22"/>
        </w:rPr>
      </w:pPr>
      <w:r w:rsidRPr="00B01A70">
        <w:rPr>
          <w:rFonts w:ascii="Georgia" w:hAnsi="Georgia"/>
          <w:sz w:val="22"/>
          <w:szCs w:val="22"/>
        </w:rPr>
        <w:t xml:space="preserve">To support the AVR process, new AVR language </w:t>
      </w:r>
      <w:r w:rsidR="00A91B56">
        <w:rPr>
          <w:rFonts w:ascii="Georgia" w:hAnsi="Georgia"/>
          <w:sz w:val="22"/>
          <w:szCs w:val="22"/>
        </w:rPr>
        <w:t>has</w:t>
      </w:r>
      <w:r w:rsidR="00A91B56" w:rsidRPr="005C5E54">
        <w:rPr>
          <w:rFonts w:ascii="Georgia" w:hAnsi="Georgia"/>
          <w:sz w:val="22"/>
          <w:szCs w:val="22"/>
        </w:rPr>
        <w:t xml:space="preserve"> </w:t>
      </w:r>
      <w:r w:rsidRPr="005C5E54">
        <w:rPr>
          <w:rFonts w:ascii="Georgia" w:hAnsi="Georgia"/>
          <w:sz w:val="22"/>
          <w:szCs w:val="22"/>
        </w:rPr>
        <w:t>be</w:t>
      </w:r>
      <w:r w:rsidR="00A91B56">
        <w:rPr>
          <w:rFonts w:ascii="Georgia" w:hAnsi="Georgia"/>
          <w:sz w:val="22"/>
          <w:szCs w:val="22"/>
        </w:rPr>
        <w:t>en</w:t>
      </w:r>
      <w:r w:rsidRPr="005C5E54">
        <w:rPr>
          <w:rFonts w:ascii="Georgia" w:hAnsi="Georgia"/>
          <w:sz w:val="22"/>
          <w:szCs w:val="22"/>
        </w:rPr>
        <w:t xml:space="preserve"> added to the Rights and Responsibilities page for initial applications submitted online or </w:t>
      </w:r>
      <w:r w:rsidR="007704DE" w:rsidRPr="00B01A70">
        <w:rPr>
          <w:rFonts w:ascii="Georgia" w:hAnsi="Georgia"/>
          <w:sz w:val="22"/>
          <w:szCs w:val="22"/>
        </w:rPr>
        <w:t xml:space="preserve">by phone </w:t>
      </w:r>
      <w:r w:rsidR="00894AAC" w:rsidRPr="00B01A70">
        <w:rPr>
          <w:rFonts w:ascii="Georgia" w:hAnsi="Georgia"/>
          <w:sz w:val="22"/>
          <w:szCs w:val="22"/>
        </w:rPr>
        <w:t xml:space="preserve">through the HIX. </w:t>
      </w:r>
      <w:r w:rsidRPr="00B01A70">
        <w:rPr>
          <w:rFonts w:ascii="Georgia" w:hAnsi="Georgia"/>
          <w:sz w:val="22"/>
          <w:szCs w:val="22"/>
        </w:rPr>
        <w:t>This language inform</w:t>
      </w:r>
      <w:r w:rsidR="00A91B56">
        <w:rPr>
          <w:rFonts w:ascii="Georgia" w:hAnsi="Georgia"/>
          <w:sz w:val="22"/>
          <w:szCs w:val="22"/>
        </w:rPr>
        <w:t>s</w:t>
      </w:r>
      <w:r w:rsidRPr="005C5E54">
        <w:rPr>
          <w:rFonts w:ascii="Georgia" w:hAnsi="Georgia"/>
          <w:sz w:val="22"/>
          <w:szCs w:val="22"/>
        </w:rPr>
        <w:t xml:space="preserve"> an applicant of the AVR process and give</w:t>
      </w:r>
      <w:r w:rsidR="006A2B29">
        <w:rPr>
          <w:rFonts w:ascii="Georgia" w:hAnsi="Georgia"/>
          <w:sz w:val="22"/>
          <w:szCs w:val="22"/>
        </w:rPr>
        <w:t>s</w:t>
      </w:r>
      <w:r w:rsidRPr="005C5E54">
        <w:rPr>
          <w:rFonts w:ascii="Georgia" w:hAnsi="Georgia"/>
          <w:sz w:val="22"/>
          <w:szCs w:val="22"/>
        </w:rPr>
        <w:t xml:space="preserve"> authorization to MassHealth/Health Connector to send the HOH informati</w:t>
      </w:r>
      <w:r w:rsidR="00894AAC" w:rsidRPr="00B01A70">
        <w:rPr>
          <w:rFonts w:ascii="Georgia" w:hAnsi="Georgia"/>
          <w:sz w:val="22"/>
          <w:szCs w:val="22"/>
        </w:rPr>
        <w:t xml:space="preserve">on to </w:t>
      </w:r>
      <w:r w:rsidR="00D97668">
        <w:rPr>
          <w:rFonts w:ascii="Georgia" w:hAnsi="Georgia"/>
          <w:sz w:val="22"/>
          <w:szCs w:val="22"/>
        </w:rPr>
        <w:t xml:space="preserve">the </w:t>
      </w:r>
      <w:r w:rsidR="00894AAC" w:rsidRPr="00B01A70">
        <w:rPr>
          <w:rFonts w:ascii="Georgia" w:hAnsi="Georgia"/>
          <w:sz w:val="22"/>
          <w:szCs w:val="22"/>
        </w:rPr>
        <w:t xml:space="preserve">SOC for purposes of AVR. </w:t>
      </w:r>
      <w:r w:rsidRPr="00B01A70">
        <w:rPr>
          <w:rFonts w:ascii="Georgia" w:hAnsi="Georgia"/>
          <w:sz w:val="22"/>
          <w:szCs w:val="22"/>
        </w:rPr>
        <w:t>The language includes a check box</w:t>
      </w:r>
      <w:r w:rsidR="007704DE" w:rsidRPr="00B01A70">
        <w:rPr>
          <w:rFonts w:ascii="Georgia" w:hAnsi="Georgia"/>
          <w:sz w:val="22"/>
          <w:szCs w:val="22"/>
        </w:rPr>
        <w:t xml:space="preserve"> </w:t>
      </w:r>
      <w:r w:rsidR="006A2B29">
        <w:rPr>
          <w:rFonts w:ascii="Georgia" w:hAnsi="Georgia"/>
          <w:sz w:val="22"/>
          <w:szCs w:val="22"/>
        </w:rPr>
        <w:t>for</w:t>
      </w:r>
      <w:r w:rsidRPr="00B01A70">
        <w:rPr>
          <w:rFonts w:ascii="Georgia" w:hAnsi="Georgia"/>
          <w:sz w:val="22"/>
          <w:szCs w:val="22"/>
        </w:rPr>
        <w:t xml:space="preserve"> “Do not use my information for voter registration” to allow </w:t>
      </w:r>
      <w:r w:rsidR="00D97668">
        <w:rPr>
          <w:rFonts w:ascii="Georgia" w:hAnsi="Georgia"/>
          <w:sz w:val="22"/>
          <w:szCs w:val="22"/>
        </w:rPr>
        <w:t xml:space="preserve">the </w:t>
      </w:r>
      <w:r w:rsidRPr="00B01A70">
        <w:rPr>
          <w:rFonts w:ascii="Georgia" w:hAnsi="Georgia"/>
          <w:sz w:val="22"/>
          <w:szCs w:val="22"/>
        </w:rPr>
        <w:t>HOH the option to opt out of the AVR process. If this checkbox is selected, no in</w:t>
      </w:r>
      <w:r w:rsidR="00894AAC" w:rsidRPr="00B01A70">
        <w:rPr>
          <w:rFonts w:ascii="Georgia" w:hAnsi="Georgia"/>
          <w:sz w:val="22"/>
          <w:szCs w:val="22"/>
        </w:rPr>
        <w:t xml:space="preserve">formation will be sent to </w:t>
      </w:r>
      <w:r w:rsidR="00D97668">
        <w:rPr>
          <w:rFonts w:ascii="Georgia" w:hAnsi="Georgia"/>
          <w:sz w:val="22"/>
          <w:szCs w:val="22"/>
        </w:rPr>
        <w:t xml:space="preserve">the </w:t>
      </w:r>
      <w:r w:rsidR="00894AAC" w:rsidRPr="00B01A70">
        <w:rPr>
          <w:rFonts w:ascii="Georgia" w:hAnsi="Georgia"/>
          <w:sz w:val="22"/>
          <w:szCs w:val="22"/>
        </w:rPr>
        <w:t>SOC.</w:t>
      </w:r>
    </w:p>
    <w:p w:rsidR="00B45234" w:rsidRPr="00B01A70" w:rsidRDefault="00B45234" w:rsidP="00B45234">
      <w:pPr>
        <w:ind w:left="576" w:right="576"/>
        <w:rPr>
          <w:rFonts w:ascii="Georgia" w:hAnsi="Georgia"/>
          <w:sz w:val="22"/>
          <w:szCs w:val="22"/>
        </w:rPr>
      </w:pPr>
    </w:p>
    <w:p w:rsidR="00171A36" w:rsidRPr="00B01A70" w:rsidRDefault="00171A36">
      <w:pPr>
        <w:rPr>
          <w:rFonts w:ascii="Georgia" w:hAnsi="Georgia"/>
          <w:sz w:val="22"/>
          <w:szCs w:val="22"/>
        </w:rPr>
      </w:pPr>
      <w:r w:rsidRPr="00B01A70">
        <w:rPr>
          <w:rFonts w:ascii="Georgia" w:hAnsi="Georgia"/>
          <w:sz w:val="22"/>
          <w:szCs w:val="22"/>
        </w:rPr>
        <w:br w:type="page"/>
      </w:r>
    </w:p>
    <w:p w:rsidR="00171A36" w:rsidRPr="00B01A70" w:rsidRDefault="00171A36" w:rsidP="00171A36">
      <w:pPr>
        <w:ind w:left="576" w:right="576"/>
        <w:rPr>
          <w:rFonts w:ascii="Georgia" w:hAnsi="Georgia"/>
          <w:b/>
          <w:color w:val="990000"/>
          <w:sz w:val="24"/>
          <w:szCs w:val="24"/>
        </w:rPr>
      </w:pPr>
    </w:p>
    <w:p w:rsidR="00171A36" w:rsidRPr="00A91B56" w:rsidRDefault="00171A36" w:rsidP="00894AAC">
      <w:pPr>
        <w:ind w:left="7920" w:right="576" w:hanging="2880"/>
        <w:rPr>
          <w:rFonts w:ascii="Georgia" w:hAnsi="Georgia"/>
          <w:b/>
          <w:color w:val="990000"/>
          <w:sz w:val="22"/>
          <w:szCs w:val="22"/>
        </w:rPr>
      </w:pPr>
      <w:r w:rsidRPr="00B01A70">
        <w:rPr>
          <w:rFonts w:ascii="Georgia" w:hAnsi="Georgia"/>
          <w:b/>
          <w:color w:val="990000"/>
          <w:sz w:val="22"/>
          <w:szCs w:val="22"/>
        </w:rPr>
        <w:t xml:space="preserve">Eligibility Operations Memo </w:t>
      </w:r>
      <w:r w:rsidR="00A91B56">
        <w:rPr>
          <w:rFonts w:ascii="Georgia" w:hAnsi="Georgia"/>
          <w:b/>
          <w:color w:val="990000"/>
          <w:sz w:val="22"/>
          <w:szCs w:val="22"/>
        </w:rPr>
        <w:t>20</w:t>
      </w:r>
      <w:r w:rsidRPr="00A91B56">
        <w:rPr>
          <w:rFonts w:ascii="Georgia" w:hAnsi="Georgia"/>
          <w:b/>
          <w:color w:val="990000"/>
          <w:sz w:val="22"/>
          <w:szCs w:val="22"/>
        </w:rPr>
        <w:t>-</w:t>
      </w:r>
      <w:r w:rsidR="00B01A70">
        <w:rPr>
          <w:rFonts w:ascii="Georgia" w:hAnsi="Georgia"/>
          <w:b/>
          <w:color w:val="990000"/>
          <w:sz w:val="22"/>
          <w:szCs w:val="22"/>
        </w:rPr>
        <w:t>02</w:t>
      </w:r>
    </w:p>
    <w:p w:rsidR="00171A36" w:rsidRPr="00A91B56" w:rsidRDefault="00A91B56" w:rsidP="00894AAC">
      <w:pPr>
        <w:ind w:left="7920" w:right="576" w:hanging="2880"/>
        <w:rPr>
          <w:rFonts w:ascii="Georgia" w:hAnsi="Georgia"/>
          <w:b/>
          <w:color w:val="990000"/>
          <w:sz w:val="22"/>
          <w:szCs w:val="22"/>
        </w:rPr>
      </w:pPr>
      <w:r>
        <w:rPr>
          <w:rFonts w:ascii="Georgia" w:hAnsi="Georgia"/>
          <w:b/>
          <w:color w:val="990000"/>
          <w:sz w:val="22"/>
          <w:szCs w:val="22"/>
        </w:rPr>
        <w:t>January</w:t>
      </w:r>
      <w:r w:rsidRPr="00A91B56">
        <w:rPr>
          <w:rFonts w:ascii="Georgia" w:hAnsi="Georgia"/>
          <w:b/>
          <w:color w:val="990000"/>
          <w:sz w:val="22"/>
          <w:szCs w:val="22"/>
        </w:rPr>
        <w:t xml:space="preserve"> </w:t>
      </w:r>
      <w:r w:rsidR="00894AAC" w:rsidRPr="00A91B56">
        <w:rPr>
          <w:rFonts w:ascii="Georgia" w:hAnsi="Georgia"/>
          <w:b/>
          <w:color w:val="990000"/>
          <w:sz w:val="22"/>
          <w:szCs w:val="22"/>
        </w:rPr>
        <w:t>1</w:t>
      </w:r>
      <w:r w:rsidR="00171A36" w:rsidRPr="00A91B56">
        <w:rPr>
          <w:rFonts w:ascii="Georgia" w:hAnsi="Georgia"/>
          <w:b/>
          <w:color w:val="990000"/>
          <w:sz w:val="22"/>
          <w:szCs w:val="22"/>
        </w:rPr>
        <w:t xml:space="preserve">, </w:t>
      </w:r>
      <w:r w:rsidRPr="00A91B56">
        <w:rPr>
          <w:rFonts w:ascii="Georgia" w:hAnsi="Georgia"/>
          <w:b/>
          <w:color w:val="990000"/>
          <w:sz w:val="22"/>
          <w:szCs w:val="22"/>
        </w:rPr>
        <w:t>20</w:t>
      </w:r>
      <w:r>
        <w:rPr>
          <w:rFonts w:ascii="Georgia" w:hAnsi="Georgia"/>
          <w:b/>
          <w:color w:val="990000"/>
          <w:sz w:val="22"/>
          <w:szCs w:val="22"/>
        </w:rPr>
        <w:t>20</w:t>
      </w:r>
    </w:p>
    <w:p w:rsidR="00171A36" w:rsidRPr="00A91B56" w:rsidRDefault="00171A36" w:rsidP="00894AAC">
      <w:pPr>
        <w:ind w:left="7920" w:right="576" w:hanging="2880"/>
        <w:rPr>
          <w:rFonts w:ascii="Georgia" w:hAnsi="Georgia"/>
          <w:b/>
          <w:color w:val="990000"/>
          <w:sz w:val="22"/>
          <w:szCs w:val="22"/>
        </w:rPr>
      </w:pPr>
      <w:r w:rsidRPr="00A91B56">
        <w:rPr>
          <w:rFonts w:ascii="Georgia" w:hAnsi="Georgia"/>
          <w:b/>
          <w:color w:val="990000"/>
          <w:sz w:val="22"/>
          <w:szCs w:val="22"/>
        </w:rPr>
        <w:t xml:space="preserve">Page </w:t>
      </w:r>
      <w:r w:rsidRPr="00A91B56">
        <w:rPr>
          <w:rFonts w:ascii="Georgia" w:hAnsi="Georgia"/>
          <w:b/>
          <w:color w:val="990000"/>
          <w:sz w:val="22"/>
          <w:szCs w:val="22"/>
        </w:rPr>
        <w:fldChar w:fldCharType="begin"/>
      </w:r>
      <w:r w:rsidRPr="00B01A70">
        <w:rPr>
          <w:rFonts w:ascii="Georgia" w:hAnsi="Georgia"/>
          <w:b/>
          <w:color w:val="990000"/>
          <w:sz w:val="22"/>
          <w:szCs w:val="22"/>
        </w:rPr>
        <w:instrText xml:space="preserve"> PAGE </w:instrText>
      </w:r>
      <w:r w:rsidRPr="00A91B56">
        <w:rPr>
          <w:rFonts w:ascii="Georgia" w:hAnsi="Georgia"/>
          <w:b/>
          <w:color w:val="990000"/>
          <w:sz w:val="22"/>
          <w:szCs w:val="22"/>
        </w:rPr>
        <w:fldChar w:fldCharType="separate"/>
      </w:r>
      <w:r w:rsidR="00F97341">
        <w:rPr>
          <w:rFonts w:ascii="Georgia" w:hAnsi="Georgia"/>
          <w:b/>
          <w:noProof/>
          <w:color w:val="990000"/>
          <w:sz w:val="22"/>
          <w:szCs w:val="22"/>
        </w:rPr>
        <w:t>2</w:t>
      </w:r>
      <w:r w:rsidRPr="00A91B56">
        <w:rPr>
          <w:rFonts w:ascii="Georgia" w:hAnsi="Georgia"/>
          <w:b/>
          <w:color w:val="990000"/>
          <w:sz w:val="22"/>
          <w:szCs w:val="22"/>
        </w:rPr>
        <w:fldChar w:fldCharType="end"/>
      </w:r>
    </w:p>
    <w:p w:rsidR="00457F4B" w:rsidRDefault="00457F4B" w:rsidP="00B45234">
      <w:pPr>
        <w:ind w:left="576" w:right="576"/>
        <w:rPr>
          <w:rFonts w:ascii="Georgia" w:hAnsi="Georgia"/>
          <w:sz w:val="22"/>
          <w:szCs w:val="22"/>
        </w:rPr>
      </w:pPr>
    </w:p>
    <w:p w:rsidR="00B15944" w:rsidRDefault="00B15944" w:rsidP="00B45234">
      <w:pPr>
        <w:ind w:left="576" w:right="576"/>
        <w:rPr>
          <w:rFonts w:ascii="Georgia" w:hAnsi="Georgia"/>
          <w:sz w:val="22"/>
          <w:szCs w:val="22"/>
        </w:rPr>
      </w:pPr>
    </w:p>
    <w:p w:rsidR="00B15944" w:rsidRDefault="00B15944" w:rsidP="00B45234">
      <w:pPr>
        <w:ind w:left="576" w:right="576"/>
        <w:rPr>
          <w:rFonts w:ascii="Georgia" w:hAnsi="Georgia"/>
          <w:sz w:val="22"/>
          <w:szCs w:val="22"/>
        </w:rPr>
      </w:pPr>
    </w:p>
    <w:p w:rsidR="00B45234" w:rsidRPr="00B01A70" w:rsidRDefault="00B45234" w:rsidP="00B45234">
      <w:pPr>
        <w:ind w:left="576" w:right="576"/>
        <w:rPr>
          <w:rFonts w:ascii="Georgia" w:hAnsi="Georgia"/>
          <w:sz w:val="22"/>
          <w:szCs w:val="22"/>
        </w:rPr>
      </w:pPr>
      <w:r w:rsidRPr="00B01A70">
        <w:rPr>
          <w:rFonts w:ascii="Georgia" w:hAnsi="Georgia"/>
          <w:sz w:val="22"/>
          <w:szCs w:val="22"/>
        </w:rPr>
        <w:t>Upon submission of the initial application, the system will determine if the HOH meets the criteria for AVR:</w:t>
      </w:r>
    </w:p>
    <w:p w:rsidR="00B45234" w:rsidRPr="00B01A70" w:rsidRDefault="00B45234" w:rsidP="00B45234">
      <w:pPr>
        <w:pStyle w:val="ListParagraph"/>
        <w:numPr>
          <w:ilvl w:val="0"/>
          <w:numId w:val="6"/>
        </w:numPr>
        <w:ind w:right="576"/>
        <w:rPr>
          <w:rFonts w:ascii="Georgia" w:hAnsi="Georgia"/>
        </w:rPr>
      </w:pPr>
      <w:r w:rsidRPr="00B01A70">
        <w:rPr>
          <w:rFonts w:ascii="Georgia" w:hAnsi="Georgia"/>
        </w:rPr>
        <w:t>HOH is age 16 or older</w:t>
      </w:r>
      <w:r w:rsidR="00F510FF" w:rsidRPr="00B01A70">
        <w:rPr>
          <w:rFonts w:ascii="Georgia" w:hAnsi="Georgia"/>
        </w:rPr>
        <w:t>;</w:t>
      </w:r>
    </w:p>
    <w:p w:rsidR="00B45234" w:rsidRPr="00B01A70" w:rsidRDefault="00B45234" w:rsidP="00B45234">
      <w:pPr>
        <w:pStyle w:val="ListParagraph"/>
        <w:numPr>
          <w:ilvl w:val="0"/>
          <w:numId w:val="6"/>
        </w:numPr>
        <w:ind w:right="576"/>
        <w:rPr>
          <w:rFonts w:ascii="Georgia" w:hAnsi="Georgia"/>
        </w:rPr>
      </w:pPr>
      <w:r w:rsidRPr="00B01A70">
        <w:rPr>
          <w:rFonts w:ascii="Georgia" w:hAnsi="Georgia"/>
        </w:rPr>
        <w:t>HOH has electronically signed the application</w:t>
      </w:r>
      <w:r w:rsidR="00F510FF" w:rsidRPr="00B01A70">
        <w:rPr>
          <w:rFonts w:ascii="Georgia" w:hAnsi="Georgia"/>
        </w:rPr>
        <w:t>;</w:t>
      </w:r>
    </w:p>
    <w:p w:rsidR="00B45234" w:rsidRPr="00B01A70" w:rsidRDefault="00B45234" w:rsidP="00B45234">
      <w:pPr>
        <w:pStyle w:val="ListParagraph"/>
        <w:numPr>
          <w:ilvl w:val="0"/>
          <w:numId w:val="6"/>
        </w:numPr>
        <w:ind w:right="576"/>
        <w:rPr>
          <w:rFonts w:ascii="Georgia" w:hAnsi="Georgia"/>
        </w:rPr>
      </w:pPr>
      <w:r w:rsidRPr="00B01A70">
        <w:rPr>
          <w:rFonts w:ascii="Georgia" w:hAnsi="Georgia"/>
        </w:rPr>
        <w:t>HOH attests to a Massachusetts residential address</w:t>
      </w:r>
      <w:r w:rsidR="00F510FF" w:rsidRPr="00B01A70">
        <w:rPr>
          <w:rFonts w:ascii="Georgia" w:hAnsi="Georgia"/>
        </w:rPr>
        <w:t>;</w:t>
      </w:r>
    </w:p>
    <w:p w:rsidR="00B45234" w:rsidRPr="00B01A70" w:rsidRDefault="00B45234" w:rsidP="00B45234">
      <w:pPr>
        <w:pStyle w:val="ListParagraph"/>
        <w:numPr>
          <w:ilvl w:val="0"/>
          <w:numId w:val="6"/>
        </w:numPr>
        <w:ind w:right="576"/>
        <w:rPr>
          <w:rFonts w:ascii="Georgia" w:hAnsi="Georgia"/>
        </w:rPr>
      </w:pPr>
      <w:r w:rsidRPr="00B01A70">
        <w:rPr>
          <w:rFonts w:ascii="Georgia" w:hAnsi="Georgia"/>
        </w:rPr>
        <w:t>HOH did not attest to a residential or mailing address in the Address Confidentiality Program</w:t>
      </w:r>
      <w:r w:rsidR="00F510FF" w:rsidRPr="00B01A70">
        <w:rPr>
          <w:rFonts w:ascii="Georgia" w:hAnsi="Georgia"/>
        </w:rPr>
        <w:t>;</w:t>
      </w:r>
    </w:p>
    <w:p w:rsidR="00B45234" w:rsidRPr="00B01A70" w:rsidRDefault="00F510FF" w:rsidP="00B45234">
      <w:pPr>
        <w:pStyle w:val="ListParagraph"/>
        <w:numPr>
          <w:ilvl w:val="0"/>
          <w:numId w:val="6"/>
        </w:numPr>
        <w:ind w:right="576"/>
        <w:rPr>
          <w:rFonts w:ascii="Georgia" w:hAnsi="Georgia"/>
        </w:rPr>
      </w:pPr>
      <w:r w:rsidRPr="00B01A70">
        <w:rPr>
          <w:rFonts w:ascii="Georgia" w:hAnsi="Georgia"/>
        </w:rPr>
        <w:t>HOH attests to being a U.S. c</w:t>
      </w:r>
      <w:r w:rsidR="00B45234" w:rsidRPr="00B01A70">
        <w:rPr>
          <w:rFonts w:ascii="Georgia" w:hAnsi="Georgia"/>
        </w:rPr>
        <w:t>itizen</w:t>
      </w:r>
      <w:r w:rsidRPr="00B01A70">
        <w:rPr>
          <w:rFonts w:ascii="Georgia" w:hAnsi="Georgia"/>
        </w:rPr>
        <w:t>;</w:t>
      </w:r>
    </w:p>
    <w:p w:rsidR="00B45234" w:rsidRPr="00B01A70" w:rsidRDefault="00F510FF" w:rsidP="00B45234">
      <w:pPr>
        <w:pStyle w:val="ListParagraph"/>
        <w:numPr>
          <w:ilvl w:val="0"/>
          <w:numId w:val="6"/>
        </w:numPr>
        <w:ind w:right="576"/>
        <w:rPr>
          <w:rFonts w:ascii="Georgia" w:hAnsi="Georgia"/>
        </w:rPr>
      </w:pPr>
      <w:r w:rsidRPr="00B01A70">
        <w:rPr>
          <w:rFonts w:ascii="Georgia" w:hAnsi="Georgia"/>
        </w:rPr>
        <w:t>HOH’s citizenship and r</w:t>
      </w:r>
      <w:r w:rsidR="00B45234" w:rsidRPr="00B01A70">
        <w:rPr>
          <w:rFonts w:ascii="Georgia" w:hAnsi="Georgia"/>
        </w:rPr>
        <w:t>esidency are in a verified status</w:t>
      </w:r>
      <w:r w:rsidRPr="00B01A70">
        <w:rPr>
          <w:rFonts w:ascii="Georgia" w:hAnsi="Georgia"/>
        </w:rPr>
        <w:t>;</w:t>
      </w:r>
    </w:p>
    <w:p w:rsidR="00B45234" w:rsidRPr="00B01A70" w:rsidRDefault="00B45234" w:rsidP="00B45234">
      <w:pPr>
        <w:pStyle w:val="ListParagraph"/>
        <w:numPr>
          <w:ilvl w:val="0"/>
          <w:numId w:val="6"/>
        </w:numPr>
        <w:ind w:right="576"/>
        <w:rPr>
          <w:rFonts w:ascii="Georgia" w:hAnsi="Georgia"/>
        </w:rPr>
      </w:pPr>
      <w:r w:rsidRPr="00B01A70">
        <w:rPr>
          <w:rFonts w:ascii="Georgia" w:hAnsi="Georgia"/>
        </w:rPr>
        <w:t>HOH did not select the “Do not use my information for voter registration” checkbox on the Rights and Responsibilities page</w:t>
      </w:r>
      <w:r w:rsidR="00F510FF" w:rsidRPr="00B01A70">
        <w:rPr>
          <w:rFonts w:ascii="Georgia" w:hAnsi="Georgia"/>
        </w:rPr>
        <w:t>;</w:t>
      </w:r>
    </w:p>
    <w:p w:rsidR="00B45234" w:rsidRPr="00B01A70" w:rsidRDefault="00B45234" w:rsidP="00B45234">
      <w:pPr>
        <w:pStyle w:val="ListParagraph"/>
        <w:numPr>
          <w:ilvl w:val="0"/>
          <w:numId w:val="6"/>
        </w:numPr>
        <w:ind w:right="576"/>
        <w:rPr>
          <w:rFonts w:ascii="Georgia" w:hAnsi="Georgia"/>
        </w:rPr>
      </w:pPr>
      <w:r w:rsidRPr="00B01A70">
        <w:rPr>
          <w:rFonts w:ascii="Georgia" w:hAnsi="Georgia"/>
        </w:rPr>
        <w:t>HOH is not deceased</w:t>
      </w:r>
      <w:r w:rsidR="00F510FF" w:rsidRPr="00B01A70">
        <w:rPr>
          <w:rFonts w:ascii="Georgia" w:hAnsi="Georgia"/>
        </w:rPr>
        <w:t>; and</w:t>
      </w:r>
    </w:p>
    <w:p w:rsidR="00B45234" w:rsidRPr="00B01A70" w:rsidRDefault="00F510FF" w:rsidP="00B45234">
      <w:pPr>
        <w:pStyle w:val="ListParagraph"/>
        <w:numPr>
          <w:ilvl w:val="0"/>
          <w:numId w:val="6"/>
        </w:numPr>
        <w:ind w:right="576"/>
        <w:rPr>
          <w:rFonts w:ascii="Georgia" w:hAnsi="Georgia"/>
        </w:rPr>
      </w:pPr>
      <w:r w:rsidRPr="00B01A70">
        <w:rPr>
          <w:rFonts w:ascii="Georgia" w:hAnsi="Georgia"/>
        </w:rPr>
        <w:t>t</w:t>
      </w:r>
      <w:r w:rsidR="00B45234" w:rsidRPr="00B01A70">
        <w:rPr>
          <w:rFonts w:ascii="Georgia" w:hAnsi="Georgia"/>
        </w:rPr>
        <w:t xml:space="preserve">he application source is </w:t>
      </w:r>
      <w:r w:rsidR="007704DE" w:rsidRPr="00B01A70">
        <w:rPr>
          <w:rFonts w:ascii="Georgia" w:hAnsi="Georgia"/>
        </w:rPr>
        <w:t xml:space="preserve">online </w:t>
      </w:r>
      <w:r w:rsidR="00B45234" w:rsidRPr="00B01A70">
        <w:rPr>
          <w:rFonts w:ascii="Georgia" w:hAnsi="Georgia"/>
        </w:rPr>
        <w:t xml:space="preserve">or </w:t>
      </w:r>
      <w:r w:rsidR="007704DE" w:rsidRPr="00B01A70">
        <w:rPr>
          <w:rFonts w:ascii="Georgia" w:hAnsi="Georgia"/>
        </w:rPr>
        <w:t>phone.</w:t>
      </w:r>
    </w:p>
    <w:p w:rsidR="00B45234" w:rsidRPr="005C5E54" w:rsidRDefault="00B45234" w:rsidP="00B45234">
      <w:pPr>
        <w:ind w:left="630" w:right="576"/>
        <w:rPr>
          <w:rFonts w:ascii="Georgia" w:hAnsi="Georgia"/>
          <w:sz w:val="22"/>
          <w:szCs w:val="22"/>
        </w:rPr>
      </w:pPr>
      <w:r w:rsidRPr="00B01A70">
        <w:rPr>
          <w:rFonts w:ascii="Georgia" w:hAnsi="Georgia"/>
          <w:sz w:val="22"/>
          <w:szCs w:val="22"/>
        </w:rPr>
        <w:t xml:space="preserve">If the individual meets the criteria for AVR, </w:t>
      </w:r>
      <w:r w:rsidR="00A11A6C">
        <w:rPr>
          <w:rFonts w:ascii="Georgia" w:hAnsi="Georgia"/>
          <w:sz w:val="22"/>
          <w:szCs w:val="22"/>
        </w:rPr>
        <w:t xml:space="preserve">then </w:t>
      </w:r>
      <w:r w:rsidRPr="00B01A70">
        <w:rPr>
          <w:rFonts w:ascii="Georgia" w:hAnsi="Georgia"/>
          <w:sz w:val="22"/>
          <w:szCs w:val="22"/>
        </w:rPr>
        <w:t>the HOH information</w:t>
      </w:r>
      <w:r w:rsidR="00A11A6C">
        <w:rPr>
          <w:rFonts w:ascii="Georgia" w:hAnsi="Georgia"/>
          <w:sz w:val="22"/>
          <w:szCs w:val="22"/>
        </w:rPr>
        <w:t>—</w:t>
      </w:r>
      <w:r w:rsidRPr="00B01A70">
        <w:rPr>
          <w:rFonts w:ascii="Georgia" w:hAnsi="Georgia"/>
          <w:sz w:val="22"/>
          <w:szCs w:val="22"/>
        </w:rPr>
        <w:t>including name, age, address</w:t>
      </w:r>
      <w:r w:rsidR="00FE7551">
        <w:rPr>
          <w:rFonts w:ascii="Georgia" w:hAnsi="Georgia"/>
          <w:sz w:val="22"/>
          <w:szCs w:val="22"/>
        </w:rPr>
        <w:t xml:space="preserve">, </w:t>
      </w:r>
      <w:r w:rsidRPr="00B01A70">
        <w:rPr>
          <w:rFonts w:ascii="Georgia" w:hAnsi="Georgia"/>
          <w:sz w:val="22"/>
          <w:szCs w:val="22"/>
        </w:rPr>
        <w:t>and citizenship indicator</w:t>
      </w:r>
      <w:r w:rsidR="00A11A6C">
        <w:rPr>
          <w:rFonts w:ascii="Georgia" w:hAnsi="Georgia"/>
          <w:sz w:val="22"/>
          <w:szCs w:val="22"/>
        </w:rPr>
        <w:t>—</w:t>
      </w:r>
      <w:r w:rsidR="00A91B56">
        <w:rPr>
          <w:rFonts w:ascii="Georgia" w:hAnsi="Georgia"/>
          <w:sz w:val="22"/>
          <w:szCs w:val="22"/>
        </w:rPr>
        <w:t>is</w:t>
      </w:r>
      <w:r w:rsidR="002345BC">
        <w:rPr>
          <w:rFonts w:ascii="Georgia" w:hAnsi="Georgia"/>
          <w:sz w:val="22"/>
          <w:szCs w:val="22"/>
        </w:rPr>
        <w:t xml:space="preserve"> </w:t>
      </w:r>
      <w:r w:rsidRPr="005C5E54">
        <w:rPr>
          <w:rFonts w:ascii="Georgia" w:hAnsi="Georgia"/>
          <w:sz w:val="22"/>
          <w:szCs w:val="22"/>
        </w:rPr>
        <w:t xml:space="preserve">sent via batch file to </w:t>
      </w:r>
      <w:r w:rsidR="00D97668">
        <w:rPr>
          <w:rFonts w:ascii="Georgia" w:hAnsi="Georgia"/>
          <w:sz w:val="22"/>
          <w:szCs w:val="22"/>
        </w:rPr>
        <w:t xml:space="preserve">the </w:t>
      </w:r>
      <w:r w:rsidRPr="005C5E54">
        <w:rPr>
          <w:rFonts w:ascii="Georgia" w:hAnsi="Georgia"/>
          <w:sz w:val="22"/>
          <w:szCs w:val="22"/>
        </w:rPr>
        <w:t xml:space="preserve">SOC for purposes of AVR.  </w:t>
      </w:r>
    </w:p>
    <w:p w:rsidR="00B45234" w:rsidRPr="00B01A70" w:rsidRDefault="00B45234" w:rsidP="00B45234">
      <w:pPr>
        <w:ind w:left="630" w:right="576"/>
        <w:rPr>
          <w:rFonts w:ascii="Georgia" w:hAnsi="Georgia"/>
          <w:sz w:val="22"/>
          <w:szCs w:val="22"/>
        </w:rPr>
      </w:pPr>
    </w:p>
    <w:p w:rsidR="00B45234" w:rsidRPr="005C5E54" w:rsidRDefault="00B45234" w:rsidP="00B45234">
      <w:pPr>
        <w:ind w:left="630" w:right="576"/>
        <w:rPr>
          <w:rFonts w:ascii="Georgia" w:hAnsi="Georgia"/>
          <w:sz w:val="22"/>
          <w:szCs w:val="22"/>
        </w:rPr>
      </w:pPr>
      <w:r w:rsidRPr="00B01A70">
        <w:rPr>
          <w:rFonts w:ascii="Georgia" w:hAnsi="Georgia"/>
          <w:sz w:val="22"/>
          <w:szCs w:val="22"/>
        </w:rPr>
        <w:t xml:space="preserve">If the HOH does not meet the criteria above, no information </w:t>
      </w:r>
      <w:r w:rsidR="002345BC">
        <w:rPr>
          <w:rFonts w:ascii="Georgia" w:hAnsi="Georgia"/>
          <w:sz w:val="22"/>
          <w:szCs w:val="22"/>
        </w:rPr>
        <w:t>is</w:t>
      </w:r>
      <w:r w:rsidRPr="005C5E54">
        <w:rPr>
          <w:rFonts w:ascii="Georgia" w:hAnsi="Georgia"/>
          <w:sz w:val="22"/>
          <w:szCs w:val="22"/>
        </w:rPr>
        <w:t xml:space="preserve"> sent to</w:t>
      </w:r>
      <w:r w:rsidR="00D97668">
        <w:rPr>
          <w:rFonts w:ascii="Georgia" w:hAnsi="Georgia"/>
          <w:sz w:val="22"/>
          <w:szCs w:val="22"/>
        </w:rPr>
        <w:t xml:space="preserve"> the</w:t>
      </w:r>
      <w:r w:rsidRPr="005C5E54">
        <w:rPr>
          <w:rFonts w:ascii="Georgia" w:hAnsi="Georgia"/>
          <w:sz w:val="22"/>
          <w:szCs w:val="22"/>
        </w:rPr>
        <w:t xml:space="preserve"> SOC.  </w:t>
      </w:r>
    </w:p>
    <w:p w:rsidR="00B45234" w:rsidRPr="00B01A70" w:rsidRDefault="00B45234" w:rsidP="00B45234">
      <w:pPr>
        <w:ind w:left="576" w:right="576"/>
        <w:rPr>
          <w:rFonts w:ascii="Georgia" w:hAnsi="Georgia"/>
          <w:sz w:val="22"/>
          <w:szCs w:val="22"/>
        </w:rPr>
      </w:pPr>
    </w:p>
    <w:p w:rsidR="00B45234" w:rsidRPr="00B01A70" w:rsidRDefault="00B45234" w:rsidP="00F510FF">
      <w:pPr>
        <w:ind w:left="630" w:right="576"/>
        <w:rPr>
          <w:rFonts w:ascii="Georgia" w:hAnsi="Georgia"/>
          <w:sz w:val="22"/>
          <w:szCs w:val="22"/>
        </w:rPr>
      </w:pPr>
      <w:r w:rsidRPr="00B01A70">
        <w:rPr>
          <w:rFonts w:ascii="Georgia" w:hAnsi="Georgia"/>
          <w:sz w:val="22"/>
          <w:szCs w:val="22"/>
        </w:rPr>
        <w:t>The “Eligibility Results” page display</w:t>
      </w:r>
      <w:r w:rsidR="002345BC">
        <w:rPr>
          <w:rFonts w:ascii="Georgia" w:hAnsi="Georgia"/>
          <w:sz w:val="22"/>
          <w:szCs w:val="22"/>
        </w:rPr>
        <w:t>s</w:t>
      </w:r>
      <w:r w:rsidRPr="005C5E54">
        <w:rPr>
          <w:rFonts w:ascii="Georgia" w:hAnsi="Georgia"/>
          <w:sz w:val="22"/>
          <w:szCs w:val="22"/>
        </w:rPr>
        <w:t xml:space="preserve"> a new AVR secti</w:t>
      </w:r>
      <w:r w:rsidRPr="00B01A70">
        <w:rPr>
          <w:rFonts w:ascii="Georgia" w:hAnsi="Georgia"/>
          <w:sz w:val="22"/>
          <w:szCs w:val="22"/>
        </w:rPr>
        <w:t xml:space="preserve">on </w:t>
      </w:r>
      <w:r w:rsidR="00F510FF" w:rsidRPr="00B01A70">
        <w:rPr>
          <w:rFonts w:ascii="Georgia" w:hAnsi="Georgia"/>
          <w:sz w:val="22"/>
          <w:szCs w:val="22"/>
        </w:rPr>
        <w:t xml:space="preserve">to inform a user if information </w:t>
      </w:r>
      <w:r w:rsidRPr="00B01A70">
        <w:rPr>
          <w:rFonts w:ascii="Georgia" w:hAnsi="Georgia"/>
          <w:sz w:val="22"/>
          <w:szCs w:val="22"/>
        </w:rPr>
        <w:t xml:space="preserve">will be sent </w:t>
      </w:r>
      <w:r w:rsidR="00F510FF" w:rsidRPr="00B01A70">
        <w:rPr>
          <w:rFonts w:ascii="Georgia" w:hAnsi="Georgia"/>
          <w:sz w:val="22"/>
          <w:szCs w:val="22"/>
        </w:rPr>
        <w:t xml:space="preserve">to </w:t>
      </w:r>
      <w:r w:rsidR="00D97668">
        <w:rPr>
          <w:rFonts w:ascii="Georgia" w:hAnsi="Georgia"/>
          <w:sz w:val="22"/>
          <w:szCs w:val="22"/>
        </w:rPr>
        <w:t xml:space="preserve">the </w:t>
      </w:r>
      <w:r w:rsidR="00F510FF" w:rsidRPr="00B01A70">
        <w:rPr>
          <w:rFonts w:ascii="Georgia" w:hAnsi="Georgia"/>
          <w:sz w:val="22"/>
          <w:szCs w:val="22"/>
        </w:rPr>
        <w:t xml:space="preserve">SOC for voter registration. </w:t>
      </w:r>
      <w:r w:rsidRPr="00B01A70">
        <w:rPr>
          <w:rFonts w:ascii="Georgia" w:hAnsi="Georgia"/>
          <w:sz w:val="22"/>
          <w:szCs w:val="22"/>
        </w:rPr>
        <w:t>The messages will be dynamically displayed</w:t>
      </w:r>
      <w:r w:rsidR="00B33139">
        <w:rPr>
          <w:rFonts w:ascii="Georgia" w:hAnsi="Georgia"/>
          <w:sz w:val="22"/>
          <w:szCs w:val="22"/>
        </w:rPr>
        <w:t>,</w:t>
      </w:r>
      <w:r w:rsidRPr="00B01A70">
        <w:rPr>
          <w:rFonts w:ascii="Georgia" w:hAnsi="Georgia"/>
          <w:sz w:val="22"/>
          <w:szCs w:val="22"/>
        </w:rPr>
        <w:t xml:space="preserve"> depending on t</w:t>
      </w:r>
      <w:r w:rsidR="00F510FF" w:rsidRPr="00B01A70">
        <w:rPr>
          <w:rFonts w:ascii="Georgia" w:hAnsi="Georgia"/>
          <w:sz w:val="22"/>
          <w:szCs w:val="22"/>
        </w:rPr>
        <w:t>he results of the AVR process.</w:t>
      </w:r>
    </w:p>
    <w:p w:rsidR="00B45234" w:rsidRPr="00B01A70" w:rsidRDefault="00B45234" w:rsidP="00B45234">
      <w:pPr>
        <w:pStyle w:val="ListParagraph"/>
        <w:numPr>
          <w:ilvl w:val="0"/>
          <w:numId w:val="7"/>
        </w:numPr>
        <w:ind w:right="576"/>
        <w:rPr>
          <w:rFonts w:ascii="Georgia" w:hAnsi="Georgia"/>
        </w:rPr>
      </w:pPr>
      <w:r w:rsidRPr="00B01A70">
        <w:rPr>
          <w:rFonts w:ascii="Georgia" w:hAnsi="Georgia"/>
        </w:rPr>
        <w:t xml:space="preserve">“Your information </w:t>
      </w:r>
      <w:r w:rsidR="0081488A" w:rsidRPr="00B01A70">
        <w:rPr>
          <w:rFonts w:ascii="Georgia" w:hAnsi="Georgia"/>
        </w:rPr>
        <w:t>ha</w:t>
      </w:r>
      <w:r w:rsidR="0081488A">
        <w:rPr>
          <w:rFonts w:ascii="Georgia" w:hAnsi="Georgia"/>
        </w:rPr>
        <w:t>s</w:t>
      </w:r>
      <w:r w:rsidR="0081488A" w:rsidRPr="005C5E54">
        <w:rPr>
          <w:rFonts w:ascii="Georgia" w:hAnsi="Georgia"/>
        </w:rPr>
        <w:t xml:space="preserve"> </w:t>
      </w:r>
      <w:r w:rsidRPr="00B01A70">
        <w:rPr>
          <w:rFonts w:ascii="Georgia" w:hAnsi="Georgia"/>
        </w:rPr>
        <w:t>been confirmed and will be sent to your local election official for voter registration</w:t>
      </w:r>
      <w:r w:rsidR="00607ECC" w:rsidRPr="00B01A70">
        <w:rPr>
          <w:rFonts w:ascii="Georgia" w:hAnsi="Georgia"/>
        </w:rPr>
        <w:t>.</w:t>
      </w:r>
      <w:r w:rsidRPr="00B01A70">
        <w:rPr>
          <w:rFonts w:ascii="Georgia" w:hAnsi="Georgia"/>
        </w:rPr>
        <w:t xml:space="preserve">” – This message will display when </w:t>
      </w:r>
      <w:r w:rsidR="00D97668">
        <w:rPr>
          <w:rFonts w:ascii="Georgia" w:hAnsi="Georgia"/>
        </w:rPr>
        <w:t xml:space="preserve">the </w:t>
      </w:r>
      <w:r w:rsidRPr="00B01A70">
        <w:rPr>
          <w:rFonts w:ascii="Georgia" w:hAnsi="Georgia"/>
        </w:rPr>
        <w:t xml:space="preserve">HOH has met criteria for AVR and information will be sent to </w:t>
      </w:r>
      <w:r w:rsidR="00D97668">
        <w:rPr>
          <w:rFonts w:ascii="Georgia" w:hAnsi="Georgia"/>
        </w:rPr>
        <w:t xml:space="preserve">the </w:t>
      </w:r>
      <w:r w:rsidRPr="00B01A70">
        <w:rPr>
          <w:rFonts w:ascii="Georgia" w:hAnsi="Georgia"/>
        </w:rPr>
        <w:t xml:space="preserve">SOC. </w:t>
      </w:r>
    </w:p>
    <w:p w:rsidR="00B45234" w:rsidRPr="00B01A70" w:rsidRDefault="00B45234" w:rsidP="00B45234">
      <w:pPr>
        <w:pStyle w:val="ListParagraph"/>
        <w:numPr>
          <w:ilvl w:val="0"/>
          <w:numId w:val="7"/>
        </w:numPr>
        <w:ind w:right="576"/>
        <w:rPr>
          <w:rFonts w:ascii="Georgia" w:hAnsi="Georgia"/>
        </w:rPr>
      </w:pPr>
      <w:r w:rsidRPr="00B01A70">
        <w:rPr>
          <w:rFonts w:ascii="Georgia" w:hAnsi="Georgia"/>
        </w:rPr>
        <w:t>“Your information has not been confirmed and therefore has not been sent for voter registration. If your information is later confirmed, we will send it to your local election official. You can also complete a voter registration application now.”</w:t>
      </w:r>
      <w:r w:rsidR="005B6620" w:rsidRPr="00B01A70">
        <w:rPr>
          <w:rFonts w:ascii="Georgia" w:hAnsi="Georgia"/>
        </w:rPr>
        <w:t xml:space="preserve"> – </w:t>
      </w:r>
      <w:r w:rsidRPr="00B01A70">
        <w:rPr>
          <w:rFonts w:ascii="Georgia" w:hAnsi="Georgia"/>
        </w:rPr>
        <w:t xml:space="preserve">This message will display when </w:t>
      </w:r>
      <w:r w:rsidR="00D97668">
        <w:rPr>
          <w:rFonts w:ascii="Georgia" w:hAnsi="Georgia"/>
        </w:rPr>
        <w:t xml:space="preserve">the </w:t>
      </w:r>
      <w:r w:rsidRPr="00B01A70">
        <w:rPr>
          <w:rFonts w:ascii="Georgia" w:hAnsi="Georgia"/>
        </w:rPr>
        <w:t>HOH has met criteria for AVR, except for verification of residency and</w:t>
      </w:r>
      <w:r w:rsidR="00607ECC" w:rsidRPr="00B01A70">
        <w:rPr>
          <w:rFonts w:ascii="Georgia" w:hAnsi="Georgia"/>
        </w:rPr>
        <w:t>/</w:t>
      </w:r>
      <w:r w:rsidRPr="00B01A70">
        <w:rPr>
          <w:rFonts w:ascii="Georgia" w:hAnsi="Georgia"/>
        </w:rPr>
        <w:t xml:space="preserve">or citizenship. If the HOH submits verification of residency </w:t>
      </w:r>
      <w:r w:rsidR="00607ECC" w:rsidRPr="00B01A70">
        <w:rPr>
          <w:rFonts w:ascii="Georgia" w:hAnsi="Georgia"/>
        </w:rPr>
        <w:t xml:space="preserve">and/or </w:t>
      </w:r>
      <w:r w:rsidRPr="00B01A70">
        <w:rPr>
          <w:rFonts w:ascii="Georgia" w:hAnsi="Georgia"/>
        </w:rPr>
        <w:t>citizenship within requested time</w:t>
      </w:r>
      <w:r w:rsidR="00607ECC" w:rsidRPr="00B01A70">
        <w:rPr>
          <w:rFonts w:ascii="Georgia" w:hAnsi="Georgia"/>
        </w:rPr>
        <w:t xml:space="preserve"> </w:t>
      </w:r>
      <w:r w:rsidRPr="00B01A70">
        <w:rPr>
          <w:rFonts w:ascii="Georgia" w:hAnsi="Georgia"/>
        </w:rPr>
        <w:t xml:space="preserve">frame and continues to meet AVR criteria, information will be </w:t>
      </w:r>
      <w:r w:rsidR="005B6620" w:rsidRPr="00B01A70">
        <w:rPr>
          <w:rFonts w:ascii="Georgia" w:hAnsi="Georgia"/>
        </w:rPr>
        <w:t xml:space="preserve">sent to </w:t>
      </w:r>
      <w:r w:rsidR="00D97668">
        <w:rPr>
          <w:rFonts w:ascii="Georgia" w:hAnsi="Georgia"/>
        </w:rPr>
        <w:t xml:space="preserve">the </w:t>
      </w:r>
      <w:r w:rsidR="005B6620" w:rsidRPr="00B01A70">
        <w:rPr>
          <w:rFonts w:ascii="Georgia" w:hAnsi="Georgia"/>
        </w:rPr>
        <w:t>SOC upon verification.</w:t>
      </w:r>
    </w:p>
    <w:p w:rsidR="00B45234" w:rsidRPr="00B01A70" w:rsidRDefault="00B45234" w:rsidP="00B45234">
      <w:pPr>
        <w:pStyle w:val="ListParagraph"/>
        <w:numPr>
          <w:ilvl w:val="0"/>
          <w:numId w:val="7"/>
        </w:numPr>
        <w:ind w:right="576"/>
        <w:rPr>
          <w:rFonts w:ascii="Georgia" w:hAnsi="Georgia"/>
        </w:rPr>
      </w:pPr>
      <w:r w:rsidRPr="00B01A70">
        <w:rPr>
          <w:rFonts w:ascii="Georgia" w:hAnsi="Georgia"/>
        </w:rPr>
        <w:t>“No information will be sent to your local election official because you do not qualify for automatic voter registration at this time. You can still complete a voter registration application now.</w:t>
      </w:r>
      <w:r w:rsidR="00607ECC" w:rsidRPr="00B01A70">
        <w:rPr>
          <w:rFonts w:ascii="Georgia" w:hAnsi="Georgia"/>
        </w:rPr>
        <w:t>”</w:t>
      </w:r>
      <w:r w:rsidRPr="00B01A70">
        <w:rPr>
          <w:rFonts w:ascii="Georgia" w:hAnsi="Georgia"/>
        </w:rPr>
        <w:t xml:space="preserve"> </w:t>
      </w:r>
      <w:r w:rsidR="00607ECC" w:rsidRPr="00B01A70">
        <w:rPr>
          <w:rFonts w:ascii="Georgia" w:hAnsi="Georgia"/>
        </w:rPr>
        <w:t>–</w:t>
      </w:r>
      <w:r w:rsidRPr="00B01A70">
        <w:rPr>
          <w:rFonts w:ascii="Georgia" w:hAnsi="Georgia"/>
        </w:rPr>
        <w:t xml:space="preserve"> This message will display when the HOH does not meet criteria for AVR and informa</w:t>
      </w:r>
      <w:r w:rsidR="005B6620" w:rsidRPr="00B01A70">
        <w:rPr>
          <w:rFonts w:ascii="Georgia" w:hAnsi="Georgia"/>
        </w:rPr>
        <w:t xml:space="preserve">tion </w:t>
      </w:r>
      <w:r w:rsidR="003022C7">
        <w:rPr>
          <w:rFonts w:ascii="Georgia" w:hAnsi="Georgia"/>
        </w:rPr>
        <w:t>will</w:t>
      </w:r>
      <w:r w:rsidR="003022C7" w:rsidRPr="00B01A70">
        <w:rPr>
          <w:rFonts w:ascii="Georgia" w:hAnsi="Georgia"/>
        </w:rPr>
        <w:t xml:space="preserve"> </w:t>
      </w:r>
      <w:r w:rsidR="005B6620" w:rsidRPr="00B01A70">
        <w:rPr>
          <w:rFonts w:ascii="Georgia" w:hAnsi="Georgia"/>
        </w:rPr>
        <w:t xml:space="preserve">not be sent to </w:t>
      </w:r>
      <w:r w:rsidR="00D97668">
        <w:rPr>
          <w:rFonts w:ascii="Georgia" w:hAnsi="Georgia"/>
        </w:rPr>
        <w:t xml:space="preserve">the </w:t>
      </w:r>
      <w:r w:rsidR="005B6620" w:rsidRPr="00B01A70">
        <w:rPr>
          <w:rFonts w:ascii="Georgia" w:hAnsi="Georgia"/>
        </w:rPr>
        <w:t>SOC.</w:t>
      </w:r>
    </w:p>
    <w:p w:rsidR="00B45234" w:rsidRPr="00B01A70" w:rsidRDefault="00B45234" w:rsidP="00B45234">
      <w:pPr>
        <w:pStyle w:val="ListParagraph"/>
        <w:numPr>
          <w:ilvl w:val="0"/>
          <w:numId w:val="7"/>
        </w:numPr>
        <w:ind w:right="576"/>
        <w:rPr>
          <w:rFonts w:ascii="Georgia" w:hAnsi="Georgia"/>
        </w:rPr>
      </w:pPr>
      <w:r w:rsidRPr="00B01A70">
        <w:rPr>
          <w:rFonts w:ascii="Georgia" w:hAnsi="Georgia"/>
        </w:rPr>
        <w:t xml:space="preserve">“No information will be sent to your local election official because you told us not to use your information for voter registration.” </w:t>
      </w:r>
      <w:r w:rsidR="00607ECC" w:rsidRPr="00B01A70">
        <w:rPr>
          <w:rFonts w:ascii="Georgia" w:hAnsi="Georgia"/>
        </w:rPr>
        <w:t xml:space="preserve">– </w:t>
      </w:r>
      <w:r w:rsidRPr="00B01A70">
        <w:rPr>
          <w:rFonts w:ascii="Georgia" w:hAnsi="Georgia"/>
        </w:rPr>
        <w:t xml:space="preserve">This message will display when the HOH has selected the “Do not use my information for voter registration” checkbox and has opted out of </w:t>
      </w:r>
      <w:r w:rsidR="003022C7">
        <w:rPr>
          <w:rFonts w:ascii="Georgia" w:hAnsi="Georgia"/>
        </w:rPr>
        <w:t xml:space="preserve">the </w:t>
      </w:r>
      <w:r w:rsidRPr="00B01A70">
        <w:rPr>
          <w:rFonts w:ascii="Georgia" w:hAnsi="Georgia"/>
        </w:rPr>
        <w:t>AVR process. No in</w:t>
      </w:r>
      <w:r w:rsidR="005B6620" w:rsidRPr="00B01A70">
        <w:rPr>
          <w:rFonts w:ascii="Georgia" w:hAnsi="Georgia"/>
        </w:rPr>
        <w:t xml:space="preserve">formation will be sent to </w:t>
      </w:r>
      <w:r w:rsidR="00D97668">
        <w:rPr>
          <w:rFonts w:ascii="Georgia" w:hAnsi="Georgia"/>
        </w:rPr>
        <w:t xml:space="preserve">the </w:t>
      </w:r>
      <w:r w:rsidR="005B6620" w:rsidRPr="00B01A70">
        <w:rPr>
          <w:rFonts w:ascii="Georgia" w:hAnsi="Georgia"/>
        </w:rPr>
        <w:t>SOC.</w:t>
      </w:r>
    </w:p>
    <w:p w:rsidR="001B72DE" w:rsidRPr="00B01A70" w:rsidRDefault="001B72DE">
      <w:pPr>
        <w:rPr>
          <w:rFonts w:ascii="Georgia" w:hAnsi="Georgia"/>
          <w:b/>
          <w:color w:val="990000"/>
          <w:sz w:val="24"/>
          <w:szCs w:val="24"/>
        </w:rPr>
      </w:pPr>
      <w:r w:rsidRPr="00B01A70">
        <w:rPr>
          <w:rFonts w:ascii="Georgia" w:hAnsi="Georgia"/>
          <w:b/>
          <w:color w:val="990000"/>
          <w:sz w:val="24"/>
          <w:szCs w:val="24"/>
        </w:rPr>
        <w:br w:type="page"/>
      </w:r>
    </w:p>
    <w:p w:rsidR="00155E37" w:rsidRPr="00B01A70" w:rsidRDefault="00155E37" w:rsidP="001A2DBB">
      <w:pPr>
        <w:ind w:left="576" w:right="576"/>
        <w:rPr>
          <w:rFonts w:ascii="Georgia" w:hAnsi="Georgia"/>
          <w:b/>
          <w:color w:val="990000"/>
          <w:sz w:val="24"/>
          <w:szCs w:val="24"/>
        </w:rPr>
      </w:pPr>
    </w:p>
    <w:p w:rsidR="00171A36" w:rsidRPr="00B01A70" w:rsidRDefault="00171A36" w:rsidP="005B6620">
      <w:pPr>
        <w:ind w:left="7920" w:right="576" w:hanging="2880"/>
        <w:rPr>
          <w:rFonts w:ascii="Georgia" w:hAnsi="Georgia"/>
          <w:b/>
          <w:color w:val="990000"/>
          <w:sz w:val="22"/>
          <w:szCs w:val="22"/>
        </w:rPr>
      </w:pPr>
      <w:r w:rsidRPr="00B01A70">
        <w:rPr>
          <w:rFonts w:ascii="Georgia" w:hAnsi="Georgia"/>
          <w:b/>
          <w:color w:val="990000"/>
          <w:sz w:val="22"/>
          <w:szCs w:val="22"/>
        </w:rPr>
        <w:t xml:space="preserve">Eligibility Operations Memo </w:t>
      </w:r>
      <w:r w:rsidR="00B01A70">
        <w:rPr>
          <w:rFonts w:ascii="Georgia" w:hAnsi="Georgia"/>
          <w:b/>
          <w:color w:val="990000"/>
          <w:sz w:val="22"/>
          <w:szCs w:val="22"/>
        </w:rPr>
        <w:t>20-02</w:t>
      </w:r>
    </w:p>
    <w:p w:rsidR="00171A36" w:rsidRPr="00A91B56" w:rsidRDefault="00A91B56" w:rsidP="005B6620">
      <w:pPr>
        <w:ind w:left="7920" w:right="576" w:hanging="2880"/>
        <w:rPr>
          <w:rFonts w:ascii="Georgia" w:hAnsi="Georgia"/>
          <w:b/>
          <w:color w:val="990000"/>
          <w:sz w:val="22"/>
          <w:szCs w:val="22"/>
        </w:rPr>
      </w:pPr>
      <w:r>
        <w:rPr>
          <w:rFonts w:ascii="Georgia" w:hAnsi="Georgia"/>
          <w:b/>
          <w:color w:val="990000"/>
          <w:sz w:val="22"/>
          <w:szCs w:val="22"/>
        </w:rPr>
        <w:t>January</w:t>
      </w:r>
      <w:r w:rsidRPr="00A91B56">
        <w:rPr>
          <w:rFonts w:ascii="Georgia" w:hAnsi="Georgia"/>
          <w:b/>
          <w:color w:val="990000"/>
          <w:sz w:val="22"/>
          <w:szCs w:val="22"/>
        </w:rPr>
        <w:t xml:space="preserve"> </w:t>
      </w:r>
      <w:r w:rsidR="005B6620" w:rsidRPr="00A91B56">
        <w:rPr>
          <w:rFonts w:ascii="Georgia" w:hAnsi="Georgia"/>
          <w:b/>
          <w:color w:val="990000"/>
          <w:sz w:val="22"/>
          <w:szCs w:val="22"/>
        </w:rPr>
        <w:t>1</w:t>
      </w:r>
      <w:r w:rsidR="00171A36" w:rsidRPr="00A91B56">
        <w:rPr>
          <w:rFonts w:ascii="Georgia" w:hAnsi="Georgia"/>
          <w:b/>
          <w:color w:val="990000"/>
          <w:sz w:val="22"/>
          <w:szCs w:val="22"/>
        </w:rPr>
        <w:t xml:space="preserve">, </w:t>
      </w:r>
      <w:r w:rsidRPr="00A91B56">
        <w:rPr>
          <w:rFonts w:ascii="Georgia" w:hAnsi="Georgia"/>
          <w:b/>
          <w:color w:val="990000"/>
          <w:sz w:val="22"/>
          <w:szCs w:val="22"/>
        </w:rPr>
        <w:t>20</w:t>
      </w:r>
      <w:r>
        <w:rPr>
          <w:rFonts w:ascii="Georgia" w:hAnsi="Georgia"/>
          <w:b/>
          <w:color w:val="990000"/>
          <w:sz w:val="22"/>
          <w:szCs w:val="22"/>
        </w:rPr>
        <w:t>20</w:t>
      </w:r>
    </w:p>
    <w:p w:rsidR="00171A36" w:rsidRPr="005C5E54" w:rsidRDefault="00171A36" w:rsidP="005B6620">
      <w:pPr>
        <w:ind w:left="7920" w:right="576" w:hanging="2880"/>
        <w:rPr>
          <w:rFonts w:ascii="Georgia" w:hAnsi="Georgia"/>
          <w:b/>
          <w:color w:val="990000"/>
          <w:sz w:val="22"/>
          <w:szCs w:val="22"/>
        </w:rPr>
      </w:pPr>
      <w:r w:rsidRPr="005C5E54">
        <w:rPr>
          <w:rFonts w:ascii="Georgia" w:hAnsi="Georgia"/>
          <w:b/>
          <w:color w:val="990000"/>
          <w:sz w:val="22"/>
          <w:szCs w:val="22"/>
        </w:rPr>
        <w:t>Page 3</w:t>
      </w:r>
    </w:p>
    <w:p w:rsidR="00171A36" w:rsidRPr="00B01A70" w:rsidRDefault="00171A36" w:rsidP="00171A36">
      <w:pPr>
        <w:ind w:left="8640" w:right="576" w:hanging="2880"/>
        <w:rPr>
          <w:rFonts w:ascii="Georgia" w:hAnsi="Georgia"/>
          <w:b/>
          <w:color w:val="990000"/>
          <w:sz w:val="22"/>
          <w:szCs w:val="22"/>
        </w:rPr>
      </w:pPr>
    </w:p>
    <w:p w:rsidR="00457F4B" w:rsidRDefault="00457F4B" w:rsidP="009F2B63">
      <w:pPr>
        <w:ind w:left="3456" w:right="576" w:hanging="2880"/>
        <w:rPr>
          <w:rFonts w:ascii="Georgia" w:hAnsi="Georgia"/>
          <w:b/>
          <w:color w:val="990000"/>
          <w:sz w:val="24"/>
          <w:szCs w:val="24"/>
        </w:rPr>
      </w:pPr>
    </w:p>
    <w:p w:rsidR="00B15944" w:rsidRDefault="00B15944" w:rsidP="009F2B63">
      <w:pPr>
        <w:ind w:left="3456" w:right="576" w:hanging="2880"/>
        <w:rPr>
          <w:rFonts w:ascii="Georgia" w:hAnsi="Georgia"/>
          <w:b/>
          <w:color w:val="990000"/>
          <w:sz w:val="24"/>
          <w:szCs w:val="24"/>
        </w:rPr>
      </w:pPr>
    </w:p>
    <w:p w:rsidR="001A2DBB" w:rsidRPr="00B01A70" w:rsidRDefault="00B45234" w:rsidP="009F2B63">
      <w:pPr>
        <w:ind w:left="3456" w:right="576" w:hanging="2880"/>
        <w:rPr>
          <w:rFonts w:ascii="Georgia" w:hAnsi="Georgia"/>
          <w:b/>
          <w:color w:val="990000"/>
          <w:sz w:val="24"/>
          <w:szCs w:val="24"/>
        </w:rPr>
      </w:pPr>
      <w:r w:rsidRPr="00B01A70">
        <w:rPr>
          <w:rFonts w:ascii="Georgia" w:hAnsi="Georgia"/>
          <w:b/>
          <w:color w:val="990000"/>
          <w:sz w:val="24"/>
          <w:szCs w:val="24"/>
        </w:rPr>
        <w:t xml:space="preserve">National </w:t>
      </w:r>
      <w:r w:rsidR="001A2DBB" w:rsidRPr="00B01A70">
        <w:rPr>
          <w:rFonts w:ascii="Georgia" w:hAnsi="Georgia"/>
          <w:b/>
          <w:color w:val="990000"/>
          <w:sz w:val="24"/>
          <w:szCs w:val="24"/>
        </w:rPr>
        <w:t xml:space="preserve">Voter Registration </w:t>
      </w:r>
      <w:r w:rsidR="00A80237" w:rsidRPr="00B01A70">
        <w:rPr>
          <w:rFonts w:ascii="Georgia" w:hAnsi="Georgia"/>
          <w:b/>
          <w:color w:val="990000"/>
          <w:sz w:val="24"/>
          <w:szCs w:val="24"/>
        </w:rPr>
        <w:t xml:space="preserve">Act </w:t>
      </w:r>
      <w:r w:rsidR="00B005AF">
        <w:rPr>
          <w:rFonts w:ascii="Georgia" w:hAnsi="Georgia"/>
          <w:b/>
          <w:color w:val="990000"/>
          <w:sz w:val="24"/>
          <w:szCs w:val="24"/>
        </w:rPr>
        <w:t>(NVRA)</w:t>
      </w:r>
    </w:p>
    <w:p w:rsidR="001A2DBB" w:rsidRPr="00B01A70" w:rsidRDefault="001A2DBB" w:rsidP="009F2B63">
      <w:pPr>
        <w:ind w:left="576" w:right="576"/>
        <w:rPr>
          <w:rFonts w:ascii="Georgia" w:hAnsi="Georgia"/>
          <w:b/>
          <w:color w:val="990000"/>
          <w:sz w:val="24"/>
          <w:szCs w:val="24"/>
        </w:rPr>
      </w:pPr>
    </w:p>
    <w:p w:rsidR="00D406D0" w:rsidRPr="00B01A70" w:rsidRDefault="00B45234">
      <w:pPr>
        <w:ind w:left="540"/>
        <w:rPr>
          <w:rFonts w:ascii="Georgia" w:hAnsi="Georgia" w:cs="Arial"/>
          <w:sz w:val="22"/>
          <w:szCs w:val="22"/>
        </w:rPr>
      </w:pPr>
      <w:r w:rsidRPr="00B01A70">
        <w:rPr>
          <w:rFonts w:ascii="Georgia" w:hAnsi="Georgia" w:cs="Arial"/>
          <w:sz w:val="22"/>
          <w:szCs w:val="22"/>
        </w:rPr>
        <w:t xml:space="preserve">Implementation of the AVR process does not impact existing procedures </w:t>
      </w:r>
      <w:r w:rsidR="00607ECC" w:rsidRPr="00B01A70">
        <w:rPr>
          <w:rFonts w:ascii="Georgia" w:hAnsi="Georgia" w:cs="Arial"/>
          <w:sz w:val="22"/>
          <w:szCs w:val="22"/>
        </w:rPr>
        <w:t xml:space="preserve">for </w:t>
      </w:r>
      <w:r w:rsidRPr="00B01A70">
        <w:rPr>
          <w:rFonts w:ascii="Georgia" w:hAnsi="Georgia" w:cs="Arial"/>
          <w:sz w:val="22"/>
          <w:szCs w:val="22"/>
        </w:rPr>
        <w:t xml:space="preserve">voter registration at MassHealth. </w:t>
      </w:r>
      <w:r w:rsidRPr="00B01A70">
        <w:rPr>
          <w:rFonts w:ascii="Georgia" w:hAnsi="Georgia"/>
          <w:sz w:val="22"/>
          <w:szCs w:val="22"/>
        </w:rPr>
        <w:t>Under the NVRA</w:t>
      </w:r>
      <w:r w:rsidR="00B005AF">
        <w:rPr>
          <w:rFonts w:ascii="Georgia" w:hAnsi="Georgia"/>
          <w:sz w:val="22"/>
          <w:szCs w:val="22"/>
        </w:rPr>
        <w:t>,</w:t>
      </w:r>
      <w:r w:rsidRPr="00B01A70">
        <w:rPr>
          <w:rFonts w:ascii="Georgia" w:hAnsi="Georgia"/>
          <w:sz w:val="22"/>
          <w:szCs w:val="22"/>
        </w:rPr>
        <w:t xml:space="preserve"> the Help America Vote Act</w:t>
      </w:r>
      <w:r w:rsidR="00607ECC" w:rsidRPr="00B01A70">
        <w:rPr>
          <w:rFonts w:ascii="Georgia" w:hAnsi="Georgia"/>
          <w:sz w:val="22"/>
          <w:szCs w:val="22"/>
        </w:rPr>
        <w:t>,</w:t>
      </w:r>
      <w:r w:rsidRPr="00B01A70">
        <w:rPr>
          <w:rFonts w:ascii="Georgia" w:hAnsi="Georgia"/>
          <w:sz w:val="22"/>
          <w:szCs w:val="22"/>
        </w:rPr>
        <w:t xml:space="preserve"> and related state law, MassHealth </w:t>
      </w:r>
      <w:r w:rsidR="008B6E06" w:rsidRPr="00B01A70">
        <w:rPr>
          <w:rFonts w:ascii="Georgia" w:hAnsi="Georgia"/>
          <w:sz w:val="22"/>
          <w:szCs w:val="22"/>
        </w:rPr>
        <w:t>will continue</w:t>
      </w:r>
      <w:r w:rsidRPr="00B01A70">
        <w:rPr>
          <w:rFonts w:ascii="Georgia" w:hAnsi="Georgia"/>
          <w:sz w:val="22"/>
          <w:szCs w:val="22"/>
        </w:rPr>
        <w:t xml:space="preserve"> to offer applicants and members an opportunity to register to vote</w:t>
      </w:r>
      <w:r w:rsidR="0096456B">
        <w:rPr>
          <w:rFonts w:ascii="Georgia" w:hAnsi="Georgia"/>
          <w:sz w:val="22"/>
          <w:szCs w:val="22"/>
        </w:rPr>
        <w:t>,</w:t>
      </w:r>
      <w:r w:rsidR="003022C7">
        <w:rPr>
          <w:rFonts w:ascii="Georgia" w:hAnsi="Georgia"/>
          <w:sz w:val="22"/>
          <w:szCs w:val="22"/>
        </w:rPr>
        <w:t xml:space="preserve"> as well as</w:t>
      </w:r>
      <w:r w:rsidRPr="00B01A70">
        <w:rPr>
          <w:rFonts w:ascii="Georgia" w:hAnsi="Georgia"/>
          <w:sz w:val="22"/>
          <w:szCs w:val="22"/>
        </w:rPr>
        <w:t xml:space="preserve"> assistance in doing so</w:t>
      </w:r>
      <w:r w:rsidR="00193184">
        <w:rPr>
          <w:rFonts w:ascii="Georgia" w:hAnsi="Georgia"/>
          <w:sz w:val="22"/>
          <w:szCs w:val="22"/>
        </w:rPr>
        <w:t>,</w:t>
      </w:r>
      <w:r w:rsidR="008B6E06" w:rsidRPr="00B01A70">
        <w:rPr>
          <w:rFonts w:ascii="Georgia" w:hAnsi="Georgia"/>
          <w:sz w:val="22"/>
          <w:szCs w:val="22"/>
        </w:rPr>
        <w:t xml:space="preserve"> </w:t>
      </w:r>
      <w:r w:rsidRPr="00B01A70">
        <w:rPr>
          <w:rFonts w:ascii="Georgia" w:hAnsi="Georgia" w:cs="Arial"/>
          <w:sz w:val="22"/>
          <w:szCs w:val="22"/>
        </w:rPr>
        <w:t>upon application for coverage, redetermination</w:t>
      </w:r>
      <w:r w:rsidR="00607ECC" w:rsidRPr="00B01A70">
        <w:rPr>
          <w:rFonts w:ascii="Georgia" w:hAnsi="Georgia" w:cs="Arial"/>
          <w:sz w:val="22"/>
          <w:szCs w:val="22"/>
        </w:rPr>
        <w:t>,</w:t>
      </w:r>
      <w:r w:rsidRPr="00B01A70">
        <w:rPr>
          <w:rFonts w:ascii="Georgia" w:hAnsi="Georgia" w:cs="Arial"/>
          <w:sz w:val="22"/>
          <w:szCs w:val="22"/>
        </w:rPr>
        <w:t xml:space="preserve"> or change of address. </w:t>
      </w:r>
      <w:r w:rsidR="00D406D0" w:rsidRPr="00B01A70">
        <w:rPr>
          <w:rFonts w:ascii="Georgia" w:hAnsi="Georgia" w:cs="Arial"/>
          <w:sz w:val="22"/>
          <w:szCs w:val="22"/>
        </w:rPr>
        <w:t xml:space="preserve">The current </w:t>
      </w:r>
      <w:r w:rsidR="00227CB4" w:rsidRPr="00B01A70">
        <w:rPr>
          <w:rFonts w:ascii="Georgia" w:hAnsi="Georgia" w:cs="Arial"/>
          <w:sz w:val="22"/>
          <w:szCs w:val="22"/>
        </w:rPr>
        <w:t xml:space="preserve">voter registration </w:t>
      </w:r>
      <w:r w:rsidR="00D406D0" w:rsidRPr="00B01A70">
        <w:rPr>
          <w:rFonts w:ascii="Georgia" w:hAnsi="Georgia" w:cs="Arial"/>
          <w:sz w:val="22"/>
          <w:szCs w:val="22"/>
        </w:rPr>
        <w:t>process</w:t>
      </w:r>
      <w:r w:rsidRPr="00B01A70">
        <w:rPr>
          <w:rFonts w:ascii="Georgia" w:hAnsi="Georgia" w:cs="Arial"/>
          <w:sz w:val="22"/>
          <w:szCs w:val="22"/>
        </w:rPr>
        <w:t>es</w:t>
      </w:r>
      <w:r w:rsidR="00D406D0" w:rsidRPr="00B01A70">
        <w:rPr>
          <w:rFonts w:ascii="Georgia" w:hAnsi="Georgia" w:cs="Arial"/>
          <w:sz w:val="22"/>
          <w:szCs w:val="22"/>
        </w:rPr>
        <w:t xml:space="preserve"> </w:t>
      </w:r>
      <w:r w:rsidRPr="00B01A70">
        <w:rPr>
          <w:rFonts w:ascii="Georgia" w:hAnsi="Georgia" w:cs="Arial"/>
          <w:sz w:val="22"/>
          <w:szCs w:val="22"/>
        </w:rPr>
        <w:t xml:space="preserve">are </w:t>
      </w:r>
      <w:r w:rsidR="00D406D0" w:rsidRPr="00B01A70">
        <w:rPr>
          <w:rFonts w:ascii="Georgia" w:hAnsi="Georgia" w:cs="Arial"/>
          <w:sz w:val="22"/>
          <w:szCs w:val="22"/>
        </w:rPr>
        <w:t>not changing</w:t>
      </w:r>
      <w:r w:rsidR="0078721C" w:rsidRPr="00B01A70">
        <w:rPr>
          <w:rFonts w:ascii="Georgia" w:hAnsi="Georgia" w:cs="Arial"/>
          <w:sz w:val="22"/>
          <w:szCs w:val="22"/>
        </w:rPr>
        <w:t xml:space="preserve">. </w:t>
      </w:r>
      <w:r w:rsidRPr="00B01A70">
        <w:rPr>
          <w:rFonts w:ascii="Georgia" w:hAnsi="Georgia" w:cs="Arial"/>
          <w:sz w:val="22"/>
          <w:szCs w:val="22"/>
        </w:rPr>
        <w:t xml:space="preserve">See </w:t>
      </w:r>
      <w:hyperlink r:id="rId9" w:history="1">
        <w:r w:rsidR="005B6620" w:rsidRPr="00A91B56">
          <w:rPr>
            <w:rStyle w:val="Hyperlink"/>
            <w:rFonts w:ascii="Georgia" w:hAnsi="Georgia" w:cs="Arial"/>
            <w:sz w:val="22"/>
            <w:szCs w:val="22"/>
          </w:rPr>
          <w:t>EOM 15-07</w:t>
        </w:r>
        <w:r w:rsidR="008E1940" w:rsidRPr="00A91B56">
          <w:rPr>
            <w:rStyle w:val="Hyperlink"/>
            <w:rFonts w:ascii="Georgia" w:hAnsi="Georgia" w:cs="Arial"/>
            <w:sz w:val="22"/>
            <w:szCs w:val="22"/>
          </w:rPr>
          <w:t xml:space="preserve"> (MassHealth Responsibilities under the National Voter Registration Act and the Help America Vote Act)</w:t>
        </w:r>
      </w:hyperlink>
      <w:r w:rsidR="005B6620" w:rsidRPr="00A91B56">
        <w:rPr>
          <w:rFonts w:ascii="Georgia" w:hAnsi="Georgia" w:cs="Arial"/>
          <w:sz w:val="22"/>
          <w:szCs w:val="22"/>
        </w:rPr>
        <w:t xml:space="preserve"> </w:t>
      </w:r>
      <w:r w:rsidRPr="00A91B56">
        <w:rPr>
          <w:rFonts w:ascii="Georgia" w:hAnsi="Georgia" w:cs="Arial"/>
          <w:sz w:val="22"/>
          <w:szCs w:val="22"/>
        </w:rPr>
        <w:t xml:space="preserve">for more information about current </w:t>
      </w:r>
      <w:r w:rsidR="008E1940" w:rsidRPr="005C5E54">
        <w:rPr>
          <w:rFonts w:ascii="Georgia" w:hAnsi="Georgia" w:cs="Arial"/>
          <w:sz w:val="22"/>
          <w:szCs w:val="22"/>
        </w:rPr>
        <w:t>voter registration procedures.</w:t>
      </w:r>
    </w:p>
    <w:p w:rsidR="00D406D0" w:rsidRPr="00B01A70" w:rsidRDefault="00D406D0" w:rsidP="009F2B63">
      <w:pPr>
        <w:ind w:right="576"/>
        <w:rPr>
          <w:rFonts w:ascii="Georgia" w:hAnsi="Georgia" w:cs="Arial"/>
          <w:sz w:val="22"/>
          <w:szCs w:val="22"/>
        </w:rPr>
      </w:pPr>
    </w:p>
    <w:p w:rsidR="00155E37" w:rsidRPr="00B01A70" w:rsidRDefault="00155E37" w:rsidP="009F2B63">
      <w:pPr>
        <w:ind w:left="3456" w:right="576" w:hanging="2880"/>
        <w:rPr>
          <w:rFonts w:ascii="Georgia" w:hAnsi="Georgia"/>
          <w:sz w:val="22"/>
          <w:szCs w:val="22"/>
        </w:rPr>
      </w:pPr>
      <w:r w:rsidRPr="00B01A70">
        <w:rPr>
          <w:rFonts w:ascii="Georgia" w:hAnsi="Georgia"/>
          <w:b/>
          <w:color w:val="990000"/>
          <w:sz w:val="24"/>
          <w:szCs w:val="24"/>
        </w:rPr>
        <w:t>Questions</w:t>
      </w:r>
    </w:p>
    <w:p w:rsidR="00155E37" w:rsidRPr="00B01A70" w:rsidRDefault="00155E37" w:rsidP="009F2B63">
      <w:pPr>
        <w:ind w:left="576" w:right="576"/>
        <w:rPr>
          <w:rFonts w:ascii="Georgia" w:hAnsi="Georgia"/>
          <w:sz w:val="22"/>
          <w:szCs w:val="22"/>
        </w:rPr>
      </w:pPr>
    </w:p>
    <w:p w:rsidR="0078721C" w:rsidRPr="00B01A70" w:rsidRDefault="00155E37" w:rsidP="00B53018">
      <w:pPr>
        <w:spacing w:after="8280"/>
        <w:ind w:left="576" w:right="576"/>
        <w:rPr>
          <w:rFonts w:ascii="Georgia" w:hAnsi="Georgia" w:cs="Arial"/>
        </w:rPr>
      </w:pPr>
      <w:r w:rsidRPr="00B01A70">
        <w:rPr>
          <w:rFonts w:ascii="Georgia" w:hAnsi="Georgia" w:cs="Arial"/>
          <w:sz w:val="22"/>
          <w:szCs w:val="22"/>
        </w:rPr>
        <w:t>If you have any questions about this memo, please have your MEC designee contact the Policy Hotlin</w:t>
      </w:r>
      <w:r w:rsidR="00D77FB8" w:rsidRPr="00B01A70">
        <w:rPr>
          <w:rFonts w:ascii="Georgia" w:hAnsi="Georgia" w:cs="Arial"/>
          <w:sz w:val="22"/>
          <w:szCs w:val="22"/>
        </w:rPr>
        <w:t>e</w:t>
      </w:r>
      <w:r w:rsidR="0078721C" w:rsidRPr="00B01A70">
        <w:rPr>
          <w:rFonts w:ascii="Georgia" w:hAnsi="Georgia"/>
        </w:rPr>
        <w:t xml:space="preserve">. </w:t>
      </w:r>
    </w:p>
    <w:p w:rsidR="0078721C" w:rsidRPr="00B01A70" w:rsidRDefault="0078721C" w:rsidP="0078721C"/>
    <w:p w:rsidR="005C5E54" w:rsidRDefault="005C5E54" w:rsidP="004D1FFA">
      <w:pPr>
        <w:ind w:left="5760" w:firstLine="720"/>
        <w:rPr>
          <w:rStyle w:val="Hyperlink"/>
          <w:rFonts w:ascii="Bookman Old Style" w:hAnsi="Bookman Old Style"/>
          <w:i/>
          <w:color w:val="auto"/>
          <w:u w:val="none"/>
        </w:rPr>
      </w:pPr>
    </w:p>
    <w:p w:rsidR="009A0E9B" w:rsidRPr="00A56D1A" w:rsidRDefault="00155E37" w:rsidP="004D1FFA">
      <w:pPr>
        <w:ind w:left="5760" w:firstLine="720"/>
        <w:rPr>
          <w:rFonts w:ascii="Georgia" w:hAnsi="Georgia" w:cs="Arial"/>
          <w:sz w:val="22"/>
          <w:szCs w:val="22"/>
        </w:rPr>
      </w:pPr>
      <w:r w:rsidRPr="00B01A70">
        <w:rPr>
          <w:rStyle w:val="Hyperlink"/>
          <w:rFonts w:ascii="Bookman Old Style" w:hAnsi="Bookman Old Style"/>
          <w:i/>
          <w:color w:val="auto"/>
          <w:u w:val="none"/>
        </w:rPr>
        <w:t xml:space="preserve">Follow us on Twitter </w:t>
      </w:r>
      <w:hyperlink r:id="rId10" w:history="1">
        <w:r w:rsidRPr="00A91B56">
          <w:rPr>
            <w:rStyle w:val="Hyperlink"/>
            <w:rFonts w:ascii="Bookman Old Style" w:hAnsi="Bookman Old Style"/>
            <w:b/>
            <w:i/>
          </w:rPr>
          <w:t>@MassHealth</w:t>
        </w:r>
      </w:hyperlink>
    </w:p>
    <w:sectPr w:rsidR="009A0E9B" w:rsidRPr="00A56D1A" w:rsidSect="00A56D1A">
      <w:type w:val="continuous"/>
      <w:pgSz w:w="12240" w:h="15840" w:code="1"/>
      <w:pgMar w:top="720" w:right="1080" w:bottom="432" w:left="1080" w:header="0" w:footer="720" w:gutter="0"/>
      <w:pgBorders w:offsetFrom="page">
        <w:top w:val="single" w:sz="18" w:space="31" w:color="990000"/>
        <w:left w:val="single" w:sz="18" w:space="31" w:color="990000"/>
        <w:bottom w:val="single" w:sz="18" w:space="31" w:color="990000"/>
        <w:right w:val="single" w:sz="18" w:space="31" w:color="99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947" w:rsidRDefault="00BD0947">
      <w:r>
        <w:separator/>
      </w:r>
    </w:p>
  </w:endnote>
  <w:endnote w:type="continuationSeparator" w:id="0">
    <w:p w:rsidR="00BD0947" w:rsidRDefault="00BD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947" w:rsidRDefault="00BD0947">
      <w:r>
        <w:separator/>
      </w:r>
    </w:p>
  </w:footnote>
  <w:footnote w:type="continuationSeparator" w:id="0">
    <w:p w:rsidR="00BD0947" w:rsidRDefault="00BD0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734C"/>
    <w:multiLevelType w:val="hybridMultilevel"/>
    <w:tmpl w:val="D3A02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E90A2F"/>
    <w:multiLevelType w:val="hybridMultilevel"/>
    <w:tmpl w:val="D4DA39BE"/>
    <w:lvl w:ilvl="0" w:tplc="04090001">
      <w:start w:val="1"/>
      <w:numFmt w:val="bullet"/>
      <w:lvlText w:val=""/>
      <w:lvlJc w:val="left"/>
      <w:pPr>
        <w:ind w:left="720" w:hanging="360"/>
      </w:pPr>
      <w:rPr>
        <w:rFonts w:ascii="Symbol" w:hAnsi="Symbol" w:hint="default"/>
      </w:rPr>
    </w:lvl>
    <w:lvl w:ilvl="1" w:tplc="8D8A6BB2">
      <w:start w:val="1"/>
      <w:numFmt w:val="bullet"/>
      <w:lvlText w:val="o"/>
      <w:lvlJc w:val="left"/>
      <w:pPr>
        <w:ind w:left="1440" w:hanging="360"/>
      </w:pPr>
      <w:rPr>
        <w:rFonts w:ascii="Symbol"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B797A"/>
    <w:multiLevelType w:val="hybridMultilevel"/>
    <w:tmpl w:val="39C83E0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3F794911"/>
    <w:multiLevelType w:val="hybridMultilevel"/>
    <w:tmpl w:val="C3C6236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47693AC0"/>
    <w:multiLevelType w:val="hybridMultilevel"/>
    <w:tmpl w:val="53EC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4225AE"/>
    <w:multiLevelType w:val="hybridMultilevel"/>
    <w:tmpl w:val="5FC0B4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7E456DFC"/>
    <w:multiLevelType w:val="hybridMultilevel"/>
    <w:tmpl w:val="7512D33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32BB1"/>
    <w:rsid w:val="00032C02"/>
    <w:rsid w:val="00041220"/>
    <w:rsid w:val="00080FFB"/>
    <w:rsid w:val="00081A12"/>
    <w:rsid w:val="00095863"/>
    <w:rsid w:val="000A2664"/>
    <w:rsid w:val="000B3BD2"/>
    <w:rsid w:val="000E3E10"/>
    <w:rsid w:val="00113E7F"/>
    <w:rsid w:val="0014797D"/>
    <w:rsid w:val="001539B0"/>
    <w:rsid w:val="00153E24"/>
    <w:rsid w:val="00155E37"/>
    <w:rsid w:val="001655EC"/>
    <w:rsid w:val="00171A36"/>
    <w:rsid w:val="00183784"/>
    <w:rsid w:val="0018768A"/>
    <w:rsid w:val="00193184"/>
    <w:rsid w:val="00195C8A"/>
    <w:rsid w:val="0019736A"/>
    <w:rsid w:val="00197D44"/>
    <w:rsid w:val="001A25AC"/>
    <w:rsid w:val="001A2DBB"/>
    <w:rsid w:val="001A477C"/>
    <w:rsid w:val="001A7499"/>
    <w:rsid w:val="001B4FBB"/>
    <w:rsid w:val="001B72DE"/>
    <w:rsid w:val="001C3F35"/>
    <w:rsid w:val="001D5FD0"/>
    <w:rsid w:val="001E7473"/>
    <w:rsid w:val="001F139C"/>
    <w:rsid w:val="001F18A9"/>
    <w:rsid w:val="00200899"/>
    <w:rsid w:val="002018B3"/>
    <w:rsid w:val="00221668"/>
    <w:rsid w:val="00227CB4"/>
    <w:rsid w:val="00232E91"/>
    <w:rsid w:val="002345BC"/>
    <w:rsid w:val="00263F44"/>
    <w:rsid w:val="00265FBB"/>
    <w:rsid w:val="0029448A"/>
    <w:rsid w:val="002C40EA"/>
    <w:rsid w:val="002D265A"/>
    <w:rsid w:val="002D3EE3"/>
    <w:rsid w:val="002E3B6A"/>
    <w:rsid w:val="002E5188"/>
    <w:rsid w:val="003022C7"/>
    <w:rsid w:val="003065DA"/>
    <w:rsid w:val="003261DC"/>
    <w:rsid w:val="00350E68"/>
    <w:rsid w:val="0035770B"/>
    <w:rsid w:val="003737F7"/>
    <w:rsid w:val="00374688"/>
    <w:rsid w:val="003869FD"/>
    <w:rsid w:val="003A31CA"/>
    <w:rsid w:val="003A6E1E"/>
    <w:rsid w:val="004117FD"/>
    <w:rsid w:val="004153B5"/>
    <w:rsid w:val="00427DA0"/>
    <w:rsid w:val="004373B7"/>
    <w:rsid w:val="004376EB"/>
    <w:rsid w:val="00437C15"/>
    <w:rsid w:val="00450E46"/>
    <w:rsid w:val="00457F4B"/>
    <w:rsid w:val="00461793"/>
    <w:rsid w:val="0047107E"/>
    <w:rsid w:val="004A5518"/>
    <w:rsid w:val="004D1FFA"/>
    <w:rsid w:val="004D4BC9"/>
    <w:rsid w:val="00511043"/>
    <w:rsid w:val="005237ED"/>
    <w:rsid w:val="00526EAB"/>
    <w:rsid w:val="005436D8"/>
    <w:rsid w:val="005763C9"/>
    <w:rsid w:val="005808C0"/>
    <w:rsid w:val="00590E06"/>
    <w:rsid w:val="0059389D"/>
    <w:rsid w:val="00597593"/>
    <w:rsid w:val="005A3602"/>
    <w:rsid w:val="005A5C18"/>
    <w:rsid w:val="005B3A7D"/>
    <w:rsid w:val="005B6620"/>
    <w:rsid w:val="005C33E4"/>
    <w:rsid w:val="005C5E54"/>
    <w:rsid w:val="005C7D99"/>
    <w:rsid w:val="00607ECC"/>
    <w:rsid w:val="00620625"/>
    <w:rsid w:val="006233DC"/>
    <w:rsid w:val="00676163"/>
    <w:rsid w:val="006A2B29"/>
    <w:rsid w:val="006D49AA"/>
    <w:rsid w:val="00700C89"/>
    <w:rsid w:val="00702352"/>
    <w:rsid w:val="00757D07"/>
    <w:rsid w:val="007704DE"/>
    <w:rsid w:val="00776856"/>
    <w:rsid w:val="0078721C"/>
    <w:rsid w:val="007C63E4"/>
    <w:rsid w:val="007C7DD8"/>
    <w:rsid w:val="007D38A4"/>
    <w:rsid w:val="007F1CCF"/>
    <w:rsid w:val="007F4A56"/>
    <w:rsid w:val="008031E5"/>
    <w:rsid w:val="00811DAF"/>
    <w:rsid w:val="0081488A"/>
    <w:rsid w:val="008151A9"/>
    <w:rsid w:val="0082380C"/>
    <w:rsid w:val="0082579E"/>
    <w:rsid w:val="0082594F"/>
    <w:rsid w:val="008268F2"/>
    <w:rsid w:val="008522B5"/>
    <w:rsid w:val="008708FF"/>
    <w:rsid w:val="00894AAC"/>
    <w:rsid w:val="00894FF0"/>
    <w:rsid w:val="008A3B9D"/>
    <w:rsid w:val="008A6A30"/>
    <w:rsid w:val="008B6E06"/>
    <w:rsid w:val="008D61DA"/>
    <w:rsid w:val="008E1940"/>
    <w:rsid w:val="008E6D07"/>
    <w:rsid w:val="00902810"/>
    <w:rsid w:val="00911572"/>
    <w:rsid w:val="00930D16"/>
    <w:rsid w:val="0093651D"/>
    <w:rsid w:val="0096456B"/>
    <w:rsid w:val="00965D5A"/>
    <w:rsid w:val="00977415"/>
    <w:rsid w:val="009841A9"/>
    <w:rsid w:val="009A0E9B"/>
    <w:rsid w:val="009B3C81"/>
    <w:rsid w:val="009B4513"/>
    <w:rsid w:val="009D15FA"/>
    <w:rsid w:val="009D59BC"/>
    <w:rsid w:val="009F2B63"/>
    <w:rsid w:val="00A024A3"/>
    <w:rsid w:val="00A0380C"/>
    <w:rsid w:val="00A11A6C"/>
    <w:rsid w:val="00A15EDB"/>
    <w:rsid w:val="00A3075C"/>
    <w:rsid w:val="00A32028"/>
    <w:rsid w:val="00A422EC"/>
    <w:rsid w:val="00A458CF"/>
    <w:rsid w:val="00A56D1A"/>
    <w:rsid w:val="00A570CF"/>
    <w:rsid w:val="00A63CB3"/>
    <w:rsid w:val="00A80237"/>
    <w:rsid w:val="00A85AC5"/>
    <w:rsid w:val="00A91B56"/>
    <w:rsid w:val="00AA5B85"/>
    <w:rsid w:val="00AB155F"/>
    <w:rsid w:val="00AD2EF9"/>
    <w:rsid w:val="00AD4B0C"/>
    <w:rsid w:val="00AD55FC"/>
    <w:rsid w:val="00AF6898"/>
    <w:rsid w:val="00B005AF"/>
    <w:rsid w:val="00B01A70"/>
    <w:rsid w:val="00B03A46"/>
    <w:rsid w:val="00B058D1"/>
    <w:rsid w:val="00B12A3B"/>
    <w:rsid w:val="00B15944"/>
    <w:rsid w:val="00B21829"/>
    <w:rsid w:val="00B327EA"/>
    <w:rsid w:val="00B33139"/>
    <w:rsid w:val="00B44F42"/>
    <w:rsid w:val="00B45234"/>
    <w:rsid w:val="00B53018"/>
    <w:rsid w:val="00B60798"/>
    <w:rsid w:val="00B964AA"/>
    <w:rsid w:val="00BD0947"/>
    <w:rsid w:val="00BD0F64"/>
    <w:rsid w:val="00BE49D9"/>
    <w:rsid w:val="00C046E9"/>
    <w:rsid w:val="00C100CF"/>
    <w:rsid w:val="00C16CEA"/>
    <w:rsid w:val="00C1771C"/>
    <w:rsid w:val="00C31927"/>
    <w:rsid w:val="00C34047"/>
    <w:rsid w:val="00C346F5"/>
    <w:rsid w:val="00C84454"/>
    <w:rsid w:val="00C84B58"/>
    <w:rsid w:val="00C9185E"/>
    <w:rsid w:val="00CB3D77"/>
    <w:rsid w:val="00CC521E"/>
    <w:rsid w:val="00CF0AAB"/>
    <w:rsid w:val="00D20897"/>
    <w:rsid w:val="00D2728B"/>
    <w:rsid w:val="00D33ED2"/>
    <w:rsid w:val="00D406D0"/>
    <w:rsid w:val="00D55314"/>
    <w:rsid w:val="00D757EC"/>
    <w:rsid w:val="00D76690"/>
    <w:rsid w:val="00D77FB8"/>
    <w:rsid w:val="00D8246C"/>
    <w:rsid w:val="00D93D6D"/>
    <w:rsid w:val="00D97668"/>
    <w:rsid w:val="00DD509A"/>
    <w:rsid w:val="00DD7B9C"/>
    <w:rsid w:val="00DF15B5"/>
    <w:rsid w:val="00DF2BB6"/>
    <w:rsid w:val="00DF5421"/>
    <w:rsid w:val="00E25774"/>
    <w:rsid w:val="00E374DA"/>
    <w:rsid w:val="00E70EF5"/>
    <w:rsid w:val="00E76107"/>
    <w:rsid w:val="00E86942"/>
    <w:rsid w:val="00EA286C"/>
    <w:rsid w:val="00EB2BC4"/>
    <w:rsid w:val="00EC2407"/>
    <w:rsid w:val="00ED5E99"/>
    <w:rsid w:val="00EF0846"/>
    <w:rsid w:val="00F00371"/>
    <w:rsid w:val="00F12CB8"/>
    <w:rsid w:val="00F1656D"/>
    <w:rsid w:val="00F3494C"/>
    <w:rsid w:val="00F35D39"/>
    <w:rsid w:val="00F510FF"/>
    <w:rsid w:val="00F5746D"/>
    <w:rsid w:val="00F902FE"/>
    <w:rsid w:val="00F91320"/>
    <w:rsid w:val="00F97341"/>
    <w:rsid w:val="00FA1703"/>
    <w:rsid w:val="00FC1193"/>
    <w:rsid w:val="00FE5846"/>
    <w:rsid w:val="00FE7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paragraph" w:styleId="ListParagraph">
    <w:name w:val="List Paragraph"/>
    <w:aliases w:val="Alpha List Paragraph"/>
    <w:basedOn w:val="Normal"/>
    <w:link w:val="ListParagraphChar"/>
    <w:uiPriority w:val="34"/>
    <w:qFormat/>
    <w:rsid w:val="00D406D0"/>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B45234"/>
    <w:rPr>
      <w:sz w:val="16"/>
      <w:szCs w:val="16"/>
    </w:rPr>
  </w:style>
  <w:style w:type="paragraph" w:styleId="CommentText">
    <w:name w:val="annotation text"/>
    <w:basedOn w:val="Normal"/>
    <w:link w:val="CommentTextChar"/>
    <w:rsid w:val="00B45234"/>
  </w:style>
  <w:style w:type="character" w:customStyle="1" w:styleId="CommentTextChar">
    <w:name w:val="Comment Text Char"/>
    <w:basedOn w:val="DefaultParagraphFont"/>
    <w:link w:val="CommentText"/>
    <w:rsid w:val="00B45234"/>
  </w:style>
  <w:style w:type="paragraph" w:styleId="CommentSubject">
    <w:name w:val="annotation subject"/>
    <w:basedOn w:val="CommentText"/>
    <w:next w:val="CommentText"/>
    <w:link w:val="CommentSubjectChar"/>
    <w:rsid w:val="00B45234"/>
    <w:rPr>
      <w:b/>
      <w:bCs/>
    </w:rPr>
  </w:style>
  <w:style w:type="character" w:customStyle="1" w:styleId="CommentSubjectChar">
    <w:name w:val="Comment Subject Char"/>
    <w:basedOn w:val="CommentTextChar"/>
    <w:link w:val="CommentSubject"/>
    <w:rsid w:val="00B45234"/>
    <w:rPr>
      <w:b/>
      <w:bCs/>
    </w:rPr>
  </w:style>
  <w:style w:type="character" w:customStyle="1" w:styleId="ListParagraphChar">
    <w:name w:val="List Paragraph Char"/>
    <w:aliases w:val="Alpha List Paragraph Char"/>
    <w:basedOn w:val="DefaultParagraphFont"/>
    <w:link w:val="ListParagraph"/>
    <w:uiPriority w:val="34"/>
    <w:qFormat/>
    <w:locked/>
    <w:rsid w:val="00B45234"/>
    <w:rPr>
      <w:rFonts w:ascii="Calibri" w:eastAsia="Calibri" w:hAnsi="Calibri"/>
      <w:sz w:val="22"/>
      <w:szCs w:val="22"/>
    </w:rPr>
  </w:style>
  <w:style w:type="character" w:styleId="FollowedHyperlink">
    <w:name w:val="FollowedHyperlink"/>
    <w:basedOn w:val="DefaultParagraphFont"/>
    <w:rsid w:val="00D77FB8"/>
    <w:rPr>
      <w:color w:val="800080" w:themeColor="followedHyperlink"/>
      <w:u w:val="single"/>
    </w:rPr>
  </w:style>
  <w:style w:type="paragraph" w:styleId="Revision">
    <w:name w:val="Revision"/>
    <w:hidden/>
    <w:uiPriority w:val="99"/>
    <w:semiHidden/>
    <w:rsid w:val="00B01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paragraph" w:styleId="ListParagraph">
    <w:name w:val="List Paragraph"/>
    <w:aliases w:val="Alpha List Paragraph"/>
    <w:basedOn w:val="Normal"/>
    <w:link w:val="ListParagraphChar"/>
    <w:uiPriority w:val="34"/>
    <w:qFormat/>
    <w:rsid w:val="00D406D0"/>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B45234"/>
    <w:rPr>
      <w:sz w:val="16"/>
      <w:szCs w:val="16"/>
    </w:rPr>
  </w:style>
  <w:style w:type="paragraph" w:styleId="CommentText">
    <w:name w:val="annotation text"/>
    <w:basedOn w:val="Normal"/>
    <w:link w:val="CommentTextChar"/>
    <w:rsid w:val="00B45234"/>
  </w:style>
  <w:style w:type="character" w:customStyle="1" w:styleId="CommentTextChar">
    <w:name w:val="Comment Text Char"/>
    <w:basedOn w:val="DefaultParagraphFont"/>
    <w:link w:val="CommentText"/>
    <w:rsid w:val="00B45234"/>
  </w:style>
  <w:style w:type="paragraph" w:styleId="CommentSubject">
    <w:name w:val="annotation subject"/>
    <w:basedOn w:val="CommentText"/>
    <w:next w:val="CommentText"/>
    <w:link w:val="CommentSubjectChar"/>
    <w:rsid w:val="00B45234"/>
    <w:rPr>
      <w:b/>
      <w:bCs/>
    </w:rPr>
  </w:style>
  <w:style w:type="character" w:customStyle="1" w:styleId="CommentSubjectChar">
    <w:name w:val="Comment Subject Char"/>
    <w:basedOn w:val="CommentTextChar"/>
    <w:link w:val="CommentSubject"/>
    <w:rsid w:val="00B45234"/>
    <w:rPr>
      <w:b/>
      <w:bCs/>
    </w:rPr>
  </w:style>
  <w:style w:type="character" w:customStyle="1" w:styleId="ListParagraphChar">
    <w:name w:val="List Paragraph Char"/>
    <w:aliases w:val="Alpha List Paragraph Char"/>
    <w:basedOn w:val="DefaultParagraphFont"/>
    <w:link w:val="ListParagraph"/>
    <w:uiPriority w:val="34"/>
    <w:qFormat/>
    <w:locked/>
    <w:rsid w:val="00B45234"/>
    <w:rPr>
      <w:rFonts w:ascii="Calibri" w:eastAsia="Calibri" w:hAnsi="Calibri"/>
      <w:sz w:val="22"/>
      <w:szCs w:val="22"/>
    </w:rPr>
  </w:style>
  <w:style w:type="character" w:styleId="FollowedHyperlink">
    <w:name w:val="FollowedHyperlink"/>
    <w:basedOn w:val="DefaultParagraphFont"/>
    <w:rsid w:val="00D77FB8"/>
    <w:rPr>
      <w:color w:val="800080" w:themeColor="followedHyperlink"/>
      <w:u w:val="single"/>
    </w:rPr>
  </w:style>
  <w:style w:type="paragraph" w:styleId="Revision">
    <w:name w:val="Revision"/>
    <w:hidden/>
    <w:uiPriority w:val="99"/>
    <w:semiHidden/>
    <w:rsid w:val="00B01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witter.com/masshealth" TargetMode="External"/><Relationship Id="rId4" Type="http://schemas.openxmlformats.org/officeDocument/2006/relationships/settings" Target="settings.xml"/><Relationship Id="rId9" Type="http://schemas.openxmlformats.org/officeDocument/2006/relationships/hyperlink" Target="https://www.mass.gov/doc/eom-15-07-masshealth-responsibilities-under-the-national-voter-registration-act-and-the-help/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5037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5931</CharactersWithSpaces>
  <SharedDoc>false</SharedDoc>
  <HLinks>
    <vt:vector size="6" baseType="variant">
      <vt:variant>
        <vt:i4>6946870</vt:i4>
      </vt:variant>
      <vt:variant>
        <vt:i4>3</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2020-01-13T14:09:00Z</cp:lastPrinted>
  <dcterms:created xsi:type="dcterms:W3CDTF">2020-01-13T14:10:00Z</dcterms:created>
  <dcterms:modified xsi:type="dcterms:W3CDTF">2020-01-13T14:10:00Z</dcterms:modified>
</cp:coreProperties>
</file>