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D3A7" w14:textId="77777777" w:rsidR="00A56D1A" w:rsidRDefault="009F7B45"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bookmarkStart w:id="0" w:name="_GoBack"/>
      <w:bookmarkEnd w:id="0"/>
      <w:r>
        <w:rPr>
          <w:noProof/>
        </w:rPr>
        <w:drawing>
          <wp:anchor distT="0" distB="0" distL="114300" distR="114300" simplePos="0" relativeHeight="251657728" behindDoc="1" locked="0" layoutInCell="1" allowOverlap="1" wp14:anchorId="66C4E405" wp14:editId="2A6C8F86">
            <wp:simplePos x="0" y="0"/>
            <wp:positionH relativeFrom="column">
              <wp:posOffset>0</wp:posOffset>
            </wp:positionH>
            <wp:positionV relativeFrom="paragraph">
              <wp:posOffset>635</wp:posOffset>
            </wp:positionV>
            <wp:extent cx="1381125" cy="695325"/>
            <wp:effectExtent l="0" t="0" r="9525" b="9525"/>
            <wp:wrapNone/>
            <wp:docPr id="20" name="Picture 9" descr="Image of Massachusetts with &quot;MassHealth&quot; superim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D1A">
        <w:rPr>
          <w:rFonts w:ascii="Bookman Old Style" w:hAnsi="Bookman Old Style"/>
          <w:b/>
          <w:i/>
        </w:rPr>
        <w:t>Commonwealth of Massachusetts</w:t>
      </w:r>
    </w:p>
    <w:p w14:paraId="2450A987" w14:textId="77777777" w:rsidR="00A56D1A"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14:paraId="45845D2F" w14:textId="77777777" w:rsidR="00A56D1A" w:rsidRDefault="00A56D1A" w:rsidP="00A56D1A">
      <w:pPr>
        <w:pStyle w:val="Heading2"/>
        <w:framePr w:h="1061" w:hRule="exact" w:hSpace="180" w:wrap="around" w:vAnchor="text" w:hAnchor="page" w:x="646" w:y="-29"/>
        <w:ind w:left="2160"/>
        <w:suppressOverlap/>
      </w:pPr>
      <w:r>
        <w:t>Office of Medicaid</w:t>
      </w:r>
    </w:p>
    <w:p w14:paraId="01F7B64F" w14:textId="77777777" w:rsidR="00A56D1A" w:rsidRPr="0069586B" w:rsidRDefault="00A56D1A" w:rsidP="00A56D1A">
      <w:pPr>
        <w:framePr w:h="1061" w:hRule="exact" w:hSpace="180" w:wrap="around" w:vAnchor="text" w:hAnchor="page" w:x="646" w:y="-29"/>
        <w:ind w:left="2160"/>
        <w:suppressOverlap/>
      </w:pPr>
      <w:r>
        <w:rPr>
          <w:rFonts w:ascii="Bookman Old Style" w:hAnsi="Bookman Old Style"/>
          <w:i/>
          <w:sz w:val="18"/>
        </w:rPr>
        <w:t>www.mass.gov/masshealth</w:t>
      </w:r>
    </w:p>
    <w:p w14:paraId="1719AD33" w14:textId="77777777" w:rsidR="00A56D1A" w:rsidRDefault="00A56D1A">
      <w:pPr>
        <w:tabs>
          <w:tab w:val="left" w:pos="5760"/>
        </w:tabs>
        <w:rPr>
          <w:rFonts w:ascii="Georgia" w:hAnsi="Georgia"/>
          <w:sz w:val="22"/>
          <w:szCs w:val="22"/>
        </w:rPr>
      </w:pPr>
    </w:p>
    <w:p w14:paraId="4F162F5B" w14:textId="77777777" w:rsidR="005B3A7D" w:rsidRDefault="005B3A7D">
      <w:pPr>
        <w:tabs>
          <w:tab w:val="left" w:pos="5760"/>
        </w:tabs>
        <w:rPr>
          <w:rFonts w:ascii="Georgia" w:hAnsi="Georgia"/>
          <w:sz w:val="22"/>
          <w:szCs w:val="22"/>
        </w:rPr>
      </w:pPr>
    </w:p>
    <w:p w14:paraId="21239EE3" w14:textId="77777777" w:rsidR="004117FD" w:rsidRPr="00A32028" w:rsidRDefault="004117FD" w:rsidP="00AD4B0C">
      <w:pPr>
        <w:tabs>
          <w:tab w:val="left" w:pos="5400"/>
        </w:tabs>
        <w:ind w:firstLine="5400"/>
        <w:rPr>
          <w:rFonts w:ascii="Georgia" w:hAnsi="Georgia"/>
          <w:b/>
          <w:color w:val="990000"/>
          <w:sz w:val="22"/>
          <w:szCs w:val="22"/>
          <w:u w:val="double"/>
        </w:rPr>
      </w:pPr>
      <w:r w:rsidRPr="00A32028">
        <w:rPr>
          <w:rFonts w:ascii="Georgia" w:hAnsi="Georgia"/>
          <w:b/>
          <w:color w:val="990000"/>
          <w:sz w:val="22"/>
          <w:szCs w:val="22"/>
        </w:rPr>
        <w:t xml:space="preserve">Eligibility Operations Memo </w:t>
      </w:r>
      <w:r w:rsidR="00277DF6">
        <w:rPr>
          <w:rFonts w:ascii="Georgia" w:hAnsi="Georgia"/>
          <w:b/>
          <w:color w:val="990000"/>
          <w:sz w:val="22"/>
          <w:szCs w:val="22"/>
        </w:rPr>
        <w:t>20-</w:t>
      </w:r>
      <w:r w:rsidR="00183BA1">
        <w:rPr>
          <w:rFonts w:ascii="Georgia" w:hAnsi="Georgia"/>
          <w:b/>
          <w:color w:val="990000"/>
          <w:sz w:val="22"/>
          <w:szCs w:val="22"/>
        </w:rPr>
        <w:t>0</w:t>
      </w:r>
      <w:r w:rsidR="000133FF">
        <w:rPr>
          <w:rFonts w:ascii="Georgia" w:hAnsi="Georgia"/>
          <w:b/>
          <w:color w:val="990000"/>
          <w:sz w:val="22"/>
          <w:szCs w:val="22"/>
        </w:rPr>
        <w:t>4</w:t>
      </w:r>
    </w:p>
    <w:p w14:paraId="6E93225C" w14:textId="77777777" w:rsidR="004117FD" w:rsidRPr="00A32028" w:rsidRDefault="001F1DDC" w:rsidP="00AD4B0C">
      <w:pPr>
        <w:tabs>
          <w:tab w:val="left" w:pos="5400"/>
        </w:tabs>
        <w:ind w:firstLine="5400"/>
        <w:rPr>
          <w:rFonts w:ascii="Georgia" w:hAnsi="Georgia"/>
          <w:b/>
          <w:color w:val="990000"/>
          <w:sz w:val="22"/>
          <w:szCs w:val="22"/>
        </w:rPr>
      </w:pPr>
      <w:r>
        <w:rPr>
          <w:rFonts w:ascii="Georgia" w:hAnsi="Georgia"/>
          <w:b/>
          <w:color w:val="990000"/>
          <w:sz w:val="22"/>
          <w:szCs w:val="22"/>
        </w:rPr>
        <w:t>February 1</w:t>
      </w:r>
      <w:r w:rsidR="00911525">
        <w:rPr>
          <w:rFonts w:ascii="Georgia" w:hAnsi="Georgia"/>
          <w:b/>
          <w:color w:val="990000"/>
          <w:sz w:val="22"/>
          <w:szCs w:val="22"/>
        </w:rPr>
        <w:t>8</w:t>
      </w:r>
      <w:r>
        <w:rPr>
          <w:rFonts w:ascii="Georgia" w:hAnsi="Georgia"/>
          <w:b/>
          <w:color w:val="990000"/>
          <w:sz w:val="22"/>
          <w:szCs w:val="22"/>
        </w:rPr>
        <w:t>, 202</w:t>
      </w:r>
      <w:r w:rsidR="00277DF6">
        <w:rPr>
          <w:rFonts w:ascii="Georgia" w:hAnsi="Georgia"/>
          <w:b/>
          <w:color w:val="990000"/>
          <w:sz w:val="22"/>
          <w:szCs w:val="22"/>
        </w:rPr>
        <w:t>0</w:t>
      </w:r>
    </w:p>
    <w:p w14:paraId="1D9A1098" w14:textId="77777777" w:rsidR="005B3A7D" w:rsidRPr="00A56D1A" w:rsidRDefault="005B3A7D" w:rsidP="00A56D1A">
      <w:pPr>
        <w:tabs>
          <w:tab w:val="left" w:pos="900"/>
        </w:tabs>
        <w:ind w:left="576" w:right="576"/>
        <w:rPr>
          <w:rFonts w:ascii="Georgia" w:hAnsi="Georgia"/>
          <w:b/>
          <w:sz w:val="22"/>
          <w:szCs w:val="22"/>
        </w:rPr>
      </w:pPr>
    </w:p>
    <w:p w14:paraId="3A7B63B9" w14:textId="77777777" w:rsidR="005B3A7D" w:rsidRPr="00A56D1A" w:rsidRDefault="005B3A7D" w:rsidP="00A56D1A">
      <w:pPr>
        <w:tabs>
          <w:tab w:val="left" w:pos="900"/>
        </w:tabs>
        <w:ind w:left="576" w:right="576"/>
        <w:rPr>
          <w:rFonts w:ascii="Georgia" w:hAnsi="Georgia"/>
          <w:b/>
          <w:sz w:val="22"/>
          <w:szCs w:val="22"/>
        </w:rPr>
      </w:pPr>
    </w:p>
    <w:p w14:paraId="2AAD7525" w14:textId="77777777" w:rsidR="004117FD" w:rsidRDefault="004117FD" w:rsidP="00AD4B0C">
      <w:pPr>
        <w:tabs>
          <w:tab w:val="left" w:pos="900"/>
        </w:tabs>
        <w:ind w:left="576" w:right="576"/>
        <w:rPr>
          <w:rFonts w:ascii="Georgia" w:hAnsi="Georgia"/>
          <w:sz w:val="22"/>
          <w:szCs w:val="22"/>
        </w:rPr>
      </w:pPr>
      <w:r w:rsidRPr="004153B5">
        <w:rPr>
          <w:rFonts w:ascii="Georgia" w:hAnsi="Georgia"/>
          <w:sz w:val="22"/>
          <w:szCs w:val="22"/>
        </w:rPr>
        <w:t>TO:</w:t>
      </w:r>
      <w:r w:rsidR="00AD4B0C">
        <w:rPr>
          <w:rFonts w:ascii="Georgia" w:hAnsi="Georgia"/>
          <w:sz w:val="22"/>
          <w:szCs w:val="22"/>
        </w:rPr>
        <w:tab/>
      </w:r>
      <w:r w:rsidRPr="004153B5">
        <w:rPr>
          <w:rFonts w:ascii="Georgia" w:hAnsi="Georgia"/>
          <w:sz w:val="22"/>
          <w:szCs w:val="22"/>
        </w:rPr>
        <w:t>MassHealth Eligibility Operations Staff</w:t>
      </w:r>
    </w:p>
    <w:p w14:paraId="5B73C41D" w14:textId="77777777" w:rsidR="000273A8" w:rsidRPr="004153B5" w:rsidRDefault="000273A8" w:rsidP="00AD4B0C">
      <w:pPr>
        <w:tabs>
          <w:tab w:val="left" w:pos="900"/>
        </w:tabs>
        <w:ind w:left="576" w:right="576"/>
        <w:rPr>
          <w:rFonts w:ascii="Georgia" w:hAnsi="Georgia"/>
          <w:sz w:val="22"/>
          <w:szCs w:val="22"/>
        </w:rPr>
      </w:pPr>
    </w:p>
    <w:p w14:paraId="033764CE" w14:textId="77777777" w:rsidR="004117FD" w:rsidRPr="004153B5" w:rsidRDefault="004117FD" w:rsidP="00232E91">
      <w:pPr>
        <w:tabs>
          <w:tab w:val="left" w:pos="900"/>
        </w:tabs>
        <w:ind w:left="1440" w:right="576" w:hanging="864"/>
        <w:rPr>
          <w:rFonts w:ascii="Georgia" w:hAnsi="Georgia"/>
          <w:sz w:val="22"/>
          <w:szCs w:val="22"/>
        </w:rPr>
      </w:pPr>
      <w:r w:rsidRPr="004153B5">
        <w:rPr>
          <w:rFonts w:ascii="Georgia" w:hAnsi="Georgia"/>
          <w:sz w:val="22"/>
          <w:szCs w:val="22"/>
        </w:rPr>
        <w:t>FROM:</w:t>
      </w:r>
      <w:r w:rsidRPr="004153B5">
        <w:rPr>
          <w:rFonts w:ascii="Georgia" w:hAnsi="Georgia"/>
          <w:sz w:val="22"/>
          <w:szCs w:val="22"/>
        </w:rPr>
        <w:tab/>
      </w:r>
      <w:r w:rsidR="00374688">
        <w:rPr>
          <w:rFonts w:ascii="Georgia" w:hAnsi="Georgia"/>
          <w:sz w:val="22"/>
          <w:szCs w:val="22"/>
        </w:rPr>
        <w:t>Heather Rossi</w:t>
      </w:r>
      <w:r w:rsidRPr="004153B5">
        <w:rPr>
          <w:rFonts w:ascii="Georgia" w:hAnsi="Georgia"/>
          <w:sz w:val="22"/>
          <w:szCs w:val="22"/>
        </w:rPr>
        <w:t xml:space="preserve">, </w:t>
      </w:r>
      <w:r w:rsidR="00374688" w:rsidRPr="00374688">
        <w:rPr>
          <w:rFonts w:ascii="Georgia" w:hAnsi="Georgia"/>
          <w:sz w:val="22"/>
          <w:szCs w:val="22"/>
        </w:rPr>
        <w:t>Deputy Policy Director for Eligibility</w:t>
      </w:r>
      <w:r w:rsidR="006F5A0F">
        <w:rPr>
          <w:rFonts w:ascii="Georgia" w:hAnsi="Georgia"/>
          <w:sz w:val="22"/>
          <w:szCs w:val="22"/>
        </w:rPr>
        <w:t xml:space="preserve">   </w:t>
      </w:r>
      <w:r w:rsidR="0084255D">
        <w:rPr>
          <w:rFonts w:ascii="Georgia" w:hAnsi="Georgia"/>
          <w:sz w:val="22"/>
          <w:szCs w:val="22"/>
        </w:rPr>
        <w:t>[signature of Heather Rossi]</w:t>
      </w:r>
    </w:p>
    <w:p w14:paraId="7F22E542" w14:textId="77777777" w:rsidR="004117FD" w:rsidRPr="004153B5" w:rsidRDefault="004117FD" w:rsidP="00A56D1A">
      <w:pPr>
        <w:tabs>
          <w:tab w:val="left" w:pos="900"/>
        </w:tabs>
        <w:ind w:left="576" w:right="576"/>
        <w:rPr>
          <w:rFonts w:ascii="Georgia" w:hAnsi="Georgia"/>
          <w:sz w:val="22"/>
          <w:szCs w:val="22"/>
        </w:rPr>
      </w:pPr>
    </w:p>
    <w:p w14:paraId="78C21E8B" w14:textId="77777777" w:rsidR="004117FD" w:rsidRPr="00277DF6" w:rsidRDefault="004117FD" w:rsidP="00AD4B0C">
      <w:pPr>
        <w:tabs>
          <w:tab w:val="left" w:pos="900"/>
        </w:tabs>
        <w:ind w:left="576" w:right="576"/>
        <w:rPr>
          <w:rFonts w:ascii="Georgia" w:hAnsi="Georgia"/>
          <w:b/>
          <w:sz w:val="22"/>
          <w:szCs w:val="22"/>
        </w:rPr>
      </w:pPr>
      <w:r w:rsidRPr="004153B5">
        <w:rPr>
          <w:rFonts w:ascii="Georgia" w:hAnsi="Georgia"/>
          <w:sz w:val="22"/>
          <w:szCs w:val="22"/>
        </w:rPr>
        <w:t>RE:</w:t>
      </w:r>
      <w:r w:rsidR="00277DF6">
        <w:rPr>
          <w:rFonts w:ascii="Georgia" w:hAnsi="Georgia"/>
          <w:sz w:val="22"/>
          <w:szCs w:val="22"/>
        </w:rPr>
        <w:tab/>
      </w:r>
      <w:r w:rsidR="00277DF6">
        <w:rPr>
          <w:rFonts w:ascii="Georgia" w:hAnsi="Georgia"/>
          <w:b/>
          <w:sz w:val="22"/>
          <w:szCs w:val="22"/>
        </w:rPr>
        <w:t>Determination of Countability of Irrevocable Trusts</w:t>
      </w:r>
    </w:p>
    <w:p w14:paraId="4A1ABE4B" w14:textId="77777777" w:rsidR="005B3A7D" w:rsidRPr="00A56D1A" w:rsidRDefault="005B3A7D" w:rsidP="00A56D1A">
      <w:pPr>
        <w:tabs>
          <w:tab w:val="left" w:pos="900"/>
        </w:tabs>
        <w:ind w:left="576" w:right="576"/>
        <w:rPr>
          <w:rFonts w:ascii="Georgia" w:hAnsi="Georgia"/>
          <w:b/>
          <w:sz w:val="22"/>
          <w:szCs w:val="22"/>
        </w:rPr>
      </w:pPr>
    </w:p>
    <w:p w14:paraId="7F033090" w14:textId="77777777" w:rsidR="005B3A7D" w:rsidRPr="00A56D1A" w:rsidRDefault="005B3A7D" w:rsidP="00A56D1A">
      <w:pPr>
        <w:tabs>
          <w:tab w:val="left" w:pos="900"/>
        </w:tabs>
        <w:ind w:left="576" w:right="576"/>
        <w:rPr>
          <w:rFonts w:ascii="Georgia" w:hAnsi="Georgia"/>
          <w:b/>
          <w:sz w:val="22"/>
          <w:szCs w:val="22"/>
        </w:rPr>
      </w:pPr>
    </w:p>
    <w:p w14:paraId="386B050A" w14:textId="77777777" w:rsidR="005B3A7D" w:rsidRPr="00CC7871" w:rsidRDefault="00277DF6" w:rsidP="00CC7871">
      <w:pPr>
        <w:pStyle w:val="Heading1"/>
        <w:ind w:left="540"/>
        <w:rPr>
          <w:rFonts w:ascii="Georgia" w:hAnsi="Georgia"/>
          <w:b/>
          <w:i w:val="0"/>
          <w:color w:val="C00000"/>
          <w:sz w:val="24"/>
          <w:szCs w:val="24"/>
        </w:rPr>
      </w:pPr>
      <w:r w:rsidRPr="00CC7871">
        <w:rPr>
          <w:rFonts w:ascii="Georgia" w:hAnsi="Georgia"/>
          <w:b/>
          <w:i w:val="0"/>
          <w:color w:val="C00000"/>
          <w:sz w:val="24"/>
          <w:szCs w:val="24"/>
        </w:rPr>
        <w:t>Introduction</w:t>
      </w:r>
    </w:p>
    <w:p w14:paraId="7CAD2CDE" w14:textId="77777777" w:rsidR="005B3A7D" w:rsidRDefault="005B3A7D" w:rsidP="00A56D1A">
      <w:pPr>
        <w:ind w:left="576" w:right="576"/>
        <w:rPr>
          <w:rFonts w:ascii="Georgia" w:hAnsi="Georgia" w:cs="Arial"/>
          <w:sz w:val="22"/>
          <w:szCs w:val="22"/>
        </w:rPr>
      </w:pPr>
    </w:p>
    <w:p w14:paraId="1A9F317E" w14:textId="77777777" w:rsidR="00277DF6" w:rsidRDefault="00277DF6" w:rsidP="00A56D1A">
      <w:pPr>
        <w:ind w:left="576" w:right="576"/>
        <w:rPr>
          <w:rFonts w:ascii="Georgia" w:hAnsi="Georgia" w:cs="Arial"/>
          <w:sz w:val="22"/>
          <w:szCs w:val="22"/>
        </w:rPr>
      </w:pPr>
      <w:r>
        <w:rPr>
          <w:rFonts w:ascii="Georgia" w:hAnsi="Georgia" w:cs="Arial"/>
          <w:sz w:val="22"/>
          <w:szCs w:val="22"/>
        </w:rPr>
        <w:t>MassHealth evaluates trusts upon application and when a member creates a new trust or amends an existing trust to determine financial eligibility for MassHealth. This memo provides additional guidance on the evaluation of irrevocable trust</w:t>
      </w:r>
      <w:r w:rsidR="00667341">
        <w:rPr>
          <w:rFonts w:ascii="Georgia" w:hAnsi="Georgia" w:cs="Arial"/>
          <w:sz w:val="22"/>
          <w:szCs w:val="22"/>
        </w:rPr>
        <w:t>s</w:t>
      </w:r>
      <w:r>
        <w:rPr>
          <w:rFonts w:ascii="Georgia" w:hAnsi="Georgia" w:cs="Arial"/>
          <w:sz w:val="22"/>
          <w:szCs w:val="22"/>
        </w:rPr>
        <w:t xml:space="preserve"> established and/or funded on or after August 11, 1993, by a Medicaid ap</w:t>
      </w:r>
      <w:r w:rsidR="00C67DD9">
        <w:rPr>
          <w:rFonts w:ascii="Georgia" w:hAnsi="Georgia" w:cs="Arial"/>
          <w:sz w:val="22"/>
          <w:szCs w:val="22"/>
        </w:rPr>
        <w:t>plicant, spouse, or someone act</w:t>
      </w:r>
      <w:r>
        <w:rPr>
          <w:rFonts w:ascii="Georgia" w:hAnsi="Georgia" w:cs="Arial"/>
          <w:sz w:val="22"/>
          <w:szCs w:val="22"/>
        </w:rPr>
        <w:t>ing on their behalf or at their direction (“irrevocable trust”).</w:t>
      </w:r>
    </w:p>
    <w:p w14:paraId="683A7787" w14:textId="77777777" w:rsidR="00277DF6" w:rsidRDefault="00277DF6" w:rsidP="00A56D1A">
      <w:pPr>
        <w:ind w:left="576" w:right="576"/>
        <w:rPr>
          <w:rFonts w:ascii="Georgia" w:hAnsi="Georgia" w:cs="Arial"/>
          <w:sz w:val="22"/>
          <w:szCs w:val="22"/>
        </w:rPr>
      </w:pPr>
    </w:p>
    <w:p w14:paraId="26085E32" w14:textId="77777777" w:rsidR="00277DF6" w:rsidRPr="00CC7871" w:rsidRDefault="00277DF6" w:rsidP="00CC7871">
      <w:pPr>
        <w:pStyle w:val="Heading1"/>
        <w:ind w:left="540"/>
        <w:rPr>
          <w:rFonts w:ascii="Georgia" w:hAnsi="Georgia"/>
          <w:b/>
          <w:i w:val="0"/>
          <w:color w:val="C00000"/>
          <w:sz w:val="24"/>
          <w:szCs w:val="24"/>
        </w:rPr>
      </w:pPr>
      <w:r w:rsidRPr="00CC7871">
        <w:rPr>
          <w:rFonts w:ascii="Georgia" w:hAnsi="Georgia"/>
          <w:b/>
          <w:i w:val="0"/>
          <w:color w:val="C00000"/>
          <w:sz w:val="24"/>
          <w:szCs w:val="24"/>
        </w:rPr>
        <w:t>Federal Law and State Regulation</w:t>
      </w:r>
    </w:p>
    <w:p w14:paraId="2A126A13" w14:textId="77777777" w:rsidR="00277DF6" w:rsidRDefault="00277DF6" w:rsidP="00A56D1A">
      <w:pPr>
        <w:ind w:left="576" w:right="576"/>
        <w:rPr>
          <w:rFonts w:ascii="Georgia" w:hAnsi="Georgia" w:cs="Arial"/>
          <w:sz w:val="22"/>
          <w:szCs w:val="22"/>
        </w:rPr>
      </w:pPr>
    </w:p>
    <w:p w14:paraId="1F7C2070" w14:textId="77777777" w:rsidR="00277DF6" w:rsidRDefault="00277DF6" w:rsidP="00A56D1A">
      <w:pPr>
        <w:ind w:left="576" w:right="576"/>
        <w:rPr>
          <w:rFonts w:ascii="Georgia" w:hAnsi="Georgia" w:cs="Arial"/>
          <w:sz w:val="22"/>
          <w:szCs w:val="22"/>
        </w:rPr>
      </w:pPr>
      <w:r>
        <w:rPr>
          <w:rFonts w:ascii="Georgia" w:hAnsi="Georgia" w:cs="Arial"/>
          <w:sz w:val="22"/>
          <w:szCs w:val="22"/>
        </w:rPr>
        <w:t>Federal Medicaid law at 42 USC §</w:t>
      </w:r>
      <w:r w:rsidR="00C072C2">
        <w:rPr>
          <w:rFonts w:ascii="Georgia" w:hAnsi="Georgia" w:cs="Arial"/>
          <w:sz w:val="22"/>
          <w:szCs w:val="22"/>
        </w:rPr>
        <w:t xml:space="preserve"> 1396p(d) and MassHealth regulations at 130 CMR 520.021 through 520.024 contain rules for the evaluation of certain trusts for purposes of determining Medicaid financial eligibility. For an irrevocable trust, any portion of the principal or income from the principal of that irrevocable trust that could be </w:t>
      </w:r>
      <w:r w:rsidR="00C67DD9">
        <w:rPr>
          <w:rFonts w:ascii="Georgia" w:hAnsi="Georgia" w:cs="Arial"/>
          <w:sz w:val="22"/>
          <w:szCs w:val="22"/>
        </w:rPr>
        <w:t>paid under any circumstances to</w:t>
      </w:r>
      <w:r w:rsidR="00C072C2">
        <w:rPr>
          <w:rFonts w:ascii="Georgia" w:hAnsi="Georgia" w:cs="Arial"/>
          <w:sz w:val="22"/>
          <w:szCs w:val="22"/>
        </w:rPr>
        <w:t>, or for the benefit of, a Medicaid applicant and/or spouse is countable under 42 USC § 1396p(d)(3)(B) a</w:t>
      </w:r>
      <w:r w:rsidR="00C67DD9">
        <w:rPr>
          <w:rFonts w:ascii="Georgia" w:hAnsi="Georgia" w:cs="Arial"/>
          <w:sz w:val="22"/>
          <w:szCs w:val="22"/>
        </w:rPr>
        <w:t>n</w:t>
      </w:r>
      <w:r w:rsidR="00C072C2">
        <w:rPr>
          <w:rFonts w:ascii="Georgia" w:hAnsi="Georgia" w:cs="Arial"/>
          <w:sz w:val="22"/>
          <w:szCs w:val="22"/>
        </w:rPr>
        <w:t>d 130 CMR 520.023(C). This is called the “any circumstances” test.</w:t>
      </w:r>
    </w:p>
    <w:p w14:paraId="77F531BD" w14:textId="77777777" w:rsidR="00277DF6" w:rsidRDefault="00277DF6" w:rsidP="00A56D1A">
      <w:pPr>
        <w:ind w:left="576" w:right="576"/>
        <w:rPr>
          <w:rFonts w:ascii="Georgia" w:hAnsi="Georgia" w:cs="Arial"/>
          <w:sz w:val="22"/>
          <w:szCs w:val="22"/>
        </w:rPr>
      </w:pPr>
    </w:p>
    <w:p w14:paraId="148223B0" w14:textId="77777777" w:rsidR="00277DF6" w:rsidRDefault="00E212AA" w:rsidP="00A56D1A">
      <w:pPr>
        <w:ind w:left="576" w:right="576"/>
        <w:rPr>
          <w:rFonts w:ascii="Georgia" w:hAnsi="Georgia" w:cs="Arial"/>
          <w:sz w:val="22"/>
          <w:szCs w:val="22"/>
        </w:rPr>
      </w:pPr>
      <w:r>
        <w:rPr>
          <w:rFonts w:ascii="Georgia" w:hAnsi="Georgia" w:cs="Arial"/>
          <w:sz w:val="22"/>
          <w:szCs w:val="22"/>
        </w:rPr>
        <w:t>Medicaid law at 42 USC § 1396p(d)(2)(C) requires that the “any circumstance</w:t>
      </w:r>
      <w:r w:rsidR="00C67DD9">
        <w:rPr>
          <w:rFonts w:ascii="Georgia" w:hAnsi="Georgia" w:cs="Arial"/>
          <w:sz w:val="22"/>
          <w:szCs w:val="22"/>
        </w:rPr>
        <w:t>s</w:t>
      </w:r>
      <w:r>
        <w:rPr>
          <w:rFonts w:ascii="Georgia" w:hAnsi="Georgia" w:cs="Arial"/>
          <w:sz w:val="22"/>
          <w:szCs w:val="22"/>
        </w:rPr>
        <w:t xml:space="preserve">” determination </w:t>
      </w:r>
      <w:r w:rsidR="00A4129D">
        <w:rPr>
          <w:rFonts w:ascii="Georgia" w:hAnsi="Georgia" w:cs="Arial"/>
          <w:sz w:val="22"/>
          <w:szCs w:val="22"/>
        </w:rPr>
        <w:t>be made without regard to 1) the purpose for which the trust is established; 2) whether the trustees have or exercise any discretion under the trust; 3) any restrictions on when or whether distributions may be made from the trust; or 4) any restrictions on the use of distributions from the trust.</w:t>
      </w:r>
    </w:p>
    <w:p w14:paraId="5F9FCC82" w14:textId="77777777" w:rsidR="00277DF6" w:rsidRDefault="00277DF6" w:rsidP="00A56D1A">
      <w:pPr>
        <w:ind w:left="576" w:right="576"/>
        <w:rPr>
          <w:rFonts w:ascii="Georgia" w:hAnsi="Georgia" w:cs="Arial"/>
          <w:sz w:val="22"/>
          <w:szCs w:val="22"/>
        </w:rPr>
      </w:pPr>
    </w:p>
    <w:p w14:paraId="10759290" w14:textId="77777777" w:rsidR="00277DF6" w:rsidRPr="00CC7871" w:rsidRDefault="00A4129D" w:rsidP="00CC7871">
      <w:pPr>
        <w:pStyle w:val="Heading1"/>
        <w:ind w:left="540"/>
        <w:rPr>
          <w:rFonts w:ascii="Georgia" w:hAnsi="Georgia"/>
          <w:b/>
          <w:i w:val="0"/>
          <w:color w:val="C00000"/>
          <w:sz w:val="24"/>
          <w:szCs w:val="24"/>
        </w:rPr>
      </w:pPr>
      <w:r w:rsidRPr="00CC7871">
        <w:rPr>
          <w:rFonts w:ascii="Georgia" w:hAnsi="Georgia"/>
          <w:b/>
          <w:i w:val="0"/>
          <w:color w:val="C00000"/>
          <w:sz w:val="24"/>
          <w:szCs w:val="24"/>
        </w:rPr>
        <w:t>MassHealth Treatment of Irrevocable Trusts</w:t>
      </w:r>
    </w:p>
    <w:p w14:paraId="0984510B" w14:textId="77777777" w:rsidR="00277DF6" w:rsidRDefault="00277DF6" w:rsidP="00A56D1A">
      <w:pPr>
        <w:ind w:left="576" w:right="576"/>
        <w:rPr>
          <w:rFonts w:ascii="Georgia" w:hAnsi="Georgia" w:cs="Arial"/>
          <w:sz w:val="22"/>
          <w:szCs w:val="22"/>
        </w:rPr>
      </w:pPr>
    </w:p>
    <w:p w14:paraId="3425C559" w14:textId="77777777" w:rsidR="00277DF6" w:rsidRDefault="009522D8" w:rsidP="00A56D1A">
      <w:pPr>
        <w:ind w:left="576" w:right="576"/>
        <w:rPr>
          <w:rFonts w:ascii="Georgia" w:hAnsi="Georgia" w:cs="Arial"/>
          <w:sz w:val="22"/>
          <w:szCs w:val="22"/>
        </w:rPr>
      </w:pPr>
      <w:r>
        <w:rPr>
          <w:rFonts w:ascii="Georgia" w:hAnsi="Georgia" w:cs="Arial"/>
          <w:sz w:val="22"/>
          <w:szCs w:val="22"/>
        </w:rPr>
        <w:t>Consistent with the “any circumstances” test, MassHealth considers the principal of an irrevocable trust to be a countable asset if there is any circumstance in which the trust principal could be paid to the applicant and/or spouse or used for their benefit. In making</w:t>
      </w:r>
      <w:r w:rsidR="00E32ACD">
        <w:rPr>
          <w:rFonts w:ascii="Georgia" w:hAnsi="Georgia" w:cs="Arial"/>
          <w:sz w:val="22"/>
          <w:szCs w:val="22"/>
        </w:rPr>
        <w:t xml:space="preserve"> its determination, MassHealth reviews all relevant trust documents</w:t>
      </w:r>
      <w:r w:rsidR="00E40C87">
        <w:rPr>
          <w:rFonts w:ascii="Georgia" w:hAnsi="Georgia" w:cs="Arial"/>
          <w:sz w:val="22"/>
          <w:szCs w:val="22"/>
        </w:rPr>
        <w:t>,</w:t>
      </w:r>
      <w:r w:rsidR="00E32ACD">
        <w:rPr>
          <w:rFonts w:ascii="Georgia" w:hAnsi="Georgia" w:cs="Arial"/>
          <w:sz w:val="22"/>
          <w:szCs w:val="22"/>
        </w:rPr>
        <w:t xml:space="preserve"> including the trust instrument, amendments, trustee’s certificate, and schedule of beneficiaries, as well as any other documents related to the trust and its administration.</w:t>
      </w:r>
    </w:p>
    <w:p w14:paraId="2810C392" w14:textId="77777777" w:rsidR="00277DF6" w:rsidRDefault="00277DF6" w:rsidP="00A56D1A">
      <w:pPr>
        <w:ind w:left="576" w:right="576"/>
        <w:rPr>
          <w:rFonts w:ascii="Georgia" w:hAnsi="Georgia" w:cs="Arial"/>
          <w:sz w:val="22"/>
          <w:szCs w:val="22"/>
        </w:rPr>
      </w:pPr>
    </w:p>
    <w:p w14:paraId="262B8285" w14:textId="77777777" w:rsidR="00E32ACD" w:rsidRDefault="00E32ACD">
      <w:pPr>
        <w:rPr>
          <w:rFonts w:ascii="Georgia" w:hAnsi="Georgia" w:cs="Arial"/>
          <w:sz w:val="22"/>
          <w:szCs w:val="22"/>
        </w:rPr>
      </w:pPr>
      <w:r>
        <w:rPr>
          <w:rFonts w:ascii="Georgia" w:hAnsi="Georgia" w:cs="Arial"/>
          <w:sz w:val="22"/>
          <w:szCs w:val="22"/>
        </w:rPr>
        <w:br w:type="page"/>
      </w:r>
    </w:p>
    <w:p w14:paraId="6E3AF0EB" w14:textId="77777777" w:rsidR="00277DF6" w:rsidRDefault="00277DF6" w:rsidP="00A56D1A">
      <w:pPr>
        <w:ind w:left="576" w:right="576"/>
        <w:rPr>
          <w:rFonts w:ascii="Georgia" w:hAnsi="Georgia" w:cs="Arial"/>
          <w:sz w:val="22"/>
          <w:szCs w:val="22"/>
        </w:rPr>
      </w:pPr>
    </w:p>
    <w:p w14:paraId="663967F2" w14:textId="77777777" w:rsidR="00E32ACD" w:rsidRPr="004117FD" w:rsidRDefault="00E32ACD" w:rsidP="00E32ACD">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E</w:t>
      </w:r>
      <w:r w:rsidR="000133FF">
        <w:rPr>
          <w:rFonts w:ascii="Georgia" w:hAnsi="Georgia"/>
          <w:b/>
          <w:color w:val="990000"/>
          <w:sz w:val="22"/>
          <w:szCs w:val="22"/>
        </w:rPr>
        <w:t>ligibility Operations Memo 20-04</w:t>
      </w:r>
    </w:p>
    <w:p w14:paraId="4355A36D" w14:textId="77777777" w:rsidR="00E32ACD" w:rsidRPr="004117FD" w:rsidRDefault="001F1DDC" w:rsidP="00E32ACD">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February 1</w:t>
      </w:r>
      <w:r w:rsidR="00911525">
        <w:rPr>
          <w:rFonts w:ascii="Georgia" w:hAnsi="Georgia"/>
          <w:b/>
          <w:color w:val="990000"/>
          <w:sz w:val="22"/>
          <w:szCs w:val="22"/>
        </w:rPr>
        <w:t>8</w:t>
      </w:r>
      <w:r w:rsidR="00E32ACD">
        <w:rPr>
          <w:rFonts w:ascii="Georgia" w:hAnsi="Georgia"/>
          <w:b/>
          <w:color w:val="990000"/>
          <w:sz w:val="22"/>
          <w:szCs w:val="22"/>
        </w:rPr>
        <w:t>, 2020</w:t>
      </w:r>
    </w:p>
    <w:p w14:paraId="476B77BF" w14:textId="77777777" w:rsidR="00E32ACD" w:rsidRPr="004117FD" w:rsidRDefault="00E32ACD" w:rsidP="00E32ACD">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 xml:space="preserve">Page </w:t>
      </w:r>
      <w:r w:rsidRPr="004117FD">
        <w:rPr>
          <w:rFonts w:ascii="Georgia" w:hAnsi="Georgia"/>
          <w:b/>
          <w:color w:val="990000"/>
          <w:sz w:val="22"/>
          <w:szCs w:val="22"/>
        </w:rPr>
        <w:fldChar w:fldCharType="begin"/>
      </w:r>
      <w:r w:rsidRPr="004117FD">
        <w:rPr>
          <w:rFonts w:ascii="Georgia" w:hAnsi="Georgia"/>
          <w:b/>
          <w:color w:val="990000"/>
          <w:sz w:val="22"/>
          <w:szCs w:val="22"/>
        </w:rPr>
        <w:instrText xml:space="preserve"> PAGE </w:instrText>
      </w:r>
      <w:r w:rsidRPr="004117FD">
        <w:rPr>
          <w:rFonts w:ascii="Georgia" w:hAnsi="Georgia"/>
          <w:b/>
          <w:color w:val="990000"/>
          <w:sz w:val="22"/>
          <w:szCs w:val="22"/>
        </w:rPr>
        <w:fldChar w:fldCharType="separate"/>
      </w:r>
      <w:r w:rsidR="00621236">
        <w:rPr>
          <w:rFonts w:ascii="Georgia" w:hAnsi="Georgia"/>
          <w:b/>
          <w:noProof/>
          <w:color w:val="990000"/>
          <w:sz w:val="22"/>
          <w:szCs w:val="22"/>
        </w:rPr>
        <w:t>2</w:t>
      </w:r>
      <w:r w:rsidRPr="004117FD">
        <w:rPr>
          <w:rFonts w:ascii="Georgia" w:hAnsi="Georgia"/>
          <w:b/>
          <w:color w:val="990000"/>
          <w:sz w:val="22"/>
          <w:szCs w:val="22"/>
        </w:rPr>
        <w:fldChar w:fldCharType="end"/>
      </w:r>
    </w:p>
    <w:p w14:paraId="00DDAA7D" w14:textId="77777777" w:rsidR="00E32ACD" w:rsidRPr="00A56D1A" w:rsidRDefault="00E32ACD" w:rsidP="00E32ACD">
      <w:pPr>
        <w:ind w:left="576" w:right="576"/>
        <w:rPr>
          <w:rFonts w:ascii="Georgia" w:hAnsi="Georgia" w:cs="Arial"/>
          <w:sz w:val="22"/>
          <w:szCs w:val="22"/>
        </w:rPr>
      </w:pPr>
    </w:p>
    <w:p w14:paraId="52E2378E" w14:textId="77777777" w:rsidR="00E40C87" w:rsidRDefault="00E40C87" w:rsidP="00E32ACD">
      <w:pPr>
        <w:ind w:left="576" w:right="576"/>
        <w:rPr>
          <w:rFonts w:ascii="Georgia" w:hAnsi="Georgia" w:cs="Arial"/>
          <w:sz w:val="22"/>
          <w:szCs w:val="22"/>
        </w:rPr>
      </w:pPr>
    </w:p>
    <w:p w14:paraId="4B7A1AA1" w14:textId="77777777" w:rsidR="00E32ACD" w:rsidRPr="00E32ACD" w:rsidRDefault="00E32ACD" w:rsidP="00E32ACD">
      <w:pPr>
        <w:ind w:left="576" w:right="576"/>
        <w:rPr>
          <w:rFonts w:ascii="Georgia" w:hAnsi="Georgia" w:cs="Arial"/>
          <w:sz w:val="22"/>
          <w:szCs w:val="22"/>
        </w:rPr>
      </w:pPr>
      <w:r>
        <w:rPr>
          <w:rFonts w:ascii="Georgia" w:hAnsi="Georgia" w:cs="Arial"/>
          <w:sz w:val="22"/>
          <w:szCs w:val="22"/>
        </w:rPr>
        <w:t xml:space="preserve">MassHealth considers the principal of an irrevocable trust a countable asset if any one or more of the following circumstances exist under the trust. </w:t>
      </w:r>
      <w:r>
        <w:rPr>
          <w:rFonts w:ascii="Georgia" w:hAnsi="Georgia" w:cs="Arial"/>
          <w:b/>
          <w:sz w:val="22"/>
          <w:szCs w:val="22"/>
        </w:rPr>
        <w:t>It is important to note that the list provides examples of commonly seen circumstances that render the principal of an irrevocable trust countable. The list is illustrative in nature and is not meant to be exhaustive.</w:t>
      </w:r>
      <w:r>
        <w:rPr>
          <w:rFonts w:ascii="Georgia" w:hAnsi="Georgia" w:cs="Arial"/>
          <w:sz w:val="22"/>
          <w:szCs w:val="22"/>
        </w:rPr>
        <w:t xml:space="preserve"> MassHealth evaluates each trust</w:t>
      </w:r>
      <w:r w:rsidR="0053569F">
        <w:rPr>
          <w:rFonts w:ascii="Georgia" w:hAnsi="Georgia" w:cs="Arial"/>
          <w:sz w:val="22"/>
          <w:szCs w:val="22"/>
        </w:rPr>
        <w:t xml:space="preserve"> based on a totality of circumstances and the cumulative effect of the trust. There are other scenarios that will render the principal of an irrevocable trust countable.</w:t>
      </w:r>
    </w:p>
    <w:p w14:paraId="265C61D7" w14:textId="77777777" w:rsidR="00277DF6" w:rsidRDefault="00277DF6" w:rsidP="00A56D1A">
      <w:pPr>
        <w:ind w:left="576" w:right="576"/>
        <w:rPr>
          <w:rFonts w:ascii="Georgia" w:hAnsi="Georgia" w:cs="Arial"/>
          <w:sz w:val="22"/>
          <w:szCs w:val="22"/>
        </w:rPr>
      </w:pPr>
    </w:p>
    <w:p w14:paraId="4122364B" w14:textId="77777777" w:rsidR="00277DF6" w:rsidRPr="00CC7871" w:rsidRDefault="0053569F" w:rsidP="00CC7871">
      <w:pPr>
        <w:pStyle w:val="Heading2"/>
        <w:ind w:left="540"/>
        <w:rPr>
          <w:rFonts w:ascii="Georgia" w:hAnsi="Georgia"/>
          <w:i w:val="0"/>
          <w:sz w:val="22"/>
          <w:szCs w:val="22"/>
        </w:rPr>
      </w:pPr>
      <w:r w:rsidRPr="00CC7871">
        <w:rPr>
          <w:rFonts w:ascii="Georgia" w:hAnsi="Georgia"/>
          <w:i w:val="0"/>
          <w:sz w:val="22"/>
          <w:szCs w:val="22"/>
        </w:rPr>
        <w:t>Examples</w:t>
      </w:r>
    </w:p>
    <w:p w14:paraId="5889B622" w14:textId="77777777" w:rsidR="0053569F" w:rsidRPr="0053569F" w:rsidRDefault="0053569F" w:rsidP="00A56D1A">
      <w:pPr>
        <w:ind w:left="576" w:right="576"/>
        <w:rPr>
          <w:rFonts w:ascii="Georgia" w:hAnsi="Georgia" w:cs="Arial"/>
          <w:sz w:val="22"/>
          <w:szCs w:val="22"/>
        </w:rPr>
      </w:pPr>
    </w:p>
    <w:p w14:paraId="361D1CDB" w14:textId="77777777" w:rsidR="00E32ACD" w:rsidRDefault="0053569F" w:rsidP="0053569F">
      <w:pPr>
        <w:pStyle w:val="ListParagraph"/>
        <w:numPr>
          <w:ilvl w:val="0"/>
          <w:numId w:val="1"/>
        </w:numPr>
        <w:ind w:right="576"/>
        <w:rPr>
          <w:rFonts w:ascii="Georgia" w:hAnsi="Georgia" w:cs="Arial"/>
          <w:sz w:val="22"/>
          <w:szCs w:val="22"/>
        </w:rPr>
      </w:pPr>
      <w:r>
        <w:rPr>
          <w:rFonts w:ascii="Georgia" w:hAnsi="Georgia" w:cs="Arial"/>
          <w:b/>
          <w:sz w:val="22"/>
          <w:szCs w:val="22"/>
        </w:rPr>
        <w:t xml:space="preserve">Principal beneficiary: </w:t>
      </w:r>
      <w:r>
        <w:rPr>
          <w:rFonts w:ascii="Georgia" w:hAnsi="Georgia" w:cs="Arial"/>
          <w:sz w:val="22"/>
          <w:szCs w:val="22"/>
        </w:rPr>
        <w:t>The applicant and/or spouse is a principal beneficiary of the trust, or can add himself or herself as a principal beneficiary.</w:t>
      </w:r>
    </w:p>
    <w:p w14:paraId="15E8C39F" w14:textId="77777777" w:rsidR="00667341" w:rsidRDefault="00667341" w:rsidP="00667341">
      <w:pPr>
        <w:pStyle w:val="ListParagraph"/>
        <w:ind w:left="1350" w:right="576"/>
        <w:rPr>
          <w:rFonts w:ascii="Georgia" w:hAnsi="Georgia" w:cs="Arial"/>
          <w:sz w:val="22"/>
          <w:szCs w:val="22"/>
        </w:rPr>
      </w:pPr>
    </w:p>
    <w:p w14:paraId="1DA557DF" w14:textId="77777777" w:rsidR="0053569F" w:rsidRDefault="0053569F" w:rsidP="0053569F">
      <w:pPr>
        <w:pStyle w:val="ListParagraph"/>
        <w:numPr>
          <w:ilvl w:val="0"/>
          <w:numId w:val="1"/>
        </w:numPr>
        <w:ind w:right="576"/>
        <w:rPr>
          <w:rFonts w:ascii="Georgia" w:hAnsi="Georgia" w:cs="Arial"/>
          <w:sz w:val="22"/>
          <w:szCs w:val="22"/>
        </w:rPr>
      </w:pPr>
      <w:r w:rsidRPr="0053569F">
        <w:rPr>
          <w:rFonts w:ascii="Georgia" w:hAnsi="Georgia" w:cs="Arial"/>
          <w:b/>
          <w:sz w:val="22"/>
          <w:szCs w:val="22"/>
        </w:rPr>
        <w:t>Power of appointment, special power of appointment, and/or limited power of appointment</w:t>
      </w:r>
      <w:r>
        <w:rPr>
          <w:rFonts w:ascii="Georgia" w:hAnsi="Georgia" w:cs="Arial"/>
          <w:b/>
          <w:sz w:val="22"/>
          <w:szCs w:val="22"/>
        </w:rPr>
        <w:t>:</w:t>
      </w:r>
      <w:r w:rsidRPr="0053569F">
        <w:rPr>
          <w:rFonts w:ascii="Georgia" w:hAnsi="Georgia" w:cs="Arial"/>
          <w:sz w:val="22"/>
          <w:szCs w:val="22"/>
        </w:rPr>
        <w:t xml:space="preserve"> The applicant and/or spouse can appoint the trust principal to other individuals or entities, including to beneficiaries, and impose conditions or limitations on the receipt of the trust principal under such power of appointment. This power of appointment provision renders the trust principal countable unless there is language within the same appointment provision that completely prohibits the distribution to, or use of tru</w:t>
      </w:r>
      <w:r w:rsidR="001E72D4">
        <w:rPr>
          <w:rFonts w:ascii="Georgia" w:hAnsi="Georgia" w:cs="Arial"/>
          <w:sz w:val="22"/>
          <w:szCs w:val="22"/>
        </w:rPr>
        <w:t>st principal for</w:t>
      </w:r>
      <w:r w:rsidR="00E40C87">
        <w:rPr>
          <w:rFonts w:ascii="Georgia" w:hAnsi="Georgia" w:cs="Arial"/>
          <w:sz w:val="22"/>
          <w:szCs w:val="22"/>
        </w:rPr>
        <w:t>,</w:t>
      </w:r>
      <w:r w:rsidR="001E72D4">
        <w:rPr>
          <w:rFonts w:ascii="Georgia" w:hAnsi="Georgia" w:cs="Arial"/>
          <w:sz w:val="22"/>
          <w:szCs w:val="22"/>
        </w:rPr>
        <w:t xml:space="preserve"> the benefit of</w:t>
      </w:r>
      <w:r w:rsidRPr="0053569F">
        <w:rPr>
          <w:rFonts w:ascii="Georgia" w:hAnsi="Georgia" w:cs="Arial"/>
          <w:sz w:val="22"/>
          <w:szCs w:val="22"/>
        </w:rPr>
        <w:t xml:space="preserve"> the applicant and/or spouse in any way. In contrast, if there are only limited restrictions on the appointment power stating that the power cannot be used to discharge the applicant’s and/or spouse’s legal obligations, then the trust principal remains countable.</w:t>
      </w:r>
    </w:p>
    <w:p w14:paraId="6B28C6D3" w14:textId="77777777" w:rsidR="00667341" w:rsidRPr="0053569F" w:rsidRDefault="00667341" w:rsidP="00667341">
      <w:pPr>
        <w:pStyle w:val="ListParagraph"/>
        <w:ind w:left="1350" w:right="576"/>
        <w:rPr>
          <w:rFonts w:ascii="Georgia" w:hAnsi="Georgia" w:cs="Arial"/>
          <w:sz w:val="22"/>
          <w:szCs w:val="22"/>
        </w:rPr>
      </w:pPr>
    </w:p>
    <w:p w14:paraId="16606B11" w14:textId="77777777" w:rsidR="0053569F" w:rsidRDefault="0053569F" w:rsidP="00434117">
      <w:pPr>
        <w:pStyle w:val="ListParagraph"/>
        <w:numPr>
          <w:ilvl w:val="0"/>
          <w:numId w:val="1"/>
        </w:numPr>
        <w:ind w:right="576"/>
        <w:rPr>
          <w:rFonts w:ascii="Georgia" w:hAnsi="Georgia" w:cs="Arial"/>
          <w:sz w:val="22"/>
          <w:szCs w:val="22"/>
        </w:rPr>
      </w:pPr>
      <w:r w:rsidRPr="00434117">
        <w:rPr>
          <w:rFonts w:ascii="Georgia" w:hAnsi="Georgia" w:cs="Arial"/>
          <w:b/>
          <w:sz w:val="22"/>
          <w:szCs w:val="22"/>
        </w:rPr>
        <w:t>Charitable or nonprofit organization:</w:t>
      </w:r>
      <w:r w:rsidRPr="00434117">
        <w:rPr>
          <w:rFonts w:ascii="Georgia" w:hAnsi="Georgia" w:cs="Arial"/>
          <w:sz w:val="22"/>
          <w:szCs w:val="22"/>
        </w:rPr>
        <w:t xml:space="preserve"> The applicant and/or spouse can appoint the trust principal to charitable or nonprofit organizations. This power of appointment provision renders the trust principal countable unless there is language within the same appointment provision that completely prohibits the distribution to, or use of tru</w:t>
      </w:r>
      <w:r w:rsidR="001E72D4">
        <w:rPr>
          <w:rFonts w:ascii="Georgia" w:hAnsi="Georgia" w:cs="Arial"/>
          <w:sz w:val="22"/>
          <w:szCs w:val="22"/>
        </w:rPr>
        <w:t>st principal for</w:t>
      </w:r>
      <w:r w:rsidR="00E40C87">
        <w:rPr>
          <w:rFonts w:ascii="Georgia" w:hAnsi="Georgia" w:cs="Arial"/>
          <w:sz w:val="22"/>
          <w:szCs w:val="22"/>
        </w:rPr>
        <w:t>,</w:t>
      </w:r>
      <w:r w:rsidR="001E72D4">
        <w:rPr>
          <w:rFonts w:ascii="Georgia" w:hAnsi="Georgia" w:cs="Arial"/>
          <w:sz w:val="22"/>
          <w:szCs w:val="22"/>
        </w:rPr>
        <w:t xml:space="preserve"> the benefit of</w:t>
      </w:r>
      <w:r w:rsidRPr="00434117">
        <w:rPr>
          <w:rFonts w:ascii="Georgia" w:hAnsi="Georgia" w:cs="Arial"/>
          <w:sz w:val="22"/>
          <w:szCs w:val="22"/>
        </w:rPr>
        <w:t xml:space="preserve"> the applicant and/or spouse in any way. In contrast, if there are only limited restrictions on the appointment power stating that the power cannot be used to discharge the applicant and/or spouse’s legal obligations, then the trust principal remains countable.</w:t>
      </w:r>
    </w:p>
    <w:p w14:paraId="0BF8198F" w14:textId="77777777" w:rsidR="00667341" w:rsidRPr="00434117" w:rsidRDefault="00667341" w:rsidP="00667341">
      <w:pPr>
        <w:pStyle w:val="ListParagraph"/>
        <w:ind w:left="1350" w:right="576"/>
        <w:rPr>
          <w:rFonts w:ascii="Georgia" w:hAnsi="Georgia" w:cs="Arial"/>
          <w:sz w:val="22"/>
          <w:szCs w:val="22"/>
        </w:rPr>
      </w:pPr>
    </w:p>
    <w:p w14:paraId="47F94722" w14:textId="77777777" w:rsidR="0053569F" w:rsidRPr="00667341" w:rsidRDefault="00434117" w:rsidP="0053569F">
      <w:pPr>
        <w:pStyle w:val="ListParagraph"/>
        <w:numPr>
          <w:ilvl w:val="0"/>
          <w:numId w:val="1"/>
        </w:numPr>
        <w:ind w:right="576"/>
        <w:rPr>
          <w:rFonts w:ascii="Georgia" w:hAnsi="Georgia" w:cs="Arial"/>
          <w:b/>
          <w:sz w:val="22"/>
          <w:szCs w:val="22"/>
        </w:rPr>
      </w:pPr>
      <w:r>
        <w:rPr>
          <w:rFonts w:ascii="Georgia" w:hAnsi="Georgia" w:cs="Arial"/>
          <w:b/>
          <w:sz w:val="22"/>
          <w:szCs w:val="22"/>
        </w:rPr>
        <w:t xml:space="preserve">Purchase of financial products: </w:t>
      </w:r>
      <w:r>
        <w:rPr>
          <w:rFonts w:ascii="Georgia" w:hAnsi="Georgia" w:cs="Arial"/>
          <w:sz w:val="22"/>
          <w:szCs w:val="22"/>
        </w:rPr>
        <w:t xml:space="preserve">The trustees can use the trust principal to buy financial products such as life insurance, long-term-care insurance, or endowment policies </w:t>
      </w:r>
      <w:r w:rsidRPr="00434117">
        <w:rPr>
          <w:rFonts w:ascii="Georgia" w:hAnsi="Georgia" w:cs="Arial"/>
          <w:i/>
          <w:sz w:val="22"/>
          <w:szCs w:val="22"/>
        </w:rPr>
        <w:t xml:space="preserve">for the benefit </w:t>
      </w:r>
      <w:r w:rsidR="00C67DD9">
        <w:rPr>
          <w:rFonts w:ascii="Georgia" w:hAnsi="Georgia" w:cs="Arial"/>
          <w:i/>
          <w:sz w:val="22"/>
          <w:szCs w:val="22"/>
        </w:rPr>
        <w:t>o</w:t>
      </w:r>
      <w:r w:rsidRPr="00434117">
        <w:rPr>
          <w:rFonts w:ascii="Georgia" w:hAnsi="Georgia" w:cs="Arial"/>
          <w:i/>
          <w:sz w:val="22"/>
          <w:szCs w:val="22"/>
        </w:rPr>
        <w:t>f the applicant and/or spouse</w:t>
      </w:r>
      <w:r>
        <w:rPr>
          <w:rFonts w:ascii="Georgia" w:hAnsi="Georgia" w:cs="Arial"/>
          <w:sz w:val="22"/>
          <w:szCs w:val="22"/>
        </w:rPr>
        <w:t>.</w:t>
      </w:r>
    </w:p>
    <w:p w14:paraId="412AC86E" w14:textId="77777777" w:rsidR="00667341" w:rsidRPr="00434117" w:rsidRDefault="00667341" w:rsidP="00667341">
      <w:pPr>
        <w:pStyle w:val="ListParagraph"/>
        <w:ind w:left="1350" w:right="576"/>
        <w:rPr>
          <w:rFonts w:ascii="Georgia" w:hAnsi="Georgia" w:cs="Arial"/>
          <w:b/>
          <w:sz w:val="22"/>
          <w:szCs w:val="22"/>
        </w:rPr>
      </w:pPr>
    </w:p>
    <w:p w14:paraId="2157FF13" w14:textId="77777777" w:rsidR="00434117" w:rsidRPr="0053569F" w:rsidRDefault="00434117" w:rsidP="0053569F">
      <w:pPr>
        <w:pStyle w:val="ListParagraph"/>
        <w:numPr>
          <w:ilvl w:val="0"/>
          <w:numId w:val="1"/>
        </w:numPr>
        <w:ind w:right="576"/>
        <w:rPr>
          <w:rFonts w:ascii="Georgia" w:hAnsi="Georgia" w:cs="Arial"/>
          <w:b/>
          <w:sz w:val="22"/>
          <w:szCs w:val="22"/>
        </w:rPr>
      </w:pPr>
      <w:r>
        <w:rPr>
          <w:rFonts w:ascii="Georgia" w:hAnsi="Georgia" w:cs="Arial"/>
          <w:b/>
          <w:sz w:val="22"/>
          <w:szCs w:val="22"/>
        </w:rPr>
        <w:t xml:space="preserve">Lending trust principal: </w:t>
      </w:r>
      <w:r>
        <w:rPr>
          <w:rFonts w:ascii="Georgia" w:hAnsi="Georgia" w:cs="Arial"/>
          <w:sz w:val="22"/>
          <w:szCs w:val="22"/>
        </w:rPr>
        <w:t>The trustee can lend the trust principal to the applicant and/or spouse without adequate interest or security.</w:t>
      </w:r>
    </w:p>
    <w:p w14:paraId="47E150F2" w14:textId="77777777" w:rsidR="004117FD" w:rsidRPr="00434117" w:rsidRDefault="004117FD" w:rsidP="00434117">
      <w:pPr>
        <w:tabs>
          <w:tab w:val="left" w:pos="2880"/>
          <w:tab w:val="left" w:pos="10080"/>
        </w:tabs>
        <w:suppressAutoHyphens/>
        <w:spacing w:line="260" w:lineRule="exact"/>
        <w:rPr>
          <w:rFonts w:ascii="Georgia" w:hAnsi="Georgia" w:cs="Arial"/>
          <w:sz w:val="22"/>
          <w:szCs w:val="22"/>
        </w:rPr>
      </w:pPr>
    </w:p>
    <w:p w14:paraId="29EB33F9" w14:textId="77777777" w:rsidR="00C100CF" w:rsidRPr="00ED2B40" w:rsidRDefault="00A458CF" w:rsidP="00ED2B40">
      <w:pPr>
        <w:pStyle w:val="Heading1"/>
        <w:ind w:left="540"/>
        <w:rPr>
          <w:rFonts w:ascii="Georgia" w:hAnsi="Georgia"/>
          <w:b/>
          <w:i w:val="0"/>
          <w:color w:val="C00000"/>
          <w:sz w:val="24"/>
          <w:szCs w:val="24"/>
        </w:rPr>
      </w:pPr>
      <w:r w:rsidRPr="00ED2B40">
        <w:rPr>
          <w:rFonts w:ascii="Georgia" w:hAnsi="Georgia"/>
          <w:b/>
          <w:i w:val="0"/>
          <w:color w:val="C00000"/>
          <w:sz w:val="24"/>
          <w:szCs w:val="24"/>
        </w:rPr>
        <w:t>Questions</w:t>
      </w:r>
    </w:p>
    <w:p w14:paraId="3F35AC0D" w14:textId="77777777" w:rsidR="00C100CF" w:rsidRDefault="00C100CF" w:rsidP="00A56D1A">
      <w:pPr>
        <w:ind w:left="576" w:right="576"/>
        <w:rPr>
          <w:rFonts w:ascii="Georgia" w:hAnsi="Georgia"/>
          <w:sz w:val="22"/>
          <w:szCs w:val="22"/>
        </w:rPr>
      </w:pPr>
    </w:p>
    <w:p w14:paraId="09164B56" w14:textId="77777777" w:rsidR="00A458CF" w:rsidRDefault="00C100CF" w:rsidP="00A56D1A">
      <w:pPr>
        <w:ind w:left="576" w:right="576"/>
        <w:rPr>
          <w:rFonts w:ascii="Georgia" w:hAnsi="Georgia" w:cs="Arial"/>
          <w:sz w:val="22"/>
          <w:szCs w:val="22"/>
        </w:rPr>
      </w:pPr>
      <w:r w:rsidRPr="00C100CF">
        <w:rPr>
          <w:rFonts w:ascii="Georgia" w:hAnsi="Georgia" w:cs="Arial"/>
          <w:sz w:val="22"/>
          <w:szCs w:val="22"/>
        </w:rPr>
        <w:t>If you have any questions about this memo, please have your MEC designee contact the Policy Hotline.</w:t>
      </w:r>
    </w:p>
    <w:p w14:paraId="3754E933" w14:textId="77777777" w:rsidR="00434117" w:rsidRDefault="00434117" w:rsidP="00A56D1A">
      <w:pPr>
        <w:ind w:left="576" w:right="576"/>
        <w:rPr>
          <w:rFonts w:ascii="Georgia" w:hAnsi="Georgia" w:cs="Arial"/>
          <w:sz w:val="22"/>
          <w:szCs w:val="22"/>
        </w:rPr>
      </w:pPr>
    </w:p>
    <w:p w14:paraId="4F8323E4" w14:textId="77777777" w:rsidR="009A0E9B" w:rsidRDefault="009A0E9B" w:rsidP="009A0E9B">
      <w:pPr>
        <w:ind w:right="576"/>
        <w:rPr>
          <w:rFonts w:ascii="Georgia" w:hAnsi="Georgia" w:cs="Arial"/>
          <w:sz w:val="22"/>
          <w:szCs w:val="22"/>
        </w:rPr>
      </w:pPr>
    </w:p>
    <w:p w14:paraId="7504BDE9" w14:textId="77777777" w:rsidR="006F5A0F" w:rsidRDefault="006F5A0F" w:rsidP="009A0E9B">
      <w:pPr>
        <w:ind w:right="576"/>
        <w:rPr>
          <w:rFonts w:ascii="Georgia" w:hAnsi="Georgia" w:cs="Arial"/>
          <w:sz w:val="22"/>
          <w:szCs w:val="22"/>
        </w:rPr>
      </w:pPr>
    </w:p>
    <w:p w14:paraId="51F69CEA" w14:textId="77777777" w:rsidR="006D4F1D" w:rsidRDefault="006D4F1D" w:rsidP="009A0E9B">
      <w:pPr>
        <w:ind w:right="576"/>
        <w:rPr>
          <w:rFonts w:ascii="Georgia" w:hAnsi="Georgia" w:cs="Arial"/>
          <w:sz w:val="22"/>
          <w:szCs w:val="22"/>
        </w:rPr>
      </w:pPr>
    </w:p>
    <w:p w14:paraId="7CEE8DDA" w14:textId="77777777" w:rsidR="009A0E9B" w:rsidRPr="00A56D1A" w:rsidRDefault="009A0E9B" w:rsidP="006F5A0F">
      <w:pPr>
        <w:ind w:left="5760"/>
        <w:rPr>
          <w:rFonts w:ascii="Georgia" w:hAnsi="Georgia" w:cs="Arial"/>
          <w:sz w:val="22"/>
          <w:szCs w:val="22"/>
        </w:rPr>
      </w:pPr>
      <w:r>
        <w:rPr>
          <w:rStyle w:val="Hyperlink"/>
          <w:rFonts w:ascii="Bookman Old Style" w:hAnsi="Bookman Old Style"/>
          <w:i/>
          <w:color w:val="auto"/>
          <w:u w:val="none"/>
        </w:rPr>
        <w:t xml:space="preserve">         </w:t>
      </w:r>
      <w:r w:rsidRPr="009A0E9B">
        <w:rPr>
          <w:rStyle w:val="Hyperlink"/>
          <w:rFonts w:ascii="Bookman Old Style" w:hAnsi="Bookman Old Style"/>
          <w:i/>
          <w:color w:val="auto"/>
          <w:u w:val="none"/>
        </w:rPr>
        <w:t xml:space="preserve">Follow us on Twitter </w:t>
      </w:r>
      <w:hyperlink r:id="rId8" w:history="1">
        <w:r>
          <w:rPr>
            <w:rStyle w:val="Hyperlink"/>
            <w:rFonts w:ascii="Bookman Old Style" w:hAnsi="Bookman Old Style"/>
            <w:b/>
            <w:i/>
          </w:rPr>
          <w:t>@MassHealth</w:t>
        </w:r>
      </w:hyperlink>
    </w:p>
    <w:sectPr w:rsidR="009A0E9B" w:rsidRPr="00A56D1A" w:rsidSect="00DF7E13">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E74BA" w14:textId="77777777" w:rsidR="00426FCA" w:rsidRDefault="00426FCA">
      <w:r>
        <w:separator/>
      </w:r>
    </w:p>
  </w:endnote>
  <w:endnote w:type="continuationSeparator" w:id="0">
    <w:p w14:paraId="55F22CCD" w14:textId="77777777" w:rsidR="00426FCA" w:rsidRDefault="0042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898D2" w14:textId="77777777" w:rsidR="00426FCA" w:rsidRDefault="00426FCA">
      <w:r>
        <w:separator/>
      </w:r>
    </w:p>
  </w:footnote>
  <w:footnote w:type="continuationSeparator" w:id="0">
    <w:p w14:paraId="13EA441D" w14:textId="77777777" w:rsidR="00426FCA" w:rsidRDefault="0042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31C52"/>
    <w:multiLevelType w:val="hybridMultilevel"/>
    <w:tmpl w:val="C934611A"/>
    <w:lvl w:ilvl="0" w:tplc="737CBA6C">
      <w:start w:val="1"/>
      <w:numFmt w:val="decimal"/>
      <w:lvlText w:val="%1."/>
      <w:lvlJc w:val="left"/>
      <w:pPr>
        <w:ind w:left="1350"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27651617"/>
    <w:multiLevelType w:val="hybridMultilevel"/>
    <w:tmpl w:val="3A3C81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33FF"/>
    <w:rsid w:val="000149FE"/>
    <w:rsid w:val="000273A8"/>
    <w:rsid w:val="00032BB1"/>
    <w:rsid w:val="00032C02"/>
    <w:rsid w:val="00041220"/>
    <w:rsid w:val="00080FFB"/>
    <w:rsid w:val="00095863"/>
    <w:rsid w:val="000A1EDB"/>
    <w:rsid w:val="000A2664"/>
    <w:rsid w:val="000E3E10"/>
    <w:rsid w:val="00113E7F"/>
    <w:rsid w:val="0014797D"/>
    <w:rsid w:val="00153E24"/>
    <w:rsid w:val="001655EC"/>
    <w:rsid w:val="00183784"/>
    <w:rsid w:val="00183BA1"/>
    <w:rsid w:val="0018768A"/>
    <w:rsid w:val="00195C8A"/>
    <w:rsid w:val="0019736A"/>
    <w:rsid w:val="00197D44"/>
    <w:rsid w:val="001A25AC"/>
    <w:rsid w:val="001A477C"/>
    <w:rsid w:val="001A6618"/>
    <w:rsid w:val="001A7499"/>
    <w:rsid w:val="001D5FD0"/>
    <w:rsid w:val="001E72D4"/>
    <w:rsid w:val="001F1DDC"/>
    <w:rsid w:val="00200899"/>
    <w:rsid w:val="002018B3"/>
    <w:rsid w:val="0021007D"/>
    <w:rsid w:val="00221668"/>
    <w:rsid w:val="00232E91"/>
    <w:rsid w:val="00263F44"/>
    <w:rsid w:val="00265FBB"/>
    <w:rsid w:val="002730F2"/>
    <w:rsid w:val="00277DF6"/>
    <w:rsid w:val="0029448A"/>
    <w:rsid w:val="002C40EA"/>
    <w:rsid w:val="002E3B6A"/>
    <w:rsid w:val="002E5188"/>
    <w:rsid w:val="003065DA"/>
    <w:rsid w:val="00352C25"/>
    <w:rsid w:val="003737F7"/>
    <w:rsid w:val="00374688"/>
    <w:rsid w:val="0038071C"/>
    <w:rsid w:val="0038617D"/>
    <w:rsid w:val="003869FD"/>
    <w:rsid w:val="003A31CA"/>
    <w:rsid w:val="003A6E1E"/>
    <w:rsid w:val="0040045F"/>
    <w:rsid w:val="00401328"/>
    <w:rsid w:val="004117FD"/>
    <w:rsid w:val="004153B5"/>
    <w:rsid w:val="00426FCA"/>
    <w:rsid w:val="00427DA0"/>
    <w:rsid w:val="00434117"/>
    <w:rsid w:val="004373B7"/>
    <w:rsid w:val="00437C15"/>
    <w:rsid w:val="00440A55"/>
    <w:rsid w:val="00450E46"/>
    <w:rsid w:val="00461793"/>
    <w:rsid w:val="0047107E"/>
    <w:rsid w:val="004A5518"/>
    <w:rsid w:val="004D4BC9"/>
    <w:rsid w:val="004F217B"/>
    <w:rsid w:val="00511043"/>
    <w:rsid w:val="005237ED"/>
    <w:rsid w:val="00526EAB"/>
    <w:rsid w:val="0053569F"/>
    <w:rsid w:val="0054631F"/>
    <w:rsid w:val="005763C9"/>
    <w:rsid w:val="00590E06"/>
    <w:rsid w:val="0059389D"/>
    <w:rsid w:val="005A3602"/>
    <w:rsid w:val="005A5C18"/>
    <w:rsid w:val="005B3A7D"/>
    <w:rsid w:val="005C33E4"/>
    <w:rsid w:val="005C7D99"/>
    <w:rsid w:val="00621236"/>
    <w:rsid w:val="006233DC"/>
    <w:rsid w:val="0064342E"/>
    <w:rsid w:val="00667341"/>
    <w:rsid w:val="00676163"/>
    <w:rsid w:val="006A7DBE"/>
    <w:rsid w:val="006C6550"/>
    <w:rsid w:val="006D49AA"/>
    <w:rsid w:val="006D4F1D"/>
    <w:rsid w:val="006F5A0F"/>
    <w:rsid w:val="00700C89"/>
    <w:rsid w:val="00702352"/>
    <w:rsid w:val="00757D07"/>
    <w:rsid w:val="00776856"/>
    <w:rsid w:val="007846BC"/>
    <w:rsid w:val="007C63E4"/>
    <w:rsid w:val="007D38A4"/>
    <w:rsid w:val="007F1CCF"/>
    <w:rsid w:val="007F4A56"/>
    <w:rsid w:val="008031E5"/>
    <w:rsid w:val="00811DAF"/>
    <w:rsid w:val="008151A9"/>
    <w:rsid w:val="0082380C"/>
    <w:rsid w:val="0082579E"/>
    <w:rsid w:val="0082594F"/>
    <w:rsid w:val="008268F2"/>
    <w:rsid w:val="0084255D"/>
    <w:rsid w:val="00847F68"/>
    <w:rsid w:val="00857CCC"/>
    <w:rsid w:val="008705F0"/>
    <w:rsid w:val="008708FF"/>
    <w:rsid w:val="00894FF0"/>
    <w:rsid w:val="008A3B9D"/>
    <w:rsid w:val="008A6A30"/>
    <w:rsid w:val="008D036A"/>
    <w:rsid w:val="00902810"/>
    <w:rsid w:val="00911525"/>
    <w:rsid w:val="00930D16"/>
    <w:rsid w:val="0093651D"/>
    <w:rsid w:val="009522D8"/>
    <w:rsid w:val="00965D5A"/>
    <w:rsid w:val="00977415"/>
    <w:rsid w:val="009841A9"/>
    <w:rsid w:val="009A0E9B"/>
    <w:rsid w:val="009B4513"/>
    <w:rsid w:val="009D15FA"/>
    <w:rsid w:val="009D35D6"/>
    <w:rsid w:val="009D59BC"/>
    <w:rsid w:val="009F7B45"/>
    <w:rsid w:val="00A024A3"/>
    <w:rsid w:val="00A0380C"/>
    <w:rsid w:val="00A15EDB"/>
    <w:rsid w:val="00A235E5"/>
    <w:rsid w:val="00A32028"/>
    <w:rsid w:val="00A4129D"/>
    <w:rsid w:val="00A422EC"/>
    <w:rsid w:val="00A458CF"/>
    <w:rsid w:val="00A52BB7"/>
    <w:rsid w:val="00A56D1A"/>
    <w:rsid w:val="00A570CF"/>
    <w:rsid w:val="00A6358F"/>
    <w:rsid w:val="00A63CB3"/>
    <w:rsid w:val="00A9166D"/>
    <w:rsid w:val="00AA5B85"/>
    <w:rsid w:val="00AB155F"/>
    <w:rsid w:val="00AD2EF9"/>
    <w:rsid w:val="00AD4B0C"/>
    <w:rsid w:val="00AF6898"/>
    <w:rsid w:val="00B03A46"/>
    <w:rsid w:val="00B058D1"/>
    <w:rsid w:val="00B12A3B"/>
    <w:rsid w:val="00B327EA"/>
    <w:rsid w:val="00B44F42"/>
    <w:rsid w:val="00B60798"/>
    <w:rsid w:val="00B964AA"/>
    <w:rsid w:val="00BD0F64"/>
    <w:rsid w:val="00BE49D9"/>
    <w:rsid w:val="00C046E9"/>
    <w:rsid w:val="00C072C2"/>
    <w:rsid w:val="00C100CF"/>
    <w:rsid w:val="00C16CEA"/>
    <w:rsid w:val="00C67DD9"/>
    <w:rsid w:val="00C84B58"/>
    <w:rsid w:val="00C912E7"/>
    <w:rsid w:val="00C9185E"/>
    <w:rsid w:val="00CB3D77"/>
    <w:rsid w:val="00CC7871"/>
    <w:rsid w:val="00CF0AAB"/>
    <w:rsid w:val="00CF6A15"/>
    <w:rsid w:val="00D20897"/>
    <w:rsid w:val="00D2728B"/>
    <w:rsid w:val="00D33ED2"/>
    <w:rsid w:val="00D55314"/>
    <w:rsid w:val="00D757EC"/>
    <w:rsid w:val="00D76690"/>
    <w:rsid w:val="00D93D6D"/>
    <w:rsid w:val="00DD509A"/>
    <w:rsid w:val="00DD7B9C"/>
    <w:rsid w:val="00DE4AD0"/>
    <w:rsid w:val="00DF15B5"/>
    <w:rsid w:val="00DF2BB6"/>
    <w:rsid w:val="00DF5421"/>
    <w:rsid w:val="00DF7E13"/>
    <w:rsid w:val="00E212AA"/>
    <w:rsid w:val="00E25774"/>
    <w:rsid w:val="00E32ACD"/>
    <w:rsid w:val="00E332BF"/>
    <w:rsid w:val="00E40C87"/>
    <w:rsid w:val="00E70EF5"/>
    <w:rsid w:val="00ED2B40"/>
    <w:rsid w:val="00ED5E99"/>
    <w:rsid w:val="00EF0846"/>
    <w:rsid w:val="00F00371"/>
    <w:rsid w:val="00F074A5"/>
    <w:rsid w:val="00F12CB8"/>
    <w:rsid w:val="00F1656D"/>
    <w:rsid w:val="00F3494C"/>
    <w:rsid w:val="00F35D39"/>
    <w:rsid w:val="00F44BFA"/>
    <w:rsid w:val="00F51343"/>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8F858"/>
  <w15:docId w15:val="{70F53A01-0D3D-4A5F-B607-2B2335ED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ListParagraph">
    <w:name w:val="List Paragraph"/>
    <w:basedOn w:val="Normal"/>
    <w:uiPriority w:val="34"/>
    <w:qFormat/>
    <w:rsid w:val="00535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masshealt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4244</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Eligibility Operations Memo 20-05</vt:lpstr>
    </vt:vector>
  </TitlesOfParts>
  <Company>DMA</Company>
  <LinksUpToDate>false</LinksUpToDate>
  <CharactersWithSpaces>5099</CharactersWithSpaces>
  <SharedDoc>false</SharedDoc>
  <HLinks>
    <vt:vector size="6" baseType="variant">
      <vt:variant>
        <vt:i4>6946870</vt:i4>
      </vt:variant>
      <vt:variant>
        <vt:i4>3</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Operations Memo 20-05</dc:title>
  <dc:subject>Determination of Countability of Irrevocable Trusts</dc:subject>
  <dc:creator>EOHHS</dc:creator>
  <cp:keywords>irrevocable trusts</cp:keywords>
  <cp:lastModifiedBy>Simms, Latisha (EHS)</cp:lastModifiedBy>
  <cp:revision>2</cp:revision>
  <cp:lastPrinted>2020-02-12T19:48:00Z</cp:lastPrinted>
  <dcterms:created xsi:type="dcterms:W3CDTF">2020-02-18T17:09:00Z</dcterms:created>
  <dcterms:modified xsi:type="dcterms:W3CDTF">2020-02-18T17:09:00Z</dcterms:modified>
</cp:coreProperties>
</file>