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FC1311" wp14:editId="50745A6B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:rsidR="009A3F81" w:rsidRPr="00943F98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</w:rPr>
      </w:pPr>
      <w:r w:rsidRPr="009A3F81">
        <w:rPr>
          <w:rFonts w:ascii="Bookman Old Style" w:hAnsi="Bookman Old Style"/>
          <w:b/>
        </w:rPr>
        <w:t>Executive Office of Health and Human Services</w:t>
      </w:r>
      <w:r w:rsidRPr="009A3F81">
        <w:rPr>
          <w:rFonts w:ascii="Bookman Old Style" w:hAnsi="Bookman Old Style"/>
          <w:b/>
        </w:rPr>
        <w:br/>
      </w:r>
      <w:r w:rsidRPr="00943F98">
        <w:rPr>
          <w:rFonts w:ascii="Bookman Old Style" w:hAnsi="Bookman Old Style"/>
          <w:b/>
          <w:i/>
        </w:rPr>
        <w:t>Office of Medicaid</w:t>
      </w:r>
    </w:p>
    <w:p w:rsidR="009A3F81" w:rsidRPr="004C1488" w:rsidRDefault="009A3F81" w:rsidP="009A3F81">
      <w:pPr>
        <w:tabs>
          <w:tab w:val="left" w:pos="1800"/>
        </w:tabs>
        <w:ind w:left="1800"/>
      </w:pPr>
      <w:r w:rsidRPr="004C1488">
        <w:rPr>
          <w:rFonts w:ascii="Bookman Old Style" w:hAnsi="Bookman Old Style"/>
          <w:sz w:val="18"/>
        </w:rPr>
        <w:t>www.mass.gov/masshealth</w:t>
      </w:r>
    </w:p>
    <w:p w:rsidR="004117FD" w:rsidRPr="00943F98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A32028">
        <w:rPr>
          <w:rFonts w:ascii="Georgia" w:hAnsi="Georgia"/>
          <w:b/>
          <w:color w:val="990000"/>
        </w:rPr>
        <w:t xml:space="preserve">Eligibility Operations Memo </w:t>
      </w:r>
      <w:r w:rsidR="00155AE5">
        <w:rPr>
          <w:rFonts w:ascii="Georgia" w:hAnsi="Georgia"/>
          <w:b/>
          <w:color w:val="990000"/>
        </w:rPr>
        <w:t>20-</w:t>
      </w:r>
      <w:r w:rsidR="00603E94">
        <w:rPr>
          <w:rFonts w:ascii="Georgia" w:hAnsi="Georgia"/>
          <w:b/>
          <w:color w:val="990000"/>
        </w:rPr>
        <w:t>15</w:t>
      </w:r>
    </w:p>
    <w:p w:rsidR="004117FD" w:rsidRPr="00A32028" w:rsidRDefault="00155AE5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July</w:t>
      </w:r>
      <w:r w:rsidR="004117FD">
        <w:rPr>
          <w:rFonts w:ascii="Georgia" w:hAnsi="Georgia"/>
          <w:b/>
          <w:color w:val="990000"/>
        </w:rPr>
        <w:t xml:space="preserve"> </w:t>
      </w:r>
      <w:r w:rsidR="00603E94">
        <w:rPr>
          <w:rFonts w:ascii="Georgia" w:hAnsi="Georgia"/>
          <w:b/>
          <w:color w:val="990000"/>
        </w:rPr>
        <w:t>2</w:t>
      </w:r>
      <w:r w:rsidR="00877D2D">
        <w:rPr>
          <w:rFonts w:ascii="Georgia" w:hAnsi="Georgia"/>
          <w:b/>
          <w:color w:val="990000"/>
        </w:rPr>
        <w:t>1</w:t>
      </w:r>
      <w:r w:rsidR="004117FD">
        <w:rPr>
          <w:rFonts w:ascii="Georgia" w:hAnsi="Georgia"/>
          <w:b/>
          <w:color w:val="990000"/>
        </w:rPr>
        <w:t>,</w:t>
      </w:r>
      <w:r w:rsidR="004117FD" w:rsidRPr="00A32028">
        <w:rPr>
          <w:rFonts w:ascii="Georgia" w:hAnsi="Georgia"/>
          <w:b/>
          <w:color w:val="990000"/>
        </w:rPr>
        <w:t xml:space="preserve"> </w:t>
      </w:r>
      <w:r>
        <w:rPr>
          <w:rFonts w:ascii="Georgia" w:hAnsi="Georgia"/>
          <w:b/>
          <w:color w:val="990000"/>
        </w:rPr>
        <w:t>2020</w:t>
      </w:r>
    </w:p>
    <w:p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>Deputy Policy Director for Eligibility</w:t>
      </w:r>
      <w:r w:rsidR="00603E94">
        <w:rPr>
          <w:rFonts w:ascii="Georgia" w:hAnsi="Georgia"/>
        </w:rPr>
        <w:t xml:space="preserve"> </w:t>
      </w:r>
      <w:r w:rsidR="00647F95">
        <w:rPr>
          <w:rFonts w:ascii="Georgia" w:hAnsi="Georgia"/>
        </w:rPr>
        <w:t>[signature of Heather Rossi]</w:t>
      </w:r>
    </w:p>
    <w:p w:rsidR="004117FD" w:rsidRPr="00943F98" w:rsidRDefault="004117FD" w:rsidP="00155AE5">
      <w:pPr>
        <w:tabs>
          <w:tab w:val="left" w:pos="900"/>
        </w:tabs>
        <w:spacing w:after="220"/>
        <w:ind w:left="900" w:right="576" w:hanging="900"/>
        <w:rPr>
          <w:rFonts w:ascii="Georgia" w:hAnsi="Georgia"/>
          <w:b/>
          <w:color w:val="990000"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155AE5" w:rsidRPr="00155AE5">
        <w:rPr>
          <w:rFonts w:ascii="Georgia" w:hAnsi="Georgia"/>
          <w:b/>
          <w:color w:val="990000"/>
        </w:rPr>
        <w:t>Permanent Family Assistance Coverage Expansion for MassHealth Chronic Disease and Rehabilitation Hospitals and Nursing Facilities</w:t>
      </w:r>
    </w:p>
    <w:p w:rsidR="005B3A7D" w:rsidRPr="00155AE5" w:rsidRDefault="00155AE5" w:rsidP="00155AE5">
      <w:pPr>
        <w:pStyle w:val="Heading2"/>
        <w:rPr>
          <w:color w:val="990000"/>
          <w:sz w:val="24"/>
          <w:szCs w:val="24"/>
        </w:rPr>
      </w:pPr>
      <w:r w:rsidRPr="00155AE5">
        <w:rPr>
          <w:color w:val="990000"/>
          <w:sz w:val="24"/>
          <w:szCs w:val="24"/>
        </w:rPr>
        <w:t>Introduction</w:t>
      </w:r>
      <w:r w:rsidR="005B3A7D" w:rsidRPr="00155AE5">
        <w:rPr>
          <w:color w:val="990000"/>
          <w:sz w:val="24"/>
          <w:szCs w:val="24"/>
        </w:rPr>
        <w:t xml:space="preserve"> </w:t>
      </w:r>
    </w:p>
    <w:p w:rsidR="002F03DE" w:rsidRDefault="00155AE5" w:rsidP="00155AE5">
      <w:pPr>
        <w:spacing w:after="220"/>
        <w:ind w:right="576"/>
        <w:rPr>
          <w:rFonts w:ascii="Georgia" w:hAnsi="Georgia" w:cs="Arial"/>
        </w:rPr>
      </w:pPr>
      <w:r w:rsidRPr="00155AE5">
        <w:rPr>
          <w:rFonts w:ascii="Georgia" w:hAnsi="Georgia" w:cs="Arial"/>
        </w:rPr>
        <w:t xml:space="preserve">In response to challenges around discharging patients to appropriate settings, MassHealth is implementing a permanent expansion of MassHealth Family Assistance coverage for chronic disease and rehabilitation hospital (CDRH) services and nursing facility services. </w:t>
      </w:r>
    </w:p>
    <w:p w:rsidR="00155AE5" w:rsidRDefault="00155AE5" w:rsidP="00155AE5">
      <w:pPr>
        <w:spacing w:after="220"/>
        <w:ind w:right="576"/>
        <w:rPr>
          <w:rFonts w:ascii="Georgia" w:hAnsi="Georgia" w:cs="Arial"/>
        </w:rPr>
      </w:pPr>
      <w:r w:rsidRPr="00155AE5">
        <w:rPr>
          <w:rFonts w:ascii="Georgia" w:hAnsi="Georgia" w:cs="Arial"/>
        </w:rPr>
        <w:t xml:space="preserve">This change is effective </w:t>
      </w:r>
      <w:r w:rsidR="0069436C" w:rsidRPr="000108E5">
        <w:rPr>
          <w:rFonts w:ascii="Georgia" w:hAnsi="Georgia" w:cs="Arial"/>
        </w:rPr>
        <w:t xml:space="preserve">July </w:t>
      </w:r>
      <w:r w:rsidR="00B777CA" w:rsidRPr="000108E5">
        <w:rPr>
          <w:rFonts w:ascii="Georgia" w:hAnsi="Georgia" w:cs="Arial"/>
        </w:rPr>
        <w:t>10</w:t>
      </w:r>
      <w:r w:rsidRPr="000108E5">
        <w:rPr>
          <w:rFonts w:ascii="Georgia" w:hAnsi="Georgia" w:cs="Arial"/>
        </w:rPr>
        <w:t>, 2020</w:t>
      </w:r>
      <w:r w:rsidR="00786707">
        <w:rPr>
          <w:rFonts w:ascii="Georgia" w:hAnsi="Georgia" w:cs="Arial"/>
        </w:rPr>
        <w:t>,</w:t>
      </w:r>
      <w:r w:rsidRPr="00155AE5">
        <w:rPr>
          <w:rFonts w:ascii="Georgia" w:hAnsi="Georgia" w:cs="Arial"/>
        </w:rPr>
        <w:t xml:space="preserve"> and applies to all CDRHs and nursing facilities that are MassHealth providers for dates of service beginning March 11, 2020.</w:t>
      </w:r>
    </w:p>
    <w:p w:rsidR="005B3A7D" w:rsidRPr="00C12AD1" w:rsidRDefault="00155AE5" w:rsidP="007F74B0">
      <w:pPr>
        <w:pStyle w:val="Heading2"/>
        <w:rPr>
          <w:bCs/>
          <w:color w:val="990000"/>
          <w:sz w:val="24"/>
          <w:szCs w:val="24"/>
        </w:rPr>
      </w:pPr>
      <w:r>
        <w:rPr>
          <w:color w:val="990000"/>
          <w:sz w:val="24"/>
          <w:szCs w:val="24"/>
        </w:rPr>
        <w:t>Changes to MassHealth Family Assistance Coverage</w:t>
      </w:r>
    </w:p>
    <w:p w:rsidR="005E0576" w:rsidRDefault="005E0576" w:rsidP="003C0130">
      <w:pPr>
        <w:spacing w:after="220"/>
        <w:ind w:right="576"/>
        <w:rPr>
          <w:rFonts w:ascii="Georgia" w:hAnsi="Georgia" w:cs="Arial"/>
        </w:rPr>
      </w:pPr>
      <w:r w:rsidRPr="005E0576">
        <w:rPr>
          <w:rFonts w:ascii="Georgia" w:hAnsi="Georgia" w:cs="Arial"/>
        </w:rPr>
        <w:t>For dates of service beginning March 11, 2020, MassHealth will cover nursing facility services up to a maximum of 100 days per admission to a nursing facility for MassHealth Family Assistance members. If an individual admitted to a nursing facility under MassHealth Family Assistance coverage remains in the nursing facility for longer than 100 days after admission, the individual must apply for MassHealth long-term care coverage</w:t>
      </w:r>
      <w:r w:rsidR="0069436C">
        <w:rPr>
          <w:rFonts w:ascii="Georgia" w:hAnsi="Georgia" w:cs="Arial"/>
        </w:rPr>
        <w:t>.</w:t>
      </w:r>
      <w:r w:rsidRPr="005E0576">
        <w:rPr>
          <w:rFonts w:ascii="Georgia" w:hAnsi="Georgia" w:cs="Arial"/>
        </w:rPr>
        <w:t xml:space="preserve"> MassHealth will not pay for nursing facility services beyond the first 100 days per admission unless such individual is determined eligible for MassHealth Standard for </w:t>
      </w:r>
      <w:r w:rsidR="00E119BC">
        <w:rPr>
          <w:rFonts w:ascii="Georgia" w:hAnsi="Georgia" w:cs="Arial"/>
        </w:rPr>
        <w:t>l</w:t>
      </w:r>
      <w:r w:rsidR="00E119BC" w:rsidRPr="005E0576">
        <w:rPr>
          <w:rFonts w:ascii="Georgia" w:hAnsi="Georgia" w:cs="Arial"/>
        </w:rPr>
        <w:t>ong</w:t>
      </w:r>
      <w:r w:rsidRPr="005E0576">
        <w:rPr>
          <w:rFonts w:ascii="Georgia" w:hAnsi="Georgia" w:cs="Arial"/>
        </w:rPr>
        <w:t>-</w:t>
      </w:r>
      <w:r w:rsidR="00E119BC">
        <w:rPr>
          <w:rFonts w:ascii="Georgia" w:hAnsi="Georgia" w:cs="Arial"/>
        </w:rPr>
        <w:t>t</w:t>
      </w:r>
      <w:r w:rsidR="00E119BC" w:rsidRPr="005E0576">
        <w:rPr>
          <w:rFonts w:ascii="Georgia" w:hAnsi="Georgia" w:cs="Arial"/>
        </w:rPr>
        <w:t>erm</w:t>
      </w:r>
      <w:r w:rsidRPr="005E0576">
        <w:rPr>
          <w:rFonts w:ascii="Georgia" w:hAnsi="Georgia" w:cs="Arial"/>
        </w:rPr>
        <w:t>-</w:t>
      </w:r>
      <w:r w:rsidR="00E119BC">
        <w:rPr>
          <w:rFonts w:ascii="Georgia" w:hAnsi="Georgia" w:cs="Arial"/>
        </w:rPr>
        <w:t>c</w:t>
      </w:r>
      <w:r w:rsidR="00E119BC" w:rsidRPr="005E0576">
        <w:rPr>
          <w:rFonts w:ascii="Georgia" w:hAnsi="Georgia" w:cs="Arial"/>
        </w:rPr>
        <w:t xml:space="preserve">are </w:t>
      </w:r>
      <w:r w:rsidRPr="005E0576">
        <w:rPr>
          <w:rFonts w:ascii="Georgia" w:hAnsi="Georgia" w:cs="Arial"/>
        </w:rPr>
        <w:t xml:space="preserve">residents </w:t>
      </w:r>
      <w:r w:rsidR="00786707">
        <w:rPr>
          <w:rFonts w:ascii="Georgia" w:hAnsi="Georgia" w:cs="Arial"/>
        </w:rPr>
        <w:t xml:space="preserve">under </w:t>
      </w:r>
      <w:r w:rsidRPr="005E0576">
        <w:rPr>
          <w:rFonts w:ascii="Georgia" w:hAnsi="Georgia" w:cs="Arial"/>
        </w:rPr>
        <w:t>130</w:t>
      </w:r>
      <w:r w:rsidR="00164C91">
        <w:rPr>
          <w:rFonts w:ascii="Georgia" w:hAnsi="Georgia" w:cs="Arial"/>
        </w:rPr>
        <w:t xml:space="preserve"> </w:t>
      </w:r>
      <w:r w:rsidRPr="005E0576">
        <w:rPr>
          <w:rFonts w:ascii="Georgia" w:hAnsi="Georgia" w:cs="Arial"/>
        </w:rPr>
        <w:t>CMR 519.006(A)(B).</w:t>
      </w:r>
    </w:p>
    <w:p w:rsidR="007F74B0" w:rsidRDefault="005E0576" w:rsidP="003C0130">
      <w:pPr>
        <w:spacing w:after="220"/>
        <w:ind w:right="576"/>
        <w:rPr>
          <w:rFonts w:ascii="Georgia" w:hAnsi="Georgia" w:cs="Arial"/>
          <w:lang w:val="fr-WINDIES"/>
        </w:rPr>
        <w:sectPr w:rsidR="007F74B0" w:rsidSect="009A3F81">
          <w:headerReference w:type="first" r:id="rId10"/>
          <w:footerReference w:type="first" r:id="rId11"/>
          <w:type w:val="continuous"/>
          <w:pgSz w:w="12240" w:h="15840" w:code="1"/>
          <w:pgMar w:top="216" w:right="1080" w:bottom="432" w:left="1584" w:header="180" w:footer="72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docGrid w:linePitch="299"/>
        </w:sectPr>
      </w:pPr>
      <w:proofErr w:type="gramStart"/>
      <w:r w:rsidRPr="005E0576">
        <w:rPr>
          <w:rFonts w:ascii="Georgia" w:hAnsi="Georgia" w:cs="Arial"/>
        </w:rPr>
        <w:t xml:space="preserve">For dates of service beginning March 11, 2020, and notwithstanding 130 CMR 435.418: </w:t>
      </w:r>
      <w:r w:rsidRPr="00BB5736">
        <w:rPr>
          <w:rFonts w:ascii="Georgia" w:hAnsi="Georgia" w:cs="Arial"/>
          <w:i/>
        </w:rPr>
        <w:t>Service Limitations</w:t>
      </w:r>
      <w:r w:rsidRPr="005E0576">
        <w:rPr>
          <w:rFonts w:ascii="Georgia" w:hAnsi="Georgia" w:cs="Arial"/>
        </w:rPr>
        <w:t>, MassHealth will cover chronic disease and rehabilitation inpatient services up to a maximum of 100 days per admission to a CDRH for MassHealth Family Assistance members.</w:t>
      </w:r>
      <w:proofErr w:type="gramEnd"/>
      <w:r w:rsidR="002F03DE">
        <w:rPr>
          <w:rFonts w:ascii="Georgia" w:hAnsi="Georgia" w:cs="Arial"/>
        </w:rPr>
        <w:t xml:space="preserve"> </w:t>
      </w:r>
      <w:r w:rsidR="002F03DE" w:rsidRPr="000E2008">
        <w:rPr>
          <w:rFonts w:ascii="Georgia" w:eastAsia="Calibri" w:hAnsi="Georgia" w:cs="Calibri"/>
          <w:iCs/>
          <w:color w:val="000000"/>
        </w:rPr>
        <w:t xml:space="preserve">If an individual admitted to a CDRH under MassHealth Family Assistance coverage </w:t>
      </w:r>
      <w:r w:rsidR="00CD7BE8" w:rsidRPr="000E2008">
        <w:rPr>
          <w:rFonts w:ascii="Georgia" w:eastAsia="Calibri" w:hAnsi="Georgia" w:cs="Calibri"/>
          <w:iCs/>
          <w:color w:val="000000"/>
        </w:rPr>
        <w:t>remain</w:t>
      </w:r>
      <w:r w:rsidR="00CD7BE8">
        <w:rPr>
          <w:rFonts w:ascii="Georgia" w:eastAsia="Calibri" w:hAnsi="Georgia" w:cs="Calibri"/>
          <w:iCs/>
          <w:color w:val="000000"/>
        </w:rPr>
        <w:t xml:space="preserve">s </w:t>
      </w:r>
      <w:r w:rsidR="00CD7BE8" w:rsidRPr="000E2008">
        <w:rPr>
          <w:rFonts w:ascii="Georgia" w:eastAsia="Calibri" w:hAnsi="Georgia" w:cs="Calibri"/>
          <w:iCs/>
          <w:color w:val="000000"/>
        </w:rPr>
        <w:t>in</w:t>
      </w:r>
      <w:r w:rsidR="002F03DE" w:rsidRPr="000E2008">
        <w:rPr>
          <w:rFonts w:ascii="Georgia" w:eastAsia="Calibri" w:hAnsi="Georgia" w:cs="Calibri"/>
          <w:iCs/>
          <w:color w:val="000000"/>
        </w:rPr>
        <w:t xml:space="preserve"> the CDRH for longer than 100 days after admission, the individual must apply for MassHealth long-term</w:t>
      </w:r>
      <w:r w:rsidR="00CD7BE8">
        <w:rPr>
          <w:rFonts w:ascii="Georgia" w:eastAsia="Calibri" w:hAnsi="Georgia" w:cs="Calibri"/>
          <w:iCs/>
          <w:color w:val="000000"/>
        </w:rPr>
        <w:t>-</w:t>
      </w:r>
      <w:r w:rsidR="002F03DE" w:rsidRPr="000E2008">
        <w:rPr>
          <w:rFonts w:ascii="Georgia" w:eastAsia="Calibri" w:hAnsi="Georgia" w:cs="Calibri"/>
          <w:iCs/>
          <w:color w:val="000000"/>
        </w:rPr>
        <w:t>care coverage</w:t>
      </w:r>
      <w:r w:rsidR="00BB5736">
        <w:rPr>
          <w:rFonts w:ascii="Georgia" w:eastAsia="Calibri" w:hAnsi="Georgia" w:cs="Calibri"/>
          <w:iCs/>
          <w:color w:val="000000"/>
        </w:rPr>
        <w:t>.</w:t>
      </w:r>
      <w:r w:rsidR="002F03DE" w:rsidRPr="000E2008">
        <w:rPr>
          <w:rFonts w:ascii="Georgia" w:eastAsia="Calibri" w:hAnsi="Georgia" w:cs="Calibri"/>
          <w:iCs/>
          <w:color w:val="000000"/>
        </w:rPr>
        <w:t xml:space="preserve"> MassHealth will not pay for </w:t>
      </w:r>
      <w:r w:rsidR="00B55CE3" w:rsidRPr="005E0576">
        <w:rPr>
          <w:rFonts w:ascii="Georgia" w:hAnsi="Georgia" w:cs="Arial"/>
        </w:rPr>
        <w:t>chronic disease and rehabilitation inpatient services</w:t>
      </w:r>
      <w:r w:rsidR="002F03DE" w:rsidRPr="000E2008">
        <w:rPr>
          <w:rFonts w:ascii="Georgia" w:eastAsia="Calibri" w:hAnsi="Georgia" w:cs="Calibri"/>
          <w:iCs/>
          <w:color w:val="000000"/>
        </w:rPr>
        <w:t xml:space="preserve"> beyond the first 100 days per admission unless </w:t>
      </w:r>
      <w:r w:rsidR="00CD7BE8">
        <w:rPr>
          <w:rFonts w:ascii="Georgia" w:eastAsia="Calibri" w:hAnsi="Georgia" w:cs="Calibri"/>
          <w:iCs/>
          <w:color w:val="000000"/>
        </w:rPr>
        <w:t>the</w:t>
      </w:r>
      <w:r w:rsidR="00CD7BE8" w:rsidRPr="000E2008">
        <w:rPr>
          <w:rFonts w:ascii="Georgia" w:eastAsia="Calibri" w:hAnsi="Georgia" w:cs="Calibri"/>
          <w:iCs/>
          <w:color w:val="000000"/>
        </w:rPr>
        <w:t xml:space="preserve"> </w:t>
      </w:r>
      <w:r w:rsidR="002F03DE" w:rsidRPr="000E2008">
        <w:rPr>
          <w:rFonts w:ascii="Georgia" w:eastAsia="Calibri" w:hAnsi="Georgia" w:cs="Calibri"/>
          <w:iCs/>
          <w:color w:val="000000"/>
        </w:rPr>
        <w:t xml:space="preserve">individual is determined eligible </w:t>
      </w:r>
      <w:r w:rsidR="002F03DE">
        <w:rPr>
          <w:rFonts w:ascii="Georgia" w:eastAsia="Calibri" w:hAnsi="Georgia" w:cs="Calibri"/>
          <w:iCs/>
          <w:color w:val="000000"/>
        </w:rPr>
        <w:t>for MassHealth Standard</w:t>
      </w:r>
      <w:r w:rsidR="002F03DE" w:rsidRPr="0040638C">
        <w:rPr>
          <w:rFonts w:ascii="Georgia" w:eastAsia="Calibri" w:hAnsi="Georgia" w:cs="Calibri"/>
          <w:iCs/>
          <w:color w:val="000000"/>
        </w:rPr>
        <w:t xml:space="preserve"> </w:t>
      </w:r>
      <w:r w:rsidR="002F03DE">
        <w:rPr>
          <w:rFonts w:ascii="Georgia" w:eastAsia="Calibri" w:hAnsi="Georgia" w:cs="Calibri"/>
          <w:iCs/>
          <w:color w:val="000000"/>
        </w:rPr>
        <w:t xml:space="preserve">for </w:t>
      </w:r>
      <w:r w:rsidR="00E119BC">
        <w:rPr>
          <w:rFonts w:ascii="Georgia" w:eastAsia="Calibri" w:hAnsi="Georgia" w:cs="Calibri"/>
          <w:iCs/>
          <w:color w:val="000000"/>
        </w:rPr>
        <w:t>long</w:t>
      </w:r>
      <w:r w:rsidR="002F03DE">
        <w:rPr>
          <w:rFonts w:ascii="Georgia" w:eastAsia="Calibri" w:hAnsi="Georgia" w:cs="Calibri"/>
          <w:iCs/>
          <w:color w:val="000000"/>
        </w:rPr>
        <w:t>-</w:t>
      </w:r>
      <w:r w:rsidR="00E119BC">
        <w:rPr>
          <w:rFonts w:ascii="Georgia" w:eastAsia="Calibri" w:hAnsi="Georgia" w:cs="Calibri"/>
          <w:iCs/>
          <w:color w:val="000000"/>
        </w:rPr>
        <w:t>term</w:t>
      </w:r>
      <w:r w:rsidR="002F03DE">
        <w:rPr>
          <w:rFonts w:ascii="Georgia" w:eastAsia="Calibri" w:hAnsi="Georgia" w:cs="Calibri"/>
          <w:iCs/>
          <w:color w:val="000000"/>
        </w:rPr>
        <w:t>-</w:t>
      </w:r>
      <w:r w:rsidR="00E119BC">
        <w:rPr>
          <w:rFonts w:ascii="Georgia" w:eastAsia="Calibri" w:hAnsi="Georgia" w:cs="Calibri"/>
          <w:iCs/>
          <w:color w:val="000000"/>
        </w:rPr>
        <w:t xml:space="preserve">care </w:t>
      </w:r>
      <w:r w:rsidR="002F03DE">
        <w:rPr>
          <w:rFonts w:ascii="Georgia" w:eastAsia="Calibri" w:hAnsi="Georgia" w:cs="Calibri"/>
          <w:iCs/>
          <w:color w:val="000000"/>
        </w:rPr>
        <w:t xml:space="preserve">residents </w:t>
      </w:r>
      <w:r w:rsidR="00A36C18">
        <w:rPr>
          <w:rFonts w:ascii="Georgia" w:eastAsia="Calibri" w:hAnsi="Georgia" w:cs="Calibri"/>
          <w:iCs/>
          <w:color w:val="000000"/>
        </w:rPr>
        <w:t xml:space="preserve">under </w:t>
      </w:r>
      <w:r w:rsidR="002F03DE">
        <w:rPr>
          <w:rFonts w:ascii="Georgia" w:eastAsia="Calibri" w:hAnsi="Georgia" w:cs="Calibri"/>
          <w:iCs/>
          <w:color w:val="000000"/>
        </w:rPr>
        <w:t>130</w:t>
      </w:r>
      <w:r w:rsidR="00164C91">
        <w:rPr>
          <w:rFonts w:ascii="Georgia" w:eastAsia="Calibri" w:hAnsi="Georgia" w:cs="Calibri"/>
          <w:iCs/>
          <w:color w:val="000000"/>
        </w:rPr>
        <w:t xml:space="preserve"> </w:t>
      </w:r>
      <w:r w:rsidR="002F03DE">
        <w:rPr>
          <w:rFonts w:ascii="Georgia" w:eastAsia="Calibri" w:hAnsi="Georgia" w:cs="Calibri"/>
          <w:iCs/>
          <w:color w:val="000000"/>
        </w:rPr>
        <w:t>CMR 519.006(A)(B).</w:t>
      </w:r>
      <w:r w:rsidRPr="005E0576">
        <w:rPr>
          <w:rFonts w:ascii="Georgia" w:hAnsi="Georgia" w:cs="Arial"/>
        </w:rPr>
        <w:t xml:space="preserve"> </w:t>
      </w:r>
      <w:r w:rsidR="005B3A7D" w:rsidRPr="00D33ED2">
        <w:rPr>
          <w:rFonts w:ascii="Georgia" w:hAnsi="Georgia" w:cs="Arial"/>
          <w:lang w:val="fr-WINDIES"/>
        </w:rPr>
        <w:t xml:space="preserve"> </w:t>
      </w:r>
    </w:p>
    <w:p w:rsidR="00DB6BAD" w:rsidRDefault="00DB6BAD" w:rsidP="00DB6BAD">
      <w:pPr>
        <w:pStyle w:val="Heading2"/>
        <w:rPr>
          <w:color w:val="990000"/>
          <w:sz w:val="24"/>
          <w:szCs w:val="24"/>
        </w:rPr>
      </w:pPr>
      <w:r w:rsidRPr="00DB6BAD">
        <w:rPr>
          <w:color w:val="990000"/>
          <w:sz w:val="24"/>
          <w:szCs w:val="24"/>
        </w:rPr>
        <w:lastRenderedPageBreak/>
        <w:t>Eligibility Financial Approvals</w:t>
      </w:r>
    </w:p>
    <w:p w:rsidR="00DB6BAD" w:rsidRPr="00DB6BAD" w:rsidRDefault="00DB6BAD" w:rsidP="00DB6BAD">
      <w:pPr>
        <w:rPr>
          <w:rFonts w:ascii="Georgia" w:hAnsi="Georgia" w:cs="Arial"/>
        </w:rPr>
      </w:pPr>
      <w:r w:rsidRPr="00DB6BAD">
        <w:rPr>
          <w:rFonts w:ascii="Georgia" w:hAnsi="Georgia" w:cs="Arial"/>
        </w:rPr>
        <w:t>If a Family Assistance member enters a nursing facility or chronic disease and rehabilitation hospital the following process will take place.</w:t>
      </w:r>
    </w:p>
    <w:p w:rsidR="00DB6BAD" w:rsidRPr="00DB6BAD" w:rsidRDefault="00DB6BAD" w:rsidP="00DB6BAD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 xml:space="preserve">The facility sends </w:t>
      </w:r>
      <w:r w:rsidR="005A788A">
        <w:rPr>
          <w:rFonts w:ascii="Georgia" w:hAnsi="Georgia" w:cs="Arial"/>
        </w:rPr>
        <w:t xml:space="preserve">both </w:t>
      </w:r>
      <w:r w:rsidRPr="00DB6BAD">
        <w:rPr>
          <w:rFonts w:ascii="Georgia" w:hAnsi="Georgia" w:cs="Arial"/>
        </w:rPr>
        <w:t>an SC-1 form that is marked short</w:t>
      </w:r>
      <w:r w:rsidR="00BB5736">
        <w:rPr>
          <w:rFonts w:ascii="Georgia" w:hAnsi="Georgia" w:cs="Arial"/>
        </w:rPr>
        <w:t>-</w:t>
      </w:r>
      <w:r w:rsidRPr="00DB6BAD">
        <w:rPr>
          <w:rFonts w:ascii="Georgia" w:hAnsi="Georgia" w:cs="Arial"/>
        </w:rPr>
        <w:t>term and is signed by a physician, along with the clinical eligibility approval form stating short-term approval, to the Integration Unit at the Taunton MEC.</w:t>
      </w:r>
    </w:p>
    <w:p w:rsidR="00DB6BAD" w:rsidRPr="00DB6BAD" w:rsidRDefault="00DB6BAD" w:rsidP="00DB6BAD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>A CDRH/nursing facility payment segment is established on MMIS for the individual at the facility.</w:t>
      </w:r>
    </w:p>
    <w:p w:rsidR="00DB6BAD" w:rsidRPr="00DB6BAD" w:rsidRDefault="00DB6BAD" w:rsidP="00DB6BAD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>If the member leaves the facility before the end of the 100-day period, the long-term care segment is closed.</w:t>
      </w:r>
    </w:p>
    <w:p w:rsidR="00DB6BAD" w:rsidRPr="00DB6BAD" w:rsidRDefault="00DB6BAD" w:rsidP="00DB6BAD">
      <w:pPr>
        <w:pStyle w:val="ListParagraph"/>
        <w:numPr>
          <w:ilvl w:val="0"/>
          <w:numId w:val="11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>If the 100-day short-term period expires and the member is still a patient at the facility or is no longer on a short-term stay, the following process will take place.</w:t>
      </w:r>
    </w:p>
    <w:p w:rsidR="00DB6BAD" w:rsidRPr="00DB6BAD" w:rsidRDefault="00DB6BAD" w:rsidP="00DB6BAD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>The payment segment is closed by the Integration Unit worker.</w:t>
      </w:r>
    </w:p>
    <w:p w:rsidR="00DB6BAD" w:rsidRPr="00DB6BAD" w:rsidRDefault="00DB6BAD" w:rsidP="00DB6BAD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 xml:space="preserve">The Integration Unit sends the Expiration of Short-Term Stay and Home Maintenance Needs Allowance (ST-CL) cover letter and a Supplement A detailing the need for the supplement to be completed by the facility on behalf of the member. (If the member is under the age of 65, a MER/TRANS form should also be sent to the nursing facility.) </w:t>
      </w:r>
    </w:p>
    <w:p w:rsidR="00DB6BAD" w:rsidRPr="00DB6BAD" w:rsidRDefault="00DB6BAD" w:rsidP="00DB6BAD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>The completed forms must be returned to the appropriate MEC with a</w:t>
      </w:r>
      <w:r w:rsidR="00BB5736">
        <w:rPr>
          <w:rFonts w:ascii="Georgia" w:hAnsi="Georgia" w:cs="Arial"/>
        </w:rPr>
        <w:t>n</w:t>
      </w:r>
      <w:r w:rsidRPr="00DB6BAD">
        <w:rPr>
          <w:rFonts w:ascii="Georgia" w:hAnsi="Georgia" w:cs="Arial"/>
        </w:rPr>
        <w:t xml:space="preserve"> SC-1 form, stating that the member is transitioning from short</w:t>
      </w:r>
      <w:r w:rsidR="00BB5736">
        <w:rPr>
          <w:rFonts w:ascii="Georgia" w:hAnsi="Georgia" w:cs="Arial"/>
        </w:rPr>
        <w:t>-</w:t>
      </w:r>
      <w:r w:rsidRPr="00DB6BAD">
        <w:rPr>
          <w:rFonts w:ascii="Georgia" w:hAnsi="Georgia" w:cs="Arial"/>
        </w:rPr>
        <w:t xml:space="preserve">term to a stay of more than 100-days. </w:t>
      </w:r>
    </w:p>
    <w:p w:rsidR="00DB6BAD" w:rsidRPr="00DB6BAD" w:rsidRDefault="00DB6BAD" w:rsidP="00DB6BAD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 xml:space="preserve">A new level-of-care determination form is not needed. </w:t>
      </w:r>
    </w:p>
    <w:p w:rsidR="00DB6BAD" w:rsidRDefault="00DB6BAD" w:rsidP="00DB6BAD">
      <w:pPr>
        <w:pStyle w:val="ListParagraph"/>
        <w:numPr>
          <w:ilvl w:val="0"/>
          <w:numId w:val="12"/>
        </w:numPr>
        <w:rPr>
          <w:rFonts w:ascii="Georgia" w:hAnsi="Georgia" w:cs="Arial"/>
        </w:rPr>
      </w:pPr>
      <w:r w:rsidRPr="00DB6BAD">
        <w:rPr>
          <w:rFonts w:ascii="Georgia" w:hAnsi="Georgia" w:cs="Arial"/>
        </w:rPr>
        <w:t>If this process is not completed by the nursing facility, the member will not be coded for payment.</w:t>
      </w:r>
    </w:p>
    <w:p w:rsidR="004F59DD" w:rsidRPr="004F59DD" w:rsidRDefault="004F59DD" w:rsidP="004F59DD">
      <w:pPr>
        <w:pStyle w:val="ListParagraph"/>
        <w:numPr>
          <w:ilvl w:val="0"/>
          <w:numId w:val="13"/>
        </w:numPr>
        <w:rPr>
          <w:rFonts w:ascii="Georgia" w:hAnsi="Georgia" w:cs="Arial"/>
        </w:rPr>
      </w:pPr>
      <w:r w:rsidRPr="004F59DD">
        <w:rPr>
          <w:rFonts w:ascii="Georgia" w:hAnsi="Georgia" w:cs="Arial"/>
        </w:rPr>
        <w:t xml:space="preserve">If the 100-day short-term period expires and the Family Assistance member does not have a verified immigration status on file that would allow them to be found eligible for MassHealth Standard for </w:t>
      </w:r>
      <w:r w:rsidR="00E119BC">
        <w:rPr>
          <w:rFonts w:ascii="Georgia" w:hAnsi="Georgia" w:cs="Arial"/>
        </w:rPr>
        <w:t>l</w:t>
      </w:r>
      <w:r w:rsidR="00E119BC" w:rsidRPr="004F59DD">
        <w:rPr>
          <w:rFonts w:ascii="Georgia" w:hAnsi="Georgia" w:cs="Arial"/>
        </w:rPr>
        <w:t>ong</w:t>
      </w:r>
      <w:r w:rsidRPr="004F59DD">
        <w:rPr>
          <w:rFonts w:ascii="Georgia" w:hAnsi="Georgia" w:cs="Arial"/>
        </w:rPr>
        <w:t>-</w:t>
      </w:r>
      <w:r w:rsidR="00E119BC">
        <w:rPr>
          <w:rFonts w:ascii="Georgia" w:hAnsi="Georgia" w:cs="Arial"/>
        </w:rPr>
        <w:t>t</w:t>
      </w:r>
      <w:r w:rsidR="00E119BC" w:rsidRPr="004F59DD">
        <w:rPr>
          <w:rFonts w:ascii="Georgia" w:hAnsi="Georgia" w:cs="Arial"/>
        </w:rPr>
        <w:t>erm</w:t>
      </w:r>
      <w:r w:rsidRPr="004F59DD">
        <w:rPr>
          <w:rFonts w:ascii="Georgia" w:hAnsi="Georgia" w:cs="Arial"/>
        </w:rPr>
        <w:t>-</w:t>
      </w:r>
      <w:r w:rsidR="00E119BC">
        <w:rPr>
          <w:rFonts w:ascii="Georgia" w:hAnsi="Georgia" w:cs="Arial"/>
        </w:rPr>
        <w:t>c</w:t>
      </w:r>
      <w:r w:rsidR="00E119BC" w:rsidRPr="004F59DD">
        <w:rPr>
          <w:rFonts w:ascii="Georgia" w:hAnsi="Georgia" w:cs="Arial"/>
        </w:rPr>
        <w:t xml:space="preserve">are </w:t>
      </w:r>
      <w:r w:rsidRPr="004F59DD">
        <w:rPr>
          <w:rFonts w:ascii="Georgia" w:hAnsi="Georgia" w:cs="Arial"/>
        </w:rPr>
        <w:t xml:space="preserve">residents </w:t>
      </w:r>
      <w:r w:rsidR="00686079">
        <w:rPr>
          <w:rFonts w:ascii="Georgia" w:hAnsi="Georgia" w:cs="Arial"/>
        </w:rPr>
        <w:t xml:space="preserve">under </w:t>
      </w:r>
      <w:r w:rsidRPr="004F59DD">
        <w:rPr>
          <w:rFonts w:ascii="Georgia" w:hAnsi="Georgia" w:cs="Arial"/>
        </w:rPr>
        <w:t>130</w:t>
      </w:r>
      <w:r w:rsidR="00164C91">
        <w:rPr>
          <w:rFonts w:ascii="Georgia" w:hAnsi="Georgia" w:cs="Arial"/>
        </w:rPr>
        <w:t xml:space="preserve"> </w:t>
      </w:r>
      <w:r w:rsidRPr="004F59DD">
        <w:rPr>
          <w:rFonts w:ascii="Georgia" w:hAnsi="Georgia" w:cs="Arial"/>
        </w:rPr>
        <w:t xml:space="preserve">CMR 519.006(A)(B), the following process will take place.  </w:t>
      </w:r>
    </w:p>
    <w:p w:rsidR="004F59DD" w:rsidRPr="004F59DD" w:rsidRDefault="004F59DD" w:rsidP="004F59DD">
      <w:pPr>
        <w:pStyle w:val="ListParagraph"/>
        <w:numPr>
          <w:ilvl w:val="0"/>
          <w:numId w:val="14"/>
        </w:numPr>
        <w:rPr>
          <w:rFonts w:ascii="Georgia" w:hAnsi="Georgia" w:cs="Arial"/>
        </w:rPr>
      </w:pPr>
      <w:r w:rsidRPr="004F59DD">
        <w:rPr>
          <w:rFonts w:ascii="Georgia" w:hAnsi="Georgia" w:cs="Arial"/>
        </w:rPr>
        <w:t>The payment segment is closed by the Integration Unit worker.</w:t>
      </w:r>
    </w:p>
    <w:p w:rsidR="004F59DD" w:rsidRPr="004F59DD" w:rsidRDefault="004F59DD" w:rsidP="004F59DD">
      <w:pPr>
        <w:pStyle w:val="ListParagraph"/>
        <w:numPr>
          <w:ilvl w:val="0"/>
          <w:numId w:val="14"/>
        </w:numPr>
        <w:rPr>
          <w:rFonts w:ascii="Georgia" w:hAnsi="Georgia" w:cs="Arial"/>
        </w:rPr>
      </w:pPr>
      <w:r w:rsidRPr="004F59DD">
        <w:rPr>
          <w:rFonts w:ascii="Georgia" w:hAnsi="Georgia" w:cs="Arial"/>
        </w:rPr>
        <w:t xml:space="preserve">The worker will complete and send to the member a “Benefit Expiration Notice with appeal rights” stating that the member’s verified immigration status does not allow the member to be found eligible for </w:t>
      </w:r>
      <w:r w:rsidR="00E119BC">
        <w:rPr>
          <w:rFonts w:ascii="Georgia" w:hAnsi="Georgia" w:cs="Arial"/>
        </w:rPr>
        <w:t xml:space="preserve">MassHealth </w:t>
      </w:r>
      <w:r w:rsidRPr="004F59DD">
        <w:rPr>
          <w:rFonts w:ascii="Georgia" w:hAnsi="Georgia" w:cs="Arial"/>
        </w:rPr>
        <w:t xml:space="preserve">Standard for </w:t>
      </w:r>
      <w:r w:rsidR="00E119BC">
        <w:rPr>
          <w:rFonts w:ascii="Georgia" w:hAnsi="Georgia" w:cs="Arial"/>
        </w:rPr>
        <w:t>l</w:t>
      </w:r>
      <w:r w:rsidR="00E119BC" w:rsidRPr="004F59DD">
        <w:rPr>
          <w:rFonts w:ascii="Georgia" w:hAnsi="Georgia" w:cs="Arial"/>
        </w:rPr>
        <w:t>ong</w:t>
      </w:r>
      <w:r w:rsidRPr="004F59DD">
        <w:rPr>
          <w:rFonts w:ascii="Georgia" w:hAnsi="Georgia" w:cs="Arial"/>
        </w:rPr>
        <w:t>-</w:t>
      </w:r>
      <w:r w:rsidR="00E119BC">
        <w:rPr>
          <w:rFonts w:ascii="Georgia" w:hAnsi="Georgia" w:cs="Arial"/>
        </w:rPr>
        <w:t>t</w:t>
      </w:r>
      <w:r w:rsidR="00E119BC" w:rsidRPr="004F59DD">
        <w:rPr>
          <w:rFonts w:ascii="Georgia" w:hAnsi="Georgia" w:cs="Arial"/>
        </w:rPr>
        <w:t>erm</w:t>
      </w:r>
      <w:r w:rsidR="00E119BC">
        <w:rPr>
          <w:rFonts w:ascii="Georgia" w:hAnsi="Georgia" w:cs="Arial"/>
        </w:rPr>
        <w:t>-c</w:t>
      </w:r>
      <w:r w:rsidR="00E119BC" w:rsidRPr="004F59DD">
        <w:rPr>
          <w:rFonts w:ascii="Georgia" w:hAnsi="Georgia" w:cs="Arial"/>
        </w:rPr>
        <w:t xml:space="preserve">are </w:t>
      </w:r>
      <w:r w:rsidRPr="004F59DD">
        <w:rPr>
          <w:rFonts w:ascii="Georgia" w:hAnsi="Georgia" w:cs="Arial"/>
        </w:rPr>
        <w:t xml:space="preserve">residents </w:t>
      </w:r>
      <w:r w:rsidR="00E119BC">
        <w:rPr>
          <w:rFonts w:ascii="Georgia" w:hAnsi="Georgia" w:cs="Arial"/>
        </w:rPr>
        <w:t xml:space="preserve">under </w:t>
      </w:r>
      <w:r w:rsidRPr="004F59DD">
        <w:rPr>
          <w:rFonts w:ascii="Georgia" w:hAnsi="Georgia" w:cs="Arial"/>
        </w:rPr>
        <w:t>130 CMR 519.006(A)(B).</w:t>
      </w:r>
    </w:p>
    <w:p w:rsidR="004F59DD" w:rsidRPr="004F59DD" w:rsidRDefault="004F59DD" w:rsidP="004F59DD">
      <w:pPr>
        <w:pStyle w:val="ListParagraph"/>
        <w:numPr>
          <w:ilvl w:val="0"/>
          <w:numId w:val="14"/>
        </w:numPr>
        <w:rPr>
          <w:rFonts w:ascii="Georgia" w:hAnsi="Georgia" w:cs="Arial"/>
        </w:rPr>
      </w:pPr>
      <w:r w:rsidRPr="004F59DD">
        <w:rPr>
          <w:rFonts w:ascii="Georgia" w:hAnsi="Georgia" w:cs="Arial"/>
        </w:rPr>
        <w:t xml:space="preserve">The notice will state that the member will remain in the Family Assistance </w:t>
      </w:r>
      <w:r w:rsidR="00164C91">
        <w:rPr>
          <w:rFonts w:ascii="Georgia" w:hAnsi="Georgia" w:cs="Arial"/>
        </w:rPr>
        <w:t>b</w:t>
      </w:r>
      <w:r w:rsidR="00164C91" w:rsidRPr="004F59DD">
        <w:rPr>
          <w:rFonts w:ascii="Georgia" w:hAnsi="Georgia" w:cs="Arial"/>
        </w:rPr>
        <w:t xml:space="preserve">enefit </w:t>
      </w:r>
      <w:r w:rsidRPr="004F59DD">
        <w:rPr>
          <w:rFonts w:ascii="Georgia" w:hAnsi="Georgia" w:cs="Arial"/>
        </w:rPr>
        <w:t>and that a change of circumstances</w:t>
      </w:r>
      <w:r w:rsidR="00E119BC">
        <w:rPr>
          <w:rFonts w:ascii="Georgia" w:hAnsi="Georgia" w:cs="Arial"/>
        </w:rPr>
        <w:t xml:space="preserve"> </w:t>
      </w:r>
      <w:r w:rsidR="001D681E">
        <w:rPr>
          <w:rFonts w:ascii="Georgia" w:hAnsi="Georgia" w:cs="Arial"/>
        </w:rPr>
        <w:t>a</w:t>
      </w:r>
      <w:r w:rsidR="00E119BC" w:rsidRPr="004F59DD">
        <w:rPr>
          <w:rFonts w:ascii="Georgia" w:hAnsi="Georgia" w:cs="Arial"/>
        </w:rPr>
        <w:t>ffecting eligibility</w:t>
      </w:r>
      <w:r w:rsidRPr="004F59DD">
        <w:rPr>
          <w:rFonts w:ascii="Georgia" w:hAnsi="Georgia" w:cs="Arial"/>
        </w:rPr>
        <w:t xml:space="preserve">, including immigration status, should be reported within ten days.  </w:t>
      </w:r>
    </w:p>
    <w:p w:rsidR="004F59DD" w:rsidRPr="004F59DD" w:rsidRDefault="004F59DD" w:rsidP="004F59DD">
      <w:pPr>
        <w:pStyle w:val="ListParagraph"/>
        <w:numPr>
          <w:ilvl w:val="0"/>
          <w:numId w:val="14"/>
        </w:numPr>
        <w:rPr>
          <w:rFonts w:ascii="Georgia" w:hAnsi="Georgia" w:cs="Arial"/>
        </w:rPr>
      </w:pPr>
      <w:r w:rsidRPr="004F59DD">
        <w:rPr>
          <w:rFonts w:ascii="Georgia" w:hAnsi="Georgia" w:cs="Arial"/>
        </w:rPr>
        <w:t xml:space="preserve">The allowable immigration statuses for </w:t>
      </w:r>
      <w:r w:rsidR="001D681E">
        <w:rPr>
          <w:rFonts w:ascii="Georgia" w:hAnsi="Georgia" w:cs="Arial"/>
        </w:rPr>
        <w:t>l</w:t>
      </w:r>
      <w:r w:rsidR="001D681E" w:rsidRPr="004F59DD">
        <w:rPr>
          <w:rFonts w:ascii="Georgia" w:hAnsi="Georgia" w:cs="Arial"/>
        </w:rPr>
        <w:t>ong</w:t>
      </w:r>
      <w:r w:rsidRPr="004F59DD">
        <w:rPr>
          <w:rFonts w:ascii="Georgia" w:hAnsi="Georgia" w:cs="Arial"/>
        </w:rPr>
        <w:t>-</w:t>
      </w:r>
      <w:r w:rsidR="001D681E">
        <w:rPr>
          <w:rFonts w:ascii="Georgia" w:hAnsi="Georgia" w:cs="Arial"/>
        </w:rPr>
        <w:t>t</w:t>
      </w:r>
      <w:r w:rsidR="001D681E" w:rsidRPr="004F59DD">
        <w:rPr>
          <w:rFonts w:ascii="Georgia" w:hAnsi="Georgia" w:cs="Arial"/>
        </w:rPr>
        <w:t xml:space="preserve">erm </w:t>
      </w:r>
      <w:r w:rsidR="001D681E">
        <w:rPr>
          <w:rFonts w:ascii="Georgia" w:hAnsi="Georgia" w:cs="Arial"/>
        </w:rPr>
        <w:t>c</w:t>
      </w:r>
      <w:r w:rsidR="001D681E" w:rsidRPr="004F59DD">
        <w:rPr>
          <w:rFonts w:ascii="Georgia" w:hAnsi="Georgia" w:cs="Arial"/>
        </w:rPr>
        <w:t xml:space="preserve">are </w:t>
      </w:r>
      <w:r w:rsidRPr="004F59DD">
        <w:rPr>
          <w:rFonts w:ascii="Georgia" w:hAnsi="Georgia" w:cs="Arial"/>
        </w:rPr>
        <w:t>residents under 130 CMR 518.003</w:t>
      </w:r>
      <w:r w:rsidR="001E5E77">
        <w:rPr>
          <w:rFonts w:ascii="Georgia" w:hAnsi="Georgia" w:cs="Arial"/>
        </w:rPr>
        <w:t xml:space="preserve">: </w:t>
      </w:r>
      <w:r w:rsidR="001E5E77" w:rsidRPr="001E5E77">
        <w:rPr>
          <w:rFonts w:ascii="Georgia" w:hAnsi="Georgia" w:cs="Arial"/>
          <w:i/>
        </w:rPr>
        <w:t>Immigrants</w:t>
      </w:r>
      <w:r w:rsidRPr="004F59DD">
        <w:rPr>
          <w:rFonts w:ascii="Georgia" w:hAnsi="Georgia" w:cs="Arial"/>
        </w:rPr>
        <w:t xml:space="preserve"> and 130 CMR 518.006</w:t>
      </w:r>
      <w:r w:rsidR="001E5E77">
        <w:rPr>
          <w:rFonts w:ascii="Georgia" w:hAnsi="Georgia" w:cs="Arial"/>
        </w:rPr>
        <w:t xml:space="preserve">: </w:t>
      </w:r>
      <w:r w:rsidR="001E5E77" w:rsidRPr="001E5E77">
        <w:rPr>
          <w:rFonts w:ascii="Georgia" w:hAnsi="Georgia" w:cs="Arial"/>
          <w:i/>
        </w:rPr>
        <w:t>Applicable Coverage Types</w:t>
      </w:r>
      <w:r w:rsidR="001E5E77">
        <w:rPr>
          <w:rFonts w:ascii="Georgia" w:hAnsi="Georgia" w:cs="Arial"/>
        </w:rPr>
        <w:t xml:space="preserve"> </w:t>
      </w:r>
      <w:r w:rsidRPr="004F59DD">
        <w:rPr>
          <w:rFonts w:ascii="Georgia" w:hAnsi="Georgia" w:cs="Arial"/>
        </w:rPr>
        <w:t>are the following</w:t>
      </w:r>
      <w:r w:rsidR="001E5E77">
        <w:rPr>
          <w:rFonts w:ascii="Georgia" w:hAnsi="Georgia" w:cs="Arial"/>
        </w:rPr>
        <w:t>.</w:t>
      </w:r>
    </w:p>
    <w:p w:rsidR="004F59DD" w:rsidRDefault="004F59DD" w:rsidP="00FB5D0D">
      <w:pPr>
        <w:pStyle w:val="ListParagraph"/>
        <w:numPr>
          <w:ilvl w:val="1"/>
          <w:numId w:val="14"/>
        </w:numPr>
        <w:rPr>
          <w:rFonts w:ascii="Georgia" w:hAnsi="Georgia" w:cs="Arial"/>
        </w:rPr>
        <w:sectPr w:rsidR="004F59DD" w:rsidSect="00265DCC">
          <w:pgSz w:w="12240" w:h="15840" w:code="1"/>
          <w:pgMar w:top="720" w:right="1080" w:bottom="432" w:left="1584" w:header="720" w:footer="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  <w:r w:rsidRPr="004F59DD">
        <w:rPr>
          <w:rFonts w:ascii="Georgia" w:hAnsi="Georgia" w:cs="Arial"/>
        </w:rPr>
        <w:t>Citizen</w:t>
      </w:r>
      <w:r w:rsidR="00FB5D0D">
        <w:rPr>
          <w:rFonts w:ascii="Georgia" w:hAnsi="Georgia" w:cs="Arial"/>
        </w:rPr>
        <w:t>,</w:t>
      </w:r>
      <w:r w:rsidRPr="004F59DD">
        <w:rPr>
          <w:rFonts w:ascii="Georgia" w:hAnsi="Georgia" w:cs="Arial"/>
        </w:rPr>
        <w:t xml:space="preserve"> </w:t>
      </w:r>
      <w:r w:rsidR="00B55CE3">
        <w:rPr>
          <w:rFonts w:ascii="Georgia" w:hAnsi="Georgia" w:cs="Arial"/>
        </w:rPr>
        <w:t xml:space="preserve">Qualified Noncitizen, and Protected Noncitizen </w:t>
      </w:r>
      <w:r w:rsidRPr="004F59DD">
        <w:rPr>
          <w:rFonts w:ascii="Georgia" w:hAnsi="Georgia" w:cs="Arial"/>
        </w:rPr>
        <w:t xml:space="preserve">disabled adult </w:t>
      </w:r>
      <w:r w:rsidR="00ED7E3B">
        <w:rPr>
          <w:rFonts w:ascii="Georgia" w:hAnsi="Georgia" w:cs="Arial"/>
        </w:rPr>
        <w:t>younger than</w:t>
      </w:r>
      <w:r w:rsidR="00ED7E3B" w:rsidRPr="004F59DD">
        <w:rPr>
          <w:rFonts w:ascii="Georgia" w:hAnsi="Georgia" w:cs="Arial"/>
        </w:rPr>
        <w:t xml:space="preserve"> </w:t>
      </w:r>
      <w:r w:rsidRPr="004F59DD">
        <w:rPr>
          <w:rFonts w:ascii="Georgia" w:hAnsi="Georgia" w:cs="Arial"/>
        </w:rPr>
        <w:t xml:space="preserve">age 65 or adult age 65 and </w:t>
      </w:r>
      <w:r w:rsidR="00DC3CBD">
        <w:rPr>
          <w:rFonts w:ascii="Georgia" w:hAnsi="Georgia" w:cs="Arial"/>
        </w:rPr>
        <w:t>older</w:t>
      </w:r>
      <w:r w:rsidRPr="004F59DD">
        <w:rPr>
          <w:rFonts w:ascii="Georgia" w:hAnsi="Georgia" w:cs="Arial"/>
        </w:rPr>
        <w:t>;</w:t>
      </w:r>
    </w:p>
    <w:p w:rsidR="004F59DD" w:rsidRPr="004F59DD" w:rsidRDefault="004F59DD" w:rsidP="004F59DD">
      <w:pPr>
        <w:pStyle w:val="ListParagraph"/>
        <w:ind w:left="1080"/>
        <w:rPr>
          <w:rFonts w:ascii="Georgia" w:hAnsi="Georgia" w:cs="Arial"/>
        </w:rPr>
      </w:pPr>
    </w:p>
    <w:p w:rsidR="004F59DD" w:rsidRPr="004F59DD" w:rsidRDefault="00B55CE3" w:rsidP="00FB5D0D">
      <w:pPr>
        <w:pStyle w:val="ListParagraph"/>
        <w:numPr>
          <w:ilvl w:val="1"/>
          <w:numId w:val="14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Citizen, Qualified Noncitizen, </w:t>
      </w:r>
      <w:r w:rsidR="004F59DD" w:rsidRPr="004F59DD">
        <w:rPr>
          <w:rFonts w:ascii="Georgia" w:hAnsi="Georgia" w:cs="Arial"/>
        </w:rPr>
        <w:t>Protected Noncitizen, Qualified Noncitizen Barred, and Non</w:t>
      </w:r>
      <w:r w:rsidR="00DC3CBD">
        <w:rPr>
          <w:rFonts w:ascii="Georgia" w:hAnsi="Georgia" w:cs="Arial"/>
        </w:rPr>
        <w:t>q</w:t>
      </w:r>
      <w:r>
        <w:rPr>
          <w:rFonts w:ascii="Georgia" w:hAnsi="Georgia" w:cs="Arial"/>
        </w:rPr>
        <w:t xml:space="preserve">ualified Individual </w:t>
      </w:r>
      <w:r w:rsidR="004F59DD" w:rsidRPr="004F59DD">
        <w:rPr>
          <w:rFonts w:ascii="Georgia" w:hAnsi="Georgia" w:cs="Arial"/>
        </w:rPr>
        <w:t xml:space="preserve">Lawfully Present children and young adults  </w:t>
      </w:r>
      <w:r w:rsidR="00ED7E3B">
        <w:rPr>
          <w:rFonts w:ascii="Georgia" w:hAnsi="Georgia" w:cs="Arial"/>
        </w:rPr>
        <w:t>younger than</w:t>
      </w:r>
      <w:r w:rsidR="00ED7E3B" w:rsidRPr="004F59DD">
        <w:rPr>
          <w:rFonts w:ascii="Georgia" w:hAnsi="Georgia" w:cs="Arial"/>
        </w:rPr>
        <w:t xml:space="preserve"> </w:t>
      </w:r>
      <w:r w:rsidR="004F59DD" w:rsidRPr="004F59DD">
        <w:rPr>
          <w:rFonts w:ascii="Georgia" w:hAnsi="Georgia" w:cs="Arial"/>
        </w:rPr>
        <w:t>age 21; and</w:t>
      </w:r>
    </w:p>
    <w:p w:rsidR="004F59DD" w:rsidRPr="004F59DD" w:rsidRDefault="004F59DD" w:rsidP="00FB5D0D">
      <w:pPr>
        <w:pStyle w:val="ListParagraph"/>
        <w:numPr>
          <w:ilvl w:val="1"/>
          <w:numId w:val="14"/>
        </w:numPr>
        <w:rPr>
          <w:rFonts w:ascii="Georgia" w:hAnsi="Georgia" w:cs="Arial"/>
        </w:rPr>
      </w:pPr>
      <w:r w:rsidRPr="004F59DD">
        <w:rPr>
          <w:rFonts w:ascii="Georgia" w:hAnsi="Georgia" w:cs="Arial"/>
        </w:rPr>
        <w:t>Citizen, Qualified Non</w:t>
      </w:r>
      <w:r w:rsidR="00B55CE3">
        <w:rPr>
          <w:rFonts w:ascii="Georgia" w:hAnsi="Georgia" w:cs="Arial"/>
        </w:rPr>
        <w:t xml:space="preserve">citizen, Protected Noncitizen, </w:t>
      </w:r>
      <w:r w:rsidRPr="004F59DD">
        <w:rPr>
          <w:rFonts w:ascii="Georgia" w:hAnsi="Georgia" w:cs="Arial"/>
        </w:rPr>
        <w:t xml:space="preserve">Qualified Noncitizen Barred, </w:t>
      </w:r>
      <w:r w:rsidR="00DC3CBD" w:rsidRPr="004F59DD">
        <w:rPr>
          <w:rFonts w:ascii="Georgia" w:hAnsi="Georgia" w:cs="Arial"/>
        </w:rPr>
        <w:t>Non</w:t>
      </w:r>
      <w:r w:rsidR="00DC3CBD">
        <w:rPr>
          <w:rFonts w:ascii="Georgia" w:hAnsi="Georgia" w:cs="Arial"/>
        </w:rPr>
        <w:t>q</w:t>
      </w:r>
      <w:r w:rsidR="00DC3CBD" w:rsidRPr="004F59DD">
        <w:rPr>
          <w:rFonts w:ascii="Georgia" w:hAnsi="Georgia" w:cs="Arial"/>
        </w:rPr>
        <w:t xml:space="preserve">ualified </w:t>
      </w:r>
      <w:r w:rsidRPr="004F59DD">
        <w:rPr>
          <w:rFonts w:ascii="Georgia" w:hAnsi="Georgia" w:cs="Arial"/>
        </w:rPr>
        <w:t xml:space="preserve">Individuals Lawfully </w:t>
      </w:r>
      <w:r w:rsidR="00DC3CBD">
        <w:rPr>
          <w:rFonts w:ascii="Georgia" w:hAnsi="Georgia" w:cs="Arial"/>
        </w:rPr>
        <w:t>P</w:t>
      </w:r>
      <w:r w:rsidR="00DC3CBD" w:rsidRPr="004F59DD">
        <w:rPr>
          <w:rFonts w:ascii="Georgia" w:hAnsi="Georgia" w:cs="Arial"/>
        </w:rPr>
        <w:t>resent</w:t>
      </w:r>
      <w:r w:rsidRPr="004F59DD">
        <w:rPr>
          <w:rFonts w:ascii="Georgia" w:hAnsi="Georgia" w:cs="Arial"/>
        </w:rPr>
        <w:t xml:space="preserve">, </w:t>
      </w:r>
      <w:r w:rsidR="00F4179F">
        <w:rPr>
          <w:rFonts w:ascii="Georgia" w:hAnsi="Georgia" w:cs="Arial"/>
        </w:rPr>
        <w:t>PRU</w:t>
      </w:r>
      <w:r w:rsidR="00B55CE3">
        <w:rPr>
          <w:rFonts w:ascii="Georgia" w:hAnsi="Georgia" w:cs="Arial"/>
        </w:rPr>
        <w:t>COL,</w:t>
      </w:r>
      <w:r w:rsidR="00F4179F">
        <w:rPr>
          <w:rFonts w:ascii="Georgia" w:hAnsi="Georgia" w:cs="Arial"/>
        </w:rPr>
        <w:t xml:space="preserve"> and Other Noncitizen </w:t>
      </w:r>
      <w:r w:rsidRPr="004F59DD">
        <w:rPr>
          <w:rFonts w:ascii="Georgia" w:hAnsi="Georgia" w:cs="Arial"/>
        </w:rPr>
        <w:t>pregnant women.</w:t>
      </w:r>
    </w:p>
    <w:p w:rsidR="00C100CF" w:rsidRPr="004C1488" w:rsidRDefault="00A458CF" w:rsidP="007F74B0">
      <w:pPr>
        <w:pStyle w:val="Heading1"/>
      </w:pPr>
      <w:r w:rsidRPr="004C1488">
        <w:t>Questions</w:t>
      </w:r>
      <w:r w:rsidRPr="004C1488">
        <w:tab/>
      </w:r>
    </w:p>
    <w:p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any questions about this memo, please have your MEC designee contact the Policy Hotline.</w:t>
      </w:r>
      <w:r w:rsidR="004F59DD">
        <w:rPr>
          <w:rFonts w:ascii="Georgia" w:hAnsi="Georgia" w:cs="Arial"/>
        </w:rPr>
        <w:t xml:space="preserve"> </w:t>
      </w:r>
    </w:p>
    <w:sectPr w:rsidR="009A0E9B" w:rsidSect="00265DCC"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79" w:rsidRDefault="00AD4879">
      <w:r>
        <w:separator/>
      </w:r>
    </w:p>
  </w:endnote>
  <w:endnote w:type="continuationSeparator" w:id="0">
    <w:p w:rsidR="00AD4879" w:rsidRDefault="00AD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79" w:rsidRDefault="00AD4879">
      <w:r>
        <w:separator/>
      </w:r>
    </w:p>
  </w:footnote>
  <w:footnote w:type="continuationSeparator" w:id="0">
    <w:p w:rsidR="00AD4879" w:rsidRDefault="00AD4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DCC" w:rsidRPr="004117FD" w:rsidRDefault="00265DCC" w:rsidP="009A3F81">
    <w:pPr>
      <w:spacing w:before="240" w:after="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BB5736">
      <w:rPr>
        <w:rFonts w:ascii="Georgia" w:hAnsi="Georgia"/>
        <w:b/>
        <w:color w:val="990000"/>
      </w:rPr>
      <w:t>20</w:t>
    </w:r>
    <w:r>
      <w:rPr>
        <w:rFonts w:ascii="Georgia" w:hAnsi="Georgia"/>
        <w:b/>
        <w:color w:val="990000"/>
      </w:rPr>
      <w:t>-</w:t>
    </w:r>
    <w:r w:rsidR="00603E94">
      <w:rPr>
        <w:rFonts w:ascii="Georgia" w:hAnsi="Georgia"/>
        <w:b/>
        <w:color w:val="990000"/>
      </w:rPr>
      <w:t>15</w:t>
    </w:r>
  </w:p>
  <w:p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="00BB5736">
      <w:rPr>
        <w:rFonts w:ascii="Georgia" w:hAnsi="Georgia"/>
        <w:b/>
        <w:color w:val="990000"/>
      </w:rPr>
      <w:t>July</w:t>
    </w:r>
    <w:r>
      <w:rPr>
        <w:rFonts w:ascii="Georgia" w:hAnsi="Georgia"/>
        <w:b/>
        <w:color w:val="990000"/>
      </w:rPr>
      <w:t xml:space="preserve"> </w:t>
    </w:r>
    <w:r w:rsidR="00603E94">
      <w:rPr>
        <w:rFonts w:ascii="Georgia" w:hAnsi="Georgia"/>
        <w:b/>
        <w:color w:val="990000"/>
      </w:rPr>
      <w:t>2</w:t>
    </w:r>
    <w:r w:rsidR="00877D2D">
      <w:rPr>
        <w:rFonts w:ascii="Georgia" w:hAnsi="Georgia"/>
        <w:b/>
        <w:color w:val="990000"/>
      </w:rPr>
      <w:t>1</w:t>
    </w:r>
    <w:r>
      <w:rPr>
        <w:rFonts w:ascii="Georgia" w:hAnsi="Georgia"/>
        <w:b/>
        <w:color w:val="990000"/>
      </w:rPr>
      <w:t>,</w:t>
    </w:r>
    <w:r w:rsidRPr="00A32028">
      <w:rPr>
        <w:rFonts w:ascii="Georgia" w:hAnsi="Georgia"/>
        <w:b/>
        <w:color w:val="990000"/>
      </w:rPr>
      <w:t xml:space="preserve"> </w:t>
    </w:r>
    <w:r w:rsidR="00BB5736">
      <w:rPr>
        <w:rFonts w:ascii="Georgia" w:hAnsi="Georgia"/>
        <w:b/>
        <w:color w:val="990000"/>
      </w:rPr>
      <w:t>2020</w:t>
    </w:r>
  </w:p>
  <w:p w:rsidR="00265DCC" w:rsidRPr="004117FD" w:rsidRDefault="00265DCC" w:rsidP="00265DCC">
    <w:pPr>
      <w:pStyle w:val="Header"/>
      <w:tabs>
        <w:tab w:val="clear" w:pos="4320"/>
        <w:tab w:val="clear" w:pos="864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</w: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773BEA">
      <w:rPr>
        <w:rFonts w:ascii="Georgia" w:hAnsi="Georgia"/>
        <w:b/>
        <w:noProof/>
        <w:color w:val="990000"/>
      </w:rPr>
      <w:t>3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B2329"/>
    <w:multiLevelType w:val="hybridMultilevel"/>
    <w:tmpl w:val="475E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E5D42"/>
    <w:multiLevelType w:val="hybridMultilevel"/>
    <w:tmpl w:val="D7E8806E"/>
    <w:lvl w:ilvl="0" w:tplc="DDF47C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4A1CD5"/>
    <w:multiLevelType w:val="hybridMultilevel"/>
    <w:tmpl w:val="90688F28"/>
    <w:lvl w:ilvl="0" w:tplc="DDF47C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3C2C3C"/>
    <w:multiLevelType w:val="hybridMultilevel"/>
    <w:tmpl w:val="E6CE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108E5"/>
    <w:rsid w:val="000149FE"/>
    <w:rsid w:val="00032BB1"/>
    <w:rsid w:val="00032C02"/>
    <w:rsid w:val="00041220"/>
    <w:rsid w:val="00052708"/>
    <w:rsid w:val="00080FFB"/>
    <w:rsid w:val="00091E1B"/>
    <w:rsid w:val="00095863"/>
    <w:rsid w:val="000A2664"/>
    <w:rsid w:val="000E3E10"/>
    <w:rsid w:val="000E464D"/>
    <w:rsid w:val="00113E7F"/>
    <w:rsid w:val="0014797D"/>
    <w:rsid w:val="00153E24"/>
    <w:rsid w:val="00155AE5"/>
    <w:rsid w:val="00164C91"/>
    <w:rsid w:val="001655EC"/>
    <w:rsid w:val="00183784"/>
    <w:rsid w:val="0018768A"/>
    <w:rsid w:val="00195C8A"/>
    <w:rsid w:val="0019736A"/>
    <w:rsid w:val="00197D44"/>
    <w:rsid w:val="001A25AC"/>
    <w:rsid w:val="001A477C"/>
    <w:rsid w:val="001A7499"/>
    <w:rsid w:val="001A75AC"/>
    <w:rsid w:val="001D5FD0"/>
    <w:rsid w:val="001D681E"/>
    <w:rsid w:val="001E5E77"/>
    <w:rsid w:val="00200899"/>
    <w:rsid w:val="002018B3"/>
    <w:rsid w:val="00221668"/>
    <w:rsid w:val="00232E91"/>
    <w:rsid w:val="00233DE9"/>
    <w:rsid w:val="00234E25"/>
    <w:rsid w:val="00250727"/>
    <w:rsid w:val="00254A64"/>
    <w:rsid w:val="00263F44"/>
    <w:rsid w:val="00265DCC"/>
    <w:rsid w:val="00265FBB"/>
    <w:rsid w:val="0029448A"/>
    <w:rsid w:val="002C40EA"/>
    <w:rsid w:val="002E3B6A"/>
    <w:rsid w:val="002E5188"/>
    <w:rsid w:val="002F03DE"/>
    <w:rsid w:val="003065DA"/>
    <w:rsid w:val="00312855"/>
    <w:rsid w:val="00347FDA"/>
    <w:rsid w:val="003737F7"/>
    <w:rsid w:val="00374688"/>
    <w:rsid w:val="003869FD"/>
    <w:rsid w:val="00386F7B"/>
    <w:rsid w:val="00393C1A"/>
    <w:rsid w:val="003A31CA"/>
    <w:rsid w:val="003A6E1E"/>
    <w:rsid w:val="003C0130"/>
    <w:rsid w:val="004117FD"/>
    <w:rsid w:val="004153B5"/>
    <w:rsid w:val="00426AA3"/>
    <w:rsid w:val="00427DA0"/>
    <w:rsid w:val="004373B7"/>
    <w:rsid w:val="00437C15"/>
    <w:rsid w:val="00450E46"/>
    <w:rsid w:val="00461793"/>
    <w:rsid w:val="0047107E"/>
    <w:rsid w:val="004A5518"/>
    <w:rsid w:val="004C1488"/>
    <w:rsid w:val="004D4BC9"/>
    <w:rsid w:val="004F59DD"/>
    <w:rsid w:val="00511043"/>
    <w:rsid w:val="00511AB0"/>
    <w:rsid w:val="005237ED"/>
    <w:rsid w:val="00526EAB"/>
    <w:rsid w:val="00531F57"/>
    <w:rsid w:val="00572319"/>
    <w:rsid w:val="005763C9"/>
    <w:rsid w:val="00590E06"/>
    <w:rsid w:val="0059389D"/>
    <w:rsid w:val="005A3602"/>
    <w:rsid w:val="005A5C18"/>
    <w:rsid w:val="005A788A"/>
    <w:rsid w:val="005B3A7D"/>
    <w:rsid w:val="005C33E4"/>
    <w:rsid w:val="005C7D99"/>
    <w:rsid w:val="005E0576"/>
    <w:rsid w:val="00603E94"/>
    <w:rsid w:val="006233DC"/>
    <w:rsid w:val="00647F95"/>
    <w:rsid w:val="0067145E"/>
    <w:rsid w:val="00676163"/>
    <w:rsid w:val="00686079"/>
    <w:rsid w:val="0069436C"/>
    <w:rsid w:val="006D1809"/>
    <w:rsid w:val="006D49AA"/>
    <w:rsid w:val="00700C89"/>
    <w:rsid w:val="00702352"/>
    <w:rsid w:val="00731164"/>
    <w:rsid w:val="00753D47"/>
    <w:rsid w:val="00757D07"/>
    <w:rsid w:val="007629E9"/>
    <w:rsid w:val="00773BEA"/>
    <w:rsid w:val="00776856"/>
    <w:rsid w:val="00786707"/>
    <w:rsid w:val="007C3BAF"/>
    <w:rsid w:val="007C5E25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77D2D"/>
    <w:rsid w:val="00894FF0"/>
    <w:rsid w:val="008A3B9D"/>
    <w:rsid w:val="008A6A30"/>
    <w:rsid w:val="008B293F"/>
    <w:rsid w:val="00902810"/>
    <w:rsid w:val="00930D16"/>
    <w:rsid w:val="0093651D"/>
    <w:rsid w:val="00943F98"/>
    <w:rsid w:val="00965D5A"/>
    <w:rsid w:val="00977415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36C18"/>
    <w:rsid w:val="00A422EC"/>
    <w:rsid w:val="00A458CF"/>
    <w:rsid w:val="00A4669C"/>
    <w:rsid w:val="00A56D1A"/>
    <w:rsid w:val="00A570CF"/>
    <w:rsid w:val="00A63CB3"/>
    <w:rsid w:val="00AA5B85"/>
    <w:rsid w:val="00AB155F"/>
    <w:rsid w:val="00AD2EF9"/>
    <w:rsid w:val="00AD4879"/>
    <w:rsid w:val="00AD4B0C"/>
    <w:rsid w:val="00AE3F0E"/>
    <w:rsid w:val="00AF6898"/>
    <w:rsid w:val="00B03A46"/>
    <w:rsid w:val="00B058D1"/>
    <w:rsid w:val="00B12A3B"/>
    <w:rsid w:val="00B327EA"/>
    <w:rsid w:val="00B35CC3"/>
    <w:rsid w:val="00B44F42"/>
    <w:rsid w:val="00B55CE3"/>
    <w:rsid w:val="00B60798"/>
    <w:rsid w:val="00B777CA"/>
    <w:rsid w:val="00B964AA"/>
    <w:rsid w:val="00BB5736"/>
    <w:rsid w:val="00BD0F64"/>
    <w:rsid w:val="00BD2F4A"/>
    <w:rsid w:val="00BE49D9"/>
    <w:rsid w:val="00C046E9"/>
    <w:rsid w:val="00C100CF"/>
    <w:rsid w:val="00C12AD1"/>
    <w:rsid w:val="00C16CEA"/>
    <w:rsid w:val="00C56368"/>
    <w:rsid w:val="00C84B58"/>
    <w:rsid w:val="00C9185E"/>
    <w:rsid w:val="00CB3D77"/>
    <w:rsid w:val="00CD7BE8"/>
    <w:rsid w:val="00CF0AAB"/>
    <w:rsid w:val="00D20897"/>
    <w:rsid w:val="00D2728B"/>
    <w:rsid w:val="00D33ED2"/>
    <w:rsid w:val="00D55314"/>
    <w:rsid w:val="00D757EC"/>
    <w:rsid w:val="00D76690"/>
    <w:rsid w:val="00D93D6D"/>
    <w:rsid w:val="00DA3808"/>
    <w:rsid w:val="00DB6BAD"/>
    <w:rsid w:val="00DC3CBD"/>
    <w:rsid w:val="00DD509A"/>
    <w:rsid w:val="00DD7B9C"/>
    <w:rsid w:val="00DF15B5"/>
    <w:rsid w:val="00DF2BB6"/>
    <w:rsid w:val="00DF5421"/>
    <w:rsid w:val="00E119BC"/>
    <w:rsid w:val="00E25774"/>
    <w:rsid w:val="00E4227E"/>
    <w:rsid w:val="00E43F6B"/>
    <w:rsid w:val="00E70EF5"/>
    <w:rsid w:val="00E74776"/>
    <w:rsid w:val="00EB780F"/>
    <w:rsid w:val="00ED5E99"/>
    <w:rsid w:val="00ED7E3B"/>
    <w:rsid w:val="00EF0846"/>
    <w:rsid w:val="00F00371"/>
    <w:rsid w:val="00F12660"/>
    <w:rsid w:val="00F12CB8"/>
    <w:rsid w:val="00F1656D"/>
    <w:rsid w:val="00F3494C"/>
    <w:rsid w:val="00F35D39"/>
    <w:rsid w:val="00F4179F"/>
    <w:rsid w:val="00F5746D"/>
    <w:rsid w:val="00F86C2B"/>
    <w:rsid w:val="00F902FE"/>
    <w:rsid w:val="00FB5D0D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BB57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5736"/>
  </w:style>
  <w:style w:type="paragraph" w:styleId="CommentSubject">
    <w:name w:val="annotation subject"/>
    <w:basedOn w:val="CommentText"/>
    <w:next w:val="CommentText"/>
    <w:link w:val="CommentSubjectChar"/>
    <w:rsid w:val="00BB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57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BB57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5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5736"/>
  </w:style>
  <w:style w:type="paragraph" w:styleId="CommentSubject">
    <w:name w:val="annotation subject"/>
    <w:basedOn w:val="CommentText"/>
    <w:next w:val="CommentText"/>
    <w:link w:val="CommentSubjectChar"/>
    <w:rsid w:val="00BB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5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E560-46A1-4913-BCDF-D519DB7D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4587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5385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Administrator</cp:lastModifiedBy>
  <cp:revision>2</cp:revision>
  <cp:lastPrinted>2020-07-21T12:25:00Z</cp:lastPrinted>
  <dcterms:created xsi:type="dcterms:W3CDTF">2020-07-21T13:10:00Z</dcterms:created>
  <dcterms:modified xsi:type="dcterms:W3CDTF">2020-07-21T13:10:00Z</dcterms:modified>
</cp:coreProperties>
</file>