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A843B" w14:textId="0527A8EC" w:rsidR="009A3F81" w:rsidRPr="00C15B80" w:rsidRDefault="006E1561" w:rsidP="004C72B3">
      <w:pPr>
        <w:spacing w:before="240" w:after="0"/>
        <w:rPr>
          <w:rFonts w:ascii="Bookman Old Style" w:hAnsi="Bookman Old Style"/>
          <w:b/>
          <w:bCs/>
          <w:i/>
          <w:iCs/>
        </w:rPr>
      </w:pPr>
      <w:r w:rsidRPr="00C15B80">
        <w:rPr>
          <w:rFonts w:ascii="Bookman Old Style" w:hAnsi="Bookman Old Style"/>
          <w:b/>
          <w:bCs/>
          <w:i/>
          <w:iCs/>
          <w:noProof/>
        </w:rPr>
        <w:drawing>
          <wp:anchor distT="0" distB="0" distL="114300" distR="114300" simplePos="0" relativeHeight="251659264" behindDoc="1" locked="0" layoutInCell="1" allowOverlap="1" wp14:anchorId="07BF8798" wp14:editId="128F53C6">
            <wp:simplePos x="0" y="0"/>
            <wp:positionH relativeFrom="column">
              <wp:posOffset>0</wp:posOffset>
            </wp:positionH>
            <wp:positionV relativeFrom="paragraph">
              <wp:posOffset>187960</wp:posOffset>
            </wp:positionV>
            <wp:extent cx="1380490" cy="694690"/>
            <wp:effectExtent l="0" t="0" r="0" b="0"/>
            <wp:wrapSquare wrapText="right"/>
            <wp:docPr id="20"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sHealt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04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009A3F81" w:rsidRPr="00C15B80">
        <w:rPr>
          <w:rFonts w:ascii="Bookman Old Style" w:hAnsi="Bookman Old Style"/>
          <w:b/>
          <w:bCs/>
          <w:i/>
          <w:iCs/>
        </w:rPr>
        <w:t>Commonwealth of Massachusetts</w:t>
      </w:r>
    </w:p>
    <w:p w14:paraId="220FBA41" w14:textId="5156AC95" w:rsidR="009A3F81" w:rsidRPr="00C15B80" w:rsidRDefault="009A3F81" w:rsidP="00C15B80">
      <w:pPr>
        <w:spacing w:after="0"/>
        <w:rPr>
          <w:rFonts w:ascii="Bookman Old Style" w:hAnsi="Bookman Old Style"/>
          <w:b/>
          <w:bCs/>
          <w:i/>
          <w:iCs/>
        </w:rPr>
      </w:pPr>
      <w:r w:rsidRPr="00C15B80">
        <w:rPr>
          <w:rFonts w:ascii="Bookman Old Style" w:hAnsi="Bookman Old Style"/>
          <w:b/>
          <w:bCs/>
          <w:i/>
          <w:iCs/>
        </w:rPr>
        <w:t>Executive Office of Health and Human Services</w:t>
      </w:r>
      <w:r w:rsidRPr="00C15B80">
        <w:rPr>
          <w:rFonts w:ascii="Bookman Old Style" w:hAnsi="Bookman Old Style"/>
          <w:b/>
          <w:bCs/>
          <w:i/>
          <w:iCs/>
        </w:rPr>
        <w:br/>
        <w:t>Office of Medicaid</w:t>
      </w:r>
    </w:p>
    <w:p w14:paraId="50691BE4" w14:textId="7CFFD3BB" w:rsidR="009A3F81" w:rsidRPr="004C1488" w:rsidRDefault="00444C6A" w:rsidP="00562063">
      <w:hyperlink r:id="rId9" w:history="1">
        <w:r w:rsidR="00292EB0" w:rsidRPr="00DB2975">
          <w:rPr>
            <w:rStyle w:val="Hyperlink"/>
            <w:rFonts w:ascii="Bookman Old Style" w:hAnsi="Bookman Old Style"/>
            <w:sz w:val="18"/>
          </w:rPr>
          <w:t>www.mass.gov/masshealth</w:t>
        </w:r>
      </w:hyperlink>
      <w:r w:rsidR="00292EB0">
        <w:t xml:space="preserve"> </w:t>
      </w:r>
    </w:p>
    <w:p w14:paraId="6B5FD038" w14:textId="1CA2E7D0" w:rsidR="004117FD" w:rsidRPr="00A34C3C" w:rsidRDefault="004117FD" w:rsidP="00C15B80">
      <w:pPr>
        <w:pStyle w:val="Heading1"/>
        <w:ind w:left="5040" w:firstLine="0"/>
      </w:pPr>
      <w:r w:rsidRPr="00A34C3C">
        <w:t xml:space="preserve">Eligibility Operations Memo </w:t>
      </w:r>
      <w:r w:rsidR="00292EB0" w:rsidRPr="00A34C3C">
        <w:t>22</w:t>
      </w:r>
      <w:r w:rsidRPr="00A34C3C">
        <w:t>-</w:t>
      </w:r>
      <w:r w:rsidR="00492FEB">
        <w:t>10</w:t>
      </w:r>
    </w:p>
    <w:p w14:paraId="55C3DEBE" w14:textId="0B36D341" w:rsidR="004117FD" w:rsidRPr="00C15B80" w:rsidRDefault="00A34C3C" w:rsidP="00C15B80">
      <w:pPr>
        <w:ind w:left="5040"/>
        <w:rPr>
          <w:b/>
          <w:color w:val="990000"/>
        </w:rPr>
      </w:pPr>
      <w:r w:rsidRPr="00C15B80">
        <w:rPr>
          <w:b/>
          <w:color w:val="990000"/>
        </w:rPr>
        <w:t>August 2022</w:t>
      </w:r>
    </w:p>
    <w:p w14:paraId="5644F62A" w14:textId="5255E5A4" w:rsidR="004117FD" w:rsidRPr="004153B5" w:rsidRDefault="004117FD" w:rsidP="007A3BBC">
      <w:pPr>
        <w:tabs>
          <w:tab w:val="left" w:pos="1260"/>
        </w:tabs>
        <w:spacing w:before="240"/>
      </w:pPr>
      <w:r w:rsidRPr="004153B5">
        <w:t>TO:</w:t>
      </w:r>
      <w:r w:rsidR="00AD4B0C">
        <w:tab/>
      </w:r>
      <w:r w:rsidRPr="004153B5">
        <w:t>MassHealth Eligibility Operations Staff</w:t>
      </w:r>
    </w:p>
    <w:p w14:paraId="2EA48C9D" w14:textId="4A34B310" w:rsidR="004117FD" w:rsidRDefault="004117FD" w:rsidP="004C72B3">
      <w:pPr>
        <w:tabs>
          <w:tab w:val="left" w:pos="1260"/>
        </w:tabs>
      </w:pPr>
      <w:r w:rsidRPr="004153B5">
        <w:t>FROM:</w:t>
      </w:r>
      <w:r w:rsidRPr="004153B5">
        <w:tab/>
      </w:r>
      <w:r w:rsidR="00374688">
        <w:t>Heather Rossi</w:t>
      </w:r>
      <w:r w:rsidRPr="004153B5">
        <w:t xml:space="preserve">, </w:t>
      </w:r>
      <w:r w:rsidR="00374688" w:rsidRPr="00374688">
        <w:t xml:space="preserve">Director </w:t>
      </w:r>
      <w:r w:rsidR="00EB1686">
        <w:t>of</w:t>
      </w:r>
      <w:r w:rsidR="00374688" w:rsidRPr="00374688">
        <w:t xml:space="preserve"> Eligibility</w:t>
      </w:r>
      <w:r w:rsidR="00EB1686">
        <w:t xml:space="preserve"> Policy</w:t>
      </w:r>
      <w:r w:rsidR="002E1692">
        <w:t xml:space="preserve"> [signature of Heather Rossi]</w:t>
      </w:r>
    </w:p>
    <w:p w14:paraId="57206A66" w14:textId="77777777" w:rsidR="003A11A5" w:rsidRPr="006E6F26" w:rsidRDefault="004117FD" w:rsidP="004C72B3">
      <w:pPr>
        <w:tabs>
          <w:tab w:val="left" w:pos="1260"/>
        </w:tabs>
        <w:rPr>
          <w:b/>
          <w:color w:val="990000"/>
        </w:rPr>
      </w:pPr>
      <w:r w:rsidRPr="004153B5">
        <w:t>RE:</w:t>
      </w:r>
      <w:r w:rsidRPr="004153B5">
        <w:tab/>
      </w:r>
      <w:r w:rsidR="003A11A5" w:rsidRPr="006E6F26">
        <w:rPr>
          <w:b/>
          <w:color w:val="990000"/>
        </w:rPr>
        <w:t>Updated MassHealth Response to Coronavirus Disease (COVID-19)</w:t>
      </w:r>
    </w:p>
    <w:p w14:paraId="6B5E789D" w14:textId="7936E9B6" w:rsidR="005B3A7D" w:rsidRPr="003A11A5" w:rsidRDefault="005E669A" w:rsidP="006E6F26">
      <w:pPr>
        <w:pStyle w:val="Heading2"/>
      </w:pPr>
      <w:r w:rsidRPr="003A11A5">
        <w:t>Introduction</w:t>
      </w:r>
    </w:p>
    <w:p w14:paraId="315E9E8A" w14:textId="7378AF45" w:rsidR="004C72B3" w:rsidRDefault="005E669A" w:rsidP="00562063">
      <w:r w:rsidRPr="00BA41F1">
        <w:t xml:space="preserve">As part of the ongoing response to the COVID-19 </w:t>
      </w:r>
      <w:r>
        <w:t>Federal Public Health Emergency (FPHE)</w:t>
      </w:r>
      <w:r w:rsidRPr="00BA41F1">
        <w:t>, MassHealth</w:t>
      </w:r>
      <w:r>
        <w:t>, with federal approval,</w:t>
      </w:r>
      <w:r w:rsidRPr="00BA41F1">
        <w:t xml:space="preserve"> authorized certain flexibilities to expedite access to MassHealth coverage for eligible individuals. This memo provides updates to these flexibilities and supersedes </w:t>
      </w:r>
      <w:hyperlink r:id="rId10" w:anchor="2021-eligibility-operations-memos-" w:history="1">
        <w:r w:rsidRPr="00444C6A">
          <w:rPr>
            <w:rStyle w:val="Hyperlink"/>
          </w:rPr>
          <w:t>Eligibility Operations Memo 21-17</w:t>
        </w:r>
      </w:hyperlink>
      <w:r w:rsidRPr="00BA41F1">
        <w:t xml:space="preserve">, published in </w:t>
      </w:r>
      <w:r>
        <w:t>November 2021</w:t>
      </w:r>
      <w:r w:rsidRPr="00BA41F1">
        <w:t>.</w:t>
      </w:r>
      <w:r w:rsidRPr="00BA41F1" w:rsidDel="0029459D">
        <w:t xml:space="preserve"> </w:t>
      </w:r>
    </w:p>
    <w:p w14:paraId="16792673" w14:textId="486A4ED2" w:rsidR="005E669A" w:rsidRPr="004C72B3" w:rsidRDefault="005E669A" w:rsidP="00562063">
      <w:r w:rsidRPr="004C72B3">
        <w:t xml:space="preserve">This EOM is effective as of </w:t>
      </w:r>
      <w:r w:rsidRPr="000A4705">
        <w:t>August 1, 2022</w:t>
      </w:r>
      <w:r w:rsidRPr="004C72B3">
        <w:t xml:space="preserve">. </w:t>
      </w:r>
    </w:p>
    <w:p w14:paraId="468A2824" w14:textId="441A53D0" w:rsidR="005E669A" w:rsidRPr="006E6F26" w:rsidRDefault="005E669A" w:rsidP="006E6F26">
      <w:pPr>
        <w:pStyle w:val="Heading2"/>
      </w:pPr>
      <w:r w:rsidRPr="006E6F26">
        <w:t xml:space="preserve">Updates to Eligibility Flexibilities that Remain in Effect </w:t>
      </w:r>
      <w:r w:rsidR="006E6F26" w:rsidRPr="006E6F26">
        <w:t>t</w:t>
      </w:r>
      <w:r w:rsidRPr="006E6F26">
        <w:t>hrough the End of the FPHE</w:t>
      </w:r>
    </w:p>
    <w:p w14:paraId="6D94FF35" w14:textId="77777777" w:rsidR="005E669A" w:rsidRPr="003A11A5" w:rsidRDefault="005E669A" w:rsidP="006E6F26">
      <w:pPr>
        <w:pStyle w:val="Heading3"/>
      </w:pPr>
      <w:r w:rsidRPr="003A11A5">
        <w:t>Maintaining MassHealth Coverage</w:t>
      </w:r>
    </w:p>
    <w:p w14:paraId="6A6AA6EA" w14:textId="6BE8D745" w:rsidR="005E669A" w:rsidRPr="00BA41F1" w:rsidRDefault="005E669A" w:rsidP="00562063">
      <w:pPr>
        <w:rPr>
          <w:rFonts w:cstheme="minorBidi"/>
        </w:rPr>
      </w:pPr>
      <w:r w:rsidRPr="00BA41F1">
        <w:t xml:space="preserve">MassHealth will </w:t>
      </w:r>
      <w:r>
        <w:t xml:space="preserve">continue to </w:t>
      </w:r>
      <w:r w:rsidRPr="00BA41F1">
        <w:t>maintain coverage for most individuals who ha</w:t>
      </w:r>
      <w:r w:rsidR="004C72B3">
        <w:t>d</w:t>
      </w:r>
      <w:r w:rsidRPr="00BA41F1">
        <w:t xml:space="preserve"> health coverage as of March 18, 2020, and for all individuals newly approved for health coverage during the FPHE, through the end of the month in which the FPHE ends. </w:t>
      </w:r>
      <w:r w:rsidRPr="00BA41F1">
        <w:rPr>
          <w:rStyle w:val="Emphasis"/>
          <w:i w:val="0"/>
          <w:iCs w:val="0"/>
        </w:rPr>
        <w:t>These individuals will not lose coverage, except for limited circumstances</w:t>
      </w:r>
      <w:r w:rsidR="004C72B3">
        <w:rPr>
          <w:rStyle w:val="Emphasis"/>
          <w:i w:val="0"/>
          <w:iCs w:val="0"/>
        </w:rPr>
        <w:t>.</w:t>
      </w:r>
    </w:p>
    <w:p w14:paraId="189257CC" w14:textId="343809A9" w:rsidR="005E669A" w:rsidRPr="00BA41F1" w:rsidRDefault="005E669A" w:rsidP="00C15B80">
      <w:pPr>
        <w:pStyle w:val="ListParagraph"/>
        <w:ind w:left="0"/>
      </w:pPr>
      <w:r w:rsidRPr="00BA41F1">
        <w:t>For example, coverage will end if an individual</w:t>
      </w:r>
    </w:p>
    <w:p w14:paraId="413ED918" w14:textId="77777777" w:rsidR="005E669A" w:rsidRPr="00BA41F1" w:rsidRDefault="005E669A" w:rsidP="00C15B80">
      <w:pPr>
        <w:pStyle w:val="ListParagraph"/>
        <w:numPr>
          <w:ilvl w:val="0"/>
          <w:numId w:val="19"/>
        </w:numPr>
      </w:pPr>
      <w:r w:rsidRPr="00BA41F1">
        <w:t xml:space="preserve">requests termination of </w:t>
      </w:r>
      <w:proofErr w:type="gramStart"/>
      <w:r w:rsidRPr="00BA41F1">
        <w:t>eligibility;</w:t>
      </w:r>
      <w:proofErr w:type="gramEnd"/>
    </w:p>
    <w:p w14:paraId="231B3919" w14:textId="77777777" w:rsidR="005E669A" w:rsidRPr="00BA41F1" w:rsidRDefault="005E669A" w:rsidP="00C15B80">
      <w:pPr>
        <w:pStyle w:val="ListParagraph"/>
        <w:numPr>
          <w:ilvl w:val="0"/>
          <w:numId w:val="19"/>
        </w:numPr>
      </w:pPr>
      <w:r w:rsidRPr="00BA41F1">
        <w:t>is no longer a resident of Massachusetts; or</w:t>
      </w:r>
    </w:p>
    <w:p w14:paraId="666A4394" w14:textId="739D8774" w:rsidR="005E669A" w:rsidRPr="00BA41F1" w:rsidRDefault="005E669A" w:rsidP="00C15B80">
      <w:pPr>
        <w:pStyle w:val="ListParagraph"/>
        <w:numPr>
          <w:ilvl w:val="0"/>
          <w:numId w:val="19"/>
        </w:numPr>
      </w:pPr>
      <w:r w:rsidRPr="00BA41F1">
        <w:t>is deceased.</w:t>
      </w:r>
    </w:p>
    <w:p w14:paraId="15AF7A42" w14:textId="2BF8155B" w:rsidR="005E669A" w:rsidRDefault="005E669A" w:rsidP="00562063">
      <w:r w:rsidRPr="00897DC9">
        <w:t>MassHealth is not required to maintain coverage during the FPHE for individuals with time limited HSN, HSN Dental only, or CMSP only, and CHIP children who turn 19. These members will have benefits reduced or closed based on regular program determination rules.</w:t>
      </w:r>
    </w:p>
    <w:p w14:paraId="3996FCB4" w14:textId="77777777" w:rsidR="00087614" w:rsidRPr="006E6F26" w:rsidRDefault="00087614" w:rsidP="00087614">
      <w:pPr>
        <w:pStyle w:val="Heading3"/>
      </w:pPr>
      <w:r w:rsidRPr="006E6F26">
        <w:t xml:space="preserve">Adjustments to the FPHE Continuous </w:t>
      </w:r>
      <w:r w:rsidRPr="006E6F26">
        <w:rPr>
          <w:sz w:val="24"/>
          <w:szCs w:val="24"/>
        </w:rPr>
        <w:t>Coverage</w:t>
      </w:r>
      <w:r w:rsidRPr="006E6F26">
        <w:t xml:space="preserve"> Rules</w:t>
      </w:r>
    </w:p>
    <w:p w14:paraId="70695350" w14:textId="1BB86B87" w:rsidR="00087614" w:rsidRDefault="00087614" w:rsidP="00444C6A">
      <w:pPr>
        <w:pStyle w:val="xmsonormal"/>
        <w:spacing w:before="0" w:beforeAutospacing="0" w:after="120" w:afterAutospacing="0" w:line="276" w:lineRule="auto"/>
      </w:pPr>
      <w:r w:rsidRPr="00C3327A">
        <w:t xml:space="preserve">In preparation for activities that must happen once the </w:t>
      </w:r>
      <w:r>
        <w:t>FPHE</w:t>
      </w:r>
      <w:r w:rsidRPr="00C3327A">
        <w:t xml:space="preserve"> officially ends, MassHealth has implemented a new workaround to replace the existing COVID workaround </w:t>
      </w:r>
      <w:r>
        <w:t>that was put into effect in November 2021</w:t>
      </w:r>
      <w:r w:rsidRPr="00C3327A">
        <w:t xml:space="preserve">. Under the new workaround, </w:t>
      </w:r>
      <w:r w:rsidRPr="00C3327A">
        <w:rPr>
          <w:b/>
          <w:bCs/>
        </w:rPr>
        <w:t xml:space="preserve">effective </w:t>
      </w:r>
      <w:r>
        <w:rPr>
          <w:b/>
          <w:bCs/>
        </w:rPr>
        <w:t xml:space="preserve">August </w:t>
      </w:r>
      <w:r w:rsidRPr="00C3327A">
        <w:rPr>
          <w:b/>
          <w:bCs/>
        </w:rPr>
        <w:t>1</w:t>
      </w:r>
      <w:r>
        <w:rPr>
          <w:b/>
          <w:bCs/>
        </w:rPr>
        <w:t xml:space="preserve">, </w:t>
      </w:r>
      <w:r w:rsidRPr="00C3327A">
        <w:rPr>
          <w:b/>
          <w:bCs/>
        </w:rPr>
        <w:t>2022</w:t>
      </w:r>
      <w:r w:rsidRPr="00C3327A">
        <w:t>, members’ coverage types (</w:t>
      </w:r>
      <w:proofErr w:type="gramStart"/>
      <w:r w:rsidRPr="00C3327A">
        <w:t>e.g.</w:t>
      </w:r>
      <w:proofErr w:type="gramEnd"/>
      <w:r w:rsidRPr="00C3327A">
        <w:t xml:space="preserve"> Standard, CommonHealth, Family Assistance, CarePlus) will change only if the program determination results in an upgrade. There will be no lateral or downgrade transitions between coverage types. </w:t>
      </w:r>
    </w:p>
    <w:p w14:paraId="675817D4" w14:textId="77777777" w:rsidR="00087614" w:rsidRDefault="00087614" w:rsidP="00562063"/>
    <w:p w14:paraId="42492EE4" w14:textId="77777777" w:rsidR="003A11A5" w:rsidRPr="00897DC9" w:rsidRDefault="003A11A5" w:rsidP="00562063"/>
    <w:p w14:paraId="60CF744A" w14:textId="77777777" w:rsidR="003A11A5" w:rsidRDefault="003A11A5" w:rsidP="00562063">
      <w:pPr>
        <w:pStyle w:val="xmsonormal"/>
        <w:sectPr w:rsidR="003A11A5" w:rsidSect="00265DCC">
          <w:footerReference w:type="first" r:id="rId11"/>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pPr>
    </w:p>
    <w:p w14:paraId="08191227" w14:textId="0B01A61C" w:rsidR="005E669A" w:rsidRDefault="00C766BC" w:rsidP="006E6F26">
      <w:pPr>
        <w:pStyle w:val="xmsonormal"/>
        <w:spacing w:before="0" w:beforeAutospacing="0" w:after="120" w:afterAutospacing="0"/>
      </w:pPr>
      <w:r>
        <w:lastRenderedPageBreak/>
        <w:t>T</w:t>
      </w:r>
      <w:r w:rsidR="005E669A">
        <w:t>his new workaround compl</w:t>
      </w:r>
      <w:r>
        <w:t>ies</w:t>
      </w:r>
      <w:r w:rsidR="005E669A">
        <w:t xml:space="preserve"> with federal unwind guidance for the end of the FPHE</w:t>
      </w:r>
      <w:r>
        <w:t xml:space="preserve"> that</w:t>
      </w:r>
      <w:r w:rsidR="005E669A">
        <w:t xml:space="preserve"> prohibits any adverse action, including a downgrade within the same tier of coverage, without first completing a full renewal of the member’s eligibility status. </w:t>
      </w:r>
    </w:p>
    <w:p w14:paraId="15C76C39" w14:textId="77777777" w:rsidR="005E669A" w:rsidRPr="00C3327A" w:rsidRDefault="005E669A" w:rsidP="000101A4">
      <w:pPr>
        <w:pStyle w:val="xmsonormal"/>
        <w:spacing w:before="0" w:beforeAutospacing="0" w:after="120" w:afterAutospacing="0"/>
      </w:pPr>
      <w:r w:rsidRPr="00C3327A">
        <w:t>For example, despite a change in circumstances, members would not transition from comprehensive MassHealth (</w:t>
      </w:r>
      <w:proofErr w:type="gramStart"/>
      <w:r w:rsidRPr="00C3327A">
        <w:t>e.g.</w:t>
      </w:r>
      <w:proofErr w:type="gramEnd"/>
      <w:r w:rsidRPr="00C3327A">
        <w:t xml:space="preserve"> Standard) to a Medicare Savings Plan (MSP) only benefit.</w:t>
      </w:r>
    </w:p>
    <w:p w14:paraId="5DBCF77C" w14:textId="78FF9C63" w:rsidR="005E669A" w:rsidRPr="00FE0B6B" w:rsidRDefault="005E669A" w:rsidP="000101A4">
      <w:pPr>
        <w:pStyle w:val="Heading3"/>
        <w:spacing w:before="0"/>
      </w:pPr>
      <w:r w:rsidRPr="00FE0B6B">
        <w:t>Important Notes</w:t>
      </w:r>
    </w:p>
    <w:p w14:paraId="08C88B8C" w14:textId="125C1F3D" w:rsidR="005E669A" w:rsidRDefault="005E669A" w:rsidP="00444C6A">
      <w:pPr>
        <w:pStyle w:val="ListParagraph"/>
        <w:numPr>
          <w:ilvl w:val="0"/>
          <w:numId w:val="19"/>
        </w:numPr>
      </w:pPr>
      <w:r w:rsidRPr="00C3327A">
        <w:t>Individuals may still experience changes in aid cat</w:t>
      </w:r>
      <w:r w:rsidR="00DF238B">
        <w:t>egorie</w:t>
      </w:r>
      <w:r w:rsidRPr="00C3327A">
        <w:t>s when they are within the same coverage type. </w:t>
      </w:r>
    </w:p>
    <w:p w14:paraId="109E3EDF" w14:textId="77777777" w:rsidR="005E669A" w:rsidRPr="00FE0B6B" w:rsidRDefault="005E669A" w:rsidP="00444C6A">
      <w:pPr>
        <w:pStyle w:val="ListParagraph"/>
        <w:numPr>
          <w:ilvl w:val="0"/>
          <w:numId w:val="19"/>
        </w:numPr>
      </w:pPr>
      <w:r w:rsidRPr="00FE0B6B">
        <w:t>Premium bills will continue to be adjusted to ensure households do not experience premium increases.</w:t>
      </w:r>
    </w:p>
    <w:p w14:paraId="77056DCF" w14:textId="77777777" w:rsidR="005E669A" w:rsidRPr="00C3327A" w:rsidRDefault="005E669A" w:rsidP="00087614">
      <w:r w:rsidRPr="00C3327A">
        <w:t xml:space="preserve">Members who were protected from coverage loss or downgrade during the </w:t>
      </w:r>
      <w:r>
        <w:t>F</w:t>
      </w:r>
      <w:r w:rsidRPr="00C3327A">
        <w:t xml:space="preserve">PHE will not be subject to adverse action on their case after the </w:t>
      </w:r>
      <w:r>
        <w:t>F</w:t>
      </w:r>
      <w:r w:rsidRPr="00C3327A">
        <w:t>PHE ends until they go through a full MassHealth renewal</w:t>
      </w:r>
      <w:r>
        <w:t xml:space="preserve"> after the FPHE ends</w:t>
      </w:r>
      <w:r w:rsidRPr="00C3327A">
        <w:t xml:space="preserve">. </w:t>
      </w:r>
    </w:p>
    <w:p w14:paraId="26281A12" w14:textId="77777777" w:rsidR="005E669A" w:rsidRPr="00C3327A" w:rsidRDefault="005E669A" w:rsidP="00562063">
      <w:pPr>
        <w:rPr>
          <w:b/>
          <w:bCs/>
        </w:rPr>
      </w:pPr>
      <w:r w:rsidRPr="00C3327A">
        <w:rPr>
          <w:rStyle w:val="Emphasis"/>
          <w:i w:val="0"/>
          <w:iCs w:val="0"/>
        </w:rPr>
        <w:t>To continue to receive the best coverage</w:t>
      </w:r>
      <w:r w:rsidRPr="00C3327A">
        <w:t>,</w:t>
      </w:r>
      <w:r w:rsidRPr="00C3327A">
        <w:rPr>
          <w:b/>
          <w:bCs/>
        </w:rPr>
        <w:t xml:space="preserve"> </w:t>
      </w:r>
      <w:r w:rsidRPr="00C3327A">
        <w:t>applicants and members should provide their most current information and report any changes to MassHealth.</w:t>
      </w:r>
      <w:r w:rsidRPr="00C3327A">
        <w:rPr>
          <w:b/>
          <w:bCs/>
        </w:rPr>
        <w:t xml:space="preserve"> </w:t>
      </w:r>
    </w:p>
    <w:p w14:paraId="6B7CED24" w14:textId="77777777" w:rsidR="005E669A" w:rsidRPr="009F581D" w:rsidRDefault="005E669A" w:rsidP="006E6F26">
      <w:pPr>
        <w:pStyle w:val="Heading2"/>
      </w:pPr>
      <w:r>
        <w:t xml:space="preserve">Additional </w:t>
      </w:r>
      <w:r w:rsidRPr="009F581D">
        <w:t xml:space="preserve">Flexibilities That Will Remain in Effect through the End of the COVID-19 Federal Public Health Emergency  </w:t>
      </w:r>
    </w:p>
    <w:p w14:paraId="32A27EA8" w14:textId="77777777" w:rsidR="005E669A" w:rsidRPr="006E6F26" w:rsidRDefault="005E669A" w:rsidP="006E6F26">
      <w:pPr>
        <w:pStyle w:val="Heading3"/>
      </w:pPr>
      <w:r w:rsidRPr="006E6F26">
        <w:t xml:space="preserve">Self-attestation for Eligibility Factors </w:t>
      </w:r>
    </w:p>
    <w:p w14:paraId="1621B121" w14:textId="011F743C" w:rsidR="005E669A" w:rsidRPr="00562063" w:rsidRDefault="005E669A" w:rsidP="00562063">
      <w:r w:rsidRPr="00562063">
        <w:t>If verification of eligibility factors is not available through an electronic data match</w:t>
      </w:r>
      <w:r w:rsidR="003376EF">
        <w:t>,</w:t>
      </w:r>
      <w:r w:rsidRPr="00562063">
        <w:t xml:space="preserve"> or if an individual cannot produce documentation due to the COVID-19 emergency, MassHealth will continue to accept self-attestation for certain eligibility factors, </w:t>
      </w:r>
      <w:r w:rsidR="003376EF">
        <w:t>including</w:t>
      </w:r>
      <w:r w:rsidRPr="00562063">
        <w:t xml:space="preserve"> the following.</w:t>
      </w:r>
    </w:p>
    <w:p w14:paraId="2594F52A" w14:textId="77777777" w:rsidR="005E669A" w:rsidRPr="00BA41F1" w:rsidRDefault="005E669A" w:rsidP="00562063">
      <w:pPr>
        <w:pStyle w:val="ListParagraph"/>
        <w:numPr>
          <w:ilvl w:val="0"/>
          <w:numId w:val="18"/>
        </w:numPr>
      </w:pPr>
      <w:r w:rsidRPr="00BA41F1">
        <w:t>Residency</w:t>
      </w:r>
    </w:p>
    <w:p w14:paraId="5E8E0C3F" w14:textId="77777777" w:rsidR="005E669A" w:rsidRPr="00BA41F1" w:rsidRDefault="005E669A" w:rsidP="00562063">
      <w:pPr>
        <w:pStyle w:val="ListParagraph"/>
        <w:numPr>
          <w:ilvl w:val="0"/>
          <w:numId w:val="18"/>
        </w:numPr>
      </w:pPr>
      <w:r w:rsidRPr="00BA41F1">
        <w:t>Disability</w:t>
      </w:r>
    </w:p>
    <w:p w14:paraId="0A78AB60" w14:textId="77777777" w:rsidR="005E669A" w:rsidRPr="00BA41F1" w:rsidRDefault="005E669A" w:rsidP="00562063">
      <w:pPr>
        <w:pStyle w:val="ListParagraph"/>
        <w:numPr>
          <w:ilvl w:val="0"/>
          <w:numId w:val="18"/>
        </w:numPr>
      </w:pPr>
      <w:r w:rsidRPr="00BA41F1">
        <w:t>Income</w:t>
      </w:r>
    </w:p>
    <w:p w14:paraId="52533739" w14:textId="77777777" w:rsidR="005E669A" w:rsidRPr="00BA41F1" w:rsidRDefault="005E669A" w:rsidP="00562063">
      <w:pPr>
        <w:pStyle w:val="ListParagraph"/>
        <w:numPr>
          <w:ilvl w:val="0"/>
          <w:numId w:val="18"/>
        </w:numPr>
      </w:pPr>
      <w:r w:rsidRPr="00BA41F1">
        <w:t>Assets</w:t>
      </w:r>
    </w:p>
    <w:p w14:paraId="4B543863" w14:textId="0FE03F63" w:rsidR="003376EF" w:rsidRDefault="003376EF" w:rsidP="000101A4">
      <w:r w:rsidRPr="00BA41F1">
        <w:t>MassHealth will issue further guidance on an end-date for this flexibility.</w:t>
      </w:r>
    </w:p>
    <w:p w14:paraId="11BB34B5" w14:textId="609B2E85" w:rsidR="00087614" w:rsidRPr="00BA41F1" w:rsidRDefault="00087614" w:rsidP="00087614">
      <w:pPr>
        <w:pStyle w:val="Heading3"/>
        <w:spacing w:before="240"/>
      </w:pPr>
      <w:r w:rsidRPr="00BA41F1">
        <w:t xml:space="preserve">Access to Hospital-Determined Presumptive Eligibility </w:t>
      </w:r>
    </w:p>
    <w:p w14:paraId="55E1C3D1" w14:textId="448BB056" w:rsidR="00087614" w:rsidRPr="00BA41F1" w:rsidRDefault="00087614" w:rsidP="00087614">
      <w:pPr>
        <w:rPr>
          <w:rFonts w:cstheme="minorHAnsi"/>
        </w:rPr>
      </w:pPr>
      <w:r w:rsidRPr="00BA41F1">
        <w:t xml:space="preserve">The Affordable Care Act (ACA) allows qualified hospitals to make presumptive eligibility determinations for immediate, time-limited Medicaid coverage using self-attested information from certain individuals who appear to be eligible for Medicaid coverage but are unable to complete a full Medicaid application at that time. In addition to individuals </w:t>
      </w:r>
      <w:r w:rsidRPr="00BA41F1">
        <w:rPr>
          <w:rFonts w:cs="Calibri"/>
          <w:shd w:val="clear" w:color="auto" w:fill="FFFFFF"/>
        </w:rPr>
        <w:t>65 years of age or younger</w:t>
      </w:r>
      <w:r w:rsidR="00C766BC">
        <w:rPr>
          <w:rFonts w:cs="Calibri"/>
          <w:shd w:val="clear" w:color="auto" w:fill="FFFFFF"/>
        </w:rPr>
        <w:t>,</w:t>
      </w:r>
      <w:r w:rsidRPr="00BA41F1">
        <w:t xml:space="preserve"> </w:t>
      </w:r>
      <w:r w:rsidR="00892228">
        <w:t>h</w:t>
      </w:r>
      <w:r w:rsidRPr="00BA41F1">
        <w:t>ospital-</w:t>
      </w:r>
      <w:r w:rsidR="00892228">
        <w:t>d</w:t>
      </w:r>
      <w:r w:rsidRPr="00BA41F1">
        <w:t xml:space="preserve">etermined </w:t>
      </w:r>
      <w:r w:rsidR="00892228">
        <w:t>p</w:t>
      </w:r>
      <w:r w:rsidRPr="00BA41F1">
        <w:t xml:space="preserve">resumptive </w:t>
      </w:r>
      <w:r w:rsidR="00892228">
        <w:t>e</w:t>
      </w:r>
      <w:r w:rsidRPr="00BA41F1">
        <w:t xml:space="preserve">ligibility (HPE) will be available to individuals age </w:t>
      </w:r>
      <w:r w:rsidR="00492FEB">
        <w:br/>
      </w:r>
      <w:r w:rsidRPr="00BA41F1">
        <w:t xml:space="preserve">65 and older during the FPHE. </w:t>
      </w:r>
    </w:p>
    <w:p w14:paraId="28EC7116" w14:textId="77777777" w:rsidR="00087614" w:rsidRPr="00BA41F1" w:rsidRDefault="00087614" w:rsidP="000101A4"/>
    <w:p w14:paraId="7606690D" w14:textId="77777777" w:rsidR="006E6F26" w:rsidRDefault="006E6F26" w:rsidP="00562063">
      <w:r>
        <w:br w:type="page"/>
      </w:r>
    </w:p>
    <w:p w14:paraId="18198C41" w14:textId="38C18D09" w:rsidR="005E669A" w:rsidRPr="00BA41F1" w:rsidRDefault="005E669A" w:rsidP="001365A6">
      <w:pPr>
        <w:spacing w:before="120"/>
      </w:pPr>
      <w:r w:rsidRPr="00BA41F1">
        <w:lastRenderedPageBreak/>
        <w:t>Generally, HPE coverage starts on the day that the qualified hospital makes the presumptive eligibility determination and ends on the last day of the month following the month that HPE was approved if a full application has not been submitted by that date</w:t>
      </w:r>
      <w:r w:rsidR="003376EF">
        <w:t>. Alternatively</w:t>
      </w:r>
      <w:r w:rsidRPr="00BA41F1">
        <w:t>, if a full application has been submitted by that date, the HPE coverage ends on the date a determination is made based on the full application.</w:t>
      </w:r>
    </w:p>
    <w:p w14:paraId="27266092" w14:textId="77777777" w:rsidR="005E669A" w:rsidRPr="00BA41F1" w:rsidRDefault="005E669A" w:rsidP="006E6F26">
      <w:pPr>
        <w:pStyle w:val="Heading3"/>
      </w:pPr>
      <w:r w:rsidRPr="00BA41F1">
        <w:t>Fair Hearings</w:t>
      </w:r>
    </w:p>
    <w:p w14:paraId="06539B68" w14:textId="00AF4D8B" w:rsidR="005E669A" w:rsidRPr="00BA41F1" w:rsidRDefault="005E669A" w:rsidP="00562063">
      <w:r w:rsidRPr="00BA41F1">
        <w:t>Individuals will</w:t>
      </w:r>
      <w:r w:rsidRPr="00BA41F1">
        <w:rPr>
          <w:spacing w:val="-2"/>
        </w:rPr>
        <w:t xml:space="preserve"> </w:t>
      </w:r>
      <w:r w:rsidRPr="00BA41F1">
        <w:t>have</w:t>
      </w:r>
      <w:r w:rsidRPr="00BA41F1">
        <w:rPr>
          <w:spacing w:val="1"/>
        </w:rPr>
        <w:t xml:space="preserve"> </w:t>
      </w:r>
      <w:r w:rsidRPr="00BA41F1">
        <w:rPr>
          <w:spacing w:val="-2"/>
        </w:rPr>
        <w:t>up</w:t>
      </w:r>
      <w:r w:rsidRPr="00BA41F1">
        <w:rPr>
          <w:spacing w:val="1"/>
        </w:rPr>
        <w:t xml:space="preserve"> </w:t>
      </w:r>
      <w:r w:rsidRPr="00BA41F1">
        <w:rPr>
          <w:spacing w:val="-2"/>
        </w:rPr>
        <w:t>to</w:t>
      </w:r>
      <w:r w:rsidRPr="00BA41F1">
        <w:rPr>
          <w:spacing w:val="2"/>
        </w:rPr>
        <w:t xml:space="preserve"> </w:t>
      </w:r>
      <w:r w:rsidRPr="00C3327A">
        <w:rPr>
          <w:b/>
          <w:bCs/>
          <w:spacing w:val="-2"/>
        </w:rPr>
        <w:t>120</w:t>
      </w:r>
      <w:r w:rsidRPr="00C3327A">
        <w:rPr>
          <w:b/>
          <w:bCs/>
          <w:spacing w:val="1"/>
        </w:rPr>
        <w:t xml:space="preserve"> </w:t>
      </w:r>
      <w:r w:rsidRPr="00C3327A">
        <w:rPr>
          <w:b/>
          <w:bCs/>
        </w:rPr>
        <w:t>days</w:t>
      </w:r>
      <w:r w:rsidRPr="00BA41F1">
        <w:t>, instead of</w:t>
      </w:r>
      <w:r w:rsidRPr="00BA41F1">
        <w:rPr>
          <w:spacing w:val="-3"/>
        </w:rPr>
        <w:t xml:space="preserve"> </w:t>
      </w:r>
      <w:r w:rsidRPr="00BA41F1">
        <w:t>the standard</w:t>
      </w:r>
      <w:r w:rsidRPr="00BA41F1">
        <w:rPr>
          <w:spacing w:val="-3"/>
        </w:rPr>
        <w:t xml:space="preserve"> </w:t>
      </w:r>
      <w:r w:rsidRPr="00BA41F1">
        <w:t>30</w:t>
      </w:r>
      <w:r w:rsidRPr="00BA41F1">
        <w:rPr>
          <w:spacing w:val="-2"/>
        </w:rPr>
        <w:t xml:space="preserve"> </w:t>
      </w:r>
      <w:r w:rsidRPr="00BA41F1">
        <w:t>days,</w:t>
      </w:r>
      <w:r w:rsidRPr="00BA41F1">
        <w:rPr>
          <w:spacing w:val="3"/>
        </w:rPr>
        <w:t xml:space="preserve"> </w:t>
      </w:r>
      <w:r w:rsidRPr="00BA41F1">
        <w:t xml:space="preserve">to request a fair hearing for </w:t>
      </w:r>
      <w:r w:rsidR="000101A4">
        <w:t xml:space="preserve">concerns related to </w:t>
      </w:r>
      <w:r w:rsidRPr="00BA41F1">
        <w:rPr>
          <w:spacing w:val="-2"/>
        </w:rPr>
        <w:t>member</w:t>
      </w:r>
      <w:r w:rsidRPr="00BA41F1">
        <w:t xml:space="preserve"> eligibility. </w:t>
      </w:r>
      <w:r>
        <w:t>When the FPHE ends, the standard time to request a fair hearing will be changed from 30 days to 60 days</w:t>
      </w:r>
      <w:r w:rsidR="006E1561">
        <w:t>.</w:t>
      </w:r>
    </w:p>
    <w:p w14:paraId="45497BEA" w14:textId="77777777" w:rsidR="003A11A5" w:rsidRPr="00BA41F1" w:rsidRDefault="003A11A5" w:rsidP="006E6F26">
      <w:pPr>
        <w:pStyle w:val="Heading3"/>
      </w:pPr>
      <w:r w:rsidRPr="00BA41F1">
        <w:t>One-time Deductible Hardship Waiver</w:t>
      </w:r>
    </w:p>
    <w:p w14:paraId="2F238DDC" w14:textId="77777777" w:rsidR="003A11A5" w:rsidRPr="00BA41F1" w:rsidRDefault="003A11A5" w:rsidP="00562063">
      <w:r w:rsidRPr="00BA41F1">
        <w:t>Individuals who have been assessed a one-time deductible to establish eligibility for MassHealth CommonHealth may request a temporary waiver of the deductible due to financial hardship during the FPHE</w:t>
      </w:r>
      <w:r w:rsidRPr="00BA41F1">
        <w:rPr>
          <w:bCs/>
        </w:rPr>
        <w:t>.</w:t>
      </w:r>
      <w:r w:rsidRPr="00BA41F1">
        <w:t xml:space="preserve">  </w:t>
      </w:r>
    </w:p>
    <w:p w14:paraId="02060033" w14:textId="77777777" w:rsidR="003A11A5" w:rsidRPr="00BA41F1" w:rsidRDefault="003A11A5" w:rsidP="006E6F26">
      <w:pPr>
        <w:pStyle w:val="Heading3"/>
      </w:pPr>
      <w:r w:rsidRPr="00BA41F1">
        <w:t>Retroactive Eligibility for Individuals Younger Than Age 65</w:t>
      </w:r>
    </w:p>
    <w:p w14:paraId="3B425EBF" w14:textId="77777777" w:rsidR="003A11A5" w:rsidRPr="00BA41F1" w:rsidRDefault="003A11A5" w:rsidP="00562063">
      <w:r w:rsidRPr="00BA41F1">
        <w:t>Upon request, any individuals younger than age 65 who applied for MassHealth on or after March 1, 2020, will receive retroactive coverage if they would have been eligible. Coverage will begin as early as the first day of the third calendar month before the month of application, but no earlier than March 1, 2020.</w:t>
      </w:r>
    </w:p>
    <w:p w14:paraId="7C39A465" w14:textId="77777777" w:rsidR="003A11A5" w:rsidRPr="00612941" w:rsidRDefault="003A11A5" w:rsidP="006E6F26">
      <w:pPr>
        <w:pStyle w:val="Heading2"/>
      </w:pPr>
      <w:r w:rsidRPr="00612941">
        <w:t>Additional Information</w:t>
      </w:r>
    </w:p>
    <w:p w14:paraId="4A64B3D2" w14:textId="77777777" w:rsidR="003A11A5" w:rsidRPr="00BA41F1" w:rsidRDefault="003A11A5" w:rsidP="006E6F26">
      <w:pPr>
        <w:pStyle w:val="Heading3"/>
      </w:pPr>
      <w:r w:rsidRPr="00BA41F1">
        <w:t>For MassHealth Applicants</w:t>
      </w:r>
      <w:r w:rsidRPr="00BA41F1">
        <w:rPr>
          <w:rFonts w:ascii="Calibri" w:hAnsi="Calibri"/>
        </w:rPr>
        <w:t xml:space="preserve"> </w:t>
      </w:r>
    </w:p>
    <w:p w14:paraId="14536652" w14:textId="77777777" w:rsidR="003A11A5" w:rsidRPr="00BA41F1" w:rsidRDefault="003A11A5" w:rsidP="00562063">
      <w:r w:rsidRPr="00BA41F1">
        <w:t>If applicants live in the community and are younger than 65 years old, or are the caretaker for a child younger than 19 years old, they can apply in the following ways:</w:t>
      </w:r>
    </w:p>
    <w:p w14:paraId="5E8901E6" w14:textId="7AE733BC" w:rsidR="003A11A5" w:rsidRPr="00E74210" w:rsidRDefault="003A11A5" w:rsidP="00562063">
      <w:pPr>
        <w:pStyle w:val="ListParagraph"/>
        <w:numPr>
          <w:ilvl w:val="0"/>
          <w:numId w:val="15"/>
        </w:numPr>
      </w:pPr>
      <w:r w:rsidRPr="00E74210">
        <w:t xml:space="preserve">Online at </w:t>
      </w:r>
      <w:hyperlink r:id="rId12" w:history="1">
        <w:r w:rsidRPr="00E74210">
          <w:rPr>
            <w:rStyle w:val="Hyperlink"/>
          </w:rPr>
          <w:t>www.mahix.org/individual/</w:t>
        </w:r>
      </w:hyperlink>
      <w:r w:rsidR="00E74210">
        <w:rPr>
          <w:rStyle w:val="Hyperlink"/>
        </w:rPr>
        <w:t>,</w:t>
      </w:r>
      <w:r w:rsidRPr="00E74210">
        <w:t xml:space="preserve"> </w:t>
      </w:r>
    </w:p>
    <w:p w14:paraId="491AB18A" w14:textId="32D529D2" w:rsidR="003A11A5" w:rsidRPr="00BA41F1" w:rsidRDefault="00E147DD" w:rsidP="00562063">
      <w:pPr>
        <w:pStyle w:val="ListParagraph"/>
        <w:numPr>
          <w:ilvl w:val="0"/>
          <w:numId w:val="15"/>
        </w:numPr>
      </w:pPr>
      <w:r>
        <w:t xml:space="preserve">By </w:t>
      </w:r>
      <w:r w:rsidR="003A11A5" w:rsidRPr="00BA41F1">
        <w:t xml:space="preserve">phone at (800) 841-2900; </w:t>
      </w:r>
      <w:r>
        <w:t>TDD/</w:t>
      </w:r>
      <w:r w:rsidR="003A11A5" w:rsidRPr="00BA41F1">
        <w:t xml:space="preserve">TTY: </w:t>
      </w:r>
      <w:r>
        <w:t>711</w:t>
      </w:r>
      <w:r w:rsidR="00E74210">
        <w:t>,</w:t>
      </w:r>
      <w:r w:rsidR="003A11A5" w:rsidRPr="00BA41F1">
        <w:t xml:space="preserve"> or</w:t>
      </w:r>
    </w:p>
    <w:p w14:paraId="2019E4EF" w14:textId="69A43094" w:rsidR="003A11A5" w:rsidRPr="00BA41F1" w:rsidRDefault="003A11A5" w:rsidP="00562063">
      <w:pPr>
        <w:pStyle w:val="ListParagraph"/>
        <w:numPr>
          <w:ilvl w:val="0"/>
          <w:numId w:val="15"/>
        </w:numPr>
      </w:pPr>
      <w:r w:rsidRPr="00BA41F1">
        <w:t xml:space="preserve">By using a paper application, available </w:t>
      </w:r>
      <w:r w:rsidR="00E147DD">
        <w:t xml:space="preserve">on the </w:t>
      </w:r>
      <w:hyperlink r:id="rId13" w:anchor="massachusetts-application-for-health-and-dental-coverage-and-help-paying-costs-[aca-3-(03/22)]-" w:history="1">
        <w:r w:rsidR="00E147DD" w:rsidRPr="00E74210">
          <w:rPr>
            <w:rStyle w:val="Hyperlink"/>
          </w:rPr>
          <w:t>Applications to become a MassHealth member</w:t>
        </w:r>
      </w:hyperlink>
      <w:r w:rsidR="00E147DD">
        <w:t xml:space="preserve"> page</w:t>
      </w:r>
      <w:r w:rsidRPr="00BA41F1">
        <w:t>.</w:t>
      </w:r>
    </w:p>
    <w:p w14:paraId="4ADA0937" w14:textId="7DC1296F" w:rsidR="003D3896" w:rsidRDefault="003A11A5" w:rsidP="003D3896">
      <w:r w:rsidRPr="003D3896">
        <w:t>If applicants live in the community and are 65 years of age or older, or are in need of long-term-care services, they can apply by using a paper application, available</w:t>
      </w:r>
      <w:r w:rsidR="003D3896" w:rsidRPr="003D3896">
        <w:t xml:space="preserve"> on the </w:t>
      </w:r>
      <w:hyperlink r:id="rId14" w:history="1">
        <w:r w:rsidR="003D3896" w:rsidRPr="00444C6A">
          <w:rPr>
            <w:rStyle w:val="Hyperlink"/>
            <w:rFonts w:cs="Noto Sans"/>
          </w:rPr>
          <w:t xml:space="preserve">Senior guide and application for health care </w:t>
        </w:r>
        <w:r w:rsidR="003D3896" w:rsidRPr="00444C6A">
          <w:rPr>
            <w:rStyle w:val="Hyperlink"/>
          </w:rPr>
          <w:t>coverage</w:t>
        </w:r>
      </w:hyperlink>
      <w:r w:rsidR="003D3896" w:rsidRPr="003D3896">
        <w:t xml:space="preserve"> page. </w:t>
      </w:r>
    </w:p>
    <w:p w14:paraId="7DE6238A" w14:textId="77777777" w:rsidR="00087614" w:rsidRPr="00BA41F1" w:rsidRDefault="00087614" w:rsidP="00087614">
      <w:pPr>
        <w:pStyle w:val="Heading3"/>
      </w:pPr>
      <w:r w:rsidRPr="00BA41F1">
        <w:t>For Existing MassHealth Members</w:t>
      </w:r>
    </w:p>
    <w:p w14:paraId="00EE69A6" w14:textId="77777777" w:rsidR="00087614" w:rsidRPr="00BA41F1" w:rsidRDefault="00087614" w:rsidP="00087614">
      <w:r w:rsidRPr="00BA41F1">
        <w:t xml:space="preserve">At the start of the FPHE, MassHealth temporarily suspended most ongoing maintenance processes. MassHealth has restarted many of these processes (e.g., renewals, Requests for Information). Medicaid coverage will still be maintained for members, consistent with federal guidelines, even if they do not respond or would otherwise be found ineligible for the duration of the FPHE and through the month in which it ends. </w:t>
      </w:r>
    </w:p>
    <w:p w14:paraId="1AE92967" w14:textId="77777777" w:rsidR="00087614" w:rsidRPr="003D3896" w:rsidRDefault="00087614" w:rsidP="003D3896"/>
    <w:p w14:paraId="183218B3" w14:textId="101258AC" w:rsidR="005E669A" w:rsidRDefault="005E669A" w:rsidP="00562063">
      <w:pPr>
        <w:rPr>
          <w:rStyle w:val="Hyperlink"/>
          <w:color w:val="auto"/>
        </w:rPr>
      </w:pPr>
    </w:p>
    <w:p w14:paraId="6E844452" w14:textId="77777777" w:rsidR="00E74210" w:rsidRDefault="00E74210" w:rsidP="006E6F26">
      <w:pPr>
        <w:pStyle w:val="Heading3"/>
        <w:sectPr w:rsidR="00E74210" w:rsidSect="00265DCC">
          <w:headerReference w:type="default" r:id="rId15"/>
          <w:footerReference w:type="default" r:id="rId16"/>
          <w:headerReference w:type="first" r:id="rId17"/>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pPr>
    </w:p>
    <w:p w14:paraId="2F5533EA" w14:textId="77777777" w:rsidR="003A11A5" w:rsidRPr="00BA41F1" w:rsidRDefault="003A11A5" w:rsidP="000A4705">
      <w:r w:rsidRPr="00BA41F1">
        <w:lastRenderedPageBreak/>
        <w:t xml:space="preserve">If additional information is required, a Request for Information notice will be sent. </w:t>
      </w:r>
    </w:p>
    <w:p w14:paraId="72B57464" w14:textId="77777777" w:rsidR="003A11A5" w:rsidRPr="00C3327A" w:rsidRDefault="003A11A5" w:rsidP="00562063">
      <w:r w:rsidRPr="00C3327A">
        <w:t>For up-to-date information on COVID-19:</w:t>
      </w:r>
    </w:p>
    <w:p w14:paraId="363F1F1C" w14:textId="016F25CD" w:rsidR="003A11A5" w:rsidRPr="00BA41F1" w:rsidRDefault="003A11A5" w:rsidP="00562063">
      <w:pPr>
        <w:pStyle w:val="ListParagraph"/>
        <w:numPr>
          <w:ilvl w:val="0"/>
          <w:numId w:val="17"/>
        </w:numPr>
      </w:pPr>
      <w:r w:rsidRPr="00BA41F1">
        <w:t xml:space="preserve">Visit </w:t>
      </w:r>
      <w:r w:rsidR="00101321">
        <w:t xml:space="preserve">the </w:t>
      </w:r>
      <w:hyperlink r:id="rId18" w:history="1">
        <w:r w:rsidR="00101321" w:rsidRPr="00101321">
          <w:rPr>
            <w:rStyle w:val="Hyperlink"/>
          </w:rPr>
          <w:t>COVID-19</w:t>
        </w:r>
      </w:hyperlink>
      <w:r w:rsidR="00101321">
        <w:t xml:space="preserve"> page,</w:t>
      </w:r>
      <w:r w:rsidRPr="00BA41F1">
        <w:t xml:space="preserve"> </w:t>
      </w:r>
    </w:p>
    <w:p w14:paraId="2E993589" w14:textId="329F8848" w:rsidR="003A11A5" w:rsidRPr="00BA41F1" w:rsidRDefault="003A11A5" w:rsidP="00562063">
      <w:pPr>
        <w:pStyle w:val="ListParagraph"/>
        <w:numPr>
          <w:ilvl w:val="0"/>
          <w:numId w:val="17"/>
        </w:numPr>
      </w:pPr>
      <w:r w:rsidRPr="00BA41F1">
        <w:t xml:space="preserve">Visit </w:t>
      </w:r>
      <w:r w:rsidR="00101321">
        <w:t xml:space="preserve">the CDC’s </w:t>
      </w:r>
      <w:hyperlink r:id="rId19" w:history="1">
        <w:r w:rsidR="00101321" w:rsidRPr="00101321">
          <w:rPr>
            <w:rStyle w:val="Hyperlink"/>
          </w:rPr>
          <w:t>COVID-19 FAQ</w:t>
        </w:r>
      </w:hyperlink>
      <w:r w:rsidR="00101321">
        <w:t xml:space="preserve"> page, </w:t>
      </w:r>
      <w:r w:rsidRPr="00BA41F1">
        <w:t>or</w:t>
      </w:r>
    </w:p>
    <w:p w14:paraId="46A7A3BB" w14:textId="77777777" w:rsidR="003A11A5" w:rsidRPr="00BA41F1" w:rsidRDefault="003A11A5" w:rsidP="00562063">
      <w:pPr>
        <w:pStyle w:val="ListParagraph"/>
        <w:numPr>
          <w:ilvl w:val="0"/>
          <w:numId w:val="17"/>
        </w:numPr>
      </w:pPr>
      <w:r w:rsidRPr="00BA41F1">
        <w:t xml:space="preserve">Text COVIDMA to 888-777 for the </w:t>
      </w:r>
      <w:proofErr w:type="spellStart"/>
      <w:r w:rsidRPr="00BA41F1">
        <w:t>AlertsMA</w:t>
      </w:r>
      <w:proofErr w:type="spellEnd"/>
      <w:r w:rsidRPr="00BA41F1">
        <w:t xml:space="preserve"> COVID-19 text notification system.</w:t>
      </w:r>
    </w:p>
    <w:p w14:paraId="35F45AFE" w14:textId="77777777" w:rsidR="00C100CF" w:rsidRPr="004C1488" w:rsidRDefault="00A458CF" w:rsidP="006E6F26">
      <w:pPr>
        <w:pStyle w:val="Heading2"/>
      </w:pPr>
      <w:r w:rsidRPr="004C1488">
        <w:t>Questions</w:t>
      </w:r>
      <w:r w:rsidRPr="004C1488">
        <w:tab/>
      </w:r>
    </w:p>
    <w:p w14:paraId="7A53A45A" w14:textId="77777777" w:rsidR="009A0E9B" w:rsidRDefault="00C100CF" w:rsidP="00562063">
      <w:r w:rsidRPr="00C100CF">
        <w:t>If you have any questions about this memo, please have your MEC designee contact the Policy Hotline.</w:t>
      </w:r>
    </w:p>
    <w:sectPr w:rsidR="009A0E9B" w:rsidSect="00265DCC">
      <w:footerReference w:type="first" r:id="rId20"/>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84360" w14:textId="77777777" w:rsidR="000D58AE" w:rsidRDefault="000D58AE" w:rsidP="00562063">
      <w:r>
        <w:separator/>
      </w:r>
    </w:p>
  </w:endnote>
  <w:endnote w:type="continuationSeparator" w:id="0">
    <w:p w14:paraId="4ACCB9D8" w14:textId="77777777" w:rsidR="000D58AE" w:rsidRDefault="000D58AE" w:rsidP="00562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6A03" w14:textId="38B4553D" w:rsidR="00E74210" w:rsidRDefault="00E74210" w:rsidP="00E74210">
    <w:pPr>
      <w:rPr>
        <w:rStyle w:val="Hyperlink"/>
        <w:rFonts w:ascii="Bookman Old Style" w:hAnsi="Bookman Old Style"/>
        <w:b/>
        <w:i/>
      </w:rPr>
    </w:pPr>
  </w:p>
  <w:p w14:paraId="0601FE62" w14:textId="77777777" w:rsidR="00E74210" w:rsidRDefault="00E74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7CAB5" w14:textId="769D5253" w:rsidR="00E74210" w:rsidRPr="009A0E9B" w:rsidRDefault="00E74210" w:rsidP="00562063"/>
  <w:p w14:paraId="6512316C" w14:textId="77777777" w:rsidR="003A11A5" w:rsidRDefault="003A11A5" w:rsidP="005620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B35F" w14:textId="77777777" w:rsidR="003D3896" w:rsidRDefault="003D3896" w:rsidP="00201918">
    <w:pPr>
      <w:jc w:val="right"/>
      <w:rPr>
        <w:rStyle w:val="Hyperlink"/>
        <w:rFonts w:ascii="Bookman Old Style" w:hAnsi="Bookman Old Style"/>
        <w:b/>
        <w:i/>
      </w:rPr>
    </w:pPr>
    <w:r w:rsidRPr="009A0E9B">
      <w:rPr>
        <w:rStyle w:val="Hyperlink"/>
        <w:rFonts w:ascii="Bookman Old Style" w:hAnsi="Bookman Old Style"/>
        <w:i/>
        <w:color w:val="auto"/>
        <w:u w:val="none"/>
      </w:rPr>
      <w:t xml:space="preserve">Follow us on Twitter </w:t>
    </w:r>
    <w:hyperlink r:id="rId1" w:history="1">
      <w:r>
        <w:rPr>
          <w:rStyle w:val="Hyperlink"/>
          <w:rFonts w:ascii="Bookman Old Style" w:hAnsi="Bookman Old Style"/>
          <w:b/>
          <w:i/>
        </w:rPr>
        <w:t>@MassHealth</w:t>
      </w:r>
    </w:hyperlink>
  </w:p>
  <w:p w14:paraId="7962FC14" w14:textId="77777777" w:rsidR="003D3896" w:rsidRDefault="003D3896" w:rsidP="00E74210">
    <w:pPr>
      <w:rPr>
        <w:rStyle w:val="Hyperlink"/>
        <w:rFonts w:ascii="Bookman Old Style" w:hAnsi="Bookman Old Style"/>
        <w:b/>
        <w:i/>
      </w:rPr>
    </w:pPr>
  </w:p>
  <w:p w14:paraId="656D90C9" w14:textId="77777777" w:rsidR="003D3896" w:rsidRDefault="003D3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FF1B9" w14:textId="77777777" w:rsidR="000D58AE" w:rsidRDefault="000D58AE" w:rsidP="00562063">
      <w:r>
        <w:separator/>
      </w:r>
    </w:p>
  </w:footnote>
  <w:footnote w:type="continuationSeparator" w:id="0">
    <w:p w14:paraId="6FCF01F7" w14:textId="77777777" w:rsidR="000D58AE" w:rsidRDefault="000D58AE" w:rsidP="00562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E3D25" w14:textId="18BC6F9C" w:rsidR="003376EF" w:rsidRPr="006E6F26" w:rsidRDefault="003376EF" w:rsidP="003376EF">
    <w:pPr>
      <w:spacing w:before="120" w:after="0"/>
      <w:ind w:left="5040"/>
      <w:rPr>
        <w:b/>
        <w:color w:val="990000"/>
      </w:rPr>
    </w:pPr>
    <w:r w:rsidRPr="006E6F26">
      <w:rPr>
        <w:b/>
        <w:color w:val="990000"/>
      </w:rPr>
      <w:t>Eligibility Operations Memo 22-</w:t>
    </w:r>
    <w:r w:rsidR="00492FEB">
      <w:rPr>
        <w:b/>
        <w:color w:val="990000"/>
      </w:rPr>
      <w:t>10</w:t>
    </w:r>
  </w:p>
  <w:p w14:paraId="45FC8B95" w14:textId="77777777" w:rsidR="003376EF" w:rsidRPr="006E6F26" w:rsidRDefault="003376EF" w:rsidP="003376EF">
    <w:pPr>
      <w:spacing w:after="0"/>
      <w:ind w:left="5040"/>
      <w:rPr>
        <w:b/>
        <w:color w:val="990000"/>
      </w:rPr>
    </w:pPr>
    <w:r w:rsidRPr="006E6F26">
      <w:rPr>
        <w:b/>
        <w:color w:val="990000"/>
      </w:rPr>
      <w:t>August 2022</w:t>
    </w:r>
  </w:p>
  <w:p w14:paraId="29D394A9" w14:textId="1F252633" w:rsidR="006E6F26" w:rsidRPr="000101A4" w:rsidRDefault="003376EF" w:rsidP="000101A4">
    <w:pPr>
      <w:ind w:left="5040"/>
      <w:rPr>
        <w:b/>
        <w:color w:val="990000"/>
      </w:rPr>
    </w:pPr>
    <w:r w:rsidRPr="006E6F26">
      <w:rPr>
        <w:b/>
        <w:color w:val="990000"/>
      </w:rPr>
      <w:t xml:space="preserve">Page </w:t>
    </w:r>
    <w:r w:rsidRPr="006E6F26">
      <w:rPr>
        <w:b/>
        <w:color w:val="990000"/>
      </w:rPr>
      <w:fldChar w:fldCharType="begin"/>
    </w:r>
    <w:r w:rsidRPr="006E6F26">
      <w:rPr>
        <w:b/>
        <w:color w:val="990000"/>
      </w:rPr>
      <w:instrText xml:space="preserve"> PAGE </w:instrText>
    </w:r>
    <w:r w:rsidRPr="006E6F26">
      <w:rPr>
        <w:b/>
        <w:color w:val="990000"/>
      </w:rPr>
      <w:fldChar w:fldCharType="separate"/>
    </w:r>
    <w:r>
      <w:rPr>
        <w:b/>
        <w:color w:val="990000"/>
      </w:rPr>
      <w:t>2</w:t>
    </w:r>
    <w:r w:rsidRPr="006E6F26">
      <w:rPr>
        <w:b/>
        <w:color w:val="99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2C16" w14:textId="715092E6" w:rsidR="003A11A5" w:rsidRPr="006E6F26" w:rsidRDefault="003A11A5" w:rsidP="006E6F26">
    <w:pPr>
      <w:spacing w:before="120" w:after="0"/>
      <w:ind w:left="5040"/>
      <w:rPr>
        <w:b/>
        <w:color w:val="990000"/>
      </w:rPr>
    </w:pPr>
    <w:r w:rsidRPr="006E6F26">
      <w:rPr>
        <w:b/>
        <w:color w:val="990000"/>
      </w:rPr>
      <w:t>Eligibility Operations Memo</w:t>
    </w:r>
    <w:r w:rsidR="00562063" w:rsidRPr="006E6F26">
      <w:rPr>
        <w:b/>
        <w:color w:val="990000"/>
      </w:rPr>
      <w:t xml:space="preserve"> 22-</w:t>
    </w:r>
    <w:r w:rsidR="00492FEB">
      <w:rPr>
        <w:b/>
        <w:color w:val="990000"/>
      </w:rPr>
      <w:t>10</w:t>
    </w:r>
  </w:p>
  <w:p w14:paraId="332C13BF" w14:textId="0E94212B" w:rsidR="003A11A5" w:rsidRPr="006E6F26" w:rsidRDefault="00562063" w:rsidP="006E6F26">
    <w:pPr>
      <w:spacing w:after="0"/>
      <w:ind w:left="5040"/>
      <w:rPr>
        <w:b/>
        <w:color w:val="990000"/>
      </w:rPr>
    </w:pPr>
    <w:r w:rsidRPr="006E6F26">
      <w:rPr>
        <w:b/>
        <w:color w:val="990000"/>
      </w:rPr>
      <w:t>August 2022</w:t>
    </w:r>
  </w:p>
  <w:p w14:paraId="3CFE525D" w14:textId="63C92923" w:rsidR="003A11A5" w:rsidRPr="006E6F26" w:rsidRDefault="003A11A5" w:rsidP="006E6F26">
    <w:pPr>
      <w:ind w:left="5040"/>
      <w:rPr>
        <w:b/>
        <w:color w:val="990000"/>
      </w:rPr>
    </w:pPr>
    <w:r w:rsidRPr="006E6F26">
      <w:rPr>
        <w:b/>
        <w:color w:val="990000"/>
      </w:rPr>
      <w:t xml:space="preserve">Page </w:t>
    </w:r>
    <w:r w:rsidRPr="006E6F26">
      <w:rPr>
        <w:b/>
        <w:color w:val="990000"/>
      </w:rPr>
      <w:fldChar w:fldCharType="begin"/>
    </w:r>
    <w:r w:rsidRPr="006E6F26">
      <w:rPr>
        <w:b/>
        <w:color w:val="990000"/>
      </w:rPr>
      <w:instrText xml:space="preserve"> PAGE </w:instrText>
    </w:r>
    <w:r w:rsidRPr="006E6F26">
      <w:rPr>
        <w:b/>
        <w:color w:val="990000"/>
      </w:rPr>
      <w:fldChar w:fldCharType="separate"/>
    </w:r>
    <w:r w:rsidRPr="006E6F26">
      <w:rPr>
        <w:b/>
        <w:color w:val="990000"/>
      </w:rPr>
      <w:t>2</w:t>
    </w:r>
    <w:r w:rsidRPr="006E6F26">
      <w:rPr>
        <w:b/>
        <w:color w:val="99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4C6C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5D492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F8326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6689F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3326C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72DD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DA67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9028E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AAF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78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41455C"/>
    <w:multiLevelType w:val="hybridMultilevel"/>
    <w:tmpl w:val="47B8DF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D38C3"/>
    <w:multiLevelType w:val="hybridMultilevel"/>
    <w:tmpl w:val="9DB83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D0A75"/>
    <w:multiLevelType w:val="hybridMultilevel"/>
    <w:tmpl w:val="6C3CD12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1">
      <w:start w:val="1"/>
      <w:numFmt w:val="bullet"/>
      <w:lvlText w:val=""/>
      <w:lvlJc w:val="left"/>
      <w:pPr>
        <w:ind w:left="360" w:hanging="360"/>
      </w:pPr>
      <w:rPr>
        <w:rFonts w:ascii="Symbol" w:hAnsi="Symbol" w:hint="default"/>
      </w:rPr>
    </w:lvl>
    <w:lvl w:ilvl="5" w:tplc="04090005">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3" w15:restartNumberingAfterBreak="0">
    <w:nsid w:val="2FA34F86"/>
    <w:multiLevelType w:val="hybridMultilevel"/>
    <w:tmpl w:val="1E76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84477E"/>
    <w:multiLevelType w:val="hybridMultilevel"/>
    <w:tmpl w:val="F920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2D7897"/>
    <w:multiLevelType w:val="hybridMultilevel"/>
    <w:tmpl w:val="3686F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6800C0"/>
    <w:multiLevelType w:val="hybridMultilevel"/>
    <w:tmpl w:val="E77E67B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1">
      <w:start w:val="1"/>
      <w:numFmt w:val="bullet"/>
      <w:lvlText w:val=""/>
      <w:lvlJc w:val="left"/>
      <w:pPr>
        <w:ind w:left="360" w:hanging="360"/>
      </w:pPr>
      <w:rPr>
        <w:rFonts w:ascii="Symbol" w:hAnsi="Symbol" w:hint="default"/>
      </w:rPr>
    </w:lvl>
    <w:lvl w:ilvl="5" w:tplc="04090001">
      <w:start w:val="1"/>
      <w:numFmt w:val="bullet"/>
      <w:lvlText w:val=""/>
      <w:lvlJc w:val="left"/>
      <w:pPr>
        <w:ind w:left="1080" w:hanging="360"/>
      </w:pPr>
      <w:rPr>
        <w:rFonts w:ascii="Symbol" w:hAnsi="Symbol"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7" w15:restartNumberingAfterBreak="0">
    <w:nsid w:val="5A790A3D"/>
    <w:multiLevelType w:val="hybridMultilevel"/>
    <w:tmpl w:val="0EC4BD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787B66B0"/>
    <w:multiLevelType w:val="hybridMultilevel"/>
    <w:tmpl w:val="75B62B4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90249391">
    <w:abstractNumId w:val="9"/>
  </w:num>
  <w:num w:numId="2" w16cid:durableId="27295145">
    <w:abstractNumId w:val="7"/>
  </w:num>
  <w:num w:numId="3" w16cid:durableId="1752770511">
    <w:abstractNumId w:val="6"/>
  </w:num>
  <w:num w:numId="4" w16cid:durableId="2000618414">
    <w:abstractNumId w:val="5"/>
  </w:num>
  <w:num w:numId="5" w16cid:durableId="1432240843">
    <w:abstractNumId w:val="4"/>
  </w:num>
  <w:num w:numId="6" w16cid:durableId="2088651477">
    <w:abstractNumId w:val="8"/>
  </w:num>
  <w:num w:numId="7" w16cid:durableId="315913872">
    <w:abstractNumId w:val="3"/>
  </w:num>
  <w:num w:numId="8" w16cid:durableId="116460882">
    <w:abstractNumId w:val="2"/>
  </w:num>
  <w:num w:numId="9" w16cid:durableId="2012567348">
    <w:abstractNumId w:val="1"/>
  </w:num>
  <w:num w:numId="10" w16cid:durableId="1131748706">
    <w:abstractNumId w:val="0"/>
  </w:num>
  <w:num w:numId="11" w16cid:durableId="1254825234">
    <w:abstractNumId w:val="12"/>
  </w:num>
  <w:num w:numId="12" w16cid:durableId="1874995760">
    <w:abstractNumId w:val="18"/>
  </w:num>
  <w:num w:numId="13" w16cid:durableId="1668555200">
    <w:abstractNumId w:val="16"/>
  </w:num>
  <w:num w:numId="14" w16cid:durableId="1302004630">
    <w:abstractNumId w:val="17"/>
  </w:num>
  <w:num w:numId="15" w16cid:durableId="1489786237">
    <w:abstractNumId w:val="14"/>
  </w:num>
  <w:num w:numId="16" w16cid:durableId="1549685980">
    <w:abstractNumId w:val="15"/>
  </w:num>
  <w:num w:numId="17" w16cid:durableId="851333746">
    <w:abstractNumId w:val="10"/>
  </w:num>
  <w:num w:numId="18" w16cid:durableId="1616014304">
    <w:abstractNumId w:val="13"/>
  </w:num>
  <w:num w:numId="19" w16cid:durableId="5018983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101A4"/>
    <w:rsid w:val="000149FE"/>
    <w:rsid w:val="00032BB1"/>
    <w:rsid w:val="00032C02"/>
    <w:rsid w:val="00041220"/>
    <w:rsid w:val="00080FFB"/>
    <w:rsid w:val="00087614"/>
    <w:rsid w:val="00095863"/>
    <w:rsid w:val="000A2664"/>
    <w:rsid w:val="000A4705"/>
    <w:rsid w:val="000D58AE"/>
    <w:rsid w:val="000E3E10"/>
    <w:rsid w:val="00101321"/>
    <w:rsid w:val="00113E7F"/>
    <w:rsid w:val="001365A6"/>
    <w:rsid w:val="0014797D"/>
    <w:rsid w:val="00153E24"/>
    <w:rsid w:val="001655EC"/>
    <w:rsid w:val="00183784"/>
    <w:rsid w:val="0018768A"/>
    <w:rsid w:val="00195C8A"/>
    <w:rsid w:val="0019736A"/>
    <w:rsid w:val="00197D44"/>
    <w:rsid w:val="001A25AC"/>
    <w:rsid w:val="001A477C"/>
    <w:rsid w:val="001A7499"/>
    <w:rsid w:val="001D5FD0"/>
    <w:rsid w:val="00200899"/>
    <w:rsid w:val="002018B3"/>
    <w:rsid w:val="00201918"/>
    <w:rsid w:val="00221668"/>
    <w:rsid w:val="00232E91"/>
    <w:rsid w:val="00250727"/>
    <w:rsid w:val="00254A64"/>
    <w:rsid w:val="00263F44"/>
    <w:rsid w:val="00265DCC"/>
    <w:rsid w:val="00265FBB"/>
    <w:rsid w:val="002916ED"/>
    <w:rsid w:val="00292EB0"/>
    <w:rsid w:val="0029448A"/>
    <w:rsid w:val="002C40EA"/>
    <w:rsid w:val="002E1692"/>
    <w:rsid w:val="002E3B6A"/>
    <w:rsid w:val="002E5188"/>
    <w:rsid w:val="003065DA"/>
    <w:rsid w:val="003376EF"/>
    <w:rsid w:val="00364325"/>
    <w:rsid w:val="003737F7"/>
    <w:rsid w:val="00374688"/>
    <w:rsid w:val="003869FD"/>
    <w:rsid w:val="00386F7B"/>
    <w:rsid w:val="003A11A5"/>
    <w:rsid w:val="003A31CA"/>
    <w:rsid w:val="003A6E1E"/>
    <w:rsid w:val="003C0130"/>
    <w:rsid w:val="003D3896"/>
    <w:rsid w:val="004117FD"/>
    <w:rsid w:val="0041538C"/>
    <w:rsid w:val="004153B5"/>
    <w:rsid w:val="00427DA0"/>
    <w:rsid w:val="004373B7"/>
    <w:rsid w:val="00437C15"/>
    <w:rsid w:val="00444C6A"/>
    <w:rsid w:val="00450E46"/>
    <w:rsid w:val="00461793"/>
    <w:rsid w:val="00466E81"/>
    <w:rsid w:val="0047107E"/>
    <w:rsid w:val="00492FEB"/>
    <w:rsid w:val="004A5518"/>
    <w:rsid w:val="004C1488"/>
    <w:rsid w:val="004C72B3"/>
    <w:rsid w:val="004D4BC9"/>
    <w:rsid w:val="00511043"/>
    <w:rsid w:val="005237ED"/>
    <w:rsid w:val="00526EAB"/>
    <w:rsid w:val="00562063"/>
    <w:rsid w:val="005763C9"/>
    <w:rsid w:val="00590E06"/>
    <w:rsid w:val="0059389D"/>
    <w:rsid w:val="005A3602"/>
    <w:rsid w:val="005A5C18"/>
    <w:rsid w:val="005B3A7D"/>
    <w:rsid w:val="005C062A"/>
    <w:rsid w:val="005C33E4"/>
    <w:rsid w:val="005C7D99"/>
    <w:rsid w:val="005E669A"/>
    <w:rsid w:val="006233DC"/>
    <w:rsid w:val="00676163"/>
    <w:rsid w:val="006D1809"/>
    <w:rsid w:val="006D49AA"/>
    <w:rsid w:val="006E1561"/>
    <w:rsid w:val="006E6F26"/>
    <w:rsid w:val="00700C89"/>
    <w:rsid w:val="00702352"/>
    <w:rsid w:val="00731164"/>
    <w:rsid w:val="00757D07"/>
    <w:rsid w:val="007629E9"/>
    <w:rsid w:val="00776856"/>
    <w:rsid w:val="007A3BBC"/>
    <w:rsid w:val="007C3BAF"/>
    <w:rsid w:val="007C63E4"/>
    <w:rsid w:val="007D38A4"/>
    <w:rsid w:val="007F1CCF"/>
    <w:rsid w:val="007F4A56"/>
    <w:rsid w:val="007F74B0"/>
    <w:rsid w:val="008031E5"/>
    <w:rsid w:val="00811DAF"/>
    <w:rsid w:val="008151A9"/>
    <w:rsid w:val="0082380C"/>
    <w:rsid w:val="008247F1"/>
    <w:rsid w:val="0082579E"/>
    <w:rsid w:val="0082594F"/>
    <w:rsid w:val="008268F2"/>
    <w:rsid w:val="008708FF"/>
    <w:rsid w:val="00892228"/>
    <w:rsid w:val="00894FF0"/>
    <w:rsid w:val="008A3B9D"/>
    <w:rsid w:val="008A6A30"/>
    <w:rsid w:val="008B293F"/>
    <w:rsid w:val="00902810"/>
    <w:rsid w:val="00930D16"/>
    <w:rsid w:val="0093651D"/>
    <w:rsid w:val="00943F98"/>
    <w:rsid w:val="00965D5A"/>
    <w:rsid w:val="00977415"/>
    <w:rsid w:val="009841A9"/>
    <w:rsid w:val="009A0E9B"/>
    <w:rsid w:val="009A3F81"/>
    <w:rsid w:val="009B4513"/>
    <w:rsid w:val="009D15FA"/>
    <w:rsid w:val="009D59BC"/>
    <w:rsid w:val="009F6633"/>
    <w:rsid w:val="00A024A3"/>
    <w:rsid w:val="00A0380C"/>
    <w:rsid w:val="00A15EDB"/>
    <w:rsid w:val="00A32028"/>
    <w:rsid w:val="00A34C3C"/>
    <w:rsid w:val="00A422EC"/>
    <w:rsid w:val="00A458CF"/>
    <w:rsid w:val="00A4669C"/>
    <w:rsid w:val="00A56D1A"/>
    <w:rsid w:val="00A570CF"/>
    <w:rsid w:val="00A63CB3"/>
    <w:rsid w:val="00A75887"/>
    <w:rsid w:val="00AA5B85"/>
    <w:rsid w:val="00AB155F"/>
    <w:rsid w:val="00AD2EF9"/>
    <w:rsid w:val="00AD4B0C"/>
    <w:rsid w:val="00AF6898"/>
    <w:rsid w:val="00B03A46"/>
    <w:rsid w:val="00B058D1"/>
    <w:rsid w:val="00B12A3B"/>
    <w:rsid w:val="00B327EA"/>
    <w:rsid w:val="00B44F42"/>
    <w:rsid w:val="00B60798"/>
    <w:rsid w:val="00B964AA"/>
    <w:rsid w:val="00BD0F64"/>
    <w:rsid w:val="00BD2F4A"/>
    <w:rsid w:val="00BE49D9"/>
    <w:rsid w:val="00C046E9"/>
    <w:rsid w:val="00C100CF"/>
    <w:rsid w:val="00C12AD1"/>
    <w:rsid w:val="00C15B80"/>
    <w:rsid w:val="00C16CEA"/>
    <w:rsid w:val="00C766BC"/>
    <w:rsid w:val="00C84B58"/>
    <w:rsid w:val="00C9185E"/>
    <w:rsid w:val="00CB3D77"/>
    <w:rsid w:val="00CF0AAB"/>
    <w:rsid w:val="00D20897"/>
    <w:rsid w:val="00D2728B"/>
    <w:rsid w:val="00D33ED2"/>
    <w:rsid w:val="00D55314"/>
    <w:rsid w:val="00D757EC"/>
    <w:rsid w:val="00D76690"/>
    <w:rsid w:val="00D93D6D"/>
    <w:rsid w:val="00DB0F1C"/>
    <w:rsid w:val="00DD509A"/>
    <w:rsid w:val="00DD7B60"/>
    <w:rsid w:val="00DD7B9C"/>
    <w:rsid w:val="00DF15B5"/>
    <w:rsid w:val="00DF238B"/>
    <w:rsid w:val="00DF2BB6"/>
    <w:rsid w:val="00DF5421"/>
    <w:rsid w:val="00DF5A51"/>
    <w:rsid w:val="00E147DD"/>
    <w:rsid w:val="00E25774"/>
    <w:rsid w:val="00E4227E"/>
    <w:rsid w:val="00E70EF5"/>
    <w:rsid w:val="00E74210"/>
    <w:rsid w:val="00EB1686"/>
    <w:rsid w:val="00ED5E99"/>
    <w:rsid w:val="00EF0846"/>
    <w:rsid w:val="00F00371"/>
    <w:rsid w:val="00F12CB8"/>
    <w:rsid w:val="00F1656D"/>
    <w:rsid w:val="00F30592"/>
    <w:rsid w:val="00F32E6F"/>
    <w:rsid w:val="00F3494C"/>
    <w:rsid w:val="00F35D39"/>
    <w:rsid w:val="00F5746D"/>
    <w:rsid w:val="00F902FE"/>
    <w:rsid w:val="00FC1193"/>
    <w:rsid w:val="00FE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063"/>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A34C3C"/>
    <w:pPr>
      <w:tabs>
        <w:tab w:val="left" w:pos="5400"/>
      </w:tabs>
      <w:spacing w:before="660" w:after="0" w:line="240" w:lineRule="auto"/>
      <w:ind w:firstLine="5130"/>
      <w:outlineLvl w:val="0"/>
    </w:pPr>
    <w:rPr>
      <w:b/>
      <w:color w:val="990000"/>
    </w:rPr>
  </w:style>
  <w:style w:type="paragraph" w:styleId="Heading2">
    <w:name w:val="heading 2"/>
    <w:basedOn w:val="Normal"/>
    <w:next w:val="Normal"/>
    <w:link w:val="Heading2Char"/>
    <w:uiPriority w:val="9"/>
    <w:unhideWhenUsed/>
    <w:qFormat/>
    <w:rsid w:val="006E6F26"/>
    <w:pPr>
      <w:spacing w:before="240"/>
      <w:outlineLvl w:val="1"/>
    </w:pPr>
    <w:rPr>
      <w:b/>
      <w:bCs/>
      <w:color w:val="990000"/>
      <w:sz w:val="24"/>
      <w:szCs w:val="24"/>
    </w:rPr>
  </w:style>
  <w:style w:type="paragraph" w:styleId="Heading3">
    <w:name w:val="heading 3"/>
    <w:basedOn w:val="Heading2"/>
    <w:next w:val="Normal"/>
    <w:link w:val="Heading3Char"/>
    <w:uiPriority w:val="9"/>
    <w:unhideWhenUsed/>
    <w:qFormat/>
    <w:rsid w:val="006E6F26"/>
    <w:pPr>
      <w:spacing w:before="120"/>
      <w:outlineLvl w:val="2"/>
    </w:pPr>
    <w:rPr>
      <w:color w:val="auto"/>
      <w:sz w:val="22"/>
      <w:szCs w:val="22"/>
    </w:rPr>
  </w:style>
  <w:style w:type="paragraph" w:styleId="Heading4">
    <w:name w:val="heading 4"/>
    <w:basedOn w:val="Normal"/>
    <w:next w:val="Normal"/>
    <w:link w:val="Heading4Char"/>
    <w:uiPriority w:val="9"/>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A34C3C"/>
    <w:rPr>
      <w:rFonts w:ascii="Georgia" w:hAnsi="Georgia"/>
      <w:b/>
      <w:color w:val="990000"/>
      <w:sz w:val="22"/>
      <w:szCs w:val="22"/>
    </w:rPr>
  </w:style>
  <w:style w:type="character" w:customStyle="1" w:styleId="Heading2Char">
    <w:name w:val="Heading 2 Char"/>
    <w:link w:val="Heading2"/>
    <w:uiPriority w:val="9"/>
    <w:rsid w:val="006E6F26"/>
    <w:rPr>
      <w:rFonts w:ascii="Georgia" w:hAnsi="Georgia"/>
      <w:b/>
      <w:bCs/>
      <w:color w:val="990000"/>
      <w:sz w:val="24"/>
      <w:szCs w:val="24"/>
    </w:rPr>
  </w:style>
  <w:style w:type="character" w:customStyle="1" w:styleId="Heading3Char">
    <w:name w:val="Heading 3 Char"/>
    <w:link w:val="Heading3"/>
    <w:uiPriority w:val="9"/>
    <w:rsid w:val="006E6F26"/>
    <w:rPr>
      <w:rFonts w:ascii="Georgia" w:hAnsi="Georgia"/>
      <w:b/>
      <w:bCs/>
      <w:sz w:val="22"/>
      <w:szCs w:val="22"/>
    </w:rPr>
  </w:style>
  <w:style w:type="character" w:customStyle="1" w:styleId="Heading4Char">
    <w:name w:val="Heading 4 Char"/>
    <w:link w:val="Heading4"/>
    <w:uiPriority w:val="9"/>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character" w:styleId="UnresolvedMention">
    <w:name w:val="Unresolved Mention"/>
    <w:basedOn w:val="DefaultParagraphFont"/>
    <w:uiPriority w:val="99"/>
    <w:semiHidden/>
    <w:unhideWhenUsed/>
    <w:rsid w:val="00292EB0"/>
    <w:rPr>
      <w:color w:val="605E5C"/>
      <w:shd w:val="clear" w:color="auto" w:fill="E1DFDD"/>
    </w:rPr>
  </w:style>
  <w:style w:type="paragraph" w:customStyle="1" w:styleId="xmsonormal">
    <w:name w:val="xmsonormal"/>
    <w:basedOn w:val="Normal"/>
    <w:rsid w:val="005E669A"/>
    <w:pPr>
      <w:spacing w:before="100" w:beforeAutospacing="1" w:after="100" w:afterAutospacing="1" w:line="240" w:lineRule="auto"/>
    </w:pPr>
    <w:rPr>
      <w:rFonts w:eastAsiaTheme="minorHAnsi" w:cs="Calibri"/>
    </w:rPr>
  </w:style>
  <w:style w:type="character" w:styleId="CommentReference">
    <w:name w:val="annotation reference"/>
    <w:basedOn w:val="DefaultParagraphFont"/>
    <w:semiHidden/>
    <w:unhideWhenUsed/>
    <w:rsid w:val="000101A4"/>
    <w:rPr>
      <w:sz w:val="16"/>
      <w:szCs w:val="16"/>
    </w:rPr>
  </w:style>
  <w:style w:type="paragraph" w:styleId="CommentText">
    <w:name w:val="annotation text"/>
    <w:basedOn w:val="Normal"/>
    <w:link w:val="CommentTextChar"/>
    <w:unhideWhenUsed/>
    <w:rsid w:val="000101A4"/>
    <w:pPr>
      <w:spacing w:line="240" w:lineRule="auto"/>
    </w:pPr>
    <w:rPr>
      <w:sz w:val="20"/>
      <w:szCs w:val="20"/>
    </w:rPr>
  </w:style>
  <w:style w:type="character" w:customStyle="1" w:styleId="CommentTextChar">
    <w:name w:val="Comment Text Char"/>
    <w:basedOn w:val="DefaultParagraphFont"/>
    <w:link w:val="CommentText"/>
    <w:rsid w:val="000101A4"/>
    <w:rPr>
      <w:rFonts w:ascii="Georgia" w:hAnsi="Georgia"/>
    </w:rPr>
  </w:style>
  <w:style w:type="paragraph" w:styleId="CommentSubject">
    <w:name w:val="annotation subject"/>
    <w:basedOn w:val="CommentText"/>
    <w:next w:val="CommentText"/>
    <w:link w:val="CommentSubjectChar"/>
    <w:semiHidden/>
    <w:unhideWhenUsed/>
    <w:rsid w:val="000101A4"/>
    <w:rPr>
      <w:b/>
      <w:bCs/>
    </w:rPr>
  </w:style>
  <w:style w:type="character" w:customStyle="1" w:styleId="CommentSubjectChar">
    <w:name w:val="Comment Subject Char"/>
    <w:basedOn w:val="CommentTextChar"/>
    <w:link w:val="CommentSubject"/>
    <w:semiHidden/>
    <w:rsid w:val="000101A4"/>
    <w:rPr>
      <w:rFonts w:ascii="Georgia" w:hAnsi="Georgia"/>
      <w:b/>
      <w:bCs/>
    </w:rPr>
  </w:style>
  <w:style w:type="character" w:styleId="FollowedHyperlink">
    <w:name w:val="FollowedHyperlink"/>
    <w:basedOn w:val="DefaultParagraphFont"/>
    <w:semiHidden/>
    <w:unhideWhenUsed/>
    <w:rsid w:val="00E147DD"/>
    <w:rPr>
      <w:color w:val="800080" w:themeColor="followedHyperlink"/>
      <w:u w:val="single"/>
    </w:rPr>
  </w:style>
  <w:style w:type="paragraph" w:styleId="Revision">
    <w:name w:val="Revision"/>
    <w:hidden/>
    <w:uiPriority w:val="99"/>
    <w:semiHidden/>
    <w:rsid w:val="00C766BC"/>
    <w:rPr>
      <w:rFonts w:ascii="Georgia" w:hAnsi="Georg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lists/applications-to-become-a-masshealth-member" TargetMode="External"/><Relationship Id="rId18" Type="http://schemas.openxmlformats.org/officeDocument/2006/relationships/hyperlink" Target="https://www.mass.gov/coronavirus-disease-2019-covid-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ahix.org/individua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ass.gov/lists/eligibility-operations-memos-by-year" TargetMode="External"/><Relationship Id="rId19" Type="http://schemas.openxmlformats.org/officeDocument/2006/relationships/hyperlink" Target="https://www.cdc.gov/coronavirus/2019-ncov/faq.html"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service-details/senior-guide-and-application-for-health-care-coverage"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1057</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7655</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EOHHS</dc:creator>
  <cp:lastModifiedBy>Crystal, Malcolm (EHS)</cp:lastModifiedBy>
  <cp:revision>6</cp:revision>
  <cp:lastPrinted>2022-08-31T12:23:00Z</cp:lastPrinted>
  <dcterms:created xsi:type="dcterms:W3CDTF">2022-08-25T16:19:00Z</dcterms:created>
  <dcterms:modified xsi:type="dcterms:W3CDTF">2022-08-31T13:00:00Z</dcterms:modified>
</cp:coreProperties>
</file>