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A843B" w14:textId="77777777" w:rsidR="009A3F81" w:rsidRDefault="009A3F81" w:rsidP="009A3F81">
      <w:pPr>
        <w:tabs>
          <w:tab w:val="left" w:pos="2160"/>
        </w:tabs>
        <w:spacing w:before="660" w:after="0" w:line="240" w:lineRule="auto"/>
        <w:ind w:firstLine="1800"/>
        <w:rPr>
          <w:rFonts w:ascii="Bookman Old Style" w:hAnsi="Bookman Old Style"/>
          <w:b/>
          <w:i/>
        </w:rPr>
      </w:pPr>
      <w:r>
        <w:rPr>
          <w:noProof/>
        </w:rPr>
        <w:drawing>
          <wp:anchor distT="0" distB="0" distL="114300" distR="114300" simplePos="0" relativeHeight="251659264" behindDoc="1" locked="0" layoutInCell="1" allowOverlap="1" wp14:anchorId="75D507FA" wp14:editId="08A0089F">
            <wp:simplePos x="0" y="0"/>
            <wp:positionH relativeFrom="column">
              <wp:posOffset>-453390</wp:posOffset>
            </wp:positionH>
            <wp:positionV relativeFrom="paragraph">
              <wp:posOffset>454660</wp:posOffset>
            </wp:positionV>
            <wp:extent cx="1381125" cy="695325"/>
            <wp:effectExtent l="0" t="0" r="9525" b="9525"/>
            <wp:wrapNone/>
            <wp:docPr id="20" name="Picture 9"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ssHealt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i/>
        </w:rPr>
        <w:t>Commonwealth of Massachusetts</w:t>
      </w:r>
    </w:p>
    <w:p w14:paraId="220FBA41" w14:textId="77777777" w:rsidR="009A3F81" w:rsidRPr="00943F98" w:rsidRDefault="009A3F81" w:rsidP="009A3F81">
      <w:pPr>
        <w:spacing w:after="0" w:line="240" w:lineRule="auto"/>
        <w:ind w:left="1800"/>
        <w:rPr>
          <w:rFonts w:ascii="Bookman Old Style" w:hAnsi="Bookman Old Style"/>
          <w:b/>
          <w:i/>
        </w:rPr>
      </w:pPr>
      <w:r w:rsidRPr="009A3F81">
        <w:rPr>
          <w:rFonts w:ascii="Bookman Old Style" w:hAnsi="Bookman Old Style"/>
          <w:b/>
        </w:rPr>
        <w:t>Executive Office of Health and Human Services</w:t>
      </w:r>
      <w:r w:rsidRPr="009A3F81">
        <w:rPr>
          <w:rFonts w:ascii="Bookman Old Style" w:hAnsi="Bookman Old Style"/>
          <w:b/>
        </w:rPr>
        <w:br/>
      </w:r>
      <w:r w:rsidRPr="00943F98">
        <w:rPr>
          <w:rFonts w:ascii="Bookman Old Style" w:hAnsi="Bookman Old Style"/>
          <w:b/>
          <w:i/>
        </w:rPr>
        <w:t>Office of Medicaid</w:t>
      </w:r>
    </w:p>
    <w:p w14:paraId="50691BE4" w14:textId="77777777" w:rsidR="009A3F81" w:rsidRPr="004C1488" w:rsidRDefault="009A3F81" w:rsidP="009A3F81">
      <w:pPr>
        <w:tabs>
          <w:tab w:val="left" w:pos="1800"/>
        </w:tabs>
        <w:ind w:left="1800"/>
      </w:pPr>
      <w:r w:rsidRPr="004C1488">
        <w:rPr>
          <w:rFonts w:ascii="Bookman Old Style" w:hAnsi="Bookman Old Style"/>
          <w:sz w:val="18"/>
        </w:rPr>
        <w:t>www.mass.gov/masshealth</w:t>
      </w:r>
    </w:p>
    <w:p w14:paraId="6B5FD038" w14:textId="2D70A6BF" w:rsidR="004117FD" w:rsidRPr="00943F98" w:rsidRDefault="004117FD" w:rsidP="00254A64">
      <w:pPr>
        <w:tabs>
          <w:tab w:val="left" w:pos="5400"/>
        </w:tabs>
        <w:spacing w:before="660" w:after="0" w:line="240" w:lineRule="auto"/>
        <w:ind w:firstLine="5130"/>
        <w:rPr>
          <w:rFonts w:ascii="Georgia" w:hAnsi="Georgia"/>
          <w:b/>
          <w:color w:val="990000"/>
        </w:rPr>
      </w:pPr>
      <w:r w:rsidRPr="00840F89">
        <w:rPr>
          <w:rFonts w:ascii="Georgia" w:hAnsi="Georgia"/>
          <w:b/>
          <w:color w:val="990000"/>
        </w:rPr>
        <w:t xml:space="preserve">Eligibility Operations Memo </w:t>
      </w:r>
      <w:r w:rsidR="00BF0680" w:rsidRPr="00840F89">
        <w:rPr>
          <w:rFonts w:ascii="Georgia" w:hAnsi="Georgia"/>
          <w:b/>
          <w:color w:val="990000"/>
        </w:rPr>
        <w:t>23</w:t>
      </w:r>
      <w:r w:rsidRPr="00840F89">
        <w:rPr>
          <w:rFonts w:ascii="Georgia" w:hAnsi="Georgia"/>
          <w:b/>
          <w:color w:val="990000"/>
        </w:rPr>
        <w:t>-</w:t>
      </w:r>
      <w:r w:rsidR="00840F89" w:rsidRPr="00840F89">
        <w:rPr>
          <w:rFonts w:ascii="Georgia" w:hAnsi="Georgia"/>
          <w:b/>
          <w:color w:val="990000"/>
        </w:rPr>
        <w:t>03</w:t>
      </w:r>
    </w:p>
    <w:p w14:paraId="55C3DEBE" w14:textId="1672DC5F" w:rsidR="004117FD" w:rsidRPr="00A32028" w:rsidRDefault="00BF0680" w:rsidP="00254A64">
      <w:pPr>
        <w:tabs>
          <w:tab w:val="left" w:pos="5400"/>
        </w:tabs>
        <w:spacing w:after="440" w:line="240" w:lineRule="auto"/>
        <w:ind w:firstLine="5130"/>
        <w:rPr>
          <w:rFonts w:ascii="Georgia" w:hAnsi="Georgia"/>
          <w:b/>
          <w:color w:val="990000"/>
        </w:rPr>
      </w:pPr>
      <w:r>
        <w:rPr>
          <w:rFonts w:ascii="Georgia" w:hAnsi="Georgia"/>
          <w:b/>
          <w:color w:val="990000"/>
        </w:rPr>
        <w:t>January 2023</w:t>
      </w:r>
    </w:p>
    <w:p w14:paraId="5644F62A" w14:textId="2CE57747" w:rsidR="004117FD" w:rsidRPr="004153B5" w:rsidRDefault="004117FD" w:rsidP="00250727">
      <w:pPr>
        <w:tabs>
          <w:tab w:val="left" w:pos="900"/>
        </w:tabs>
        <w:spacing w:before="220" w:after="220" w:line="240" w:lineRule="auto"/>
        <w:ind w:right="576"/>
        <w:rPr>
          <w:rFonts w:ascii="Georgia" w:hAnsi="Georgia"/>
        </w:rPr>
      </w:pPr>
      <w:r w:rsidRPr="004153B5">
        <w:rPr>
          <w:rFonts w:ascii="Georgia" w:hAnsi="Georgia"/>
        </w:rPr>
        <w:t>TO:</w:t>
      </w:r>
      <w:r w:rsidR="00AD4B0C">
        <w:rPr>
          <w:rFonts w:ascii="Georgia" w:hAnsi="Georgia"/>
        </w:rPr>
        <w:tab/>
      </w:r>
      <w:r w:rsidRPr="004153B5">
        <w:rPr>
          <w:rFonts w:ascii="Georgia" w:hAnsi="Georgia"/>
        </w:rPr>
        <w:t>MassHealth Eligibility Operations Staff</w:t>
      </w:r>
    </w:p>
    <w:p w14:paraId="2EA48C9D" w14:textId="70B6F258" w:rsidR="004117FD" w:rsidRPr="004153B5" w:rsidRDefault="004117FD" w:rsidP="00250727">
      <w:pPr>
        <w:tabs>
          <w:tab w:val="left" w:pos="900"/>
        </w:tabs>
        <w:spacing w:after="220"/>
        <w:ind w:right="576"/>
        <w:rPr>
          <w:rFonts w:ascii="Georgia" w:hAnsi="Georgia"/>
        </w:rPr>
      </w:pPr>
      <w:r w:rsidRPr="004153B5">
        <w:rPr>
          <w:rFonts w:ascii="Georgia" w:hAnsi="Georgia"/>
        </w:rPr>
        <w:t>FROM:</w:t>
      </w:r>
      <w:r w:rsidRPr="004153B5">
        <w:rPr>
          <w:rFonts w:ascii="Georgia" w:hAnsi="Georgia"/>
        </w:rPr>
        <w:tab/>
      </w:r>
      <w:r w:rsidR="00374688">
        <w:rPr>
          <w:rFonts w:ascii="Georgia" w:hAnsi="Georgia"/>
        </w:rPr>
        <w:t>Heather Rossi</w:t>
      </w:r>
      <w:r w:rsidRPr="004153B5">
        <w:rPr>
          <w:rFonts w:ascii="Georgia" w:hAnsi="Georgia"/>
        </w:rPr>
        <w:t xml:space="preserve">, </w:t>
      </w:r>
      <w:r w:rsidR="00374688" w:rsidRPr="00374688">
        <w:rPr>
          <w:rFonts w:ascii="Georgia" w:hAnsi="Georgia"/>
        </w:rPr>
        <w:t xml:space="preserve">Director </w:t>
      </w:r>
      <w:r w:rsidR="00EB1686">
        <w:rPr>
          <w:rFonts w:ascii="Georgia" w:hAnsi="Georgia"/>
        </w:rPr>
        <w:t>of</w:t>
      </w:r>
      <w:r w:rsidR="00374688" w:rsidRPr="00374688">
        <w:rPr>
          <w:rFonts w:ascii="Georgia" w:hAnsi="Georgia"/>
        </w:rPr>
        <w:t xml:space="preserve"> Eligibility</w:t>
      </w:r>
      <w:r w:rsidR="00EB1686">
        <w:rPr>
          <w:rFonts w:ascii="Georgia" w:hAnsi="Georgia"/>
        </w:rPr>
        <w:t xml:space="preserve"> Policy</w:t>
      </w:r>
      <w:r w:rsidR="000A362E">
        <w:rPr>
          <w:rFonts w:ascii="Georgia" w:hAnsi="Georgia"/>
        </w:rPr>
        <w:t xml:space="preserve"> [signature of Heather Rossi]</w:t>
      </w:r>
    </w:p>
    <w:p w14:paraId="79B33754" w14:textId="46C2985B" w:rsidR="004117FD" w:rsidRPr="000E183B" w:rsidRDefault="004117FD" w:rsidP="00B20353">
      <w:pPr>
        <w:tabs>
          <w:tab w:val="left" w:pos="900"/>
        </w:tabs>
        <w:spacing w:after="220"/>
        <w:ind w:left="907" w:right="576" w:hanging="907"/>
        <w:rPr>
          <w:rFonts w:ascii="Georgia" w:hAnsi="Georgia"/>
          <w:b/>
        </w:rPr>
      </w:pPr>
      <w:r w:rsidRPr="004153B5">
        <w:rPr>
          <w:rFonts w:ascii="Georgia" w:hAnsi="Georgia"/>
        </w:rPr>
        <w:t>RE:</w:t>
      </w:r>
      <w:r w:rsidRPr="004153B5">
        <w:rPr>
          <w:rFonts w:ascii="Georgia" w:hAnsi="Georgia"/>
        </w:rPr>
        <w:tab/>
      </w:r>
      <w:r w:rsidR="00B20353" w:rsidRPr="00B20353">
        <w:rPr>
          <w:rFonts w:ascii="Georgia" w:hAnsi="Georgia"/>
          <w:b/>
        </w:rPr>
        <w:t xml:space="preserve">Hospital-Determined Presumptive Eligibility (HPE): Updates for </w:t>
      </w:r>
      <w:r w:rsidR="00B20353">
        <w:rPr>
          <w:rFonts w:ascii="Georgia" w:hAnsi="Georgia"/>
          <w:b/>
        </w:rPr>
        <w:t>N</w:t>
      </w:r>
      <w:r w:rsidR="00B20353" w:rsidRPr="00B20353">
        <w:rPr>
          <w:rFonts w:ascii="Georgia" w:hAnsi="Georgia"/>
          <w:b/>
        </w:rPr>
        <w:t xml:space="preserve">on-MAGI </w:t>
      </w:r>
      <w:r w:rsidR="00FF71EC">
        <w:rPr>
          <w:rFonts w:ascii="Georgia" w:hAnsi="Georgia"/>
          <w:b/>
        </w:rPr>
        <w:t>I</w:t>
      </w:r>
      <w:r w:rsidR="00B20353" w:rsidRPr="00B20353">
        <w:rPr>
          <w:rFonts w:ascii="Georgia" w:hAnsi="Georgia"/>
          <w:b/>
        </w:rPr>
        <w:t>ndividuals</w:t>
      </w:r>
    </w:p>
    <w:p w14:paraId="6B5E789D" w14:textId="53674080" w:rsidR="005B3A7D" w:rsidRPr="007F74B0" w:rsidRDefault="000E7850" w:rsidP="007F74B0">
      <w:pPr>
        <w:pStyle w:val="Heading1"/>
      </w:pPr>
      <w:r>
        <w:t>Summary</w:t>
      </w:r>
    </w:p>
    <w:p w14:paraId="513C4D12" w14:textId="7F764FFC" w:rsidR="009A58C3" w:rsidRPr="009A58C3" w:rsidRDefault="009A58C3" w:rsidP="009A58C3">
      <w:pPr>
        <w:spacing w:after="220"/>
        <w:ind w:right="576"/>
        <w:rPr>
          <w:rFonts w:ascii="Georgia" w:hAnsi="Georgia" w:cs="Arial"/>
        </w:rPr>
      </w:pPr>
      <w:r w:rsidRPr="009A58C3">
        <w:rPr>
          <w:rFonts w:ascii="Georgia" w:hAnsi="Georgia" w:cs="Arial"/>
        </w:rPr>
        <w:t>This memo summarizes changes to MassHealth’s Hospital-Determined Presumptive Eligibility (HPE) process for non</w:t>
      </w:r>
      <w:r w:rsidR="007245DC">
        <w:rPr>
          <w:rFonts w:ascii="Georgia" w:hAnsi="Georgia" w:cs="Arial"/>
        </w:rPr>
        <w:t>–modified adjusted gross income (</w:t>
      </w:r>
      <w:r w:rsidRPr="009A58C3">
        <w:rPr>
          <w:rFonts w:ascii="Georgia" w:hAnsi="Georgia" w:cs="Arial"/>
        </w:rPr>
        <w:t>MAGI</w:t>
      </w:r>
      <w:r w:rsidR="007245DC">
        <w:rPr>
          <w:rFonts w:ascii="Georgia" w:hAnsi="Georgia" w:cs="Arial"/>
        </w:rPr>
        <w:t>)</w:t>
      </w:r>
      <w:r w:rsidRPr="009A58C3">
        <w:rPr>
          <w:rFonts w:ascii="Georgia" w:hAnsi="Georgia" w:cs="Arial"/>
        </w:rPr>
        <w:t xml:space="preserve"> applicants previously described in </w:t>
      </w:r>
      <w:hyperlink r:id="rId9" w:anchor="2020-eligibility-operations-memos-" w:history="1">
        <w:r w:rsidRPr="00351236">
          <w:rPr>
            <w:rStyle w:val="Hyperlink"/>
            <w:rFonts w:ascii="Georgia" w:hAnsi="Georgia" w:cs="Arial"/>
          </w:rPr>
          <w:t>EOM 20-19</w:t>
        </w:r>
      </w:hyperlink>
      <w:r w:rsidRPr="009A58C3">
        <w:rPr>
          <w:rFonts w:ascii="Georgia" w:hAnsi="Georgia" w:cs="Arial"/>
        </w:rPr>
        <w:t xml:space="preserve">. </w:t>
      </w:r>
    </w:p>
    <w:p w14:paraId="00D153DC" w14:textId="146AA93C" w:rsidR="009A58C3" w:rsidRPr="009A58C3" w:rsidRDefault="009A58C3" w:rsidP="009A58C3">
      <w:pPr>
        <w:spacing w:after="220"/>
        <w:ind w:right="576"/>
        <w:rPr>
          <w:rFonts w:ascii="Georgia" w:hAnsi="Georgia" w:cs="Arial"/>
        </w:rPr>
      </w:pPr>
      <w:r w:rsidRPr="009A58C3">
        <w:rPr>
          <w:rFonts w:ascii="Georgia" w:hAnsi="Georgia" w:cs="Arial"/>
        </w:rPr>
        <w:t xml:space="preserve">Effective January 1, 2023, (1) all seniors, including seniors seeking </w:t>
      </w:r>
      <w:r w:rsidR="009C25B3">
        <w:rPr>
          <w:rFonts w:ascii="Georgia" w:hAnsi="Georgia" w:cs="Arial"/>
        </w:rPr>
        <w:t>long term nursing facility</w:t>
      </w:r>
      <w:r w:rsidR="009C25B3" w:rsidRPr="009A58C3">
        <w:rPr>
          <w:rFonts w:ascii="Georgia" w:hAnsi="Georgia" w:cs="Arial"/>
        </w:rPr>
        <w:t xml:space="preserve"> </w:t>
      </w:r>
      <w:r w:rsidRPr="009A58C3">
        <w:rPr>
          <w:rFonts w:ascii="Georgia" w:hAnsi="Georgia" w:cs="Arial"/>
        </w:rPr>
        <w:t>care, may apply for HPE using abbreviated non-MAGI criteria; and (2) a new process will be implemented to temporarily set a level of care</w:t>
      </w:r>
      <w:r w:rsidR="007245DC">
        <w:rPr>
          <w:rFonts w:ascii="Georgia" w:hAnsi="Georgia" w:cs="Arial"/>
        </w:rPr>
        <w:t xml:space="preserve"> (LOC)</w:t>
      </w:r>
      <w:r w:rsidRPr="009A58C3">
        <w:rPr>
          <w:rFonts w:ascii="Georgia" w:hAnsi="Georgia" w:cs="Arial"/>
        </w:rPr>
        <w:t xml:space="preserve"> segment in parallel with the HPE determination to allow additional time for the facility to submit an SC-1 after hospital discharge. The objective of this guidance is to help facilitate timely and seamless hospital discharges into less acute or more appropriate clinical settings with minimal barriers while still maintaining eligibility requirements and benefit integrity.</w:t>
      </w:r>
    </w:p>
    <w:p w14:paraId="22461CD8" w14:textId="5DC1E435" w:rsidR="005B3A7D" w:rsidRDefault="009A58C3" w:rsidP="009A58C3">
      <w:pPr>
        <w:spacing w:after="220"/>
        <w:ind w:right="576"/>
        <w:rPr>
          <w:rFonts w:ascii="Georgia" w:hAnsi="Georgia" w:cs="Arial"/>
        </w:rPr>
      </w:pPr>
      <w:r w:rsidRPr="009A58C3">
        <w:rPr>
          <w:rFonts w:ascii="Georgia" w:hAnsi="Georgia" w:cs="Arial"/>
        </w:rPr>
        <w:t>For more detailed information about MAGI eligibility for HPE, please see EOM 20-19.</w:t>
      </w:r>
    </w:p>
    <w:p w14:paraId="0451EA6C" w14:textId="0DAD5A33" w:rsidR="00AE1A97" w:rsidRPr="007F74B0" w:rsidRDefault="00F93451" w:rsidP="00AE1A97">
      <w:pPr>
        <w:pStyle w:val="Heading1"/>
      </w:pPr>
      <w:r>
        <w:t>HPE for Non-MAGI Applicants</w:t>
      </w:r>
    </w:p>
    <w:p w14:paraId="455F436D" w14:textId="616D24DE" w:rsidR="00D13CCD" w:rsidRPr="00D13CCD" w:rsidRDefault="00754CE1" w:rsidP="00D13CCD">
      <w:pPr>
        <w:spacing w:after="220"/>
        <w:ind w:right="576"/>
        <w:rPr>
          <w:rFonts w:ascii="Georgia" w:hAnsi="Georgia" w:cs="Arial"/>
        </w:rPr>
      </w:pPr>
      <w:r w:rsidRPr="00754CE1">
        <w:rPr>
          <w:rFonts w:ascii="Georgia" w:hAnsi="Georgia" w:cs="Arial"/>
        </w:rPr>
        <w:t>Effective January 1, 2023 through March 31, 2024</w:t>
      </w:r>
      <w:r w:rsidR="00D13CCD" w:rsidRPr="00D13CCD">
        <w:rPr>
          <w:rFonts w:ascii="Georgia" w:hAnsi="Georgia" w:cs="Arial"/>
        </w:rPr>
        <w:t>, the following updates to the HPE criteria and eligibility processes for non-MAGI individuals will be implemented</w:t>
      </w:r>
      <w:r w:rsidR="00351236">
        <w:rPr>
          <w:rFonts w:ascii="Georgia" w:hAnsi="Georgia" w:cs="Arial"/>
        </w:rPr>
        <w:t>.</w:t>
      </w:r>
    </w:p>
    <w:p w14:paraId="147E16A5" w14:textId="5AEB2F4C" w:rsidR="00D13CCD" w:rsidRPr="00D13CCD" w:rsidRDefault="007D0E0D" w:rsidP="00D13CCD">
      <w:pPr>
        <w:pStyle w:val="ListParagraph"/>
        <w:numPr>
          <w:ilvl w:val="0"/>
          <w:numId w:val="11"/>
        </w:numPr>
        <w:spacing w:after="220"/>
        <w:ind w:right="576"/>
        <w:rPr>
          <w:rFonts w:ascii="Georgia" w:hAnsi="Georgia" w:cs="Arial"/>
        </w:rPr>
      </w:pPr>
      <w:r>
        <w:rPr>
          <w:rFonts w:ascii="Georgia" w:hAnsi="Georgia" w:cs="Arial"/>
        </w:rPr>
        <w:t>Applicants</w:t>
      </w:r>
      <w:r w:rsidRPr="00D13CCD">
        <w:rPr>
          <w:rFonts w:ascii="Georgia" w:hAnsi="Georgia" w:cs="Arial"/>
        </w:rPr>
        <w:t xml:space="preserve"> </w:t>
      </w:r>
      <w:r w:rsidR="00D13CCD" w:rsidRPr="00D13CCD">
        <w:rPr>
          <w:rFonts w:ascii="Georgia" w:hAnsi="Georgia" w:cs="Arial"/>
        </w:rPr>
        <w:t xml:space="preserve">over 65 years </w:t>
      </w:r>
      <w:r w:rsidR="006D3651">
        <w:rPr>
          <w:rFonts w:ascii="Georgia" w:hAnsi="Georgia" w:cs="Arial"/>
        </w:rPr>
        <w:t>old</w:t>
      </w:r>
      <w:r w:rsidR="00D13CCD" w:rsidRPr="00D13CCD">
        <w:rPr>
          <w:rFonts w:ascii="Georgia" w:hAnsi="Georgia" w:cs="Arial"/>
        </w:rPr>
        <w:t xml:space="preserve">, including those seeking </w:t>
      </w:r>
      <w:r w:rsidR="009C25B3">
        <w:rPr>
          <w:rFonts w:ascii="Georgia" w:hAnsi="Georgia" w:cs="Arial"/>
        </w:rPr>
        <w:t>long term</w:t>
      </w:r>
      <w:r w:rsidR="009C25B3" w:rsidRPr="00D13CCD">
        <w:rPr>
          <w:rFonts w:ascii="Georgia" w:hAnsi="Georgia" w:cs="Arial"/>
        </w:rPr>
        <w:t xml:space="preserve"> </w:t>
      </w:r>
      <w:r w:rsidR="00D13CCD" w:rsidRPr="00D13CCD">
        <w:rPr>
          <w:rFonts w:ascii="Georgia" w:hAnsi="Georgia" w:cs="Arial"/>
        </w:rPr>
        <w:t xml:space="preserve">care in a nursing facility or a </w:t>
      </w:r>
      <w:r w:rsidR="006D3651">
        <w:rPr>
          <w:rFonts w:ascii="Georgia" w:hAnsi="Georgia" w:cs="Arial"/>
        </w:rPr>
        <w:t>c</w:t>
      </w:r>
      <w:r w:rsidR="00D13CCD" w:rsidRPr="00D13CCD">
        <w:rPr>
          <w:rFonts w:ascii="Georgia" w:hAnsi="Georgia" w:cs="Arial"/>
        </w:rPr>
        <w:t xml:space="preserve">hronic </w:t>
      </w:r>
      <w:r w:rsidR="006D3651">
        <w:rPr>
          <w:rFonts w:ascii="Georgia" w:hAnsi="Georgia" w:cs="Arial"/>
        </w:rPr>
        <w:t>d</w:t>
      </w:r>
      <w:r w:rsidR="00D13CCD" w:rsidRPr="00D13CCD">
        <w:rPr>
          <w:rFonts w:ascii="Georgia" w:hAnsi="Georgia" w:cs="Arial"/>
        </w:rPr>
        <w:t xml:space="preserve">isease and </w:t>
      </w:r>
      <w:r w:rsidR="006D3651">
        <w:rPr>
          <w:rFonts w:ascii="Georgia" w:hAnsi="Georgia" w:cs="Arial"/>
        </w:rPr>
        <w:t>r</w:t>
      </w:r>
      <w:r w:rsidR="00D13CCD" w:rsidRPr="00D13CCD">
        <w:rPr>
          <w:rFonts w:ascii="Georgia" w:hAnsi="Georgia" w:cs="Arial"/>
        </w:rPr>
        <w:t xml:space="preserve">ehabilitation </w:t>
      </w:r>
      <w:r w:rsidR="006D3651">
        <w:rPr>
          <w:rFonts w:ascii="Georgia" w:hAnsi="Georgia" w:cs="Arial"/>
        </w:rPr>
        <w:t>h</w:t>
      </w:r>
      <w:r w:rsidR="00D13CCD" w:rsidRPr="00D13CCD">
        <w:rPr>
          <w:rFonts w:ascii="Georgia" w:hAnsi="Georgia" w:cs="Arial"/>
        </w:rPr>
        <w:t xml:space="preserve">ospital (CDRH), </w:t>
      </w:r>
      <w:r w:rsidR="006D3651">
        <w:rPr>
          <w:rFonts w:ascii="Georgia" w:hAnsi="Georgia" w:cs="Arial"/>
        </w:rPr>
        <w:t xml:space="preserve">if they meet </w:t>
      </w:r>
      <w:r w:rsidR="00D13CCD" w:rsidRPr="00D13CCD">
        <w:rPr>
          <w:rFonts w:ascii="Georgia" w:hAnsi="Georgia" w:cs="Arial"/>
        </w:rPr>
        <w:t>the financial eligibility criteria for MassHealth Standard set forth in 130 CMR 519.005(A) and 519.006, will continue to qualify for HPE.</w:t>
      </w:r>
    </w:p>
    <w:p w14:paraId="1EB32771" w14:textId="2A5AEF84" w:rsidR="00D13CCD" w:rsidRPr="00D13CCD" w:rsidRDefault="00D13CCD" w:rsidP="00D13CCD">
      <w:pPr>
        <w:pStyle w:val="ListParagraph"/>
        <w:numPr>
          <w:ilvl w:val="0"/>
          <w:numId w:val="11"/>
        </w:numPr>
        <w:spacing w:after="220"/>
        <w:ind w:right="576"/>
        <w:rPr>
          <w:rFonts w:ascii="Georgia" w:hAnsi="Georgia" w:cs="Arial"/>
        </w:rPr>
      </w:pPr>
      <w:r w:rsidRPr="00D13CCD">
        <w:rPr>
          <w:rFonts w:ascii="Georgia" w:hAnsi="Georgia" w:cs="Arial"/>
        </w:rPr>
        <w:t xml:space="preserve">Eligibility criteria will also </w:t>
      </w:r>
      <w:r w:rsidR="007253C4">
        <w:rPr>
          <w:rFonts w:ascii="Georgia" w:hAnsi="Georgia" w:cs="Arial"/>
        </w:rPr>
        <w:t>apply to</w:t>
      </w:r>
      <w:r w:rsidRPr="00D13CCD">
        <w:rPr>
          <w:rFonts w:ascii="Georgia" w:hAnsi="Georgia" w:cs="Arial"/>
        </w:rPr>
        <w:t xml:space="preserve"> </w:t>
      </w:r>
      <w:r w:rsidR="006D3651">
        <w:rPr>
          <w:rFonts w:ascii="Georgia" w:hAnsi="Georgia" w:cs="Arial"/>
        </w:rPr>
        <w:t>applicants</w:t>
      </w:r>
      <w:r w:rsidR="006D3651" w:rsidRPr="00D13CCD">
        <w:rPr>
          <w:rFonts w:ascii="Georgia" w:hAnsi="Georgia" w:cs="Arial"/>
        </w:rPr>
        <w:t xml:space="preserve"> </w:t>
      </w:r>
      <w:r w:rsidRPr="00D13CCD">
        <w:rPr>
          <w:rFonts w:ascii="Georgia" w:hAnsi="Georgia" w:cs="Arial"/>
        </w:rPr>
        <w:t xml:space="preserve">whose income exceeds 100% </w:t>
      </w:r>
      <w:r w:rsidR="006D3651">
        <w:rPr>
          <w:rFonts w:ascii="Georgia" w:hAnsi="Georgia" w:cs="Arial"/>
        </w:rPr>
        <w:t>of the federal poverty level (</w:t>
      </w:r>
      <w:r w:rsidRPr="00D13CCD">
        <w:rPr>
          <w:rFonts w:ascii="Georgia" w:hAnsi="Georgia" w:cs="Arial"/>
        </w:rPr>
        <w:t>FPL</w:t>
      </w:r>
      <w:r w:rsidR="006D3651">
        <w:rPr>
          <w:rFonts w:ascii="Georgia" w:hAnsi="Georgia" w:cs="Arial"/>
        </w:rPr>
        <w:t>)</w:t>
      </w:r>
      <w:r w:rsidRPr="00D13CCD">
        <w:rPr>
          <w:rFonts w:ascii="Georgia" w:hAnsi="Georgia" w:cs="Arial"/>
        </w:rPr>
        <w:t xml:space="preserve"> and who may be </w:t>
      </w:r>
      <w:r w:rsidR="00D7581D">
        <w:rPr>
          <w:rFonts w:ascii="Georgia" w:hAnsi="Georgia" w:cs="Arial"/>
        </w:rPr>
        <w:t>required to pay</w:t>
      </w:r>
      <w:r w:rsidRPr="00D13CCD">
        <w:rPr>
          <w:rFonts w:ascii="Georgia" w:hAnsi="Georgia" w:cs="Arial"/>
        </w:rPr>
        <w:t xml:space="preserve"> a </w:t>
      </w:r>
      <w:proofErr w:type="gramStart"/>
      <w:r w:rsidRPr="00D13CCD">
        <w:rPr>
          <w:rFonts w:ascii="Georgia" w:hAnsi="Georgia" w:cs="Arial"/>
        </w:rPr>
        <w:t>deductible</w:t>
      </w:r>
      <w:proofErr w:type="gramEnd"/>
      <w:r w:rsidRPr="00D13CCD">
        <w:rPr>
          <w:rFonts w:ascii="Georgia" w:hAnsi="Georgia" w:cs="Arial"/>
        </w:rPr>
        <w:t xml:space="preserve"> or a </w:t>
      </w:r>
      <w:r w:rsidR="006D3651">
        <w:rPr>
          <w:rFonts w:ascii="Georgia" w:hAnsi="Georgia" w:cs="Arial"/>
        </w:rPr>
        <w:t>p</w:t>
      </w:r>
      <w:r w:rsidRPr="00D13CCD">
        <w:rPr>
          <w:rFonts w:ascii="Georgia" w:hAnsi="Georgia" w:cs="Arial"/>
        </w:rPr>
        <w:t xml:space="preserve">atient </w:t>
      </w:r>
      <w:r w:rsidR="006D3651">
        <w:rPr>
          <w:rFonts w:ascii="Georgia" w:hAnsi="Georgia" w:cs="Arial"/>
        </w:rPr>
        <w:t>p</w:t>
      </w:r>
      <w:r w:rsidRPr="00D13CCD">
        <w:rPr>
          <w:rFonts w:ascii="Georgia" w:hAnsi="Georgia" w:cs="Arial"/>
        </w:rPr>
        <w:t xml:space="preserve">aid </w:t>
      </w:r>
      <w:r w:rsidR="006D3651">
        <w:rPr>
          <w:rFonts w:ascii="Georgia" w:hAnsi="Georgia" w:cs="Arial"/>
        </w:rPr>
        <w:t>a</w:t>
      </w:r>
      <w:r w:rsidRPr="00D13CCD">
        <w:rPr>
          <w:rFonts w:ascii="Georgia" w:hAnsi="Georgia" w:cs="Arial"/>
        </w:rPr>
        <w:t xml:space="preserve">mount (PPA), as set forth in 130 CMR 520.027 and 130 CMR 520.028, so </w:t>
      </w:r>
      <w:r w:rsidR="006D3651">
        <w:rPr>
          <w:rFonts w:ascii="Georgia" w:hAnsi="Georgia" w:cs="Arial"/>
        </w:rPr>
        <w:t xml:space="preserve">as </w:t>
      </w:r>
      <w:r w:rsidRPr="00D13CCD">
        <w:rPr>
          <w:rFonts w:ascii="Georgia" w:hAnsi="Georgia" w:cs="Arial"/>
        </w:rPr>
        <w:t>not to unnecessarily restrict access to HPE</w:t>
      </w:r>
      <w:r>
        <w:rPr>
          <w:rFonts w:ascii="Georgia" w:hAnsi="Georgia" w:cs="Arial"/>
        </w:rPr>
        <w:t>.</w:t>
      </w:r>
    </w:p>
    <w:p w14:paraId="183DF2BD" w14:textId="4D2644B7" w:rsidR="00D13CCD" w:rsidRPr="00D13CCD" w:rsidRDefault="006D3651" w:rsidP="00D13CCD">
      <w:pPr>
        <w:pStyle w:val="ListParagraph"/>
        <w:numPr>
          <w:ilvl w:val="1"/>
          <w:numId w:val="11"/>
        </w:numPr>
        <w:spacing w:after="220"/>
        <w:ind w:right="576"/>
        <w:rPr>
          <w:rFonts w:ascii="Georgia" w:hAnsi="Georgia" w:cs="Arial"/>
          <w:lang w:val="fr-029"/>
        </w:rPr>
      </w:pPr>
      <w:r>
        <w:rPr>
          <w:rFonts w:ascii="Georgia" w:hAnsi="Georgia" w:cs="Arial"/>
        </w:rPr>
        <w:t>Although</w:t>
      </w:r>
      <w:r w:rsidRPr="00D13CCD">
        <w:rPr>
          <w:rFonts w:ascii="Georgia" w:hAnsi="Georgia" w:cs="Arial"/>
        </w:rPr>
        <w:t xml:space="preserve"> </w:t>
      </w:r>
      <w:r w:rsidR="00D13CCD" w:rsidRPr="00D13CCD">
        <w:rPr>
          <w:rFonts w:ascii="Georgia" w:hAnsi="Georgia" w:cs="Arial"/>
        </w:rPr>
        <w:t>hospitals cannot calculate the PPA or deductible amount, they will identify the excess income amount</w:t>
      </w:r>
      <w:r>
        <w:rPr>
          <w:rFonts w:ascii="Georgia" w:hAnsi="Georgia" w:cs="Arial"/>
        </w:rPr>
        <w:t xml:space="preserve"> and</w:t>
      </w:r>
      <w:r w:rsidR="00D13CCD" w:rsidRPr="00D13CCD">
        <w:rPr>
          <w:rFonts w:ascii="Georgia" w:hAnsi="Georgia" w:cs="Arial"/>
        </w:rPr>
        <w:t xml:space="preserve"> the FPL equivalent and </w:t>
      </w:r>
      <w:r>
        <w:rPr>
          <w:rFonts w:ascii="Georgia" w:hAnsi="Georgia" w:cs="Arial"/>
        </w:rPr>
        <w:t xml:space="preserve">determine </w:t>
      </w:r>
      <w:r w:rsidR="00D13CCD" w:rsidRPr="00D13CCD">
        <w:rPr>
          <w:rFonts w:ascii="Georgia" w:hAnsi="Georgia" w:cs="Arial"/>
        </w:rPr>
        <w:t>that a PPA or deductible will likely ensue</w:t>
      </w:r>
      <w:r>
        <w:rPr>
          <w:rFonts w:ascii="Georgia" w:hAnsi="Georgia" w:cs="Arial"/>
        </w:rPr>
        <w:t>,</w:t>
      </w:r>
      <w:r w:rsidR="00D13CCD" w:rsidRPr="00D13CCD">
        <w:rPr>
          <w:rFonts w:ascii="Georgia" w:hAnsi="Georgia" w:cs="Arial"/>
        </w:rPr>
        <w:t xml:space="preserve"> and </w:t>
      </w:r>
      <w:r>
        <w:rPr>
          <w:rFonts w:ascii="Georgia" w:hAnsi="Georgia" w:cs="Arial"/>
        </w:rPr>
        <w:t xml:space="preserve">they will </w:t>
      </w:r>
      <w:r w:rsidR="00D13CCD" w:rsidRPr="00D13CCD">
        <w:rPr>
          <w:rFonts w:ascii="Georgia" w:hAnsi="Georgia" w:cs="Arial"/>
        </w:rPr>
        <w:t xml:space="preserve">communicate the expectations </w:t>
      </w:r>
      <w:r w:rsidR="00261A38">
        <w:rPr>
          <w:rFonts w:ascii="Georgia" w:hAnsi="Georgia" w:cs="Arial"/>
        </w:rPr>
        <w:t xml:space="preserve">for the </w:t>
      </w:r>
      <w:r w:rsidR="002E3CDC">
        <w:rPr>
          <w:rFonts w:ascii="Georgia" w:hAnsi="Georgia" w:cs="Arial"/>
        </w:rPr>
        <w:t>applicant</w:t>
      </w:r>
      <w:r w:rsidR="00261A38">
        <w:rPr>
          <w:rFonts w:ascii="Georgia" w:hAnsi="Georgia" w:cs="Arial"/>
        </w:rPr>
        <w:t xml:space="preserve"> </w:t>
      </w:r>
      <w:r w:rsidR="00D13CCD" w:rsidRPr="00D13CCD">
        <w:rPr>
          <w:rFonts w:ascii="Georgia" w:hAnsi="Georgia" w:cs="Arial"/>
        </w:rPr>
        <w:t>to the appropriate parties.</w:t>
      </w:r>
    </w:p>
    <w:p w14:paraId="1B95F053" w14:textId="77777777" w:rsidR="00D13CCD" w:rsidRDefault="00D13CCD" w:rsidP="00D13CCD">
      <w:pPr>
        <w:spacing w:after="220"/>
        <w:ind w:right="576"/>
        <w:rPr>
          <w:rFonts w:ascii="Georgia" w:hAnsi="Georgia" w:cs="Arial"/>
          <w:lang w:val="fr-029"/>
        </w:rPr>
        <w:sectPr w:rsidR="00D13CCD" w:rsidSect="00AE1A97">
          <w:headerReference w:type="first" r:id="rId10"/>
          <w:footerReference w:type="first" r:id="rId11"/>
          <w:pgSz w:w="12240" w:h="15840" w:code="1"/>
          <w:pgMar w:top="216" w:right="1080" w:bottom="432" w:left="1584" w:header="180" w:footer="720" w:gutter="0"/>
          <w:pgBorders w:offsetFrom="page">
            <w:top w:val="single" w:sz="18" w:space="31" w:color="990000"/>
            <w:left w:val="single" w:sz="18" w:space="31" w:color="990000"/>
            <w:bottom w:val="single" w:sz="18" w:space="31" w:color="990000"/>
            <w:right w:val="single" w:sz="18" w:space="31" w:color="990000"/>
          </w:pgBorders>
          <w:cols w:space="720"/>
          <w:docGrid w:linePitch="299"/>
        </w:sectPr>
      </w:pPr>
    </w:p>
    <w:p w14:paraId="68A0D5B6" w14:textId="36FC4A13" w:rsidR="00D13CCD" w:rsidRPr="00D13CCD" w:rsidRDefault="00D13CCD" w:rsidP="00D13CCD">
      <w:pPr>
        <w:pStyle w:val="ListParagraph"/>
        <w:numPr>
          <w:ilvl w:val="0"/>
          <w:numId w:val="11"/>
        </w:numPr>
        <w:spacing w:after="220"/>
        <w:ind w:right="576"/>
        <w:rPr>
          <w:rFonts w:ascii="Georgia" w:hAnsi="Georgia" w:cs="Arial"/>
        </w:rPr>
      </w:pPr>
      <w:r w:rsidRPr="00D13CCD">
        <w:rPr>
          <w:rFonts w:ascii="Georgia" w:hAnsi="Georgia" w:cs="Arial"/>
        </w:rPr>
        <w:lastRenderedPageBreak/>
        <w:t xml:space="preserve">For </w:t>
      </w:r>
      <w:r w:rsidR="002E3CDC">
        <w:rPr>
          <w:rFonts w:ascii="Georgia" w:hAnsi="Georgia" w:cs="Arial"/>
        </w:rPr>
        <w:t>applicant</w:t>
      </w:r>
      <w:r w:rsidR="00921170">
        <w:rPr>
          <w:rFonts w:ascii="Georgia" w:hAnsi="Georgia" w:cs="Arial"/>
        </w:rPr>
        <w:t>s</w:t>
      </w:r>
      <w:r w:rsidR="00921170" w:rsidRPr="00D13CCD">
        <w:rPr>
          <w:rFonts w:ascii="Georgia" w:hAnsi="Georgia" w:cs="Arial"/>
        </w:rPr>
        <w:t xml:space="preserve"> </w:t>
      </w:r>
      <w:r w:rsidRPr="00D13CCD">
        <w:rPr>
          <w:rFonts w:ascii="Georgia" w:hAnsi="Georgia" w:cs="Arial"/>
        </w:rPr>
        <w:t xml:space="preserve">being discharged to a facility, eligibility criteria will also account for asset limits of $2,000 for the </w:t>
      </w:r>
      <w:r w:rsidR="002E3CDC">
        <w:rPr>
          <w:rFonts w:ascii="Georgia" w:hAnsi="Georgia" w:cs="Arial"/>
        </w:rPr>
        <w:t>applicant</w:t>
      </w:r>
      <w:r w:rsidR="00921170">
        <w:rPr>
          <w:rFonts w:ascii="Georgia" w:hAnsi="Georgia" w:cs="Arial"/>
        </w:rPr>
        <w:t xml:space="preserve"> </w:t>
      </w:r>
      <w:r w:rsidRPr="00D13CCD">
        <w:rPr>
          <w:rFonts w:ascii="Georgia" w:hAnsi="Georgia" w:cs="Arial"/>
        </w:rPr>
        <w:t>entering the facility and $137,400 for the community spouse</w:t>
      </w:r>
      <w:r w:rsidR="00284412">
        <w:rPr>
          <w:rFonts w:ascii="Georgia" w:hAnsi="Georgia" w:cs="Arial"/>
        </w:rPr>
        <w:t>.</w:t>
      </w:r>
    </w:p>
    <w:p w14:paraId="3E738B52" w14:textId="2BFE7C86" w:rsidR="00D13CCD" w:rsidRPr="00D13CCD" w:rsidRDefault="00D13CCD" w:rsidP="00D13CCD">
      <w:pPr>
        <w:pStyle w:val="ListParagraph"/>
        <w:numPr>
          <w:ilvl w:val="0"/>
          <w:numId w:val="11"/>
        </w:numPr>
        <w:spacing w:after="220"/>
        <w:ind w:right="576"/>
        <w:rPr>
          <w:rFonts w:ascii="Georgia" w:hAnsi="Georgia" w:cs="Arial"/>
        </w:rPr>
      </w:pPr>
      <w:r w:rsidRPr="00D13CCD">
        <w:rPr>
          <w:rFonts w:ascii="Georgia" w:hAnsi="Georgia" w:cs="Arial"/>
        </w:rPr>
        <w:t>Updated eligibility processes will create a process to temporarily set a</w:t>
      </w:r>
      <w:r w:rsidR="00921170">
        <w:rPr>
          <w:rFonts w:ascii="Georgia" w:hAnsi="Georgia" w:cs="Arial"/>
        </w:rPr>
        <w:t>n LOC</w:t>
      </w:r>
      <w:r w:rsidRPr="00D13CCD">
        <w:rPr>
          <w:rFonts w:ascii="Georgia" w:hAnsi="Georgia" w:cs="Arial"/>
        </w:rPr>
        <w:t xml:space="preserve"> segment in parallel with the HPE without the submission of an SC-1 </w:t>
      </w:r>
      <w:r w:rsidR="0063345B">
        <w:rPr>
          <w:rFonts w:ascii="Georgia" w:hAnsi="Georgia" w:cs="Arial"/>
        </w:rPr>
        <w:t xml:space="preserve">before </w:t>
      </w:r>
      <w:r w:rsidRPr="00D13CCD">
        <w:rPr>
          <w:rFonts w:ascii="Georgia" w:hAnsi="Georgia" w:cs="Arial"/>
        </w:rPr>
        <w:t xml:space="preserve">admission. The </w:t>
      </w:r>
      <w:r w:rsidR="0063345B">
        <w:rPr>
          <w:rFonts w:ascii="Georgia" w:hAnsi="Georgia" w:cs="Arial"/>
        </w:rPr>
        <w:t xml:space="preserve">facility will submit the </w:t>
      </w:r>
      <w:r w:rsidRPr="00D13CCD">
        <w:rPr>
          <w:rFonts w:ascii="Georgia" w:hAnsi="Georgia" w:cs="Arial"/>
        </w:rPr>
        <w:t>SC-1 to MassHealth before the HPE period</w:t>
      </w:r>
      <w:r w:rsidR="0063345B">
        <w:rPr>
          <w:rFonts w:ascii="Georgia" w:hAnsi="Georgia" w:cs="Arial"/>
        </w:rPr>
        <w:t xml:space="preserve"> ends</w:t>
      </w:r>
      <w:r w:rsidRPr="00D13CCD">
        <w:rPr>
          <w:rFonts w:ascii="Georgia" w:hAnsi="Georgia" w:cs="Arial"/>
        </w:rPr>
        <w:t xml:space="preserve">. </w:t>
      </w:r>
    </w:p>
    <w:p w14:paraId="70488C5E" w14:textId="08724C1B" w:rsidR="00D13CCD" w:rsidRPr="00D13CCD" w:rsidRDefault="00D13CCD" w:rsidP="00D13CCD">
      <w:pPr>
        <w:spacing w:after="220"/>
        <w:ind w:right="576"/>
        <w:rPr>
          <w:rFonts w:ascii="Georgia" w:hAnsi="Georgia" w:cs="Arial"/>
        </w:rPr>
      </w:pPr>
      <w:r w:rsidRPr="00D13CCD">
        <w:rPr>
          <w:rFonts w:ascii="Georgia" w:hAnsi="Georgia" w:cs="Arial"/>
        </w:rPr>
        <w:t>Additionally, responsibility for submission of a full and completed SACA-2 within the HPE period will be as follows</w:t>
      </w:r>
      <w:r w:rsidR="00366B58">
        <w:rPr>
          <w:rFonts w:ascii="Georgia" w:hAnsi="Georgia" w:cs="Arial"/>
        </w:rPr>
        <w:t>.</w:t>
      </w:r>
    </w:p>
    <w:p w14:paraId="2A3DE7CA" w14:textId="1E581785" w:rsidR="00D13CCD" w:rsidRPr="00D13CCD" w:rsidRDefault="0063345B" w:rsidP="001638EA">
      <w:pPr>
        <w:pStyle w:val="ListParagraph"/>
        <w:numPr>
          <w:ilvl w:val="0"/>
          <w:numId w:val="11"/>
        </w:numPr>
        <w:spacing w:after="220"/>
        <w:ind w:right="576"/>
        <w:rPr>
          <w:rFonts w:ascii="Georgia" w:hAnsi="Georgia" w:cs="Arial"/>
        </w:rPr>
      </w:pPr>
      <w:r>
        <w:rPr>
          <w:rFonts w:ascii="Georgia" w:hAnsi="Georgia" w:cs="Arial"/>
        </w:rPr>
        <w:t>I</w:t>
      </w:r>
      <w:r w:rsidRPr="0063345B">
        <w:rPr>
          <w:rFonts w:ascii="Georgia" w:hAnsi="Georgia" w:cs="Arial"/>
        </w:rPr>
        <w:t xml:space="preserve">f the </w:t>
      </w:r>
      <w:r w:rsidR="002E3CDC">
        <w:rPr>
          <w:rFonts w:ascii="Georgia" w:hAnsi="Georgia" w:cs="Arial"/>
        </w:rPr>
        <w:t>applicant</w:t>
      </w:r>
      <w:r>
        <w:rPr>
          <w:rFonts w:ascii="Georgia" w:hAnsi="Georgia" w:cs="Arial"/>
        </w:rPr>
        <w:t xml:space="preserve"> </w:t>
      </w:r>
      <w:r w:rsidRPr="0063345B">
        <w:rPr>
          <w:rFonts w:ascii="Georgia" w:hAnsi="Georgia" w:cs="Arial"/>
        </w:rPr>
        <w:t>is returning to the community</w:t>
      </w:r>
      <w:r>
        <w:rPr>
          <w:rFonts w:ascii="Georgia" w:hAnsi="Georgia" w:cs="Arial"/>
        </w:rPr>
        <w:t>, the h</w:t>
      </w:r>
      <w:r w:rsidR="00D13CCD" w:rsidRPr="00D13CCD">
        <w:rPr>
          <w:rFonts w:ascii="Georgia" w:hAnsi="Georgia" w:cs="Arial"/>
        </w:rPr>
        <w:t>ospital making the HPE determination will be responsible for submitting the SACA-2.</w:t>
      </w:r>
    </w:p>
    <w:p w14:paraId="12C7B4B3" w14:textId="52980ED9" w:rsidR="00D13CCD" w:rsidRPr="00D13CCD" w:rsidRDefault="00D13CCD" w:rsidP="001638EA">
      <w:pPr>
        <w:pStyle w:val="ListParagraph"/>
        <w:numPr>
          <w:ilvl w:val="0"/>
          <w:numId w:val="11"/>
        </w:numPr>
        <w:spacing w:after="220"/>
        <w:ind w:right="576"/>
        <w:rPr>
          <w:rFonts w:ascii="Georgia" w:hAnsi="Georgia" w:cs="Arial"/>
        </w:rPr>
      </w:pPr>
      <w:r w:rsidRPr="00D13CCD">
        <w:rPr>
          <w:rFonts w:ascii="Georgia" w:hAnsi="Georgia" w:cs="Arial"/>
        </w:rPr>
        <w:t>If the individual is discharg</w:t>
      </w:r>
      <w:r w:rsidR="0063345B">
        <w:rPr>
          <w:rFonts w:ascii="Georgia" w:hAnsi="Georgia" w:cs="Arial"/>
        </w:rPr>
        <w:t>ed</w:t>
      </w:r>
      <w:r w:rsidRPr="00D13CCD">
        <w:rPr>
          <w:rFonts w:ascii="Georgia" w:hAnsi="Georgia" w:cs="Arial"/>
        </w:rPr>
        <w:t xml:space="preserve"> to a facility, the facility that the </w:t>
      </w:r>
      <w:r w:rsidR="002E3CDC">
        <w:rPr>
          <w:rFonts w:ascii="Georgia" w:hAnsi="Georgia" w:cs="Arial"/>
        </w:rPr>
        <w:t>applicant</w:t>
      </w:r>
      <w:r w:rsidR="0063345B" w:rsidRPr="00D13CCD">
        <w:rPr>
          <w:rFonts w:ascii="Georgia" w:hAnsi="Georgia" w:cs="Arial"/>
        </w:rPr>
        <w:t xml:space="preserve"> </w:t>
      </w:r>
      <w:r w:rsidRPr="00D13CCD">
        <w:rPr>
          <w:rFonts w:ascii="Georgia" w:hAnsi="Georgia" w:cs="Arial"/>
        </w:rPr>
        <w:t>is admitted to will be responsible for submitting the SACA-2.</w:t>
      </w:r>
    </w:p>
    <w:p w14:paraId="33A0BC24" w14:textId="15E95C8C" w:rsidR="00AE1A97" w:rsidRPr="007F74B0" w:rsidRDefault="00D13CCD" w:rsidP="00AE1A97">
      <w:pPr>
        <w:pStyle w:val="Heading1"/>
      </w:pPr>
      <w:r>
        <w:t>HPE Coverage Duration</w:t>
      </w:r>
    </w:p>
    <w:p w14:paraId="7BE3E0A0" w14:textId="64B96AF4" w:rsidR="00671494" w:rsidRPr="00671494" w:rsidRDefault="00671494" w:rsidP="00671494">
      <w:pPr>
        <w:spacing w:after="220"/>
        <w:ind w:right="576"/>
        <w:rPr>
          <w:rFonts w:ascii="Georgia" w:hAnsi="Georgia" w:cs="Arial"/>
        </w:rPr>
      </w:pPr>
      <w:r w:rsidRPr="00671494">
        <w:rPr>
          <w:rFonts w:ascii="Georgia" w:hAnsi="Georgia" w:cs="Arial"/>
        </w:rPr>
        <w:t xml:space="preserve">HPE coverage starts on the day that the qualified hospital makes the </w:t>
      </w:r>
      <w:r w:rsidR="004C38FD">
        <w:rPr>
          <w:rFonts w:ascii="Georgia" w:hAnsi="Georgia" w:cs="Arial"/>
        </w:rPr>
        <w:t xml:space="preserve">HPE </w:t>
      </w:r>
      <w:r w:rsidRPr="00671494">
        <w:rPr>
          <w:rFonts w:ascii="Georgia" w:hAnsi="Georgia" w:cs="Arial"/>
        </w:rPr>
        <w:t xml:space="preserve">determination and ends on the last day of the month </w:t>
      </w:r>
      <w:r w:rsidR="00BD7F9B">
        <w:rPr>
          <w:rFonts w:ascii="Georgia" w:hAnsi="Georgia" w:cs="Arial"/>
        </w:rPr>
        <w:t xml:space="preserve">after </w:t>
      </w:r>
      <w:r w:rsidRPr="00671494">
        <w:rPr>
          <w:rFonts w:ascii="Georgia" w:hAnsi="Georgia" w:cs="Arial"/>
        </w:rPr>
        <w:t xml:space="preserve">the </w:t>
      </w:r>
      <w:r w:rsidR="00BD7F9B">
        <w:rPr>
          <w:rFonts w:ascii="Georgia" w:hAnsi="Georgia" w:cs="Arial"/>
        </w:rPr>
        <w:t xml:space="preserve">approval </w:t>
      </w:r>
      <w:r w:rsidRPr="00671494">
        <w:rPr>
          <w:rFonts w:ascii="Georgia" w:hAnsi="Georgia" w:cs="Arial"/>
        </w:rPr>
        <w:t>if a full application has not been submitted by that day; or, if a full application has been submitted by that da</w:t>
      </w:r>
      <w:r w:rsidR="00DB3AF0">
        <w:rPr>
          <w:rFonts w:ascii="Georgia" w:hAnsi="Georgia" w:cs="Arial"/>
        </w:rPr>
        <w:t>y</w:t>
      </w:r>
      <w:r w:rsidRPr="00671494">
        <w:rPr>
          <w:rFonts w:ascii="Georgia" w:hAnsi="Georgia" w:cs="Arial"/>
        </w:rPr>
        <w:t>, the HPE coverage ends on the da</w:t>
      </w:r>
      <w:r w:rsidR="00DB3AF0">
        <w:rPr>
          <w:rFonts w:ascii="Georgia" w:hAnsi="Georgia" w:cs="Arial"/>
        </w:rPr>
        <w:t>y</w:t>
      </w:r>
      <w:r w:rsidRPr="00671494">
        <w:rPr>
          <w:rFonts w:ascii="Georgia" w:hAnsi="Georgia" w:cs="Arial"/>
        </w:rPr>
        <w:t xml:space="preserve"> a determination is made based on the full application. Additionally, the temporary LOC segment that was established during the HPE period will be appropriately adjusted based on the information provided on a full and completed application and will begin on the date the full determination is made. MassHealth staff will extend an HPE benefit if the </w:t>
      </w:r>
      <w:r w:rsidR="00D870F8">
        <w:rPr>
          <w:rFonts w:ascii="Georgia" w:hAnsi="Georgia" w:cs="Arial"/>
        </w:rPr>
        <w:t>applicant</w:t>
      </w:r>
      <w:r w:rsidR="00D870F8" w:rsidRPr="00671494">
        <w:rPr>
          <w:rFonts w:ascii="Georgia" w:hAnsi="Georgia" w:cs="Arial"/>
        </w:rPr>
        <w:t xml:space="preserve"> </w:t>
      </w:r>
      <w:r w:rsidRPr="00671494">
        <w:rPr>
          <w:rFonts w:ascii="Georgia" w:hAnsi="Georgia" w:cs="Arial"/>
        </w:rPr>
        <w:t xml:space="preserve">has filed a full SACA-2 application that has not yet been processed but was received </w:t>
      </w:r>
      <w:r w:rsidR="00B75E6B">
        <w:rPr>
          <w:rFonts w:ascii="Georgia" w:hAnsi="Georgia" w:cs="Arial"/>
        </w:rPr>
        <w:t>before</w:t>
      </w:r>
      <w:r w:rsidRPr="00671494">
        <w:rPr>
          <w:rFonts w:ascii="Georgia" w:hAnsi="Georgia" w:cs="Arial"/>
        </w:rPr>
        <w:t xml:space="preserve"> the end date of the HPE period.</w:t>
      </w:r>
    </w:p>
    <w:p w14:paraId="18C3A543" w14:textId="2A283EB9" w:rsidR="00671494" w:rsidRPr="00671494" w:rsidRDefault="00671494" w:rsidP="00671494">
      <w:pPr>
        <w:spacing w:after="220"/>
        <w:ind w:right="576"/>
        <w:rPr>
          <w:rFonts w:ascii="Georgia" w:hAnsi="Georgia" w:cs="Arial"/>
        </w:rPr>
      </w:pPr>
      <w:r w:rsidRPr="00671494">
        <w:rPr>
          <w:rFonts w:ascii="Georgia" w:hAnsi="Georgia" w:cs="Arial"/>
        </w:rPr>
        <w:t xml:space="preserve">Managed care enrollment is not available to members determined </w:t>
      </w:r>
      <w:r w:rsidR="009B2DB7">
        <w:rPr>
          <w:rFonts w:ascii="Georgia" w:hAnsi="Georgia" w:cs="Arial"/>
        </w:rPr>
        <w:t xml:space="preserve">to be </w:t>
      </w:r>
      <w:r w:rsidRPr="00671494">
        <w:rPr>
          <w:rFonts w:ascii="Georgia" w:hAnsi="Georgia" w:cs="Arial"/>
        </w:rPr>
        <w:t xml:space="preserve">eligible through HPE. HPE is not available for </w:t>
      </w:r>
      <w:r w:rsidR="00BE78F9">
        <w:rPr>
          <w:rFonts w:ascii="Georgia" w:hAnsi="Georgia" w:cs="Arial"/>
        </w:rPr>
        <w:t>members</w:t>
      </w:r>
      <w:r w:rsidR="00BE78F9" w:rsidRPr="00671494">
        <w:rPr>
          <w:rFonts w:ascii="Georgia" w:hAnsi="Georgia" w:cs="Arial"/>
        </w:rPr>
        <w:t xml:space="preserve"> </w:t>
      </w:r>
      <w:r w:rsidRPr="00671494">
        <w:rPr>
          <w:rFonts w:ascii="Georgia" w:hAnsi="Georgia" w:cs="Arial"/>
        </w:rPr>
        <w:t xml:space="preserve">applying for </w:t>
      </w:r>
      <w:r w:rsidR="009B2DB7">
        <w:rPr>
          <w:rFonts w:ascii="Georgia" w:hAnsi="Georgia" w:cs="Arial"/>
        </w:rPr>
        <w:t>h</w:t>
      </w:r>
      <w:r w:rsidRPr="00671494">
        <w:rPr>
          <w:rFonts w:ascii="Georgia" w:hAnsi="Georgia" w:cs="Arial"/>
        </w:rPr>
        <w:t xml:space="preserve">ome and </w:t>
      </w:r>
      <w:r w:rsidR="009B2DB7">
        <w:rPr>
          <w:rFonts w:ascii="Georgia" w:hAnsi="Georgia" w:cs="Arial"/>
        </w:rPr>
        <w:t>c</w:t>
      </w:r>
      <w:r w:rsidRPr="00671494">
        <w:rPr>
          <w:rFonts w:ascii="Georgia" w:hAnsi="Georgia" w:cs="Arial"/>
        </w:rPr>
        <w:t>ommunity-</w:t>
      </w:r>
      <w:r w:rsidR="009B2DB7">
        <w:rPr>
          <w:rFonts w:ascii="Georgia" w:hAnsi="Georgia" w:cs="Arial"/>
        </w:rPr>
        <w:t>b</w:t>
      </w:r>
      <w:r w:rsidRPr="00671494">
        <w:rPr>
          <w:rFonts w:ascii="Georgia" w:hAnsi="Georgia" w:cs="Arial"/>
        </w:rPr>
        <w:t xml:space="preserve">ased </w:t>
      </w:r>
      <w:r w:rsidR="004257E5">
        <w:rPr>
          <w:rFonts w:ascii="Georgia" w:hAnsi="Georgia" w:cs="Arial"/>
        </w:rPr>
        <w:t xml:space="preserve">service </w:t>
      </w:r>
      <w:r w:rsidR="009B2DB7">
        <w:rPr>
          <w:rFonts w:ascii="Georgia" w:hAnsi="Georgia" w:cs="Arial"/>
        </w:rPr>
        <w:t>w</w:t>
      </w:r>
      <w:r w:rsidRPr="00671494">
        <w:rPr>
          <w:rFonts w:ascii="Georgia" w:hAnsi="Georgia" w:cs="Arial"/>
        </w:rPr>
        <w:t>aivers or Program of All-inclusive Care for the Elderly coverage types. Those needing such services must apply using the SACA-2.</w:t>
      </w:r>
    </w:p>
    <w:p w14:paraId="385E8A8B" w14:textId="451E3A7B" w:rsidR="00AE1A97" w:rsidRDefault="00671494" w:rsidP="00671494">
      <w:pPr>
        <w:spacing w:after="220"/>
        <w:ind w:right="576"/>
        <w:rPr>
          <w:rFonts w:ascii="Georgia" w:hAnsi="Georgia" w:cs="Arial"/>
        </w:rPr>
      </w:pPr>
      <w:r w:rsidRPr="00671494">
        <w:rPr>
          <w:rFonts w:ascii="Georgia" w:hAnsi="Georgia" w:cs="Arial"/>
        </w:rPr>
        <w:t>HPE</w:t>
      </w:r>
      <w:r w:rsidR="003A709D">
        <w:rPr>
          <w:rFonts w:ascii="Georgia" w:hAnsi="Georgia" w:cs="Arial"/>
        </w:rPr>
        <w:t xml:space="preserve"> determination</w:t>
      </w:r>
      <w:r w:rsidRPr="00671494">
        <w:rPr>
          <w:rFonts w:ascii="Georgia" w:hAnsi="Georgia" w:cs="Arial"/>
        </w:rPr>
        <w:t xml:space="preserve"> is not a final determination. A final determination require</w:t>
      </w:r>
      <w:r w:rsidR="00204BA8">
        <w:rPr>
          <w:rFonts w:ascii="Georgia" w:hAnsi="Georgia" w:cs="Arial"/>
        </w:rPr>
        <w:t>s</w:t>
      </w:r>
      <w:r w:rsidRPr="00671494">
        <w:rPr>
          <w:rFonts w:ascii="Georgia" w:hAnsi="Georgia" w:cs="Arial"/>
        </w:rPr>
        <w:t xml:space="preserve"> a comprehensive review</w:t>
      </w:r>
      <w:r w:rsidR="00204BA8">
        <w:rPr>
          <w:rFonts w:ascii="Georgia" w:hAnsi="Georgia" w:cs="Arial"/>
        </w:rPr>
        <w:t>,</w:t>
      </w:r>
      <w:r w:rsidRPr="00671494">
        <w:rPr>
          <w:rFonts w:ascii="Georgia" w:hAnsi="Georgia" w:cs="Arial"/>
        </w:rPr>
        <w:t xml:space="preserve"> which could result in ineligibility based on established eligibility criteria. An application must be completed in its entirety and submitted </w:t>
      </w:r>
      <w:r w:rsidR="00204BA8">
        <w:rPr>
          <w:rFonts w:ascii="Georgia" w:hAnsi="Georgia" w:cs="Arial"/>
        </w:rPr>
        <w:t xml:space="preserve">before </w:t>
      </w:r>
      <w:r w:rsidRPr="00671494">
        <w:rPr>
          <w:rFonts w:ascii="Georgia" w:hAnsi="Georgia" w:cs="Arial"/>
        </w:rPr>
        <w:t>the end date of the HPE period to continue benefits appropriately and accurately. HPE coverage will not be retroactively terminated, even if the eligibility determination on the full application results in the member not being eligible for continued MassHealth coverage.</w:t>
      </w:r>
    </w:p>
    <w:p w14:paraId="1DF5CBB1" w14:textId="65E55AAC" w:rsidR="00AE1A97" w:rsidRPr="007F74B0" w:rsidRDefault="00671494" w:rsidP="00140CEB">
      <w:pPr>
        <w:pStyle w:val="Heading1"/>
        <w:keepNext/>
        <w:keepLines/>
      </w:pPr>
      <w:r>
        <w:lastRenderedPageBreak/>
        <w:t>HPE Notices</w:t>
      </w:r>
    </w:p>
    <w:p w14:paraId="7945415D" w14:textId="75FDC0D7" w:rsidR="00F93E3A" w:rsidRPr="00F93E3A" w:rsidRDefault="00F93E3A" w:rsidP="00140CEB">
      <w:pPr>
        <w:keepNext/>
        <w:keepLines/>
        <w:spacing w:after="220"/>
        <w:ind w:right="576"/>
        <w:rPr>
          <w:rFonts w:ascii="Georgia" w:hAnsi="Georgia" w:cs="Arial"/>
        </w:rPr>
      </w:pPr>
      <w:r w:rsidRPr="00F93E3A">
        <w:rPr>
          <w:rFonts w:ascii="Georgia" w:hAnsi="Georgia" w:cs="Arial"/>
        </w:rPr>
        <w:t xml:space="preserve">Applicants approved for coverage through HPE will receive an approval notice from the qualified hospital when the qualified hospital makes the HPE determination. The approval notice will include the HPE approval, as well as the qualified hospital’s name and contact information. In many cases, the approval notice provided by the qualified hospital will not include a member ID </w:t>
      </w:r>
      <w:r w:rsidR="00DC2A68">
        <w:rPr>
          <w:rFonts w:ascii="Georgia" w:hAnsi="Georgia" w:cs="Arial"/>
        </w:rPr>
        <w:t>because of</w:t>
      </w:r>
      <w:r w:rsidRPr="00F93E3A">
        <w:rPr>
          <w:rFonts w:ascii="Georgia" w:hAnsi="Georgia" w:cs="Arial"/>
        </w:rPr>
        <w:t xml:space="preserve"> the lag time in getting the approval information into MassHealth systems.</w:t>
      </w:r>
    </w:p>
    <w:p w14:paraId="6C4B3B85" w14:textId="67D82E3A" w:rsidR="00F93E3A" w:rsidRPr="00F93E3A" w:rsidRDefault="00F93E3A" w:rsidP="00140CEB">
      <w:pPr>
        <w:keepNext/>
        <w:keepLines/>
        <w:spacing w:after="220"/>
        <w:ind w:right="576"/>
        <w:rPr>
          <w:rFonts w:ascii="Georgia" w:hAnsi="Georgia" w:cs="Arial"/>
        </w:rPr>
      </w:pPr>
      <w:r w:rsidRPr="00F93E3A">
        <w:rPr>
          <w:rFonts w:ascii="Georgia" w:hAnsi="Georgia" w:cs="Arial"/>
        </w:rPr>
        <w:t>MassHealth will also mail applicants approved through HPE a</w:t>
      </w:r>
      <w:r w:rsidR="00DB6E3B">
        <w:rPr>
          <w:rFonts w:ascii="Georgia" w:hAnsi="Georgia" w:cs="Arial"/>
        </w:rPr>
        <w:t xml:space="preserve">n </w:t>
      </w:r>
      <w:r w:rsidRPr="00F93E3A">
        <w:rPr>
          <w:rFonts w:ascii="Georgia" w:hAnsi="Georgia" w:cs="Arial"/>
        </w:rPr>
        <w:t>approval letter on MassHealth letterhead. This letter will contain the member ID.</w:t>
      </w:r>
    </w:p>
    <w:p w14:paraId="1D375F18" w14:textId="462D0615" w:rsidR="00F93E3A" w:rsidRPr="00F93E3A" w:rsidRDefault="00F93E3A" w:rsidP="00F93E3A">
      <w:pPr>
        <w:spacing w:after="220"/>
        <w:ind w:right="576"/>
        <w:rPr>
          <w:rFonts w:ascii="Georgia" w:hAnsi="Georgia" w:cs="Arial"/>
        </w:rPr>
      </w:pPr>
      <w:r w:rsidRPr="00F93E3A">
        <w:rPr>
          <w:rFonts w:ascii="Georgia" w:hAnsi="Georgia" w:cs="Arial"/>
        </w:rPr>
        <w:t xml:space="preserve">Either the letter from the qualified hospital or the letter from MassHealth may be used as proof of coverage. Providers will also be able to verify coverage in EVS, once </w:t>
      </w:r>
      <w:r w:rsidR="00F65DF0">
        <w:rPr>
          <w:rFonts w:ascii="Georgia" w:hAnsi="Georgia" w:cs="Arial"/>
        </w:rPr>
        <w:t xml:space="preserve">it is </w:t>
      </w:r>
      <w:r w:rsidRPr="00F93E3A">
        <w:rPr>
          <w:rFonts w:ascii="Georgia" w:hAnsi="Georgia" w:cs="Arial"/>
        </w:rPr>
        <w:t xml:space="preserve">established. The EVS message for coverage determined through HPE will reflect fee-for-service coverage in MassHealth Standard, Family Assistance, </w:t>
      </w:r>
      <w:r w:rsidR="007213B6">
        <w:rPr>
          <w:rFonts w:ascii="Georgia" w:hAnsi="Georgia" w:cs="Arial"/>
        </w:rPr>
        <w:t xml:space="preserve">CommonHealth, </w:t>
      </w:r>
      <w:r w:rsidRPr="00F93E3A">
        <w:rPr>
          <w:rFonts w:ascii="Georgia" w:hAnsi="Georgia" w:cs="Arial"/>
        </w:rPr>
        <w:t xml:space="preserve">or </w:t>
      </w:r>
      <w:proofErr w:type="spellStart"/>
      <w:r w:rsidRPr="00F93E3A">
        <w:rPr>
          <w:rFonts w:ascii="Georgia" w:hAnsi="Georgia" w:cs="Arial"/>
        </w:rPr>
        <w:t>CarePlus</w:t>
      </w:r>
      <w:proofErr w:type="spellEnd"/>
      <w:r w:rsidRPr="00F93E3A">
        <w:rPr>
          <w:rFonts w:ascii="Georgia" w:hAnsi="Georgia" w:cs="Arial"/>
        </w:rPr>
        <w:t>.</w:t>
      </w:r>
    </w:p>
    <w:p w14:paraId="79940CEE" w14:textId="1159DB02" w:rsidR="00AE1A97" w:rsidRDefault="00F93E3A" w:rsidP="00F93E3A">
      <w:pPr>
        <w:spacing w:after="220"/>
        <w:ind w:right="576"/>
        <w:rPr>
          <w:rFonts w:ascii="Georgia" w:hAnsi="Georgia" w:cs="Arial"/>
        </w:rPr>
      </w:pPr>
      <w:r w:rsidRPr="00F93E3A">
        <w:rPr>
          <w:rFonts w:ascii="Georgia" w:hAnsi="Georgia" w:cs="Arial"/>
        </w:rPr>
        <w:t xml:space="preserve">No member ID cards will be provided for coverage determined through HPE. Members are directed to use the letter from the hospital or MassHealth as proof of coverage.   </w:t>
      </w:r>
    </w:p>
    <w:p w14:paraId="3FC0F92D" w14:textId="2E2B4898" w:rsidR="00AE1A97" w:rsidRPr="007F74B0" w:rsidRDefault="00D954E3" w:rsidP="00AE1A97">
      <w:pPr>
        <w:pStyle w:val="Heading1"/>
      </w:pPr>
      <w:r w:rsidRPr="00D954E3">
        <w:t>Program Eligibility Monitoring</w:t>
      </w:r>
    </w:p>
    <w:p w14:paraId="33D6A09B" w14:textId="6B72487A" w:rsidR="006B332D" w:rsidRPr="006B332D" w:rsidRDefault="006B332D" w:rsidP="006B332D">
      <w:pPr>
        <w:spacing w:after="220"/>
        <w:ind w:right="576"/>
        <w:rPr>
          <w:rFonts w:ascii="Georgia" w:hAnsi="Georgia" w:cs="Arial"/>
        </w:rPr>
      </w:pPr>
      <w:r w:rsidRPr="006B332D">
        <w:rPr>
          <w:rFonts w:ascii="Georgia" w:hAnsi="Georgia" w:cs="Arial"/>
        </w:rPr>
        <w:t xml:space="preserve">MEC staff </w:t>
      </w:r>
      <w:r w:rsidR="00A21454">
        <w:rPr>
          <w:rFonts w:ascii="Georgia" w:hAnsi="Georgia" w:cs="Arial"/>
        </w:rPr>
        <w:t xml:space="preserve">members </w:t>
      </w:r>
      <w:r w:rsidRPr="006B332D">
        <w:rPr>
          <w:rFonts w:ascii="Georgia" w:hAnsi="Georgia" w:cs="Arial"/>
        </w:rPr>
        <w:t xml:space="preserve">will run systematic queries of the eligibility systems to determine </w:t>
      </w:r>
      <w:r w:rsidR="00A21454">
        <w:rPr>
          <w:rFonts w:ascii="Georgia" w:hAnsi="Georgia" w:cs="Arial"/>
        </w:rPr>
        <w:t>whether</w:t>
      </w:r>
      <w:r w:rsidR="00A21454" w:rsidRPr="006B332D">
        <w:rPr>
          <w:rFonts w:ascii="Georgia" w:hAnsi="Georgia" w:cs="Arial"/>
        </w:rPr>
        <w:t xml:space="preserve"> </w:t>
      </w:r>
      <w:r w:rsidRPr="006B332D">
        <w:rPr>
          <w:rFonts w:ascii="Georgia" w:hAnsi="Georgia" w:cs="Arial"/>
        </w:rPr>
        <w:t xml:space="preserve">HPE-approved members have submitted a full SACA-2 application. If so, and if the full application is approved, MEC staff </w:t>
      </w:r>
      <w:r w:rsidR="00A21454">
        <w:rPr>
          <w:rFonts w:ascii="Georgia" w:hAnsi="Georgia" w:cs="Arial"/>
        </w:rPr>
        <w:t xml:space="preserve">members </w:t>
      </w:r>
      <w:r w:rsidRPr="006B332D">
        <w:rPr>
          <w:rFonts w:ascii="Georgia" w:hAnsi="Georgia" w:cs="Arial"/>
        </w:rPr>
        <w:t>will extend the HPE coverage end date until the start date of the full MassHealth benefit.</w:t>
      </w:r>
    </w:p>
    <w:p w14:paraId="042B185A" w14:textId="799935D6" w:rsidR="00AE1A97" w:rsidRDefault="006B332D" w:rsidP="006B332D">
      <w:pPr>
        <w:spacing w:after="220"/>
        <w:ind w:right="576"/>
        <w:rPr>
          <w:rFonts w:ascii="Georgia" w:hAnsi="Georgia" w:cs="Arial"/>
        </w:rPr>
      </w:pPr>
      <w:r w:rsidRPr="006B332D">
        <w:rPr>
          <w:rFonts w:ascii="Georgia" w:hAnsi="Georgia" w:cs="Arial"/>
        </w:rPr>
        <w:t xml:space="preserve">IMPORTANT: MEC staff </w:t>
      </w:r>
      <w:r w:rsidR="00A21454">
        <w:rPr>
          <w:rFonts w:ascii="Georgia" w:hAnsi="Georgia" w:cs="Arial"/>
        </w:rPr>
        <w:t xml:space="preserve">members </w:t>
      </w:r>
      <w:r w:rsidRPr="006B332D">
        <w:rPr>
          <w:rFonts w:ascii="Georgia" w:hAnsi="Georgia" w:cs="Arial"/>
        </w:rPr>
        <w:t xml:space="preserve">who </w:t>
      </w:r>
      <w:r w:rsidR="00E96FA7">
        <w:rPr>
          <w:rFonts w:ascii="Georgia" w:hAnsi="Georgia" w:cs="Arial"/>
        </w:rPr>
        <w:t>learn</w:t>
      </w:r>
      <w:r w:rsidRPr="006B332D">
        <w:rPr>
          <w:rFonts w:ascii="Georgia" w:hAnsi="Georgia" w:cs="Arial"/>
        </w:rPr>
        <w:t xml:space="preserve"> that a full SACA-2 application </w:t>
      </w:r>
      <w:r w:rsidR="00A21454">
        <w:rPr>
          <w:rFonts w:ascii="Georgia" w:hAnsi="Georgia" w:cs="Arial"/>
        </w:rPr>
        <w:t>has been</w:t>
      </w:r>
      <w:r w:rsidR="00A21454" w:rsidRPr="006B332D">
        <w:rPr>
          <w:rFonts w:ascii="Georgia" w:hAnsi="Georgia" w:cs="Arial"/>
        </w:rPr>
        <w:t xml:space="preserve"> </w:t>
      </w:r>
      <w:r w:rsidRPr="006B332D">
        <w:rPr>
          <w:rFonts w:ascii="Georgia" w:hAnsi="Georgia" w:cs="Arial"/>
        </w:rPr>
        <w:t>submitted for HPE members must notify the MassHealth HPE team by email</w:t>
      </w:r>
      <w:r w:rsidR="00DB32B1">
        <w:rPr>
          <w:rFonts w:ascii="Georgia" w:hAnsi="Georgia" w:cs="Arial"/>
        </w:rPr>
        <w:t>ing</w:t>
      </w:r>
      <w:r w:rsidRPr="006B332D">
        <w:rPr>
          <w:rFonts w:ascii="Georgia" w:hAnsi="Georgia" w:cs="Arial"/>
        </w:rPr>
        <w:t xml:space="preserve"> the team to confirm that </w:t>
      </w:r>
      <w:r w:rsidR="00DB32B1">
        <w:rPr>
          <w:rFonts w:ascii="Georgia" w:hAnsi="Georgia" w:cs="Arial"/>
        </w:rPr>
        <w:t>this has happened</w:t>
      </w:r>
      <w:r w:rsidRPr="006B332D">
        <w:rPr>
          <w:rFonts w:ascii="Georgia" w:hAnsi="Georgia" w:cs="Arial"/>
        </w:rPr>
        <w:t>.</w:t>
      </w:r>
    </w:p>
    <w:p w14:paraId="35F45AFE" w14:textId="77777777" w:rsidR="00C100CF" w:rsidRPr="004C1488" w:rsidRDefault="00A458CF" w:rsidP="007F74B0">
      <w:pPr>
        <w:pStyle w:val="Heading1"/>
      </w:pPr>
      <w:r w:rsidRPr="004C1488">
        <w:t>Questions</w:t>
      </w:r>
      <w:r w:rsidRPr="004C1488">
        <w:tab/>
      </w:r>
    </w:p>
    <w:p w14:paraId="7A53A45A" w14:textId="77777777" w:rsidR="009A0E9B" w:rsidRDefault="00C100CF" w:rsidP="006D1809">
      <w:pPr>
        <w:ind w:right="576"/>
        <w:rPr>
          <w:rFonts w:ascii="Georgia" w:hAnsi="Georgia" w:cs="Arial"/>
        </w:rPr>
      </w:pPr>
      <w:r w:rsidRPr="00C100CF">
        <w:rPr>
          <w:rFonts w:ascii="Georgia" w:hAnsi="Georgia" w:cs="Arial"/>
        </w:rPr>
        <w:t>If you have any questions about this memo, please have your MEC designee contact the Policy Hotline.</w:t>
      </w:r>
    </w:p>
    <w:sectPr w:rsidR="009A0E9B" w:rsidSect="00F776BD">
      <w:headerReference w:type="even" r:id="rId12"/>
      <w:headerReference w:type="default" r:id="rId13"/>
      <w:footerReference w:type="even" r:id="rId14"/>
      <w:footerReference w:type="default" r:id="rId15"/>
      <w:headerReference w:type="first" r:id="rId16"/>
      <w:footerReference w:type="first" r:id="rId17"/>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131D2" w14:textId="77777777" w:rsidR="00364700" w:rsidRDefault="00364700">
      <w:r>
        <w:separator/>
      </w:r>
    </w:p>
  </w:endnote>
  <w:endnote w:type="continuationSeparator" w:id="0">
    <w:p w14:paraId="68189194" w14:textId="77777777" w:rsidR="00364700" w:rsidRDefault="00364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0A3F3" w14:textId="77777777" w:rsidR="00D13CCD" w:rsidRPr="009A0E9B" w:rsidRDefault="00D13CCD" w:rsidP="007F74B0">
    <w:pPr>
      <w:ind w:left="5760"/>
    </w:pPr>
    <w:r w:rsidRPr="009A0E9B">
      <w:rPr>
        <w:rStyle w:val="Hyperlink"/>
        <w:rFonts w:ascii="Bookman Old Style" w:hAnsi="Bookman Old Style"/>
        <w:i/>
        <w:color w:val="auto"/>
        <w:u w:val="none"/>
      </w:rPr>
      <w:t xml:space="preserve">Follow us on Twitter </w:t>
    </w:r>
    <w:hyperlink r:id="rId1" w:history="1">
      <w:r>
        <w:rPr>
          <w:rStyle w:val="Hyperlink"/>
          <w:rFonts w:ascii="Bookman Old Style" w:hAnsi="Bookman Old Style"/>
          <w:b/>
          <w:i/>
        </w:rPr>
        <w:t>@MassHealth</w:t>
      </w:r>
    </w:hyperlink>
  </w:p>
  <w:p w14:paraId="072E71E7" w14:textId="77777777" w:rsidR="00D13CCD" w:rsidRDefault="00D13CCD" w:rsidP="007F74B0">
    <w:pPr>
      <w:pStyle w:val="Footer"/>
      <w:tabs>
        <w:tab w:val="clear" w:pos="4320"/>
        <w:tab w:val="clear" w:pos="8640"/>
        <w:tab w:val="left" w:pos="794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08979" w14:textId="77777777" w:rsidR="00DD7B60" w:rsidRDefault="00DD7B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0D6A5" w14:textId="4C77C9EC" w:rsidR="00B25E2D" w:rsidRDefault="00B25E2D" w:rsidP="00B25E2D">
    <w:pPr>
      <w:ind w:left="5760"/>
    </w:pPr>
    <w:r w:rsidRPr="009A0E9B">
      <w:rPr>
        <w:rStyle w:val="Hyperlink"/>
        <w:rFonts w:ascii="Bookman Old Style" w:hAnsi="Bookman Old Style"/>
        <w:i/>
        <w:color w:val="auto"/>
        <w:u w:val="none"/>
      </w:rPr>
      <w:t xml:space="preserve">Follow us on Twitter </w:t>
    </w:r>
    <w:hyperlink r:id="rId1" w:history="1">
      <w:r>
        <w:rPr>
          <w:rStyle w:val="Hyperlink"/>
          <w:rFonts w:ascii="Bookman Old Style" w:hAnsi="Bookman Old Style"/>
          <w:b/>
          <w:i/>
        </w:rPr>
        <w:t>@MassHealth</w:t>
      </w:r>
    </w:hyperlink>
  </w:p>
  <w:p w14:paraId="5D761231" w14:textId="77777777" w:rsidR="00DD7B60" w:rsidRDefault="00DD7B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EDAA6" w14:textId="77777777" w:rsidR="00A2013C" w:rsidRDefault="00A2013C" w:rsidP="00A2013C">
    <w:pPr>
      <w:ind w:left="5760"/>
    </w:pPr>
    <w:r w:rsidRPr="009A0E9B">
      <w:rPr>
        <w:rStyle w:val="Hyperlink"/>
        <w:rFonts w:ascii="Bookman Old Style" w:hAnsi="Bookman Old Style"/>
        <w:i/>
        <w:color w:val="auto"/>
        <w:u w:val="none"/>
      </w:rPr>
      <w:t xml:space="preserve">Follow us on Twitter </w:t>
    </w:r>
    <w:hyperlink r:id="rId1" w:history="1">
      <w:r>
        <w:rPr>
          <w:rStyle w:val="Hyperlink"/>
          <w:rFonts w:ascii="Bookman Old Style" w:hAnsi="Bookman Old Style"/>
          <w:b/>
          <w:i/>
        </w:rPr>
        <w:t>@MassHealth</w:t>
      </w:r>
    </w:hyperlink>
  </w:p>
  <w:p w14:paraId="46555535" w14:textId="77777777" w:rsidR="007F74B0" w:rsidRDefault="007F74B0" w:rsidP="007F74B0">
    <w:pPr>
      <w:pStyle w:val="Footer"/>
      <w:tabs>
        <w:tab w:val="clear" w:pos="4320"/>
        <w:tab w:val="clear" w:pos="8640"/>
        <w:tab w:val="left" w:pos="79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5475A" w14:textId="77777777" w:rsidR="00364700" w:rsidRDefault="00364700">
      <w:r>
        <w:separator/>
      </w:r>
    </w:p>
  </w:footnote>
  <w:footnote w:type="continuationSeparator" w:id="0">
    <w:p w14:paraId="78E2E562" w14:textId="77777777" w:rsidR="00364700" w:rsidRDefault="00364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F815" w14:textId="77777777" w:rsidR="00D13CCD" w:rsidRPr="004117FD" w:rsidRDefault="00D13CCD" w:rsidP="009A3F81">
    <w:pPr>
      <w:spacing w:before="240" w:after="0"/>
      <w:ind w:left="4680" w:right="576"/>
      <w:rPr>
        <w:rFonts w:ascii="Georgia" w:hAnsi="Georgia"/>
        <w:b/>
        <w:color w:val="990000"/>
      </w:rPr>
    </w:pPr>
    <w:r w:rsidRPr="004117FD">
      <w:rPr>
        <w:rFonts w:ascii="Georgia" w:hAnsi="Georgia"/>
        <w:b/>
        <w:color w:val="990000"/>
      </w:rPr>
      <w:t xml:space="preserve">Eligibility Operations Memo </w:t>
    </w:r>
    <w:r>
      <w:rPr>
        <w:rFonts w:ascii="Georgia" w:hAnsi="Georgia"/>
        <w:b/>
        <w:color w:val="990000"/>
      </w:rPr>
      <w:t>[</w:t>
    </w:r>
    <w:r>
      <w:rPr>
        <w:rFonts w:ascii="Georgia" w:hAnsi="Georgia"/>
        <w:b/>
        <w:color w:val="990000"/>
      </w:rPr>
      <w:t>YY]</w:t>
    </w:r>
    <w:proofErr w:type="gramStart"/>
    <w:r>
      <w:rPr>
        <w:rFonts w:ascii="Georgia" w:hAnsi="Georgia"/>
        <w:b/>
        <w:color w:val="990000"/>
      </w:rPr>
      <w:t>-[</w:t>
    </w:r>
    <w:proofErr w:type="gramEnd"/>
    <w:r>
      <w:rPr>
        <w:rFonts w:ascii="Georgia" w:hAnsi="Georgia"/>
        <w:b/>
        <w:color w:val="990000"/>
      </w:rPr>
      <w:t>#]</w:t>
    </w:r>
  </w:p>
  <w:p w14:paraId="5CCE0CC0" w14:textId="77777777" w:rsidR="00D13CCD" w:rsidRPr="004117FD" w:rsidRDefault="00D13CCD" w:rsidP="00265DCC">
    <w:pPr>
      <w:pStyle w:val="Header"/>
      <w:tabs>
        <w:tab w:val="clear" w:pos="4320"/>
        <w:tab w:val="clear" w:pos="8640"/>
        <w:tab w:val="left" w:pos="4680"/>
      </w:tabs>
      <w:spacing w:after="0"/>
      <w:rPr>
        <w:rFonts w:ascii="Georgia" w:hAnsi="Georgia"/>
        <w:b/>
        <w:color w:val="990000"/>
      </w:rPr>
    </w:pPr>
    <w:r>
      <w:rPr>
        <w:rFonts w:ascii="Georgia" w:hAnsi="Georgia"/>
        <w:b/>
        <w:color w:val="990000"/>
      </w:rPr>
      <w:tab/>
      <w:t>[Month YYYY]</w:t>
    </w:r>
  </w:p>
  <w:p w14:paraId="67CC1AC2" w14:textId="77777777" w:rsidR="00D13CCD" w:rsidRPr="004117FD" w:rsidRDefault="00D13CCD" w:rsidP="00265DCC">
    <w:pPr>
      <w:pStyle w:val="Header"/>
      <w:tabs>
        <w:tab w:val="clear" w:pos="4320"/>
        <w:tab w:val="clear" w:pos="8640"/>
        <w:tab w:val="left" w:pos="4680"/>
      </w:tabs>
      <w:spacing w:after="440"/>
      <w:rPr>
        <w:rFonts w:ascii="Georgia" w:hAnsi="Georgia"/>
        <w:b/>
        <w:color w:val="990000"/>
      </w:rPr>
    </w:pPr>
    <w:r>
      <w:rPr>
        <w:rFonts w:ascii="Georgia" w:hAnsi="Georgia"/>
        <w:b/>
        <w:color w:val="990000"/>
      </w:rPr>
      <w:tab/>
    </w:r>
    <w:r w:rsidRPr="004117FD">
      <w:rPr>
        <w:rFonts w:ascii="Georgia" w:hAnsi="Georgia"/>
        <w:b/>
        <w:color w:val="990000"/>
      </w:rPr>
      <w:t xml:space="preserve">Page </w:t>
    </w:r>
    <w:r w:rsidRPr="004117FD">
      <w:rPr>
        <w:rFonts w:ascii="Georgia" w:hAnsi="Georgia"/>
        <w:b/>
        <w:color w:val="990000"/>
      </w:rPr>
      <w:fldChar w:fldCharType="begin"/>
    </w:r>
    <w:r w:rsidRPr="004117FD">
      <w:rPr>
        <w:rFonts w:ascii="Georgia" w:hAnsi="Georgia"/>
        <w:b/>
        <w:color w:val="990000"/>
      </w:rPr>
      <w:instrText xml:space="preserve"> PAGE </w:instrText>
    </w:r>
    <w:r w:rsidRPr="004117FD">
      <w:rPr>
        <w:rFonts w:ascii="Georgia" w:hAnsi="Georgia"/>
        <w:b/>
        <w:color w:val="990000"/>
      </w:rPr>
      <w:fldChar w:fldCharType="separate"/>
    </w:r>
    <w:r>
      <w:rPr>
        <w:rFonts w:ascii="Georgia" w:hAnsi="Georgia"/>
        <w:b/>
        <w:noProof/>
        <w:color w:val="990000"/>
      </w:rPr>
      <w:t>2</w:t>
    </w:r>
    <w:r w:rsidRPr="004117FD">
      <w:rPr>
        <w:rFonts w:ascii="Georgia" w:hAnsi="Georgia"/>
        <w:b/>
        <w:color w:val="99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376FD" w14:textId="77777777" w:rsidR="00DD7B60" w:rsidRDefault="00DD7B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F7DB8" w14:textId="03F9F8F2" w:rsidR="00140CEB" w:rsidRPr="004117FD" w:rsidRDefault="00140CEB" w:rsidP="00140CEB">
    <w:pPr>
      <w:spacing w:before="240" w:after="0"/>
      <w:ind w:left="4680" w:right="576"/>
      <w:rPr>
        <w:rFonts w:ascii="Georgia" w:hAnsi="Georgia"/>
        <w:b/>
        <w:color w:val="990000"/>
      </w:rPr>
    </w:pPr>
    <w:r w:rsidRPr="00840F89">
      <w:rPr>
        <w:rFonts w:ascii="Georgia" w:hAnsi="Georgia"/>
        <w:b/>
        <w:color w:val="990000"/>
      </w:rPr>
      <w:t>Eligibility Operations Memo 23-</w:t>
    </w:r>
    <w:r w:rsidR="00840F89" w:rsidRPr="00840F89">
      <w:rPr>
        <w:rFonts w:ascii="Georgia" w:hAnsi="Georgia"/>
        <w:b/>
        <w:color w:val="990000"/>
      </w:rPr>
      <w:t>03</w:t>
    </w:r>
  </w:p>
  <w:p w14:paraId="5E76F8BF" w14:textId="77777777" w:rsidR="00140CEB" w:rsidRPr="004117FD" w:rsidRDefault="00140CEB" w:rsidP="00140CEB">
    <w:pPr>
      <w:pStyle w:val="Header"/>
      <w:tabs>
        <w:tab w:val="clear" w:pos="4320"/>
        <w:tab w:val="clear" w:pos="8640"/>
        <w:tab w:val="left" w:pos="4680"/>
      </w:tabs>
      <w:spacing w:after="0"/>
      <w:rPr>
        <w:rFonts w:ascii="Georgia" w:hAnsi="Georgia"/>
        <w:b/>
        <w:color w:val="990000"/>
      </w:rPr>
    </w:pPr>
    <w:r>
      <w:rPr>
        <w:rFonts w:ascii="Georgia" w:hAnsi="Georgia"/>
        <w:b/>
        <w:color w:val="990000"/>
      </w:rPr>
      <w:tab/>
      <w:t>January 2023</w:t>
    </w:r>
  </w:p>
  <w:p w14:paraId="1C4422CC" w14:textId="22BBE443" w:rsidR="00DD7B60" w:rsidRDefault="00140CEB" w:rsidP="00140CEB">
    <w:pPr>
      <w:pStyle w:val="Header"/>
      <w:tabs>
        <w:tab w:val="clear" w:pos="4320"/>
        <w:tab w:val="clear" w:pos="8640"/>
        <w:tab w:val="left" w:pos="4680"/>
      </w:tabs>
      <w:spacing w:after="440"/>
    </w:pPr>
    <w:r>
      <w:rPr>
        <w:rFonts w:ascii="Georgia" w:hAnsi="Georgia"/>
        <w:b/>
        <w:color w:val="990000"/>
      </w:rPr>
      <w:tab/>
    </w:r>
    <w:r w:rsidRPr="004117FD">
      <w:rPr>
        <w:rFonts w:ascii="Georgia" w:hAnsi="Georgia"/>
        <w:b/>
        <w:color w:val="990000"/>
      </w:rPr>
      <w:t xml:space="preserve">Page </w:t>
    </w:r>
    <w:r w:rsidRPr="004117FD">
      <w:rPr>
        <w:rFonts w:ascii="Georgia" w:hAnsi="Georgia"/>
        <w:b/>
        <w:color w:val="990000"/>
      </w:rPr>
      <w:fldChar w:fldCharType="begin"/>
    </w:r>
    <w:r w:rsidRPr="004117FD">
      <w:rPr>
        <w:rFonts w:ascii="Georgia" w:hAnsi="Georgia"/>
        <w:b/>
        <w:color w:val="990000"/>
      </w:rPr>
      <w:instrText xml:space="preserve"> PAGE </w:instrText>
    </w:r>
    <w:r w:rsidRPr="004117FD">
      <w:rPr>
        <w:rFonts w:ascii="Georgia" w:hAnsi="Georgia"/>
        <w:b/>
        <w:color w:val="990000"/>
      </w:rPr>
      <w:fldChar w:fldCharType="separate"/>
    </w:r>
    <w:r>
      <w:rPr>
        <w:rFonts w:ascii="Georgia" w:hAnsi="Georgia"/>
        <w:b/>
        <w:color w:val="990000"/>
      </w:rPr>
      <w:t>3</w:t>
    </w:r>
    <w:r w:rsidRPr="004117FD">
      <w:rPr>
        <w:rFonts w:ascii="Georgia" w:hAnsi="Georgia"/>
        <w:b/>
        <w:color w:val="99000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C716B" w14:textId="5DAF61FC" w:rsidR="00265DCC" w:rsidRPr="004117FD" w:rsidRDefault="00265DCC" w:rsidP="009A3F81">
    <w:pPr>
      <w:spacing w:before="240" w:after="0"/>
      <w:ind w:left="4680" w:right="576"/>
      <w:rPr>
        <w:rFonts w:ascii="Georgia" w:hAnsi="Georgia"/>
        <w:b/>
        <w:color w:val="990000"/>
      </w:rPr>
    </w:pPr>
    <w:r w:rsidRPr="00840F89">
      <w:rPr>
        <w:rFonts w:ascii="Georgia" w:hAnsi="Georgia"/>
        <w:b/>
        <w:color w:val="990000"/>
      </w:rPr>
      <w:t xml:space="preserve">Eligibility Operations Memo </w:t>
    </w:r>
    <w:r w:rsidR="000E7850" w:rsidRPr="00840F89">
      <w:rPr>
        <w:rFonts w:ascii="Georgia" w:hAnsi="Georgia"/>
        <w:b/>
        <w:color w:val="990000"/>
      </w:rPr>
      <w:t>23</w:t>
    </w:r>
    <w:r w:rsidRPr="00840F89">
      <w:rPr>
        <w:rFonts w:ascii="Georgia" w:hAnsi="Georgia"/>
        <w:b/>
        <w:color w:val="990000"/>
      </w:rPr>
      <w:t>-</w:t>
    </w:r>
    <w:r w:rsidR="00840F89" w:rsidRPr="00840F89">
      <w:rPr>
        <w:rFonts w:ascii="Georgia" w:hAnsi="Georgia"/>
        <w:b/>
        <w:color w:val="990000"/>
      </w:rPr>
      <w:t>03</w:t>
    </w:r>
  </w:p>
  <w:p w14:paraId="67A7FA0C" w14:textId="35AA2FEF" w:rsidR="00265DCC" w:rsidRPr="004117FD" w:rsidRDefault="00265DCC" w:rsidP="00265DCC">
    <w:pPr>
      <w:pStyle w:val="Header"/>
      <w:tabs>
        <w:tab w:val="clear" w:pos="4320"/>
        <w:tab w:val="clear" w:pos="8640"/>
        <w:tab w:val="left" w:pos="4680"/>
      </w:tabs>
      <w:spacing w:after="0"/>
      <w:rPr>
        <w:rFonts w:ascii="Georgia" w:hAnsi="Georgia"/>
        <w:b/>
        <w:color w:val="990000"/>
      </w:rPr>
    </w:pPr>
    <w:r>
      <w:rPr>
        <w:rFonts w:ascii="Georgia" w:hAnsi="Georgia"/>
        <w:b/>
        <w:color w:val="990000"/>
      </w:rPr>
      <w:tab/>
    </w:r>
    <w:r w:rsidR="000E7850">
      <w:rPr>
        <w:rFonts w:ascii="Georgia" w:hAnsi="Georgia"/>
        <w:b/>
        <w:color w:val="990000"/>
      </w:rPr>
      <w:t>January 2023</w:t>
    </w:r>
  </w:p>
  <w:p w14:paraId="323098F1" w14:textId="77777777" w:rsidR="00265DCC" w:rsidRPr="004117FD" w:rsidRDefault="00265DCC" w:rsidP="00265DCC">
    <w:pPr>
      <w:pStyle w:val="Header"/>
      <w:tabs>
        <w:tab w:val="clear" w:pos="4320"/>
        <w:tab w:val="clear" w:pos="8640"/>
        <w:tab w:val="left" w:pos="4680"/>
      </w:tabs>
      <w:spacing w:after="440"/>
      <w:rPr>
        <w:rFonts w:ascii="Georgia" w:hAnsi="Georgia"/>
        <w:b/>
        <w:color w:val="990000"/>
      </w:rPr>
    </w:pPr>
    <w:r>
      <w:rPr>
        <w:rFonts w:ascii="Georgia" w:hAnsi="Georgia"/>
        <w:b/>
        <w:color w:val="990000"/>
      </w:rPr>
      <w:tab/>
    </w:r>
    <w:r w:rsidRPr="004117FD">
      <w:rPr>
        <w:rFonts w:ascii="Georgia" w:hAnsi="Georgia"/>
        <w:b/>
        <w:color w:val="990000"/>
      </w:rPr>
      <w:t xml:space="preserve">Page </w:t>
    </w:r>
    <w:r w:rsidRPr="004117FD">
      <w:rPr>
        <w:rFonts w:ascii="Georgia" w:hAnsi="Georgia"/>
        <w:b/>
        <w:color w:val="990000"/>
      </w:rPr>
      <w:fldChar w:fldCharType="begin"/>
    </w:r>
    <w:r w:rsidRPr="004117FD">
      <w:rPr>
        <w:rFonts w:ascii="Georgia" w:hAnsi="Georgia"/>
        <w:b/>
        <w:color w:val="990000"/>
      </w:rPr>
      <w:instrText xml:space="preserve"> PAGE </w:instrText>
    </w:r>
    <w:r w:rsidRPr="004117FD">
      <w:rPr>
        <w:rFonts w:ascii="Georgia" w:hAnsi="Georgia"/>
        <w:b/>
        <w:color w:val="990000"/>
      </w:rPr>
      <w:fldChar w:fldCharType="separate"/>
    </w:r>
    <w:r w:rsidR="009A3F81">
      <w:rPr>
        <w:rFonts w:ascii="Georgia" w:hAnsi="Georgia"/>
        <w:b/>
        <w:noProof/>
        <w:color w:val="990000"/>
      </w:rPr>
      <w:t>2</w:t>
    </w:r>
    <w:r w:rsidRPr="004117FD">
      <w:rPr>
        <w:rFonts w:ascii="Georgia" w:hAnsi="Georgia"/>
        <w:b/>
        <w:color w:val="99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18DD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6B8B2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036BE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904EF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4EE9C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C56BC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DAF69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C43C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9CE4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8236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E0C5BD3"/>
    <w:multiLevelType w:val="hybridMultilevel"/>
    <w:tmpl w:val="EC307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149FE"/>
    <w:rsid w:val="00032BB1"/>
    <w:rsid w:val="00032C02"/>
    <w:rsid w:val="000410CA"/>
    <w:rsid w:val="00041220"/>
    <w:rsid w:val="00080FFB"/>
    <w:rsid w:val="00095863"/>
    <w:rsid w:val="000A2664"/>
    <w:rsid w:val="000A362E"/>
    <w:rsid w:val="000A78C7"/>
    <w:rsid w:val="000C2EC5"/>
    <w:rsid w:val="000E183B"/>
    <w:rsid w:val="000E3E10"/>
    <w:rsid w:val="000E7850"/>
    <w:rsid w:val="000F4785"/>
    <w:rsid w:val="00113E7F"/>
    <w:rsid w:val="00121EE8"/>
    <w:rsid w:val="00140CEB"/>
    <w:rsid w:val="0014797D"/>
    <w:rsid w:val="00153E24"/>
    <w:rsid w:val="0016359F"/>
    <w:rsid w:val="001638EA"/>
    <w:rsid w:val="001655EC"/>
    <w:rsid w:val="00183784"/>
    <w:rsid w:val="0018768A"/>
    <w:rsid w:val="00195C8A"/>
    <w:rsid w:val="0019736A"/>
    <w:rsid w:val="00197D44"/>
    <w:rsid w:val="001A25AC"/>
    <w:rsid w:val="001A477C"/>
    <w:rsid w:val="001A7499"/>
    <w:rsid w:val="001B4CD9"/>
    <w:rsid w:val="001C79FC"/>
    <w:rsid w:val="001D5FD0"/>
    <w:rsid w:val="00200899"/>
    <w:rsid w:val="002018B3"/>
    <w:rsid w:val="00201E34"/>
    <w:rsid w:val="00204BA8"/>
    <w:rsid w:val="00221668"/>
    <w:rsid w:val="00232E91"/>
    <w:rsid w:val="00250727"/>
    <w:rsid w:val="00254A64"/>
    <w:rsid w:val="00261A38"/>
    <w:rsid w:val="00263F44"/>
    <w:rsid w:val="00265DCC"/>
    <w:rsid w:val="00265FBB"/>
    <w:rsid w:val="00276AB8"/>
    <w:rsid w:val="00284412"/>
    <w:rsid w:val="002916ED"/>
    <w:rsid w:val="0029448A"/>
    <w:rsid w:val="002A16F6"/>
    <w:rsid w:val="002C40EA"/>
    <w:rsid w:val="002E3B6A"/>
    <w:rsid w:val="002E3CDC"/>
    <w:rsid w:val="002E5188"/>
    <w:rsid w:val="003065DA"/>
    <w:rsid w:val="00312EF6"/>
    <w:rsid w:val="003224D8"/>
    <w:rsid w:val="00342130"/>
    <w:rsid w:val="00351236"/>
    <w:rsid w:val="00357F26"/>
    <w:rsid w:val="00362201"/>
    <w:rsid w:val="00364700"/>
    <w:rsid w:val="00366B58"/>
    <w:rsid w:val="003737F7"/>
    <w:rsid w:val="00374688"/>
    <w:rsid w:val="003869FD"/>
    <w:rsid w:val="00386F7B"/>
    <w:rsid w:val="003A31CA"/>
    <w:rsid w:val="003A6E1E"/>
    <w:rsid w:val="003A709D"/>
    <w:rsid w:val="003C0130"/>
    <w:rsid w:val="003D3D04"/>
    <w:rsid w:val="003F2775"/>
    <w:rsid w:val="004117FD"/>
    <w:rsid w:val="004153B5"/>
    <w:rsid w:val="004257E5"/>
    <w:rsid w:val="00427DA0"/>
    <w:rsid w:val="004373B7"/>
    <w:rsid w:val="00437C15"/>
    <w:rsid w:val="00450E46"/>
    <w:rsid w:val="00461793"/>
    <w:rsid w:val="0047107E"/>
    <w:rsid w:val="004A5518"/>
    <w:rsid w:val="004C1488"/>
    <w:rsid w:val="004C38FD"/>
    <w:rsid w:val="004D4BC9"/>
    <w:rsid w:val="00511043"/>
    <w:rsid w:val="005237ED"/>
    <w:rsid w:val="00526EAB"/>
    <w:rsid w:val="00556E26"/>
    <w:rsid w:val="00566AFD"/>
    <w:rsid w:val="005763C9"/>
    <w:rsid w:val="00582AF5"/>
    <w:rsid w:val="00590E06"/>
    <w:rsid w:val="0059389D"/>
    <w:rsid w:val="00593DB9"/>
    <w:rsid w:val="005A3602"/>
    <w:rsid w:val="005A5C18"/>
    <w:rsid w:val="005B3A7D"/>
    <w:rsid w:val="005C33E4"/>
    <w:rsid w:val="005C7D99"/>
    <w:rsid w:val="005D1FA5"/>
    <w:rsid w:val="005D4045"/>
    <w:rsid w:val="00622F56"/>
    <w:rsid w:val="006233DC"/>
    <w:rsid w:val="0063345B"/>
    <w:rsid w:val="006440FF"/>
    <w:rsid w:val="006660F3"/>
    <w:rsid w:val="00671494"/>
    <w:rsid w:val="00676163"/>
    <w:rsid w:val="006B332D"/>
    <w:rsid w:val="006C049F"/>
    <w:rsid w:val="006D1809"/>
    <w:rsid w:val="006D3651"/>
    <w:rsid w:val="006D49AA"/>
    <w:rsid w:val="00700C89"/>
    <w:rsid w:val="00702352"/>
    <w:rsid w:val="007213B6"/>
    <w:rsid w:val="007245DC"/>
    <w:rsid w:val="007253C4"/>
    <w:rsid w:val="00731164"/>
    <w:rsid w:val="00750B9A"/>
    <w:rsid w:val="00754CE1"/>
    <w:rsid w:val="00757D07"/>
    <w:rsid w:val="007629E9"/>
    <w:rsid w:val="00776856"/>
    <w:rsid w:val="00793CFF"/>
    <w:rsid w:val="007C3BAF"/>
    <w:rsid w:val="007C63E4"/>
    <w:rsid w:val="007D0E0D"/>
    <w:rsid w:val="007D38A4"/>
    <w:rsid w:val="007F1CCF"/>
    <w:rsid w:val="007F4A56"/>
    <w:rsid w:val="007F74B0"/>
    <w:rsid w:val="008031E5"/>
    <w:rsid w:val="00811DAF"/>
    <w:rsid w:val="008151A9"/>
    <w:rsid w:val="0082380C"/>
    <w:rsid w:val="0082579E"/>
    <w:rsid w:val="0082594F"/>
    <w:rsid w:val="008268F2"/>
    <w:rsid w:val="00840F89"/>
    <w:rsid w:val="008708FF"/>
    <w:rsid w:val="00890AF8"/>
    <w:rsid w:val="00894FF0"/>
    <w:rsid w:val="008A3B9D"/>
    <w:rsid w:val="008A6A30"/>
    <w:rsid w:val="008B293F"/>
    <w:rsid w:val="008C66BC"/>
    <w:rsid w:val="00902810"/>
    <w:rsid w:val="00907486"/>
    <w:rsid w:val="00921170"/>
    <w:rsid w:val="00923737"/>
    <w:rsid w:val="00930D16"/>
    <w:rsid w:val="0093651D"/>
    <w:rsid w:val="00943F98"/>
    <w:rsid w:val="00965D5A"/>
    <w:rsid w:val="00977415"/>
    <w:rsid w:val="009821C3"/>
    <w:rsid w:val="009841A9"/>
    <w:rsid w:val="009A0E9B"/>
    <w:rsid w:val="009A3F81"/>
    <w:rsid w:val="009A58C3"/>
    <w:rsid w:val="009B2DB7"/>
    <w:rsid w:val="009B4513"/>
    <w:rsid w:val="009C25B3"/>
    <w:rsid w:val="009C2F75"/>
    <w:rsid w:val="009D15FA"/>
    <w:rsid w:val="009D59BC"/>
    <w:rsid w:val="00A024A3"/>
    <w:rsid w:val="00A0380C"/>
    <w:rsid w:val="00A10F1B"/>
    <w:rsid w:val="00A15EDB"/>
    <w:rsid w:val="00A2013C"/>
    <w:rsid w:val="00A21454"/>
    <w:rsid w:val="00A32028"/>
    <w:rsid w:val="00A422EC"/>
    <w:rsid w:val="00A458CF"/>
    <w:rsid w:val="00A4669C"/>
    <w:rsid w:val="00A56D1A"/>
    <w:rsid w:val="00A570CF"/>
    <w:rsid w:val="00A63CB3"/>
    <w:rsid w:val="00A8481D"/>
    <w:rsid w:val="00AA5B85"/>
    <w:rsid w:val="00AB155F"/>
    <w:rsid w:val="00AB238A"/>
    <w:rsid w:val="00AB63BA"/>
    <w:rsid w:val="00AD2EF9"/>
    <w:rsid w:val="00AD4B0C"/>
    <w:rsid w:val="00AE1A97"/>
    <w:rsid w:val="00AF6898"/>
    <w:rsid w:val="00AF7A00"/>
    <w:rsid w:val="00B03A46"/>
    <w:rsid w:val="00B058D1"/>
    <w:rsid w:val="00B12A3B"/>
    <w:rsid w:val="00B20353"/>
    <w:rsid w:val="00B25E2D"/>
    <w:rsid w:val="00B327EA"/>
    <w:rsid w:val="00B34AB2"/>
    <w:rsid w:val="00B44F42"/>
    <w:rsid w:val="00B60798"/>
    <w:rsid w:val="00B75E6B"/>
    <w:rsid w:val="00B964AA"/>
    <w:rsid w:val="00BD0F64"/>
    <w:rsid w:val="00BD2F4A"/>
    <w:rsid w:val="00BD7F9B"/>
    <w:rsid w:val="00BE49D9"/>
    <w:rsid w:val="00BE78F9"/>
    <w:rsid w:val="00BF0680"/>
    <w:rsid w:val="00C046E9"/>
    <w:rsid w:val="00C100CF"/>
    <w:rsid w:val="00C12AD1"/>
    <w:rsid w:val="00C16CEA"/>
    <w:rsid w:val="00C539C0"/>
    <w:rsid w:val="00C84B58"/>
    <w:rsid w:val="00C9185E"/>
    <w:rsid w:val="00CB3D77"/>
    <w:rsid w:val="00CF0AAB"/>
    <w:rsid w:val="00D13CCD"/>
    <w:rsid w:val="00D15384"/>
    <w:rsid w:val="00D20897"/>
    <w:rsid w:val="00D2728B"/>
    <w:rsid w:val="00D33ED2"/>
    <w:rsid w:val="00D55314"/>
    <w:rsid w:val="00D757EC"/>
    <w:rsid w:val="00D7581D"/>
    <w:rsid w:val="00D76690"/>
    <w:rsid w:val="00D870F8"/>
    <w:rsid w:val="00D93D6D"/>
    <w:rsid w:val="00D954E3"/>
    <w:rsid w:val="00DB32B1"/>
    <w:rsid w:val="00DB3AF0"/>
    <w:rsid w:val="00DB6E3B"/>
    <w:rsid w:val="00DC2A68"/>
    <w:rsid w:val="00DD509A"/>
    <w:rsid w:val="00DD7B60"/>
    <w:rsid w:val="00DD7B9C"/>
    <w:rsid w:val="00DF15B5"/>
    <w:rsid w:val="00DF2A92"/>
    <w:rsid w:val="00DF2BB6"/>
    <w:rsid w:val="00DF5421"/>
    <w:rsid w:val="00DF5A51"/>
    <w:rsid w:val="00E25774"/>
    <w:rsid w:val="00E3097C"/>
    <w:rsid w:val="00E31AC5"/>
    <w:rsid w:val="00E4227E"/>
    <w:rsid w:val="00E70EF5"/>
    <w:rsid w:val="00E96FA7"/>
    <w:rsid w:val="00EA180B"/>
    <w:rsid w:val="00EB1686"/>
    <w:rsid w:val="00EB72CF"/>
    <w:rsid w:val="00ED5E99"/>
    <w:rsid w:val="00EF0846"/>
    <w:rsid w:val="00EF0C66"/>
    <w:rsid w:val="00F00371"/>
    <w:rsid w:val="00F12CB8"/>
    <w:rsid w:val="00F1656D"/>
    <w:rsid w:val="00F32E6F"/>
    <w:rsid w:val="00F3494C"/>
    <w:rsid w:val="00F35D39"/>
    <w:rsid w:val="00F42E3F"/>
    <w:rsid w:val="00F5746D"/>
    <w:rsid w:val="00F65DF0"/>
    <w:rsid w:val="00F776BD"/>
    <w:rsid w:val="00F902FE"/>
    <w:rsid w:val="00F93451"/>
    <w:rsid w:val="00F93E3A"/>
    <w:rsid w:val="00FC1193"/>
    <w:rsid w:val="00FD1687"/>
    <w:rsid w:val="00FE5846"/>
    <w:rsid w:val="00FF7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AD1"/>
    <w:pPr>
      <w:spacing w:after="200" w:line="276" w:lineRule="auto"/>
    </w:pPr>
    <w:rPr>
      <w:sz w:val="22"/>
      <w:szCs w:val="22"/>
    </w:rPr>
  </w:style>
  <w:style w:type="paragraph" w:styleId="Heading1">
    <w:name w:val="heading 1"/>
    <w:basedOn w:val="Heading2"/>
    <w:next w:val="Normal"/>
    <w:link w:val="Heading1Char"/>
    <w:uiPriority w:val="9"/>
    <w:qFormat/>
    <w:rsid w:val="007F74B0"/>
    <w:pPr>
      <w:outlineLvl w:val="0"/>
    </w:pPr>
    <w:rPr>
      <w:bCs/>
      <w:color w:val="990000"/>
      <w:sz w:val="24"/>
      <w:szCs w:val="24"/>
    </w:rPr>
  </w:style>
  <w:style w:type="paragraph" w:styleId="Heading2">
    <w:name w:val="heading 2"/>
    <w:basedOn w:val="Normal"/>
    <w:next w:val="Normal"/>
    <w:link w:val="Heading2Char"/>
    <w:uiPriority w:val="9"/>
    <w:unhideWhenUsed/>
    <w:qFormat/>
    <w:rsid w:val="007F74B0"/>
    <w:pPr>
      <w:spacing w:before="200" w:after="220"/>
      <w:outlineLvl w:val="1"/>
    </w:pPr>
    <w:rPr>
      <w:rFonts w:ascii="Georgia" w:hAnsi="Georgia"/>
      <w:b/>
    </w:rPr>
  </w:style>
  <w:style w:type="paragraph" w:styleId="Heading3">
    <w:name w:val="heading 3"/>
    <w:basedOn w:val="Heading2"/>
    <w:next w:val="Normal"/>
    <w:link w:val="Heading3Char"/>
    <w:uiPriority w:val="9"/>
    <w:unhideWhenUsed/>
    <w:qFormat/>
    <w:rsid w:val="007F74B0"/>
    <w:pPr>
      <w:outlineLvl w:val="2"/>
    </w:pPr>
    <w:rPr>
      <w:bCs/>
      <w:i/>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7F74B0"/>
    <w:rPr>
      <w:rFonts w:ascii="Georgia" w:hAnsi="Georgia"/>
      <w:b/>
      <w:color w:val="990000"/>
      <w:sz w:val="24"/>
      <w:szCs w:val="24"/>
    </w:rPr>
  </w:style>
  <w:style w:type="character" w:customStyle="1" w:styleId="Heading2Char">
    <w:name w:val="Heading 2 Char"/>
    <w:link w:val="Heading2"/>
    <w:uiPriority w:val="9"/>
    <w:rsid w:val="007F74B0"/>
    <w:rPr>
      <w:rFonts w:ascii="Georgia" w:hAnsi="Georgia"/>
      <w:b/>
      <w:sz w:val="22"/>
      <w:szCs w:val="22"/>
    </w:rPr>
  </w:style>
  <w:style w:type="character" w:customStyle="1" w:styleId="Heading3Char">
    <w:name w:val="Heading 3 Char"/>
    <w:link w:val="Heading3"/>
    <w:uiPriority w:val="9"/>
    <w:rsid w:val="007F74B0"/>
    <w:rPr>
      <w:rFonts w:ascii="Georgia" w:hAnsi="Georgia"/>
      <w:b/>
      <w:bCs/>
      <w:i/>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character" w:styleId="CommentReference">
    <w:name w:val="annotation reference"/>
    <w:basedOn w:val="DefaultParagraphFont"/>
    <w:uiPriority w:val="99"/>
    <w:semiHidden/>
    <w:unhideWhenUsed/>
    <w:rsid w:val="00BF0680"/>
    <w:rPr>
      <w:sz w:val="16"/>
      <w:szCs w:val="16"/>
    </w:rPr>
  </w:style>
  <w:style w:type="paragraph" w:styleId="CommentText">
    <w:name w:val="annotation text"/>
    <w:basedOn w:val="Normal"/>
    <w:link w:val="CommentTextChar"/>
    <w:uiPriority w:val="99"/>
    <w:semiHidden/>
    <w:unhideWhenUsed/>
    <w:rsid w:val="00BF0680"/>
    <w:pPr>
      <w:spacing w:line="240" w:lineRule="auto"/>
    </w:pPr>
    <w:rPr>
      <w:sz w:val="20"/>
      <w:szCs w:val="20"/>
    </w:rPr>
  </w:style>
  <w:style w:type="character" w:customStyle="1" w:styleId="CommentTextChar">
    <w:name w:val="Comment Text Char"/>
    <w:basedOn w:val="DefaultParagraphFont"/>
    <w:link w:val="CommentText"/>
    <w:uiPriority w:val="99"/>
    <w:semiHidden/>
    <w:rsid w:val="00BF0680"/>
  </w:style>
  <w:style w:type="paragraph" w:styleId="CommentSubject">
    <w:name w:val="annotation subject"/>
    <w:basedOn w:val="CommentText"/>
    <w:next w:val="CommentText"/>
    <w:link w:val="CommentSubjectChar"/>
    <w:semiHidden/>
    <w:unhideWhenUsed/>
    <w:rsid w:val="00BF0680"/>
    <w:rPr>
      <w:b/>
      <w:bCs/>
    </w:rPr>
  </w:style>
  <w:style w:type="character" w:customStyle="1" w:styleId="CommentSubjectChar">
    <w:name w:val="Comment Subject Char"/>
    <w:basedOn w:val="CommentTextChar"/>
    <w:link w:val="CommentSubject"/>
    <w:semiHidden/>
    <w:rsid w:val="00BF0680"/>
    <w:rPr>
      <w:b/>
      <w:bCs/>
    </w:rPr>
  </w:style>
  <w:style w:type="paragraph" w:styleId="Revision">
    <w:name w:val="Revision"/>
    <w:hidden/>
    <w:uiPriority w:val="99"/>
    <w:semiHidden/>
    <w:rsid w:val="007245DC"/>
    <w:rPr>
      <w:sz w:val="22"/>
      <w:szCs w:val="22"/>
    </w:rPr>
  </w:style>
  <w:style w:type="character" w:styleId="UnresolvedMention">
    <w:name w:val="Unresolved Mention"/>
    <w:basedOn w:val="DefaultParagraphFont"/>
    <w:uiPriority w:val="99"/>
    <w:semiHidden/>
    <w:unhideWhenUsed/>
    <w:rsid w:val="00351236"/>
    <w:rPr>
      <w:color w:val="605E5C"/>
      <w:shd w:val="clear" w:color="auto" w:fill="E1DFDD"/>
    </w:rPr>
  </w:style>
  <w:style w:type="character" w:styleId="FollowedHyperlink">
    <w:name w:val="FollowedHyperlink"/>
    <w:basedOn w:val="DefaultParagraphFont"/>
    <w:semiHidden/>
    <w:unhideWhenUsed/>
    <w:rsid w:val="00351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lists/eligibility-operations-memos-by-yea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5690</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6692</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EOHHS</dc:creator>
  <cp:lastModifiedBy>Sousa, Pam (EHS)</cp:lastModifiedBy>
  <cp:revision>2</cp:revision>
  <cp:lastPrinted>2023-01-30T18:03:00Z</cp:lastPrinted>
  <dcterms:created xsi:type="dcterms:W3CDTF">2023-02-07T19:15:00Z</dcterms:created>
  <dcterms:modified xsi:type="dcterms:W3CDTF">2023-02-07T19:15:00Z</dcterms:modified>
</cp:coreProperties>
</file>