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B227" w14:textId="41975AAB" w:rsidR="008323D7" w:rsidRPr="000006C4" w:rsidRDefault="00086041" w:rsidP="00CE5AE8">
      <w:pPr>
        <w:pStyle w:val="Heading1"/>
      </w:pPr>
      <w:r w:rsidRPr="00C446B3">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w:t>
      </w:r>
      <w:r w:rsidR="008323D7" w:rsidRPr="00CE5AE8">
        <w:t>Memo</w:t>
      </w:r>
      <w:r w:rsidR="008323D7">
        <w:t xml:space="preserve"> </w:t>
      </w:r>
      <w:r w:rsidR="00062689">
        <w:t>2</w:t>
      </w:r>
      <w:r w:rsidR="00062689" w:rsidRPr="0070366A">
        <w:t>5-</w:t>
      </w:r>
      <w:r w:rsidR="0070366A" w:rsidRPr="0070366A">
        <w:t>18</w:t>
      </w:r>
    </w:p>
    <w:p w14:paraId="143ED5C3" w14:textId="1BE5EFA4" w:rsidR="00CE7018" w:rsidRPr="003C50FF" w:rsidRDefault="00CE7018" w:rsidP="00CE7018">
      <w:pPr>
        <w:tabs>
          <w:tab w:val="left" w:pos="1080"/>
        </w:tabs>
        <w:spacing w:before="120" w:after="240"/>
        <w:ind w:left="1080" w:hanging="1080"/>
      </w:pPr>
      <w:r w:rsidRPr="003C50FF">
        <w:rPr>
          <w:b/>
          <w:bCs/>
        </w:rPr>
        <w:t>DATE:</w:t>
      </w:r>
      <w:r w:rsidRPr="00F11183">
        <w:tab/>
      </w:r>
      <w:r w:rsidR="008A31E3">
        <w:t>December</w:t>
      </w:r>
      <w:r w:rsidR="00062689">
        <w:t xml:space="preserve"> 2025</w:t>
      </w:r>
    </w:p>
    <w:p w14:paraId="547DA5FC" w14:textId="77777777"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7BD67555"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210208">
        <w:t xml:space="preserve">Deputy </w:t>
      </w:r>
      <w:r w:rsidR="009F438B">
        <w:t xml:space="preserve">Chief Operating Officer, </w:t>
      </w:r>
      <w:r w:rsidRPr="006A4953">
        <w:t xml:space="preserve">Eligibility Policy </w:t>
      </w:r>
      <w:r w:rsidR="009F438B">
        <w:t xml:space="preserve">and Implementation </w:t>
      </w:r>
      <w:r>
        <w:t>[</w:t>
      </w:r>
      <w:r w:rsidRPr="006A4953">
        <w:t xml:space="preserve">signature of </w:t>
      </w:r>
      <w:r>
        <w:t>Heather Rossi]</w:t>
      </w:r>
    </w:p>
    <w:p w14:paraId="3DCD6A05" w14:textId="7B6FFD33" w:rsidR="00262766" w:rsidRDefault="00CE7018" w:rsidP="00B7550D">
      <w:pPr>
        <w:pStyle w:val="SubjectLine"/>
      </w:pPr>
      <w:r w:rsidRPr="00B7550D">
        <w:t>RE:</w:t>
      </w:r>
      <w:r w:rsidRPr="00B7550D">
        <w:tab/>
      </w:r>
      <w:r w:rsidR="00062689" w:rsidRPr="00062689">
        <w:t>Increase in Premium Billing Amounts for 2026 and Future Annual Premium Billing Amount Changes Beginning in 2027</w:t>
      </w:r>
    </w:p>
    <w:p w14:paraId="63B85BF2" w14:textId="77777777" w:rsidR="00B7550D" w:rsidRPr="00583219" w:rsidRDefault="00B7550D" w:rsidP="00B7550D">
      <w:pPr>
        <w:spacing w:after="0"/>
      </w:pPr>
    </w:p>
    <w:p w14:paraId="302728A9" w14:textId="77777777" w:rsidR="00681953" w:rsidRDefault="00681953" w:rsidP="00CE5AE8">
      <w:pPr>
        <w:pStyle w:val="Heading2"/>
        <w:sectPr w:rsidR="00681953" w:rsidSect="00D43719">
          <w:footerReference w:type="default" r:id="rId12"/>
          <w:pgSz w:w="12240" w:h="15840" w:code="1"/>
          <w:pgMar w:top="576" w:right="1440" w:bottom="1440" w:left="1440" w:header="446" w:footer="490" w:gutter="0"/>
          <w:cols w:space="720"/>
          <w:docGrid w:linePitch="299"/>
        </w:sectPr>
      </w:pPr>
    </w:p>
    <w:p w14:paraId="027DCA44" w14:textId="19F57257" w:rsidR="00262766" w:rsidRPr="00643925" w:rsidRDefault="00062689" w:rsidP="00CE5AE8">
      <w:pPr>
        <w:pStyle w:val="Heading2"/>
      </w:pPr>
      <w:r>
        <w:t>Background</w:t>
      </w:r>
    </w:p>
    <w:p w14:paraId="5AD67427" w14:textId="5117CB05" w:rsidR="00062689" w:rsidRDefault="00062689" w:rsidP="00062689">
      <w:r>
        <w:t xml:space="preserve">MassHealth is updating Premium Billing </w:t>
      </w:r>
      <w:r w:rsidR="004D08FF">
        <w:t>a</w:t>
      </w:r>
      <w:r>
        <w:t>mounts and outlining its policy on reactivating coverage after termination when an individual has a past due balance.</w:t>
      </w:r>
    </w:p>
    <w:p w14:paraId="7032D6D4" w14:textId="27BB5B4A" w:rsidR="00062689" w:rsidRDefault="00062689" w:rsidP="00062689">
      <w:r>
        <w:t xml:space="preserve">Beginning January 2026, MassHealth will increase Premium Billing </w:t>
      </w:r>
      <w:r w:rsidR="00E9374E">
        <w:t>a</w:t>
      </w:r>
      <w:r>
        <w:t xml:space="preserve">mounts by 10% for MassHealth members with countable income over 150% of the Federal Poverty Level (FPL). </w:t>
      </w:r>
    </w:p>
    <w:p w14:paraId="69687AF9" w14:textId="37F75791" w:rsidR="00062689" w:rsidRDefault="00AD5DE9" w:rsidP="00062689">
      <w:r>
        <w:t>I</w:t>
      </w:r>
      <w:r w:rsidR="00062689">
        <w:t>n March 2027, MassHealth will increase the Premium Billing Amounts each year in accordance with the increase of the FPL. Due to the annual change, MassHealth will publish the Premium Billing Amount tables online</w:t>
      </w:r>
      <w:r>
        <w:t>.</w:t>
      </w:r>
      <w:r w:rsidR="00062689">
        <w:t xml:space="preserve"> </w:t>
      </w:r>
      <w:r>
        <w:t>The tables</w:t>
      </w:r>
      <w:r w:rsidR="00062689">
        <w:t xml:space="preserve"> will no longer be reflected in regulations 130 CMR 506.011(B)</w:t>
      </w:r>
      <w:r>
        <w:t>:</w:t>
      </w:r>
      <w:r w:rsidR="00062689">
        <w:t xml:space="preserve"> </w:t>
      </w:r>
      <w:r>
        <w:t xml:space="preserve"> </w:t>
      </w:r>
      <w:r w:rsidR="00062689" w:rsidRPr="004D08FF">
        <w:rPr>
          <w:i/>
          <w:iCs/>
        </w:rPr>
        <w:t>MassHealth and Children’s Medical Security Plan (CMSP) Premium Formulas</w:t>
      </w:r>
      <w:r w:rsidR="00062689">
        <w:t xml:space="preserve"> and 130 CMR 506.012(D)</w:t>
      </w:r>
      <w:r>
        <w:t xml:space="preserve">:  </w:t>
      </w:r>
      <w:r w:rsidR="00062689" w:rsidRPr="004D08FF">
        <w:rPr>
          <w:i/>
          <w:iCs/>
        </w:rPr>
        <w:t>Required Member Contribution</w:t>
      </w:r>
      <w:r w:rsidR="00062689">
        <w:t>.</w:t>
      </w:r>
    </w:p>
    <w:p w14:paraId="68429B50" w14:textId="26E7191D" w:rsidR="00062689" w:rsidRDefault="00062689" w:rsidP="00062689">
      <w:r>
        <w:t xml:space="preserve">An individual terminated from MassHealth due to delinquent premium payments may file a new MassHealth application, as described below. </w:t>
      </w:r>
    </w:p>
    <w:p w14:paraId="5EEEBDBB" w14:textId="4AABA235" w:rsidR="00262766" w:rsidRDefault="00062689" w:rsidP="00062689">
      <w:r w:rsidRPr="004D08FF">
        <w:rPr>
          <w:b/>
          <w:bCs/>
        </w:rPr>
        <w:t>Please note:</w:t>
      </w:r>
      <w:r>
        <w:t xml:space="preserve"> MassHealth is not changing the supplemental premium amount percentage (described </w:t>
      </w:r>
      <w:r w:rsidR="00AD5DE9">
        <w:t xml:space="preserve">below </w:t>
      </w:r>
      <w:r>
        <w:t>in the table titled “Supplemental Premium Formula”). The supplemental premium amount percentage applies when a MassHealth member has private health insurance that MassHealth does not contribute toward (such as Premium Assistance or a Medicare Savings Program)</w:t>
      </w:r>
      <w:r w:rsidR="00262766" w:rsidRPr="00583219">
        <w:t>.</w:t>
      </w:r>
    </w:p>
    <w:p w14:paraId="08BA3AC8" w14:textId="77777777" w:rsidR="00062689" w:rsidRPr="00062689" w:rsidRDefault="00062689" w:rsidP="00062689">
      <w:pPr>
        <w:pStyle w:val="Heading2"/>
      </w:pPr>
      <w:r w:rsidRPr="00062689">
        <w:t>Updated Premium Amount Tables</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10"/>
        <w:gridCol w:w="5040"/>
      </w:tblGrid>
      <w:tr w:rsidR="00FD205A" w:rsidRPr="002414A1" w14:paraId="0CDCD53A" w14:textId="77777777" w:rsidTr="009C3CBA">
        <w:trPr>
          <w:trHeight w:val="432"/>
        </w:trPr>
        <w:tc>
          <w:tcPr>
            <w:tcW w:w="9450" w:type="dxa"/>
            <w:gridSpan w:val="2"/>
            <w:vAlign w:val="center"/>
          </w:tcPr>
          <w:p w14:paraId="04B41D83" w14:textId="77777777" w:rsidR="00FD205A" w:rsidRPr="002414A1" w:rsidRDefault="00FD205A" w:rsidP="00351156">
            <w:pPr>
              <w:widowControl w:val="0"/>
              <w:tabs>
                <w:tab w:val="left" w:pos="936"/>
                <w:tab w:val="left" w:pos="1314"/>
                <w:tab w:val="left" w:pos="1692"/>
                <w:tab w:val="left" w:pos="2070"/>
              </w:tabs>
              <w:spacing w:before="60" w:after="60" w:line="240" w:lineRule="auto"/>
              <w:ind w:hanging="115"/>
              <w:jc w:val="center"/>
              <w:rPr>
                <w:b/>
              </w:rPr>
            </w:pPr>
            <w:r w:rsidRPr="002414A1">
              <w:rPr>
                <w:b/>
              </w:rPr>
              <w:t>Standard Breast and Cervical Cancer Premium Formula</w:t>
            </w:r>
          </w:p>
        </w:tc>
      </w:tr>
      <w:tr w:rsidR="00FD205A" w:rsidRPr="002414A1" w14:paraId="72D0E201" w14:textId="77777777" w:rsidTr="009C3CBA">
        <w:tc>
          <w:tcPr>
            <w:tcW w:w="4410" w:type="dxa"/>
          </w:tcPr>
          <w:p w14:paraId="0EECD31D" w14:textId="176D4235" w:rsidR="00FD205A" w:rsidRPr="00425308" w:rsidRDefault="00FD205A" w:rsidP="00351156">
            <w:pPr>
              <w:spacing w:before="60" w:after="60" w:line="240" w:lineRule="auto"/>
              <w:jc w:val="center"/>
              <w:rPr>
                <w:b/>
                <w:bCs/>
              </w:rPr>
            </w:pPr>
            <w:r w:rsidRPr="00425308">
              <w:rPr>
                <w:b/>
                <w:bCs/>
              </w:rPr>
              <w:t>% of Federal Poverty Level (FPL)</w:t>
            </w:r>
          </w:p>
        </w:tc>
        <w:tc>
          <w:tcPr>
            <w:tcW w:w="5040" w:type="dxa"/>
          </w:tcPr>
          <w:p w14:paraId="2E6BA620" w14:textId="77777777" w:rsidR="00FD205A" w:rsidRPr="00425308" w:rsidRDefault="00FD205A" w:rsidP="00351156">
            <w:pPr>
              <w:spacing w:before="60" w:after="60" w:line="240" w:lineRule="auto"/>
              <w:jc w:val="center"/>
              <w:rPr>
                <w:b/>
                <w:bCs/>
              </w:rPr>
            </w:pPr>
            <w:r w:rsidRPr="00425308">
              <w:rPr>
                <w:b/>
                <w:bCs/>
              </w:rPr>
              <w:t>Monthly Premium Cost</w:t>
            </w:r>
          </w:p>
        </w:tc>
      </w:tr>
      <w:tr w:rsidR="00FD205A" w:rsidRPr="002414A1" w14:paraId="1119D58E" w14:textId="77777777" w:rsidTr="009C3CBA">
        <w:trPr>
          <w:trHeight w:val="288"/>
        </w:trPr>
        <w:tc>
          <w:tcPr>
            <w:tcW w:w="4410" w:type="dxa"/>
            <w:vAlign w:val="center"/>
          </w:tcPr>
          <w:p w14:paraId="527B2C09"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Above 150% to 160%</w:t>
            </w:r>
          </w:p>
        </w:tc>
        <w:tc>
          <w:tcPr>
            <w:tcW w:w="5040" w:type="dxa"/>
            <w:vAlign w:val="center"/>
          </w:tcPr>
          <w:p w14:paraId="5A552FDB"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$16.50</w:t>
            </w:r>
          </w:p>
        </w:tc>
      </w:tr>
      <w:tr w:rsidR="00FD205A" w:rsidRPr="002414A1" w14:paraId="799C723E" w14:textId="77777777" w:rsidTr="009C3CBA">
        <w:trPr>
          <w:trHeight w:val="288"/>
        </w:trPr>
        <w:tc>
          <w:tcPr>
            <w:tcW w:w="4410" w:type="dxa"/>
            <w:vAlign w:val="center"/>
          </w:tcPr>
          <w:p w14:paraId="272258C4"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Above 160% to 170%</w:t>
            </w:r>
          </w:p>
        </w:tc>
        <w:tc>
          <w:tcPr>
            <w:tcW w:w="5040" w:type="dxa"/>
            <w:vAlign w:val="center"/>
          </w:tcPr>
          <w:p w14:paraId="6BB4292C"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$22.00</w:t>
            </w:r>
          </w:p>
        </w:tc>
      </w:tr>
      <w:tr w:rsidR="00FD205A" w:rsidRPr="002414A1" w14:paraId="735CB9B2" w14:textId="77777777" w:rsidTr="009C3CBA">
        <w:trPr>
          <w:trHeight w:val="288"/>
        </w:trPr>
        <w:tc>
          <w:tcPr>
            <w:tcW w:w="4410" w:type="dxa"/>
            <w:vAlign w:val="center"/>
          </w:tcPr>
          <w:p w14:paraId="01D7BF12"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Above 170% to 180%</w:t>
            </w:r>
          </w:p>
        </w:tc>
        <w:tc>
          <w:tcPr>
            <w:tcW w:w="5040" w:type="dxa"/>
            <w:vAlign w:val="center"/>
          </w:tcPr>
          <w:p w14:paraId="4CC9C378"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$27.50</w:t>
            </w:r>
          </w:p>
        </w:tc>
      </w:tr>
      <w:tr w:rsidR="00FD205A" w:rsidRPr="002414A1" w14:paraId="576A81D5" w14:textId="77777777" w:rsidTr="009C3CBA">
        <w:trPr>
          <w:trHeight w:val="288"/>
        </w:trPr>
        <w:tc>
          <w:tcPr>
            <w:tcW w:w="4410" w:type="dxa"/>
            <w:vAlign w:val="center"/>
          </w:tcPr>
          <w:p w14:paraId="474CD01C"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lastRenderedPageBreak/>
              <w:t>Above 180% to 190%</w:t>
            </w:r>
          </w:p>
        </w:tc>
        <w:tc>
          <w:tcPr>
            <w:tcW w:w="5040" w:type="dxa"/>
            <w:vAlign w:val="center"/>
          </w:tcPr>
          <w:p w14:paraId="68D8921E"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$33.00</w:t>
            </w:r>
          </w:p>
        </w:tc>
      </w:tr>
      <w:tr w:rsidR="00FD205A" w:rsidRPr="002414A1" w14:paraId="3EE1D571" w14:textId="77777777" w:rsidTr="009C3CBA">
        <w:trPr>
          <w:trHeight w:val="288"/>
        </w:trPr>
        <w:tc>
          <w:tcPr>
            <w:tcW w:w="4410" w:type="dxa"/>
            <w:vAlign w:val="center"/>
          </w:tcPr>
          <w:p w14:paraId="2C03A8AA"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Above 190% to 200%</w:t>
            </w:r>
          </w:p>
        </w:tc>
        <w:tc>
          <w:tcPr>
            <w:tcW w:w="5040" w:type="dxa"/>
            <w:vAlign w:val="center"/>
          </w:tcPr>
          <w:p w14:paraId="236A44E5"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$38.50</w:t>
            </w:r>
          </w:p>
        </w:tc>
      </w:tr>
      <w:tr w:rsidR="00FD205A" w:rsidRPr="002414A1" w14:paraId="1444BCE1" w14:textId="77777777" w:rsidTr="009C3CBA">
        <w:trPr>
          <w:trHeight w:val="288"/>
        </w:trPr>
        <w:tc>
          <w:tcPr>
            <w:tcW w:w="4410" w:type="dxa"/>
            <w:vAlign w:val="center"/>
          </w:tcPr>
          <w:p w14:paraId="78C61821"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Above 200% to 210%</w:t>
            </w:r>
          </w:p>
        </w:tc>
        <w:tc>
          <w:tcPr>
            <w:tcW w:w="5040" w:type="dxa"/>
            <w:vAlign w:val="center"/>
          </w:tcPr>
          <w:p w14:paraId="6298A026"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$44.00</w:t>
            </w:r>
          </w:p>
        </w:tc>
      </w:tr>
      <w:tr w:rsidR="00FD205A" w:rsidRPr="002414A1" w14:paraId="0D2C8C76" w14:textId="77777777" w:rsidTr="009C3CBA">
        <w:trPr>
          <w:trHeight w:val="288"/>
        </w:trPr>
        <w:tc>
          <w:tcPr>
            <w:tcW w:w="4410" w:type="dxa"/>
            <w:vAlign w:val="center"/>
          </w:tcPr>
          <w:p w14:paraId="2C0ECCDF"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Above 210% to 220%</w:t>
            </w:r>
          </w:p>
        </w:tc>
        <w:tc>
          <w:tcPr>
            <w:tcW w:w="5040" w:type="dxa"/>
            <w:vAlign w:val="center"/>
          </w:tcPr>
          <w:p w14:paraId="4ED64547"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$52.80</w:t>
            </w:r>
          </w:p>
        </w:tc>
      </w:tr>
      <w:tr w:rsidR="00FD205A" w:rsidRPr="002414A1" w14:paraId="2F5B7EE3" w14:textId="77777777" w:rsidTr="009C3CBA">
        <w:trPr>
          <w:trHeight w:val="288"/>
        </w:trPr>
        <w:tc>
          <w:tcPr>
            <w:tcW w:w="4410" w:type="dxa"/>
            <w:vAlign w:val="center"/>
          </w:tcPr>
          <w:p w14:paraId="01155247"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Above 220% to 230%</w:t>
            </w:r>
          </w:p>
        </w:tc>
        <w:tc>
          <w:tcPr>
            <w:tcW w:w="5040" w:type="dxa"/>
            <w:vAlign w:val="center"/>
          </w:tcPr>
          <w:p w14:paraId="2A02253E"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$61.60</w:t>
            </w:r>
          </w:p>
        </w:tc>
      </w:tr>
      <w:tr w:rsidR="00FD205A" w:rsidRPr="002414A1" w14:paraId="09194FD8" w14:textId="77777777" w:rsidTr="009C3CBA">
        <w:trPr>
          <w:trHeight w:val="288"/>
        </w:trPr>
        <w:tc>
          <w:tcPr>
            <w:tcW w:w="4410" w:type="dxa"/>
            <w:vAlign w:val="center"/>
          </w:tcPr>
          <w:p w14:paraId="641F94C1"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Above 230% to 240%</w:t>
            </w:r>
          </w:p>
        </w:tc>
        <w:tc>
          <w:tcPr>
            <w:tcW w:w="5040" w:type="dxa"/>
            <w:vAlign w:val="center"/>
          </w:tcPr>
          <w:p w14:paraId="2A9AA0D8"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$70.40</w:t>
            </w:r>
          </w:p>
        </w:tc>
      </w:tr>
      <w:tr w:rsidR="00FD205A" w:rsidRPr="002414A1" w14:paraId="5917463B" w14:textId="77777777" w:rsidTr="009C3CBA">
        <w:trPr>
          <w:trHeight w:val="288"/>
        </w:trPr>
        <w:tc>
          <w:tcPr>
            <w:tcW w:w="4410" w:type="dxa"/>
            <w:vAlign w:val="center"/>
          </w:tcPr>
          <w:p w14:paraId="2B18CEFD"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Above 240% to 250%</w:t>
            </w:r>
          </w:p>
        </w:tc>
        <w:tc>
          <w:tcPr>
            <w:tcW w:w="5040" w:type="dxa"/>
            <w:vAlign w:val="center"/>
          </w:tcPr>
          <w:p w14:paraId="71C97841" w14:textId="77777777" w:rsidR="00FD205A" w:rsidRPr="002414A1" w:rsidRDefault="00FD205A" w:rsidP="00351156">
            <w:pPr>
              <w:widowControl w:val="0"/>
              <w:tabs>
                <w:tab w:val="left" w:pos="936"/>
                <w:tab w:val="left" w:pos="1314"/>
                <w:tab w:val="left" w:pos="1692"/>
                <w:tab w:val="left" w:pos="2070"/>
              </w:tabs>
              <w:spacing w:after="0" w:line="240" w:lineRule="auto"/>
            </w:pPr>
            <w:r w:rsidRPr="002414A1">
              <w:t>$79.20</w:t>
            </w:r>
          </w:p>
        </w:tc>
      </w:tr>
    </w:tbl>
    <w:p w14:paraId="304FE941" w14:textId="77777777" w:rsidR="00FD205A" w:rsidRDefault="00FD205A" w:rsidP="002123BF">
      <w:pPr>
        <w:spacing w:before="120"/>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2"/>
        <w:gridCol w:w="5048"/>
      </w:tblGrid>
      <w:tr w:rsidR="00FD205A" w:rsidRPr="002414A1" w14:paraId="122BFF90" w14:textId="77777777" w:rsidTr="002123BF">
        <w:tc>
          <w:tcPr>
            <w:tcW w:w="9450" w:type="dxa"/>
            <w:gridSpan w:val="2"/>
            <w:vAlign w:val="center"/>
          </w:tcPr>
          <w:p w14:paraId="777ECA73" w14:textId="77777777" w:rsidR="00FD205A" w:rsidRPr="00606899" w:rsidRDefault="00FD205A" w:rsidP="00351156">
            <w:pPr>
              <w:spacing w:before="60" w:after="0" w:line="240" w:lineRule="auto"/>
              <w:jc w:val="center"/>
              <w:rPr>
                <w:b/>
                <w:bCs/>
              </w:rPr>
            </w:pPr>
            <w:r w:rsidRPr="00606899">
              <w:rPr>
                <w:b/>
                <w:bCs/>
              </w:rPr>
              <w:t>CommonHealth and Family Assistance Full Premium Formula</w:t>
            </w:r>
          </w:p>
          <w:p w14:paraId="562986FA" w14:textId="77777777" w:rsidR="00FD205A" w:rsidRPr="002414A1" w:rsidRDefault="00FD205A" w:rsidP="00351156">
            <w:pPr>
              <w:spacing w:after="60" w:line="240" w:lineRule="auto"/>
              <w:jc w:val="center"/>
            </w:pPr>
            <w:r w:rsidRPr="00606899">
              <w:rPr>
                <w:b/>
                <w:bCs/>
              </w:rPr>
              <w:t>Children between 150% and 300%</w:t>
            </w:r>
          </w:p>
        </w:tc>
      </w:tr>
      <w:tr w:rsidR="00FD205A" w:rsidRPr="002414A1" w14:paraId="08DBFF56" w14:textId="77777777" w:rsidTr="002123BF">
        <w:tc>
          <w:tcPr>
            <w:tcW w:w="4402" w:type="dxa"/>
            <w:vAlign w:val="center"/>
          </w:tcPr>
          <w:p w14:paraId="3CF7E984" w14:textId="77777777" w:rsidR="00FD205A" w:rsidRPr="002123BF" w:rsidRDefault="00FD205A" w:rsidP="00351156">
            <w:pPr>
              <w:spacing w:before="60" w:after="60" w:line="240" w:lineRule="auto"/>
              <w:jc w:val="center"/>
              <w:rPr>
                <w:b/>
                <w:bCs/>
                <w:iCs/>
              </w:rPr>
            </w:pPr>
            <w:r w:rsidRPr="002123BF">
              <w:rPr>
                <w:b/>
                <w:bCs/>
                <w:iCs/>
              </w:rPr>
              <w:t>% of Federal Poverty Level (FPL)</w:t>
            </w:r>
          </w:p>
        </w:tc>
        <w:tc>
          <w:tcPr>
            <w:tcW w:w="5048" w:type="dxa"/>
            <w:vAlign w:val="center"/>
          </w:tcPr>
          <w:p w14:paraId="0DC63B42" w14:textId="77777777" w:rsidR="00FD205A" w:rsidRPr="00606899" w:rsidRDefault="00FD205A" w:rsidP="00351156">
            <w:pPr>
              <w:spacing w:before="60" w:after="60" w:line="240" w:lineRule="auto"/>
              <w:jc w:val="center"/>
              <w:rPr>
                <w:b/>
                <w:bCs/>
              </w:rPr>
            </w:pPr>
            <w:r w:rsidRPr="00606899">
              <w:rPr>
                <w:b/>
                <w:bCs/>
              </w:rPr>
              <w:t>Monthly Premium Cost</w:t>
            </w:r>
          </w:p>
        </w:tc>
      </w:tr>
      <w:tr w:rsidR="00FD205A" w:rsidRPr="002414A1" w14:paraId="6FCE38C0" w14:textId="77777777" w:rsidTr="00351156">
        <w:trPr>
          <w:trHeight w:val="288"/>
        </w:trPr>
        <w:tc>
          <w:tcPr>
            <w:tcW w:w="4402" w:type="dxa"/>
            <w:vAlign w:val="center"/>
          </w:tcPr>
          <w:p w14:paraId="7ADF4E18" w14:textId="77777777" w:rsidR="00FD205A" w:rsidRPr="002414A1" w:rsidRDefault="00FD205A" w:rsidP="00351156">
            <w:pPr>
              <w:widowControl w:val="0"/>
              <w:tabs>
                <w:tab w:val="left" w:pos="936"/>
                <w:tab w:val="left" w:pos="1314"/>
                <w:tab w:val="left" w:pos="2070"/>
              </w:tabs>
              <w:spacing w:after="0" w:line="240" w:lineRule="auto"/>
            </w:pPr>
            <w:r w:rsidRPr="002414A1">
              <w:t>Above 150% to 200%</w:t>
            </w:r>
          </w:p>
        </w:tc>
        <w:tc>
          <w:tcPr>
            <w:tcW w:w="5048" w:type="dxa"/>
            <w:tcBorders>
              <w:top w:val="single" w:sz="4" w:space="0" w:color="auto"/>
              <w:left w:val="single" w:sz="4" w:space="0" w:color="auto"/>
              <w:bottom w:val="single" w:sz="4" w:space="0" w:color="auto"/>
              <w:right w:val="single" w:sz="4" w:space="0" w:color="auto"/>
            </w:tcBorders>
            <w:vAlign w:val="center"/>
          </w:tcPr>
          <w:p w14:paraId="63C3F656" w14:textId="77777777" w:rsidR="00FD205A" w:rsidRPr="002414A1" w:rsidRDefault="00FD205A" w:rsidP="00351156">
            <w:pPr>
              <w:widowControl w:val="0"/>
              <w:tabs>
                <w:tab w:val="left" w:pos="936"/>
                <w:tab w:val="left" w:pos="1314"/>
                <w:tab w:val="left" w:pos="2070"/>
              </w:tabs>
              <w:spacing w:after="0" w:line="240" w:lineRule="auto"/>
              <w:ind w:right="-786"/>
            </w:pPr>
            <w:r w:rsidRPr="002414A1">
              <w:t>$13.20 per child (39.60 PBFG maximum)</w:t>
            </w:r>
          </w:p>
        </w:tc>
      </w:tr>
      <w:tr w:rsidR="00FD205A" w:rsidRPr="002414A1" w14:paraId="72BCFB0B" w14:textId="77777777" w:rsidTr="00351156">
        <w:trPr>
          <w:trHeight w:val="288"/>
        </w:trPr>
        <w:tc>
          <w:tcPr>
            <w:tcW w:w="4402" w:type="dxa"/>
            <w:vAlign w:val="center"/>
          </w:tcPr>
          <w:p w14:paraId="55641316" w14:textId="77777777" w:rsidR="00FD205A" w:rsidRPr="002414A1" w:rsidRDefault="00FD205A" w:rsidP="00351156">
            <w:pPr>
              <w:widowControl w:val="0"/>
              <w:tabs>
                <w:tab w:val="left" w:pos="936"/>
                <w:tab w:val="left" w:pos="1314"/>
                <w:tab w:val="left" w:pos="2070"/>
              </w:tabs>
              <w:spacing w:after="0" w:line="240" w:lineRule="auto"/>
            </w:pPr>
            <w:r w:rsidRPr="002414A1">
              <w:t>Above 200% to 250%</w:t>
            </w:r>
          </w:p>
        </w:tc>
        <w:tc>
          <w:tcPr>
            <w:tcW w:w="5048" w:type="dxa"/>
            <w:tcBorders>
              <w:top w:val="nil"/>
              <w:left w:val="single" w:sz="4" w:space="0" w:color="auto"/>
              <w:bottom w:val="single" w:sz="4" w:space="0" w:color="auto"/>
              <w:right w:val="single" w:sz="4" w:space="0" w:color="auto"/>
            </w:tcBorders>
            <w:vAlign w:val="center"/>
          </w:tcPr>
          <w:p w14:paraId="7B3D1E36" w14:textId="77777777" w:rsidR="00FD205A" w:rsidRPr="002414A1" w:rsidRDefault="00FD205A" w:rsidP="00351156">
            <w:pPr>
              <w:widowControl w:val="0"/>
              <w:tabs>
                <w:tab w:val="left" w:pos="936"/>
                <w:tab w:val="left" w:pos="1314"/>
                <w:tab w:val="left" w:pos="2070"/>
              </w:tabs>
              <w:spacing w:after="0" w:line="240" w:lineRule="auto"/>
            </w:pPr>
            <w:r w:rsidRPr="002414A1">
              <w:t>$22.00 per child ($66 PBFG maximum)</w:t>
            </w:r>
          </w:p>
        </w:tc>
      </w:tr>
      <w:tr w:rsidR="00FD205A" w:rsidRPr="002414A1" w14:paraId="28C85CDA" w14:textId="77777777" w:rsidTr="00351156">
        <w:trPr>
          <w:trHeight w:val="288"/>
        </w:trPr>
        <w:tc>
          <w:tcPr>
            <w:tcW w:w="4402" w:type="dxa"/>
            <w:vAlign w:val="center"/>
          </w:tcPr>
          <w:p w14:paraId="56F7D7E5" w14:textId="77777777" w:rsidR="00FD205A" w:rsidRPr="002414A1" w:rsidRDefault="00FD205A" w:rsidP="00351156">
            <w:pPr>
              <w:widowControl w:val="0"/>
              <w:tabs>
                <w:tab w:val="left" w:pos="936"/>
                <w:tab w:val="left" w:pos="1314"/>
                <w:tab w:val="left" w:pos="2070"/>
              </w:tabs>
              <w:spacing w:after="0" w:line="240" w:lineRule="auto"/>
            </w:pPr>
            <w:r w:rsidRPr="002414A1">
              <w:t>Above 250% to 300%</w:t>
            </w:r>
          </w:p>
        </w:tc>
        <w:tc>
          <w:tcPr>
            <w:tcW w:w="5048" w:type="dxa"/>
            <w:tcBorders>
              <w:top w:val="nil"/>
              <w:left w:val="single" w:sz="4" w:space="0" w:color="auto"/>
              <w:bottom w:val="single" w:sz="4" w:space="0" w:color="auto"/>
              <w:right w:val="single" w:sz="4" w:space="0" w:color="auto"/>
            </w:tcBorders>
            <w:vAlign w:val="center"/>
          </w:tcPr>
          <w:p w14:paraId="7D22529D" w14:textId="77777777" w:rsidR="00FD205A" w:rsidRPr="002414A1" w:rsidRDefault="00FD205A" w:rsidP="00351156">
            <w:pPr>
              <w:widowControl w:val="0"/>
              <w:tabs>
                <w:tab w:val="left" w:pos="936"/>
                <w:tab w:val="left" w:pos="1314"/>
                <w:tab w:val="left" w:pos="2070"/>
              </w:tabs>
              <w:spacing w:after="0" w:line="240" w:lineRule="auto"/>
            </w:pPr>
            <w:r w:rsidRPr="002414A1">
              <w:t xml:space="preserve">$30.80 per child ($92.40 PBFG maximum) </w:t>
            </w:r>
          </w:p>
        </w:tc>
      </w:tr>
    </w:tbl>
    <w:p w14:paraId="51413B90" w14:textId="77777777" w:rsidR="00FD205A" w:rsidRPr="002414A1" w:rsidRDefault="00FD205A" w:rsidP="00FD205A"/>
    <w:tbl>
      <w:tblPr>
        <w:tblW w:w="947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420"/>
        <w:gridCol w:w="2543"/>
      </w:tblGrid>
      <w:tr w:rsidR="00FD205A" w:rsidRPr="002414A1" w14:paraId="521A27B6" w14:textId="77777777" w:rsidTr="00EC76E2">
        <w:trPr>
          <w:cantSplit/>
        </w:trPr>
        <w:tc>
          <w:tcPr>
            <w:tcW w:w="9473" w:type="dxa"/>
            <w:gridSpan w:val="3"/>
            <w:vAlign w:val="center"/>
          </w:tcPr>
          <w:p w14:paraId="4E96DD00" w14:textId="2F69E329" w:rsidR="00FD205A" w:rsidRPr="00EC76E2" w:rsidRDefault="00FD205A" w:rsidP="00351156">
            <w:pPr>
              <w:spacing w:before="60" w:after="0" w:line="240" w:lineRule="auto"/>
              <w:jc w:val="center"/>
              <w:rPr>
                <w:b/>
                <w:bCs/>
              </w:rPr>
            </w:pPr>
            <w:r w:rsidRPr="00EC76E2">
              <w:rPr>
                <w:b/>
                <w:bCs/>
              </w:rPr>
              <w:t>CommonHealth Full Premium Formula Young Adults and Adults</w:t>
            </w:r>
          </w:p>
          <w:p w14:paraId="0CA9331A" w14:textId="77777777" w:rsidR="00FD205A" w:rsidRPr="002414A1" w:rsidRDefault="00FD205A" w:rsidP="00351156">
            <w:pPr>
              <w:spacing w:after="60" w:line="240" w:lineRule="auto"/>
              <w:jc w:val="center"/>
            </w:pPr>
            <w:r w:rsidRPr="00EC76E2">
              <w:rPr>
                <w:b/>
                <w:bCs/>
              </w:rPr>
              <w:t>above 150% of the FPL and Children above 300% of the FPL</w:t>
            </w:r>
          </w:p>
        </w:tc>
      </w:tr>
      <w:tr w:rsidR="00FD205A" w:rsidRPr="00EC76E2" w14:paraId="6F57D0BE" w14:textId="77777777" w:rsidTr="00EC76E2">
        <w:tc>
          <w:tcPr>
            <w:tcW w:w="3510" w:type="dxa"/>
          </w:tcPr>
          <w:p w14:paraId="507264F5" w14:textId="77777777" w:rsidR="00FD205A" w:rsidRPr="00EC76E2" w:rsidRDefault="00FD205A" w:rsidP="00351156">
            <w:pPr>
              <w:spacing w:before="60" w:after="60" w:line="240" w:lineRule="auto"/>
              <w:jc w:val="center"/>
              <w:rPr>
                <w:b/>
                <w:bCs/>
              </w:rPr>
            </w:pPr>
            <w:r w:rsidRPr="00EC76E2">
              <w:rPr>
                <w:b/>
                <w:bCs/>
              </w:rPr>
              <w:t>Base Premium</w:t>
            </w:r>
          </w:p>
        </w:tc>
        <w:tc>
          <w:tcPr>
            <w:tcW w:w="3420" w:type="dxa"/>
          </w:tcPr>
          <w:p w14:paraId="4F97DDCD" w14:textId="77777777" w:rsidR="00FD205A" w:rsidRPr="00EC76E2" w:rsidRDefault="00FD205A" w:rsidP="00351156">
            <w:pPr>
              <w:spacing w:before="60" w:after="60" w:line="240" w:lineRule="auto"/>
              <w:jc w:val="center"/>
              <w:rPr>
                <w:b/>
                <w:bCs/>
              </w:rPr>
            </w:pPr>
            <w:r w:rsidRPr="00EC76E2">
              <w:rPr>
                <w:b/>
                <w:bCs/>
              </w:rPr>
              <w:t>Additional Premium Cost</w:t>
            </w:r>
          </w:p>
        </w:tc>
        <w:tc>
          <w:tcPr>
            <w:tcW w:w="2543" w:type="dxa"/>
          </w:tcPr>
          <w:p w14:paraId="1024D04D" w14:textId="77777777" w:rsidR="00FD205A" w:rsidRPr="00EC76E2" w:rsidRDefault="00FD205A" w:rsidP="00351156">
            <w:pPr>
              <w:spacing w:before="60" w:after="60" w:line="240" w:lineRule="auto"/>
              <w:jc w:val="center"/>
              <w:rPr>
                <w:b/>
                <w:bCs/>
              </w:rPr>
            </w:pPr>
            <w:r w:rsidRPr="00EC76E2">
              <w:rPr>
                <w:b/>
                <w:bCs/>
              </w:rPr>
              <w:t>Range of Monthly Premium Cost</w:t>
            </w:r>
          </w:p>
        </w:tc>
      </w:tr>
      <w:tr w:rsidR="00FD205A" w:rsidRPr="002414A1" w14:paraId="0ABE269B" w14:textId="77777777" w:rsidTr="003B34A9">
        <w:trPr>
          <w:trHeight w:val="504"/>
        </w:trPr>
        <w:tc>
          <w:tcPr>
            <w:tcW w:w="3510" w:type="dxa"/>
            <w:vAlign w:val="center"/>
          </w:tcPr>
          <w:p w14:paraId="16F000C3"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Above 150% FPL—start at $16.50</w:t>
            </w:r>
          </w:p>
        </w:tc>
        <w:tc>
          <w:tcPr>
            <w:tcW w:w="3420" w:type="dxa"/>
            <w:vAlign w:val="center"/>
          </w:tcPr>
          <w:p w14:paraId="1059F682"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Add $5.50 for each additional 10% FPL until 200% FPL</w:t>
            </w:r>
          </w:p>
        </w:tc>
        <w:tc>
          <w:tcPr>
            <w:tcW w:w="2543" w:type="dxa"/>
            <w:tcBorders>
              <w:top w:val="single" w:sz="4" w:space="0" w:color="auto"/>
              <w:left w:val="single" w:sz="4" w:space="0" w:color="auto"/>
              <w:bottom w:val="single" w:sz="4" w:space="0" w:color="auto"/>
              <w:right w:val="single" w:sz="4" w:space="0" w:color="auto"/>
            </w:tcBorders>
            <w:vAlign w:val="center"/>
          </w:tcPr>
          <w:p w14:paraId="66529F82"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$16.50 to $38.50</w:t>
            </w:r>
          </w:p>
        </w:tc>
      </w:tr>
      <w:tr w:rsidR="00FD205A" w:rsidRPr="002414A1" w14:paraId="09B80151" w14:textId="77777777" w:rsidTr="003B34A9">
        <w:trPr>
          <w:trHeight w:val="504"/>
        </w:trPr>
        <w:tc>
          <w:tcPr>
            <w:tcW w:w="3510" w:type="dxa"/>
            <w:vAlign w:val="center"/>
          </w:tcPr>
          <w:p w14:paraId="3BDBBCC2"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 xml:space="preserve">Above 200% FPL—start at $44 </w:t>
            </w:r>
          </w:p>
        </w:tc>
        <w:tc>
          <w:tcPr>
            <w:tcW w:w="3420" w:type="dxa"/>
            <w:vAlign w:val="center"/>
          </w:tcPr>
          <w:p w14:paraId="77E53E02"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Add $8.80 for each additional 10% FPL until 300% FPL</w:t>
            </w:r>
          </w:p>
        </w:tc>
        <w:tc>
          <w:tcPr>
            <w:tcW w:w="2543" w:type="dxa"/>
            <w:tcBorders>
              <w:top w:val="nil"/>
              <w:left w:val="single" w:sz="4" w:space="0" w:color="auto"/>
              <w:bottom w:val="single" w:sz="4" w:space="0" w:color="auto"/>
              <w:right w:val="single" w:sz="4" w:space="0" w:color="auto"/>
            </w:tcBorders>
            <w:vAlign w:val="center"/>
          </w:tcPr>
          <w:p w14:paraId="3088C345"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$44.00 to $123.20</w:t>
            </w:r>
          </w:p>
        </w:tc>
      </w:tr>
      <w:tr w:rsidR="00FD205A" w:rsidRPr="002414A1" w14:paraId="0479F282" w14:textId="77777777" w:rsidTr="003B34A9">
        <w:trPr>
          <w:trHeight w:val="504"/>
        </w:trPr>
        <w:tc>
          <w:tcPr>
            <w:tcW w:w="3510" w:type="dxa"/>
            <w:vAlign w:val="center"/>
          </w:tcPr>
          <w:p w14:paraId="73172C55" w14:textId="00B13FEE" w:rsidR="00FD205A" w:rsidRPr="002414A1" w:rsidRDefault="00FD205A" w:rsidP="00EC76E2">
            <w:pPr>
              <w:widowControl w:val="0"/>
              <w:tabs>
                <w:tab w:val="left" w:pos="936"/>
                <w:tab w:val="left" w:pos="1314"/>
                <w:tab w:val="left" w:pos="1692"/>
                <w:tab w:val="left" w:pos="2070"/>
              </w:tabs>
              <w:spacing w:after="0" w:line="240" w:lineRule="auto"/>
            </w:pPr>
            <w:r w:rsidRPr="002414A1">
              <w:t>Above 300% FPL</w:t>
            </w:r>
            <w:r w:rsidR="004D08FF" w:rsidRPr="002414A1">
              <w:t>—</w:t>
            </w:r>
            <w:r w:rsidRPr="002414A1">
              <w:t xml:space="preserve"> start at $132.00</w:t>
            </w:r>
          </w:p>
        </w:tc>
        <w:tc>
          <w:tcPr>
            <w:tcW w:w="3420" w:type="dxa"/>
            <w:vAlign w:val="center"/>
          </w:tcPr>
          <w:p w14:paraId="5B0CA3A7"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Add 8.80 for each additional 10% FPL until 400% FPL</w:t>
            </w:r>
          </w:p>
        </w:tc>
        <w:tc>
          <w:tcPr>
            <w:tcW w:w="2543" w:type="dxa"/>
            <w:tcBorders>
              <w:top w:val="nil"/>
              <w:left w:val="single" w:sz="4" w:space="0" w:color="auto"/>
              <w:bottom w:val="single" w:sz="4" w:space="0" w:color="auto"/>
              <w:right w:val="single" w:sz="4" w:space="0" w:color="auto"/>
            </w:tcBorders>
            <w:vAlign w:val="center"/>
          </w:tcPr>
          <w:p w14:paraId="0EEF115E"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$132.00 to $211.20</w:t>
            </w:r>
          </w:p>
        </w:tc>
      </w:tr>
      <w:tr w:rsidR="00FD205A" w:rsidRPr="002414A1" w14:paraId="1192C208" w14:textId="77777777" w:rsidTr="003B34A9">
        <w:trPr>
          <w:trHeight w:val="504"/>
        </w:trPr>
        <w:tc>
          <w:tcPr>
            <w:tcW w:w="3510" w:type="dxa"/>
            <w:vAlign w:val="center"/>
          </w:tcPr>
          <w:p w14:paraId="555910E9"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Above 400% FPL—start at $220</w:t>
            </w:r>
          </w:p>
        </w:tc>
        <w:tc>
          <w:tcPr>
            <w:tcW w:w="3420" w:type="dxa"/>
            <w:vAlign w:val="center"/>
          </w:tcPr>
          <w:p w14:paraId="54EA9083"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Add $11 for each additional 10% FPL until 600% FPL</w:t>
            </w:r>
          </w:p>
        </w:tc>
        <w:tc>
          <w:tcPr>
            <w:tcW w:w="2543" w:type="dxa"/>
            <w:tcBorders>
              <w:top w:val="nil"/>
              <w:left w:val="single" w:sz="4" w:space="0" w:color="auto"/>
              <w:bottom w:val="single" w:sz="4" w:space="0" w:color="auto"/>
              <w:right w:val="single" w:sz="4" w:space="0" w:color="auto"/>
            </w:tcBorders>
            <w:vAlign w:val="center"/>
          </w:tcPr>
          <w:p w14:paraId="45B6D193"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$220.00 to $429</w:t>
            </w:r>
          </w:p>
        </w:tc>
      </w:tr>
      <w:tr w:rsidR="00FD205A" w:rsidRPr="002414A1" w14:paraId="0880802C" w14:textId="77777777" w:rsidTr="003B34A9">
        <w:trPr>
          <w:trHeight w:val="504"/>
        </w:trPr>
        <w:tc>
          <w:tcPr>
            <w:tcW w:w="3510" w:type="dxa"/>
            <w:vAlign w:val="center"/>
          </w:tcPr>
          <w:p w14:paraId="462A6746"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Above 600% FPL—start at $440</w:t>
            </w:r>
          </w:p>
        </w:tc>
        <w:tc>
          <w:tcPr>
            <w:tcW w:w="3420" w:type="dxa"/>
            <w:vAlign w:val="center"/>
          </w:tcPr>
          <w:p w14:paraId="63C8D560"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Add $13.20 for each additional 10% FPL until 800% FPL</w:t>
            </w:r>
          </w:p>
        </w:tc>
        <w:tc>
          <w:tcPr>
            <w:tcW w:w="2543" w:type="dxa"/>
            <w:tcBorders>
              <w:top w:val="nil"/>
              <w:left w:val="single" w:sz="4" w:space="0" w:color="auto"/>
              <w:bottom w:val="single" w:sz="4" w:space="0" w:color="auto"/>
              <w:right w:val="single" w:sz="4" w:space="0" w:color="auto"/>
            </w:tcBorders>
            <w:vAlign w:val="center"/>
          </w:tcPr>
          <w:p w14:paraId="2AAEA1C3"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$440.00 to $690.80</w:t>
            </w:r>
          </w:p>
        </w:tc>
      </w:tr>
      <w:tr w:rsidR="00FD205A" w:rsidRPr="002414A1" w14:paraId="0BCA7860" w14:textId="77777777" w:rsidTr="003B34A9">
        <w:trPr>
          <w:trHeight w:val="504"/>
        </w:trPr>
        <w:tc>
          <w:tcPr>
            <w:tcW w:w="3510" w:type="dxa"/>
            <w:vAlign w:val="center"/>
          </w:tcPr>
          <w:p w14:paraId="44C1D2A7"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Above 800% FPL—start at $704</w:t>
            </w:r>
          </w:p>
        </w:tc>
        <w:tc>
          <w:tcPr>
            <w:tcW w:w="3420" w:type="dxa"/>
            <w:vAlign w:val="center"/>
          </w:tcPr>
          <w:p w14:paraId="5ABB331F"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Add $15.40 for each additional 10% FPL until 1000%</w:t>
            </w:r>
          </w:p>
        </w:tc>
        <w:tc>
          <w:tcPr>
            <w:tcW w:w="2543" w:type="dxa"/>
            <w:tcBorders>
              <w:top w:val="nil"/>
              <w:left w:val="single" w:sz="4" w:space="0" w:color="auto"/>
              <w:bottom w:val="single" w:sz="4" w:space="0" w:color="auto"/>
              <w:right w:val="single" w:sz="4" w:space="0" w:color="auto"/>
            </w:tcBorders>
            <w:vAlign w:val="center"/>
          </w:tcPr>
          <w:p w14:paraId="5AA52006"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$704.00 to $996.60</w:t>
            </w:r>
          </w:p>
        </w:tc>
      </w:tr>
      <w:tr w:rsidR="00FD205A" w:rsidRPr="002414A1" w14:paraId="1285E073" w14:textId="77777777" w:rsidTr="003B34A9">
        <w:trPr>
          <w:trHeight w:val="504"/>
        </w:trPr>
        <w:tc>
          <w:tcPr>
            <w:tcW w:w="3510" w:type="dxa"/>
            <w:vAlign w:val="center"/>
          </w:tcPr>
          <w:p w14:paraId="7178A774"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Above 1000% FPL—start at $1012</w:t>
            </w:r>
          </w:p>
        </w:tc>
        <w:tc>
          <w:tcPr>
            <w:tcW w:w="3420" w:type="dxa"/>
            <w:vAlign w:val="center"/>
          </w:tcPr>
          <w:p w14:paraId="3CBD1044"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Add $17.60 for each additional 10% FPL</w:t>
            </w:r>
          </w:p>
        </w:tc>
        <w:tc>
          <w:tcPr>
            <w:tcW w:w="2543" w:type="dxa"/>
            <w:tcBorders>
              <w:top w:val="nil"/>
              <w:left w:val="single" w:sz="4" w:space="0" w:color="auto"/>
              <w:bottom w:val="single" w:sz="4" w:space="0" w:color="auto"/>
              <w:right w:val="single" w:sz="4" w:space="0" w:color="auto"/>
            </w:tcBorders>
            <w:vAlign w:val="center"/>
          </w:tcPr>
          <w:p w14:paraId="3C25D5BF" w14:textId="77777777" w:rsidR="00FD205A" w:rsidRPr="002414A1" w:rsidRDefault="00FD205A" w:rsidP="00EC76E2">
            <w:pPr>
              <w:widowControl w:val="0"/>
              <w:tabs>
                <w:tab w:val="left" w:pos="936"/>
                <w:tab w:val="left" w:pos="1314"/>
                <w:tab w:val="left" w:pos="1692"/>
                <w:tab w:val="left" w:pos="2070"/>
              </w:tabs>
              <w:spacing w:after="0" w:line="240" w:lineRule="auto"/>
            </w:pPr>
            <w:r w:rsidRPr="002414A1">
              <w:t>$1,012.00 + greater</w:t>
            </w:r>
          </w:p>
        </w:tc>
      </w:tr>
    </w:tbl>
    <w:p w14:paraId="591AFE0F" w14:textId="77777777" w:rsidR="00E74F6D" w:rsidRPr="002414A1" w:rsidRDefault="00E74F6D" w:rsidP="00FD205A"/>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5040"/>
      </w:tblGrid>
      <w:tr w:rsidR="00FD205A" w:rsidRPr="002414A1" w14:paraId="14CEA1AE" w14:textId="77777777" w:rsidTr="003B34A9">
        <w:tc>
          <w:tcPr>
            <w:tcW w:w="9450" w:type="dxa"/>
            <w:gridSpan w:val="2"/>
            <w:vAlign w:val="center"/>
          </w:tcPr>
          <w:p w14:paraId="6CD3CF8F" w14:textId="77777777" w:rsidR="00FD205A" w:rsidRPr="002414A1" w:rsidRDefault="00FD205A" w:rsidP="00351156">
            <w:pPr>
              <w:widowControl w:val="0"/>
              <w:tabs>
                <w:tab w:val="left" w:pos="936"/>
                <w:tab w:val="left" w:pos="1314"/>
                <w:tab w:val="left" w:pos="1692"/>
                <w:tab w:val="left" w:pos="2070"/>
              </w:tabs>
              <w:spacing w:before="60" w:after="60" w:line="240" w:lineRule="auto"/>
              <w:ind w:hanging="115"/>
              <w:jc w:val="center"/>
              <w:rPr>
                <w:b/>
              </w:rPr>
            </w:pPr>
            <w:r w:rsidRPr="002414A1">
              <w:rPr>
                <w:b/>
              </w:rPr>
              <w:t>Family Assistance for HIV+ Adults Premium Formula</w:t>
            </w:r>
          </w:p>
        </w:tc>
      </w:tr>
      <w:tr w:rsidR="00FD205A" w:rsidRPr="002414A1" w14:paraId="46E4DE90" w14:textId="77777777" w:rsidTr="00417D97">
        <w:tc>
          <w:tcPr>
            <w:tcW w:w="4410" w:type="dxa"/>
            <w:tcBorders>
              <w:bottom w:val="single" w:sz="4" w:space="0" w:color="auto"/>
            </w:tcBorders>
          </w:tcPr>
          <w:p w14:paraId="561D4615" w14:textId="77777777" w:rsidR="00FD205A" w:rsidRPr="003B34A9" w:rsidRDefault="00FD205A" w:rsidP="00351156">
            <w:pPr>
              <w:spacing w:before="60" w:after="60" w:line="240" w:lineRule="auto"/>
              <w:jc w:val="center"/>
              <w:rPr>
                <w:b/>
                <w:bCs/>
              </w:rPr>
            </w:pPr>
            <w:r w:rsidRPr="003B34A9">
              <w:rPr>
                <w:b/>
                <w:bCs/>
              </w:rPr>
              <w:t>% of Federal Poverty Level (FPL)</w:t>
            </w:r>
          </w:p>
        </w:tc>
        <w:tc>
          <w:tcPr>
            <w:tcW w:w="5040" w:type="dxa"/>
            <w:tcBorders>
              <w:bottom w:val="single" w:sz="4" w:space="0" w:color="auto"/>
            </w:tcBorders>
          </w:tcPr>
          <w:p w14:paraId="3C168479" w14:textId="77777777" w:rsidR="00FD205A" w:rsidRPr="003B34A9" w:rsidRDefault="00FD205A" w:rsidP="00351156">
            <w:pPr>
              <w:spacing w:before="60" w:after="60" w:line="240" w:lineRule="auto"/>
              <w:jc w:val="center"/>
              <w:rPr>
                <w:b/>
                <w:bCs/>
              </w:rPr>
            </w:pPr>
            <w:r w:rsidRPr="003B34A9">
              <w:rPr>
                <w:b/>
                <w:bCs/>
              </w:rPr>
              <w:t>Monthly Premium Cost</w:t>
            </w:r>
          </w:p>
        </w:tc>
      </w:tr>
      <w:tr w:rsidR="00FD205A" w:rsidRPr="002414A1" w14:paraId="52913BF3" w14:textId="77777777" w:rsidTr="00351156">
        <w:trPr>
          <w:trHeight w:val="360"/>
        </w:trPr>
        <w:tc>
          <w:tcPr>
            <w:tcW w:w="4410" w:type="dxa"/>
            <w:tcBorders>
              <w:top w:val="single" w:sz="4" w:space="0" w:color="auto"/>
              <w:left w:val="single" w:sz="4" w:space="0" w:color="auto"/>
              <w:bottom w:val="single" w:sz="4" w:space="0" w:color="auto"/>
              <w:right w:val="single" w:sz="4" w:space="0" w:color="auto"/>
            </w:tcBorders>
            <w:vAlign w:val="center"/>
          </w:tcPr>
          <w:p w14:paraId="553B1486"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Above 150% to 160%</w:t>
            </w:r>
          </w:p>
        </w:tc>
        <w:tc>
          <w:tcPr>
            <w:tcW w:w="5040" w:type="dxa"/>
            <w:tcBorders>
              <w:top w:val="single" w:sz="4" w:space="0" w:color="auto"/>
              <w:left w:val="single" w:sz="4" w:space="0" w:color="auto"/>
              <w:bottom w:val="single" w:sz="4" w:space="0" w:color="auto"/>
              <w:right w:val="single" w:sz="4" w:space="0" w:color="auto"/>
            </w:tcBorders>
            <w:vAlign w:val="center"/>
          </w:tcPr>
          <w:p w14:paraId="568F4D31"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$16.50</w:t>
            </w:r>
          </w:p>
        </w:tc>
      </w:tr>
      <w:tr w:rsidR="00FD205A" w:rsidRPr="002414A1" w14:paraId="2B5B8FA5" w14:textId="77777777" w:rsidTr="00351156">
        <w:trPr>
          <w:trHeight w:val="360"/>
        </w:trPr>
        <w:tc>
          <w:tcPr>
            <w:tcW w:w="4410" w:type="dxa"/>
            <w:tcBorders>
              <w:top w:val="single" w:sz="4" w:space="0" w:color="auto"/>
              <w:left w:val="single" w:sz="4" w:space="0" w:color="auto"/>
              <w:bottom w:val="single" w:sz="4" w:space="0" w:color="auto"/>
              <w:right w:val="single" w:sz="4" w:space="0" w:color="auto"/>
            </w:tcBorders>
            <w:vAlign w:val="center"/>
          </w:tcPr>
          <w:p w14:paraId="28B5A961"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Above 160% to 170%</w:t>
            </w:r>
          </w:p>
        </w:tc>
        <w:tc>
          <w:tcPr>
            <w:tcW w:w="5040" w:type="dxa"/>
            <w:tcBorders>
              <w:top w:val="single" w:sz="4" w:space="0" w:color="auto"/>
              <w:left w:val="single" w:sz="4" w:space="0" w:color="auto"/>
              <w:bottom w:val="single" w:sz="4" w:space="0" w:color="auto"/>
              <w:right w:val="single" w:sz="4" w:space="0" w:color="auto"/>
            </w:tcBorders>
            <w:vAlign w:val="center"/>
          </w:tcPr>
          <w:p w14:paraId="5C2FA862"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$22.00</w:t>
            </w:r>
          </w:p>
        </w:tc>
      </w:tr>
      <w:tr w:rsidR="00FD205A" w:rsidRPr="002414A1" w14:paraId="1592D605" w14:textId="77777777" w:rsidTr="00351156">
        <w:trPr>
          <w:trHeight w:val="360"/>
        </w:trPr>
        <w:tc>
          <w:tcPr>
            <w:tcW w:w="4410" w:type="dxa"/>
            <w:tcBorders>
              <w:top w:val="single" w:sz="4" w:space="0" w:color="auto"/>
              <w:left w:val="single" w:sz="4" w:space="0" w:color="auto"/>
              <w:bottom w:val="single" w:sz="4" w:space="0" w:color="auto"/>
              <w:right w:val="single" w:sz="4" w:space="0" w:color="auto"/>
            </w:tcBorders>
            <w:vAlign w:val="center"/>
          </w:tcPr>
          <w:p w14:paraId="72A270D3"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Above 170% to 180%</w:t>
            </w:r>
          </w:p>
        </w:tc>
        <w:tc>
          <w:tcPr>
            <w:tcW w:w="5040" w:type="dxa"/>
            <w:tcBorders>
              <w:top w:val="single" w:sz="4" w:space="0" w:color="auto"/>
              <w:left w:val="single" w:sz="4" w:space="0" w:color="auto"/>
              <w:bottom w:val="single" w:sz="4" w:space="0" w:color="auto"/>
              <w:right w:val="single" w:sz="4" w:space="0" w:color="auto"/>
            </w:tcBorders>
            <w:vAlign w:val="center"/>
          </w:tcPr>
          <w:p w14:paraId="5CCF3E38"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$27.50</w:t>
            </w:r>
          </w:p>
        </w:tc>
      </w:tr>
      <w:tr w:rsidR="00FD205A" w:rsidRPr="002414A1" w14:paraId="62FF58C6" w14:textId="77777777" w:rsidTr="00351156">
        <w:trPr>
          <w:trHeight w:val="360"/>
        </w:trPr>
        <w:tc>
          <w:tcPr>
            <w:tcW w:w="4410" w:type="dxa"/>
            <w:tcBorders>
              <w:top w:val="single" w:sz="4" w:space="0" w:color="auto"/>
              <w:left w:val="single" w:sz="4" w:space="0" w:color="auto"/>
              <w:bottom w:val="single" w:sz="4" w:space="0" w:color="auto"/>
              <w:right w:val="single" w:sz="4" w:space="0" w:color="auto"/>
            </w:tcBorders>
            <w:vAlign w:val="center"/>
          </w:tcPr>
          <w:p w14:paraId="3D2931F8"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Above 180% to 190%</w:t>
            </w:r>
          </w:p>
        </w:tc>
        <w:tc>
          <w:tcPr>
            <w:tcW w:w="5040" w:type="dxa"/>
            <w:tcBorders>
              <w:top w:val="single" w:sz="4" w:space="0" w:color="auto"/>
              <w:left w:val="single" w:sz="4" w:space="0" w:color="auto"/>
              <w:bottom w:val="single" w:sz="4" w:space="0" w:color="auto"/>
              <w:right w:val="single" w:sz="4" w:space="0" w:color="auto"/>
            </w:tcBorders>
            <w:vAlign w:val="center"/>
          </w:tcPr>
          <w:p w14:paraId="706EBAC0"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$33.00</w:t>
            </w:r>
          </w:p>
        </w:tc>
      </w:tr>
      <w:tr w:rsidR="00FD205A" w:rsidRPr="002414A1" w14:paraId="30D0D987" w14:textId="77777777" w:rsidTr="00351156">
        <w:trPr>
          <w:trHeight w:val="360"/>
        </w:trPr>
        <w:tc>
          <w:tcPr>
            <w:tcW w:w="4410" w:type="dxa"/>
            <w:tcBorders>
              <w:top w:val="single" w:sz="4" w:space="0" w:color="auto"/>
              <w:left w:val="single" w:sz="4" w:space="0" w:color="auto"/>
              <w:bottom w:val="single" w:sz="4" w:space="0" w:color="auto"/>
              <w:right w:val="single" w:sz="4" w:space="0" w:color="auto"/>
            </w:tcBorders>
            <w:vAlign w:val="center"/>
          </w:tcPr>
          <w:p w14:paraId="78FD9C09"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Above 190% to 200%</w:t>
            </w:r>
          </w:p>
        </w:tc>
        <w:tc>
          <w:tcPr>
            <w:tcW w:w="5040" w:type="dxa"/>
            <w:tcBorders>
              <w:top w:val="single" w:sz="4" w:space="0" w:color="auto"/>
              <w:left w:val="single" w:sz="4" w:space="0" w:color="auto"/>
              <w:bottom w:val="single" w:sz="4" w:space="0" w:color="auto"/>
              <w:right w:val="single" w:sz="4" w:space="0" w:color="auto"/>
            </w:tcBorders>
            <w:vAlign w:val="center"/>
          </w:tcPr>
          <w:p w14:paraId="34580BFE" w14:textId="77777777" w:rsidR="00FD205A" w:rsidRPr="002414A1" w:rsidRDefault="00FD205A" w:rsidP="003B34A9">
            <w:pPr>
              <w:widowControl w:val="0"/>
              <w:tabs>
                <w:tab w:val="left" w:pos="936"/>
                <w:tab w:val="left" w:pos="1314"/>
                <w:tab w:val="left" w:pos="1692"/>
                <w:tab w:val="left" w:pos="2070"/>
              </w:tabs>
              <w:spacing w:after="0" w:line="240" w:lineRule="auto"/>
            </w:pPr>
            <w:r w:rsidRPr="002414A1">
              <w:t>$38.50</w:t>
            </w:r>
          </w:p>
        </w:tc>
      </w:tr>
    </w:tbl>
    <w:p w14:paraId="4A62F463" w14:textId="77777777" w:rsidR="00FD205A" w:rsidRPr="002414A1" w:rsidRDefault="00FD205A" w:rsidP="0070366A">
      <w:pPr>
        <w:spacing w:after="0"/>
      </w:pP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5040"/>
      </w:tblGrid>
      <w:tr w:rsidR="00FD205A" w:rsidRPr="002414A1" w14:paraId="101E4DA0" w14:textId="77777777" w:rsidTr="00D8699D">
        <w:tc>
          <w:tcPr>
            <w:tcW w:w="9450" w:type="dxa"/>
            <w:gridSpan w:val="2"/>
          </w:tcPr>
          <w:p w14:paraId="514646FE" w14:textId="77777777" w:rsidR="00FD205A" w:rsidRPr="002414A1" w:rsidRDefault="00FD205A" w:rsidP="00351156">
            <w:pPr>
              <w:widowControl w:val="0"/>
              <w:tabs>
                <w:tab w:val="left" w:pos="936"/>
                <w:tab w:val="left" w:pos="1314"/>
                <w:tab w:val="left" w:pos="2070"/>
              </w:tabs>
              <w:spacing w:before="60" w:after="60" w:line="240" w:lineRule="auto"/>
              <w:jc w:val="center"/>
              <w:rPr>
                <w:b/>
                <w:bCs/>
              </w:rPr>
            </w:pPr>
            <w:r w:rsidRPr="002414A1">
              <w:rPr>
                <w:b/>
                <w:bCs/>
              </w:rPr>
              <w:t xml:space="preserve">Family Assistance for </w:t>
            </w:r>
            <w:r>
              <w:rPr>
                <w:b/>
                <w:bCs/>
              </w:rPr>
              <w:t>Nonqualified PRUCOL (NQP)</w:t>
            </w:r>
            <w:r w:rsidRPr="002414A1">
              <w:rPr>
                <w:b/>
                <w:bCs/>
              </w:rPr>
              <w:t xml:space="preserve"> Adults </w:t>
            </w:r>
          </w:p>
        </w:tc>
      </w:tr>
      <w:tr w:rsidR="00FD205A" w:rsidRPr="00417D97" w14:paraId="09C6BFDC" w14:textId="77777777" w:rsidTr="00417D97">
        <w:tc>
          <w:tcPr>
            <w:tcW w:w="4410" w:type="dxa"/>
          </w:tcPr>
          <w:p w14:paraId="7594B44F" w14:textId="77777777" w:rsidR="00FD205A" w:rsidRPr="00417D97" w:rsidRDefault="00FD205A" w:rsidP="00351156">
            <w:pPr>
              <w:spacing w:before="60" w:after="60" w:line="240" w:lineRule="auto"/>
              <w:jc w:val="center"/>
              <w:rPr>
                <w:b/>
                <w:bCs/>
              </w:rPr>
            </w:pPr>
            <w:r w:rsidRPr="00417D97">
              <w:rPr>
                <w:b/>
                <w:bCs/>
              </w:rPr>
              <w:t>% of Federal Poverty Level (FPL)</w:t>
            </w:r>
          </w:p>
        </w:tc>
        <w:tc>
          <w:tcPr>
            <w:tcW w:w="5040" w:type="dxa"/>
          </w:tcPr>
          <w:p w14:paraId="64D63BF3" w14:textId="77777777" w:rsidR="00FD205A" w:rsidRPr="00417D97" w:rsidRDefault="00FD205A" w:rsidP="00351156">
            <w:pPr>
              <w:spacing w:before="60" w:after="60" w:line="240" w:lineRule="auto"/>
              <w:jc w:val="center"/>
              <w:rPr>
                <w:b/>
                <w:bCs/>
              </w:rPr>
            </w:pPr>
            <w:r w:rsidRPr="00417D97">
              <w:rPr>
                <w:b/>
                <w:bCs/>
              </w:rPr>
              <w:t>Monthly Premium Cost</w:t>
            </w:r>
          </w:p>
        </w:tc>
      </w:tr>
      <w:tr w:rsidR="00FD205A" w:rsidRPr="002414A1" w14:paraId="7D656DA7" w14:textId="77777777" w:rsidTr="00351156">
        <w:trPr>
          <w:trHeight w:val="360"/>
        </w:trPr>
        <w:tc>
          <w:tcPr>
            <w:tcW w:w="4410" w:type="dxa"/>
            <w:vAlign w:val="center"/>
          </w:tcPr>
          <w:p w14:paraId="28BB0196" w14:textId="77777777" w:rsidR="00FD205A" w:rsidRPr="002414A1" w:rsidRDefault="00FD205A" w:rsidP="00351156">
            <w:pPr>
              <w:widowControl w:val="0"/>
              <w:tabs>
                <w:tab w:val="left" w:pos="936"/>
                <w:tab w:val="left" w:pos="1314"/>
                <w:tab w:val="left" w:pos="2070"/>
              </w:tabs>
              <w:spacing w:after="0" w:line="240" w:lineRule="auto"/>
            </w:pPr>
            <w:r w:rsidRPr="002414A1">
              <w:t>Above 150% to 200%</w:t>
            </w:r>
          </w:p>
        </w:tc>
        <w:tc>
          <w:tcPr>
            <w:tcW w:w="5040" w:type="dxa"/>
            <w:tcBorders>
              <w:top w:val="single" w:sz="4" w:space="0" w:color="auto"/>
              <w:left w:val="nil"/>
              <w:bottom w:val="single" w:sz="4" w:space="0" w:color="auto"/>
              <w:right w:val="single" w:sz="4" w:space="0" w:color="auto"/>
            </w:tcBorders>
            <w:vAlign w:val="center"/>
          </w:tcPr>
          <w:p w14:paraId="2938A6D8" w14:textId="77777777" w:rsidR="00FD205A" w:rsidRPr="002414A1" w:rsidRDefault="00FD205A" w:rsidP="00351156">
            <w:pPr>
              <w:widowControl w:val="0"/>
              <w:tabs>
                <w:tab w:val="left" w:pos="936"/>
                <w:tab w:val="left" w:pos="1314"/>
                <w:tab w:val="left" w:pos="2070"/>
              </w:tabs>
              <w:spacing w:after="0" w:line="240" w:lineRule="auto"/>
            </w:pPr>
            <w:r w:rsidRPr="002414A1">
              <w:t xml:space="preserve">$44.00 </w:t>
            </w:r>
          </w:p>
        </w:tc>
      </w:tr>
      <w:tr w:rsidR="00FD205A" w:rsidRPr="002414A1" w14:paraId="4423604E" w14:textId="77777777" w:rsidTr="00351156">
        <w:trPr>
          <w:trHeight w:val="360"/>
        </w:trPr>
        <w:tc>
          <w:tcPr>
            <w:tcW w:w="4410" w:type="dxa"/>
            <w:vAlign w:val="center"/>
          </w:tcPr>
          <w:p w14:paraId="372CA0EC" w14:textId="77777777" w:rsidR="00FD205A" w:rsidRPr="002414A1" w:rsidRDefault="00FD205A" w:rsidP="00351156">
            <w:pPr>
              <w:widowControl w:val="0"/>
              <w:tabs>
                <w:tab w:val="left" w:pos="936"/>
                <w:tab w:val="left" w:pos="1314"/>
                <w:tab w:val="left" w:pos="2070"/>
              </w:tabs>
              <w:spacing w:after="0" w:line="240" w:lineRule="auto"/>
            </w:pPr>
            <w:r w:rsidRPr="002414A1">
              <w:t>Above 200% to 250%</w:t>
            </w:r>
          </w:p>
        </w:tc>
        <w:tc>
          <w:tcPr>
            <w:tcW w:w="5040" w:type="dxa"/>
            <w:tcBorders>
              <w:top w:val="nil"/>
              <w:left w:val="nil"/>
              <w:bottom w:val="single" w:sz="4" w:space="0" w:color="auto"/>
              <w:right w:val="single" w:sz="4" w:space="0" w:color="auto"/>
            </w:tcBorders>
            <w:vAlign w:val="center"/>
          </w:tcPr>
          <w:p w14:paraId="46263DF3" w14:textId="77777777" w:rsidR="00FD205A" w:rsidRPr="002414A1" w:rsidRDefault="00FD205A" w:rsidP="00351156">
            <w:pPr>
              <w:widowControl w:val="0"/>
              <w:tabs>
                <w:tab w:val="left" w:pos="936"/>
                <w:tab w:val="left" w:pos="1314"/>
                <w:tab w:val="left" w:pos="2070"/>
              </w:tabs>
              <w:spacing w:after="0" w:line="240" w:lineRule="auto"/>
            </w:pPr>
            <w:r w:rsidRPr="002414A1">
              <w:t xml:space="preserve">$85.80 </w:t>
            </w:r>
          </w:p>
        </w:tc>
      </w:tr>
      <w:tr w:rsidR="00FD205A" w:rsidRPr="002414A1" w14:paraId="7BDE3A82" w14:textId="77777777" w:rsidTr="00351156">
        <w:trPr>
          <w:trHeight w:val="360"/>
        </w:trPr>
        <w:tc>
          <w:tcPr>
            <w:tcW w:w="4410" w:type="dxa"/>
            <w:vAlign w:val="center"/>
          </w:tcPr>
          <w:p w14:paraId="1C325FB0" w14:textId="77777777" w:rsidR="00FD205A" w:rsidRPr="002414A1" w:rsidRDefault="00FD205A" w:rsidP="00351156">
            <w:pPr>
              <w:widowControl w:val="0"/>
              <w:tabs>
                <w:tab w:val="left" w:pos="936"/>
                <w:tab w:val="left" w:pos="1314"/>
                <w:tab w:val="left" w:pos="2070"/>
              </w:tabs>
              <w:spacing w:after="0" w:line="240" w:lineRule="auto"/>
            </w:pPr>
            <w:r w:rsidRPr="002414A1">
              <w:t>Above 250% to 300%</w:t>
            </w:r>
          </w:p>
        </w:tc>
        <w:tc>
          <w:tcPr>
            <w:tcW w:w="5040" w:type="dxa"/>
            <w:tcBorders>
              <w:top w:val="nil"/>
              <w:left w:val="nil"/>
              <w:bottom w:val="single" w:sz="4" w:space="0" w:color="auto"/>
              <w:right w:val="single" w:sz="4" w:space="0" w:color="auto"/>
            </w:tcBorders>
            <w:vAlign w:val="center"/>
          </w:tcPr>
          <w:p w14:paraId="538DA420" w14:textId="77777777" w:rsidR="00FD205A" w:rsidRPr="002414A1" w:rsidRDefault="00FD205A" w:rsidP="00351156">
            <w:pPr>
              <w:widowControl w:val="0"/>
              <w:tabs>
                <w:tab w:val="left" w:pos="936"/>
                <w:tab w:val="left" w:pos="1314"/>
                <w:tab w:val="left" w:pos="2070"/>
              </w:tabs>
              <w:spacing w:after="0" w:line="240" w:lineRule="auto"/>
            </w:pPr>
            <w:r w:rsidRPr="002414A1">
              <w:t xml:space="preserve">$129.80 </w:t>
            </w:r>
          </w:p>
        </w:tc>
      </w:tr>
    </w:tbl>
    <w:p w14:paraId="17779A18" w14:textId="77777777" w:rsidR="00FD205A" w:rsidRPr="002414A1" w:rsidRDefault="00FD205A" w:rsidP="00FD205A"/>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5040"/>
      </w:tblGrid>
      <w:tr w:rsidR="00FD205A" w:rsidRPr="00417D97" w14:paraId="7DAAB5C2" w14:textId="77777777" w:rsidTr="00417D97">
        <w:tc>
          <w:tcPr>
            <w:tcW w:w="9450" w:type="dxa"/>
            <w:gridSpan w:val="2"/>
          </w:tcPr>
          <w:p w14:paraId="625F50C6" w14:textId="77777777" w:rsidR="00FD205A" w:rsidRPr="00417D97" w:rsidRDefault="00FD205A" w:rsidP="00351156">
            <w:pPr>
              <w:spacing w:before="60" w:after="60" w:line="240" w:lineRule="auto"/>
              <w:jc w:val="center"/>
              <w:rPr>
                <w:b/>
                <w:bCs/>
              </w:rPr>
            </w:pPr>
            <w:r w:rsidRPr="00417D97">
              <w:rPr>
                <w:b/>
                <w:bCs/>
              </w:rPr>
              <w:t>CMSP Premium Schedule</w:t>
            </w:r>
          </w:p>
        </w:tc>
      </w:tr>
      <w:tr w:rsidR="00FD205A" w:rsidRPr="00417D97" w14:paraId="3D2FB6E6" w14:textId="77777777" w:rsidTr="00417D97">
        <w:tc>
          <w:tcPr>
            <w:tcW w:w="4410" w:type="dxa"/>
          </w:tcPr>
          <w:p w14:paraId="190BE105" w14:textId="63981F8B" w:rsidR="00FD205A" w:rsidRPr="00417D97" w:rsidRDefault="00FD205A" w:rsidP="00351156">
            <w:pPr>
              <w:spacing w:before="60" w:after="60" w:line="240" w:lineRule="auto"/>
              <w:jc w:val="center"/>
              <w:rPr>
                <w:b/>
                <w:bCs/>
                <w:iCs/>
              </w:rPr>
            </w:pPr>
            <w:r w:rsidRPr="00417D97">
              <w:rPr>
                <w:b/>
                <w:bCs/>
                <w:iCs/>
              </w:rPr>
              <w:t>% of Federal Poverty Level (FPL)</w:t>
            </w:r>
          </w:p>
        </w:tc>
        <w:tc>
          <w:tcPr>
            <w:tcW w:w="5040" w:type="dxa"/>
          </w:tcPr>
          <w:p w14:paraId="77C434EF" w14:textId="77777777" w:rsidR="00FD205A" w:rsidRPr="00417D97" w:rsidRDefault="00FD205A" w:rsidP="00351156">
            <w:pPr>
              <w:spacing w:before="60" w:after="60" w:line="240" w:lineRule="auto"/>
              <w:jc w:val="center"/>
              <w:rPr>
                <w:b/>
                <w:bCs/>
                <w:iCs/>
              </w:rPr>
            </w:pPr>
            <w:r w:rsidRPr="00417D97">
              <w:rPr>
                <w:b/>
                <w:bCs/>
                <w:iCs/>
              </w:rPr>
              <w:t>Monthly Premium Cost</w:t>
            </w:r>
          </w:p>
        </w:tc>
      </w:tr>
      <w:tr w:rsidR="00FD205A" w:rsidRPr="002414A1" w14:paraId="28C211CF" w14:textId="77777777" w:rsidTr="00351156">
        <w:trPr>
          <w:trHeight w:val="317"/>
        </w:trPr>
        <w:tc>
          <w:tcPr>
            <w:tcW w:w="4410" w:type="dxa"/>
            <w:vAlign w:val="center"/>
          </w:tcPr>
          <w:p w14:paraId="6A887BFB" w14:textId="77777777" w:rsidR="00FD205A" w:rsidRPr="002414A1" w:rsidRDefault="00FD205A" w:rsidP="00351156">
            <w:pPr>
              <w:spacing w:line="240" w:lineRule="auto"/>
            </w:pPr>
            <w:r>
              <w:t>Above 300</w:t>
            </w:r>
            <w:r w:rsidRPr="002414A1">
              <w:t>%</w:t>
            </w:r>
            <w:r>
              <w:t xml:space="preserve"> to 400%</w:t>
            </w:r>
          </w:p>
        </w:tc>
        <w:tc>
          <w:tcPr>
            <w:tcW w:w="5040" w:type="dxa"/>
            <w:tcBorders>
              <w:top w:val="single" w:sz="4" w:space="0" w:color="auto"/>
              <w:left w:val="single" w:sz="4" w:space="0" w:color="auto"/>
              <w:bottom w:val="single" w:sz="4" w:space="0" w:color="auto"/>
              <w:right w:val="single" w:sz="4" w:space="0" w:color="auto"/>
            </w:tcBorders>
            <w:vAlign w:val="center"/>
          </w:tcPr>
          <w:p w14:paraId="110931A4" w14:textId="77777777" w:rsidR="00FD205A" w:rsidRPr="002414A1" w:rsidRDefault="00FD205A" w:rsidP="00351156">
            <w:pPr>
              <w:spacing w:line="240" w:lineRule="auto"/>
              <w:rPr>
                <w:i/>
              </w:rPr>
            </w:pPr>
            <w:r w:rsidRPr="002414A1">
              <w:t>$36.45</w:t>
            </w:r>
          </w:p>
        </w:tc>
      </w:tr>
      <w:tr w:rsidR="00FD205A" w:rsidRPr="002414A1" w14:paraId="0E3B29CB" w14:textId="77777777" w:rsidTr="00351156">
        <w:trPr>
          <w:trHeight w:val="317"/>
        </w:trPr>
        <w:tc>
          <w:tcPr>
            <w:tcW w:w="4410" w:type="dxa"/>
            <w:vAlign w:val="center"/>
          </w:tcPr>
          <w:p w14:paraId="3831F2A3" w14:textId="77777777" w:rsidR="00FD205A" w:rsidRPr="002414A1" w:rsidRDefault="00FD205A" w:rsidP="00351156">
            <w:pPr>
              <w:spacing w:line="240" w:lineRule="auto"/>
            </w:pPr>
            <w:r>
              <w:t>Above 400%</w:t>
            </w:r>
          </w:p>
        </w:tc>
        <w:tc>
          <w:tcPr>
            <w:tcW w:w="5040" w:type="dxa"/>
            <w:tcBorders>
              <w:top w:val="nil"/>
              <w:left w:val="single" w:sz="4" w:space="0" w:color="auto"/>
              <w:bottom w:val="single" w:sz="4" w:space="0" w:color="auto"/>
              <w:right w:val="single" w:sz="4" w:space="0" w:color="auto"/>
            </w:tcBorders>
            <w:vAlign w:val="center"/>
          </w:tcPr>
          <w:p w14:paraId="6F363925" w14:textId="77777777" w:rsidR="00FD205A" w:rsidRPr="002414A1" w:rsidRDefault="00FD205A" w:rsidP="00351156">
            <w:pPr>
              <w:spacing w:line="240" w:lineRule="auto"/>
              <w:rPr>
                <w:i/>
              </w:rPr>
            </w:pPr>
            <w:r w:rsidRPr="002414A1">
              <w:t>$70.40</w:t>
            </w:r>
          </w:p>
        </w:tc>
      </w:tr>
    </w:tbl>
    <w:p w14:paraId="07F1A16E" w14:textId="721BDB3C" w:rsidR="00262766" w:rsidRPr="00654896" w:rsidRDefault="00E74F6D" w:rsidP="00CE5AE8">
      <w:pPr>
        <w:pStyle w:val="Heading3"/>
      </w:pPr>
      <w:r w:rsidRPr="00E74F6D">
        <w:t>The supplemental premium formula has not changed but can be found in the table below.</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5040"/>
      </w:tblGrid>
      <w:tr w:rsidR="00E74F6D" w:rsidRPr="00C21E2E" w14:paraId="558C909E" w14:textId="77777777" w:rsidTr="00D8699D">
        <w:trPr>
          <w:cantSplit/>
        </w:trPr>
        <w:tc>
          <w:tcPr>
            <w:tcW w:w="9450" w:type="dxa"/>
            <w:gridSpan w:val="2"/>
          </w:tcPr>
          <w:p w14:paraId="39A04BE6" w14:textId="77777777" w:rsidR="00E74F6D" w:rsidRPr="00C21E2E" w:rsidRDefault="00E74F6D" w:rsidP="00351156">
            <w:pPr>
              <w:spacing w:before="60" w:after="60" w:line="240" w:lineRule="auto"/>
              <w:jc w:val="center"/>
              <w:rPr>
                <w:b/>
                <w:bCs/>
              </w:rPr>
            </w:pPr>
            <w:r w:rsidRPr="00C21E2E">
              <w:rPr>
                <w:b/>
                <w:bCs/>
              </w:rPr>
              <w:t>Supplemental Premium Formula</w:t>
            </w:r>
          </w:p>
        </w:tc>
      </w:tr>
      <w:tr w:rsidR="00E74F6D" w:rsidRPr="00C21E2E" w14:paraId="1BDEE62F" w14:textId="77777777" w:rsidTr="00417D97">
        <w:tc>
          <w:tcPr>
            <w:tcW w:w="4410" w:type="dxa"/>
          </w:tcPr>
          <w:p w14:paraId="0C94E3FB" w14:textId="77777777" w:rsidR="00E74F6D" w:rsidRPr="00417D97" w:rsidRDefault="00E74F6D" w:rsidP="00351156">
            <w:pPr>
              <w:spacing w:before="60" w:after="60" w:line="240" w:lineRule="auto"/>
              <w:jc w:val="center"/>
              <w:rPr>
                <w:b/>
                <w:iCs/>
              </w:rPr>
            </w:pPr>
            <w:r w:rsidRPr="00417D97">
              <w:rPr>
                <w:b/>
                <w:iCs/>
              </w:rPr>
              <w:t>% of Federal Poverty Level (FPL)</w:t>
            </w:r>
          </w:p>
        </w:tc>
        <w:tc>
          <w:tcPr>
            <w:tcW w:w="5040" w:type="dxa"/>
          </w:tcPr>
          <w:p w14:paraId="46FABAD9" w14:textId="77777777" w:rsidR="00E74F6D" w:rsidRPr="00417D97" w:rsidRDefault="00E74F6D" w:rsidP="00351156">
            <w:pPr>
              <w:spacing w:before="60" w:after="60" w:line="240" w:lineRule="auto"/>
              <w:jc w:val="center"/>
              <w:rPr>
                <w:b/>
                <w:iCs/>
              </w:rPr>
            </w:pPr>
            <w:r w:rsidRPr="00417D97">
              <w:rPr>
                <w:b/>
                <w:iCs/>
              </w:rPr>
              <w:t>Monthly Premium Cost</w:t>
            </w:r>
          </w:p>
        </w:tc>
      </w:tr>
      <w:tr w:rsidR="00E74F6D" w:rsidRPr="00C21E2E" w14:paraId="2D967293" w14:textId="77777777" w:rsidTr="00351156">
        <w:tc>
          <w:tcPr>
            <w:tcW w:w="4410" w:type="dxa"/>
            <w:vAlign w:val="center"/>
          </w:tcPr>
          <w:p w14:paraId="51315A43" w14:textId="77777777" w:rsidR="00E74F6D" w:rsidRPr="00C21E2E" w:rsidRDefault="00E74F6D" w:rsidP="00351156">
            <w:pPr>
              <w:spacing w:line="240" w:lineRule="auto"/>
            </w:pPr>
            <w:r w:rsidRPr="00C21E2E">
              <w:t>Above 150% to 200%</w:t>
            </w:r>
          </w:p>
        </w:tc>
        <w:tc>
          <w:tcPr>
            <w:tcW w:w="5040" w:type="dxa"/>
            <w:vAlign w:val="center"/>
          </w:tcPr>
          <w:p w14:paraId="6D60973A" w14:textId="77777777" w:rsidR="00E74F6D" w:rsidRPr="00C21E2E" w:rsidRDefault="00E74F6D" w:rsidP="00351156">
            <w:pPr>
              <w:spacing w:line="240" w:lineRule="auto"/>
            </w:pPr>
            <w:r w:rsidRPr="00C21E2E">
              <w:t>60% of full premium</w:t>
            </w:r>
          </w:p>
        </w:tc>
      </w:tr>
      <w:tr w:rsidR="00E74F6D" w:rsidRPr="00C21E2E" w14:paraId="52273391" w14:textId="77777777" w:rsidTr="00351156">
        <w:tc>
          <w:tcPr>
            <w:tcW w:w="4410" w:type="dxa"/>
            <w:vAlign w:val="center"/>
          </w:tcPr>
          <w:p w14:paraId="7FB63775" w14:textId="77777777" w:rsidR="00E74F6D" w:rsidRPr="00C21E2E" w:rsidRDefault="00E74F6D" w:rsidP="00351156">
            <w:pPr>
              <w:spacing w:line="240" w:lineRule="auto"/>
            </w:pPr>
            <w:r w:rsidRPr="00C21E2E">
              <w:t>Above 200% to 400%</w:t>
            </w:r>
          </w:p>
        </w:tc>
        <w:tc>
          <w:tcPr>
            <w:tcW w:w="5040" w:type="dxa"/>
            <w:vAlign w:val="center"/>
          </w:tcPr>
          <w:p w14:paraId="0C7A7D57" w14:textId="77777777" w:rsidR="00E74F6D" w:rsidRPr="00C21E2E" w:rsidRDefault="00E74F6D" w:rsidP="00351156">
            <w:pPr>
              <w:spacing w:line="240" w:lineRule="auto"/>
            </w:pPr>
            <w:r w:rsidRPr="00C21E2E">
              <w:t>65% of full premium</w:t>
            </w:r>
          </w:p>
        </w:tc>
      </w:tr>
      <w:tr w:rsidR="00E74F6D" w:rsidRPr="00C21E2E" w14:paraId="37A8C682" w14:textId="77777777" w:rsidTr="00351156">
        <w:tc>
          <w:tcPr>
            <w:tcW w:w="4410" w:type="dxa"/>
            <w:vAlign w:val="center"/>
          </w:tcPr>
          <w:p w14:paraId="44F22E06" w14:textId="77777777" w:rsidR="00E74F6D" w:rsidRPr="00C21E2E" w:rsidRDefault="00E74F6D" w:rsidP="00351156">
            <w:pPr>
              <w:spacing w:line="240" w:lineRule="auto"/>
            </w:pPr>
            <w:r w:rsidRPr="00C21E2E">
              <w:t>Above 400% to 600%</w:t>
            </w:r>
          </w:p>
        </w:tc>
        <w:tc>
          <w:tcPr>
            <w:tcW w:w="5040" w:type="dxa"/>
            <w:vAlign w:val="center"/>
          </w:tcPr>
          <w:p w14:paraId="19DC68AF" w14:textId="77777777" w:rsidR="00E74F6D" w:rsidRPr="00C21E2E" w:rsidRDefault="00E74F6D" w:rsidP="00351156">
            <w:pPr>
              <w:spacing w:line="240" w:lineRule="auto"/>
            </w:pPr>
            <w:r w:rsidRPr="00C21E2E">
              <w:t>70% of full premium</w:t>
            </w:r>
          </w:p>
        </w:tc>
      </w:tr>
      <w:tr w:rsidR="00E74F6D" w:rsidRPr="00C21E2E" w14:paraId="1016EC1A" w14:textId="77777777" w:rsidTr="00351156">
        <w:tc>
          <w:tcPr>
            <w:tcW w:w="4410" w:type="dxa"/>
            <w:vAlign w:val="center"/>
          </w:tcPr>
          <w:p w14:paraId="60D44743" w14:textId="77777777" w:rsidR="00E74F6D" w:rsidRPr="00C21E2E" w:rsidRDefault="00E74F6D" w:rsidP="00351156">
            <w:pPr>
              <w:spacing w:line="240" w:lineRule="auto"/>
            </w:pPr>
            <w:r w:rsidRPr="00C21E2E">
              <w:t>Above 600% to 800%</w:t>
            </w:r>
          </w:p>
        </w:tc>
        <w:tc>
          <w:tcPr>
            <w:tcW w:w="5040" w:type="dxa"/>
            <w:vAlign w:val="center"/>
          </w:tcPr>
          <w:p w14:paraId="4ABEAD9B" w14:textId="77777777" w:rsidR="00E74F6D" w:rsidRPr="00C21E2E" w:rsidRDefault="00E74F6D" w:rsidP="00351156">
            <w:pPr>
              <w:spacing w:line="240" w:lineRule="auto"/>
            </w:pPr>
            <w:r w:rsidRPr="00C21E2E">
              <w:t>75% of full premium</w:t>
            </w:r>
          </w:p>
        </w:tc>
      </w:tr>
      <w:tr w:rsidR="00E74F6D" w:rsidRPr="00C21E2E" w14:paraId="200B2A82" w14:textId="77777777" w:rsidTr="00351156">
        <w:tc>
          <w:tcPr>
            <w:tcW w:w="4410" w:type="dxa"/>
            <w:vAlign w:val="center"/>
          </w:tcPr>
          <w:p w14:paraId="5A6C5E49" w14:textId="77777777" w:rsidR="00E74F6D" w:rsidRPr="00C21E2E" w:rsidRDefault="00E74F6D" w:rsidP="00351156">
            <w:pPr>
              <w:spacing w:line="240" w:lineRule="auto"/>
            </w:pPr>
            <w:r w:rsidRPr="00C21E2E">
              <w:t>Above 800% to 1000%</w:t>
            </w:r>
          </w:p>
        </w:tc>
        <w:tc>
          <w:tcPr>
            <w:tcW w:w="5040" w:type="dxa"/>
            <w:vAlign w:val="center"/>
          </w:tcPr>
          <w:p w14:paraId="0A6A033E" w14:textId="77777777" w:rsidR="00E74F6D" w:rsidRPr="00C21E2E" w:rsidRDefault="00E74F6D" w:rsidP="00351156">
            <w:pPr>
              <w:spacing w:line="240" w:lineRule="auto"/>
            </w:pPr>
            <w:r w:rsidRPr="00C21E2E">
              <w:t>80% of full premium</w:t>
            </w:r>
          </w:p>
        </w:tc>
      </w:tr>
      <w:tr w:rsidR="00E74F6D" w:rsidRPr="00C21E2E" w14:paraId="205A8ECC" w14:textId="77777777" w:rsidTr="00351156">
        <w:tc>
          <w:tcPr>
            <w:tcW w:w="4410" w:type="dxa"/>
            <w:vAlign w:val="center"/>
          </w:tcPr>
          <w:p w14:paraId="676A6D8E" w14:textId="77777777" w:rsidR="00E74F6D" w:rsidRPr="00C21E2E" w:rsidRDefault="00E74F6D" w:rsidP="00351156">
            <w:pPr>
              <w:spacing w:line="240" w:lineRule="auto"/>
            </w:pPr>
            <w:r w:rsidRPr="00C21E2E">
              <w:t>Above 1000%</w:t>
            </w:r>
          </w:p>
        </w:tc>
        <w:tc>
          <w:tcPr>
            <w:tcW w:w="5040" w:type="dxa"/>
            <w:vAlign w:val="center"/>
          </w:tcPr>
          <w:p w14:paraId="78F9C07E" w14:textId="77777777" w:rsidR="00E74F6D" w:rsidRPr="00C21E2E" w:rsidRDefault="00E74F6D" w:rsidP="00351156">
            <w:pPr>
              <w:spacing w:line="240" w:lineRule="auto"/>
            </w:pPr>
            <w:r w:rsidRPr="00C21E2E">
              <w:t>85% of full premium</w:t>
            </w:r>
          </w:p>
        </w:tc>
      </w:tr>
    </w:tbl>
    <w:p w14:paraId="55F6B874" w14:textId="357A9C8D" w:rsidR="00E74F6D" w:rsidRDefault="00E74F6D" w:rsidP="00E74F6D">
      <w:pPr>
        <w:pStyle w:val="Heading2"/>
      </w:pPr>
      <w:r>
        <w:t xml:space="preserve">Annual Premium Increases tied to FPL </w:t>
      </w:r>
      <w:r w:rsidR="004D08FF">
        <w:t>I</w:t>
      </w:r>
      <w:r>
        <w:t>ncreases</w:t>
      </w:r>
    </w:p>
    <w:p w14:paraId="4356B048" w14:textId="1D41D73A" w:rsidR="00E74F6D" w:rsidRDefault="00F929AD" w:rsidP="00E74F6D">
      <w:r>
        <w:t>I</w:t>
      </w:r>
      <w:r w:rsidR="00E74F6D" w:rsidRPr="00E74F6D">
        <w:t>n March 2027, MassHealth will annually increase Premium Billing Amounts by the</w:t>
      </w:r>
      <w:r w:rsidR="00E9374E">
        <w:t xml:space="preserve"> same</w:t>
      </w:r>
      <w:r w:rsidR="00E74F6D" w:rsidRPr="00E74F6D">
        <w:t xml:space="preserve"> percentage</w:t>
      </w:r>
      <w:r w:rsidR="00E9374E">
        <w:t xml:space="preserve"> that</w:t>
      </w:r>
      <w:r w:rsidR="00E74F6D" w:rsidRPr="00E74F6D">
        <w:t xml:space="preserve"> the annual FPL limits increases. For example, the percentage increase between the annual 2024 and 2025 FPL rates was approximately 2.9%, so under the new policy, MassHealth’s Premium Billing Amount would have also increased by 2.9%. Members will have their premiums redetermined annually and will be sent advance notice of the new amount. Premium Billing Amount tables will be updated each year at </w:t>
      </w:r>
      <w:hyperlink r:id="rId13" w:history="1">
        <w:r w:rsidR="00E74F6D" w:rsidRPr="00E74F6D">
          <w:rPr>
            <w:rStyle w:val="Hyperlink"/>
          </w:rPr>
          <w:t>MassHealth Premium Schedule – For Members</w:t>
        </w:r>
      </w:hyperlink>
      <w:r w:rsidR="00E74F6D">
        <w:t xml:space="preserve"> </w:t>
      </w:r>
      <w:r w:rsidR="00E74F6D" w:rsidRPr="00E74F6D">
        <w:t xml:space="preserve">and in the </w:t>
      </w:r>
      <w:r w:rsidRPr="00E74F6D">
        <w:t xml:space="preserve">ACA-1 and SACA-1 </w:t>
      </w:r>
      <w:r w:rsidR="00E74F6D" w:rsidRPr="00E74F6D">
        <w:t>member booklets when new editions are published.</w:t>
      </w:r>
    </w:p>
    <w:p w14:paraId="4D2CAF41" w14:textId="77777777" w:rsidR="00E74F6D" w:rsidRPr="00E74F6D" w:rsidRDefault="00E74F6D" w:rsidP="00E74F6D">
      <w:pPr>
        <w:pStyle w:val="Heading2"/>
      </w:pPr>
      <w:r w:rsidRPr="00E74F6D">
        <w:t>Reactivating Coverage After Termination When an Individual has a Past Due Balance</w:t>
      </w:r>
    </w:p>
    <w:p w14:paraId="49863BE1" w14:textId="5888EEAE" w:rsidR="00587AF0" w:rsidRPr="00E74F6D" w:rsidRDefault="00587AF0" w:rsidP="00E74F6D">
      <w:r w:rsidRPr="00587AF0">
        <w:t xml:space="preserve">Under federal law, individuals may be terminated from MassHealth coverage due to delinquent premium payments. However, any such individuals may file a new MassHealth application, even </w:t>
      </w:r>
      <w:r w:rsidRPr="00587AF0">
        <w:lastRenderedPageBreak/>
        <w:t>if they continue to have a past-due balance with MassHealth. Except for certain CommonHealth Members, federal law at 42 CFR 447.55 prohibits MassHealth from denying applications for coverage—otherwise known as a “lock out”—due to a past due premium balance. </w:t>
      </w:r>
    </w:p>
    <w:p w14:paraId="1B94C9E6" w14:textId="57AFDEF5" w:rsidR="00182BBE" w:rsidRPr="00AD7BAF" w:rsidRDefault="00182BBE" w:rsidP="00CE5AE8">
      <w:pPr>
        <w:pStyle w:val="Heading2"/>
      </w:pPr>
      <w:r w:rsidRPr="00AD7BAF">
        <w:t>Questions</w:t>
      </w:r>
      <w:r w:rsidR="009006D1">
        <w:t>?</w:t>
      </w:r>
    </w:p>
    <w:p w14:paraId="36124995" w14:textId="37AFDD63" w:rsidR="00182BBE" w:rsidRDefault="00772615" w:rsidP="00182BBE">
      <w:r>
        <w:t>H</w:t>
      </w:r>
      <w:r w:rsidR="00182BBE" w:rsidRPr="00C100CF">
        <w:t>ave your MEC designee contact the Policy Hotline.</w:t>
      </w:r>
    </w:p>
    <w:p w14:paraId="6E11EE35" w14:textId="77777777" w:rsidR="00E264A3" w:rsidRDefault="00E264A3" w:rsidP="00182BBE"/>
    <w:p w14:paraId="0D5053FB" w14:textId="40B95306" w:rsidR="009006D1" w:rsidRDefault="009006D1" w:rsidP="00E74F6D">
      <w:pPr>
        <w:spacing w:before="3240"/>
        <w:rPr>
          <w:rStyle w:val="Hyperlink"/>
          <w:position w:val="10"/>
          <w:sz w:val="18"/>
          <w:szCs w:val="18"/>
        </w:rPr>
      </w:pPr>
      <w:bookmarkStart w:id="0" w:name="_Hlk169882402"/>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5"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7"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2A55E1">
          <w:rPr>
            <w:rStyle w:val="Hyperlink"/>
            <w:position w:val="10"/>
            <w:sz w:val="18"/>
            <w:szCs w:val="18"/>
          </w:rPr>
          <w:t>MassHealth on YouTube</w:t>
        </w:r>
      </w:hyperlink>
    </w:p>
    <w:bookmarkEnd w:id="0"/>
    <w:p w14:paraId="5FED99AF" w14:textId="77777777" w:rsidR="00E264A3" w:rsidRDefault="00E264A3" w:rsidP="00182BBE"/>
    <w:sectPr w:rsidR="00E264A3" w:rsidSect="0070366A">
      <w:headerReference w:type="default" r:id="rId22"/>
      <w:type w:val="continuous"/>
      <w:pgSz w:w="12240" w:h="15840" w:code="1"/>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012AEB" w:rsidRDefault="00012AEB"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012AEB" w:rsidRDefault="00012AEB"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30579"/>
      <w:docPartObj>
        <w:docPartGallery w:val="Page Numbers (Bottom of Page)"/>
        <w:docPartUnique/>
      </w:docPartObj>
    </w:sdtPr>
    <w:sdtEndPr/>
    <w:sdtContent>
      <w:sdt>
        <w:sdtPr>
          <w:id w:val="-1705238520"/>
          <w:docPartObj>
            <w:docPartGallery w:val="Page Numbers (Top of Page)"/>
            <w:docPartUnique/>
          </w:docPartObj>
        </w:sdtPr>
        <w:sdtEnd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012AEB" w:rsidRDefault="00012AEB"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012AEB" w:rsidRDefault="00012AEB"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Default="00681953" w:rsidP="00AE2E7B">
    <w:pPr>
      <w:spacing w:after="0"/>
      <w:ind w:left="6480"/>
    </w:pPr>
    <w:r>
      <w:t>MassHealth</w:t>
    </w:r>
  </w:p>
  <w:p w14:paraId="769AAABA" w14:textId="77AD9B63" w:rsidR="00681953" w:rsidRDefault="00681953" w:rsidP="00AE2E7B">
    <w:pPr>
      <w:spacing w:after="0"/>
      <w:ind w:left="6480"/>
    </w:pPr>
    <w:r>
      <w:t xml:space="preserve">EOM </w:t>
    </w:r>
    <w:r w:rsidR="00062689">
      <w:t>25</w:t>
    </w:r>
    <w:r w:rsidR="00062689" w:rsidRPr="0070366A">
      <w:t>-</w:t>
    </w:r>
    <w:r w:rsidR="0070366A" w:rsidRPr="0070366A">
      <w:t>18</w:t>
    </w:r>
  </w:p>
  <w:p w14:paraId="2694A5AC" w14:textId="58AA1B7F" w:rsidR="00681953" w:rsidRPr="008F7531" w:rsidRDefault="008A31E3" w:rsidP="00AE2E7B">
    <w:pPr>
      <w:spacing w:after="0"/>
      <w:ind w:left="6480"/>
    </w:pPr>
    <w:r>
      <w:t xml:space="preserve">December </w:t>
    </w:r>
    <w:r w:rsidR="00062689">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0EFC"/>
    <w:rsid w:val="00012AEB"/>
    <w:rsid w:val="000149FE"/>
    <w:rsid w:val="0002638F"/>
    <w:rsid w:val="00032BB1"/>
    <w:rsid w:val="00032C02"/>
    <w:rsid w:val="00041220"/>
    <w:rsid w:val="00056E4C"/>
    <w:rsid w:val="0005705B"/>
    <w:rsid w:val="00062689"/>
    <w:rsid w:val="000706EF"/>
    <w:rsid w:val="00080FFB"/>
    <w:rsid w:val="00086041"/>
    <w:rsid w:val="000943BC"/>
    <w:rsid w:val="00095863"/>
    <w:rsid w:val="000A2664"/>
    <w:rsid w:val="000B7879"/>
    <w:rsid w:val="000D71AE"/>
    <w:rsid w:val="000E3E10"/>
    <w:rsid w:val="000F173A"/>
    <w:rsid w:val="000F579B"/>
    <w:rsid w:val="0010538B"/>
    <w:rsid w:val="00113E7F"/>
    <w:rsid w:val="0014797D"/>
    <w:rsid w:val="00153E24"/>
    <w:rsid w:val="001655EC"/>
    <w:rsid w:val="001665EB"/>
    <w:rsid w:val="00182BBE"/>
    <w:rsid w:val="00183784"/>
    <w:rsid w:val="001843E5"/>
    <w:rsid w:val="0018768A"/>
    <w:rsid w:val="00194491"/>
    <w:rsid w:val="00195C8A"/>
    <w:rsid w:val="001964B0"/>
    <w:rsid w:val="0019736A"/>
    <w:rsid w:val="00197D44"/>
    <w:rsid w:val="001A1DEC"/>
    <w:rsid w:val="001A25AC"/>
    <w:rsid w:val="001A477C"/>
    <w:rsid w:val="001A7499"/>
    <w:rsid w:val="001A7FAD"/>
    <w:rsid w:val="001B0CF9"/>
    <w:rsid w:val="001B371B"/>
    <w:rsid w:val="001C784A"/>
    <w:rsid w:val="001D1673"/>
    <w:rsid w:val="001D5FD0"/>
    <w:rsid w:val="001E0603"/>
    <w:rsid w:val="001F6109"/>
    <w:rsid w:val="00200899"/>
    <w:rsid w:val="002018B3"/>
    <w:rsid w:val="00210208"/>
    <w:rsid w:val="002118FA"/>
    <w:rsid w:val="002123BF"/>
    <w:rsid w:val="00216420"/>
    <w:rsid w:val="00221668"/>
    <w:rsid w:val="00232E91"/>
    <w:rsid w:val="00240726"/>
    <w:rsid w:val="00246D80"/>
    <w:rsid w:val="00250727"/>
    <w:rsid w:val="00250A35"/>
    <w:rsid w:val="00254A64"/>
    <w:rsid w:val="00262766"/>
    <w:rsid w:val="00263F44"/>
    <w:rsid w:val="00264FE0"/>
    <w:rsid w:val="00265DCC"/>
    <w:rsid w:val="00265FBB"/>
    <w:rsid w:val="0028040D"/>
    <w:rsid w:val="002916ED"/>
    <w:rsid w:val="0029448A"/>
    <w:rsid w:val="002C12F8"/>
    <w:rsid w:val="002C40EA"/>
    <w:rsid w:val="002E3B6A"/>
    <w:rsid w:val="002E5188"/>
    <w:rsid w:val="002F7D2A"/>
    <w:rsid w:val="003065DA"/>
    <w:rsid w:val="0032327C"/>
    <w:rsid w:val="0032351D"/>
    <w:rsid w:val="003259AB"/>
    <w:rsid w:val="00351156"/>
    <w:rsid w:val="003644F6"/>
    <w:rsid w:val="0037002C"/>
    <w:rsid w:val="003737F7"/>
    <w:rsid w:val="00374688"/>
    <w:rsid w:val="003869FD"/>
    <w:rsid w:val="00386F7B"/>
    <w:rsid w:val="00390C38"/>
    <w:rsid w:val="00393F2A"/>
    <w:rsid w:val="003A31CA"/>
    <w:rsid w:val="003A6E1E"/>
    <w:rsid w:val="003B34A9"/>
    <w:rsid w:val="003C0130"/>
    <w:rsid w:val="003F221A"/>
    <w:rsid w:val="003F4AF4"/>
    <w:rsid w:val="004001A9"/>
    <w:rsid w:val="004117FD"/>
    <w:rsid w:val="0041389E"/>
    <w:rsid w:val="004153B5"/>
    <w:rsid w:val="00417D97"/>
    <w:rsid w:val="00425308"/>
    <w:rsid w:val="00427DA0"/>
    <w:rsid w:val="004373B7"/>
    <w:rsid w:val="00437C15"/>
    <w:rsid w:val="00450E46"/>
    <w:rsid w:val="00461793"/>
    <w:rsid w:val="00461DD8"/>
    <w:rsid w:val="00463BE1"/>
    <w:rsid w:val="0046505A"/>
    <w:rsid w:val="0047107E"/>
    <w:rsid w:val="004A5518"/>
    <w:rsid w:val="004A5AA4"/>
    <w:rsid w:val="004C1488"/>
    <w:rsid w:val="004D08FF"/>
    <w:rsid w:val="004D4BC9"/>
    <w:rsid w:val="004D60BA"/>
    <w:rsid w:val="004F64E7"/>
    <w:rsid w:val="00510D79"/>
    <w:rsid w:val="00511043"/>
    <w:rsid w:val="005237ED"/>
    <w:rsid w:val="00526EAB"/>
    <w:rsid w:val="005340C2"/>
    <w:rsid w:val="00543677"/>
    <w:rsid w:val="005548DE"/>
    <w:rsid w:val="005763C9"/>
    <w:rsid w:val="00583219"/>
    <w:rsid w:val="00584815"/>
    <w:rsid w:val="00587AF0"/>
    <w:rsid w:val="00590E06"/>
    <w:rsid w:val="0059389D"/>
    <w:rsid w:val="005947AF"/>
    <w:rsid w:val="005A3602"/>
    <w:rsid w:val="005A5C18"/>
    <w:rsid w:val="005B3A7D"/>
    <w:rsid w:val="005C33E4"/>
    <w:rsid w:val="005C7D99"/>
    <w:rsid w:val="005E6E73"/>
    <w:rsid w:val="006015A8"/>
    <w:rsid w:val="00606899"/>
    <w:rsid w:val="00610D0A"/>
    <w:rsid w:val="006233DC"/>
    <w:rsid w:val="00643925"/>
    <w:rsid w:val="0064698F"/>
    <w:rsid w:val="00654896"/>
    <w:rsid w:val="006745B0"/>
    <w:rsid w:val="00676163"/>
    <w:rsid w:val="00681953"/>
    <w:rsid w:val="006852E9"/>
    <w:rsid w:val="006A58CB"/>
    <w:rsid w:val="006B2D96"/>
    <w:rsid w:val="006D1809"/>
    <w:rsid w:val="006D49AA"/>
    <w:rsid w:val="006E08E8"/>
    <w:rsid w:val="006F115D"/>
    <w:rsid w:val="006F5CC6"/>
    <w:rsid w:val="00700C89"/>
    <w:rsid w:val="00700F0E"/>
    <w:rsid w:val="00702352"/>
    <w:rsid w:val="0070366A"/>
    <w:rsid w:val="00731164"/>
    <w:rsid w:val="00733878"/>
    <w:rsid w:val="00736225"/>
    <w:rsid w:val="00752392"/>
    <w:rsid w:val="00757D07"/>
    <w:rsid w:val="0076059D"/>
    <w:rsid w:val="007629E9"/>
    <w:rsid w:val="00772615"/>
    <w:rsid w:val="007756B5"/>
    <w:rsid w:val="00776856"/>
    <w:rsid w:val="007C2918"/>
    <w:rsid w:val="007C3BAF"/>
    <w:rsid w:val="007C63E4"/>
    <w:rsid w:val="007D2272"/>
    <w:rsid w:val="007D35FC"/>
    <w:rsid w:val="007D38A4"/>
    <w:rsid w:val="007F1CCF"/>
    <w:rsid w:val="007F4A56"/>
    <w:rsid w:val="007F69B5"/>
    <w:rsid w:val="007F74B0"/>
    <w:rsid w:val="00800CE8"/>
    <w:rsid w:val="008031E5"/>
    <w:rsid w:val="008047DC"/>
    <w:rsid w:val="00811DAF"/>
    <w:rsid w:val="008151A9"/>
    <w:rsid w:val="00821BB2"/>
    <w:rsid w:val="0082380C"/>
    <w:rsid w:val="0082579E"/>
    <w:rsid w:val="0082594F"/>
    <w:rsid w:val="008268F2"/>
    <w:rsid w:val="00826978"/>
    <w:rsid w:val="008323D7"/>
    <w:rsid w:val="00832EAC"/>
    <w:rsid w:val="00856980"/>
    <w:rsid w:val="008708FF"/>
    <w:rsid w:val="00893B9C"/>
    <w:rsid w:val="00894FF0"/>
    <w:rsid w:val="008A3156"/>
    <w:rsid w:val="008A31E3"/>
    <w:rsid w:val="008A3B9D"/>
    <w:rsid w:val="008A3D53"/>
    <w:rsid w:val="008A41EA"/>
    <w:rsid w:val="008A6A30"/>
    <w:rsid w:val="008B293F"/>
    <w:rsid w:val="008F0D56"/>
    <w:rsid w:val="008F1DC8"/>
    <w:rsid w:val="008F7531"/>
    <w:rsid w:val="009006D1"/>
    <w:rsid w:val="00902810"/>
    <w:rsid w:val="00930D16"/>
    <w:rsid w:val="0093651D"/>
    <w:rsid w:val="00943F98"/>
    <w:rsid w:val="00965D5A"/>
    <w:rsid w:val="00977415"/>
    <w:rsid w:val="00981FE9"/>
    <w:rsid w:val="009841A9"/>
    <w:rsid w:val="00992105"/>
    <w:rsid w:val="00993B44"/>
    <w:rsid w:val="009A0E9B"/>
    <w:rsid w:val="009A3F81"/>
    <w:rsid w:val="009B4513"/>
    <w:rsid w:val="009C3CBA"/>
    <w:rsid w:val="009D15FA"/>
    <w:rsid w:val="009D59BC"/>
    <w:rsid w:val="009E0E96"/>
    <w:rsid w:val="009F438B"/>
    <w:rsid w:val="00A024A3"/>
    <w:rsid w:val="00A0380C"/>
    <w:rsid w:val="00A13213"/>
    <w:rsid w:val="00A15EDB"/>
    <w:rsid w:val="00A16644"/>
    <w:rsid w:val="00A32028"/>
    <w:rsid w:val="00A422EC"/>
    <w:rsid w:val="00A458CF"/>
    <w:rsid w:val="00A4669C"/>
    <w:rsid w:val="00A54216"/>
    <w:rsid w:val="00A56D1A"/>
    <w:rsid w:val="00A570CF"/>
    <w:rsid w:val="00A63CB3"/>
    <w:rsid w:val="00A71D20"/>
    <w:rsid w:val="00A75E05"/>
    <w:rsid w:val="00A93337"/>
    <w:rsid w:val="00AA5B85"/>
    <w:rsid w:val="00AB155F"/>
    <w:rsid w:val="00AD2EF9"/>
    <w:rsid w:val="00AD35E6"/>
    <w:rsid w:val="00AD4B0C"/>
    <w:rsid w:val="00AD5DE9"/>
    <w:rsid w:val="00AD7BAF"/>
    <w:rsid w:val="00AE2E7B"/>
    <w:rsid w:val="00AF6898"/>
    <w:rsid w:val="00AF6D8F"/>
    <w:rsid w:val="00B03A46"/>
    <w:rsid w:val="00B058D1"/>
    <w:rsid w:val="00B12A3B"/>
    <w:rsid w:val="00B131F5"/>
    <w:rsid w:val="00B20D9D"/>
    <w:rsid w:val="00B24038"/>
    <w:rsid w:val="00B327EA"/>
    <w:rsid w:val="00B3417C"/>
    <w:rsid w:val="00B4268A"/>
    <w:rsid w:val="00B44F42"/>
    <w:rsid w:val="00B51510"/>
    <w:rsid w:val="00B60798"/>
    <w:rsid w:val="00B7550D"/>
    <w:rsid w:val="00B80126"/>
    <w:rsid w:val="00B964AA"/>
    <w:rsid w:val="00B97DA1"/>
    <w:rsid w:val="00BC376D"/>
    <w:rsid w:val="00BC4A63"/>
    <w:rsid w:val="00BD0F64"/>
    <w:rsid w:val="00BD2F4A"/>
    <w:rsid w:val="00BE49D9"/>
    <w:rsid w:val="00C046E9"/>
    <w:rsid w:val="00C05181"/>
    <w:rsid w:val="00C100CF"/>
    <w:rsid w:val="00C10879"/>
    <w:rsid w:val="00C12AD1"/>
    <w:rsid w:val="00C16CEA"/>
    <w:rsid w:val="00C446B3"/>
    <w:rsid w:val="00C57C04"/>
    <w:rsid w:val="00C63B05"/>
    <w:rsid w:val="00C84B58"/>
    <w:rsid w:val="00C8755B"/>
    <w:rsid w:val="00C9185E"/>
    <w:rsid w:val="00CA3B98"/>
    <w:rsid w:val="00CB3D77"/>
    <w:rsid w:val="00CC1016"/>
    <w:rsid w:val="00CE579D"/>
    <w:rsid w:val="00CE5AE8"/>
    <w:rsid w:val="00CE7018"/>
    <w:rsid w:val="00CF0AAB"/>
    <w:rsid w:val="00CF3281"/>
    <w:rsid w:val="00D0388D"/>
    <w:rsid w:val="00D1050C"/>
    <w:rsid w:val="00D15A29"/>
    <w:rsid w:val="00D20897"/>
    <w:rsid w:val="00D2728B"/>
    <w:rsid w:val="00D27B6C"/>
    <w:rsid w:val="00D30EE4"/>
    <w:rsid w:val="00D33ED2"/>
    <w:rsid w:val="00D40840"/>
    <w:rsid w:val="00D43719"/>
    <w:rsid w:val="00D55314"/>
    <w:rsid w:val="00D757EC"/>
    <w:rsid w:val="00D76690"/>
    <w:rsid w:val="00D8699D"/>
    <w:rsid w:val="00D93D6D"/>
    <w:rsid w:val="00DA0783"/>
    <w:rsid w:val="00DA741A"/>
    <w:rsid w:val="00DD509A"/>
    <w:rsid w:val="00DD7B60"/>
    <w:rsid w:val="00DD7B9C"/>
    <w:rsid w:val="00DF15B5"/>
    <w:rsid w:val="00DF2BB6"/>
    <w:rsid w:val="00DF3393"/>
    <w:rsid w:val="00DF5421"/>
    <w:rsid w:val="00DF5A51"/>
    <w:rsid w:val="00E25774"/>
    <w:rsid w:val="00E26210"/>
    <w:rsid w:val="00E264A3"/>
    <w:rsid w:val="00E4227E"/>
    <w:rsid w:val="00E46EB1"/>
    <w:rsid w:val="00E61907"/>
    <w:rsid w:val="00E62DBF"/>
    <w:rsid w:val="00E70EF5"/>
    <w:rsid w:val="00E74543"/>
    <w:rsid w:val="00E74F6D"/>
    <w:rsid w:val="00E829BA"/>
    <w:rsid w:val="00E9374E"/>
    <w:rsid w:val="00EA2611"/>
    <w:rsid w:val="00EB1686"/>
    <w:rsid w:val="00EB2269"/>
    <w:rsid w:val="00EC4C96"/>
    <w:rsid w:val="00EC76E2"/>
    <w:rsid w:val="00ED5E99"/>
    <w:rsid w:val="00EF0846"/>
    <w:rsid w:val="00EF202B"/>
    <w:rsid w:val="00F00371"/>
    <w:rsid w:val="00F11183"/>
    <w:rsid w:val="00F12CB8"/>
    <w:rsid w:val="00F1656D"/>
    <w:rsid w:val="00F25059"/>
    <w:rsid w:val="00F32E6F"/>
    <w:rsid w:val="00F3494C"/>
    <w:rsid w:val="00F35D39"/>
    <w:rsid w:val="00F5166D"/>
    <w:rsid w:val="00F5746D"/>
    <w:rsid w:val="00F629D4"/>
    <w:rsid w:val="00F70F89"/>
    <w:rsid w:val="00F80C3F"/>
    <w:rsid w:val="00F823BA"/>
    <w:rsid w:val="00F902FE"/>
    <w:rsid w:val="00F929AD"/>
    <w:rsid w:val="00FA0E70"/>
    <w:rsid w:val="00FA39BC"/>
    <w:rsid w:val="00FC1193"/>
    <w:rsid w:val="00FD205A"/>
    <w:rsid w:val="00FE3F2D"/>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0001">
      <w:bodyDiv w:val="1"/>
      <w:marLeft w:val="0"/>
      <w:marRight w:val="0"/>
      <w:marTop w:val="0"/>
      <w:marBottom w:val="0"/>
      <w:divBdr>
        <w:top w:val="none" w:sz="0" w:space="0" w:color="auto"/>
        <w:left w:val="none" w:sz="0" w:space="0" w:color="auto"/>
        <w:bottom w:val="none" w:sz="0" w:space="0" w:color="auto"/>
        <w:right w:val="none" w:sz="0" w:space="0" w:color="auto"/>
      </w:divBdr>
    </w:div>
    <w:div w:id="166747247">
      <w:bodyDiv w:val="1"/>
      <w:marLeft w:val="0"/>
      <w:marRight w:val="0"/>
      <w:marTop w:val="0"/>
      <w:marBottom w:val="0"/>
      <w:divBdr>
        <w:top w:val="none" w:sz="0" w:space="0" w:color="auto"/>
        <w:left w:val="none" w:sz="0" w:space="0" w:color="auto"/>
        <w:bottom w:val="none" w:sz="0" w:space="0" w:color="auto"/>
        <w:right w:val="none" w:sz="0" w:space="0" w:color="auto"/>
      </w:divBdr>
    </w:div>
    <w:div w:id="175003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info-details/masshealth-premium-schedule-for-member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youtube.com/channel/UC1QQ61nTN7LNKkhjrjnYOU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linkedin.com/company/masshealth"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MassHealth1/"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872</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5831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Schooling, Kathryn H (EHS)</cp:lastModifiedBy>
  <cp:revision>3</cp:revision>
  <cp:lastPrinted>2025-12-16T15:20:00Z</cp:lastPrinted>
  <dcterms:created xsi:type="dcterms:W3CDTF">2025-12-16T15:19:00Z</dcterms:created>
  <dcterms:modified xsi:type="dcterms:W3CDTF">2025-12-16T15:20:00Z</dcterms:modified>
</cp:coreProperties>
</file>