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3597E179" w:rsidR="008323D7" w:rsidRPr="00F76813" w:rsidRDefault="00086041" w:rsidP="00CE5AE8">
      <w:pPr>
        <w:pStyle w:val="Heading1"/>
        <w:rPr>
          <w:noProof w:val="0"/>
        </w:rPr>
      </w:pPr>
      <w:r w:rsidRPr="00F76813">
        <mc:AlternateContent>
          <mc:Choice Requires="wpg">
            <w:drawing>
              <wp:anchor distT="0" distB="0" distL="114300" distR="114300" simplePos="0" relativeHeight="251660288" behindDoc="0" locked="0" layoutInCell="1" allowOverlap="1" wp14:anchorId="62F97CB7" wp14:editId="1EB1A16C">
                <wp:simplePos x="0" y="0"/>
                <wp:positionH relativeFrom="column">
                  <wp:posOffset>57150</wp:posOffset>
                </wp:positionH>
                <wp:positionV relativeFrom="paragraph">
                  <wp:posOffset>285750</wp:posOffset>
                </wp:positionV>
                <wp:extent cx="4936548" cy="845819"/>
                <wp:effectExtent l="0" t="0" r="0" b="0"/>
                <wp:wrapTopAndBottom/>
                <wp:docPr id="5" name="Group 5" descr="MassHealth log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548" cy="845819"/>
                          <a:chOff x="0" y="0"/>
                          <a:chExt cx="4932969"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28" y="0"/>
                            <a:ext cx="3511541" cy="850291"/>
                          </a:xfrm>
                          <a:prstGeom prst="rect">
                            <a:avLst/>
                          </a:prstGeom>
                          <a:solidFill>
                            <a:srgbClr val="FFFFFF"/>
                          </a:solidFill>
                          <a:ln w="9525">
                            <a:noFill/>
                            <a:miter lim="800000"/>
                            <a:headEnd/>
                            <a:tailEnd/>
                          </a:ln>
                        </wps:spPr>
                        <wps:txbx>
                          <w:txbxContent>
                            <w:p w14:paraId="6CACB551" w14:textId="77777777" w:rsidR="00086041" w:rsidRPr="00F76813" w:rsidRDefault="00086041" w:rsidP="00FF5AAD">
                              <w:pPr>
                                <w:pStyle w:val="Header"/>
                              </w:pPr>
                              <w:r w:rsidRPr="00F76813">
                                <w:t>Commonwealth of Massachusetts</w:t>
                              </w:r>
                            </w:p>
                            <w:p w14:paraId="38B4CB14" w14:textId="77777777" w:rsidR="00086041" w:rsidRPr="00F76813" w:rsidRDefault="00086041" w:rsidP="00FF5AAD">
                              <w:pPr>
                                <w:pStyle w:val="Header"/>
                              </w:pPr>
                              <w:r w:rsidRPr="00F76813">
                                <w:t>Executive Office of Health and Human Services</w:t>
                              </w:r>
                            </w:p>
                            <w:p w14:paraId="0ADF926A" w14:textId="77777777" w:rsidR="00086041" w:rsidRPr="00F76813" w:rsidRDefault="00086041" w:rsidP="00FF5AAD">
                              <w:pPr>
                                <w:pStyle w:val="Header"/>
                              </w:pPr>
                              <w:r w:rsidRPr="00F76813">
                                <w:t>Office of Medicaid</w:t>
                              </w:r>
                            </w:p>
                            <w:p w14:paraId="3E009F4F" w14:textId="77777777" w:rsidR="00086041" w:rsidRPr="00F76813" w:rsidRDefault="00086041" w:rsidP="00FF5AAD">
                              <w:pPr>
                                <w:rPr>
                                  <w:b/>
                                  <w:sz w:val="28"/>
                                  <w:szCs w:val="28"/>
                                </w:rPr>
                              </w:pPr>
                              <w:hyperlink r:id="rId9" w:history="1">
                                <w:r w:rsidRPr="00F76813">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MassHealth logo" style="position:absolute;margin-left:4.5pt;margin-top:22.5pt;width:388.7pt;height:66.6pt;z-index:251660288;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9h15x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76813" w:rsidRDefault="00086041" w:rsidP="00FF5AAD">
                        <w:pPr>
                          <w:pStyle w:val="Header"/>
                        </w:pPr>
                        <w:r w:rsidRPr="00F76813">
                          <w:t>Commonwealth of Massachusetts</w:t>
                        </w:r>
                      </w:p>
                      <w:p w14:paraId="38B4CB14" w14:textId="77777777" w:rsidR="00086041" w:rsidRPr="00F76813" w:rsidRDefault="00086041" w:rsidP="00FF5AAD">
                        <w:pPr>
                          <w:pStyle w:val="Header"/>
                        </w:pPr>
                        <w:r w:rsidRPr="00F76813">
                          <w:t>Executive Office of Health and Human Services</w:t>
                        </w:r>
                      </w:p>
                      <w:p w14:paraId="0ADF926A" w14:textId="77777777" w:rsidR="00086041" w:rsidRPr="00F76813" w:rsidRDefault="00086041" w:rsidP="00FF5AAD">
                        <w:pPr>
                          <w:pStyle w:val="Header"/>
                        </w:pPr>
                        <w:r w:rsidRPr="00F76813">
                          <w:t>Office of Medicaid</w:t>
                        </w:r>
                      </w:p>
                      <w:p w14:paraId="3E009F4F" w14:textId="77777777" w:rsidR="00086041" w:rsidRPr="00F76813" w:rsidRDefault="00086041" w:rsidP="00FF5AAD">
                        <w:pPr>
                          <w:rPr>
                            <w:b/>
                            <w:sz w:val="28"/>
                            <w:szCs w:val="28"/>
                          </w:rPr>
                        </w:pPr>
                        <w:hyperlink r:id="rId11" w:history="1">
                          <w:r w:rsidRPr="00F76813">
                            <w:rPr>
                              <w:rStyle w:val="Hyperlink"/>
                              <w:rFonts w:ascii="Bookman Old Style" w:hAnsi="Bookman Old Style"/>
                              <w:sz w:val="18"/>
                            </w:rPr>
                            <w:t>www.mass.gov/masshealth</w:t>
                          </w:r>
                        </w:hyperlink>
                      </w:p>
                    </w:txbxContent>
                  </v:textbox>
                </v:shape>
                <w10:wrap type="topAndBottom"/>
              </v:group>
            </w:pict>
          </mc:Fallback>
        </mc:AlternateContent>
      </w:r>
      <w:r w:rsidR="008323D7" w:rsidRPr="00F76813">
        <w:rPr>
          <w:noProof w:val="0"/>
        </w:rPr>
        <w:t xml:space="preserve">Eligibility Operations Memo </w:t>
      </w:r>
      <w:r w:rsidR="00987651" w:rsidRPr="00F76813">
        <w:rPr>
          <w:noProof w:val="0"/>
        </w:rPr>
        <w:t>26-</w:t>
      </w:r>
      <w:r w:rsidR="00220F4E" w:rsidRPr="00F76813">
        <w:rPr>
          <w:noProof w:val="0"/>
        </w:rPr>
        <w:t>06</w:t>
      </w:r>
      <w:r w:rsidR="008323D7" w:rsidRPr="00F76813">
        <w:rPr>
          <w:noProof w:val="0"/>
        </w:rPr>
        <w:t xml:space="preserve"> </w:t>
      </w:r>
    </w:p>
    <w:p w14:paraId="143ED5C3" w14:textId="4A42275C" w:rsidR="00CE7018" w:rsidRPr="00F76813" w:rsidRDefault="00CE7018" w:rsidP="00CE7018">
      <w:pPr>
        <w:tabs>
          <w:tab w:val="left" w:pos="1080"/>
        </w:tabs>
        <w:spacing w:before="120" w:after="240"/>
        <w:ind w:left="1080" w:hanging="1080"/>
        <w:rPr>
          <w:noProof w:val="0"/>
        </w:rPr>
      </w:pPr>
      <w:r w:rsidRPr="00F76813">
        <w:rPr>
          <w:b/>
          <w:bCs/>
          <w:noProof w:val="0"/>
        </w:rPr>
        <w:t>DATE:</w:t>
      </w:r>
      <w:r w:rsidRPr="00F76813">
        <w:rPr>
          <w:noProof w:val="0"/>
        </w:rPr>
        <w:tab/>
      </w:r>
      <w:r w:rsidR="00987651" w:rsidRPr="00F76813">
        <w:rPr>
          <w:noProof w:val="0"/>
        </w:rPr>
        <w:t>June 2026</w:t>
      </w:r>
    </w:p>
    <w:p w14:paraId="547DA5FC" w14:textId="77777777" w:rsidR="008323D7" w:rsidRPr="00F76813" w:rsidRDefault="008323D7" w:rsidP="00584815">
      <w:pPr>
        <w:tabs>
          <w:tab w:val="left" w:pos="1080"/>
        </w:tabs>
        <w:spacing w:before="120" w:after="240"/>
        <w:ind w:left="1080" w:hanging="1080"/>
        <w:rPr>
          <w:b/>
          <w:bCs/>
          <w:noProof w:val="0"/>
        </w:rPr>
      </w:pPr>
      <w:r w:rsidRPr="00F76813">
        <w:rPr>
          <w:b/>
          <w:bCs/>
          <w:noProof w:val="0"/>
        </w:rPr>
        <w:t>TO:</w:t>
      </w:r>
      <w:r w:rsidRPr="00F76813">
        <w:rPr>
          <w:noProof w:val="0"/>
        </w:rPr>
        <w:tab/>
        <w:t>MassHealth Eligibility Operations Staff</w:t>
      </w:r>
    </w:p>
    <w:p w14:paraId="7355871D" w14:textId="66BC25F6" w:rsidR="008323D7" w:rsidRPr="00F76813" w:rsidRDefault="008323D7" w:rsidP="00584815">
      <w:pPr>
        <w:tabs>
          <w:tab w:val="left" w:pos="1080"/>
        </w:tabs>
        <w:spacing w:before="120" w:after="240"/>
        <w:ind w:left="1080" w:hanging="1080"/>
        <w:rPr>
          <w:noProof w:val="0"/>
        </w:rPr>
      </w:pPr>
      <w:r w:rsidRPr="00F76813">
        <w:rPr>
          <w:b/>
          <w:bCs/>
          <w:noProof w:val="0"/>
        </w:rPr>
        <w:t>FROM:</w:t>
      </w:r>
      <w:r w:rsidRPr="00F76813">
        <w:rPr>
          <w:noProof w:val="0"/>
        </w:rPr>
        <w:tab/>
        <w:t xml:space="preserve">Heather Rossi, </w:t>
      </w:r>
      <w:r w:rsidR="00210208" w:rsidRPr="00F76813">
        <w:rPr>
          <w:noProof w:val="0"/>
        </w:rPr>
        <w:t xml:space="preserve">Deputy </w:t>
      </w:r>
      <w:r w:rsidR="009F438B" w:rsidRPr="00F76813">
        <w:rPr>
          <w:noProof w:val="0"/>
        </w:rPr>
        <w:t xml:space="preserve">Chief Operating Officer, </w:t>
      </w:r>
      <w:r w:rsidRPr="00F76813">
        <w:rPr>
          <w:noProof w:val="0"/>
        </w:rPr>
        <w:t xml:space="preserve">Eligibility Policy </w:t>
      </w:r>
      <w:r w:rsidR="009F438B" w:rsidRPr="00F76813">
        <w:rPr>
          <w:noProof w:val="0"/>
        </w:rPr>
        <w:t xml:space="preserve">and Implementation </w:t>
      </w:r>
      <w:r w:rsidR="00F76813">
        <w:rPr>
          <w:noProof w:val="0"/>
        </w:rPr>
        <w:t>[signature of Heather Rossi]</w:t>
      </w:r>
    </w:p>
    <w:p w14:paraId="3DCD6A05" w14:textId="0C3D8F17" w:rsidR="00262766" w:rsidRPr="00F76813" w:rsidRDefault="00CE7018" w:rsidP="00B7550D">
      <w:pPr>
        <w:pStyle w:val="SubjectLine"/>
        <w:rPr>
          <w:noProof w:val="0"/>
        </w:rPr>
      </w:pPr>
      <w:r w:rsidRPr="00F76813">
        <w:rPr>
          <w:noProof w:val="0"/>
        </w:rPr>
        <w:t>RE:</w:t>
      </w:r>
      <w:r w:rsidRPr="00F76813">
        <w:rPr>
          <w:noProof w:val="0"/>
        </w:rPr>
        <w:tab/>
      </w:r>
      <w:r w:rsidR="00987651" w:rsidRPr="00F76813">
        <w:rPr>
          <w:noProof w:val="0"/>
        </w:rPr>
        <w:t>Updated Age Criteria for Achieving a Better Life Experience (ABLE) Accounts</w:t>
      </w:r>
    </w:p>
    <w:p w14:paraId="027DCA44" w14:textId="171D9BEC" w:rsidR="00262766" w:rsidRPr="00F76813" w:rsidRDefault="00987651" w:rsidP="00CE5AE8">
      <w:pPr>
        <w:pStyle w:val="Heading2"/>
        <w:rPr>
          <w:noProof w:val="0"/>
        </w:rPr>
      </w:pPr>
      <w:r w:rsidRPr="00F76813">
        <w:rPr>
          <w:noProof w:val="0"/>
        </w:rPr>
        <w:t>Updates</w:t>
      </w:r>
    </w:p>
    <w:p w14:paraId="2EC5377F" w14:textId="74655582" w:rsidR="00262766" w:rsidRPr="00F76813" w:rsidRDefault="00987651" w:rsidP="00262766">
      <w:pPr>
        <w:rPr>
          <w:noProof w:val="0"/>
        </w:rPr>
      </w:pPr>
      <w:r w:rsidRPr="00F76813">
        <w:rPr>
          <w:noProof w:val="0"/>
        </w:rPr>
        <w:t xml:space="preserve">This </w:t>
      </w:r>
      <w:r w:rsidR="00BF5726" w:rsidRPr="00F76813">
        <w:rPr>
          <w:noProof w:val="0"/>
        </w:rPr>
        <w:t>Eligibility Operations Memo (</w:t>
      </w:r>
      <w:r w:rsidRPr="00F76813">
        <w:rPr>
          <w:noProof w:val="0"/>
        </w:rPr>
        <w:t>EOM</w:t>
      </w:r>
      <w:r w:rsidR="00BF5726" w:rsidRPr="00F76813">
        <w:rPr>
          <w:noProof w:val="0"/>
        </w:rPr>
        <w:t>)</w:t>
      </w:r>
      <w:r w:rsidRPr="00F76813">
        <w:rPr>
          <w:noProof w:val="0"/>
        </w:rPr>
        <w:t xml:space="preserve"> supersedes </w:t>
      </w:r>
      <w:hyperlink r:id="rId12" w:anchor="2017-" w:history="1">
        <w:r w:rsidRPr="00F76813">
          <w:rPr>
            <w:rStyle w:val="Hyperlink"/>
            <w:noProof w:val="0"/>
          </w:rPr>
          <w:t>EOM 17-04</w:t>
        </w:r>
      </w:hyperlink>
      <w:r w:rsidRPr="00F76813">
        <w:rPr>
          <w:noProof w:val="0"/>
        </w:rPr>
        <w:t xml:space="preserve">. The Social Security Administration (SSA) has updated the age criteria for </w:t>
      </w:r>
      <w:r w:rsidR="00A05115" w:rsidRPr="00F76813">
        <w:rPr>
          <w:noProof w:val="0"/>
        </w:rPr>
        <w:t xml:space="preserve">Achieving a Better Life Experience (ABLE) </w:t>
      </w:r>
      <w:r w:rsidRPr="00F76813">
        <w:rPr>
          <w:noProof w:val="0"/>
        </w:rPr>
        <w:t>accounts, effective January 2026. Any new ABLE account applicant</w:t>
      </w:r>
      <w:r w:rsidR="00BF5726" w:rsidRPr="00F76813">
        <w:rPr>
          <w:noProof w:val="0"/>
        </w:rPr>
        <w:t xml:space="preserve"> </w:t>
      </w:r>
      <w:r w:rsidRPr="00F76813">
        <w:rPr>
          <w:noProof w:val="0"/>
        </w:rPr>
        <w:t>may now be considered disabled at or before age 46. All other ABLE account eligibility factors have remained the same.</w:t>
      </w:r>
    </w:p>
    <w:p w14:paraId="0073243F" w14:textId="588B0CF2" w:rsidR="00987651" w:rsidRPr="00F76813" w:rsidRDefault="00987651" w:rsidP="00262766">
      <w:pPr>
        <w:rPr>
          <w:noProof w:val="0"/>
        </w:rPr>
      </w:pPr>
      <w:r w:rsidRPr="00F76813">
        <w:rPr>
          <w:noProof w:val="0"/>
        </w:rPr>
        <w:t>For more information</w:t>
      </w:r>
      <w:r w:rsidRPr="00F76813">
        <w:rPr>
          <w:bCs/>
          <w:noProof w:val="0"/>
        </w:rPr>
        <w:t xml:space="preserve">, visit </w:t>
      </w:r>
      <w:hyperlink r:id="rId13" w:history="1">
        <w:r w:rsidRPr="00F76813">
          <w:rPr>
            <w:rStyle w:val="Hyperlink"/>
            <w:bCs/>
            <w:noProof w:val="0"/>
          </w:rPr>
          <w:t>ssa.gov/ssi/spotlights/spot-able</w:t>
        </w:r>
        <w:r w:rsidRPr="00F76813">
          <w:rPr>
            <w:rStyle w:val="Hyperlink"/>
            <w:bCs/>
            <w:noProof w:val="0"/>
          </w:rPr>
          <w:t>.</w:t>
        </w:r>
        <w:r w:rsidRPr="00F76813">
          <w:rPr>
            <w:rStyle w:val="Hyperlink"/>
            <w:bCs/>
            <w:noProof w:val="0"/>
          </w:rPr>
          <w:t>html</w:t>
        </w:r>
      </w:hyperlink>
      <w:r w:rsidR="00BF5726" w:rsidRPr="00F76813">
        <w:rPr>
          <w:noProof w:val="0"/>
        </w:rPr>
        <w:t>.</w:t>
      </w:r>
    </w:p>
    <w:p w14:paraId="1430B08B" w14:textId="4D369955" w:rsidR="00987651" w:rsidRPr="00F76813" w:rsidRDefault="00987651" w:rsidP="00987651">
      <w:pPr>
        <w:pStyle w:val="Heading2"/>
        <w:rPr>
          <w:noProof w:val="0"/>
        </w:rPr>
      </w:pPr>
      <w:r w:rsidRPr="00F76813">
        <w:rPr>
          <w:noProof w:val="0"/>
        </w:rPr>
        <w:t>Background</w:t>
      </w:r>
    </w:p>
    <w:p w14:paraId="2AF18383" w14:textId="3301A1E0" w:rsidR="00987651" w:rsidRPr="00F76813" w:rsidRDefault="00987651" w:rsidP="00987651">
      <w:pPr>
        <w:rPr>
          <w:noProof w:val="0"/>
        </w:rPr>
      </w:pPr>
      <w:r w:rsidRPr="00F76813">
        <w:rPr>
          <w:noProof w:val="0"/>
        </w:rPr>
        <w:t>The Stephen Beck Jr. “Achieving a Better Life Experience Act” (ABLE Act) was signed into law on December 19, 2014. This federal legislation offers eligible individuals the opportunity to have a tax-deferred savings account, exceeding the asset limit for Medicaid (and other public assistance benefits), without negatively affecting eligibility. The ABLE Act was intended to give its designated beneficiaries the ability to improve their health, attain a better quality of life, and maintain an independent lifestyle.</w:t>
      </w:r>
    </w:p>
    <w:p w14:paraId="0E4F0937" w14:textId="46ECECDE" w:rsidR="00987651" w:rsidRPr="00F76813" w:rsidRDefault="00987651" w:rsidP="00987651">
      <w:pPr>
        <w:pStyle w:val="Heading2"/>
        <w:rPr>
          <w:noProof w:val="0"/>
        </w:rPr>
      </w:pPr>
      <w:r w:rsidRPr="00F76813">
        <w:rPr>
          <w:noProof w:val="0"/>
        </w:rPr>
        <w:t>Summary</w:t>
      </w:r>
    </w:p>
    <w:p w14:paraId="3C0E85D2" w14:textId="0BDAB4DB" w:rsidR="00987651" w:rsidRPr="00F76813" w:rsidRDefault="00987651" w:rsidP="00262766">
      <w:pPr>
        <w:rPr>
          <w:noProof w:val="0"/>
        </w:rPr>
      </w:pPr>
      <w:r w:rsidRPr="00F76813">
        <w:rPr>
          <w:noProof w:val="0"/>
        </w:rPr>
        <w:t>An ABLE account will be considered a noncountable asset when determining eligibility for MassHealth. An individual may only have one ABLE account. Generally, contributions to and distributions from these accounts will not be considered countable income. Any person, trust, estate, association, company, or corporation</w:t>
      </w:r>
      <w:r w:rsidR="0043266E" w:rsidRPr="00F76813">
        <w:rPr>
          <w:noProof w:val="0"/>
        </w:rPr>
        <w:t xml:space="preserve"> can contribute to the account</w:t>
      </w:r>
      <w:r w:rsidRPr="00F76813">
        <w:rPr>
          <w:noProof w:val="0"/>
        </w:rPr>
        <w:t>, but</w:t>
      </w:r>
      <w:r w:rsidR="0043266E" w:rsidRPr="00F76813">
        <w:rPr>
          <w:noProof w:val="0"/>
        </w:rPr>
        <w:t xml:space="preserve"> the contribution</w:t>
      </w:r>
      <w:r w:rsidRPr="00F76813">
        <w:rPr>
          <w:noProof w:val="0"/>
        </w:rPr>
        <w:t xml:space="preserve"> must be for the benefit of the designated beneficiary. Contributions may be made up to a certain annual amount, determined each year by the Internal Revenue Service (IRS), and considered a nontaxable gift. Additionally, earnings on the account, such as interest and dividends, will not </w:t>
      </w:r>
      <w:r w:rsidRPr="00F76813">
        <w:rPr>
          <w:noProof w:val="0"/>
        </w:rPr>
        <w:lastRenderedPageBreak/>
        <w:t>be considered countable income. There is a balance limit of $100,000 for federal Supplemental Security Income (SSI) benefits</w:t>
      </w:r>
      <w:r w:rsidR="0043266E" w:rsidRPr="00F76813">
        <w:rPr>
          <w:noProof w:val="0"/>
        </w:rPr>
        <w:t>. T</w:t>
      </w:r>
      <w:r w:rsidRPr="00F76813">
        <w:rPr>
          <w:noProof w:val="0"/>
        </w:rPr>
        <w:t>his balance limit does not apply for Medicaid purposes.</w:t>
      </w:r>
    </w:p>
    <w:p w14:paraId="07F1A16E" w14:textId="30B2151C" w:rsidR="00262766" w:rsidRPr="00F76813" w:rsidRDefault="00987651" w:rsidP="00CE5AE8">
      <w:pPr>
        <w:pStyle w:val="Heading3"/>
        <w:rPr>
          <w:noProof w:val="0"/>
        </w:rPr>
      </w:pPr>
      <w:r w:rsidRPr="00F76813">
        <w:rPr>
          <w:noProof w:val="0"/>
        </w:rPr>
        <w:t>Provisions</w:t>
      </w:r>
    </w:p>
    <w:p w14:paraId="11807F96" w14:textId="77777777" w:rsidR="00987651" w:rsidRPr="00F76813" w:rsidRDefault="00987651" w:rsidP="00987651">
      <w:pPr>
        <w:pStyle w:val="ListParagraph"/>
        <w:numPr>
          <w:ilvl w:val="0"/>
          <w:numId w:val="11"/>
        </w:numPr>
        <w:rPr>
          <w:noProof w:val="0"/>
        </w:rPr>
      </w:pPr>
      <w:r w:rsidRPr="00F76813">
        <w:rPr>
          <w:noProof w:val="0"/>
        </w:rPr>
        <w:t xml:space="preserve">The MassHealth applicant or member must be the designated beneficiary of the ABLE account. </w:t>
      </w:r>
    </w:p>
    <w:p w14:paraId="09AB51DF" w14:textId="60ABE4EA" w:rsidR="00987651" w:rsidRPr="00F76813" w:rsidRDefault="00987651" w:rsidP="00987651">
      <w:pPr>
        <w:pStyle w:val="ListParagraph"/>
        <w:numPr>
          <w:ilvl w:val="0"/>
          <w:numId w:val="11"/>
        </w:numPr>
        <w:rPr>
          <w:noProof w:val="0"/>
        </w:rPr>
      </w:pPr>
      <w:r w:rsidRPr="00F76813">
        <w:rPr>
          <w:noProof w:val="0"/>
        </w:rPr>
        <w:t>The designated beneficiary must meet the disability criteria of SSA, Disability Evaluation Services (DES)</w:t>
      </w:r>
      <w:r w:rsidR="0043266E" w:rsidRPr="00F76813">
        <w:rPr>
          <w:noProof w:val="0"/>
        </w:rPr>
        <w:t xml:space="preserve">, </w:t>
      </w:r>
      <w:r w:rsidRPr="00F76813">
        <w:rPr>
          <w:noProof w:val="0"/>
        </w:rPr>
        <w:t xml:space="preserve">or </w:t>
      </w:r>
      <w:r w:rsidR="0043266E" w:rsidRPr="00F76813">
        <w:rPr>
          <w:noProof w:val="0"/>
        </w:rPr>
        <w:t xml:space="preserve">the </w:t>
      </w:r>
      <w:r w:rsidRPr="00F76813">
        <w:rPr>
          <w:noProof w:val="0"/>
        </w:rPr>
        <w:t>Massachusetts Commission of the Blind (MCB) for a condition that began before reaching the age of 46</w:t>
      </w:r>
      <w:r w:rsidR="0043266E" w:rsidRPr="00F76813">
        <w:rPr>
          <w:noProof w:val="0"/>
        </w:rPr>
        <w:t>. The beneficiary must also</w:t>
      </w:r>
      <w:r w:rsidRPr="00F76813">
        <w:rPr>
          <w:noProof w:val="0"/>
        </w:rPr>
        <w:t xml:space="preserve"> be entitled to SSA benefits because of that condition. </w:t>
      </w:r>
    </w:p>
    <w:p w14:paraId="0C708A38" w14:textId="42A9A964" w:rsidR="00987651" w:rsidRPr="00F76813" w:rsidRDefault="00987651" w:rsidP="00987651">
      <w:pPr>
        <w:pStyle w:val="ListParagraph"/>
        <w:numPr>
          <w:ilvl w:val="0"/>
          <w:numId w:val="11"/>
        </w:numPr>
        <w:rPr>
          <w:noProof w:val="0"/>
        </w:rPr>
      </w:pPr>
      <w:r w:rsidRPr="00F76813">
        <w:rPr>
          <w:noProof w:val="0"/>
        </w:rPr>
        <w:t xml:space="preserve">The account must be owned and established by the designated beneficiary, unless </w:t>
      </w:r>
      <w:r w:rsidR="0043266E" w:rsidRPr="00F76813">
        <w:rPr>
          <w:noProof w:val="0"/>
        </w:rPr>
        <w:t>they are</w:t>
      </w:r>
      <w:r w:rsidRPr="00F76813">
        <w:rPr>
          <w:noProof w:val="0"/>
        </w:rPr>
        <w:t xml:space="preserve"> a minor child or someone who is otherwise incapable of managing the account. When this is the case, a parent, legal guardian, or power of attorney can be considered a person with signature authority (PSA)</w:t>
      </w:r>
      <w:r w:rsidR="0043266E" w:rsidRPr="00F76813">
        <w:rPr>
          <w:noProof w:val="0"/>
        </w:rPr>
        <w:t xml:space="preserve">. The PSA </w:t>
      </w:r>
      <w:r w:rsidRPr="00F76813">
        <w:rPr>
          <w:noProof w:val="0"/>
        </w:rPr>
        <w:t xml:space="preserve">may establish and control the account for the eligible individual. </w:t>
      </w:r>
    </w:p>
    <w:p w14:paraId="54732E48" w14:textId="77777777" w:rsidR="00987651" w:rsidRPr="00F76813" w:rsidRDefault="00987651" w:rsidP="00987651">
      <w:pPr>
        <w:pStyle w:val="ListParagraph"/>
        <w:numPr>
          <w:ilvl w:val="0"/>
          <w:numId w:val="11"/>
        </w:numPr>
        <w:rPr>
          <w:noProof w:val="0"/>
        </w:rPr>
      </w:pPr>
      <w:r w:rsidRPr="00F76813">
        <w:rPr>
          <w:noProof w:val="0"/>
        </w:rPr>
        <w:t>The ABLE account must be clearly identifiable and maintained under a qualified ABLE program.</w:t>
      </w:r>
    </w:p>
    <w:p w14:paraId="61C352E0" w14:textId="77777777" w:rsidR="00987651" w:rsidRPr="00F76813" w:rsidRDefault="00987651" w:rsidP="00987651">
      <w:pPr>
        <w:pStyle w:val="ListParagraph"/>
        <w:numPr>
          <w:ilvl w:val="0"/>
          <w:numId w:val="11"/>
        </w:numPr>
        <w:rPr>
          <w:noProof w:val="0"/>
        </w:rPr>
      </w:pPr>
      <w:r w:rsidRPr="00F76813">
        <w:rPr>
          <w:noProof w:val="0"/>
        </w:rPr>
        <w:t xml:space="preserve">The account must be set up to reimburse any state for Medicaid services received upon the death of the designated beneficiary and after payment of any remaining qualified disability expenses. </w:t>
      </w:r>
    </w:p>
    <w:p w14:paraId="1D4F4999" w14:textId="42646F4E" w:rsidR="00987651" w:rsidRPr="00F76813" w:rsidRDefault="00987651" w:rsidP="00987651">
      <w:pPr>
        <w:pStyle w:val="ListParagraph"/>
        <w:numPr>
          <w:ilvl w:val="0"/>
          <w:numId w:val="11"/>
        </w:numPr>
        <w:rPr>
          <w:noProof w:val="0"/>
        </w:rPr>
      </w:pPr>
      <w:r w:rsidRPr="00F76813">
        <w:rPr>
          <w:noProof w:val="0"/>
        </w:rPr>
        <w:t>Distributions must be for the benefit of the designated beneficiary, as the funds are to be used strictly for qualified disability-related expenses (QDEs). The IRS broadly defines QDEs as any expenses related to the eligible individual’s blindness or disability</w:t>
      </w:r>
      <w:r w:rsidR="0043266E" w:rsidRPr="00F76813">
        <w:rPr>
          <w:noProof w:val="0"/>
        </w:rPr>
        <w:t>. Such expenses</w:t>
      </w:r>
      <w:r w:rsidRPr="00F76813">
        <w:rPr>
          <w:noProof w:val="0"/>
        </w:rPr>
        <w:t xml:space="preserve"> may include, but are not limited to, expenses incurred for education, housing, transportation, employment training and support, and assistive technology. Distributions from ABLE accounts used for expenses that do not qualify as QDEs for the beneficiary will be counted.</w:t>
      </w:r>
    </w:p>
    <w:p w14:paraId="5BCA9B0D" w14:textId="26716E82" w:rsidR="00262766" w:rsidRPr="00F76813" w:rsidRDefault="00987651" w:rsidP="00987651">
      <w:pPr>
        <w:pStyle w:val="ListParagraph"/>
        <w:numPr>
          <w:ilvl w:val="0"/>
          <w:numId w:val="11"/>
        </w:numPr>
        <w:rPr>
          <w:noProof w:val="0"/>
        </w:rPr>
      </w:pPr>
      <w:r w:rsidRPr="00F76813">
        <w:rPr>
          <w:noProof w:val="0"/>
        </w:rPr>
        <w:t xml:space="preserve">Funds set aside to be spent on QDEs do not have to be spent in the same month of withdrawal and will not be considered part of countable resources as long as the ABLE account remains open and the funds can clearly be identified. </w:t>
      </w:r>
    </w:p>
    <w:p w14:paraId="59BAA759" w14:textId="2B08E7D3" w:rsidR="00987651" w:rsidRPr="00F76813" w:rsidRDefault="00987651" w:rsidP="00987651">
      <w:pPr>
        <w:pStyle w:val="Heading3"/>
        <w:rPr>
          <w:noProof w:val="0"/>
        </w:rPr>
      </w:pPr>
      <w:r w:rsidRPr="00F76813">
        <w:rPr>
          <w:noProof w:val="0"/>
        </w:rPr>
        <w:t>Additional Considerations</w:t>
      </w:r>
    </w:p>
    <w:p w14:paraId="14CA3DF7" w14:textId="6E9D9BF3" w:rsidR="00987651" w:rsidRPr="00F76813" w:rsidRDefault="00987651" w:rsidP="00987651">
      <w:pPr>
        <w:pStyle w:val="ListParagraph"/>
        <w:numPr>
          <w:ilvl w:val="0"/>
          <w:numId w:val="11"/>
        </w:numPr>
        <w:rPr>
          <w:noProof w:val="0"/>
        </w:rPr>
      </w:pPr>
      <w:r w:rsidRPr="00F76813">
        <w:rPr>
          <w:noProof w:val="0"/>
        </w:rPr>
        <w:t xml:space="preserve">Some ABLE account beneficiaries may also be </w:t>
      </w:r>
      <w:r w:rsidR="004848E4" w:rsidRPr="00F76813">
        <w:rPr>
          <w:noProof w:val="0"/>
        </w:rPr>
        <w:t xml:space="preserve">beneficiaries </w:t>
      </w:r>
      <w:r w:rsidRPr="00F76813">
        <w:rPr>
          <w:noProof w:val="0"/>
        </w:rPr>
        <w:t xml:space="preserve">of a special needs trust (SNT) or pooled trust. Disbursements from an SNT or pooled trust that are deposited into the ABLE account of the SNT or pooled trust beneficiary are not countable as income. </w:t>
      </w:r>
    </w:p>
    <w:p w14:paraId="2DB7ED65" w14:textId="3D79DD58" w:rsidR="00987651" w:rsidRPr="00F76813" w:rsidRDefault="00987651" w:rsidP="00987651">
      <w:pPr>
        <w:pStyle w:val="ListParagraph"/>
        <w:numPr>
          <w:ilvl w:val="0"/>
          <w:numId w:val="11"/>
        </w:numPr>
        <w:rPr>
          <w:noProof w:val="0"/>
        </w:rPr>
      </w:pPr>
      <w:r w:rsidRPr="00F76813">
        <w:rPr>
          <w:noProof w:val="0"/>
        </w:rPr>
        <w:t xml:space="preserve">ABLE account </w:t>
      </w:r>
      <w:r w:rsidR="004848E4" w:rsidRPr="00F76813">
        <w:rPr>
          <w:noProof w:val="0"/>
        </w:rPr>
        <w:t xml:space="preserve">beneficiaries </w:t>
      </w:r>
      <w:r w:rsidRPr="00F76813">
        <w:rPr>
          <w:noProof w:val="0"/>
        </w:rPr>
        <w:t xml:space="preserve">can contribute their own income or assets to their ABLE account. If </w:t>
      </w:r>
      <w:r w:rsidR="004848E4" w:rsidRPr="00F76813">
        <w:rPr>
          <w:noProof w:val="0"/>
        </w:rPr>
        <w:t>they</w:t>
      </w:r>
      <w:r w:rsidRPr="00F76813">
        <w:rPr>
          <w:noProof w:val="0"/>
        </w:rPr>
        <w:t xml:space="preserve"> transfer some of their own (otherwise countable) assets to their ABLE account, the effect would be a corresponding reduction in total countable assets. By contrast, if ABLE account </w:t>
      </w:r>
      <w:r w:rsidR="004848E4" w:rsidRPr="00F76813">
        <w:rPr>
          <w:noProof w:val="0"/>
        </w:rPr>
        <w:t xml:space="preserve">beneficiaries </w:t>
      </w:r>
      <w:r w:rsidRPr="00F76813">
        <w:rPr>
          <w:noProof w:val="0"/>
        </w:rPr>
        <w:t xml:space="preserve">transfer some of their income in the month received to their established ABLE account, the effect would not be a reduction in </w:t>
      </w:r>
      <w:r w:rsidRPr="00F76813">
        <w:rPr>
          <w:noProof w:val="0"/>
        </w:rPr>
        <w:lastRenderedPageBreak/>
        <w:t xml:space="preserve">countable income. Therefore, income contributed to the ABLE account by the MassHealth applicant or member remains countable in </w:t>
      </w:r>
      <w:r w:rsidR="004848E4" w:rsidRPr="00F76813">
        <w:rPr>
          <w:noProof w:val="0"/>
        </w:rPr>
        <w:t>their</w:t>
      </w:r>
      <w:r w:rsidRPr="00F76813">
        <w:rPr>
          <w:noProof w:val="0"/>
        </w:rPr>
        <w:t xml:space="preserve"> eligibility determination. </w:t>
      </w:r>
    </w:p>
    <w:p w14:paraId="68B2E1FD" w14:textId="1E4EE37B" w:rsidR="00987651" w:rsidRPr="00F76813" w:rsidRDefault="00987651" w:rsidP="00987651">
      <w:pPr>
        <w:pStyle w:val="ListParagraph"/>
        <w:numPr>
          <w:ilvl w:val="0"/>
          <w:numId w:val="11"/>
        </w:numPr>
        <w:rPr>
          <w:noProof w:val="0"/>
        </w:rPr>
      </w:pPr>
      <w:r w:rsidRPr="00F76813">
        <w:rPr>
          <w:noProof w:val="0"/>
        </w:rPr>
        <w:t xml:space="preserve">The ABLE Act does not provide for any special treatment of contributions made to an ABLE account benefiting another person. For example, a contribution from a </w:t>
      </w:r>
      <w:r w:rsidR="00D70861" w:rsidRPr="00F76813">
        <w:rPr>
          <w:noProof w:val="0"/>
        </w:rPr>
        <w:t xml:space="preserve">grandparent </w:t>
      </w:r>
      <w:r w:rsidRPr="00F76813">
        <w:rPr>
          <w:noProof w:val="0"/>
        </w:rPr>
        <w:t xml:space="preserve">to </w:t>
      </w:r>
      <w:r w:rsidR="00D70861" w:rsidRPr="00F76813">
        <w:rPr>
          <w:noProof w:val="0"/>
        </w:rPr>
        <w:t xml:space="preserve">their </w:t>
      </w:r>
      <w:r w:rsidRPr="00F76813">
        <w:rPr>
          <w:noProof w:val="0"/>
        </w:rPr>
        <w:t xml:space="preserve">grandchild’s ABLE account, whether from the </w:t>
      </w:r>
      <w:r w:rsidR="00D70861" w:rsidRPr="00F76813">
        <w:rPr>
          <w:noProof w:val="0"/>
        </w:rPr>
        <w:t xml:space="preserve">grandparent’s </w:t>
      </w:r>
      <w:r w:rsidRPr="00F76813">
        <w:rPr>
          <w:noProof w:val="0"/>
        </w:rPr>
        <w:t xml:space="preserve">income or resources, would constitute a transfer of assets from the </w:t>
      </w:r>
      <w:r w:rsidR="00D70861" w:rsidRPr="00F76813">
        <w:rPr>
          <w:noProof w:val="0"/>
        </w:rPr>
        <w:t xml:space="preserve">grandparent </w:t>
      </w:r>
      <w:r w:rsidRPr="00F76813">
        <w:rPr>
          <w:noProof w:val="0"/>
        </w:rPr>
        <w:t xml:space="preserve">to </w:t>
      </w:r>
      <w:r w:rsidR="00D70861" w:rsidRPr="00F76813">
        <w:rPr>
          <w:noProof w:val="0"/>
        </w:rPr>
        <w:t xml:space="preserve">their </w:t>
      </w:r>
      <w:r w:rsidRPr="00F76813">
        <w:rPr>
          <w:noProof w:val="0"/>
        </w:rPr>
        <w:t xml:space="preserve">grandchild’s account, which must be evaluated under existing transfer rules if the </w:t>
      </w:r>
      <w:r w:rsidR="00D70861" w:rsidRPr="00F76813">
        <w:rPr>
          <w:noProof w:val="0"/>
        </w:rPr>
        <w:t>grandparent later</w:t>
      </w:r>
      <w:r w:rsidRPr="00F76813">
        <w:rPr>
          <w:noProof w:val="0"/>
        </w:rPr>
        <w:t xml:space="preserve"> applies for MassHealth </w:t>
      </w:r>
      <w:r w:rsidR="00D70861" w:rsidRPr="00F76813">
        <w:rPr>
          <w:noProof w:val="0"/>
        </w:rPr>
        <w:t xml:space="preserve">and </w:t>
      </w:r>
      <w:r w:rsidRPr="00F76813">
        <w:rPr>
          <w:noProof w:val="0"/>
        </w:rPr>
        <w:t>seek</w:t>
      </w:r>
      <w:r w:rsidR="00D70861" w:rsidRPr="00F76813">
        <w:rPr>
          <w:noProof w:val="0"/>
        </w:rPr>
        <w:t>s</w:t>
      </w:r>
      <w:r w:rsidRPr="00F76813">
        <w:rPr>
          <w:noProof w:val="0"/>
        </w:rPr>
        <w:t xml:space="preserve"> long-term care services and supports.  </w:t>
      </w:r>
    </w:p>
    <w:p w14:paraId="7BE9772A" w14:textId="3072DAEC" w:rsidR="00987651" w:rsidRPr="00F76813" w:rsidRDefault="00987651" w:rsidP="00987651">
      <w:pPr>
        <w:pStyle w:val="Heading3"/>
        <w:rPr>
          <w:noProof w:val="0"/>
        </w:rPr>
      </w:pPr>
      <w:r w:rsidRPr="00F76813">
        <w:rPr>
          <w:noProof w:val="0"/>
        </w:rPr>
        <w:t>Authorized Massachusetts Plan/Investment Options</w:t>
      </w:r>
    </w:p>
    <w:p w14:paraId="453D3587" w14:textId="15D9AA8F" w:rsidR="00987651" w:rsidRPr="00F76813" w:rsidRDefault="00987651" w:rsidP="00D65FC9">
      <w:pPr>
        <w:rPr>
          <w:b/>
        </w:rPr>
      </w:pPr>
      <w:r w:rsidRPr="00F76813">
        <w:t>ABLE programs are operated by individual states. Massachusetts has a qualified ABLE program, referred to as “the Attainable Savings Plan,” which is offered through the Massachusetts Educational Financing Authority (MEFA) and is managed by Fidelity Investments. Investment options and fees associated with these accounts will vary by state. Some states that offer this program do not have a residency requirement, which gives individuals and their families more options to consider when deciding where to open the account, regardless of the state in which they live. Therefore, it is acceptable for MassHealth members or applicants to have or to open an account in another state. However, individuals may have no more than one ABLE account.</w:t>
      </w:r>
    </w:p>
    <w:p w14:paraId="75272A1E" w14:textId="0595D3F6" w:rsidR="00987651" w:rsidRPr="00F76813" w:rsidRDefault="00987651" w:rsidP="00987651">
      <w:pPr>
        <w:pStyle w:val="Heading2"/>
        <w:rPr>
          <w:noProof w:val="0"/>
        </w:rPr>
      </w:pPr>
      <w:r w:rsidRPr="00F76813">
        <w:rPr>
          <w:noProof w:val="0"/>
        </w:rPr>
        <w:t>Resources</w:t>
      </w:r>
    </w:p>
    <w:p w14:paraId="4A19D4F1" w14:textId="1FF32232" w:rsidR="00D65FC9" w:rsidRPr="00F76813" w:rsidRDefault="00F34AE3" w:rsidP="00A05115">
      <w:pPr>
        <w:pStyle w:val="ListParagraph"/>
        <w:numPr>
          <w:ilvl w:val="0"/>
          <w:numId w:val="12"/>
        </w:numPr>
      </w:pPr>
      <w:r w:rsidRPr="00F76813">
        <w:t xml:space="preserve">For more information about tax-free accounts for people with disabilities, visit </w:t>
      </w:r>
      <w:hyperlink r:id="rId14" w:history="1">
        <w:r w:rsidRPr="00F76813">
          <w:rPr>
            <w:rStyle w:val="Hyperlink"/>
          </w:rPr>
          <w:t>ssa.gov/ssi/spotlights/spot-able.html</w:t>
        </w:r>
      </w:hyperlink>
      <w:r w:rsidRPr="00F76813">
        <w:t xml:space="preserve">. </w:t>
      </w:r>
    </w:p>
    <w:p w14:paraId="0BD32904" w14:textId="77777777" w:rsidR="00F34AE3" w:rsidRPr="00F76813" w:rsidRDefault="00F34AE3" w:rsidP="00F34AE3">
      <w:pPr>
        <w:pStyle w:val="ListParagraph"/>
        <w:numPr>
          <w:ilvl w:val="0"/>
          <w:numId w:val="12"/>
        </w:numPr>
      </w:pPr>
      <w:r w:rsidRPr="00F76813">
        <w:t xml:space="preserve">For more information about ABLE accounts, visit the </w:t>
      </w:r>
      <w:hyperlink r:id="rId15" w:history="1">
        <w:r w:rsidRPr="00F76813">
          <w:rPr>
            <w:rStyle w:val="Hyperlink"/>
          </w:rPr>
          <w:t>SSA Program Operations Manual System (POMS)</w:t>
        </w:r>
      </w:hyperlink>
      <w:r w:rsidRPr="00F76813">
        <w:t>.</w:t>
      </w:r>
    </w:p>
    <w:p w14:paraId="2A69B360" w14:textId="072D47DF" w:rsidR="00D65FC9" w:rsidRPr="00F76813" w:rsidRDefault="00F34AE3" w:rsidP="00A05115">
      <w:pPr>
        <w:pStyle w:val="ListParagraph"/>
        <w:numPr>
          <w:ilvl w:val="0"/>
          <w:numId w:val="12"/>
        </w:numPr>
      </w:pPr>
      <w:r w:rsidRPr="00F76813">
        <w:t xml:space="preserve">Learn more from the ABLE National Resource Center at </w:t>
      </w:r>
      <w:hyperlink r:id="rId16" w:history="1">
        <w:r w:rsidRPr="00F76813">
          <w:rPr>
            <w:rStyle w:val="Hyperlink"/>
          </w:rPr>
          <w:t>ablenrc.org/state-review/massachusetts/</w:t>
        </w:r>
      </w:hyperlink>
      <w:r w:rsidRPr="00F76813">
        <w:t>.</w:t>
      </w:r>
    </w:p>
    <w:p w14:paraId="1B94C9E6" w14:textId="51DDCE39" w:rsidR="00182BBE" w:rsidRPr="00F76813" w:rsidRDefault="00182BBE" w:rsidP="00CE5AE8">
      <w:pPr>
        <w:pStyle w:val="Heading2"/>
        <w:rPr>
          <w:noProof w:val="0"/>
        </w:rPr>
      </w:pPr>
      <w:r w:rsidRPr="00F76813">
        <w:rPr>
          <w:noProof w:val="0"/>
        </w:rPr>
        <w:t>Questions</w:t>
      </w:r>
      <w:r w:rsidR="009006D1" w:rsidRPr="00F76813">
        <w:rPr>
          <w:noProof w:val="0"/>
        </w:rPr>
        <w:t>?</w:t>
      </w:r>
    </w:p>
    <w:p w14:paraId="36124995" w14:textId="37AFDD63" w:rsidR="00182BBE" w:rsidRPr="00F76813" w:rsidRDefault="00772615" w:rsidP="00D65FC9">
      <w:pPr>
        <w:spacing w:after="2040"/>
        <w:rPr>
          <w:noProof w:val="0"/>
        </w:rPr>
      </w:pPr>
      <w:r w:rsidRPr="00F76813">
        <w:rPr>
          <w:noProof w:val="0"/>
        </w:rPr>
        <w:t>H</w:t>
      </w:r>
      <w:r w:rsidR="00182BBE" w:rsidRPr="00F76813">
        <w:rPr>
          <w:noProof w:val="0"/>
        </w:rPr>
        <w:t>ave your MEC designee contact the Policy Hotline.</w:t>
      </w:r>
    </w:p>
    <w:p w14:paraId="0D5053FB" w14:textId="40B95306" w:rsidR="009006D1" w:rsidRPr="00F76813" w:rsidRDefault="009006D1" w:rsidP="009006D1">
      <w:pPr>
        <w:spacing w:before="240"/>
        <w:rPr>
          <w:rStyle w:val="Hyperlink"/>
          <w:noProof w:val="0"/>
          <w:position w:val="10"/>
          <w:sz w:val="18"/>
          <w:szCs w:val="18"/>
        </w:rPr>
      </w:pPr>
      <w:bookmarkStart w:id="0" w:name="_Hlk169882402"/>
      <w:r w:rsidRPr="00F76813">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F76813">
          <w:rPr>
            <w:rStyle w:val="Hyperlink"/>
            <w:noProof w:val="0"/>
            <w:position w:val="10"/>
            <w:sz w:val="18"/>
            <w:szCs w:val="18"/>
          </w:rPr>
          <w:t>MassHealth on Facebook</w:t>
        </w:r>
      </w:hyperlink>
      <w:r w:rsidRPr="00F76813">
        <w:rPr>
          <w:rStyle w:val="Hyperlink"/>
          <w:noProof w:val="0"/>
          <w:position w:val="10"/>
          <w:sz w:val="18"/>
          <w:szCs w:val="18"/>
          <w:u w:val="none"/>
        </w:rPr>
        <w:t xml:space="preserve">   </w:t>
      </w:r>
      <w:r w:rsidRPr="00F76813">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F76813">
          <w:rPr>
            <w:rStyle w:val="Hyperlink"/>
            <w:noProof w:val="0"/>
            <w:position w:val="10"/>
            <w:sz w:val="18"/>
            <w:szCs w:val="18"/>
          </w:rPr>
          <w:t>MassHealth on LinkedIn</w:t>
        </w:r>
      </w:hyperlink>
      <w:r w:rsidRPr="00F76813">
        <w:rPr>
          <w:rStyle w:val="Hyperlink"/>
          <w:noProof w:val="0"/>
          <w:position w:val="10"/>
          <w:sz w:val="18"/>
          <w:szCs w:val="18"/>
          <w:u w:val="none"/>
        </w:rPr>
        <w:t xml:space="preserve">   </w:t>
      </w:r>
      <w:r w:rsidRPr="00F76813">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F76813">
          <w:rPr>
            <w:rStyle w:val="Hyperlink"/>
            <w:noProof w:val="0"/>
            <w:position w:val="10"/>
            <w:sz w:val="18"/>
            <w:szCs w:val="18"/>
          </w:rPr>
          <w:t>MassHealth on X</w:t>
        </w:r>
      </w:hyperlink>
      <w:r w:rsidRPr="00F76813">
        <w:rPr>
          <w:rStyle w:val="Hyperlink"/>
          <w:noProof w:val="0"/>
          <w:position w:val="10"/>
          <w:sz w:val="18"/>
          <w:szCs w:val="18"/>
          <w:u w:val="none"/>
        </w:rPr>
        <w:t xml:space="preserve">   </w:t>
      </w:r>
      <w:r w:rsidRPr="00F76813">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F76813">
          <w:rPr>
            <w:rStyle w:val="Hyperlink"/>
            <w:noProof w:val="0"/>
            <w:position w:val="10"/>
            <w:sz w:val="18"/>
            <w:szCs w:val="18"/>
          </w:rPr>
          <w:t>MassHealth on YouTube</w:t>
        </w:r>
      </w:hyperlink>
    </w:p>
    <w:bookmarkEnd w:id="0"/>
    <w:p w14:paraId="6BE178EF" w14:textId="469EE342" w:rsidR="00E264A3" w:rsidRPr="00F76813" w:rsidRDefault="00E264A3" w:rsidP="00456744">
      <w:pPr>
        <w:rPr>
          <w:noProof w:val="0"/>
        </w:rPr>
      </w:pPr>
    </w:p>
    <w:sectPr w:rsidR="00E264A3" w:rsidRPr="00F76813" w:rsidSect="001C2045">
      <w:headerReference w:type="default" r:id="rId25"/>
      <w:footerReference w:type="default" r:id="rId26"/>
      <w:footerReference w:type="first" r:id="rId27"/>
      <w:type w:val="continuous"/>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27B9" w14:textId="77777777" w:rsidR="00065BC4" w:rsidRDefault="00065BC4" w:rsidP="00FF5AAD">
      <w:r>
        <w:separator/>
      </w:r>
    </w:p>
    <w:p w14:paraId="1CBAEF47" w14:textId="77777777" w:rsidR="00065BC4" w:rsidRDefault="00065BC4" w:rsidP="00FF5AAD"/>
    <w:p w14:paraId="4A7A2F10" w14:textId="77777777" w:rsidR="00065BC4" w:rsidRDefault="00065BC4" w:rsidP="00FF5AAD"/>
    <w:p w14:paraId="4C6C6276" w14:textId="77777777" w:rsidR="00065BC4" w:rsidRDefault="00065BC4" w:rsidP="00FF5AAD"/>
    <w:p w14:paraId="750A270D" w14:textId="77777777" w:rsidR="00065BC4" w:rsidRDefault="00065BC4" w:rsidP="00FF5AAD"/>
  </w:endnote>
  <w:endnote w:type="continuationSeparator" w:id="0">
    <w:p w14:paraId="20686BA6" w14:textId="77777777" w:rsidR="00065BC4" w:rsidRDefault="00065BC4" w:rsidP="00FF5AAD">
      <w:r>
        <w:continuationSeparator/>
      </w:r>
    </w:p>
    <w:p w14:paraId="60F67CE5" w14:textId="77777777" w:rsidR="00065BC4" w:rsidRDefault="00065BC4" w:rsidP="00FF5AAD"/>
    <w:p w14:paraId="6B2242DE" w14:textId="77777777" w:rsidR="00065BC4" w:rsidRDefault="00065BC4" w:rsidP="00FF5AAD"/>
    <w:p w14:paraId="1C6C2B26" w14:textId="77777777" w:rsidR="00065BC4" w:rsidRDefault="00065BC4" w:rsidP="00FF5AAD"/>
    <w:p w14:paraId="7CC004E0" w14:textId="77777777" w:rsidR="00065BC4" w:rsidRDefault="00065BC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072163"/>
      <w:docPartObj>
        <w:docPartGallery w:val="Page Numbers (Bottom of Page)"/>
        <w:docPartUnique/>
      </w:docPartObj>
    </w:sdtPr>
    <w:sdtContent>
      <w:sdt>
        <w:sdtPr>
          <w:id w:val="1728636285"/>
          <w:docPartObj>
            <w:docPartGallery w:val="Page Numbers (Top of Page)"/>
            <w:docPartUnique/>
          </w:docPartObj>
        </w:sdtPr>
        <w:sdtContent>
          <w:p w14:paraId="31877CE7" w14:textId="384717A4" w:rsidR="00707C28" w:rsidRPr="00F76813" w:rsidRDefault="00707C28">
            <w:pPr>
              <w:pStyle w:val="Footer"/>
              <w:jc w:val="center"/>
            </w:pPr>
            <w:r w:rsidRPr="00F76813">
              <w:t xml:space="preserve">Page </w:t>
            </w:r>
            <w:r w:rsidRPr="00F76813">
              <w:rPr>
                <w:b/>
                <w:bCs/>
                <w:sz w:val="24"/>
                <w:szCs w:val="24"/>
              </w:rPr>
              <w:fldChar w:fldCharType="begin"/>
            </w:r>
            <w:r w:rsidRPr="00F76813">
              <w:rPr>
                <w:b/>
                <w:bCs/>
              </w:rPr>
              <w:instrText xml:space="preserve"> PAGE </w:instrText>
            </w:r>
            <w:r w:rsidRPr="00F76813">
              <w:rPr>
                <w:b/>
                <w:bCs/>
                <w:sz w:val="24"/>
                <w:szCs w:val="24"/>
              </w:rPr>
              <w:fldChar w:fldCharType="separate"/>
            </w:r>
            <w:r w:rsidRPr="00F76813">
              <w:rPr>
                <w:b/>
                <w:bCs/>
              </w:rPr>
              <w:t>2</w:t>
            </w:r>
            <w:r w:rsidRPr="00F76813">
              <w:rPr>
                <w:b/>
                <w:bCs/>
                <w:sz w:val="24"/>
                <w:szCs w:val="24"/>
              </w:rPr>
              <w:fldChar w:fldCharType="end"/>
            </w:r>
            <w:r w:rsidRPr="00F76813">
              <w:t xml:space="preserve"> of </w:t>
            </w:r>
            <w:r w:rsidRPr="00F76813">
              <w:rPr>
                <w:b/>
                <w:bCs/>
                <w:sz w:val="24"/>
                <w:szCs w:val="24"/>
              </w:rPr>
              <w:fldChar w:fldCharType="begin"/>
            </w:r>
            <w:r w:rsidRPr="00F76813">
              <w:rPr>
                <w:b/>
                <w:bCs/>
              </w:rPr>
              <w:instrText xml:space="preserve"> NUMPAGES  </w:instrText>
            </w:r>
            <w:r w:rsidRPr="00F76813">
              <w:rPr>
                <w:b/>
                <w:bCs/>
                <w:sz w:val="24"/>
                <w:szCs w:val="24"/>
              </w:rPr>
              <w:fldChar w:fldCharType="separate"/>
            </w:r>
            <w:r w:rsidRPr="00F76813">
              <w:rPr>
                <w:b/>
                <w:bCs/>
              </w:rPr>
              <w:t>2</w:t>
            </w:r>
            <w:r w:rsidRPr="00F76813">
              <w:rPr>
                <w:b/>
                <w:bCs/>
                <w:sz w:val="24"/>
                <w:szCs w:val="24"/>
              </w:rPr>
              <w:fldChar w:fldCharType="end"/>
            </w:r>
          </w:p>
        </w:sdtContent>
      </w:sdt>
    </w:sdtContent>
  </w:sdt>
  <w:p w14:paraId="28B6CC3C" w14:textId="77777777" w:rsidR="00707C28" w:rsidRPr="00F76813" w:rsidRDefault="00707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24F5" w14:textId="2CBF2DE1" w:rsidR="00456744" w:rsidRPr="00F76813" w:rsidRDefault="00456744" w:rsidP="001C2045">
    <w:pPr>
      <w:pStyle w:val="Footer"/>
      <w:jc w:val="center"/>
    </w:pPr>
    <w:r w:rsidRPr="00F76813">
      <w:t xml:space="preserve">Page </w:t>
    </w:r>
    <w:r w:rsidRPr="00F76813">
      <w:rPr>
        <w:b/>
        <w:bCs/>
      </w:rPr>
      <w:fldChar w:fldCharType="begin"/>
    </w:r>
    <w:r w:rsidRPr="00F76813">
      <w:rPr>
        <w:b/>
        <w:bCs/>
      </w:rPr>
      <w:instrText xml:space="preserve"> PAGE  \* Arabic  \* MERGEFORMAT </w:instrText>
    </w:r>
    <w:r w:rsidRPr="00F76813">
      <w:rPr>
        <w:b/>
        <w:bCs/>
      </w:rPr>
      <w:fldChar w:fldCharType="separate"/>
    </w:r>
    <w:r w:rsidRPr="00F76813">
      <w:rPr>
        <w:b/>
        <w:bCs/>
      </w:rPr>
      <w:t>1</w:t>
    </w:r>
    <w:r w:rsidRPr="00F76813">
      <w:rPr>
        <w:b/>
        <w:bCs/>
      </w:rPr>
      <w:fldChar w:fldCharType="end"/>
    </w:r>
    <w:r w:rsidRPr="00F76813">
      <w:t xml:space="preserve"> of </w:t>
    </w:r>
    <w:r w:rsidRPr="00F76813">
      <w:rPr>
        <w:b/>
        <w:bCs/>
      </w:rPr>
      <w:fldChar w:fldCharType="begin"/>
    </w:r>
    <w:r w:rsidRPr="00F76813">
      <w:rPr>
        <w:b/>
        <w:bCs/>
      </w:rPr>
      <w:instrText xml:space="preserve"> NUMPAGES  \* Arabic  \* MERGEFORMAT </w:instrText>
    </w:r>
    <w:r w:rsidRPr="00F76813">
      <w:rPr>
        <w:b/>
        <w:bCs/>
      </w:rPr>
      <w:fldChar w:fldCharType="separate"/>
    </w:r>
    <w:r w:rsidRPr="00F76813">
      <w:rPr>
        <w:b/>
        <w:bCs/>
      </w:rPr>
      <w:t>2</w:t>
    </w:r>
    <w:r w:rsidRPr="00F7681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2592" w14:textId="77777777" w:rsidR="00065BC4" w:rsidRDefault="00065BC4" w:rsidP="00FF5AAD">
      <w:r>
        <w:separator/>
      </w:r>
    </w:p>
    <w:p w14:paraId="520D177F" w14:textId="77777777" w:rsidR="00065BC4" w:rsidRDefault="00065BC4" w:rsidP="00FF5AAD"/>
    <w:p w14:paraId="5B4B4B96" w14:textId="77777777" w:rsidR="00065BC4" w:rsidRDefault="00065BC4" w:rsidP="00FF5AAD"/>
    <w:p w14:paraId="729F9B45" w14:textId="77777777" w:rsidR="00065BC4" w:rsidRDefault="00065BC4" w:rsidP="00FF5AAD"/>
    <w:p w14:paraId="7014A7D7" w14:textId="77777777" w:rsidR="00065BC4" w:rsidRDefault="00065BC4" w:rsidP="00FF5AAD"/>
  </w:footnote>
  <w:footnote w:type="continuationSeparator" w:id="0">
    <w:p w14:paraId="070DB9D5" w14:textId="77777777" w:rsidR="00065BC4" w:rsidRDefault="00065BC4" w:rsidP="00FF5AAD">
      <w:r>
        <w:continuationSeparator/>
      </w:r>
    </w:p>
    <w:p w14:paraId="349ED714" w14:textId="77777777" w:rsidR="00065BC4" w:rsidRDefault="00065BC4" w:rsidP="00FF5AAD"/>
    <w:p w14:paraId="4CADE4AB" w14:textId="77777777" w:rsidR="00065BC4" w:rsidRDefault="00065BC4" w:rsidP="00FF5AAD"/>
    <w:p w14:paraId="462A5C1F" w14:textId="77777777" w:rsidR="00065BC4" w:rsidRDefault="00065BC4" w:rsidP="00FF5AAD"/>
    <w:p w14:paraId="621CEF98" w14:textId="77777777" w:rsidR="00065BC4" w:rsidRDefault="00065BC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Pr="00F76813" w:rsidRDefault="00681953" w:rsidP="00AE2E7B">
    <w:pPr>
      <w:spacing w:after="0"/>
      <w:ind w:left="6480"/>
    </w:pPr>
    <w:r w:rsidRPr="00F76813">
      <w:t>MassHealth</w:t>
    </w:r>
  </w:p>
  <w:p w14:paraId="769AAABA" w14:textId="181D0D46" w:rsidR="00681953" w:rsidRPr="00F76813" w:rsidRDefault="00681953" w:rsidP="00AE2E7B">
    <w:pPr>
      <w:spacing w:after="0"/>
      <w:ind w:left="6480"/>
    </w:pPr>
    <w:r w:rsidRPr="00F76813">
      <w:t xml:space="preserve">EOM </w:t>
    </w:r>
    <w:r w:rsidR="00987651" w:rsidRPr="00F76813">
      <w:t>26-</w:t>
    </w:r>
    <w:r w:rsidR="00220F4E" w:rsidRPr="00F76813">
      <w:t>06</w:t>
    </w:r>
  </w:p>
  <w:p w14:paraId="2694A5AC" w14:textId="11B5347E" w:rsidR="00681953" w:rsidRPr="00F76813" w:rsidRDefault="00987651" w:rsidP="00AE2E7B">
    <w:pPr>
      <w:spacing w:after="0"/>
      <w:ind w:left="6480"/>
    </w:pPr>
    <w:r w:rsidRPr="00F76813">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723D1"/>
    <w:multiLevelType w:val="hybridMultilevel"/>
    <w:tmpl w:val="1D34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ED27D3"/>
    <w:multiLevelType w:val="hybridMultilevel"/>
    <w:tmpl w:val="A4B0A0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97869518">
    <w:abstractNumId w:val="11"/>
  </w:num>
  <w:num w:numId="12" w16cid:durableId="228543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2AEB"/>
    <w:rsid w:val="000149FE"/>
    <w:rsid w:val="0002638F"/>
    <w:rsid w:val="00032BB1"/>
    <w:rsid w:val="00032C02"/>
    <w:rsid w:val="00041220"/>
    <w:rsid w:val="00056E4C"/>
    <w:rsid w:val="0005705B"/>
    <w:rsid w:val="00065BC4"/>
    <w:rsid w:val="000706EF"/>
    <w:rsid w:val="00080FFB"/>
    <w:rsid w:val="00086041"/>
    <w:rsid w:val="00086C9D"/>
    <w:rsid w:val="000943BC"/>
    <w:rsid w:val="00095863"/>
    <w:rsid w:val="000A2664"/>
    <w:rsid w:val="000B7879"/>
    <w:rsid w:val="000D71AE"/>
    <w:rsid w:val="000E3E10"/>
    <w:rsid w:val="000F173A"/>
    <w:rsid w:val="000F579B"/>
    <w:rsid w:val="0010538B"/>
    <w:rsid w:val="00113E7F"/>
    <w:rsid w:val="0014797D"/>
    <w:rsid w:val="00153E24"/>
    <w:rsid w:val="0016271C"/>
    <w:rsid w:val="001655EC"/>
    <w:rsid w:val="001665EB"/>
    <w:rsid w:val="00170E75"/>
    <w:rsid w:val="00182BBE"/>
    <w:rsid w:val="00183784"/>
    <w:rsid w:val="001843E5"/>
    <w:rsid w:val="00185363"/>
    <w:rsid w:val="0018768A"/>
    <w:rsid w:val="001909A0"/>
    <w:rsid w:val="00190E73"/>
    <w:rsid w:val="00194491"/>
    <w:rsid w:val="00195C8A"/>
    <w:rsid w:val="001964B0"/>
    <w:rsid w:val="0019736A"/>
    <w:rsid w:val="00197D44"/>
    <w:rsid w:val="001A1DEC"/>
    <w:rsid w:val="001A25AC"/>
    <w:rsid w:val="001A477C"/>
    <w:rsid w:val="001A7499"/>
    <w:rsid w:val="001B0CF9"/>
    <w:rsid w:val="001B371B"/>
    <w:rsid w:val="001C01DB"/>
    <w:rsid w:val="001C2045"/>
    <w:rsid w:val="001C784A"/>
    <w:rsid w:val="001D1673"/>
    <w:rsid w:val="001D5FD0"/>
    <w:rsid w:val="001E0603"/>
    <w:rsid w:val="001F6109"/>
    <w:rsid w:val="00200899"/>
    <w:rsid w:val="002018B3"/>
    <w:rsid w:val="00210208"/>
    <w:rsid w:val="002118FA"/>
    <w:rsid w:val="00216420"/>
    <w:rsid w:val="00220F4E"/>
    <w:rsid w:val="00221668"/>
    <w:rsid w:val="00230C32"/>
    <w:rsid w:val="00232E91"/>
    <w:rsid w:val="00240726"/>
    <w:rsid w:val="00246D80"/>
    <w:rsid w:val="00250727"/>
    <w:rsid w:val="00250A35"/>
    <w:rsid w:val="00254A64"/>
    <w:rsid w:val="00262766"/>
    <w:rsid w:val="00263F44"/>
    <w:rsid w:val="00264FE0"/>
    <w:rsid w:val="00265DCC"/>
    <w:rsid w:val="00265FBB"/>
    <w:rsid w:val="0028040D"/>
    <w:rsid w:val="002916ED"/>
    <w:rsid w:val="0029448A"/>
    <w:rsid w:val="002C12F8"/>
    <w:rsid w:val="002C40EA"/>
    <w:rsid w:val="002E3B6A"/>
    <w:rsid w:val="002E5188"/>
    <w:rsid w:val="002F7D2A"/>
    <w:rsid w:val="003065DA"/>
    <w:rsid w:val="003179F8"/>
    <w:rsid w:val="0032327C"/>
    <w:rsid w:val="0032351D"/>
    <w:rsid w:val="003259AB"/>
    <w:rsid w:val="003644F6"/>
    <w:rsid w:val="0036594F"/>
    <w:rsid w:val="0037002C"/>
    <w:rsid w:val="003737F7"/>
    <w:rsid w:val="00374688"/>
    <w:rsid w:val="00380CBA"/>
    <w:rsid w:val="003869FD"/>
    <w:rsid w:val="00386F7B"/>
    <w:rsid w:val="00390C38"/>
    <w:rsid w:val="003A31CA"/>
    <w:rsid w:val="003A6E1E"/>
    <w:rsid w:val="003C0130"/>
    <w:rsid w:val="003F221A"/>
    <w:rsid w:val="003F4AF4"/>
    <w:rsid w:val="004001A9"/>
    <w:rsid w:val="004117FD"/>
    <w:rsid w:val="0041389E"/>
    <w:rsid w:val="004153B5"/>
    <w:rsid w:val="00427DA0"/>
    <w:rsid w:val="0043266E"/>
    <w:rsid w:val="004373B7"/>
    <w:rsid w:val="00437C15"/>
    <w:rsid w:val="00440D84"/>
    <w:rsid w:val="00450E46"/>
    <w:rsid w:val="00456744"/>
    <w:rsid w:val="00461793"/>
    <w:rsid w:val="00461DD8"/>
    <w:rsid w:val="00463BE1"/>
    <w:rsid w:val="0046505A"/>
    <w:rsid w:val="0047107E"/>
    <w:rsid w:val="004848E4"/>
    <w:rsid w:val="004A5518"/>
    <w:rsid w:val="004A5AA4"/>
    <w:rsid w:val="004C1488"/>
    <w:rsid w:val="004D4BC9"/>
    <w:rsid w:val="004D60BA"/>
    <w:rsid w:val="004F64E7"/>
    <w:rsid w:val="00511043"/>
    <w:rsid w:val="005237ED"/>
    <w:rsid w:val="00526EAB"/>
    <w:rsid w:val="005340C2"/>
    <w:rsid w:val="00543677"/>
    <w:rsid w:val="005548DE"/>
    <w:rsid w:val="005763C9"/>
    <w:rsid w:val="00583219"/>
    <w:rsid w:val="00584815"/>
    <w:rsid w:val="00590E06"/>
    <w:rsid w:val="0059389D"/>
    <w:rsid w:val="005947AF"/>
    <w:rsid w:val="005A3602"/>
    <w:rsid w:val="005A5C18"/>
    <w:rsid w:val="005B3A7D"/>
    <w:rsid w:val="005C33E4"/>
    <w:rsid w:val="005C7D99"/>
    <w:rsid w:val="005E6E73"/>
    <w:rsid w:val="006015A8"/>
    <w:rsid w:val="006233DC"/>
    <w:rsid w:val="00643925"/>
    <w:rsid w:val="00645A2A"/>
    <w:rsid w:val="0064698F"/>
    <w:rsid w:val="00654896"/>
    <w:rsid w:val="00676163"/>
    <w:rsid w:val="00676625"/>
    <w:rsid w:val="00681953"/>
    <w:rsid w:val="006852E9"/>
    <w:rsid w:val="006A58CB"/>
    <w:rsid w:val="006B2D96"/>
    <w:rsid w:val="006D1809"/>
    <w:rsid w:val="006D49AA"/>
    <w:rsid w:val="006E08E8"/>
    <w:rsid w:val="006F115D"/>
    <w:rsid w:val="00700C89"/>
    <w:rsid w:val="00700F0E"/>
    <w:rsid w:val="00702352"/>
    <w:rsid w:val="00707C28"/>
    <w:rsid w:val="007269C2"/>
    <w:rsid w:val="00731164"/>
    <w:rsid w:val="00733878"/>
    <w:rsid w:val="00752392"/>
    <w:rsid w:val="00757D07"/>
    <w:rsid w:val="0076059D"/>
    <w:rsid w:val="007629E9"/>
    <w:rsid w:val="00772615"/>
    <w:rsid w:val="007756B5"/>
    <w:rsid w:val="00776856"/>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2380C"/>
    <w:rsid w:val="0082579E"/>
    <w:rsid w:val="0082594F"/>
    <w:rsid w:val="008268F2"/>
    <w:rsid w:val="00826978"/>
    <w:rsid w:val="008323D7"/>
    <w:rsid w:val="00832EAC"/>
    <w:rsid w:val="00856980"/>
    <w:rsid w:val="008708FF"/>
    <w:rsid w:val="0087383B"/>
    <w:rsid w:val="00893B9C"/>
    <w:rsid w:val="00894FF0"/>
    <w:rsid w:val="008A3156"/>
    <w:rsid w:val="008A3B9D"/>
    <w:rsid w:val="008A3D53"/>
    <w:rsid w:val="008A41EA"/>
    <w:rsid w:val="008A6A30"/>
    <w:rsid w:val="008B293F"/>
    <w:rsid w:val="008C46A7"/>
    <w:rsid w:val="008D1488"/>
    <w:rsid w:val="008F0D56"/>
    <w:rsid w:val="008F1DC8"/>
    <w:rsid w:val="008F7531"/>
    <w:rsid w:val="009006D1"/>
    <w:rsid w:val="00902810"/>
    <w:rsid w:val="00930D16"/>
    <w:rsid w:val="0093651D"/>
    <w:rsid w:val="00943F98"/>
    <w:rsid w:val="00965D5A"/>
    <w:rsid w:val="00977415"/>
    <w:rsid w:val="00981FE9"/>
    <w:rsid w:val="009841A9"/>
    <w:rsid w:val="00987651"/>
    <w:rsid w:val="00992105"/>
    <w:rsid w:val="00993B44"/>
    <w:rsid w:val="009A0E9B"/>
    <w:rsid w:val="009A3F81"/>
    <w:rsid w:val="009B4513"/>
    <w:rsid w:val="009D15FA"/>
    <w:rsid w:val="009D59BC"/>
    <w:rsid w:val="009E0E96"/>
    <w:rsid w:val="009F438B"/>
    <w:rsid w:val="00A022B8"/>
    <w:rsid w:val="00A024A3"/>
    <w:rsid w:val="00A0380C"/>
    <w:rsid w:val="00A04A42"/>
    <w:rsid w:val="00A05115"/>
    <w:rsid w:val="00A13213"/>
    <w:rsid w:val="00A15EDB"/>
    <w:rsid w:val="00A16644"/>
    <w:rsid w:val="00A32028"/>
    <w:rsid w:val="00A422EC"/>
    <w:rsid w:val="00A458CF"/>
    <w:rsid w:val="00A4669C"/>
    <w:rsid w:val="00A54216"/>
    <w:rsid w:val="00A56D1A"/>
    <w:rsid w:val="00A570CF"/>
    <w:rsid w:val="00A63CB3"/>
    <w:rsid w:val="00A75E05"/>
    <w:rsid w:val="00A84990"/>
    <w:rsid w:val="00AA5B85"/>
    <w:rsid w:val="00AB155F"/>
    <w:rsid w:val="00AD2EF9"/>
    <w:rsid w:val="00AD35E6"/>
    <w:rsid w:val="00AD4B0C"/>
    <w:rsid w:val="00AD7BAF"/>
    <w:rsid w:val="00AE2E7B"/>
    <w:rsid w:val="00AF6898"/>
    <w:rsid w:val="00AF6D8F"/>
    <w:rsid w:val="00B03A46"/>
    <w:rsid w:val="00B058D1"/>
    <w:rsid w:val="00B12A3B"/>
    <w:rsid w:val="00B131F5"/>
    <w:rsid w:val="00B20D9D"/>
    <w:rsid w:val="00B327EA"/>
    <w:rsid w:val="00B3417C"/>
    <w:rsid w:val="00B4268A"/>
    <w:rsid w:val="00B43047"/>
    <w:rsid w:val="00B44F42"/>
    <w:rsid w:val="00B51510"/>
    <w:rsid w:val="00B60798"/>
    <w:rsid w:val="00B7550D"/>
    <w:rsid w:val="00B80126"/>
    <w:rsid w:val="00B924EC"/>
    <w:rsid w:val="00B964AA"/>
    <w:rsid w:val="00B97DA1"/>
    <w:rsid w:val="00BC376D"/>
    <w:rsid w:val="00BC4A63"/>
    <w:rsid w:val="00BD0F64"/>
    <w:rsid w:val="00BD2F4A"/>
    <w:rsid w:val="00BE49D9"/>
    <w:rsid w:val="00BF5726"/>
    <w:rsid w:val="00C02DDC"/>
    <w:rsid w:val="00C046E9"/>
    <w:rsid w:val="00C05181"/>
    <w:rsid w:val="00C100CF"/>
    <w:rsid w:val="00C10879"/>
    <w:rsid w:val="00C12AD1"/>
    <w:rsid w:val="00C16CEA"/>
    <w:rsid w:val="00C446B3"/>
    <w:rsid w:val="00C623E3"/>
    <w:rsid w:val="00C63B05"/>
    <w:rsid w:val="00C84B58"/>
    <w:rsid w:val="00C8755B"/>
    <w:rsid w:val="00C9185E"/>
    <w:rsid w:val="00CA3B98"/>
    <w:rsid w:val="00CB3D77"/>
    <w:rsid w:val="00CC1016"/>
    <w:rsid w:val="00CD21C0"/>
    <w:rsid w:val="00CE579D"/>
    <w:rsid w:val="00CE5AE8"/>
    <w:rsid w:val="00CE7018"/>
    <w:rsid w:val="00CF0AAB"/>
    <w:rsid w:val="00D0178B"/>
    <w:rsid w:val="00D0388D"/>
    <w:rsid w:val="00D15A29"/>
    <w:rsid w:val="00D20897"/>
    <w:rsid w:val="00D2728B"/>
    <w:rsid w:val="00D27B6C"/>
    <w:rsid w:val="00D30EE4"/>
    <w:rsid w:val="00D33ED2"/>
    <w:rsid w:val="00D40840"/>
    <w:rsid w:val="00D43719"/>
    <w:rsid w:val="00D55314"/>
    <w:rsid w:val="00D578D0"/>
    <w:rsid w:val="00D62596"/>
    <w:rsid w:val="00D65FC9"/>
    <w:rsid w:val="00D70861"/>
    <w:rsid w:val="00D757EC"/>
    <w:rsid w:val="00D76690"/>
    <w:rsid w:val="00D93D6D"/>
    <w:rsid w:val="00DA0783"/>
    <w:rsid w:val="00DA6EB2"/>
    <w:rsid w:val="00DC5E1D"/>
    <w:rsid w:val="00DD33D2"/>
    <w:rsid w:val="00DD509A"/>
    <w:rsid w:val="00DD7B60"/>
    <w:rsid w:val="00DD7B9C"/>
    <w:rsid w:val="00DF15B5"/>
    <w:rsid w:val="00DF2BB6"/>
    <w:rsid w:val="00DF5421"/>
    <w:rsid w:val="00DF5A51"/>
    <w:rsid w:val="00E25774"/>
    <w:rsid w:val="00E26210"/>
    <w:rsid w:val="00E264A3"/>
    <w:rsid w:val="00E4227E"/>
    <w:rsid w:val="00E46EB1"/>
    <w:rsid w:val="00E61907"/>
    <w:rsid w:val="00E62DBF"/>
    <w:rsid w:val="00E70EF5"/>
    <w:rsid w:val="00EA2611"/>
    <w:rsid w:val="00EB1686"/>
    <w:rsid w:val="00EB2269"/>
    <w:rsid w:val="00EB62E7"/>
    <w:rsid w:val="00EC4C96"/>
    <w:rsid w:val="00ED5E99"/>
    <w:rsid w:val="00EF0846"/>
    <w:rsid w:val="00EF202B"/>
    <w:rsid w:val="00F00371"/>
    <w:rsid w:val="00F11183"/>
    <w:rsid w:val="00F12CB8"/>
    <w:rsid w:val="00F1656D"/>
    <w:rsid w:val="00F21843"/>
    <w:rsid w:val="00F25059"/>
    <w:rsid w:val="00F32E6F"/>
    <w:rsid w:val="00F331CC"/>
    <w:rsid w:val="00F3494C"/>
    <w:rsid w:val="00F34AE3"/>
    <w:rsid w:val="00F35D39"/>
    <w:rsid w:val="00F5166D"/>
    <w:rsid w:val="00F5746D"/>
    <w:rsid w:val="00F70F89"/>
    <w:rsid w:val="00F76813"/>
    <w:rsid w:val="00F80C3F"/>
    <w:rsid w:val="00F823BA"/>
    <w:rsid w:val="00F902FE"/>
    <w:rsid w:val="00FA0E70"/>
    <w:rsid w:val="00FA39BC"/>
    <w:rsid w:val="00FC1193"/>
    <w:rsid w:val="00FD78EB"/>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9876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ssi/spotlights/spot-able.html" TargetMode="External"/><Relationship Id="rId18" Type="http://schemas.openxmlformats.org/officeDocument/2006/relationships/hyperlink" Target="https://www.facebook.com/MassHealth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mass.gov/lists/eligibility-operations-memos-by-year?_ga=2.184098278.1175352557.1779906345-1726308290.1779906345&amp;_gl=1*15og8ap*_ga*MTcyNjMwODI5MC4xNzc5OTA2MzQ1*_ga_MCLPEGW7WM*czE3Nzk5Nzg3OTUkbzMkZzEkdDE3Nzk5ODAyOTYkajYwJGwwJGgw"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ehs.govt.state.ma.us\DFS\EHS\Boston_600_Washington_St\File%20Services\Masshealthops\Publications\Karen%20Kovach\EOMs\EOM-26-xx_ABLE_2026-05-28\1-Initial%20docs\ablenrc.org\state-review\massachusetts\" TargetMode="External"/><Relationship Id="rId20" Type="http://schemas.openxmlformats.org/officeDocument/2006/relationships/hyperlink" Target="https://www.linkedin.com/company/massheal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secure.ssa.gov/apps10/poms.nsf/lnx/0501130740"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ssa.gov/ssi/spotlights/spot-able.html" TargetMode="External"/><Relationship Id="rId22" Type="http://schemas.openxmlformats.org/officeDocument/2006/relationships/hyperlink" Target="https://www.twitter.com/MassHealth"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6398</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EOM</vt:lpstr>
    </vt:vector>
  </TitlesOfParts>
  <Company/>
  <LinksUpToDate>false</LinksUpToDate>
  <CharactersWithSpaces>7472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EOM-26-06</dc:title>
  <dc:creator/>
  <cp:lastModifiedBy/>
  <cp:revision>1</cp:revision>
  <dcterms:created xsi:type="dcterms:W3CDTF">2026-06-18T13:05:00Z</dcterms:created>
  <dcterms:modified xsi:type="dcterms:W3CDTF">2026-06-18T13:18:00Z</dcterms:modified>
</cp:coreProperties>
</file>