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auto"/>
          <w:spacing w:val="0"/>
          <w:position w:val="0"/>
          <w:sz w:val="22"/>
          <w:shd w:fill="auto" w:val="clear"/>
        </w:rPr>
      </w:pPr>
      <w:r>
        <w:object w:dxaOrig="1366" w:dyaOrig="1800">
          <v:rect xmlns:o="urn:schemas-microsoft-com:office:office" xmlns:v="urn:schemas-microsoft-com:vml" id="rectole0000000000" style="width:68.300000pt;height:90.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Commonwealth of Massachusetts</w:t>
      </w:r>
    </w:p>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Executive Office of Health and Human Services</w:t>
      </w:r>
    </w:p>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Department of Public Health</w:t>
      </w:r>
    </w:p>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Bureau of Environmental Health</w:t>
      </w:r>
    </w:p>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Community Sanitation Program</w:t>
      </w:r>
    </w:p>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250 Washington Street, Boston, MA 02108-4619</w:t>
      </w:r>
    </w:p>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Phone: 617-624-5757 Fax: 617-624-5777</w:t>
      </w:r>
    </w:p>
    <w:p>
      <w:pPr>
        <w:spacing w:before="0" w:after="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TTY: 617-624-5286</w:t>
      </w:r>
    </w:p>
    <w:p>
      <w:pPr>
        <w:spacing w:before="0" w:after="0" w:line="240"/>
        <w:ind w:right="0" w:left="0" w:firstLine="0"/>
        <w:jc w:val="center"/>
        <w:rPr>
          <w:rFonts w:ascii="Cambria" w:hAnsi="Cambria" w:cs="Cambria" w:eastAsia="Cambria"/>
          <w:color w:val="auto"/>
          <w:spacing w:val="0"/>
          <w:position w:val="0"/>
          <w:sz w:val="22"/>
          <w:shd w:fill="auto" w:val="clear"/>
        </w:rPr>
      </w:pPr>
    </w:p>
    <w:tbl>
      <w:tblPr/>
      <w:tblGrid>
        <w:gridCol w:w="2519"/>
      </w:tblGrid>
      <w:tr>
        <w:trPr>
          <w:trHeight w:val="671" w:hRule="auto"/>
          <w:jc w:val="left"/>
        </w:trPr>
        <w:tc>
          <w:tcPr>
            <w:tcW w:w="2519"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center"/>
              <w:rPr>
                <w:rFonts w:ascii="Cambria" w:hAnsi="Cambria" w:cs="Cambria" w:eastAsia="Cambria"/>
                <w:color w:val="auto"/>
                <w:spacing w:val="0"/>
                <w:position w:val="0"/>
                <w:sz w:val="22"/>
                <w:shd w:fill="auto" w:val="clear"/>
              </w:rPr>
            </w:pPr>
          </w:p>
          <w:p>
            <w:pPr>
              <w:spacing w:before="0" w:after="0" w:line="240"/>
              <w:ind w:right="0" w:left="0" w:firstLine="0"/>
              <w:jc w:val="center"/>
              <w:rPr>
                <w:rFonts w:ascii="Cambria" w:hAnsi="Cambria" w:cs="Cambria" w:eastAsia="Cambria"/>
                <w:color w:val="auto"/>
                <w:spacing w:val="0"/>
                <w:position w:val="0"/>
                <w:sz w:val="22"/>
                <w:shd w:fill="auto" w:val="clear"/>
              </w:rPr>
            </w:pPr>
          </w:p>
          <w:p>
            <w:pPr>
              <w:spacing w:before="0" w:after="0" w:line="240"/>
              <w:ind w:right="0" w:left="0" w:firstLine="0"/>
              <w:jc w:val="center"/>
              <w:rPr>
                <w:rFonts w:ascii="Cambria" w:hAnsi="Cambria" w:cs="Cambria" w:eastAsia="Cambria"/>
                <w:color w:val="auto"/>
                <w:spacing w:val="0"/>
                <w:position w:val="0"/>
                <w:sz w:val="16"/>
                <w:shd w:fill="auto" w:val="clear"/>
              </w:rPr>
            </w:pPr>
            <w:r>
              <w:rPr>
                <w:rFonts w:ascii="Cambria" w:hAnsi="Cambria" w:cs="Cambria" w:eastAsia="Cambria"/>
                <w:color w:val="auto"/>
                <w:spacing w:val="0"/>
                <w:position w:val="0"/>
                <w:sz w:val="16"/>
                <w:shd w:fill="auto" w:val="clear"/>
              </w:rPr>
              <w:t xml:space="preserve">CHARLES D. BAKER</w:t>
            </w:r>
          </w:p>
          <w:p>
            <w:pPr>
              <w:spacing w:before="0" w:after="0" w:line="240"/>
              <w:ind w:right="0" w:left="0" w:firstLine="0"/>
              <w:jc w:val="center"/>
              <w:rPr>
                <w:rFonts w:ascii="Cambria" w:hAnsi="Cambria" w:cs="Cambria" w:eastAsia="Cambria"/>
                <w:color w:val="auto"/>
                <w:spacing w:val="0"/>
                <w:position w:val="0"/>
                <w:sz w:val="16"/>
                <w:shd w:fill="auto" w:val="clear"/>
              </w:rPr>
            </w:pPr>
            <w:r>
              <w:rPr>
                <w:rFonts w:ascii="Cambria" w:hAnsi="Cambria" w:cs="Cambria" w:eastAsia="Cambria"/>
                <w:color w:val="auto"/>
                <w:spacing w:val="0"/>
                <w:position w:val="0"/>
                <w:sz w:val="16"/>
                <w:shd w:fill="auto" w:val="clear"/>
              </w:rPr>
              <w:t xml:space="preserve">Governor</w:t>
            </w:r>
          </w:p>
          <w:p>
            <w:pPr>
              <w:spacing w:before="0" w:after="0" w:line="240"/>
              <w:ind w:right="0" w:left="0" w:firstLine="0"/>
              <w:jc w:val="center"/>
              <w:rPr>
                <w:rFonts w:ascii="Cambria" w:hAnsi="Cambria" w:cs="Cambria" w:eastAsia="Cambria"/>
                <w:color w:val="auto"/>
                <w:spacing w:val="0"/>
                <w:position w:val="0"/>
                <w:sz w:val="16"/>
                <w:shd w:fill="auto" w:val="clear"/>
              </w:rPr>
            </w:pPr>
          </w:p>
          <w:p>
            <w:pPr>
              <w:spacing w:before="0" w:after="0" w:line="240"/>
              <w:ind w:right="0" w:left="0" w:firstLine="0"/>
              <w:jc w:val="center"/>
              <w:rPr>
                <w:rFonts w:ascii="Cambria" w:hAnsi="Cambria" w:cs="Cambria" w:eastAsia="Cambria"/>
                <w:color w:val="auto"/>
                <w:spacing w:val="0"/>
                <w:position w:val="0"/>
                <w:sz w:val="16"/>
                <w:shd w:fill="auto" w:val="clear"/>
              </w:rPr>
            </w:pPr>
            <w:r>
              <w:rPr>
                <w:rFonts w:ascii="Cambria" w:hAnsi="Cambria" w:cs="Cambria" w:eastAsia="Cambria"/>
                <w:color w:val="auto"/>
                <w:spacing w:val="0"/>
                <w:position w:val="0"/>
                <w:sz w:val="16"/>
                <w:shd w:fill="auto" w:val="clear"/>
              </w:rPr>
              <w:t xml:space="preserve">KARYN E. POLITO</w:t>
            </w:r>
          </w:p>
          <w:p>
            <w:pPr>
              <w:spacing w:before="0" w:after="120" w:line="240"/>
              <w:ind w:right="0" w:left="0" w:firstLine="0"/>
              <w:jc w:val="center"/>
              <w:rPr>
                <w:color w:val="auto"/>
                <w:spacing w:val="0"/>
                <w:position w:val="0"/>
                <w:shd w:fill="auto" w:val="clear"/>
              </w:rPr>
            </w:pPr>
            <w:r>
              <w:rPr>
                <w:rFonts w:ascii="Cambria" w:hAnsi="Cambria" w:cs="Cambria" w:eastAsia="Cambria"/>
                <w:color w:val="auto"/>
                <w:spacing w:val="0"/>
                <w:position w:val="0"/>
                <w:sz w:val="16"/>
                <w:shd w:fill="auto" w:val="clear"/>
              </w:rPr>
              <w:t xml:space="preserve">Lieutenant Governor  </w:t>
            </w:r>
          </w:p>
        </w:tc>
      </w:tr>
    </w:tbl>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5760" w:firstLine="72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Equivalent Pool Supervisor &amp; Lifeguard Training Courses</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(2020)</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720" w:left="-72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NewRoman" w:hAnsi="TimesNewRoman" w:cs="TimesNewRoman" w:eastAsia="TimesNewRoman"/>
          <w:color w:val="auto"/>
          <w:spacing w:val="0"/>
          <w:position w:val="0"/>
          <w:sz w:val="20"/>
          <w:shd w:fill="auto" w:val="clear"/>
        </w:rPr>
      </w:pPr>
      <w:r>
        <w:rPr>
          <w:rFonts w:ascii="TimesNewRoman" w:hAnsi="TimesNewRoman" w:cs="TimesNewRoman" w:eastAsia="TimesNewRoman"/>
          <w:color w:val="auto"/>
          <w:spacing w:val="0"/>
          <w:position w:val="0"/>
          <w:sz w:val="20"/>
          <w:shd w:fill="auto" w:val="clear"/>
        </w:rPr>
        <w:t xml:space="preserve">In accordance with 105 CMR 435.17(2) the </w:t>
      </w:r>
      <w:r>
        <w:rPr>
          <w:rFonts w:ascii="TimesNewRoman" w:hAnsi="TimesNewRoman" w:cs="TimesNewRoman" w:eastAsia="TimesNewRoman"/>
          <w:b/>
          <w:color w:val="0000FF"/>
          <w:spacing w:val="0"/>
          <w:position w:val="0"/>
          <w:sz w:val="20"/>
          <w:u w:val="single"/>
          <w:shd w:fill="auto" w:val="clear"/>
        </w:rPr>
        <w:t xml:space="preserve">pool supervisor</w:t>
      </w:r>
      <w:r>
        <w:rPr>
          <w:rFonts w:ascii="TimesNewRoman" w:hAnsi="TimesNewRoman" w:cs="TimesNewRoman" w:eastAsia="TimesNewRoman"/>
          <w:color w:val="auto"/>
          <w:spacing w:val="0"/>
          <w:position w:val="0"/>
          <w:sz w:val="20"/>
          <w:shd w:fill="auto" w:val="clear"/>
        </w:rPr>
        <w:t xml:space="preserve"> of all public and semi-public swimming pools shall have successfully completed a course in the safe and effective operation and maintenance of swimming pools as evidenced by certification as a Pool Operator from the YMCA, the National Swimming Pool Foundation, </w:t>
      </w:r>
      <w:r>
        <w:rPr>
          <w:rFonts w:ascii="TimesNewRoman" w:hAnsi="TimesNewRoman" w:cs="TimesNewRoman" w:eastAsia="TimesNewRoman"/>
          <w:color w:val="auto"/>
          <w:spacing w:val="0"/>
          <w:position w:val="0"/>
          <w:sz w:val="20"/>
          <w:u w:val="single"/>
          <w:shd w:fill="auto" w:val="clear"/>
        </w:rPr>
        <w:t xml:space="preserve">or from any other organization providing equivalent training, </w:t>
      </w:r>
      <w:r>
        <w:rPr>
          <w:rFonts w:ascii="TimesNewRoman" w:hAnsi="TimesNewRoman" w:cs="TimesNewRoman" w:eastAsia="TimesNewRoman"/>
          <w:b/>
          <w:color w:val="FF0000"/>
          <w:spacing w:val="0"/>
          <w:position w:val="0"/>
          <w:sz w:val="20"/>
          <w:u w:val="single"/>
          <w:shd w:fill="auto" w:val="clear"/>
        </w:rPr>
        <w:t xml:space="preserve">subject to the approval of the Department.</w:t>
      </w:r>
    </w:p>
    <w:p>
      <w:pPr>
        <w:spacing w:before="0" w:after="0" w:line="240"/>
        <w:ind w:right="-72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72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following sixteen (16) hour courses and certifications have been reviewed and approved by the Department as being equivalent </w:t>
      </w:r>
    </w:p>
    <w:p>
      <w:pPr>
        <w:spacing w:before="0" w:after="0" w:line="240"/>
        <w:ind w:right="-72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training for pool supervisors:</w:t>
      </w:r>
    </w:p>
    <w:p>
      <w:pPr>
        <w:spacing w:before="0" w:after="0" w:line="240"/>
        <w:ind w:right="-720" w:left="0" w:firstLine="0"/>
        <w:jc w:val="left"/>
        <w:rPr>
          <w:rFonts w:ascii="Times New Roman" w:hAnsi="Times New Roman" w:cs="Times New Roman" w:eastAsia="Times New Roman"/>
          <w:color w:val="auto"/>
          <w:spacing w:val="0"/>
          <w:position w:val="0"/>
          <w:sz w:val="20"/>
          <w:shd w:fill="auto" w:val="clear"/>
        </w:rPr>
      </w:pPr>
    </w:p>
    <w:p>
      <w:pPr>
        <w:numPr>
          <w:ilvl w:val="0"/>
          <w:numId w:val="14"/>
        </w:numPr>
        <w:tabs>
          <w:tab w:val="left" w:pos="720" w:leader="none"/>
        </w:tabs>
        <w:spacing w:before="0" w:after="0" w:line="240"/>
        <w:ind w:right="-72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American Swimming Pool and Spa Association, Licensed Aquatic Facility Technician (LAFT)</w:t>
      </w:r>
    </w:p>
    <w:p>
      <w:pPr>
        <w:numPr>
          <w:ilvl w:val="0"/>
          <w:numId w:val="14"/>
        </w:numPr>
        <w:tabs>
          <w:tab w:val="left" w:pos="720" w:leader="none"/>
        </w:tabs>
        <w:spacing w:before="0" w:after="0" w:line="240"/>
        <w:ind w:right="-72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Pool &amp; Hot Tub Alliance (PHTA) online certifications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Pool Operator Primer and Two-day LIVE instructor led online class</w:t>
      </w:r>
    </w:p>
    <w:p>
      <w:pPr>
        <w:numPr>
          <w:ilvl w:val="0"/>
          <w:numId w:val="14"/>
        </w:numPr>
        <w:tabs>
          <w:tab w:val="left" w:pos="1440" w:leader="none"/>
        </w:tabs>
        <w:spacing w:before="0" w:after="0" w:line="240"/>
        <w:ind w:right="-720" w:left="144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FF0000"/>
          <w:spacing w:val="0"/>
          <w:position w:val="0"/>
          <w:sz w:val="20"/>
          <w:u w:val="single"/>
          <w:shd w:fill="auto" w:val="clear"/>
        </w:rPr>
        <w:t xml:space="preserve">for recertification only </w:t>
      </w:r>
      <w:r>
        <w:rPr>
          <w:rFonts w:ascii="Times New Roman" w:hAnsi="Times New Roman" w:cs="Times New Roman" w:eastAsia="Times New Roman"/>
          <w:color w:val="auto"/>
          <w:spacing w:val="0"/>
          <w:position w:val="0"/>
          <w:sz w:val="20"/>
          <w:u w:val="single"/>
          <w:shd w:fill="auto" w:val="clear"/>
        </w:rPr>
        <w:t xml:space="preserve">–</w:t>
      </w:r>
      <w:r>
        <w:rPr>
          <w:rFonts w:ascii="Times New Roman" w:hAnsi="Times New Roman" w:cs="Times New Roman" w:eastAsia="Times New Roman"/>
          <w:color w:val="auto"/>
          <w:spacing w:val="0"/>
          <w:position w:val="0"/>
          <w:sz w:val="20"/>
          <w:u w:val="single"/>
          <w:shd w:fill="auto" w:val="clear"/>
        </w:rPr>
        <w:t xml:space="preserve"> proof of previous 16 hour classroom training is required</w:t>
      </w:r>
    </w:p>
    <w:p>
      <w:pPr>
        <w:numPr>
          <w:ilvl w:val="0"/>
          <w:numId w:val="14"/>
        </w:numPr>
        <w:tabs>
          <w:tab w:val="left" w:pos="720" w:leader="none"/>
        </w:tabs>
        <w:spacing w:before="0" w:after="0" w:line="240"/>
        <w:ind w:right="-72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Aquatic Safety Research Group, Practical Pool Management Plus (PPM+)</w:t>
      </w:r>
    </w:p>
    <w:p>
      <w:pPr>
        <w:numPr>
          <w:ilvl w:val="0"/>
          <w:numId w:val="14"/>
        </w:numPr>
        <w:tabs>
          <w:tab w:val="left" w:pos="720" w:leader="none"/>
        </w:tabs>
        <w:spacing w:before="0" w:after="0" w:line="240"/>
        <w:ind w:right="-72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National Recreation and Park Association, Aquatic Facility Operator (AFO)</w:t>
      </w:r>
    </w:p>
    <w:p>
      <w:pPr>
        <w:numPr>
          <w:ilvl w:val="0"/>
          <w:numId w:val="14"/>
        </w:numPr>
        <w:tabs>
          <w:tab w:val="left" w:pos="720" w:leader="none"/>
        </w:tabs>
        <w:spacing w:before="0" w:after="0" w:line="240"/>
        <w:ind w:right="-72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Aquatic Safety Research Group, eight (8) hour Practical Pool Management (PPM)</w:t>
      </w:r>
    </w:p>
    <w:p>
      <w:pPr>
        <w:numPr>
          <w:ilvl w:val="0"/>
          <w:numId w:val="14"/>
        </w:numPr>
        <w:tabs>
          <w:tab w:val="left" w:pos="1440" w:leader="none"/>
        </w:tabs>
        <w:spacing w:before="0" w:after="0" w:line="240"/>
        <w:ind w:right="-720" w:left="144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FF0000"/>
          <w:spacing w:val="0"/>
          <w:position w:val="0"/>
          <w:sz w:val="20"/>
          <w:u w:val="single"/>
          <w:shd w:fill="auto" w:val="clear"/>
        </w:rPr>
        <w:t xml:space="preserve">for recertification only </w:t>
      </w:r>
      <w:r>
        <w:rPr>
          <w:rFonts w:ascii="Times New Roman" w:hAnsi="Times New Roman" w:cs="Times New Roman" w:eastAsia="Times New Roman"/>
          <w:color w:val="auto"/>
          <w:spacing w:val="0"/>
          <w:position w:val="0"/>
          <w:sz w:val="20"/>
          <w:u w:val="single"/>
          <w:shd w:fill="auto" w:val="clear"/>
        </w:rPr>
        <w:t xml:space="preserve">–</w:t>
      </w:r>
      <w:r>
        <w:rPr>
          <w:rFonts w:ascii="Times New Roman" w:hAnsi="Times New Roman" w:cs="Times New Roman" w:eastAsia="Times New Roman"/>
          <w:color w:val="auto"/>
          <w:spacing w:val="0"/>
          <w:position w:val="0"/>
          <w:sz w:val="20"/>
          <w:u w:val="single"/>
          <w:shd w:fill="auto" w:val="clear"/>
        </w:rPr>
        <w:t xml:space="preserve"> proof of previous 16 hour classroom training is required</w:t>
      </w:r>
    </w:p>
    <w:p>
      <w:pPr>
        <w:numPr>
          <w:ilvl w:val="0"/>
          <w:numId w:val="14"/>
        </w:numPr>
        <w:tabs>
          <w:tab w:val="left" w:pos="720" w:leader="none"/>
        </w:tabs>
        <w:spacing w:before="0" w:after="0" w:line="240"/>
        <w:ind w:right="-720" w:left="72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Aquatic Training Institute, </w:t>
      </w:r>
      <w:r>
        <w:rPr>
          <w:rFonts w:ascii="Times New Roman" w:hAnsi="Times New Roman" w:cs="Times New Roman" w:eastAsia="Times New Roman"/>
          <w:i/>
          <w:color w:val="auto"/>
          <w:spacing w:val="0"/>
          <w:position w:val="0"/>
          <w:sz w:val="20"/>
          <w:shd w:fill="auto" w:val="clear"/>
        </w:rPr>
        <w:t xml:space="preserve">on-line</w:t>
      </w:r>
      <w:r>
        <w:rPr>
          <w:rFonts w:ascii="Times New Roman" w:hAnsi="Times New Roman" w:cs="Times New Roman" w:eastAsia="Times New Roman"/>
          <w:color w:val="auto"/>
          <w:spacing w:val="0"/>
          <w:position w:val="0"/>
          <w:sz w:val="20"/>
          <w:shd w:fill="auto" w:val="clear"/>
        </w:rPr>
        <w:t xml:space="preserve"> Certified Pool Technician (CPT)</w:t>
      </w:r>
    </w:p>
    <w:p>
      <w:pPr>
        <w:numPr>
          <w:ilvl w:val="0"/>
          <w:numId w:val="14"/>
        </w:numPr>
        <w:tabs>
          <w:tab w:val="left" w:pos="1440" w:leader="none"/>
        </w:tabs>
        <w:spacing w:before="0" w:after="0" w:line="240"/>
        <w:ind w:right="-720" w:left="1440" w:hanging="360"/>
        <w:jc w:val="left"/>
        <w:rPr>
          <w:rFonts w:ascii="Times New Roman" w:hAnsi="Times New Roman" w:cs="Times New Roman" w:eastAsia="Times New Roman"/>
          <w:color w:val="FF0000"/>
          <w:spacing w:val="0"/>
          <w:position w:val="0"/>
          <w:sz w:val="20"/>
          <w:u w:val="single"/>
          <w:shd w:fill="auto" w:val="clear"/>
        </w:rPr>
      </w:pPr>
      <w:r>
        <w:rPr>
          <w:rFonts w:ascii="Times New Roman" w:hAnsi="Times New Roman" w:cs="Times New Roman" w:eastAsia="Times New Roman"/>
          <w:color w:val="FF0000"/>
          <w:spacing w:val="0"/>
          <w:position w:val="0"/>
          <w:sz w:val="20"/>
          <w:u w:val="single"/>
          <w:shd w:fill="auto" w:val="clear"/>
        </w:rPr>
        <w:t xml:space="preserve">for recertification only </w:t>
      </w:r>
      <w:r>
        <w:rPr>
          <w:rFonts w:ascii="Times New Roman" w:hAnsi="Times New Roman" w:cs="Times New Roman" w:eastAsia="Times New Roman"/>
          <w:color w:val="auto"/>
          <w:spacing w:val="0"/>
          <w:position w:val="0"/>
          <w:sz w:val="20"/>
          <w:u w:val="single"/>
          <w:shd w:fill="auto" w:val="clear"/>
        </w:rPr>
        <w:t xml:space="preserve">–</w:t>
      </w:r>
      <w:r>
        <w:rPr>
          <w:rFonts w:ascii="Times New Roman" w:hAnsi="Times New Roman" w:cs="Times New Roman" w:eastAsia="Times New Roman"/>
          <w:color w:val="auto"/>
          <w:spacing w:val="0"/>
          <w:position w:val="0"/>
          <w:sz w:val="20"/>
          <w:u w:val="single"/>
          <w:shd w:fill="auto" w:val="clear"/>
        </w:rPr>
        <w:t xml:space="preserve"> proof of previous 16 hour classroom training is required</w:t>
      </w:r>
    </w:p>
    <w:p>
      <w:pPr>
        <w:spacing w:before="0" w:after="0" w:line="240"/>
        <w:ind w:right="-72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72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72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NewRoman" w:hAnsi="TimesNewRoman" w:cs="TimesNewRoman" w:eastAsia="TimesNewRoman"/>
          <w:color w:val="auto"/>
          <w:spacing w:val="0"/>
          <w:position w:val="0"/>
          <w:sz w:val="20"/>
          <w:shd w:fill="auto" w:val="clear"/>
        </w:rPr>
      </w:pPr>
      <w:r>
        <w:rPr>
          <w:rFonts w:ascii="TimesNewRoman" w:hAnsi="TimesNewRoman" w:cs="TimesNewRoman" w:eastAsia="TimesNewRoman"/>
          <w:color w:val="auto"/>
          <w:spacing w:val="0"/>
          <w:position w:val="0"/>
          <w:sz w:val="20"/>
          <w:shd w:fill="auto" w:val="clear"/>
        </w:rPr>
        <w:t xml:space="preserve">Pursuant to 105 CMR 435.23(1) all </w:t>
      </w:r>
      <w:r>
        <w:rPr>
          <w:rFonts w:ascii="TimesNewRoman" w:hAnsi="TimesNewRoman" w:cs="TimesNewRoman" w:eastAsia="TimesNewRoman"/>
          <w:b/>
          <w:color w:val="0000FF"/>
          <w:spacing w:val="0"/>
          <w:position w:val="0"/>
          <w:sz w:val="20"/>
          <w:u w:val="single"/>
          <w:shd w:fill="auto" w:val="clear"/>
        </w:rPr>
        <w:t xml:space="preserve">lifeguards</w:t>
      </w:r>
      <w:r>
        <w:rPr>
          <w:rFonts w:ascii="TimesNewRoman" w:hAnsi="TimesNewRoman" w:cs="TimesNewRoman" w:eastAsia="TimesNewRoman"/>
          <w:color w:val="auto"/>
          <w:spacing w:val="0"/>
          <w:position w:val="0"/>
          <w:sz w:val="20"/>
          <w:shd w:fill="auto" w:val="clear"/>
        </w:rPr>
        <w:t xml:space="preserve"> shall hold the following certifications:</w:t>
      </w:r>
    </w:p>
    <w:p>
      <w:pPr>
        <w:spacing w:before="0" w:after="0" w:line="240"/>
        <w:ind w:right="0" w:left="0" w:firstLine="0"/>
        <w:jc w:val="left"/>
        <w:rPr>
          <w:rFonts w:ascii="TimesNewRoman" w:hAnsi="TimesNewRoman" w:cs="TimesNewRoman" w:eastAsia="TimesNewRoman"/>
          <w:color w:val="auto"/>
          <w:spacing w:val="0"/>
          <w:position w:val="0"/>
          <w:sz w:val="20"/>
          <w:shd w:fill="auto" w:val="clear"/>
        </w:rPr>
      </w:pPr>
      <w:r>
        <w:rPr>
          <w:rFonts w:ascii="TimesNewRoman" w:hAnsi="TimesNewRoman" w:cs="TimesNewRoman" w:eastAsia="TimesNewRoman"/>
          <w:color w:val="auto"/>
          <w:spacing w:val="0"/>
          <w:position w:val="0"/>
          <w:sz w:val="20"/>
          <w:shd w:fill="auto" w:val="clear"/>
        </w:rPr>
        <w:t xml:space="preserve">(a) a current Red Cross Lifeguard Training Certificate, or Royal Bronze Medallion, or Boy Scouts of America Lifeguard Certificate or National Y.M.C.A. Lifeguard Certificate or an equivalent certification, </w:t>
      </w:r>
      <w:r>
        <w:rPr>
          <w:rFonts w:ascii="TimesNewRoman" w:hAnsi="TimesNewRoman" w:cs="TimesNewRoman" w:eastAsia="TimesNewRoman"/>
          <w:color w:val="auto"/>
          <w:spacing w:val="0"/>
          <w:position w:val="0"/>
          <w:sz w:val="20"/>
          <w:u w:val="single"/>
          <w:shd w:fill="auto" w:val="clear"/>
        </w:rPr>
        <w:t xml:space="preserve">provided however, that no such alternative certification shall be deemed equivalent unless it shall contain all of the minimum requirements mandated or required by one or more of the foregoing certification programs</w:t>
      </w:r>
      <w:r>
        <w:rPr>
          <w:rFonts w:ascii="TimesNewRoman" w:hAnsi="TimesNewRoman" w:cs="TimesNewRoman" w:eastAsia="TimesNewRoman"/>
          <w:color w:val="auto"/>
          <w:spacing w:val="0"/>
          <w:position w:val="0"/>
          <w:sz w:val="20"/>
          <w:shd w:fill="auto" w:val="clear"/>
        </w:rPr>
        <w:t xml:space="preserve">; and</w:t>
      </w:r>
    </w:p>
    <w:p>
      <w:pPr>
        <w:spacing w:before="0" w:after="0" w:line="240"/>
        <w:ind w:right="0" w:left="0" w:firstLine="0"/>
        <w:jc w:val="left"/>
        <w:rPr>
          <w:rFonts w:ascii="TimesNewRoman" w:hAnsi="TimesNewRoman" w:cs="TimesNewRoman" w:eastAsia="TimesNewRoman"/>
          <w:color w:val="auto"/>
          <w:spacing w:val="0"/>
          <w:position w:val="0"/>
          <w:sz w:val="20"/>
          <w:shd w:fill="auto" w:val="clear"/>
        </w:rPr>
      </w:pPr>
      <w:r>
        <w:rPr>
          <w:rFonts w:ascii="TimesNewRoman" w:hAnsi="TimesNewRoman" w:cs="TimesNewRoman" w:eastAsia="TimesNewRoman"/>
          <w:color w:val="auto"/>
          <w:spacing w:val="0"/>
          <w:position w:val="0"/>
          <w:sz w:val="20"/>
          <w:shd w:fill="auto" w:val="clear"/>
        </w:rPr>
        <w:t xml:space="preserve">(b) a current American Red Cross CPR Certificate for the Professional Rescuer or American Heart Association CPR Certificate for the Health Care Provider, or National Safety Council CPR Training; and</w:t>
      </w:r>
    </w:p>
    <w:p>
      <w:pPr>
        <w:spacing w:before="0" w:after="0" w:line="240"/>
        <w:ind w:right="0" w:left="0" w:firstLine="0"/>
        <w:jc w:val="left"/>
        <w:rPr>
          <w:rFonts w:ascii="TimesNewRoman" w:hAnsi="TimesNewRoman" w:cs="TimesNewRoman" w:eastAsia="TimesNewRoman"/>
          <w:color w:val="auto"/>
          <w:spacing w:val="0"/>
          <w:position w:val="0"/>
          <w:sz w:val="20"/>
          <w:shd w:fill="auto" w:val="clear"/>
        </w:rPr>
      </w:pPr>
      <w:r>
        <w:rPr>
          <w:rFonts w:ascii="TimesNewRoman" w:hAnsi="TimesNewRoman" w:cs="TimesNewRoman" w:eastAsia="TimesNewRoman"/>
          <w:color w:val="auto"/>
          <w:spacing w:val="0"/>
          <w:position w:val="0"/>
          <w:sz w:val="20"/>
          <w:shd w:fill="auto" w:val="clear"/>
        </w:rPr>
        <w:t xml:space="preserve">(c) a Red Cross Standard First Aid Certificate, or a Red Cross Community First Aid and Safety Certificate (which certification may be evidenced by a notation on the back of any Red Cross Lifeguard Training Certificate), or National Safety Council First Aid Training, Level 2, or an equivalent certification, </w:t>
      </w:r>
      <w:r>
        <w:rPr>
          <w:rFonts w:ascii="TimesNewRoman" w:hAnsi="TimesNewRoman" w:cs="TimesNewRoman" w:eastAsia="TimesNewRoman"/>
          <w:color w:val="auto"/>
          <w:spacing w:val="0"/>
          <w:position w:val="0"/>
          <w:sz w:val="20"/>
          <w:u w:val="single"/>
          <w:shd w:fill="auto" w:val="clear"/>
        </w:rPr>
        <w:t xml:space="preserve">provided however, that no such alternative</w:t>
      </w:r>
      <w:r>
        <w:rPr>
          <w:rFonts w:ascii="TimesNewRoman" w:hAnsi="TimesNewRoman" w:cs="TimesNewRoman" w:eastAsia="TimesNewRoman"/>
          <w:color w:val="auto"/>
          <w:spacing w:val="0"/>
          <w:position w:val="0"/>
          <w:sz w:val="20"/>
          <w:shd w:fill="auto" w:val="clear"/>
        </w:rPr>
        <w:t xml:space="preserve"> </w:t>
      </w:r>
      <w:r>
        <w:rPr>
          <w:rFonts w:ascii="TimesNewRoman" w:hAnsi="TimesNewRoman" w:cs="TimesNewRoman" w:eastAsia="TimesNewRoman"/>
          <w:color w:val="auto"/>
          <w:spacing w:val="0"/>
          <w:position w:val="0"/>
          <w:sz w:val="20"/>
          <w:u w:val="single"/>
          <w:shd w:fill="auto" w:val="clear"/>
        </w:rPr>
        <w:t xml:space="preserve">certification shall be deemed equivalent unless it shall contain all of the minimum</w:t>
      </w:r>
      <w:r>
        <w:rPr>
          <w:rFonts w:ascii="TimesNewRoman" w:hAnsi="TimesNewRoman" w:cs="TimesNewRoman" w:eastAsia="TimesNewRoman"/>
          <w:color w:val="auto"/>
          <w:spacing w:val="0"/>
          <w:position w:val="0"/>
          <w:sz w:val="20"/>
          <w:shd w:fill="auto" w:val="clear"/>
        </w:rPr>
        <w:t xml:space="preserve"> </w:t>
      </w:r>
      <w:r>
        <w:rPr>
          <w:rFonts w:ascii="TimesNewRoman" w:hAnsi="TimesNewRoman" w:cs="TimesNewRoman" w:eastAsia="TimesNewRoman"/>
          <w:color w:val="auto"/>
          <w:spacing w:val="0"/>
          <w:position w:val="0"/>
          <w:sz w:val="20"/>
          <w:u w:val="single"/>
          <w:shd w:fill="auto" w:val="clear"/>
        </w:rPr>
        <w:t xml:space="preserve">requirements of one of the foregoing certification programs.</w:t>
      </w:r>
    </w:p>
    <w:p>
      <w:pPr>
        <w:spacing w:before="0" w:after="0" w:line="240"/>
        <w:ind w:right="0" w:left="0" w:firstLine="0"/>
        <w:jc w:val="left"/>
        <w:rPr>
          <w:rFonts w:ascii="TimesNewRoman" w:hAnsi="TimesNewRoman" w:cs="TimesNewRoman" w:eastAsia="TimesNewRoman"/>
          <w:color w:val="auto"/>
          <w:spacing w:val="0"/>
          <w:position w:val="0"/>
          <w:sz w:val="20"/>
          <w:u w:val="single"/>
          <w:shd w:fill="auto" w:val="clear"/>
        </w:rPr>
      </w:pPr>
    </w:p>
    <w:p>
      <w:pPr>
        <w:spacing w:before="0" w:after="0" w:line="240"/>
        <w:ind w:right="0" w:left="0" w:firstLine="0"/>
        <w:jc w:val="left"/>
        <w:rPr>
          <w:rFonts w:ascii="TimesNewRoman" w:hAnsi="TimesNewRoman" w:cs="TimesNewRoman" w:eastAsia="TimesNewRoman"/>
          <w:color w:val="auto"/>
          <w:spacing w:val="0"/>
          <w:position w:val="0"/>
          <w:sz w:val="20"/>
          <w:u w:val="single"/>
          <w:shd w:fill="auto" w:val="clear"/>
        </w:rPr>
      </w:pPr>
    </w:p>
    <w:p>
      <w:pPr>
        <w:spacing w:before="0" w:after="0" w:line="240"/>
        <w:ind w:right="0" w:left="0" w:firstLine="0"/>
        <w:jc w:val="left"/>
        <w:rPr>
          <w:rFonts w:ascii="TimesNewRoman" w:hAnsi="TimesNewRoman" w:cs="TimesNewRoman" w:eastAsia="TimesNewRoman"/>
          <w:color w:val="FF0000"/>
          <w:spacing w:val="0"/>
          <w:position w:val="0"/>
          <w:sz w:val="20"/>
          <w:u w:val="single"/>
          <w:shd w:fill="auto" w:val="clear"/>
        </w:rPr>
      </w:pPr>
      <w:r>
        <w:rPr>
          <w:rFonts w:ascii="TimesNewRoman" w:hAnsi="TimesNewRoman" w:cs="TimesNewRoman" w:eastAsia="TimesNewRoman"/>
          <w:color w:val="FF0000"/>
          <w:spacing w:val="0"/>
          <w:position w:val="0"/>
          <w:sz w:val="20"/>
          <w:u w:val="single"/>
          <w:shd w:fill="auto" w:val="clear"/>
        </w:rPr>
        <w:t xml:space="preserve">The Department does not have statutory authority to approve equivalent lifeguard training, cardiopulmonary resuscitation (CPR), or first aid training pursuant to 105 CMR 435.23(1).  However, it is highly recommended that any equivalent CPR training be approved by the Massachusetts Office of Emergency Medical Services (OEMS) for Emergency Medical Technician (EMT) CPR training. </w:t>
      </w:r>
    </w:p>
    <w:p>
      <w:pPr>
        <w:spacing w:before="0" w:after="0" w:line="240"/>
        <w:ind w:right="0" w:left="0" w:firstLine="0"/>
        <w:jc w:val="left"/>
        <w:rPr>
          <w:rFonts w:ascii="Rockwell" w:hAnsi="Rockwell" w:cs="Rockwell" w:eastAsia="Rockwell"/>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