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DC394" w14:textId="0F40223C" w:rsidR="00B42C1A" w:rsidRPr="00920A32" w:rsidRDefault="00B42C1A" w:rsidP="008241D9">
      <w:pPr>
        <w:pStyle w:val="Heading2"/>
        <w:jc w:val="center"/>
        <w:rPr>
          <w:sz w:val="32"/>
        </w:rPr>
      </w:pPr>
      <w:r w:rsidRPr="00920A32">
        <w:rPr>
          <w:sz w:val="32"/>
        </w:rPr>
        <w:t>Estimating Carbon for Forest Stewardship Climate Plans</w:t>
      </w:r>
    </w:p>
    <w:p w14:paraId="2A6E1B89" w14:textId="77777777" w:rsidR="008241D9" w:rsidRPr="008241D9" w:rsidRDefault="008241D9" w:rsidP="008241D9"/>
    <w:p w14:paraId="7729A7DB" w14:textId="2AA2BECF" w:rsidR="008241D9" w:rsidRPr="00920A32" w:rsidRDefault="008241D9" w:rsidP="008241D9">
      <w:pPr>
        <w:rPr>
          <w:b/>
          <w:sz w:val="28"/>
          <w:szCs w:val="28"/>
        </w:rPr>
      </w:pPr>
      <w:r w:rsidRPr="00920A32">
        <w:rPr>
          <w:b/>
          <w:sz w:val="28"/>
          <w:szCs w:val="28"/>
        </w:rPr>
        <w:t>Estimating Carbon</w:t>
      </w:r>
      <w:r w:rsidR="00964269" w:rsidRPr="00920A32">
        <w:rPr>
          <w:b/>
          <w:sz w:val="28"/>
          <w:szCs w:val="28"/>
        </w:rPr>
        <w:t xml:space="preserve"> Stocks</w:t>
      </w:r>
    </w:p>
    <w:p w14:paraId="44E62846" w14:textId="77777777" w:rsidR="00F65915" w:rsidRDefault="009302DC" w:rsidP="00152474">
      <w:pPr>
        <w:ind w:firstLine="720"/>
      </w:pPr>
      <w:r>
        <w:t xml:space="preserve">Landowners are increasingly interested in the amount of carbon stored in and sequestered by their woodlands. One of the requirements of the Forest Stewardship Climate Plan is to </w:t>
      </w:r>
      <w:r w:rsidR="005E2CF8">
        <w:t>provide an estimate of carbon stocks for the education of landowners. This document provides tables for estimating carbon stocks based on stand basal area.</w:t>
      </w:r>
    </w:p>
    <w:p w14:paraId="571577FE" w14:textId="64D7A0D7" w:rsidR="00F65915" w:rsidRDefault="2B22AADE" w:rsidP="00152474">
      <w:pPr>
        <w:ind w:firstLine="720"/>
      </w:pPr>
      <w:r>
        <w:t xml:space="preserve"> While there are many factors that influence carbon stocks in forests </w:t>
      </w:r>
      <w:r w:rsidR="17F83CD7">
        <w:t>—</w:t>
      </w:r>
      <w:r>
        <w:t>within Massachusetts Ecoregions (see figure)</w:t>
      </w:r>
      <w:r w:rsidR="17F83CD7">
        <w:t xml:space="preserve">— </w:t>
      </w:r>
      <w:r>
        <w:t xml:space="preserve">basal area typically explains 80% or more of the variation in live and standing dead tree carbon stocks, and thus provides a good first-order predictor. The </w:t>
      </w:r>
      <w:r w:rsidR="311F3981">
        <w:t>document</w:t>
      </w:r>
      <w:r>
        <w:t xml:space="preserve"> </w:t>
      </w:r>
      <w:r w:rsidRPr="4BD33BC2">
        <w:rPr>
          <w:i/>
          <w:iCs/>
        </w:rPr>
        <w:t>Managing Forest</w:t>
      </w:r>
      <w:r w:rsidR="2EE3969C" w:rsidRPr="4BD33BC2">
        <w:rPr>
          <w:i/>
          <w:iCs/>
        </w:rPr>
        <w:t>s for</w:t>
      </w:r>
      <w:r w:rsidRPr="4BD33BC2">
        <w:rPr>
          <w:i/>
          <w:iCs/>
        </w:rPr>
        <w:t xml:space="preserve"> Carbon in Massachusetts</w:t>
      </w:r>
      <w:r>
        <w:t xml:space="preserve"> provide</w:t>
      </w:r>
      <w:r w:rsidR="311F3981">
        <w:t>s</w:t>
      </w:r>
      <w:r>
        <w:t xml:space="preserve"> </w:t>
      </w:r>
      <w:r w:rsidR="023574A3">
        <w:t xml:space="preserve">a summary of </w:t>
      </w:r>
      <w:r w:rsidR="3C1A7B8B">
        <w:t>forest carbon inventory</w:t>
      </w:r>
      <w:r w:rsidR="58D02ADB">
        <w:t xml:space="preserve">, as well as resources for foresters who are interested in more precise carbon inventory. </w:t>
      </w:r>
      <w:r w:rsidR="3C1A7B8B">
        <w:t xml:space="preserve">The </w:t>
      </w:r>
      <w:hyperlink r:id="rId8">
        <w:r w:rsidR="3C1A7B8B" w:rsidRPr="4BD33BC2">
          <w:rPr>
            <w:rStyle w:val="Hyperlink"/>
          </w:rPr>
          <w:t>Securing Northeast Forest Carbon Program</w:t>
        </w:r>
      </w:hyperlink>
      <w:r w:rsidR="3C1A7B8B">
        <w:t xml:space="preserve"> </w:t>
      </w:r>
      <w:r w:rsidR="58D02ADB">
        <w:t>has additional information on the topic and is developing a</w:t>
      </w:r>
      <w:r w:rsidR="62D9932F">
        <w:t>n online tool for calculating forest carbon stocks following the methods described here.</w:t>
      </w:r>
    </w:p>
    <w:p w14:paraId="74BA0E79" w14:textId="40E126E2" w:rsidR="009302DC" w:rsidRDefault="00A335D0" w:rsidP="00152474">
      <w:pPr>
        <w:ind w:firstLine="720"/>
      </w:pPr>
      <w:r>
        <w:rPr>
          <w:noProof/>
        </w:rPr>
        <w:drawing>
          <wp:anchor distT="0" distB="0" distL="114300" distR="114300" simplePos="0" relativeHeight="251658240" behindDoc="0" locked="0" layoutInCell="1" allowOverlap="1" wp14:anchorId="5B367D1D" wp14:editId="35902D0E">
            <wp:simplePos x="0" y="0"/>
            <wp:positionH relativeFrom="margin">
              <wp:align>center</wp:align>
            </wp:positionH>
            <wp:positionV relativeFrom="paragraph">
              <wp:posOffset>1285240</wp:posOffset>
            </wp:positionV>
            <wp:extent cx="4590288" cy="3300984"/>
            <wp:effectExtent l="0" t="0" r="1270" b="0"/>
            <wp:wrapTopAndBottom/>
            <wp:docPr id="1"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10;&#10;Description automatically generate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526" t="8304" r="4635" b="7959"/>
                    <a:stretch/>
                  </pic:blipFill>
                  <pic:spPr bwMode="auto">
                    <a:xfrm>
                      <a:off x="0" y="0"/>
                      <a:ext cx="4590288" cy="330098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48F2CE69">
        <w:t xml:space="preserve">This document provides tables </w:t>
      </w:r>
      <w:r w:rsidR="28D43C07">
        <w:t xml:space="preserve">(one for live trees and one for standing dead trees within each ecoregion) </w:t>
      </w:r>
      <w:r w:rsidR="48F2CE69">
        <w:t>relating carbon stocks in tons per acre (t</w:t>
      </w:r>
      <w:r w:rsidR="00F91B04">
        <w:t>o</w:t>
      </w:r>
      <w:r w:rsidR="00D93181">
        <w:t>n</w:t>
      </w:r>
      <w:r w:rsidR="48F2CE69">
        <w:t>/ac) to basal area in square feet per acre (ft</w:t>
      </w:r>
      <w:r w:rsidR="48F2CE69" w:rsidRPr="761A4F49">
        <w:rPr>
          <w:vertAlign w:val="superscript"/>
        </w:rPr>
        <w:t>2</w:t>
      </w:r>
      <w:r w:rsidR="48F2CE69">
        <w:t xml:space="preserve">/ac). </w:t>
      </w:r>
      <w:r w:rsidR="0BC9D472">
        <w:t xml:space="preserve">These tables can be used to estimate carbon stocks for your Forest Stewardship Climate Plan. </w:t>
      </w:r>
      <w:r w:rsidR="48F2CE69">
        <w:t>Additional tables provide the percentiles that correspond to basal area and carbon stocks</w:t>
      </w:r>
      <w:r w:rsidR="446F4F1A">
        <w:t xml:space="preserve"> for the given ecoregion</w:t>
      </w:r>
      <w:r w:rsidR="48F2CE69">
        <w:t>. As an example, a stand with a basal area that corresponds to the 50</w:t>
      </w:r>
      <w:r w:rsidR="48F2CE69" w:rsidRPr="761A4F49">
        <w:rPr>
          <w:vertAlign w:val="superscript"/>
        </w:rPr>
        <w:t>th</w:t>
      </w:r>
      <w:r w:rsidR="48F2CE69">
        <w:t xml:space="preserve"> percentile, has as much or more carbon than 50% of stands within the corresponding ecoregion within Massachusetts.</w:t>
      </w:r>
      <w:r w:rsidR="0BC9D472">
        <w:t xml:space="preserve"> These tables can be used to compare a given stand</w:t>
      </w:r>
      <w:r w:rsidR="149289EF">
        <w:t>’s carbon stocks</w:t>
      </w:r>
      <w:r w:rsidR="0BC9D472">
        <w:t xml:space="preserve"> to others within the same ecoregion.</w:t>
      </w:r>
    </w:p>
    <w:p w14:paraId="7B54BBFC" w14:textId="0B95D802" w:rsidR="001842BA" w:rsidRDefault="001842BA" w:rsidP="00EC4501">
      <w:pPr>
        <w:ind w:firstLine="720"/>
        <w:jc w:val="center"/>
      </w:pPr>
    </w:p>
    <w:p w14:paraId="3BC66B85" w14:textId="59ECFAED" w:rsidR="00016B4D" w:rsidRDefault="00B42C1A" w:rsidP="00EC4501">
      <w:pPr>
        <w:jc w:val="center"/>
      </w:pPr>
      <w:r w:rsidRPr="00751819">
        <w:rPr>
          <w:b/>
        </w:rPr>
        <w:t>Figure</w:t>
      </w:r>
      <w:r w:rsidR="00F65915" w:rsidRPr="00751819">
        <w:rPr>
          <w:b/>
        </w:rPr>
        <w:t xml:space="preserve"> 1</w:t>
      </w:r>
      <w:r w:rsidR="00F65915">
        <w:rPr>
          <w:b/>
        </w:rPr>
        <w:t>.</w:t>
      </w:r>
      <w:r>
        <w:t xml:space="preserve"> The three ecoregions of Massachusetts with outlines of municipal borders.</w:t>
      </w:r>
    </w:p>
    <w:p w14:paraId="155957EB" w14:textId="77777777" w:rsidR="00016B4D" w:rsidRDefault="00016B4D" w:rsidP="00016B4D">
      <w:pPr>
        <w:ind w:firstLine="720"/>
      </w:pPr>
    </w:p>
    <w:p w14:paraId="3BE7EE07" w14:textId="2F0B095E" w:rsidR="00016B4D" w:rsidRPr="00920A32" w:rsidRDefault="00016B4D" w:rsidP="00016B4D">
      <w:pPr>
        <w:rPr>
          <w:b/>
          <w:sz w:val="28"/>
          <w:szCs w:val="28"/>
        </w:rPr>
      </w:pPr>
      <w:r w:rsidRPr="00920A32">
        <w:rPr>
          <w:b/>
          <w:sz w:val="28"/>
          <w:szCs w:val="28"/>
        </w:rPr>
        <w:t>Carbon Sequestration Rates</w:t>
      </w:r>
    </w:p>
    <w:p w14:paraId="035DB7AE" w14:textId="1FF65581" w:rsidR="00075F66" w:rsidRDefault="0B13F31B" w:rsidP="00751819">
      <w:pPr>
        <w:ind w:firstLine="720"/>
      </w:pPr>
      <w:r>
        <w:t>Carbon sequestration rates</w:t>
      </w:r>
      <w:r w:rsidR="320E35E6">
        <w:t>, the rate at which stands take up carbon,</w:t>
      </w:r>
      <w:r>
        <w:t xml:space="preserve"> are difficult to assess without repeated measurements. When these are not available, a rough idea of</w:t>
      </w:r>
      <w:r w:rsidR="003E3E7E">
        <w:t xml:space="preserve"> changes in</w:t>
      </w:r>
      <w:r>
        <w:t xml:space="preserve"> stand sequestration rate can be derived from the net growth of live</w:t>
      </w:r>
      <w:r w:rsidR="002B00F1">
        <w:t>-</w:t>
      </w:r>
      <w:r>
        <w:t xml:space="preserve">tree carbon stocks. Because stand age is often not precisely known and sequestration rates represent a complex interaction between carbon pools, estimating carbon sequestration is imprecise. The </w:t>
      </w:r>
      <w:r w:rsidR="13EC1080">
        <w:t xml:space="preserve">accompanying figure shows the general trend of live tree carbon </w:t>
      </w:r>
      <w:r w:rsidR="003E3E7E">
        <w:t xml:space="preserve">sequestration </w:t>
      </w:r>
      <w:r w:rsidR="13EC1080">
        <w:t xml:space="preserve">with stand age for Massachusetts forests. This figure can provide an indication of how </w:t>
      </w:r>
      <w:r w:rsidR="003E3E7E">
        <w:t xml:space="preserve">stand </w:t>
      </w:r>
      <w:r w:rsidR="13EC1080">
        <w:t xml:space="preserve">sequestration rates may change in correlation with stand age given the significance of the live tree carbon pool. While it is not required to report </w:t>
      </w:r>
      <w:r w:rsidR="007F3BFE">
        <w:t xml:space="preserve">a </w:t>
      </w:r>
      <w:r w:rsidR="13EC1080">
        <w:t>carbon sequestration rate in the Forest Stewardship Climate Plan, we provide this resource as an educational tool.</w:t>
      </w:r>
    </w:p>
    <w:p w14:paraId="25020FE3" w14:textId="572D6D6C" w:rsidR="00331ADE" w:rsidRDefault="55656477" w:rsidP="55656477">
      <w:pPr>
        <w:jc w:val="center"/>
      </w:pPr>
      <w:r>
        <w:rPr>
          <w:noProof/>
        </w:rPr>
        <w:drawing>
          <wp:inline distT="0" distB="0" distL="0" distR="0" wp14:anchorId="05AD6AFE" wp14:editId="58135474">
            <wp:extent cx="6089904" cy="3913632"/>
            <wp:effectExtent l="0" t="0" r="6350" b="0"/>
            <wp:docPr id="490167605" name="Picture 490167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167605" name="Picture 490167605"/>
                    <pic:cNvPicPr/>
                  </pic:nvPicPr>
                  <pic:blipFill>
                    <a:blip r:embed="rId10">
                      <a:extLst>
                        <a:ext uri="{28A0092B-C50C-407E-A947-70E740481C1C}">
                          <a14:useLocalDpi xmlns:a14="http://schemas.microsoft.com/office/drawing/2010/main" val="0"/>
                        </a:ext>
                      </a:extLst>
                    </a:blip>
                    <a:stretch>
                      <a:fillRect/>
                    </a:stretch>
                  </pic:blipFill>
                  <pic:spPr>
                    <a:xfrm>
                      <a:off x="0" y="0"/>
                      <a:ext cx="6089904" cy="3913632"/>
                    </a:xfrm>
                    <a:prstGeom prst="rect">
                      <a:avLst/>
                    </a:prstGeom>
                  </pic:spPr>
                </pic:pic>
              </a:graphicData>
            </a:graphic>
          </wp:inline>
        </w:drawing>
      </w:r>
      <w:r w:rsidR="00513094">
        <w:t xml:space="preserve">Average carbon </w:t>
      </w:r>
    </w:p>
    <w:p w14:paraId="342B95DD" w14:textId="500F3184" w:rsidR="00331ADE" w:rsidRDefault="00331ADE" w:rsidP="00EC4501">
      <w:pPr>
        <w:jc w:val="center"/>
      </w:pPr>
      <w:r w:rsidRPr="00016B4D">
        <w:rPr>
          <w:b/>
        </w:rPr>
        <w:t>Figure</w:t>
      </w:r>
      <w:r w:rsidR="00016B4D" w:rsidRPr="00016B4D">
        <w:rPr>
          <w:b/>
        </w:rPr>
        <w:t xml:space="preserve"> 2</w:t>
      </w:r>
      <w:r>
        <w:t xml:space="preserve">. </w:t>
      </w:r>
      <w:r w:rsidR="007E4AE2">
        <w:t>Live</w:t>
      </w:r>
      <w:r w:rsidR="002B00F1">
        <w:t>-</w:t>
      </w:r>
      <w:r w:rsidR="007E4AE2">
        <w:t>tree c</w:t>
      </w:r>
      <w:r>
        <w:t>arbon sequestration rate changes with stand age.</w:t>
      </w:r>
      <w:r w:rsidR="00914286">
        <w:t xml:space="preserve"> Points represent the average </w:t>
      </w:r>
      <w:r w:rsidR="00385C24">
        <w:t>net carbon sequestered for each stand age (</w:t>
      </w:r>
      <w:proofErr w:type="gramStart"/>
      <w:r w:rsidR="00385C24">
        <w:t>one year</w:t>
      </w:r>
      <w:proofErr w:type="gramEnd"/>
      <w:r w:rsidR="00385C24">
        <w:t xml:space="preserve"> increments) from FIA data for </w:t>
      </w:r>
      <w:r w:rsidR="00AD034E">
        <w:t>northeastern</w:t>
      </w:r>
      <w:r w:rsidR="005D6BC9">
        <w:t xml:space="preserve"> U.S. states, while the line represents the best fit model to the point data.</w:t>
      </w:r>
    </w:p>
    <w:p w14:paraId="71EB68B8" w14:textId="16BA0C09" w:rsidR="00C33F91" w:rsidRDefault="00C33F91">
      <w:r>
        <w:br w:type="page"/>
      </w:r>
    </w:p>
    <w:p w14:paraId="7A6C79E7" w14:textId="25D2963C" w:rsidR="00C33F91" w:rsidRDefault="00C33F91" w:rsidP="00C33F91">
      <w:pPr>
        <w:rPr>
          <w:b/>
          <w:bCs/>
          <w:sz w:val="28"/>
          <w:szCs w:val="28"/>
        </w:rPr>
      </w:pPr>
      <w:r w:rsidRPr="000A4E1C">
        <w:rPr>
          <w:b/>
          <w:bCs/>
          <w:sz w:val="28"/>
          <w:szCs w:val="28"/>
        </w:rPr>
        <w:lastRenderedPageBreak/>
        <w:t>When Stands Dif</w:t>
      </w:r>
      <w:r w:rsidR="000F47F5" w:rsidRPr="000A4E1C">
        <w:rPr>
          <w:b/>
          <w:bCs/>
          <w:sz w:val="28"/>
          <w:szCs w:val="28"/>
        </w:rPr>
        <w:t xml:space="preserve">fer </w:t>
      </w:r>
      <w:r w:rsidR="000F47F5">
        <w:rPr>
          <w:b/>
          <w:bCs/>
          <w:sz w:val="28"/>
          <w:szCs w:val="28"/>
        </w:rPr>
        <w:t>f</w:t>
      </w:r>
      <w:r w:rsidR="000F47F5" w:rsidRPr="000A4E1C">
        <w:rPr>
          <w:b/>
          <w:bCs/>
          <w:sz w:val="28"/>
          <w:szCs w:val="28"/>
        </w:rPr>
        <w:t>rom the Average</w:t>
      </w:r>
    </w:p>
    <w:p w14:paraId="4BF7ECC8" w14:textId="77777777" w:rsidR="00D35DF8" w:rsidRDefault="00327F68" w:rsidP="00C33F91">
      <w:r>
        <w:t xml:space="preserve">The tables and figures describing forest carbon storage and sequestration </w:t>
      </w:r>
      <w:r w:rsidR="0083650A">
        <w:t xml:space="preserve">show </w:t>
      </w:r>
      <w:r w:rsidR="00B77FBC">
        <w:t xml:space="preserve">trends </w:t>
      </w:r>
      <w:r w:rsidR="00506D58">
        <w:t>for avera</w:t>
      </w:r>
      <w:r w:rsidR="0083650A">
        <w:t>ge stand</w:t>
      </w:r>
      <w:r w:rsidR="00506D58">
        <w:t>s</w:t>
      </w:r>
      <w:r w:rsidR="0083650A">
        <w:t xml:space="preserve"> in Massachusetts and the surrounding region</w:t>
      </w:r>
      <w:r w:rsidR="00506D58">
        <w:t xml:space="preserve">. It may be helpful to consider when </w:t>
      </w:r>
      <w:r w:rsidR="00F85885">
        <w:t>a specific stand may have higher or lower storage and sequestration than is typical.</w:t>
      </w:r>
      <w:r w:rsidR="002B0987">
        <w:t xml:space="preserve"> Managed stands </w:t>
      </w:r>
      <w:proofErr w:type="gramStart"/>
      <w:r w:rsidR="00AC4914">
        <w:t>in particular may</w:t>
      </w:r>
      <w:proofErr w:type="gramEnd"/>
      <w:r w:rsidR="00AC4914">
        <w:t xml:space="preserve"> diverge from the values given here. </w:t>
      </w:r>
    </w:p>
    <w:p w14:paraId="1ADA460E" w14:textId="06BD1831" w:rsidR="000F47F5" w:rsidRDefault="00D35DF8" w:rsidP="00D35DF8">
      <w:r>
        <w:t xml:space="preserve">Forest carbon stocks are determined by </w:t>
      </w:r>
      <w:r w:rsidR="006947A3">
        <w:t xml:space="preserve">wood volume and wood density. </w:t>
      </w:r>
      <w:r w:rsidR="00BB303B">
        <w:t>The volume</w:t>
      </w:r>
      <w:r w:rsidR="003D60D7">
        <w:t xml:space="preserve"> </w:t>
      </w:r>
      <w:r w:rsidR="005F7B42">
        <w:t>of a stand</w:t>
      </w:r>
      <w:r w:rsidR="00D946EA">
        <w:t xml:space="preserve"> </w:t>
      </w:r>
      <w:r w:rsidR="003D60D7">
        <w:t xml:space="preserve">is a function of </w:t>
      </w:r>
      <w:r w:rsidR="007B0F91">
        <w:t xml:space="preserve">the </w:t>
      </w:r>
      <w:r w:rsidR="002F7960">
        <w:t xml:space="preserve">stem </w:t>
      </w:r>
      <w:r w:rsidR="007B0F91">
        <w:t>diameter</w:t>
      </w:r>
      <w:r w:rsidR="00D946EA">
        <w:t xml:space="preserve">, </w:t>
      </w:r>
      <w:r w:rsidR="00AB5DE5">
        <w:t>height,</w:t>
      </w:r>
      <w:r w:rsidR="00D946EA">
        <w:t xml:space="preserve"> and crown width of the trees in the stand.</w:t>
      </w:r>
      <w:r w:rsidR="003E7B97">
        <w:t xml:space="preserve"> </w:t>
      </w:r>
      <w:r w:rsidR="008012D7">
        <w:t>A stand with taller trees than average for a given stand basal area will hav</w:t>
      </w:r>
      <w:r w:rsidR="003E7B97">
        <w:t xml:space="preserve">e a greater volume and consequently </w:t>
      </w:r>
      <w:r w:rsidR="008012D7">
        <w:t>more carbon</w:t>
      </w:r>
      <w:r w:rsidR="003E7B97">
        <w:t>.</w:t>
      </w:r>
      <w:r w:rsidR="007B0F91">
        <w:t xml:space="preserve"> </w:t>
      </w:r>
      <w:r w:rsidR="003E7B97">
        <w:t xml:space="preserve">Hardwood trees in general have denser wood than </w:t>
      </w:r>
      <w:r w:rsidR="00AB5DE5">
        <w:t>softwood trees, and density varies from species to species</w:t>
      </w:r>
      <w:r w:rsidR="002F7960">
        <w:t xml:space="preserve">. </w:t>
      </w:r>
      <w:r w:rsidR="00BD7C6E">
        <w:t xml:space="preserve">Management can manipulate both the relationship between </w:t>
      </w:r>
      <w:r w:rsidR="00BA3228">
        <w:t>stand BA and volum</w:t>
      </w:r>
      <w:r w:rsidR="00155600">
        <w:t xml:space="preserve">e and the species composition of the trees that make up the stand. For </w:t>
      </w:r>
      <w:r w:rsidR="00306336">
        <w:t>example,</w:t>
      </w:r>
      <w:r w:rsidR="00155600">
        <w:t xml:space="preserve"> </w:t>
      </w:r>
      <w:r w:rsidR="0040502B">
        <w:t xml:space="preserve">the residual trees </w:t>
      </w:r>
      <w:r w:rsidR="001A3CF7">
        <w:t xml:space="preserve">in </w:t>
      </w:r>
      <w:r w:rsidR="00817D1C">
        <w:t xml:space="preserve">a stand that was thinned from below </w:t>
      </w:r>
      <w:r w:rsidR="001A3CF7">
        <w:t xml:space="preserve">will likely be larger </w:t>
      </w:r>
      <w:r w:rsidR="00CD3337">
        <w:t>(</w:t>
      </w:r>
      <w:r w:rsidR="00817D1C">
        <w:t xml:space="preserve">taller </w:t>
      </w:r>
      <w:r w:rsidR="00762321">
        <w:t>and</w:t>
      </w:r>
      <w:r w:rsidR="00817D1C">
        <w:t xml:space="preserve"> with larger </w:t>
      </w:r>
      <w:r w:rsidR="00EE55DF">
        <w:t>crowns</w:t>
      </w:r>
      <w:r w:rsidR="00B24896">
        <w:t>)</w:t>
      </w:r>
      <w:r w:rsidR="00EE55DF">
        <w:t xml:space="preserve"> than an </w:t>
      </w:r>
      <w:proofErr w:type="spellStart"/>
      <w:r w:rsidR="00EE55DF">
        <w:t>unthinned</w:t>
      </w:r>
      <w:proofErr w:type="spellEnd"/>
      <w:r w:rsidR="00EE55DF">
        <w:t xml:space="preserve"> stand with </w:t>
      </w:r>
      <w:r w:rsidR="00B24896">
        <w:t>the same</w:t>
      </w:r>
      <w:r w:rsidR="00EE55DF">
        <w:t xml:space="preserve"> basal area</w:t>
      </w:r>
      <w:r w:rsidR="00584CFF">
        <w:t>, and therefore greater aboveground carbon stocks.</w:t>
      </w:r>
      <w:r w:rsidR="0083650A">
        <w:t xml:space="preserve"> </w:t>
      </w:r>
    </w:p>
    <w:p w14:paraId="105B2D7D" w14:textId="390EAE7C" w:rsidR="00553496" w:rsidRPr="000A4E1C" w:rsidRDefault="00584CFF" w:rsidP="4BD33BC2">
      <w:pPr>
        <w:rPr>
          <w:i/>
          <w:iCs/>
        </w:rPr>
      </w:pPr>
      <w:r>
        <w:t xml:space="preserve">Carbon sequestration rates are </w:t>
      </w:r>
      <w:r w:rsidR="12C903C9">
        <w:t xml:space="preserve">directly related to forest growth. Any </w:t>
      </w:r>
      <w:r w:rsidR="0E32667E">
        <w:t>site factors that lead to trees havi</w:t>
      </w:r>
      <w:r w:rsidR="05B7DB08">
        <w:t>ng higher sequestration rates</w:t>
      </w:r>
      <w:r w:rsidR="7AB27B45">
        <w:t xml:space="preserve"> will result in faster growth, f</w:t>
      </w:r>
      <w:r w:rsidR="05B7DB08">
        <w:t xml:space="preserve">or example, richer soils </w:t>
      </w:r>
      <w:r w:rsidR="3B370A5E">
        <w:t>or more mesic conditions</w:t>
      </w:r>
      <w:r w:rsidR="05B7DB08">
        <w:t xml:space="preserve">. </w:t>
      </w:r>
      <w:r w:rsidR="3B370A5E">
        <w:t>Sequestration rates are also dependent on the total leaf area in the forest</w:t>
      </w:r>
      <w:r w:rsidR="7E44206E">
        <w:t xml:space="preserve">, and leaf area is itself dependent on forest structure. Forests with greater structural diversity </w:t>
      </w:r>
      <w:r w:rsidR="2562D1E5">
        <w:t>in</w:t>
      </w:r>
      <w:r w:rsidR="7E44206E">
        <w:t xml:space="preserve"> general have greater </w:t>
      </w:r>
      <w:r w:rsidR="2562D1E5">
        <w:t xml:space="preserve">productivity and </w:t>
      </w:r>
      <w:r w:rsidR="7E44206E">
        <w:t>carbon sequestration</w:t>
      </w:r>
      <w:r w:rsidR="1AB76D46">
        <w:t xml:space="preserve">. The relationship between stand age and sequestration in Figure 2 </w:t>
      </w:r>
      <w:r w:rsidR="2562D1E5">
        <w:t>reflects</w:t>
      </w:r>
      <w:r w:rsidR="1AB76D46">
        <w:t xml:space="preserve"> the typical way that stand structure</w:t>
      </w:r>
      <w:r w:rsidR="2C764D36">
        <w:t xml:space="preserve"> changes </w:t>
      </w:r>
      <w:r w:rsidR="2ED0A4B8">
        <w:t xml:space="preserve">as stands develop </w:t>
      </w:r>
      <w:r w:rsidR="0E79F36E">
        <w:t xml:space="preserve">over time. Silvicultural practices (or </w:t>
      </w:r>
      <w:r w:rsidR="69EDC3D2">
        <w:t xml:space="preserve">partial </w:t>
      </w:r>
      <w:r w:rsidR="0E79F36E">
        <w:t xml:space="preserve">natural disturbances) that result in greater vigor of trees </w:t>
      </w:r>
      <w:r w:rsidR="69EDC3D2">
        <w:t>at all levels of the canopy will increase sequestration rates</w:t>
      </w:r>
      <w:r>
        <w:t xml:space="preserve"> </w:t>
      </w:r>
      <w:r w:rsidR="69EDC3D2">
        <w:t>relative to this average.</w:t>
      </w:r>
      <w:r w:rsidR="00306336">
        <w:t xml:space="preserve"> </w:t>
      </w:r>
      <w:r w:rsidR="69EDC3D2">
        <w:t>For</w:t>
      </w:r>
      <w:r w:rsidR="00306336">
        <w:t xml:space="preserve"> more information on management impacts on forest carbon stocks and sequestration </w:t>
      </w:r>
      <w:r w:rsidR="58480D53">
        <w:t xml:space="preserve">see </w:t>
      </w:r>
      <w:r w:rsidR="58480D53" w:rsidRPr="4BD33BC2">
        <w:rPr>
          <w:i/>
          <w:iCs/>
        </w:rPr>
        <w:t>Managing Forest</w:t>
      </w:r>
      <w:r w:rsidR="412A6D1E" w:rsidRPr="4BD33BC2">
        <w:rPr>
          <w:i/>
          <w:iCs/>
        </w:rPr>
        <w:t>s for</w:t>
      </w:r>
      <w:r w:rsidR="58480D53" w:rsidRPr="4BD33BC2">
        <w:rPr>
          <w:i/>
          <w:iCs/>
        </w:rPr>
        <w:t xml:space="preserve"> Carbon in Massachusett</w:t>
      </w:r>
      <w:r w:rsidR="074CA33D" w:rsidRPr="4BD33BC2">
        <w:rPr>
          <w:i/>
          <w:iCs/>
        </w:rPr>
        <w:t>s.</w:t>
      </w:r>
    </w:p>
    <w:p w14:paraId="082E5580" w14:textId="5B543470" w:rsidR="00152474" w:rsidRPr="00ED5041" w:rsidRDefault="0052448B" w:rsidP="00152474">
      <w:pPr>
        <w:rPr>
          <w:i/>
          <w:sz w:val="28"/>
        </w:rPr>
      </w:pPr>
      <w:r w:rsidRPr="00ED5041">
        <w:rPr>
          <w:i/>
          <w:sz w:val="28"/>
        </w:rPr>
        <w:br w:type="page"/>
      </w:r>
      <w:r w:rsidR="00152474" w:rsidRPr="00ED5041">
        <w:rPr>
          <w:i/>
          <w:sz w:val="28"/>
        </w:rPr>
        <w:lastRenderedPageBreak/>
        <w:t>Atlantic Coastal Pine Barrens</w:t>
      </w:r>
    </w:p>
    <w:p w14:paraId="7492D5DB" w14:textId="77777777" w:rsidR="00152474" w:rsidRDefault="00152474" w:rsidP="00152474">
      <w:pPr>
        <w:sectPr w:rsidR="00152474">
          <w:pgSz w:w="12240" w:h="15840"/>
          <w:pgMar w:top="1440" w:right="1440" w:bottom="1440" w:left="1440" w:header="720" w:footer="720" w:gutter="0"/>
          <w:cols w:space="720"/>
          <w:docGrid w:linePitch="360"/>
        </w:sectPr>
      </w:pPr>
    </w:p>
    <w:tbl>
      <w:tblPr>
        <w:tblStyle w:val="GridTable2"/>
        <w:tblpPr w:leftFromText="180" w:rightFromText="180" w:vertAnchor="text" w:horzAnchor="page" w:tblpX="2062" w:tblpY="655"/>
        <w:tblW w:w="3420" w:type="dxa"/>
        <w:tblLook w:val="04A0" w:firstRow="1" w:lastRow="0" w:firstColumn="1" w:lastColumn="0" w:noHBand="0" w:noVBand="1"/>
      </w:tblPr>
      <w:tblGrid>
        <w:gridCol w:w="1260"/>
        <w:gridCol w:w="2160"/>
      </w:tblGrid>
      <w:tr w:rsidR="00152474" w:rsidRPr="0030551C" w14:paraId="1C2B35AB" w14:textId="77777777" w:rsidTr="00751819">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1F765FD6" w14:textId="77777777" w:rsidR="00152474" w:rsidRPr="0030551C" w:rsidRDefault="00152474" w:rsidP="00195867">
            <w:pPr>
              <w:rPr>
                <w:rFonts w:ascii="Calibri" w:eastAsia="Times New Roman" w:hAnsi="Calibri" w:cs="Calibri"/>
                <w:color w:val="000000"/>
              </w:rPr>
            </w:pPr>
            <w:r w:rsidRPr="0030551C">
              <w:rPr>
                <w:rFonts w:ascii="Calibri" w:eastAsia="Times New Roman" w:hAnsi="Calibri" w:cs="Calibri"/>
                <w:color w:val="000000"/>
              </w:rPr>
              <w:t>BA (ft²/ac)</w:t>
            </w:r>
          </w:p>
        </w:tc>
        <w:tc>
          <w:tcPr>
            <w:tcW w:w="2160" w:type="dxa"/>
            <w:noWrap/>
            <w:hideMark/>
          </w:tcPr>
          <w:p w14:paraId="1B475F99" w14:textId="3BDDD200" w:rsidR="00152474" w:rsidRPr="0030551C" w:rsidRDefault="00152474" w:rsidP="0019586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30551C">
              <w:rPr>
                <w:rFonts w:ascii="Calibri" w:eastAsia="Times New Roman" w:hAnsi="Calibri" w:cs="Calibri"/>
                <w:color w:val="000000"/>
              </w:rPr>
              <w:t>C Prediction (t</w:t>
            </w:r>
            <w:r w:rsidR="00F91B04">
              <w:rPr>
                <w:rFonts w:ascii="Calibri" w:eastAsia="Times New Roman" w:hAnsi="Calibri" w:cs="Calibri"/>
                <w:color w:val="000000"/>
              </w:rPr>
              <w:t>o</w:t>
            </w:r>
            <w:r w:rsidR="00D93181">
              <w:rPr>
                <w:rFonts w:ascii="Calibri" w:eastAsia="Times New Roman" w:hAnsi="Calibri" w:cs="Calibri"/>
                <w:color w:val="000000"/>
              </w:rPr>
              <w:t>n</w:t>
            </w:r>
            <w:r w:rsidRPr="0030551C">
              <w:rPr>
                <w:rFonts w:ascii="Calibri" w:eastAsia="Times New Roman" w:hAnsi="Calibri" w:cs="Calibri"/>
                <w:color w:val="000000"/>
              </w:rPr>
              <w:t xml:space="preserve">/ac) </w:t>
            </w:r>
          </w:p>
        </w:tc>
      </w:tr>
      <w:tr w:rsidR="00152474" w:rsidRPr="0030551C" w14:paraId="0A9B478C"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40B6A6BB" w14:textId="77777777" w:rsidR="00152474" w:rsidRPr="0030551C" w:rsidRDefault="00152474" w:rsidP="00195867">
            <w:pPr>
              <w:jc w:val="center"/>
              <w:rPr>
                <w:rFonts w:ascii="Calibri" w:eastAsia="Times New Roman" w:hAnsi="Calibri" w:cs="Calibri"/>
                <w:color w:val="000000"/>
              </w:rPr>
            </w:pPr>
            <w:r w:rsidRPr="0030551C">
              <w:rPr>
                <w:rFonts w:ascii="Calibri" w:eastAsia="Times New Roman" w:hAnsi="Calibri" w:cs="Calibri"/>
                <w:color w:val="000000"/>
              </w:rPr>
              <w:t>0</w:t>
            </w:r>
          </w:p>
        </w:tc>
        <w:tc>
          <w:tcPr>
            <w:tcW w:w="2160" w:type="dxa"/>
            <w:noWrap/>
            <w:hideMark/>
          </w:tcPr>
          <w:p w14:paraId="3A2723F5" w14:textId="77777777" w:rsidR="00152474" w:rsidRPr="0030551C" w:rsidRDefault="00152474" w:rsidP="001958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30551C">
              <w:rPr>
                <w:rFonts w:ascii="Calibri" w:eastAsia="Times New Roman" w:hAnsi="Calibri" w:cs="Calibri"/>
                <w:color w:val="000000"/>
              </w:rPr>
              <w:t>0.0</w:t>
            </w:r>
          </w:p>
        </w:tc>
      </w:tr>
      <w:tr w:rsidR="00152474" w:rsidRPr="0030551C" w14:paraId="252D2203"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02147BA9" w14:textId="77777777" w:rsidR="00152474" w:rsidRPr="0030551C" w:rsidRDefault="00152474" w:rsidP="00195867">
            <w:pPr>
              <w:jc w:val="center"/>
              <w:rPr>
                <w:rFonts w:ascii="Calibri" w:eastAsia="Times New Roman" w:hAnsi="Calibri" w:cs="Calibri"/>
                <w:color w:val="000000"/>
              </w:rPr>
            </w:pPr>
            <w:r w:rsidRPr="0030551C">
              <w:rPr>
                <w:rFonts w:ascii="Calibri" w:eastAsia="Times New Roman" w:hAnsi="Calibri" w:cs="Calibri"/>
                <w:color w:val="000000"/>
              </w:rPr>
              <w:t>10</w:t>
            </w:r>
          </w:p>
        </w:tc>
        <w:tc>
          <w:tcPr>
            <w:tcW w:w="2160" w:type="dxa"/>
            <w:noWrap/>
            <w:hideMark/>
          </w:tcPr>
          <w:p w14:paraId="66D8C5E7" w14:textId="77777777" w:rsidR="00152474" w:rsidRPr="0030551C" w:rsidRDefault="00152474" w:rsidP="001958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30551C">
              <w:rPr>
                <w:rFonts w:ascii="Calibri" w:eastAsia="Times New Roman" w:hAnsi="Calibri" w:cs="Calibri"/>
                <w:color w:val="000000"/>
              </w:rPr>
              <w:t>2.8</w:t>
            </w:r>
          </w:p>
        </w:tc>
      </w:tr>
      <w:tr w:rsidR="00152474" w:rsidRPr="0030551C" w14:paraId="24B28828"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4F7E9791" w14:textId="77777777" w:rsidR="00152474" w:rsidRPr="0030551C" w:rsidRDefault="00152474" w:rsidP="00195867">
            <w:pPr>
              <w:jc w:val="center"/>
              <w:rPr>
                <w:rFonts w:ascii="Calibri" w:eastAsia="Times New Roman" w:hAnsi="Calibri" w:cs="Calibri"/>
                <w:color w:val="000000"/>
              </w:rPr>
            </w:pPr>
            <w:r w:rsidRPr="0030551C">
              <w:rPr>
                <w:rFonts w:ascii="Calibri" w:eastAsia="Times New Roman" w:hAnsi="Calibri" w:cs="Calibri"/>
                <w:color w:val="000000"/>
              </w:rPr>
              <w:t>20</w:t>
            </w:r>
          </w:p>
        </w:tc>
        <w:tc>
          <w:tcPr>
            <w:tcW w:w="2160" w:type="dxa"/>
            <w:noWrap/>
            <w:hideMark/>
          </w:tcPr>
          <w:p w14:paraId="468984A5" w14:textId="77777777" w:rsidR="00152474" w:rsidRPr="0030551C" w:rsidRDefault="00152474" w:rsidP="001958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30551C">
              <w:rPr>
                <w:rFonts w:ascii="Calibri" w:eastAsia="Times New Roman" w:hAnsi="Calibri" w:cs="Calibri"/>
                <w:color w:val="000000"/>
              </w:rPr>
              <w:t>5.7</w:t>
            </w:r>
          </w:p>
        </w:tc>
      </w:tr>
      <w:tr w:rsidR="00152474" w:rsidRPr="0030551C" w14:paraId="6213B3AB"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701E34AE" w14:textId="77777777" w:rsidR="00152474" w:rsidRPr="0030551C" w:rsidRDefault="00152474" w:rsidP="00195867">
            <w:pPr>
              <w:jc w:val="center"/>
              <w:rPr>
                <w:rFonts w:ascii="Calibri" w:eastAsia="Times New Roman" w:hAnsi="Calibri" w:cs="Calibri"/>
                <w:color w:val="000000"/>
              </w:rPr>
            </w:pPr>
            <w:r w:rsidRPr="0030551C">
              <w:rPr>
                <w:rFonts w:ascii="Calibri" w:eastAsia="Times New Roman" w:hAnsi="Calibri" w:cs="Calibri"/>
                <w:color w:val="000000"/>
              </w:rPr>
              <w:t>30</w:t>
            </w:r>
          </w:p>
        </w:tc>
        <w:tc>
          <w:tcPr>
            <w:tcW w:w="2160" w:type="dxa"/>
            <w:noWrap/>
            <w:hideMark/>
          </w:tcPr>
          <w:p w14:paraId="51D7E25C" w14:textId="77777777" w:rsidR="00152474" w:rsidRPr="0030551C" w:rsidRDefault="00152474" w:rsidP="001958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30551C">
              <w:rPr>
                <w:rFonts w:ascii="Calibri" w:eastAsia="Times New Roman" w:hAnsi="Calibri" w:cs="Calibri"/>
                <w:color w:val="000000"/>
              </w:rPr>
              <w:t>8.5</w:t>
            </w:r>
          </w:p>
        </w:tc>
      </w:tr>
      <w:tr w:rsidR="00152474" w:rsidRPr="0030551C" w14:paraId="287D2BF5"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28E09591" w14:textId="77777777" w:rsidR="00152474" w:rsidRPr="0030551C" w:rsidRDefault="00152474" w:rsidP="00195867">
            <w:pPr>
              <w:jc w:val="center"/>
              <w:rPr>
                <w:rFonts w:ascii="Calibri" w:eastAsia="Times New Roman" w:hAnsi="Calibri" w:cs="Calibri"/>
                <w:color w:val="000000"/>
              </w:rPr>
            </w:pPr>
            <w:r w:rsidRPr="0030551C">
              <w:rPr>
                <w:rFonts w:ascii="Calibri" w:eastAsia="Times New Roman" w:hAnsi="Calibri" w:cs="Calibri"/>
                <w:color w:val="000000"/>
              </w:rPr>
              <w:t>40</w:t>
            </w:r>
          </w:p>
        </w:tc>
        <w:tc>
          <w:tcPr>
            <w:tcW w:w="2160" w:type="dxa"/>
            <w:noWrap/>
            <w:hideMark/>
          </w:tcPr>
          <w:p w14:paraId="4AD6AB79" w14:textId="77777777" w:rsidR="00152474" w:rsidRPr="0030551C" w:rsidRDefault="00152474" w:rsidP="001958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30551C">
              <w:rPr>
                <w:rFonts w:ascii="Calibri" w:eastAsia="Times New Roman" w:hAnsi="Calibri" w:cs="Calibri"/>
                <w:color w:val="000000"/>
              </w:rPr>
              <w:t>11.3</w:t>
            </w:r>
          </w:p>
        </w:tc>
      </w:tr>
      <w:tr w:rsidR="00152474" w:rsidRPr="0030551C" w14:paraId="76F5E004"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650C182A" w14:textId="77777777" w:rsidR="00152474" w:rsidRPr="0030551C" w:rsidRDefault="00152474" w:rsidP="00195867">
            <w:pPr>
              <w:jc w:val="center"/>
              <w:rPr>
                <w:rFonts w:ascii="Calibri" w:eastAsia="Times New Roman" w:hAnsi="Calibri" w:cs="Calibri"/>
                <w:color w:val="000000"/>
              </w:rPr>
            </w:pPr>
            <w:r w:rsidRPr="0030551C">
              <w:rPr>
                <w:rFonts w:ascii="Calibri" w:eastAsia="Times New Roman" w:hAnsi="Calibri" w:cs="Calibri"/>
                <w:color w:val="000000"/>
              </w:rPr>
              <w:t>50</w:t>
            </w:r>
          </w:p>
        </w:tc>
        <w:tc>
          <w:tcPr>
            <w:tcW w:w="2160" w:type="dxa"/>
            <w:noWrap/>
            <w:hideMark/>
          </w:tcPr>
          <w:p w14:paraId="1C07EC03" w14:textId="77777777" w:rsidR="00152474" w:rsidRPr="0030551C" w:rsidRDefault="00152474" w:rsidP="001958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30551C">
              <w:rPr>
                <w:rFonts w:ascii="Calibri" w:eastAsia="Times New Roman" w:hAnsi="Calibri" w:cs="Calibri"/>
                <w:color w:val="000000"/>
              </w:rPr>
              <w:t>14.1</w:t>
            </w:r>
          </w:p>
        </w:tc>
      </w:tr>
      <w:tr w:rsidR="00152474" w:rsidRPr="0030551C" w14:paraId="5B5C4989"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519FEABE" w14:textId="77777777" w:rsidR="00152474" w:rsidRPr="0030551C" w:rsidRDefault="00152474" w:rsidP="00195867">
            <w:pPr>
              <w:jc w:val="center"/>
              <w:rPr>
                <w:rFonts w:ascii="Calibri" w:eastAsia="Times New Roman" w:hAnsi="Calibri" w:cs="Calibri"/>
                <w:color w:val="000000"/>
              </w:rPr>
            </w:pPr>
            <w:r w:rsidRPr="0030551C">
              <w:rPr>
                <w:rFonts w:ascii="Calibri" w:eastAsia="Times New Roman" w:hAnsi="Calibri" w:cs="Calibri"/>
                <w:color w:val="000000"/>
              </w:rPr>
              <w:t>60</w:t>
            </w:r>
          </w:p>
        </w:tc>
        <w:tc>
          <w:tcPr>
            <w:tcW w:w="2160" w:type="dxa"/>
            <w:noWrap/>
            <w:hideMark/>
          </w:tcPr>
          <w:p w14:paraId="7EFD6D6F" w14:textId="77777777" w:rsidR="00152474" w:rsidRPr="0030551C" w:rsidRDefault="00152474" w:rsidP="001958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30551C">
              <w:rPr>
                <w:rFonts w:ascii="Calibri" w:eastAsia="Times New Roman" w:hAnsi="Calibri" w:cs="Calibri"/>
                <w:color w:val="000000"/>
              </w:rPr>
              <w:t>17.0</w:t>
            </w:r>
          </w:p>
        </w:tc>
      </w:tr>
      <w:tr w:rsidR="00152474" w:rsidRPr="0030551C" w14:paraId="570C4716"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7E7E03AD" w14:textId="77777777" w:rsidR="00152474" w:rsidRPr="0030551C" w:rsidRDefault="00152474" w:rsidP="00195867">
            <w:pPr>
              <w:jc w:val="center"/>
              <w:rPr>
                <w:rFonts w:ascii="Calibri" w:eastAsia="Times New Roman" w:hAnsi="Calibri" w:cs="Calibri"/>
                <w:color w:val="000000"/>
              </w:rPr>
            </w:pPr>
            <w:r w:rsidRPr="0030551C">
              <w:rPr>
                <w:rFonts w:ascii="Calibri" w:eastAsia="Times New Roman" w:hAnsi="Calibri" w:cs="Calibri"/>
                <w:color w:val="000000"/>
              </w:rPr>
              <w:t>70</w:t>
            </w:r>
          </w:p>
        </w:tc>
        <w:tc>
          <w:tcPr>
            <w:tcW w:w="2160" w:type="dxa"/>
            <w:noWrap/>
            <w:hideMark/>
          </w:tcPr>
          <w:p w14:paraId="43600E2A" w14:textId="77777777" w:rsidR="00152474" w:rsidRPr="0030551C" w:rsidRDefault="00152474" w:rsidP="001958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30551C">
              <w:rPr>
                <w:rFonts w:ascii="Calibri" w:eastAsia="Times New Roman" w:hAnsi="Calibri" w:cs="Calibri"/>
                <w:color w:val="000000"/>
              </w:rPr>
              <w:t>19.8</w:t>
            </w:r>
          </w:p>
        </w:tc>
      </w:tr>
      <w:tr w:rsidR="00152474" w:rsidRPr="0030551C" w14:paraId="08E30B89"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0D0FEB11" w14:textId="77777777" w:rsidR="00152474" w:rsidRPr="0030551C" w:rsidRDefault="00152474" w:rsidP="00195867">
            <w:pPr>
              <w:jc w:val="center"/>
              <w:rPr>
                <w:rFonts w:ascii="Calibri" w:eastAsia="Times New Roman" w:hAnsi="Calibri" w:cs="Calibri"/>
                <w:color w:val="000000"/>
              </w:rPr>
            </w:pPr>
            <w:r w:rsidRPr="0030551C">
              <w:rPr>
                <w:rFonts w:ascii="Calibri" w:eastAsia="Times New Roman" w:hAnsi="Calibri" w:cs="Calibri"/>
                <w:color w:val="000000"/>
              </w:rPr>
              <w:t>80</w:t>
            </w:r>
          </w:p>
        </w:tc>
        <w:tc>
          <w:tcPr>
            <w:tcW w:w="2160" w:type="dxa"/>
            <w:noWrap/>
            <w:hideMark/>
          </w:tcPr>
          <w:p w14:paraId="36B99702" w14:textId="77777777" w:rsidR="00152474" w:rsidRPr="0030551C" w:rsidRDefault="00152474" w:rsidP="001958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30551C">
              <w:rPr>
                <w:rFonts w:ascii="Calibri" w:eastAsia="Times New Roman" w:hAnsi="Calibri" w:cs="Calibri"/>
                <w:color w:val="000000"/>
              </w:rPr>
              <w:t>22.6</w:t>
            </w:r>
          </w:p>
        </w:tc>
      </w:tr>
      <w:tr w:rsidR="00152474" w:rsidRPr="0030551C" w14:paraId="28FE3667"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093E3827" w14:textId="77777777" w:rsidR="00152474" w:rsidRPr="0030551C" w:rsidRDefault="00152474" w:rsidP="00195867">
            <w:pPr>
              <w:jc w:val="center"/>
              <w:rPr>
                <w:rFonts w:ascii="Calibri" w:eastAsia="Times New Roman" w:hAnsi="Calibri" w:cs="Calibri"/>
                <w:color w:val="000000"/>
              </w:rPr>
            </w:pPr>
            <w:r w:rsidRPr="0030551C">
              <w:rPr>
                <w:rFonts w:ascii="Calibri" w:eastAsia="Times New Roman" w:hAnsi="Calibri" w:cs="Calibri"/>
                <w:color w:val="000000"/>
              </w:rPr>
              <w:t>90</w:t>
            </w:r>
          </w:p>
        </w:tc>
        <w:tc>
          <w:tcPr>
            <w:tcW w:w="2160" w:type="dxa"/>
            <w:noWrap/>
            <w:hideMark/>
          </w:tcPr>
          <w:p w14:paraId="32FCD82E" w14:textId="77777777" w:rsidR="00152474" w:rsidRPr="0030551C" w:rsidRDefault="00152474" w:rsidP="001958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30551C">
              <w:rPr>
                <w:rFonts w:ascii="Calibri" w:eastAsia="Times New Roman" w:hAnsi="Calibri" w:cs="Calibri"/>
                <w:color w:val="000000"/>
              </w:rPr>
              <w:t>25.4</w:t>
            </w:r>
          </w:p>
        </w:tc>
      </w:tr>
      <w:tr w:rsidR="00152474" w:rsidRPr="0030551C" w14:paraId="4960D3F3"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3B79D127" w14:textId="77777777" w:rsidR="00152474" w:rsidRPr="0030551C" w:rsidRDefault="00152474" w:rsidP="00195867">
            <w:pPr>
              <w:jc w:val="center"/>
              <w:rPr>
                <w:rFonts w:ascii="Calibri" w:eastAsia="Times New Roman" w:hAnsi="Calibri" w:cs="Calibri"/>
                <w:color w:val="000000"/>
              </w:rPr>
            </w:pPr>
            <w:r w:rsidRPr="0030551C">
              <w:rPr>
                <w:rFonts w:ascii="Calibri" w:eastAsia="Times New Roman" w:hAnsi="Calibri" w:cs="Calibri"/>
                <w:color w:val="000000"/>
              </w:rPr>
              <w:t>100</w:t>
            </w:r>
          </w:p>
        </w:tc>
        <w:tc>
          <w:tcPr>
            <w:tcW w:w="2160" w:type="dxa"/>
            <w:noWrap/>
            <w:hideMark/>
          </w:tcPr>
          <w:p w14:paraId="4B59A6CD" w14:textId="77777777" w:rsidR="00152474" w:rsidRPr="0030551C" w:rsidRDefault="00152474" w:rsidP="001958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30551C">
              <w:rPr>
                <w:rFonts w:ascii="Calibri" w:eastAsia="Times New Roman" w:hAnsi="Calibri" w:cs="Calibri"/>
                <w:color w:val="000000"/>
              </w:rPr>
              <w:t>28.3</w:t>
            </w:r>
          </w:p>
        </w:tc>
      </w:tr>
      <w:tr w:rsidR="00152474" w:rsidRPr="0030551C" w14:paraId="76106BB4"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22AFE413" w14:textId="77777777" w:rsidR="00152474" w:rsidRPr="0030551C" w:rsidRDefault="00152474" w:rsidP="00195867">
            <w:pPr>
              <w:jc w:val="center"/>
              <w:rPr>
                <w:rFonts w:ascii="Calibri" w:eastAsia="Times New Roman" w:hAnsi="Calibri" w:cs="Calibri"/>
                <w:color w:val="000000"/>
              </w:rPr>
            </w:pPr>
            <w:r w:rsidRPr="0030551C">
              <w:rPr>
                <w:rFonts w:ascii="Calibri" w:eastAsia="Times New Roman" w:hAnsi="Calibri" w:cs="Calibri"/>
                <w:color w:val="000000"/>
              </w:rPr>
              <w:t>110</w:t>
            </w:r>
          </w:p>
        </w:tc>
        <w:tc>
          <w:tcPr>
            <w:tcW w:w="2160" w:type="dxa"/>
            <w:noWrap/>
            <w:hideMark/>
          </w:tcPr>
          <w:p w14:paraId="50CD7BBA" w14:textId="77777777" w:rsidR="00152474" w:rsidRPr="0030551C" w:rsidRDefault="00152474" w:rsidP="001958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30551C">
              <w:rPr>
                <w:rFonts w:ascii="Calibri" w:eastAsia="Times New Roman" w:hAnsi="Calibri" w:cs="Calibri"/>
                <w:color w:val="000000"/>
              </w:rPr>
              <w:t>31.1</w:t>
            </w:r>
          </w:p>
        </w:tc>
      </w:tr>
      <w:tr w:rsidR="00152474" w:rsidRPr="0030551C" w14:paraId="01BFD665"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6F00D020" w14:textId="77777777" w:rsidR="00152474" w:rsidRPr="0030551C" w:rsidRDefault="00152474" w:rsidP="00195867">
            <w:pPr>
              <w:jc w:val="center"/>
              <w:rPr>
                <w:rFonts w:ascii="Calibri" w:eastAsia="Times New Roman" w:hAnsi="Calibri" w:cs="Calibri"/>
                <w:color w:val="000000"/>
              </w:rPr>
            </w:pPr>
            <w:r w:rsidRPr="0030551C">
              <w:rPr>
                <w:rFonts w:ascii="Calibri" w:eastAsia="Times New Roman" w:hAnsi="Calibri" w:cs="Calibri"/>
                <w:color w:val="000000"/>
              </w:rPr>
              <w:t>120</w:t>
            </w:r>
          </w:p>
        </w:tc>
        <w:tc>
          <w:tcPr>
            <w:tcW w:w="2160" w:type="dxa"/>
            <w:noWrap/>
            <w:hideMark/>
          </w:tcPr>
          <w:p w14:paraId="0D3D3FA8" w14:textId="77777777" w:rsidR="00152474" w:rsidRPr="0030551C" w:rsidRDefault="00152474" w:rsidP="001958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30551C">
              <w:rPr>
                <w:rFonts w:ascii="Calibri" w:eastAsia="Times New Roman" w:hAnsi="Calibri" w:cs="Calibri"/>
                <w:color w:val="000000"/>
              </w:rPr>
              <w:t>33.9</w:t>
            </w:r>
          </w:p>
        </w:tc>
      </w:tr>
      <w:tr w:rsidR="00152474" w:rsidRPr="0030551C" w14:paraId="2AEEA73E"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3790834F" w14:textId="77777777" w:rsidR="00152474" w:rsidRPr="0030551C" w:rsidRDefault="00152474" w:rsidP="00195867">
            <w:pPr>
              <w:jc w:val="center"/>
              <w:rPr>
                <w:rFonts w:ascii="Calibri" w:eastAsia="Times New Roman" w:hAnsi="Calibri" w:cs="Calibri"/>
                <w:color w:val="000000"/>
              </w:rPr>
            </w:pPr>
            <w:r w:rsidRPr="0030551C">
              <w:rPr>
                <w:rFonts w:ascii="Calibri" w:eastAsia="Times New Roman" w:hAnsi="Calibri" w:cs="Calibri"/>
                <w:color w:val="000000"/>
              </w:rPr>
              <w:t>130</w:t>
            </w:r>
          </w:p>
        </w:tc>
        <w:tc>
          <w:tcPr>
            <w:tcW w:w="2160" w:type="dxa"/>
            <w:noWrap/>
            <w:hideMark/>
          </w:tcPr>
          <w:p w14:paraId="3E0A4465" w14:textId="77777777" w:rsidR="00152474" w:rsidRPr="0030551C" w:rsidRDefault="00152474" w:rsidP="001958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30551C">
              <w:rPr>
                <w:rFonts w:ascii="Calibri" w:eastAsia="Times New Roman" w:hAnsi="Calibri" w:cs="Calibri"/>
                <w:color w:val="000000"/>
              </w:rPr>
              <w:t>36.7</w:t>
            </w:r>
          </w:p>
        </w:tc>
      </w:tr>
      <w:tr w:rsidR="00152474" w:rsidRPr="0030551C" w14:paraId="6DE2151C"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2092B31E" w14:textId="77777777" w:rsidR="00152474" w:rsidRPr="0030551C" w:rsidRDefault="00152474" w:rsidP="00195867">
            <w:pPr>
              <w:jc w:val="center"/>
              <w:rPr>
                <w:rFonts w:ascii="Calibri" w:eastAsia="Times New Roman" w:hAnsi="Calibri" w:cs="Calibri"/>
                <w:color w:val="000000"/>
              </w:rPr>
            </w:pPr>
            <w:r w:rsidRPr="0030551C">
              <w:rPr>
                <w:rFonts w:ascii="Calibri" w:eastAsia="Times New Roman" w:hAnsi="Calibri" w:cs="Calibri"/>
                <w:color w:val="000000"/>
              </w:rPr>
              <w:t>140</w:t>
            </w:r>
          </w:p>
        </w:tc>
        <w:tc>
          <w:tcPr>
            <w:tcW w:w="2160" w:type="dxa"/>
            <w:noWrap/>
            <w:hideMark/>
          </w:tcPr>
          <w:p w14:paraId="36EE4537" w14:textId="77777777" w:rsidR="00152474" w:rsidRPr="0030551C" w:rsidRDefault="00152474" w:rsidP="001958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30551C">
              <w:rPr>
                <w:rFonts w:ascii="Calibri" w:eastAsia="Times New Roman" w:hAnsi="Calibri" w:cs="Calibri"/>
                <w:color w:val="000000"/>
              </w:rPr>
              <w:t>39.6</w:t>
            </w:r>
          </w:p>
        </w:tc>
      </w:tr>
      <w:tr w:rsidR="00152474" w:rsidRPr="0030551C" w14:paraId="452E923F"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1550D3FA" w14:textId="77777777" w:rsidR="00152474" w:rsidRPr="0030551C" w:rsidRDefault="00152474" w:rsidP="00195867">
            <w:pPr>
              <w:jc w:val="center"/>
              <w:rPr>
                <w:rFonts w:ascii="Calibri" w:eastAsia="Times New Roman" w:hAnsi="Calibri" w:cs="Calibri"/>
                <w:color w:val="000000"/>
              </w:rPr>
            </w:pPr>
            <w:r w:rsidRPr="0030551C">
              <w:rPr>
                <w:rFonts w:ascii="Calibri" w:eastAsia="Times New Roman" w:hAnsi="Calibri" w:cs="Calibri"/>
                <w:color w:val="000000"/>
              </w:rPr>
              <w:t>150</w:t>
            </w:r>
          </w:p>
        </w:tc>
        <w:tc>
          <w:tcPr>
            <w:tcW w:w="2160" w:type="dxa"/>
            <w:noWrap/>
            <w:hideMark/>
          </w:tcPr>
          <w:p w14:paraId="58E0DA96" w14:textId="77777777" w:rsidR="00152474" w:rsidRPr="0030551C" w:rsidRDefault="00152474" w:rsidP="001958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30551C">
              <w:rPr>
                <w:rFonts w:ascii="Calibri" w:eastAsia="Times New Roman" w:hAnsi="Calibri" w:cs="Calibri"/>
                <w:color w:val="000000"/>
              </w:rPr>
              <w:t>42.4</w:t>
            </w:r>
          </w:p>
        </w:tc>
      </w:tr>
      <w:tr w:rsidR="00152474" w:rsidRPr="0030551C" w14:paraId="497D1380"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26AD47FD" w14:textId="77777777" w:rsidR="00152474" w:rsidRPr="0030551C" w:rsidRDefault="00152474" w:rsidP="00195867">
            <w:pPr>
              <w:jc w:val="center"/>
              <w:rPr>
                <w:rFonts w:ascii="Calibri" w:eastAsia="Times New Roman" w:hAnsi="Calibri" w:cs="Calibri"/>
                <w:color w:val="000000"/>
              </w:rPr>
            </w:pPr>
            <w:r w:rsidRPr="0030551C">
              <w:rPr>
                <w:rFonts w:ascii="Calibri" w:eastAsia="Times New Roman" w:hAnsi="Calibri" w:cs="Calibri"/>
                <w:color w:val="000000"/>
              </w:rPr>
              <w:t>160</w:t>
            </w:r>
          </w:p>
        </w:tc>
        <w:tc>
          <w:tcPr>
            <w:tcW w:w="2160" w:type="dxa"/>
            <w:noWrap/>
            <w:hideMark/>
          </w:tcPr>
          <w:p w14:paraId="60AF8B3A" w14:textId="77777777" w:rsidR="00152474" w:rsidRPr="0030551C" w:rsidRDefault="00152474" w:rsidP="001958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30551C">
              <w:rPr>
                <w:rFonts w:ascii="Calibri" w:eastAsia="Times New Roman" w:hAnsi="Calibri" w:cs="Calibri"/>
                <w:color w:val="000000"/>
              </w:rPr>
              <w:t>45.2</w:t>
            </w:r>
          </w:p>
        </w:tc>
      </w:tr>
      <w:tr w:rsidR="00152474" w:rsidRPr="0030551C" w14:paraId="328F8F1B"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5E61F0C3" w14:textId="77777777" w:rsidR="00152474" w:rsidRPr="0030551C" w:rsidRDefault="00152474" w:rsidP="00195867">
            <w:pPr>
              <w:jc w:val="center"/>
              <w:rPr>
                <w:rFonts w:ascii="Calibri" w:eastAsia="Times New Roman" w:hAnsi="Calibri" w:cs="Calibri"/>
                <w:color w:val="000000"/>
              </w:rPr>
            </w:pPr>
            <w:r w:rsidRPr="0030551C">
              <w:rPr>
                <w:rFonts w:ascii="Calibri" w:eastAsia="Times New Roman" w:hAnsi="Calibri" w:cs="Calibri"/>
                <w:color w:val="000000"/>
              </w:rPr>
              <w:t>170</w:t>
            </w:r>
          </w:p>
        </w:tc>
        <w:tc>
          <w:tcPr>
            <w:tcW w:w="2160" w:type="dxa"/>
            <w:noWrap/>
            <w:hideMark/>
          </w:tcPr>
          <w:p w14:paraId="6E5E4BD1" w14:textId="77777777" w:rsidR="00152474" w:rsidRPr="0030551C" w:rsidRDefault="00152474" w:rsidP="001958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30551C">
              <w:rPr>
                <w:rFonts w:ascii="Calibri" w:eastAsia="Times New Roman" w:hAnsi="Calibri" w:cs="Calibri"/>
                <w:color w:val="000000"/>
              </w:rPr>
              <w:t>48.0</w:t>
            </w:r>
          </w:p>
        </w:tc>
      </w:tr>
      <w:tr w:rsidR="00152474" w:rsidRPr="0030551C" w14:paraId="4D8363C5"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4871D427" w14:textId="77777777" w:rsidR="00152474" w:rsidRPr="0030551C" w:rsidRDefault="00152474" w:rsidP="00195867">
            <w:pPr>
              <w:jc w:val="center"/>
              <w:rPr>
                <w:rFonts w:ascii="Calibri" w:eastAsia="Times New Roman" w:hAnsi="Calibri" w:cs="Calibri"/>
                <w:color w:val="000000"/>
              </w:rPr>
            </w:pPr>
            <w:r w:rsidRPr="0030551C">
              <w:rPr>
                <w:rFonts w:ascii="Calibri" w:eastAsia="Times New Roman" w:hAnsi="Calibri" w:cs="Calibri"/>
                <w:color w:val="000000"/>
              </w:rPr>
              <w:t>180</w:t>
            </w:r>
          </w:p>
        </w:tc>
        <w:tc>
          <w:tcPr>
            <w:tcW w:w="2160" w:type="dxa"/>
            <w:noWrap/>
            <w:hideMark/>
          </w:tcPr>
          <w:p w14:paraId="51E4B1BC" w14:textId="77777777" w:rsidR="00152474" w:rsidRPr="0030551C" w:rsidRDefault="00152474" w:rsidP="001958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30551C">
              <w:rPr>
                <w:rFonts w:ascii="Calibri" w:eastAsia="Times New Roman" w:hAnsi="Calibri" w:cs="Calibri"/>
                <w:color w:val="000000"/>
              </w:rPr>
              <w:t>50.9</w:t>
            </w:r>
          </w:p>
        </w:tc>
      </w:tr>
      <w:tr w:rsidR="00152474" w:rsidRPr="0030551C" w14:paraId="78B7C04B"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44975AAD" w14:textId="77777777" w:rsidR="00152474" w:rsidRPr="0030551C" w:rsidRDefault="00152474" w:rsidP="00195867">
            <w:pPr>
              <w:jc w:val="center"/>
              <w:rPr>
                <w:rFonts w:ascii="Calibri" w:eastAsia="Times New Roman" w:hAnsi="Calibri" w:cs="Calibri"/>
                <w:color w:val="000000"/>
              </w:rPr>
            </w:pPr>
            <w:r w:rsidRPr="0030551C">
              <w:rPr>
                <w:rFonts w:ascii="Calibri" w:eastAsia="Times New Roman" w:hAnsi="Calibri" w:cs="Calibri"/>
                <w:color w:val="000000"/>
              </w:rPr>
              <w:t>190</w:t>
            </w:r>
          </w:p>
        </w:tc>
        <w:tc>
          <w:tcPr>
            <w:tcW w:w="2160" w:type="dxa"/>
            <w:noWrap/>
            <w:hideMark/>
          </w:tcPr>
          <w:p w14:paraId="7D7E7E14" w14:textId="77777777" w:rsidR="00152474" w:rsidRPr="0030551C" w:rsidRDefault="00152474" w:rsidP="001958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30551C">
              <w:rPr>
                <w:rFonts w:ascii="Calibri" w:eastAsia="Times New Roman" w:hAnsi="Calibri" w:cs="Calibri"/>
                <w:color w:val="000000"/>
              </w:rPr>
              <w:t>53.7</w:t>
            </w:r>
          </w:p>
        </w:tc>
      </w:tr>
      <w:tr w:rsidR="00152474" w:rsidRPr="0030551C" w14:paraId="1EEFEC9B"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3C590757" w14:textId="77777777" w:rsidR="00152474" w:rsidRPr="0030551C" w:rsidRDefault="00152474" w:rsidP="00195867">
            <w:pPr>
              <w:jc w:val="center"/>
              <w:rPr>
                <w:rFonts w:ascii="Calibri" w:eastAsia="Times New Roman" w:hAnsi="Calibri" w:cs="Calibri"/>
                <w:color w:val="000000"/>
              </w:rPr>
            </w:pPr>
            <w:r w:rsidRPr="0030551C">
              <w:rPr>
                <w:rFonts w:ascii="Calibri" w:eastAsia="Times New Roman" w:hAnsi="Calibri" w:cs="Calibri"/>
                <w:color w:val="000000"/>
              </w:rPr>
              <w:t>200</w:t>
            </w:r>
          </w:p>
        </w:tc>
        <w:tc>
          <w:tcPr>
            <w:tcW w:w="2160" w:type="dxa"/>
            <w:noWrap/>
            <w:hideMark/>
          </w:tcPr>
          <w:p w14:paraId="3E7B6574" w14:textId="77777777" w:rsidR="00152474" w:rsidRPr="0030551C" w:rsidRDefault="00152474" w:rsidP="001958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30551C">
              <w:rPr>
                <w:rFonts w:ascii="Calibri" w:eastAsia="Times New Roman" w:hAnsi="Calibri" w:cs="Calibri"/>
                <w:color w:val="000000"/>
              </w:rPr>
              <w:t>56.5</w:t>
            </w:r>
          </w:p>
        </w:tc>
      </w:tr>
      <w:tr w:rsidR="00152474" w:rsidRPr="0030551C" w14:paraId="6864637D"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7554CB80" w14:textId="77777777" w:rsidR="00152474" w:rsidRPr="0030551C" w:rsidRDefault="00152474" w:rsidP="00195867">
            <w:pPr>
              <w:jc w:val="center"/>
              <w:rPr>
                <w:rFonts w:ascii="Calibri" w:eastAsia="Times New Roman" w:hAnsi="Calibri" w:cs="Calibri"/>
                <w:color w:val="000000"/>
              </w:rPr>
            </w:pPr>
            <w:r w:rsidRPr="0030551C">
              <w:rPr>
                <w:rFonts w:ascii="Calibri" w:eastAsia="Times New Roman" w:hAnsi="Calibri" w:cs="Calibri"/>
                <w:color w:val="000000"/>
              </w:rPr>
              <w:t>210</w:t>
            </w:r>
          </w:p>
        </w:tc>
        <w:tc>
          <w:tcPr>
            <w:tcW w:w="2160" w:type="dxa"/>
            <w:noWrap/>
            <w:hideMark/>
          </w:tcPr>
          <w:p w14:paraId="510FDB7E" w14:textId="77777777" w:rsidR="00152474" w:rsidRPr="0030551C" w:rsidRDefault="00152474" w:rsidP="001958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30551C">
              <w:rPr>
                <w:rFonts w:ascii="Calibri" w:eastAsia="Times New Roman" w:hAnsi="Calibri" w:cs="Calibri"/>
                <w:color w:val="000000"/>
              </w:rPr>
              <w:t>59.3</w:t>
            </w:r>
          </w:p>
        </w:tc>
      </w:tr>
      <w:tr w:rsidR="00152474" w:rsidRPr="0030551C" w14:paraId="5CCC5C0F"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6E498FC5" w14:textId="77777777" w:rsidR="00152474" w:rsidRPr="0030551C" w:rsidRDefault="00152474" w:rsidP="00195867">
            <w:pPr>
              <w:jc w:val="center"/>
              <w:rPr>
                <w:rFonts w:ascii="Calibri" w:eastAsia="Times New Roman" w:hAnsi="Calibri" w:cs="Calibri"/>
                <w:color w:val="000000"/>
              </w:rPr>
            </w:pPr>
            <w:r w:rsidRPr="0030551C">
              <w:rPr>
                <w:rFonts w:ascii="Calibri" w:eastAsia="Times New Roman" w:hAnsi="Calibri" w:cs="Calibri"/>
                <w:color w:val="000000"/>
              </w:rPr>
              <w:t>220</w:t>
            </w:r>
          </w:p>
        </w:tc>
        <w:tc>
          <w:tcPr>
            <w:tcW w:w="2160" w:type="dxa"/>
            <w:noWrap/>
            <w:hideMark/>
          </w:tcPr>
          <w:p w14:paraId="171D5ED9" w14:textId="77777777" w:rsidR="00152474" w:rsidRPr="0030551C" w:rsidRDefault="00152474" w:rsidP="001958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30551C">
              <w:rPr>
                <w:rFonts w:ascii="Calibri" w:eastAsia="Times New Roman" w:hAnsi="Calibri" w:cs="Calibri"/>
                <w:color w:val="000000"/>
              </w:rPr>
              <w:t>62.2</w:t>
            </w:r>
          </w:p>
        </w:tc>
      </w:tr>
      <w:tr w:rsidR="00152474" w:rsidRPr="0030551C" w14:paraId="5C04650F"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26F49241" w14:textId="77777777" w:rsidR="00152474" w:rsidRPr="0030551C" w:rsidRDefault="00152474" w:rsidP="00195867">
            <w:pPr>
              <w:jc w:val="center"/>
              <w:rPr>
                <w:rFonts w:ascii="Calibri" w:eastAsia="Times New Roman" w:hAnsi="Calibri" w:cs="Calibri"/>
                <w:color w:val="000000"/>
              </w:rPr>
            </w:pPr>
            <w:r w:rsidRPr="0030551C">
              <w:rPr>
                <w:rFonts w:ascii="Calibri" w:eastAsia="Times New Roman" w:hAnsi="Calibri" w:cs="Calibri"/>
                <w:color w:val="000000"/>
              </w:rPr>
              <w:t>230</w:t>
            </w:r>
          </w:p>
        </w:tc>
        <w:tc>
          <w:tcPr>
            <w:tcW w:w="2160" w:type="dxa"/>
            <w:noWrap/>
            <w:hideMark/>
          </w:tcPr>
          <w:p w14:paraId="0F9B832F" w14:textId="77777777" w:rsidR="00152474" w:rsidRPr="0030551C" w:rsidRDefault="00152474" w:rsidP="001958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30551C">
              <w:rPr>
                <w:rFonts w:ascii="Calibri" w:eastAsia="Times New Roman" w:hAnsi="Calibri" w:cs="Calibri"/>
                <w:color w:val="000000"/>
              </w:rPr>
              <w:t>65.0</w:t>
            </w:r>
          </w:p>
        </w:tc>
      </w:tr>
      <w:tr w:rsidR="00152474" w:rsidRPr="0030551C" w14:paraId="4F04E953"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2FA5D920" w14:textId="77777777" w:rsidR="00152474" w:rsidRPr="0030551C" w:rsidRDefault="00152474" w:rsidP="00195867">
            <w:pPr>
              <w:jc w:val="center"/>
              <w:rPr>
                <w:rFonts w:ascii="Calibri" w:eastAsia="Times New Roman" w:hAnsi="Calibri" w:cs="Calibri"/>
                <w:color w:val="000000"/>
              </w:rPr>
            </w:pPr>
            <w:r w:rsidRPr="0030551C">
              <w:rPr>
                <w:rFonts w:ascii="Calibri" w:eastAsia="Times New Roman" w:hAnsi="Calibri" w:cs="Calibri"/>
                <w:color w:val="000000"/>
              </w:rPr>
              <w:t>240</w:t>
            </w:r>
          </w:p>
        </w:tc>
        <w:tc>
          <w:tcPr>
            <w:tcW w:w="2160" w:type="dxa"/>
            <w:noWrap/>
            <w:hideMark/>
          </w:tcPr>
          <w:p w14:paraId="088770F4" w14:textId="77777777" w:rsidR="00152474" w:rsidRPr="0030551C" w:rsidRDefault="00152474" w:rsidP="001958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30551C">
              <w:rPr>
                <w:rFonts w:ascii="Calibri" w:eastAsia="Times New Roman" w:hAnsi="Calibri" w:cs="Calibri"/>
                <w:color w:val="000000"/>
              </w:rPr>
              <w:t>67.8</w:t>
            </w:r>
          </w:p>
        </w:tc>
      </w:tr>
      <w:tr w:rsidR="00152474" w:rsidRPr="0030551C" w14:paraId="01CA52FE"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0A780732" w14:textId="77777777" w:rsidR="00152474" w:rsidRPr="0030551C" w:rsidRDefault="00152474" w:rsidP="00195867">
            <w:pPr>
              <w:jc w:val="center"/>
              <w:rPr>
                <w:rFonts w:ascii="Calibri" w:eastAsia="Times New Roman" w:hAnsi="Calibri" w:cs="Calibri"/>
                <w:color w:val="000000"/>
              </w:rPr>
            </w:pPr>
            <w:r w:rsidRPr="0030551C">
              <w:rPr>
                <w:rFonts w:ascii="Calibri" w:eastAsia="Times New Roman" w:hAnsi="Calibri" w:cs="Calibri"/>
                <w:color w:val="000000"/>
              </w:rPr>
              <w:t>250</w:t>
            </w:r>
          </w:p>
        </w:tc>
        <w:tc>
          <w:tcPr>
            <w:tcW w:w="2160" w:type="dxa"/>
            <w:noWrap/>
            <w:hideMark/>
          </w:tcPr>
          <w:p w14:paraId="39B8CE2C" w14:textId="77777777" w:rsidR="00152474" w:rsidRPr="0030551C" w:rsidRDefault="00152474" w:rsidP="001958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30551C">
              <w:rPr>
                <w:rFonts w:ascii="Calibri" w:eastAsia="Times New Roman" w:hAnsi="Calibri" w:cs="Calibri"/>
                <w:color w:val="000000"/>
              </w:rPr>
              <w:t>70.7</w:t>
            </w:r>
          </w:p>
        </w:tc>
      </w:tr>
      <w:tr w:rsidR="00152474" w:rsidRPr="0030551C" w14:paraId="69913FEF"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49DE880E" w14:textId="77777777" w:rsidR="00152474" w:rsidRPr="0030551C" w:rsidRDefault="00152474" w:rsidP="00195867">
            <w:pPr>
              <w:jc w:val="center"/>
              <w:rPr>
                <w:rFonts w:ascii="Calibri" w:eastAsia="Times New Roman" w:hAnsi="Calibri" w:cs="Calibri"/>
                <w:color w:val="000000"/>
              </w:rPr>
            </w:pPr>
            <w:r w:rsidRPr="0030551C">
              <w:rPr>
                <w:rFonts w:ascii="Calibri" w:eastAsia="Times New Roman" w:hAnsi="Calibri" w:cs="Calibri"/>
                <w:color w:val="000000"/>
              </w:rPr>
              <w:t>260</w:t>
            </w:r>
          </w:p>
        </w:tc>
        <w:tc>
          <w:tcPr>
            <w:tcW w:w="2160" w:type="dxa"/>
            <w:noWrap/>
            <w:hideMark/>
          </w:tcPr>
          <w:p w14:paraId="79165A40" w14:textId="77777777" w:rsidR="00152474" w:rsidRPr="0030551C" w:rsidRDefault="00152474" w:rsidP="001958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30551C">
              <w:rPr>
                <w:rFonts w:ascii="Calibri" w:eastAsia="Times New Roman" w:hAnsi="Calibri" w:cs="Calibri"/>
                <w:color w:val="000000"/>
              </w:rPr>
              <w:t>73.5</w:t>
            </w:r>
          </w:p>
        </w:tc>
      </w:tr>
      <w:tr w:rsidR="00152474" w:rsidRPr="0030551C" w14:paraId="3F26811D"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044EA93E" w14:textId="77777777" w:rsidR="00152474" w:rsidRPr="0030551C" w:rsidRDefault="00152474" w:rsidP="00195867">
            <w:pPr>
              <w:jc w:val="center"/>
              <w:rPr>
                <w:rFonts w:ascii="Calibri" w:eastAsia="Times New Roman" w:hAnsi="Calibri" w:cs="Calibri"/>
                <w:color w:val="000000"/>
              </w:rPr>
            </w:pPr>
            <w:r w:rsidRPr="0030551C">
              <w:rPr>
                <w:rFonts w:ascii="Calibri" w:eastAsia="Times New Roman" w:hAnsi="Calibri" w:cs="Calibri"/>
                <w:color w:val="000000"/>
              </w:rPr>
              <w:t>270</w:t>
            </w:r>
          </w:p>
        </w:tc>
        <w:tc>
          <w:tcPr>
            <w:tcW w:w="2160" w:type="dxa"/>
            <w:noWrap/>
            <w:hideMark/>
          </w:tcPr>
          <w:p w14:paraId="58BF54D6" w14:textId="77777777" w:rsidR="00152474" w:rsidRPr="0030551C" w:rsidRDefault="00152474" w:rsidP="001958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30551C">
              <w:rPr>
                <w:rFonts w:ascii="Calibri" w:eastAsia="Times New Roman" w:hAnsi="Calibri" w:cs="Calibri"/>
                <w:color w:val="000000"/>
              </w:rPr>
              <w:t>76.3</w:t>
            </w:r>
          </w:p>
        </w:tc>
      </w:tr>
      <w:tr w:rsidR="00152474" w:rsidRPr="0030551C" w14:paraId="10AA20F6"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43341A8A" w14:textId="77777777" w:rsidR="00152474" w:rsidRPr="0030551C" w:rsidRDefault="00152474" w:rsidP="00195867">
            <w:pPr>
              <w:jc w:val="center"/>
              <w:rPr>
                <w:rFonts w:ascii="Calibri" w:eastAsia="Times New Roman" w:hAnsi="Calibri" w:cs="Calibri"/>
                <w:color w:val="000000"/>
              </w:rPr>
            </w:pPr>
            <w:r w:rsidRPr="0030551C">
              <w:rPr>
                <w:rFonts w:ascii="Calibri" w:eastAsia="Times New Roman" w:hAnsi="Calibri" w:cs="Calibri"/>
                <w:color w:val="000000"/>
              </w:rPr>
              <w:t>280</w:t>
            </w:r>
          </w:p>
        </w:tc>
        <w:tc>
          <w:tcPr>
            <w:tcW w:w="2160" w:type="dxa"/>
            <w:noWrap/>
            <w:hideMark/>
          </w:tcPr>
          <w:p w14:paraId="40EAF447" w14:textId="77777777" w:rsidR="00152474" w:rsidRPr="0030551C" w:rsidRDefault="00152474" w:rsidP="001958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30551C">
              <w:rPr>
                <w:rFonts w:ascii="Calibri" w:eastAsia="Times New Roman" w:hAnsi="Calibri" w:cs="Calibri"/>
                <w:color w:val="000000"/>
              </w:rPr>
              <w:t>79.1</w:t>
            </w:r>
          </w:p>
        </w:tc>
      </w:tr>
      <w:tr w:rsidR="00152474" w:rsidRPr="0030551C" w14:paraId="469DA1F0"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69BF36AF" w14:textId="77777777" w:rsidR="00152474" w:rsidRPr="0030551C" w:rsidRDefault="00152474" w:rsidP="00195867">
            <w:pPr>
              <w:jc w:val="center"/>
              <w:rPr>
                <w:rFonts w:ascii="Calibri" w:eastAsia="Times New Roman" w:hAnsi="Calibri" w:cs="Calibri"/>
                <w:color w:val="000000"/>
              </w:rPr>
            </w:pPr>
            <w:r w:rsidRPr="0030551C">
              <w:rPr>
                <w:rFonts w:ascii="Calibri" w:eastAsia="Times New Roman" w:hAnsi="Calibri" w:cs="Calibri"/>
                <w:color w:val="000000"/>
              </w:rPr>
              <w:t>290</w:t>
            </w:r>
          </w:p>
        </w:tc>
        <w:tc>
          <w:tcPr>
            <w:tcW w:w="2160" w:type="dxa"/>
            <w:noWrap/>
            <w:hideMark/>
          </w:tcPr>
          <w:p w14:paraId="67A1D60D" w14:textId="77777777" w:rsidR="00152474" w:rsidRPr="0030551C" w:rsidRDefault="00152474" w:rsidP="001958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30551C">
              <w:rPr>
                <w:rFonts w:ascii="Calibri" w:eastAsia="Times New Roman" w:hAnsi="Calibri" w:cs="Calibri"/>
                <w:color w:val="000000"/>
              </w:rPr>
              <w:t>82.0</w:t>
            </w:r>
          </w:p>
        </w:tc>
      </w:tr>
      <w:tr w:rsidR="00152474" w:rsidRPr="0030551C" w14:paraId="45332FAD"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285A5FA3" w14:textId="77777777" w:rsidR="00152474" w:rsidRPr="0030551C" w:rsidRDefault="00152474" w:rsidP="00195867">
            <w:pPr>
              <w:jc w:val="center"/>
              <w:rPr>
                <w:rFonts w:ascii="Calibri" w:eastAsia="Times New Roman" w:hAnsi="Calibri" w:cs="Calibri"/>
                <w:color w:val="000000"/>
              </w:rPr>
            </w:pPr>
            <w:r w:rsidRPr="0030551C">
              <w:rPr>
                <w:rFonts w:ascii="Calibri" w:eastAsia="Times New Roman" w:hAnsi="Calibri" w:cs="Calibri"/>
                <w:color w:val="000000"/>
              </w:rPr>
              <w:t>300</w:t>
            </w:r>
          </w:p>
        </w:tc>
        <w:tc>
          <w:tcPr>
            <w:tcW w:w="2160" w:type="dxa"/>
            <w:noWrap/>
            <w:hideMark/>
          </w:tcPr>
          <w:p w14:paraId="2E13B5D3" w14:textId="77777777" w:rsidR="00152474" w:rsidRPr="0030551C" w:rsidRDefault="00152474" w:rsidP="001958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30551C">
              <w:rPr>
                <w:rFonts w:ascii="Calibri" w:eastAsia="Times New Roman" w:hAnsi="Calibri" w:cs="Calibri"/>
                <w:color w:val="000000"/>
              </w:rPr>
              <w:t>84.8</w:t>
            </w:r>
          </w:p>
        </w:tc>
      </w:tr>
    </w:tbl>
    <w:p w14:paraId="463939BD" w14:textId="77777777" w:rsidR="00152474" w:rsidRPr="000B0CA1" w:rsidRDefault="00152474" w:rsidP="00152474">
      <w:pPr>
        <w:jc w:val="center"/>
        <w:rPr>
          <w:b/>
        </w:rPr>
      </w:pPr>
      <w:r w:rsidRPr="000B0CA1">
        <w:rPr>
          <w:b/>
        </w:rPr>
        <w:t xml:space="preserve">Table 1: Predicted Live Tree Carbon Stock by </w:t>
      </w:r>
      <w:r>
        <w:rPr>
          <w:b/>
        </w:rPr>
        <w:t>B</w:t>
      </w:r>
      <w:r w:rsidRPr="000B0CA1">
        <w:rPr>
          <w:b/>
        </w:rPr>
        <w:t xml:space="preserve">asal </w:t>
      </w:r>
      <w:r>
        <w:rPr>
          <w:b/>
        </w:rPr>
        <w:t>A</w:t>
      </w:r>
      <w:r w:rsidRPr="000B0CA1">
        <w:rPr>
          <w:b/>
        </w:rPr>
        <w:t xml:space="preserve">rea   </w:t>
      </w:r>
    </w:p>
    <w:tbl>
      <w:tblPr>
        <w:tblStyle w:val="GridTable2"/>
        <w:tblpPr w:leftFromText="180" w:rightFromText="180" w:vertAnchor="text" w:horzAnchor="margin" w:tblpXSpec="right" w:tblpYSpec="center"/>
        <w:tblW w:w="4770" w:type="dxa"/>
        <w:tblLook w:val="04A0" w:firstRow="1" w:lastRow="0" w:firstColumn="1" w:lastColumn="0" w:noHBand="0" w:noVBand="1"/>
      </w:tblPr>
      <w:tblGrid>
        <w:gridCol w:w="1139"/>
        <w:gridCol w:w="1491"/>
        <w:gridCol w:w="2140"/>
      </w:tblGrid>
      <w:tr w:rsidR="00152474" w:rsidRPr="0052448B" w14:paraId="0CD7B1BC" w14:textId="77777777" w:rsidTr="00751819">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4C29E081" w14:textId="77777777" w:rsidR="00152474" w:rsidRPr="0052448B" w:rsidRDefault="00152474" w:rsidP="00195867">
            <w:pPr>
              <w:jc w:val="center"/>
              <w:rPr>
                <w:rFonts w:ascii="Calibri" w:eastAsia="Times New Roman" w:hAnsi="Calibri" w:cs="Times New Roman"/>
                <w:color w:val="000000"/>
              </w:rPr>
            </w:pPr>
            <w:r w:rsidRPr="0052448B">
              <w:rPr>
                <w:rFonts w:ascii="Calibri" w:eastAsia="Times New Roman" w:hAnsi="Calibri" w:cs="Times New Roman"/>
                <w:color w:val="000000"/>
              </w:rPr>
              <w:t>Percentile</w:t>
            </w:r>
          </w:p>
        </w:tc>
        <w:tc>
          <w:tcPr>
            <w:tcW w:w="1491" w:type="dxa"/>
            <w:noWrap/>
            <w:hideMark/>
          </w:tcPr>
          <w:p w14:paraId="7D968DA6" w14:textId="5CCF03E3" w:rsidR="00152474" w:rsidRPr="0052448B" w:rsidRDefault="00152474" w:rsidP="0019586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52448B">
              <w:rPr>
                <w:rFonts w:ascii="Calibri" w:eastAsia="Times New Roman" w:hAnsi="Calibri" w:cs="Times New Roman"/>
                <w:color w:val="000000"/>
              </w:rPr>
              <w:t>BA (ft</w:t>
            </w:r>
            <w:r w:rsidRPr="0052448B">
              <w:rPr>
                <w:rFonts w:ascii="Calibri" w:eastAsia="Times New Roman" w:hAnsi="Calibri" w:cs="Times New Roman"/>
                <w:color w:val="000000"/>
                <w:vertAlign w:val="superscript"/>
              </w:rPr>
              <w:t>2</w:t>
            </w:r>
            <w:r w:rsidRPr="0052448B">
              <w:rPr>
                <w:rFonts w:ascii="Calibri" w:eastAsia="Times New Roman" w:hAnsi="Calibri" w:cs="Times New Roman"/>
                <w:color w:val="000000"/>
              </w:rPr>
              <w:t>/ac)</w:t>
            </w:r>
          </w:p>
        </w:tc>
        <w:tc>
          <w:tcPr>
            <w:tcW w:w="2140" w:type="dxa"/>
            <w:noWrap/>
            <w:hideMark/>
          </w:tcPr>
          <w:p w14:paraId="13C522E0" w14:textId="47CE2AA8" w:rsidR="00152474" w:rsidRPr="0052448B" w:rsidRDefault="00152474" w:rsidP="0019586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52448B">
              <w:rPr>
                <w:rFonts w:ascii="Calibri" w:eastAsia="Times New Roman" w:hAnsi="Calibri" w:cs="Times New Roman"/>
                <w:color w:val="000000"/>
              </w:rPr>
              <w:t xml:space="preserve">C </w:t>
            </w:r>
            <w:r>
              <w:rPr>
                <w:rFonts w:ascii="Calibri" w:eastAsia="Times New Roman" w:hAnsi="Calibri" w:cs="Times New Roman"/>
                <w:color w:val="000000"/>
              </w:rPr>
              <w:t>Prediction</w:t>
            </w:r>
            <w:r w:rsidRPr="0052448B">
              <w:rPr>
                <w:rFonts w:ascii="Calibri" w:eastAsia="Times New Roman" w:hAnsi="Calibri" w:cs="Times New Roman"/>
                <w:color w:val="000000"/>
              </w:rPr>
              <w:t>(t</w:t>
            </w:r>
            <w:r w:rsidR="00F91B04">
              <w:rPr>
                <w:rFonts w:ascii="Calibri" w:eastAsia="Times New Roman" w:hAnsi="Calibri" w:cs="Times New Roman"/>
                <w:color w:val="000000"/>
              </w:rPr>
              <w:t>o</w:t>
            </w:r>
            <w:r w:rsidR="00D93181">
              <w:rPr>
                <w:rFonts w:ascii="Calibri" w:eastAsia="Times New Roman" w:hAnsi="Calibri" w:cs="Times New Roman"/>
                <w:color w:val="000000"/>
              </w:rPr>
              <w:t>n</w:t>
            </w:r>
            <w:r w:rsidRPr="0052448B">
              <w:rPr>
                <w:rFonts w:ascii="Calibri" w:eastAsia="Times New Roman" w:hAnsi="Calibri" w:cs="Times New Roman"/>
                <w:color w:val="000000"/>
              </w:rPr>
              <w:t>/ac)</w:t>
            </w:r>
          </w:p>
        </w:tc>
      </w:tr>
      <w:tr w:rsidR="00152474" w:rsidRPr="0052448B" w14:paraId="1BDAB5AA"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49CA4247" w14:textId="77777777" w:rsidR="00152474" w:rsidRPr="0052448B" w:rsidRDefault="00152474" w:rsidP="00195867">
            <w:pPr>
              <w:jc w:val="center"/>
              <w:rPr>
                <w:rFonts w:ascii="Calibri" w:eastAsia="Times New Roman" w:hAnsi="Calibri" w:cs="Times New Roman"/>
                <w:color w:val="000000"/>
              </w:rPr>
            </w:pPr>
            <w:r w:rsidRPr="0052448B">
              <w:rPr>
                <w:rFonts w:ascii="Calibri" w:eastAsia="Times New Roman" w:hAnsi="Calibri" w:cs="Times New Roman"/>
                <w:color w:val="000000"/>
              </w:rPr>
              <w:t>0</w:t>
            </w:r>
          </w:p>
        </w:tc>
        <w:tc>
          <w:tcPr>
            <w:tcW w:w="1491" w:type="dxa"/>
            <w:noWrap/>
            <w:hideMark/>
          </w:tcPr>
          <w:p w14:paraId="6F5D747C" w14:textId="77777777" w:rsidR="00152474" w:rsidRPr="0052448B" w:rsidRDefault="00152474" w:rsidP="001958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52448B">
              <w:rPr>
                <w:rFonts w:ascii="Calibri" w:eastAsia="Times New Roman" w:hAnsi="Calibri" w:cs="Times New Roman"/>
                <w:color w:val="000000"/>
              </w:rPr>
              <w:t>4.8</w:t>
            </w:r>
          </w:p>
        </w:tc>
        <w:tc>
          <w:tcPr>
            <w:tcW w:w="2140" w:type="dxa"/>
            <w:noWrap/>
            <w:hideMark/>
          </w:tcPr>
          <w:p w14:paraId="6F4A98F4" w14:textId="77777777" w:rsidR="00152474" w:rsidRPr="0052448B" w:rsidRDefault="00152474" w:rsidP="001958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52448B">
              <w:rPr>
                <w:rFonts w:ascii="Calibri" w:eastAsia="Times New Roman" w:hAnsi="Calibri" w:cs="Times New Roman"/>
                <w:color w:val="000000"/>
              </w:rPr>
              <w:t>1.4</w:t>
            </w:r>
          </w:p>
        </w:tc>
      </w:tr>
      <w:tr w:rsidR="00152474" w:rsidRPr="0052448B" w14:paraId="0E3620C9"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3077F953" w14:textId="77777777" w:rsidR="00152474" w:rsidRPr="0052448B" w:rsidRDefault="00152474" w:rsidP="00195867">
            <w:pPr>
              <w:jc w:val="center"/>
              <w:rPr>
                <w:rFonts w:ascii="Calibri" w:eastAsia="Times New Roman" w:hAnsi="Calibri" w:cs="Times New Roman"/>
                <w:color w:val="000000"/>
              </w:rPr>
            </w:pPr>
            <w:r w:rsidRPr="0052448B">
              <w:rPr>
                <w:rFonts w:ascii="Calibri" w:eastAsia="Times New Roman" w:hAnsi="Calibri" w:cs="Times New Roman"/>
                <w:color w:val="000000"/>
              </w:rPr>
              <w:t>1</w:t>
            </w:r>
          </w:p>
        </w:tc>
        <w:tc>
          <w:tcPr>
            <w:tcW w:w="1491" w:type="dxa"/>
            <w:noWrap/>
            <w:hideMark/>
          </w:tcPr>
          <w:p w14:paraId="05A4B255" w14:textId="77777777" w:rsidR="00152474" w:rsidRPr="0052448B" w:rsidRDefault="00152474" w:rsidP="001958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52448B">
              <w:rPr>
                <w:rFonts w:ascii="Calibri" w:eastAsia="Times New Roman" w:hAnsi="Calibri" w:cs="Times New Roman"/>
                <w:color w:val="000000"/>
              </w:rPr>
              <w:t>7.2</w:t>
            </w:r>
          </w:p>
        </w:tc>
        <w:tc>
          <w:tcPr>
            <w:tcW w:w="2140" w:type="dxa"/>
            <w:noWrap/>
            <w:hideMark/>
          </w:tcPr>
          <w:p w14:paraId="1A5A1DCE" w14:textId="77777777" w:rsidR="00152474" w:rsidRPr="0052448B" w:rsidRDefault="00152474" w:rsidP="001958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52448B">
              <w:rPr>
                <w:rFonts w:ascii="Calibri" w:eastAsia="Times New Roman" w:hAnsi="Calibri" w:cs="Times New Roman"/>
                <w:color w:val="000000"/>
              </w:rPr>
              <w:t>2.0</w:t>
            </w:r>
          </w:p>
        </w:tc>
      </w:tr>
      <w:tr w:rsidR="00152474" w:rsidRPr="0052448B" w14:paraId="755B34F2"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4D94744B" w14:textId="77777777" w:rsidR="00152474" w:rsidRPr="0052448B" w:rsidRDefault="00152474" w:rsidP="00195867">
            <w:pPr>
              <w:jc w:val="center"/>
              <w:rPr>
                <w:rFonts w:ascii="Calibri" w:eastAsia="Times New Roman" w:hAnsi="Calibri" w:cs="Times New Roman"/>
                <w:color w:val="000000"/>
              </w:rPr>
            </w:pPr>
            <w:r w:rsidRPr="0052448B">
              <w:rPr>
                <w:rFonts w:ascii="Calibri" w:eastAsia="Times New Roman" w:hAnsi="Calibri" w:cs="Times New Roman"/>
                <w:color w:val="000000"/>
              </w:rPr>
              <w:t>2</w:t>
            </w:r>
          </w:p>
        </w:tc>
        <w:tc>
          <w:tcPr>
            <w:tcW w:w="1491" w:type="dxa"/>
            <w:noWrap/>
            <w:hideMark/>
          </w:tcPr>
          <w:p w14:paraId="533E40B4" w14:textId="77777777" w:rsidR="00152474" w:rsidRPr="0052448B" w:rsidRDefault="00152474" w:rsidP="001958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52448B">
              <w:rPr>
                <w:rFonts w:ascii="Calibri" w:eastAsia="Times New Roman" w:hAnsi="Calibri" w:cs="Times New Roman"/>
                <w:color w:val="000000"/>
              </w:rPr>
              <w:t>12.3</w:t>
            </w:r>
          </w:p>
        </w:tc>
        <w:tc>
          <w:tcPr>
            <w:tcW w:w="2140" w:type="dxa"/>
            <w:noWrap/>
            <w:hideMark/>
          </w:tcPr>
          <w:p w14:paraId="164522F8" w14:textId="77777777" w:rsidR="00152474" w:rsidRPr="0052448B" w:rsidRDefault="00152474" w:rsidP="001958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52448B">
              <w:rPr>
                <w:rFonts w:ascii="Calibri" w:eastAsia="Times New Roman" w:hAnsi="Calibri" w:cs="Times New Roman"/>
                <w:color w:val="000000"/>
              </w:rPr>
              <w:t>3.5</w:t>
            </w:r>
          </w:p>
        </w:tc>
      </w:tr>
      <w:tr w:rsidR="00152474" w:rsidRPr="0052448B" w14:paraId="14B162DF"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470B123D" w14:textId="77777777" w:rsidR="00152474" w:rsidRPr="0052448B" w:rsidRDefault="00152474" w:rsidP="00195867">
            <w:pPr>
              <w:jc w:val="center"/>
              <w:rPr>
                <w:rFonts w:ascii="Calibri" w:eastAsia="Times New Roman" w:hAnsi="Calibri" w:cs="Times New Roman"/>
                <w:color w:val="000000"/>
              </w:rPr>
            </w:pPr>
            <w:r w:rsidRPr="0052448B">
              <w:rPr>
                <w:rFonts w:ascii="Calibri" w:eastAsia="Times New Roman" w:hAnsi="Calibri" w:cs="Times New Roman"/>
                <w:color w:val="000000"/>
              </w:rPr>
              <w:t>3</w:t>
            </w:r>
          </w:p>
        </w:tc>
        <w:tc>
          <w:tcPr>
            <w:tcW w:w="1491" w:type="dxa"/>
            <w:noWrap/>
            <w:hideMark/>
          </w:tcPr>
          <w:p w14:paraId="0EC77E69" w14:textId="77777777" w:rsidR="00152474" w:rsidRPr="0052448B" w:rsidRDefault="00152474" w:rsidP="001958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52448B">
              <w:rPr>
                <w:rFonts w:ascii="Calibri" w:eastAsia="Times New Roman" w:hAnsi="Calibri" w:cs="Times New Roman"/>
                <w:color w:val="000000"/>
              </w:rPr>
              <w:t>14.4</w:t>
            </w:r>
          </w:p>
        </w:tc>
        <w:tc>
          <w:tcPr>
            <w:tcW w:w="2140" w:type="dxa"/>
            <w:noWrap/>
            <w:hideMark/>
          </w:tcPr>
          <w:p w14:paraId="16494A3A" w14:textId="77777777" w:rsidR="00152474" w:rsidRPr="0052448B" w:rsidRDefault="00152474" w:rsidP="001958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52448B">
              <w:rPr>
                <w:rFonts w:ascii="Calibri" w:eastAsia="Times New Roman" w:hAnsi="Calibri" w:cs="Times New Roman"/>
                <w:color w:val="000000"/>
              </w:rPr>
              <w:t>4.1</w:t>
            </w:r>
          </w:p>
        </w:tc>
      </w:tr>
      <w:tr w:rsidR="00152474" w:rsidRPr="0052448B" w14:paraId="59721C58"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742AC9A5" w14:textId="77777777" w:rsidR="00152474" w:rsidRPr="0052448B" w:rsidRDefault="00152474" w:rsidP="00195867">
            <w:pPr>
              <w:jc w:val="center"/>
              <w:rPr>
                <w:rFonts w:ascii="Calibri" w:eastAsia="Times New Roman" w:hAnsi="Calibri" w:cs="Times New Roman"/>
                <w:color w:val="000000"/>
              </w:rPr>
            </w:pPr>
            <w:r w:rsidRPr="0052448B">
              <w:rPr>
                <w:rFonts w:ascii="Calibri" w:eastAsia="Times New Roman" w:hAnsi="Calibri" w:cs="Times New Roman"/>
                <w:color w:val="000000"/>
              </w:rPr>
              <w:t>4</w:t>
            </w:r>
          </w:p>
        </w:tc>
        <w:tc>
          <w:tcPr>
            <w:tcW w:w="1491" w:type="dxa"/>
            <w:noWrap/>
            <w:hideMark/>
          </w:tcPr>
          <w:p w14:paraId="2886A778" w14:textId="77777777" w:rsidR="00152474" w:rsidRPr="0052448B" w:rsidRDefault="00152474" w:rsidP="001958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52448B">
              <w:rPr>
                <w:rFonts w:ascii="Calibri" w:eastAsia="Times New Roman" w:hAnsi="Calibri" w:cs="Times New Roman"/>
                <w:color w:val="000000"/>
              </w:rPr>
              <w:t>16.0</w:t>
            </w:r>
          </w:p>
        </w:tc>
        <w:tc>
          <w:tcPr>
            <w:tcW w:w="2140" w:type="dxa"/>
            <w:noWrap/>
            <w:hideMark/>
          </w:tcPr>
          <w:p w14:paraId="50D3690E" w14:textId="77777777" w:rsidR="00152474" w:rsidRPr="0052448B" w:rsidRDefault="00152474" w:rsidP="001958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52448B">
              <w:rPr>
                <w:rFonts w:ascii="Calibri" w:eastAsia="Times New Roman" w:hAnsi="Calibri" w:cs="Times New Roman"/>
                <w:color w:val="000000"/>
              </w:rPr>
              <w:t>4.5</w:t>
            </w:r>
          </w:p>
        </w:tc>
      </w:tr>
      <w:tr w:rsidR="00152474" w:rsidRPr="0052448B" w14:paraId="414BD4F5"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09B64925" w14:textId="77777777" w:rsidR="00152474" w:rsidRPr="0052448B" w:rsidRDefault="00152474" w:rsidP="00195867">
            <w:pPr>
              <w:jc w:val="center"/>
              <w:rPr>
                <w:rFonts w:ascii="Calibri" w:eastAsia="Times New Roman" w:hAnsi="Calibri" w:cs="Times New Roman"/>
                <w:color w:val="000000"/>
              </w:rPr>
            </w:pPr>
            <w:r w:rsidRPr="0052448B">
              <w:rPr>
                <w:rFonts w:ascii="Calibri" w:eastAsia="Times New Roman" w:hAnsi="Calibri" w:cs="Times New Roman"/>
                <w:color w:val="000000"/>
              </w:rPr>
              <w:t>5</w:t>
            </w:r>
          </w:p>
        </w:tc>
        <w:tc>
          <w:tcPr>
            <w:tcW w:w="1491" w:type="dxa"/>
            <w:noWrap/>
            <w:hideMark/>
          </w:tcPr>
          <w:p w14:paraId="3120B682" w14:textId="77777777" w:rsidR="00152474" w:rsidRPr="0052448B" w:rsidRDefault="00152474" w:rsidP="001958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52448B">
              <w:rPr>
                <w:rFonts w:ascii="Calibri" w:eastAsia="Times New Roman" w:hAnsi="Calibri" w:cs="Times New Roman"/>
                <w:color w:val="000000"/>
              </w:rPr>
              <w:t>19.0</w:t>
            </w:r>
          </w:p>
        </w:tc>
        <w:tc>
          <w:tcPr>
            <w:tcW w:w="2140" w:type="dxa"/>
            <w:noWrap/>
            <w:hideMark/>
          </w:tcPr>
          <w:p w14:paraId="4F065731" w14:textId="77777777" w:rsidR="00152474" w:rsidRPr="0052448B" w:rsidRDefault="00152474" w:rsidP="001958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52448B">
              <w:rPr>
                <w:rFonts w:ascii="Calibri" w:eastAsia="Times New Roman" w:hAnsi="Calibri" w:cs="Times New Roman"/>
                <w:color w:val="000000"/>
              </w:rPr>
              <w:t>5.4</w:t>
            </w:r>
          </w:p>
        </w:tc>
      </w:tr>
      <w:tr w:rsidR="00152474" w:rsidRPr="0052448B" w14:paraId="14C9BE8D"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153592E6" w14:textId="77777777" w:rsidR="00152474" w:rsidRPr="0052448B" w:rsidRDefault="00152474" w:rsidP="00195867">
            <w:pPr>
              <w:jc w:val="center"/>
              <w:rPr>
                <w:rFonts w:ascii="Calibri" w:eastAsia="Times New Roman" w:hAnsi="Calibri" w:cs="Times New Roman"/>
                <w:color w:val="000000"/>
              </w:rPr>
            </w:pPr>
            <w:r w:rsidRPr="0052448B">
              <w:rPr>
                <w:rFonts w:ascii="Calibri" w:eastAsia="Times New Roman" w:hAnsi="Calibri" w:cs="Times New Roman"/>
                <w:color w:val="000000"/>
              </w:rPr>
              <w:t>10</w:t>
            </w:r>
          </w:p>
        </w:tc>
        <w:tc>
          <w:tcPr>
            <w:tcW w:w="1491" w:type="dxa"/>
            <w:noWrap/>
            <w:hideMark/>
          </w:tcPr>
          <w:p w14:paraId="43513781" w14:textId="77777777" w:rsidR="00152474" w:rsidRPr="0052448B" w:rsidRDefault="00152474" w:rsidP="001958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52448B">
              <w:rPr>
                <w:rFonts w:ascii="Calibri" w:eastAsia="Times New Roman" w:hAnsi="Calibri" w:cs="Times New Roman"/>
                <w:color w:val="000000"/>
              </w:rPr>
              <w:t>37.0</w:t>
            </w:r>
          </w:p>
        </w:tc>
        <w:tc>
          <w:tcPr>
            <w:tcW w:w="2140" w:type="dxa"/>
            <w:noWrap/>
            <w:hideMark/>
          </w:tcPr>
          <w:p w14:paraId="1DCB2150" w14:textId="77777777" w:rsidR="00152474" w:rsidRPr="0052448B" w:rsidRDefault="00152474" w:rsidP="001958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52448B">
              <w:rPr>
                <w:rFonts w:ascii="Calibri" w:eastAsia="Times New Roman" w:hAnsi="Calibri" w:cs="Times New Roman"/>
                <w:color w:val="000000"/>
              </w:rPr>
              <w:t>10.4</w:t>
            </w:r>
          </w:p>
        </w:tc>
      </w:tr>
      <w:tr w:rsidR="00152474" w:rsidRPr="0052448B" w14:paraId="04AC7B21"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1A9FDB73" w14:textId="77777777" w:rsidR="00152474" w:rsidRPr="0052448B" w:rsidRDefault="00152474" w:rsidP="00195867">
            <w:pPr>
              <w:jc w:val="center"/>
              <w:rPr>
                <w:rFonts w:ascii="Calibri" w:eastAsia="Times New Roman" w:hAnsi="Calibri" w:cs="Times New Roman"/>
                <w:color w:val="000000"/>
              </w:rPr>
            </w:pPr>
            <w:r w:rsidRPr="0052448B">
              <w:rPr>
                <w:rFonts w:ascii="Calibri" w:eastAsia="Times New Roman" w:hAnsi="Calibri" w:cs="Times New Roman"/>
                <w:color w:val="000000"/>
              </w:rPr>
              <w:t>15</w:t>
            </w:r>
          </w:p>
        </w:tc>
        <w:tc>
          <w:tcPr>
            <w:tcW w:w="1491" w:type="dxa"/>
            <w:noWrap/>
            <w:hideMark/>
          </w:tcPr>
          <w:p w14:paraId="01B29569" w14:textId="77777777" w:rsidR="00152474" w:rsidRPr="0052448B" w:rsidRDefault="00152474" w:rsidP="001958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52448B">
              <w:rPr>
                <w:rFonts w:ascii="Calibri" w:eastAsia="Times New Roman" w:hAnsi="Calibri" w:cs="Times New Roman"/>
                <w:color w:val="000000"/>
              </w:rPr>
              <w:t>52.6</w:t>
            </w:r>
          </w:p>
        </w:tc>
        <w:tc>
          <w:tcPr>
            <w:tcW w:w="2140" w:type="dxa"/>
            <w:noWrap/>
            <w:hideMark/>
          </w:tcPr>
          <w:p w14:paraId="3B1A8D53" w14:textId="77777777" w:rsidR="00152474" w:rsidRPr="0052448B" w:rsidRDefault="00152474" w:rsidP="001958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52448B">
              <w:rPr>
                <w:rFonts w:ascii="Calibri" w:eastAsia="Times New Roman" w:hAnsi="Calibri" w:cs="Times New Roman"/>
                <w:color w:val="000000"/>
              </w:rPr>
              <w:t>14.9</w:t>
            </w:r>
          </w:p>
        </w:tc>
      </w:tr>
      <w:tr w:rsidR="00152474" w:rsidRPr="0052448B" w14:paraId="452B4A92"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67FC6086" w14:textId="77777777" w:rsidR="00152474" w:rsidRPr="0052448B" w:rsidRDefault="00152474" w:rsidP="00195867">
            <w:pPr>
              <w:jc w:val="center"/>
              <w:rPr>
                <w:rFonts w:ascii="Calibri" w:eastAsia="Times New Roman" w:hAnsi="Calibri" w:cs="Times New Roman"/>
                <w:color w:val="000000"/>
              </w:rPr>
            </w:pPr>
            <w:r w:rsidRPr="0052448B">
              <w:rPr>
                <w:rFonts w:ascii="Calibri" w:eastAsia="Times New Roman" w:hAnsi="Calibri" w:cs="Times New Roman"/>
                <w:color w:val="000000"/>
              </w:rPr>
              <w:t>20</w:t>
            </w:r>
          </w:p>
        </w:tc>
        <w:tc>
          <w:tcPr>
            <w:tcW w:w="1491" w:type="dxa"/>
            <w:noWrap/>
            <w:hideMark/>
          </w:tcPr>
          <w:p w14:paraId="580FF614" w14:textId="77777777" w:rsidR="00152474" w:rsidRPr="0052448B" w:rsidRDefault="00152474" w:rsidP="001958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52448B">
              <w:rPr>
                <w:rFonts w:ascii="Calibri" w:eastAsia="Times New Roman" w:hAnsi="Calibri" w:cs="Times New Roman"/>
                <w:color w:val="000000"/>
              </w:rPr>
              <w:t>62.0</w:t>
            </w:r>
          </w:p>
        </w:tc>
        <w:tc>
          <w:tcPr>
            <w:tcW w:w="2140" w:type="dxa"/>
            <w:noWrap/>
            <w:hideMark/>
          </w:tcPr>
          <w:p w14:paraId="776051B3" w14:textId="77777777" w:rsidR="00152474" w:rsidRPr="0052448B" w:rsidRDefault="00152474" w:rsidP="001958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52448B">
              <w:rPr>
                <w:rFonts w:ascii="Calibri" w:eastAsia="Times New Roman" w:hAnsi="Calibri" w:cs="Times New Roman"/>
                <w:color w:val="000000"/>
              </w:rPr>
              <w:t>17.5</w:t>
            </w:r>
          </w:p>
        </w:tc>
      </w:tr>
      <w:tr w:rsidR="00152474" w:rsidRPr="0052448B" w14:paraId="425BE4FD"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28D89756" w14:textId="77777777" w:rsidR="00152474" w:rsidRPr="0052448B" w:rsidRDefault="00152474" w:rsidP="00195867">
            <w:pPr>
              <w:jc w:val="center"/>
              <w:rPr>
                <w:rFonts w:ascii="Calibri" w:eastAsia="Times New Roman" w:hAnsi="Calibri" w:cs="Times New Roman"/>
                <w:color w:val="000000"/>
              </w:rPr>
            </w:pPr>
            <w:r w:rsidRPr="0052448B">
              <w:rPr>
                <w:rFonts w:ascii="Calibri" w:eastAsia="Times New Roman" w:hAnsi="Calibri" w:cs="Times New Roman"/>
                <w:color w:val="000000"/>
              </w:rPr>
              <w:t>25</w:t>
            </w:r>
          </w:p>
        </w:tc>
        <w:tc>
          <w:tcPr>
            <w:tcW w:w="1491" w:type="dxa"/>
            <w:noWrap/>
            <w:hideMark/>
          </w:tcPr>
          <w:p w14:paraId="18327EFC" w14:textId="77777777" w:rsidR="00152474" w:rsidRPr="0052448B" w:rsidRDefault="00152474" w:rsidP="001958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52448B">
              <w:rPr>
                <w:rFonts w:ascii="Calibri" w:eastAsia="Times New Roman" w:hAnsi="Calibri" w:cs="Times New Roman"/>
                <w:color w:val="000000"/>
              </w:rPr>
              <w:t>73.8</w:t>
            </w:r>
          </w:p>
        </w:tc>
        <w:tc>
          <w:tcPr>
            <w:tcW w:w="2140" w:type="dxa"/>
            <w:noWrap/>
            <w:hideMark/>
          </w:tcPr>
          <w:p w14:paraId="643E3A9F" w14:textId="77777777" w:rsidR="00152474" w:rsidRPr="0052448B" w:rsidRDefault="00152474" w:rsidP="001958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52448B">
              <w:rPr>
                <w:rFonts w:ascii="Calibri" w:eastAsia="Times New Roman" w:hAnsi="Calibri" w:cs="Times New Roman"/>
                <w:color w:val="000000"/>
              </w:rPr>
              <w:t>20.8</w:t>
            </w:r>
          </w:p>
        </w:tc>
      </w:tr>
      <w:tr w:rsidR="00152474" w:rsidRPr="0052448B" w14:paraId="53167E8D"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5A6CA815" w14:textId="77777777" w:rsidR="00152474" w:rsidRPr="0052448B" w:rsidRDefault="00152474" w:rsidP="00195867">
            <w:pPr>
              <w:jc w:val="center"/>
              <w:rPr>
                <w:rFonts w:ascii="Calibri" w:eastAsia="Times New Roman" w:hAnsi="Calibri" w:cs="Times New Roman"/>
                <w:color w:val="000000"/>
              </w:rPr>
            </w:pPr>
            <w:r w:rsidRPr="0052448B">
              <w:rPr>
                <w:rFonts w:ascii="Calibri" w:eastAsia="Times New Roman" w:hAnsi="Calibri" w:cs="Times New Roman"/>
                <w:color w:val="000000"/>
              </w:rPr>
              <w:t>30</w:t>
            </w:r>
          </w:p>
        </w:tc>
        <w:tc>
          <w:tcPr>
            <w:tcW w:w="1491" w:type="dxa"/>
            <w:noWrap/>
            <w:hideMark/>
          </w:tcPr>
          <w:p w14:paraId="1579163B" w14:textId="77777777" w:rsidR="00152474" w:rsidRPr="0052448B" w:rsidRDefault="00152474" w:rsidP="001958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52448B">
              <w:rPr>
                <w:rFonts w:ascii="Calibri" w:eastAsia="Times New Roman" w:hAnsi="Calibri" w:cs="Times New Roman"/>
                <w:color w:val="000000"/>
              </w:rPr>
              <w:t>78.7</w:t>
            </w:r>
          </w:p>
        </w:tc>
        <w:tc>
          <w:tcPr>
            <w:tcW w:w="2140" w:type="dxa"/>
            <w:noWrap/>
            <w:hideMark/>
          </w:tcPr>
          <w:p w14:paraId="61569EC9" w14:textId="77777777" w:rsidR="00152474" w:rsidRPr="0052448B" w:rsidRDefault="00152474" w:rsidP="001958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52448B">
              <w:rPr>
                <w:rFonts w:ascii="Calibri" w:eastAsia="Times New Roman" w:hAnsi="Calibri" w:cs="Times New Roman"/>
                <w:color w:val="000000"/>
              </w:rPr>
              <w:t>22.2</w:t>
            </w:r>
          </w:p>
        </w:tc>
      </w:tr>
      <w:tr w:rsidR="00152474" w:rsidRPr="0052448B" w14:paraId="53062164"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2101D8E4" w14:textId="77777777" w:rsidR="00152474" w:rsidRPr="0052448B" w:rsidRDefault="00152474" w:rsidP="00195867">
            <w:pPr>
              <w:jc w:val="center"/>
              <w:rPr>
                <w:rFonts w:ascii="Calibri" w:eastAsia="Times New Roman" w:hAnsi="Calibri" w:cs="Times New Roman"/>
                <w:color w:val="000000"/>
              </w:rPr>
            </w:pPr>
            <w:r w:rsidRPr="0052448B">
              <w:rPr>
                <w:rFonts w:ascii="Calibri" w:eastAsia="Times New Roman" w:hAnsi="Calibri" w:cs="Times New Roman"/>
                <w:color w:val="000000"/>
              </w:rPr>
              <w:t>35</w:t>
            </w:r>
          </w:p>
        </w:tc>
        <w:tc>
          <w:tcPr>
            <w:tcW w:w="1491" w:type="dxa"/>
            <w:noWrap/>
            <w:hideMark/>
          </w:tcPr>
          <w:p w14:paraId="5EEA6B5B" w14:textId="77777777" w:rsidR="00152474" w:rsidRPr="0052448B" w:rsidRDefault="00152474" w:rsidP="001958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52448B">
              <w:rPr>
                <w:rFonts w:ascii="Calibri" w:eastAsia="Times New Roman" w:hAnsi="Calibri" w:cs="Times New Roman"/>
                <w:color w:val="000000"/>
              </w:rPr>
              <w:t>84.2</w:t>
            </w:r>
          </w:p>
        </w:tc>
        <w:tc>
          <w:tcPr>
            <w:tcW w:w="2140" w:type="dxa"/>
            <w:noWrap/>
            <w:hideMark/>
          </w:tcPr>
          <w:p w14:paraId="62257BAA" w14:textId="77777777" w:rsidR="00152474" w:rsidRPr="0052448B" w:rsidRDefault="00152474" w:rsidP="001958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52448B">
              <w:rPr>
                <w:rFonts w:ascii="Calibri" w:eastAsia="Times New Roman" w:hAnsi="Calibri" w:cs="Times New Roman"/>
                <w:color w:val="000000"/>
              </w:rPr>
              <w:t>23.8</w:t>
            </w:r>
          </w:p>
        </w:tc>
      </w:tr>
      <w:tr w:rsidR="00152474" w:rsidRPr="0052448B" w14:paraId="6F21C156"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2D3BE41A" w14:textId="77777777" w:rsidR="00152474" w:rsidRPr="0052448B" w:rsidRDefault="00152474" w:rsidP="00195867">
            <w:pPr>
              <w:jc w:val="center"/>
              <w:rPr>
                <w:rFonts w:ascii="Calibri" w:eastAsia="Times New Roman" w:hAnsi="Calibri" w:cs="Times New Roman"/>
                <w:color w:val="000000"/>
              </w:rPr>
            </w:pPr>
            <w:r w:rsidRPr="0052448B">
              <w:rPr>
                <w:rFonts w:ascii="Calibri" w:eastAsia="Times New Roman" w:hAnsi="Calibri" w:cs="Times New Roman"/>
                <w:color w:val="000000"/>
              </w:rPr>
              <w:t>40</w:t>
            </w:r>
          </w:p>
        </w:tc>
        <w:tc>
          <w:tcPr>
            <w:tcW w:w="1491" w:type="dxa"/>
            <w:noWrap/>
            <w:hideMark/>
          </w:tcPr>
          <w:p w14:paraId="6DAA8D10" w14:textId="77777777" w:rsidR="00152474" w:rsidRPr="0052448B" w:rsidRDefault="00152474" w:rsidP="001958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52448B">
              <w:rPr>
                <w:rFonts w:ascii="Calibri" w:eastAsia="Times New Roman" w:hAnsi="Calibri" w:cs="Times New Roman"/>
                <w:color w:val="000000"/>
              </w:rPr>
              <w:t>84.9</w:t>
            </w:r>
          </w:p>
        </w:tc>
        <w:tc>
          <w:tcPr>
            <w:tcW w:w="2140" w:type="dxa"/>
            <w:noWrap/>
            <w:hideMark/>
          </w:tcPr>
          <w:p w14:paraId="42F293ED" w14:textId="77777777" w:rsidR="00152474" w:rsidRPr="0052448B" w:rsidRDefault="00152474" w:rsidP="001958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52448B">
              <w:rPr>
                <w:rFonts w:ascii="Calibri" w:eastAsia="Times New Roman" w:hAnsi="Calibri" w:cs="Times New Roman"/>
                <w:color w:val="000000"/>
              </w:rPr>
              <w:t>24.0</w:t>
            </w:r>
          </w:p>
        </w:tc>
      </w:tr>
      <w:tr w:rsidR="00152474" w:rsidRPr="0052448B" w14:paraId="2589F8A7"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7D030310" w14:textId="77777777" w:rsidR="00152474" w:rsidRPr="0052448B" w:rsidRDefault="00152474" w:rsidP="00195867">
            <w:pPr>
              <w:jc w:val="center"/>
              <w:rPr>
                <w:rFonts w:ascii="Calibri" w:eastAsia="Times New Roman" w:hAnsi="Calibri" w:cs="Times New Roman"/>
                <w:color w:val="000000"/>
              </w:rPr>
            </w:pPr>
            <w:r w:rsidRPr="0052448B">
              <w:rPr>
                <w:rFonts w:ascii="Calibri" w:eastAsia="Times New Roman" w:hAnsi="Calibri" w:cs="Times New Roman"/>
                <w:color w:val="000000"/>
              </w:rPr>
              <w:t>45</w:t>
            </w:r>
          </w:p>
        </w:tc>
        <w:tc>
          <w:tcPr>
            <w:tcW w:w="1491" w:type="dxa"/>
            <w:noWrap/>
            <w:hideMark/>
          </w:tcPr>
          <w:p w14:paraId="779982B5" w14:textId="77777777" w:rsidR="00152474" w:rsidRPr="0052448B" w:rsidRDefault="00152474" w:rsidP="001958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52448B">
              <w:rPr>
                <w:rFonts w:ascii="Calibri" w:eastAsia="Times New Roman" w:hAnsi="Calibri" w:cs="Times New Roman"/>
                <w:color w:val="000000"/>
              </w:rPr>
              <w:t>90.4</w:t>
            </w:r>
          </w:p>
        </w:tc>
        <w:tc>
          <w:tcPr>
            <w:tcW w:w="2140" w:type="dxa"/>
            <w:noWrap/>
            <w:hideMark/>
          </w:tcPr>
          <w:p w14:paraId="57384A5F" w14:textId="77777777" w:rsidR="00152474" w:rsidRPr="0052448B" w:rsidRDefault="00152474" w:rsidP="001958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52448B">
              <w:rPr>
                <w:rFonts w:ascii="Calibri" w:eastAsia="Times New Roman" w:hAnsi="Calibri" w:cs="Times New Roman"/>
                <w:color w:val="000000"/>
              </w:rPr>
              <w:t>25.5</w:t>
            </w:r>
          </w:p>
        </w:tc>
      </w:tr>
      <w:tr w:rsidR="00152474" w:rsidRPr="0052448B" w14:paraId="0BA7A3A7"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3914E5DA" w14:textId="77777777" w:rsidR="00152474" w:rsidRPr="0052448B" w:rsidRDefault="00152474" w:rsidP="00195867">
            <w:pPr>
              <w:jc w:val="center"/>
              <w:rPr>
                <w:rFonts w:ascii="Calibri" w:eastAsia="Times New Roman" w:hAnsi="Calibri" w:cs="Times New Roman"/>
                <w:color w:val="000000"/>
              </w:rPr>
            </w:pPr>
            <w:r w:rsidRPr="0052448B">
              <w:rPr>
                <w:rFonts w:ascii="Calibri" w:eastAsia="Times New Roman" w:hAnsi="Calibri" w:cs="Times New Roman"/>
                <w:color w:val="000000"/>
              </w:rPr>
              <w:t>50</w:t>
            </w:r>
          </w:p>
        </w:tc>
        <w:tc>
          <w:tcPr>
            <w:tcW w:w="1491" w:type="dxa"/>
            <w:noWrap/>
            <w:hideMark/>
          </w:tcPr>
          <w:p w14:paraId="71C2A519" w14:textId="77777777" w:rsidR="00152474" w:rsidRPr="0052448B" w:rsidRDefault="00152474" w:rsidP="001958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52448B">
              <w:rPr>
                <w:rFonts w:ascii="Calibri" w:eastAsia="Times New Roman" w:hAnsi="Calibri" w:cs="Times New Roman"/>
                <w:color w:val="000000"/>
              </w:rPr>
              <w:t>101.0</w:t>
            </w:r>
          </w:p>
        </w:tc>
        <w:tc>
          <w:tcPr>
            <w:tcW w:w="2140" w:type="dxa"/>
            <w:noWrap/>
            <w:hideMark/>
          </w:tcPr>
          <w:p w14:paraId="5344A62B" w14:textId="77777777" w:rsidR="00152474" w:rsidRPr="0052448B" w:rsidRDefault="00152474" w:rsidP="001958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52448B">
              <w:rPr>
                <w:rFonts w:ascii="Calibri" w:eastAsia="Times New Roman" w:hAnsi="Calibri" w:cs="Times New Roman"/>
                <w:color w:val="000000"/>
              </w:rPr>
              <w:t>28.6</w:t>
            </w:r>
          </w:p>
        </w:tc>
      </w:tr>
      <w:tr w:rsidR="00152474" w:rsidRPr="0052448B" w14:paraId="12197C38"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393E03F4" w14:textId="77777777" w:rsidR="00152474" w:rsidRPr="0052448B" w:rsidRDefault="00152474" w:rsidP="00195867">
            <w:pPr>
              <w:jc w:val="center"/>
              <w:rPr>
                <w:rFonts w:ascii="Calibri" w:eastAsia="Times New Roman" w:hAnsi="Calibri" w:cs="Times New Roman"/>
                <w:color w:val="000000"/>
              </w:rPr>
            </w:pPr>
            <w:r w:rsidRPr="0052448B">
              <w:rPr>
                <w:rFonts w:ascii="Calibri" w:eastAsia="Times New Roman" w:hAnsi="Calibri" w:cs="Times New Roman"/>
                <w:color w:val="000000"/>
              </w:rPr>
              <w:t>55</w:t>
            </w:r>
          </w:p>
        </w:tc>
        <w:tc>
          <w:tcPr>
            <w:tcW w:w="1491" w:type="dxa"/>
            <w:noWrap/>
            <w:hideMark/>
          </w:tcPr>
          <w:p w14:paraId="1B2A69A8" w14:textId="77777777" w:rsidR="00152474" w:rsidRPr="0052448B" w:rsidRDefault="00152474" w:rsidP="001958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52448B">
              <w:rPr>
                <w:rFonts w:ascii="Calibri" w:eastAsia="Times New Roman" w:hAnsi="Calibri" w:cs="Times New Roman"/>
                <w:color w:val="000000"/>
              </w:rPr>
              <w:t>105.5</w:t>
            </w:r>
          </w:p>
        </w:tc>
        <w:tc>
          <w:tcPr>
            <w:tcW w:w="2140" w:type="dxa"/>
            <w:noWrap/>
            <w:hideMark/>
          </w:tcPr>
          <w:p w14:paraId="4524067B" w14:textId="77777777" w:rsidR="00152474" w:rsidRPr="0052448B" w:rsidRDefault="00152474" w:rsidP="001958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52448B">
              <w:rPr>
                <w:rFonts w:ascii="Calibri" w:eastAsia="Times New Roman" w:hAnsi="Calibri" w:cs="Times New Roman"/>
                <w:color w:val="000000"/>
              </w:rPr>
              <w:t>29.8</w:t>
            </w:r>
          </w:p>
        </w:tc>
      </w:tr>
      <w:tr w:rsidR="00152474" w:rsidRPr="0052448B" w14:paraId="4150CC03"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76BF3A85" w14:textId="77777777" w:rsidR="00152474" w:rsidRPr="0052448B" w:rsidRDefault="00152474" w:rsidP="00195867">
            <w:pPr>
              <w:jc w:val="center"/>
              <w:rPr>
                <w:rFonts w:ascii="Calibri" w:eastAsia="Times New Roman" w:hAnsi="Calibri" w:cs="Times New Roman"/>
                <w:color w:val="000000"/>
              </w:rPr>
            </w:pPr>
            <w:r w:rsidRPr="0052448B">
              <w:rPr>
                <w:rFonts w:ascii="Calibri" w:eastAsia="Times New Roman" w:hAnsi="Calibri" w:cs="Times New Roman"/>
                <w:color w:val="000000"/>
              </w:rPr>
              <w:t>60</w:t>
            </w:r>
          </w:p>
        </w:tc>
        <w:tc>
          <w:tcPr>
            <w:tcW w:w="1491" w:type="dxa"/>
            <w:noWrap/>
            <w:hideMark/>
          </w:tcPr>
          <w:p w14:paraId="2134F9C7" w14:textId="77777777" w:rsidR="00152474" w:rsidRPr="0052448B" w:rsidRDefault="00152474" w:rsidP="001958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52448B">
              <w:rPr>
                <w:rFonts w:ascii="Calibri" w:eastAsia="Times New Roman" w:hAnsi="Calibri" w:cs="Times New Roman"/>
                <w:color w:val="000000"/>
              </w:rPr>
              <w:t>108.7</w:t>
            </w:r>
          </w:p>
        </w:tc>
        <w:tc>
          <w:tcPr>
            <w:tcW w:w="2140" w:type="dxa"/>
            <w:noWrap/>
            <w:hideMark/>
          </w:tcPr>
          <w:p w14:paraId="085F0BB5" w14:textId="77777777" w:rsidR="00152474" w:rsidRPr="0052448B" w:rsidRDefault="00152474" w:rsidP="001958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52448B">
              <w:rPr>
                <w:rFonts w:ascii="Calibri" w:eastAsia="Times New Roman" w:hAnsi="Calibri" w:cs="Times New Roman"/>
                <w:color w:val="000000"/>
              </w:rPr>
              <w:t>30.7</w:t>
            </w:r>
          </w:p>
        </w:tc>
      </w:tr>
      <w:tr w:rsidR="00152474" w:rsidRPr="0052448B" w14:paraId="3E9FDA3D"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53AF5DD7" w14:textId="77777777" w:rsidR="00152474" w:rsidRPr="0052448B" w:rsidRDefault="00152474" w:rsidP="00195867">
            <w:pPr>
              <w:jc w:val="center"/>
              <w:rPr>
                <w:rFonts w:ascii="Calibri" w:eastAsia="Times New Roman" w:hAnsi="Calibri" w:cs="Times New Roman"/>
                <w:color w:val="000000"/>
              </w:rPr>
            </w:pPr>
            <w:r w:rsidRPr="0052448B">
              <w:rPr>
                <w:rFonts w:ascii="Calibri" w:eastAsia="Times New Roman" w:hAnsi="Calibri" w:cs="Times New Roman"/>
                <w:color w:val="000000"/>
              </w:rPr>
              <w:t>65</w:t>
            </w:r>
          </w:p>
        </w:tc>
        <w:tc>
          <w:tcPr>
            <w:tcW w:w="1491" w:type="dxa"/>
            <w:noWrap/>
            <w:hideMark/>
          </w:tcPr>
          <w:p w14:paraId="09AFD747" w14:textId="77777777" w:rsidR="00152474" w:rsidRPr="0052448B" w:rsidRDefault="00152474" w:rsidP="001958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52448B">
              <w:rPr>
                <w:rFonts w:ascii="Calibri" w:eastAsia="Times New Roman" w:hAnsi="Calibri" w:cs="Times New Roman"/>
                <w:color w:val="000000"/>
              </w:rPr>
              <w:t>113.7</w:t>
            </w:r>
          </w:p>
        </w:tc>
        <w:tc>
          <w:tcPr>
            <w:tcW w:w="2140" w:type="dxa"/>
            <w:noWrap/>
            <w:hideMark/>
          </w:tcPr>
          <w:p w14:paraId="39E26DEC" w14:textId="77777777" w:rsidR="00152474" w:rsidRPr="0052448B" w:rsidRDefault="00152474" w:rsidP="001958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52448B">
              <w:rPr>
                <w:rFonts w:ascii="Calibri" w:eastAsia="Times New Roman" w:hAnsi="Calibri" w:cs="Times New Roman"/>
                <w:color w:val="000000"/>
              </w:rPr>
              <w:t>32.1</w:t>
            </w:r>
          </w:p>
        </w:tc>
      </w:tr>
      <w:tr w:rsidR="00152474" w:rsidRPr="0052448B" w14:paraId="08A54250"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15843865" w14:textId="77777777" w:rsidR="00152474" w:rsidRPr="0052448B" w:rsidRDefault="00152474" w:rsidP="00195867">
            <w:pPr>
              <w:jc w:val="center"/>
              <w:rPr>
                <w:rFonts w:ascii="Calibri" w:eastAsia="Times New Roman" w:hAnsi="Calibri" w:cs="Times New Roman"/>
                <w:color w:val="000000"/>
              </w:rPr>
            </w:pPr>
            <w:r w:rsidRPr="0052448B">
              <w:rPr>
                <w:rFonts w:ascii="Calibri" w:eastAsia="Times New Roman" w:hAnsi="Calibri" w:cs="Times New Roman"/>
                <w:color w:val="000000"/>
              </w:rPr>
              <w:t>70</w:t>
            </w:r>
          </w:p>
        </w:tc>
        <w:tc>
          <w:tcPr>
            <w:tcW w:w="1491" w:type="dxa"/>
            <w:noWrap/>
            <w:hideMark/>
          </w:tcPr>
          <w:p w14:paraId="0C743331" w14:textId="77777777" w:rsidR="00152474" w:rsidRPr="0052448B" w:rsidRDefault="00152474" w:rsidP="001958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52448B">
              <w:rPr>
                <w:rFonts w:ascii="Calibri" w:eastAsia="Times New Roman" w:hAnsi="Calibri" w:cs="Times New Roman"/>
                <w:color w:val="000000"/>
              </w:rPr>
              <w:t>118.7</w:t>
            </w:r>
          </w:p>
        </w:tc>
        <w:tc>
          <w:tcPr>
            <w:tcW w:w="2140" w:type="dxa"/>
            <w:noWrap/>
            <w:hideMark/>
          </w:tcPr>
          <w:p w14:paraId="60DC90A0" w14:textId="77777777" w:rsidR="00152474" w:rsidRPr="0052448B" w:rsidRDefault="00152474" w:rsidP="001958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52448B">
              <w:rPr>
                <w:rFonts w:ascii="Calibri" w:eastAsia="Times New Roman" w:hAnsi="Calibri" w:cs="Times New Roman"/>
                <w:color w:val="000000"/>
              </w:rPr>
              <w:t>33.5</w:t>
            </w:r>
          </w:p>
        </w:tc>
      </w:tr>
      <w:tr w:rsidR="00152474" w:rsidRPr="0052448B" w14:paraId="3F73C4CB"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46EDB806" w14:textId="77777777" w:rsidR="00152474" w:rsidRPr="0052448B" w:rsidRDefault="00152474" w:rsidP="00195867">
            <w:pPr>
              <w:jc w:val="center"/>
              <w:rPr>
                <w:rFonts w:ascii="Calibri" w:eastAsia="Times New Roman" w:hAnsi="Calibri" w:cs="Times New Roman"/>
                <w:color w:val="000000"/>
              </w:rPr>
            </w:pPr>
            <w:r w:rsidRPr="0052448B">
              <w:rPr>
                <w:rFonts w:ascii="Calibri" w:eastAsia="Times New Roman" w:hAnsi="Calibri" w:cs="Times New Roman"/>
                <w:color w:val="000000"/>
              </w:rPr>
              <w:t>75</w:t>
            </w:r>
          </w:p>
        </w:tc>
        <w:tc>
          <w:tcPr>
            <w:tcW w:w="1491" w:type="dxa"/>
            <w:noWrap/>
            <w:hideMark/>
          </w:tcPr>
          <w:p w14:paraId="28B9AA87" w14:textId="77777777" w:rsidR="00152474" w:rsidRPr="0052448B" w:rsidRDefault="00152474" w:rsidP="001958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52448B">
              <w:rPr>
                <w:rFonts w:ascii="Calibri" w:eastAsia="Times New Roman" w:hAnsi="Calibri" w:cs="Times New Roman"/>
                <w:color w:val="000000"/>
              </w:rPr>
              <w:t>123.8</w:t>
            </w:r>
          </w:p>
        </w:tc>
        <w:tc>
          <w:tcPr>
            <w:tcW w:w="2140" w:type="dxa"/>
            <w:noWrap/>
            <w:hideMark/>
          </w:tcPr>
          <w:p w14:paraId="75CFC98B" w14:textId="77777777" w:rsidR="00152474" w:rsidRPr="0052448B" w:rsidRDefault="00152474" w:rsidP="001958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52448B">
              <w:rPr>
                <w:rFonts w:ascii="Calibri" w:eastAsia="Times New Roman" w:hAnsi="Calibri" w:cs="Times New Roman"/>
                <w:color w:val="000000"/>
              </w:rPr>
              <w:t>35.0</w:t>
            </w:r>
          </w:p>
        </w:tc>
      </w:tr>
      <w:tr w:rsidR="00152474" w:rsidRPr="0052448B" w14:paraId="291556F6"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57517DC8" w14:textId="77777777" w:rsidR="00152474" w:rsidRPr="0052448B" w:rsidRDefault="00152474" w:rsidP="00195867">
            <w:pPr>
              <w:jc w:val="center"/>
              <w:rPr>
                <w:rFonts w:ascii="Calibri" w:eastAsia="Times New Roman" w:hAnsi="Calibri" w:cs="Times New Roman"/>
                <w:color w:val="000000"/>
              </w:rPr>
            </w:pPr>
            <w:r w:rsidRPr="0052448B">
              <w:rPr>
                <w:rFonts w:ascii="Calibri" w:eastAsia="Times New Roman" w:hAnsi="Calibri" w:cs="Times New Roman"/>
                <w:color w:val="000000"/>
              </w:rPr>
              <w:t>80</w:t>
            </w:r>
          </w:p>
        </w:tc>
        <w:tc>
          <w:tcPr>
            <w:tcW w:w="1491" w:type="dxa"/>
            <w:noWrap/>
            <w:hideMark/>
          </w:tcPr>
          <w:p w14:paraId="6C5339EB" w14:textId="77777777" w:rsidR="00152474" w:rsidRPr="0052448B" w:rsidRDefault="00152474" w:rsidP="001958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52448B">
              <w:rPr>
                <w:rFonts w:ascii="Calibri" w:eastAsia="Times New Roman" w:hAnsi="Calibri" w:cs="Times New Roman"/>
                <w:color w:val="000000"/>
              </w:rPr>
              <w:t>133.4</w:t>
            </w:r>
          </w:p>
        </w:tc>
        <w:tc>
          <w:tcPr>
            <w:tcW w:w="2140" w:type="dxa"/>
            <w:noWrap/>
            <w:hideMark/>
          </w:tcPr>
          <w:p w14:paraId="4FE1EB86" w14:textId="77777777" w:rsidR="00152474" w:rsidRPr="0052448B" w:rsidRDefault="00152474" w:rsidP="001958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52448B">
              <w:rPr>
                <w:rFonts w:ascii="Calibri" w:eastAsia="Times New Roman" w:hAnsi="Calibri" w:cs="Times New Roman"/>
                <w:color w:val="000000"/>
              </w:rPr>
              <w:t>37.7</w:t>
            </w:r>
          </w:p>
        </w:tc>
      </w:tr>
      <w:tr w:rsidR="00152474" w:rsidRPr="0052448B" w14:paraId="6B331BC5"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32B5E8B2" w14:textId="77777777" w:rsidR="00152474" w:rsidRPr="0052448B" w:rsidRDefault="00152474" w:rsidP="00195867">
            <w:pPr>
              <w:jc w:val="center"/>
              <w:rPr>
                <w:rFonts w:ascii="Calibri" w:eastAsia="Times New Roman" w:hAnsi="Calibri" w:cs="Times New Roman"/>
                <w:color w:val="000000"/>
              </w:rPr>
            </w:pPr>
            <w:r w:rsidRPr="0052448B">
              <w:rPr>
                <w:rFonts w:ascii="Calibri" w:eastAsia="Times New Roman" w:hAnsi="Calibri" w:cs="Times New Roman"/>
                <w:color w:val="000000"/>
              </w:rPr>
              <w:t>85</w:t>
            </w:r>
          </w:p>
        </w:tc>
        <w:tc>
          <w:tcPr>
            <w:tcW w:w="1491" w:type="dxa"/>
            <w:noWrap/>
            <w:hideMark/>
          </w:tcPr>
          <w:p w14:paraId="07ACB987" w14:textId="77777777" w:rsidR="00152474" w:rsidRPr="0052448B" w:rsidRDefault="00152474" w:rsidP="001958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52448B">
              <w:rPr>
                <w:rFonts w:ascii="Calibri" w:eastAsia="Times New Roman" w:hAnsi="Calibri" w:cs="Times New Roman"/>
                <w:color w:val="000000"/>
              </w:rPr>
              <w:t>149.6</w:t>
            </w:r>
          </w:p>
        </w:tc>
        <w:tc>
          <w:tcPr>
            <w:tcW w:w="2140" w:type="dxa"/>
            <w:noWrap/>
            <w:hideMark/>
          </w:tcPr>
          <w:p w14:paraId="085620C0" w14:textId="77777777" w:rsidR="00152474" w:rsidRPr="0052448B" w:rsidRDefault="00152474" w:rsidP="001958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52448B">
              <w:rPr>
                <w:rFonts w:ascii="Calibri" w:eastAsia="Times New Roman" w:hAnsi="Calibri" w:cs="Times New Roman"/>
                <w:color w:val="000000"/>
              </w:rPr>
              <w:t>42.3</w:t>
            </w:r>
          </w:p>
        </w:tc>
      </w:tr>
      <w:tr w:rsidR="00152474" w:rsidRPr="0052448B" w14:paraId="49CED798"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22BD5359" w14:textId="77777777" w:rsidR="00152474" w:rsidRPr="0052448B" w:rsidRDefault="00152474" w:rsidP="00195867">
            <w:pPr>
              <w:jc w:val="center"/>
              <w:rPr>
                <w:rFonts w:ascii="Calibri" w:eastAsia="Times New Roman" w:hAnsi="Calibri" w:cs="Times New Roman"/>
                <w:color w:val="000000"/>
              </w:rPr>
            </w:pPr>
            <w:r w:rsidRPr="0052448B">
              <w:rPr>
                <w:rFonts w:ascii="Calibri" w:eastAsia="Times New Roman" w:hAnsi="Calibri" w:cs="Times New Roman"/>
                <w:color w:val="000000"/>
              </w:rPr>
              <w:t>90</w:t>
            </w:r>
          </w:p>
        </w:tc>
        <w:tc>
          <w:tcPr>
            <w:tcW w:w="1491" w:type="dxa"/>
            <w:noWrap/>
            <w:hideMark/>
          </w:tcPr>
          <w:p w14:paraId="54333DB2" w14:textId="77777777" w:rsidR="00152474" w:rsidRPr="0052448B" w:rsidRDefault="00152474" w:rsidP="001958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52448B">
              <w:rPr>
                <w:rFonts w:ascii="Calibri" w:eastAsia="Times New Roman" w:hAnsi="Calibri" w:cs="Times New Roman"/>
                <w:color w:val="000000"/>
              </w:rPr>
              <w:t>175.5</w:t>
            </w:r>
          </w:p>
        </w:tc>
        <w:tc>
          <w:tcPr>
            <w:tcW w:w="2140" w:type="dxa"/>
            <w:noWrap/>
            <w:hideMark/>
          </w:tcPr>
          <w:p w14:paraId="4CD2B0A0" w14:textId="77777777" w:rsidR="00152474" w:rsidRPr="0052448B" w:rsidRDefault="00152474" w:rsidP="001958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52448B">
              <w:rPr>
                <w:rFonts w:ascii="Calibri" w:eastAsia="Times New Roman" w:hAnsi="Calibri" w:cs="Times New Roman"/>
                <w:color w:val="000000"/>
              </w:rPr>
              <w:t>49.6</w:t>
            </w:r>
          </w:p>
        </w:tc>
      </w:tr>
      <w:tr w:rsidR="00152474" w:rsidRPr="0052448B" w14:paraId="7DF71706"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1F31CA85" w14:textId="77777777" w:rsidR="00152474" w:rsidRPr="0052448B" w:rsidRDefault="00152474" w:rsidP="00195867">
            <w:pPr>
              <w:jc w:val="center"/>
              <w:rPr>
                <w:rFonts w:ascii="Calibri" w:eastAsia="Times New Roman" w:hAnsi="Calibri" w:cs="Times New Roman"/>
                <w:color w:val="000000"/>
              </w:rPr>
            </w:pPr>
            <w:r w:rsidRPr="0052448B">
              <w:rPr>
                <w:rFonts w:ascii="Calibri" w:eastAsia="Times New Roman" w:hAnsi="Calibri" w:cs="Times New Roman"/>
                <w:color w:val="000000"/>
              </w:rPr>
              <w:t>95</w:t>
            </w:r>
          </w:p>
        </w:tc>
        <w:tc>
          <w:tcPr>
            <w:tcW w:w="1491" w:type="dxa"/>
            <w:noWrap/>
            <w:hideMark/>
          </w:tcPr>
          <w:p w14:paraId="54332429" w14:textId="77777777" w:rsidR="00152474" w:rsidRPr="0052448B" w:rsidRDefault="00152474" w:rsidP="001958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52448B">
              <w:rPr>
                <w:rFonts w:ascii="Calibri" w:eastAsia="Times New Roman" w:hAnsi="Calibri" w:cs="Times New Roman"/>
                <w:color w:val="000000"/>
              </w:rPr>
              <w:t>198.7</w:t>
            </w:r>
          </w:p>
        </w:tc>
        <w:tc>
          <w:tcPr>
            <w:tcW w:w="2140" w:type="dxa"/>
            <w:noWrap/>
            <w:hideMark/>
          </w:tcPr>
          <w:p w14:paraId="48FF1C8D" w14:textId="77777777" w:rsidR="00152474" w:rsidRPr="0052448B" w:rsidRDefault="00152474" w:rsidP="001958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52448B">
              <w:rPr>
                <w:rFonts w:ascii="Calibri" w:eastAsia="Times New Roman" w:hAnsi="Calibri" w:cs="Times New Roman"/>
                <w:color w:val="000000"/>
              </w:rPr>
              <w:t>56.1</w:t>
            </w:r>
          </w:p>
        </w:tc>
      </w:tr>
    </w:tbl>
    <w:p w14:paraId="32E9C90B" w14:textId="1F1CFFD5" w:rsidR="00152474" w:rsidRDefault="00152474" w:rsidP="00152474">
      <w:pPr>
        <w:jc w:val="center"/>
      </w:pPr>
    </w:p>
    <w:p w14:paraId="1FA97E5C" w14:textId="0FFE6E85" w:rsidR="00152474" w:rsidRPr="000B0CA1" w:rsidRDefault="00152474" w:rsidP="00152474">
      <w:pPr>
        <w:jc w:val="center"/>
        <w:rPr>
          <w:b/>
        </w:rPr>
      </w:pPr>
      <w:r w:rsidRPr="000B0CA1">
        <w:rPr>
          <w:b/>
        </w:rPr>
        <w:t xml:space="preserve">Table 2. Percentile </w:t>
      </w:r>
      <w:r>
        <w:rPr>
          <w:b/>
        </w:rPr>
        <w:t>Live Tree</w:t>
      </w:r>
      <w:r w:rsidRPr="000B0CA1">
        <w:rPr>
          <w:b/>
        </w:rPr>
        <w:t xml:space="preserve"> Carbon stocks in Atlantic Coastal Pine Barrens by </w:t>
      </w:r>
      <w:r>
        <w:rPr>
          <w:b/>
        </w:rPr>
        <w:t>Basal Area</w:t>
      </w:r>
    </w:p>
    <w:p w14:paraId="44614239" w14:textId="77777777" w:rsidR="00152474" w:rsidRDefault="00152474" w:rsidP="00152474">
      <w:pPr>
        <w:sectPr w:rsidR="00152474" w:rsidSect="00195867">
          <w:type w:val="continuous"/>
          <w:pgSz w:w="12240" w:h="15840"/>
          <w:pgMar w:top="1440" w:right="1440" w:bottom="1440" w:left="1440" w:header="720" w:footer="720" w:gutter="0"/>
          <w:cols w:num="2" w:space="720"/>
          <w:docGrid w:linePitch="360"/>
        </w:sectPr>
      </w:pPr>
    </w:p>
    <w:p w14:paraId="62366464" w14:textId="77777777" w:rsidR="00152474" w:rsidRDefault="00152474" w:rsidP="00152474"/>
    <w:p w14:paraId="5BB62871" w14:textId="77777777" w:rsidR="00152474" w:rsidRDefault="00152474" w:rsidP="00152474"/>
    <w:p w14:paraId="763A6844" w14:textId="77777777" w:rsidR="00152474" w:rsidRDefault="00152474" w:rsidP="00152474">
      <w:r>
        <w:br w:type="page"/>
      </w:r>
    </w:p>
    <w:p w14:paraId="6F35A414" w14:textId="1387B763" w:rsidR="00ED5041" w:rsidRPr="00ED5041" w:rsidRDefault="00ED5041" w:rsidP="00ED5041">
      <w:pPr>
        <w:rPr>
          <w:i/>
          <w:sz w:val="32"/>
        </w:rPr>
      </w:pPr>
      <w:r w:rsidRPr="00ED5041">
        <w:rPr>
          <w:i/>
          <w:sz w:val="32"/>
        </w:rPr>
        <w:lastRenderedPageBreak/>
        <w:t>Atlantic Coastal Pine Barrens</w:t>
      </w:r>
    </w:p>
    <w:p w14:paraId="66227D45" w14:textId="5E1BE539" w:rsidR="00ED5041" w:rsidRPr="00ED5041" w:rsidRDefault="00ED5041" w:rsidP="00ED5041">
      <w:pPr>
        <w:jc w:val="center"/>
        <w:rPr>
          <w:b/>
        </w:rPr>
      </w:pPr>
      <w:r w:rsidRPr="00ED5041">
        <w:rPr>
          <w:b/>
        </w:rPr>
        <w:t>Table 3: Predicted Dead Tree Carbon Stock by Basal Area</w:t>
      </w:r>
    </w:p>
    <w:p w14:paraId="171F9296" w14:textId="77777777" w:rsidR="00ED5041" w:rsidRDefault="00ED5041" w:rsidP="00ED5041">
      <w:pPr>
        <w:jc w:val="center"/>
        <w:rPr>
          <w:b/>
        </w:rPr>
      </w:pPr>
    </w:p>
    <w:p w14:paraId="542CB7CD" w14:textId="4EBC135D" w:rsidR="00ED5041" w:rsidRPr="00ED5041" w:rsidRDefault="00ED5041" w:rsidP="00ED5041">
      <w:pPr>
        <w:jc w:val="center"/>
        <w:rPr>
          <w:b/>
        </w:rPr>
      </w:pPr>
      <w:r w:rsidRPr="00ED5041">
        <w:rPr>
          <w:b/>
        </w:rPr>
        <w:t>Table 4. Percentile Dead Tree Carbon stocks in Atlantic Coastal Pine Barrens by Basal Area</w:t>
      </w:r>
    </w:p>
    <w:p w14:paraId="5294175A" w14:textId="77777777" w:rsidR="00ED5041" w:rsidRPr="00ED5041" w:rsidRDefault="00ED5041" w:rsidP="00ED5041">
      <w:pPr>
        <w:sectPr w:rsidR="00ED5041" w:rsidRPr="00ED5041" w:rsidSect="00ED5041">
          <w:type w:val="continuous"/>
          <w:pgSz w:w="12240" w:h="15840"/>
          <w:pgMar w:top="1440" w:right="1440" w:bottom="1440" w:left="1440" w:header="720" w:footer="720" w:gutter="0"/>
          <w:cols w:num="2" w:space="720"/>
          <w:docGrid w:linePitch="360"/>
        </w:sectPr>
      </w:pPr>
    </w:p>
    <w:tbl>
      <w:tblPr>
        <w:tblStyle w:val="GridTable21"/>
        <w:tblpPr w:leftFromText="180" w:rightFromText="180" w:vertAnchor="text" w:horzAnchor="page" w:tblpX="2071" w:tblpY="102"/>
        <w:tblW w:w="3330" w:type="dxa"/>
        <w:tblLook w:val="04A0" w:firstRow="1" w:lastRow="0" w:firstColumn="1" w:lastColumn="0" w:noHBand="0" w:noVBand="1"/>
      </w:tblPr>
      <w:tblGrid>
        <w:gridCol w:w="1260"/>
        <w:gridCol w:w="2070"/>
      </w:tblGrid>
      <w:tr w:rsidR="00ED5041" w:rsidRPr="00ED5041" w14:paraId="1059F956" w14:textId="77777777" w:rsidTr="00751819">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1650B668" w14:textId="77777777" w:rsidR="00ED5041" w:rsidRPr="00ED5041" w:rsidRDefault="00ED5041" w:rsidP="00ED5041">
            <w:pPr>
              <w:rPr>
                <w:rFonts w:ascii="Calibri" w:eastAsia="Times New Roman" w:hAnsi="Calibri" w:cs="Calibri"/>
                <w:color w:val="000000"/>
              </w:rPr>
            </w:pPr>
            <w:r w:rsidRPr="00ED5041">
              <w:rPr>
                <w:rFonts w:ascii="Calibri" w:eastAsia="Times New Roman" w:hAnsi="Calibri" w:cs="Times New Roman"/>
                <w:color w:val="000000"/>
              </w:rPr>
              <w:t>BA (ft</w:t>
            </w:r>
            <w:r w:rsidRPr="00ED5041">
              <w:rPr>
                <w:rFonts w:ascii="Calibri" w:eastAsia="Times New Roman" w:hAnsi="Calibri" w:cs="Times New Roman"/>
                <w:color w:val="000000"/>
                <w:vertAlign w:val="superscript"/>
              </w:rPr>
              <w:t>2</w:t>
            </w:r>
            <w:r w:rsidRPr="00ED5041">
              <w:rPr>
                <w:rFonts w:ascii="Calibri" w:eastAsia="Times New Roman" w:hAnsi="Calibri" w:cs="Times New Roman"/>
                <w:color w:val="000000"/>
              </w:rPr>
              <w:t>/ac)</w:t>
            </w:r>
          </w:p>
        </w:tc>
        <w:tc>
          <w:tcPr>
            <w:tcW w:w="2070" w:type="dxa"/>
            <w:noWrap/>
            <w:hideMark/>
          </w:tcPr>
          <w:p w14:paraId="31727E09" w14:textId="13896941" w:rsidR="00ED5041" w:rsidRPr="00ED5041" w:rsidRDefault="00ED5041" w:rsidP="00ED5041">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D5041">
              <w:rPr>
                <w:rFonts w:ascii="Calibri" w:eastAsia="Times New Roman" w:hAnsi="Calibri" w:cs="Times New Roman"/>
                <w:color w:val="000000"/>
              </w:rPr>
              <w:t>C Prediction(t</w:t>
            </w:r>
            <w:r w:rsidR="00F91B04">
              <w:rPr>
                <w:rFonts w:ascii="Calibri" w:eastAsia="Times New Roman" w:hAnsi="Calibri" w:cs="Times New Roman"/>
                <w:color w:val="000000"/>
              </w:rPr>
              <w:t>o</w:t>
            </w:r>
            <w:r w:rsidR="00D93181">
              <w:rPr>
                <w:rFonts w:ascii="Calibri" w:eastAsia="Times New Roman" w:hAnsi="Calibri" w:cs="Times New Roman"/>
                <w:color w:val="000000"/>
              </w:rPr>
              <w:t>n</w:t>
            </w:r>
            <w:r w:rsidRPr="00ED5041">
              <w:rPr>
                <w:rFonts w:ascii="Calibri" w:eastAsia="Times New Roman" w:hAnsi="Calibri" w:cs="Times New Roman"/>
                <w:color w:val="000000"/>
              </w:rPr>
              <w:t>/ac)</w:t>
            </w:r>
          </w:p>
        </w:tc>
      </w:tr>
      <w:tr w:rsidR="00ED5041" w:rsidRPr="00ED5041" w14:paraId="1E85E9C2"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66BF1874" w14:textId="77777777" w:rsidR="00ED5041" w:rsidRPr="00ED5041" w:rsidRDefault="00ED5041" w:rsidP="00ED5041">
            <w:pPr>
              <w:jc w:val="center"/>
              <w:rPr>
                <w:rFonts w:ascii="Calibri" w:eastAsia="Times New Roman" w:hAnsi="Calibri" w:cs="Calibri"/>
                <w:color w:val="000000"/>
              </w:rPr>
            </w:pPr>
            <w:r w:rsidRPr="00ED5041">
              <w:t>0</w:t>
            </w:r>
          </w:p>
        </w:tc>
        <w:tc>
          <w:tcPr>
            <w:tcW w:w="2070" w:type="dxa"/>
            <w:noWrap/>
            <w:hideMark/>
          </w:tcPr>
          <w:p w14:paraId="4C1A0D88" w14:textId="77777777" w:rsidR="00ED5041" w:rsidRPr="00ED5041" w:rsidRDefault="00ED5041" w:rsidP="00ED50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D5041">
              <w:t>0</w:t>
            </w:r>
          </w:p>
        </w:tc>
      </w:tr>
      <w:tr w:rsidR="00ED5041" w:rsidRPr="00ED5041" w14:paraId="0BCD5C72"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126578AB" w14:textId="77777777" w:rsidR="00ED5041" w:rsidRPr="00ED5041" w:rsidRDefault="00ED5041" w:rsidP="00ED5041">
            <w:pPr>
              <w:jc w:val="center"/>
              <w:rPr>
                <w:rFonts w:ascii="Calibri" w:eastAsia="Times New Roman" w:hAnsi="Calibri" w:cs="Calibri"/>
                <w:color w:val="000000"/>
              </w:rPr>
            </w:pPr>
            <w:r w:rsidRPr="00ED5041">
              <w:t>5</w:t>
            </w:r>
          </w:p>
        </w:tc>
        <w:tc>
          <w:tcPr>
            <w:tcW w:w="2070" w:type="dxa"/>
            <w:noWrap/>
            <w:hideMark/>
          </w:tcPr>
          <w:p w14:paraId="59D2ECA5" w14:textId="77777777" w:rsidR="00ED5041" w:rsidRPr="00ED5041" w:rsidRDefault="00ED5041" w:rsidP="00ED50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D5041">
              <w:t>0.6</w:t>
            </w:r>
          </w:p>
        </w:tc>
      </w:tr>
      <w:tr w:rsidR="00ED5041" w:rsidRPr="00ED5041" w14:paraId="46BCFCC6"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60604778" w14:textId="77777777" w:rsidR="00ED5041" w:rsidRPr="00ED5041" w:rsidRDefault="00ED5041" w:rsidP="00ED5041">
            <w:pPr>
              <w:jc w:val="center"/>
              <w:rPr>
                <w:rFonts w:ascii="Calibri" w:eastAsia="Times New Roman" w:hAnsi="Calibri" w:cs="Calibri"/>
                <w:color w:val="000000"/>
              </w:rPr>
            </w:pPr>
            <w:r w:rsidRPr="00ED5041">
              <w:t>10</w:t>
            </w:r>
          </w:p>
        </w:tc>
        <w:tc>
          <w:tcPr>
            <w:tcW w:w="2070" w:type="dxa"/>
            <w:noWrap/>
            <w:hideMark/>
          </w:tcPr>
          <w:p w14:paraId="68A2C06D" w14:textId="77777777" w:rsidR="00ED5041" w:rsidRPr="00ED5041" w:rsidRDefault="00ED5041" w:rsidP="00ED50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D5041">
              <w:t>1.1</w:t>
            </w:r>
          </w:p>
        </w:tc>
      </w:tr>
      <w:tr w:rsidR="00ED5041" w:rsidRPr="00ED5041" w14:paraId="374D2CE2"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5B3A1657" w14:textId="77777777" w:rsidR="00ED5041" w:rsidRPr="00ED5041" w:rsidRDefault="00ED5041" w:rsidP="00ED5041">
            <w:pPr>
              <w:jc w:val="center"/>
              <w:rPr>
                <w:rFonts w:ascii="Calibri" w:eastAsia="Times New Roman" w:hAnsi="Calibri" w:cs="Calibri"/>
                <w:color w:val="000000"/>
              </w:rPr>
            </w:pPr>
            <w:r w:rsidRPr="00ED5041">
              <w:t>15</w:t>
            </w:r>
          </w:p>
        </w:tc>
        <w:tc>
          <w:tcPr>
            <w:tcW w:w="2070" w:type="dxa"/>
            <w:noWrap/>
            <w:hideMark/>
          </w:tcPr>
          <w:p w14:paraId="5E77DC59" w14:textId="77777777" w:rsidR="00ED5041" w:rsidRPr="00ED5041" w:rsidRDefault="00ED5041" w:rsidP="00ED50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D5041">
              <w:t>1.7</w:t>
            </w:r>
          </w:p>
        </w:tc>
      </w:tr>
      <w:tr w:rsidR="00ED5041" w:rsidRPr="00ED5041" w14:paraId="506F05AD"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26BF98D2" w14:textId="77777777" w:rsidR="00ED5041" w:rsidRPr="00ED5041" w:rsidRDefault="00ED5041" w:rsidP="00ED5041">
            <w:pPr>
              <w:jc w:val="center"/>
              <w:rPr>
                <w:rFonts w:ascii="Calibri" w:eastAsia="Times New Roman" w:hAnsi="Calibri" w:cs="Calibri"/>
                <w:color w:val="000000"/>
              </w:rPr>
            </w:pPr>
            <w:r w:rsidRPr="00ED5041">
              <w:t>20</w:t>
            </w:r>
          </w:p>
        </w:tc>
        <w:tc>
          <w:tcPr>
            <w:tcW w:w="2070" w:type="dxa"/>
            <w:noWrap/>
            <w:hideMark/>
          </w:tcPr>
          <w:p w14:paraId="1F56650A" w14:textId="77777777" w:rsidR="00ED5041" w:rsidRPr="00ED5041" w:rsidRDefault="00ED5041" w:rsidP="00ED50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D5041">
              <w:t>2.3</w:t>
            </w:r>
          </w:p>
        </w:tc>
      </w:tr>
      <w:tr w:rsidR="00ED5041" w:rsidRPr="00ED5041" w14:paraId="232DEAFD"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4E399DE8" w14:textId="77777777" w:rsidR="00ED5041" w:rsidRPr="00ED5041" w:rsidRDefault="00ED5041" w:rsidP="00ED5041">
            <w:pPr>
              <w:jc w:val="center"/>
              <w:rPr>
                <w:rFonts w:ascii="Calibri" w:eastAsia="Times New Roman" w:hAnsi="Calibri" w:cs="Calibri"/>
                <w:color w:val="000000"/>
              </w:rPr>
            </w:pPr>
            <w:r w:rsidRPr="00ED5041">
              <w:t>25</w:t>
            </w:r>
          </w:p>
        </w:tc>
        <w:tc>
          <w:tcPr>
            <w:tcW w:w="2070" w:type="dxa"/>
            <w:noWrap/>
            <w:hideMark/>
          </w:tcPr>
          <w:p w14:paraId="136BA1E1" w14:textId="77777777" w:rsidR="00ED5041" w:rsidRPr="00ED5041" w:rsidRDefault="00ED5041" w:rsidP="00ED50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D5041">
              <w:t>2.8</w:t>
            </w:r>
          </w:p>
        </w:tc>
      </w:tr>
      <w:tr w:rsidR="00ED5041" w:rsidRPr="00ED5041" w14:paraId="56DA542D"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339CB2DE" w14:textId="77777777" w:rsidR="00ED5041" w:rsidRPr="00ED5041" w:rsidRDefault="00ED5041" w:rsidP="00ED5041">
            <w:pPr>
              <w:jc w:val="center"/>
              <w:rPr>
                <w:rFonts w:ascii="Calibri" w:eastAsia="Times New Roman" w:hAnsi="Calibri" w:cs="Calibri"/>
                <w:color w:val="000000"/>
              </w:rPr>
            </w:pPr>
            <w:r w:rsidRPr="00ED5041">
              <w:t>30</w:t>
            </w:r>
          </w:p>
        </w:tc>
        <w:tc>
          <w:tcPr>
            <w:tcW w:w="2070" w:type="dxa"/>
            <w:noWrap/>
            <w:hideMark/>
          </w:tcPr>
          <w:p w14:paraId="1D86C904" w14:textId="77777777" w:rsidR="00ED5041" w:rsidRPr="00ED5041" w:rsidRDefault="00ED5041" w:rsidP="00ED50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D5041">
              <w:t>3.4</w:t>
            </w:r>
          </w:p>
        </w:tc>
      </w:tr>
      <w:tr w:rsidR="00ED5041" w:rsidRPr="00ED5041" w14:paraId="2A8E2B55"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10DC2542" w14:textId="77777777" w:rsidR="00ED5041" w:rsidRPr="00ED5041" w:rsidRDefault="00ED5041" w:rsidP="00ED5041">
            <w:pPr>
              <w:jc w:val="center"/>
              <w:rPr>
                <w:rFonts w:ascii="Calibri" w:eastAsia="Times New Roman" w:hAnsi="Calibri" w:cs="Calibri"/>
                <w:color w:val="000000"/>
              </w:rPr>
            </w:pPr>
            <w:r w:rsidRPr="00ED5041">
              <w:t>35</w:t>
            </w:r>
          </w:p>
        </w:tc>
        <w:tc>
          <w:tcPr>
            <w:tcW w:w="2070" w:type="dxa"/>
            <w:noWrap/>
            <w:hideMark/>
          </w:tcPr>
          <w:p w14:paraId="688DFF75" w14:textId="77777777" w:rsidR="00ED5041" w:rsidRPr="00ED5041" w:rsidRDefault="00ED5041" w:rsidP="00ED50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D5041">
              <w:t>4</w:t>
            </w:r>
          </w:p>
        </w:tc>
      </w:tr>
      <w:tr w:rsidR="00ED5041" w:rsidRPr="00ED5041" w14:paraId="2ECAED1F"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2B213113" w14:textId="77777777" w:rsidR="00ED5041" w:rsidRPr="00ED5041" w:rsidRDefault="00ED5041" w:rsidP="00ED5041">
            <w:pPr>
              <w:jc w:val="center"/>
              <w:rPr>
                <w:rFonts w:ascii="Calibri" w:eastAsia="Times New Roman" w:hAnsi="Calibri" w:cs="Calibri"/>
                <w:color w:val="000000"/>
              </w:rPr>
            </w:pPr>
            <w:r w:rsidRPr="00ED5041">
              <w:t>40</w:t>
            </w:r>
          </w:p>
        </w:tc>
        <w:tc>
          <w:tcPr>
            <w:tcW w:w="2070" w:type="dxa"/>
            <w:noWrap/>
            <w:hideMark/>
          </w:tcPr>
          <w:p w14:paraId="33646D89" w14:textId="77777777" w:rsidR="00ED5041" w:rsidRPr="00ED5041" w:rsidRDefault="00ED5041" w:rsidP="00ED50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D5041">
              <w:t>4.5</w:t>
            </w:r>
          </w:p>
        </w:tc>
      </w:tr>
    </w:tbl>
    <w:tbl>
      <w:tblPr>
        <w:tblStyle w:val="GridTable21"/>
        <w:tblpPr w:leftFromText="180" w:rightFromText="180" w:vertAnchor="text" w:horzAnchor="margin" w:tblpXSpec="right" w:tblpY="222"/>
        <w:tblW w:w="4770" w:type="dxa"/>
        <w:tblLook w:val="04A0" w:firstRow="1" w:lastRow="0" w:firstColumn="1" w:lastColumn="0" w:noHBand="0" w:noVBand="1"/>
      </w:tblPr>
      <w:tblGrid>
        <w:gridCol w:w="1139"/>
        <w:gridCol w:w="1491"/>
        <w:gridCol w:w="2140"/>
      </w:tblGrid>
      <w:tr w:rsidR="00ED5041" w:rsidRPr="00ED5041" w14:paraId="17483DA4" w14:textId="77777777" w:rsidTr="00751819">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39F79BA0" w14:textId="77777777" w:rsidR="00ED5041" w:rsidRPr="00ED5041" w:rsidRDefault="00ED5041" w:rsidP="00ED5041">
            <w:pPr>
              <w:jc w:val="center"/>
              <w:rPr>
                <w:rFonts w:ascii="Calibri" w:eastAsia="Times New Roman" w:hAnsi="Calibri" w:cs="Times New Roman"/>
                <w:color w:val="000000"/>
              </w:rPr>
            </w:pPr>
            <w:r w:rsidRPr="00ED5041">
              <w:t>Percentile</w:t>
            </w:r>
          </w:p>
        </w:tc>
        <w:tc>
          <w:tcPr>
            <w:tcW w:w="1491" w:type="dxa"/>
            <w:noWrap/>
            <w:hideMark/>
          </w:tcPr>
          <w:p w14:paraId="6B1A0909" w14:textId="77777777" w:rsidR="00ED5041" w:rsidRPr="00ED5041" w:rsidRDefault="00ED5041" w:rsidP="00ED504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ED5041">
              <w:t>BA (ft2/ac)</w:t>
            </w:r>
          </w:p>
        </w:tc>
        <w:tc>
          <w:tcPr>
            <w:tcW w:w="2140" w:type="dxa"/>
            <w:noWrap/>
            <w:hideMark/>
          </w:tcPr>
          <w:p w14:paraId="60D99C26" w14:textId="641DB694" w:rsidR="00ED5041" w:rsidRPr="00ED5041" w:rsidRDefault="00ED5041" w:rsidP="00ED504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ED5041">
              <w:t>C Prediction(t</w:t>
            </w:r>
            <w:r w:rsidR="00F91B04">
              <w:t>o</w:t>
            </w:r>
            <w:r w:rsidR="00D93181">
              <w:t>n</w:t>
            </w:r>
            <w:r w:rsidRPr="00ED5041">
              <w:t>/ac)</w:t>
            </w:r>
          </w:p>
        </w:tc>
      </w:tr>
      <w:tr w:rsidR="00ED5041" w:rsidRPr="00ED5041" w14:paraId="02106CEE"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49717C44" w14:textId="77777777" w:rsidR="00ED5041" w:rsidRPr="00ED5041" w:rsidRDefault="00ED5041" w:rsidP="00ED5041">
            <w:pPr>
              <w:jc w:val="center"/>
              <w:rPr>
                <w:rFonts w:ascii="Calibri" w:eastAsia="Times New Roman" w:hAnsi="Calibri" w:cs="Times New Roman"/>
                <w:color w:val="000000"/>
              </w:rPr>
            </w:pPr>
            <w:r w:rsidRPr="00ED5041">
              <w:t>0</w:t>
            </w:r>
          </w:p>
        </w:tc>
        <w:tc>
          <w:tcPr>
            <w:tcW w:w="1491" w:type="dxa"/>
            <w:noWrap/>
            <w:hideMark/>
          </w:tcPr>
          <w:p w14:paraId="21B925AE" w14:textId="77777777" w:rsidR="00ED5041" w:rsidRPr="00ED5041" w:rsidRDefault="00ED5041" w:rsidP="00ED50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ED5041">
              <w:t>0</w:t>
            </w:r>
          </w:p>
        </w:tc>
        <w:tc>
          <w:tcPr>
            <w:tcW w:w="2140" w:type="dxa"/>
            <w:noWrap/>
            <w:hideMark/>
          </w:tcPr>
          <w:p w14:paraId="56E74A0B" w14:textId="77777777" w:rsidR="00ED5041" w:rsidRPr="00ED5041" w:rsidRDefault="00ED5041" w:rsidP="00ED50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ED5041">
              <w:t>0</w:t>
            </w:r>
          </w:p>
        </w:tc>
      </w:tr>
      <w:tr w:rsidR="00ED5041" w:rsidRPr="00ED5041" w14:paraId="75404364"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4B2F8D46" w14:textId="77777777" w:rsidR="00ED5041" w:rsidRPr="00ED5041" w:rsidRDefault="00ED5041" w:rsidP="00ED5041">
            <w:pPr>
              <w:jc w:val="center"/>
              <w:rPr>
                <w:rFonts w:ascii="Calibri" w:eastAsia="Times New Roman" w:hAnsi="Calibri" w:cs="Times New Roman"/>
                <w:color w:val="000000"/>
              </w:rPr>
            </w:pPr>
            <w:r w:rsidRPr="00ED5041">
              <w:t>5</w:t>
            </w:r>
          </w:p>
        </w:tc>
        <w:tc>
          <w:tcPr>
            <w:tcW w:w="1491" w:type="dxa"/>
            <w:noWrap/>
            <w:hideMark/>
          </w:tcPr>
          <w:p w14:paraId="7A4B93B7" w14:textId="77777777" w:rsidR="00ED5041" w:rsidRPr="00ED5041" w:rsidRDefault="00ED5041" w:rsidP="00ED50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ED5041">
              <w:t>0</w:t>
            </w:r>
          </w:p>
        </w:tc>
        <w:tc>
          <w:tcPr>
            <w:tcW w:w="2140" w:type="dxa"/>
            <w:noWrap/>
            <w:hideMark/>
          </w:tcPr>
          <w:p w14:paraId="406EC9CB" w14:textId="77777777" w:rsidR="00ED5041" w:rsidRPr="00ED5041" w:rsidRDefault="00ED5041" w:rsidP="00ED50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ED5041">
              <w:t>0</w:t>
            </w:r>
          </w:p>
        </w:tc>
      </w:tr>
      <w:tr w:rsidR="00ED5041" w:rsidRPr="00ED5041" w14:paraId="45CF9D84"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3D663A94" w14:textId="77777777" w:rsidR="00ED5041" w:rsidRPr="00ED5041" w:rsidRDefault="00ED5041" w:rsidP="00ED5041">
            <w:pPr>
              <w:jc w:val="center"/>
              <w:rPr>
                <w:rFonts w:ascii="Calibri" w:eastAsia="Times New Roman" w:hAnsi="Calibri" w:cs="Times New Roman"/>
                <w:color w:val="000000"/>
              </w:rPr>
            </w:pPr>
            <w:r w:rsidRPr="00ED5041">
              <w:t>10</w:t>
            </w:r>
          </w:p>
        </w:tc>
        <w:tc>
          <w:tcPr>
            <w:tcW w:w="1491" w:type="dxa"/>
            <w:noWrap/>
            <w:hideMark/>
          </w:tcPr>
          <w:p w14:paraId="15E2254C" w14:textId="77777777" w:rsidR="00ED5041" w:rsidRPr="00ED5041" w:rsidRDefault="00ED5041" w:rsidP="00ED50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ED5041">
              <w:t>0</w:t>
            </w:r>
          </w:p>
        </w:tc>
        <w:tc>
          <w:tcPr>
            <w:tcW w:w="2140" w:type="dxa"/>
            <w:noWrap/>
            <w:hideMark/>
          </w:tcPr>
          <w:p w14:paraId="1FBD8CCF" w14:textId="77777777" w:rsidR="00ED5041" w:rsidRPr="00ED5041" w:rsidRDefault="00ED5041" w:rsidP="00ED50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ED5041">
              <w:t>0</w:t>
            </w:r>
          </w:p>
        </w:tc>
      </w:tr>
      <w:tr w:rsidR="00ED5041" w:rsidRPr="00ED5041" w14:paraId="55E1907A"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48DAB342" w14:textId="77777777" w:rsidR="00ED5041" w:rsidRPr="00ED5041" w:rsidRDefault="00ED5041" w:rsidP="00ED5041">
            <w:pPr>
              <w:jc w:val="center"/>
              <w:rPr>
                <w:rFonts w:ascii="Calibri" w:eastAsia="Times New Roman" w:hAnsi="Calibri" w:cs="Times New Roman"/>
                <w:color w:val="000000"/>
              </w:rPr>
            </w:pPr>
            <w:r w:rsidRPr="00ED5041">
              <w:t>15</w:t>
            </w:r>
          </w:p>
        </w:tc>
        <w:tc>
          <w:tcPr>
            <w:tcW w:w="1491" w:type="dxa"/>
            <w:noWrap/>
            <w:hideMark/>
          </w:tcPr>
          <w:p w14:paraId="091BD0CF" w14:textId="77777777" w:rsidR="00ED5041" w:rsidRPr="00ED5041" w:rsidRDefault="00ED5041" w:rsidP="00ED50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ED5041">
              <w:t>0</w:t>
            </w:r>
          </w:p>
        </w:tc>
        <w:tc>
          <w:tcPr>
            <w:tcW w:w="2140" w:type="dxa"/>
            <w:noWrap/>
            <w:hideMark/>
          </w:tcPr>
          <w:p w14:paraId="0B2642E9" w14:textId="77777777" w:rsidR="00ED5041" w:rsidRPr="00ED5041" w:rsidRDefault="00ED5041" w:rsidP="00ED50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ED5041">
              <w:t>0</w:t>
            </w:r>
          </w:p>
        </w:tc>
      </w:tr>
      <w:tr w:rsidR="00ED5041" w:rsidRPr="00ED5041" w14:paraId="59002984"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49707C20" w14:textId="77777777" w:rsidR="00ED5041" w:rsidRPr="00ED5041" w:rsidRDefault="00ED5041" w:rsidP="00ED5041">
            <w:pPr>
              <w:jc w:val="center"/>
              <w:rPr>
                <w:rFonts w:ascii="Calibri" w:eastAsia="Times New Roman" w:hAnsi="Calibri" w:cs="Times New Roman"/>
                <w:color w:val="000000"/>
              </w:rPr>
            </w:pPr>
            <w:r w:rsidRPr="00ED5041">
              <w:t>20</w:t>
            </w:r>
          </w:p>
        </w:tc>
        <w:tc>
          <w:tcPr>
            <w:tcW w:w="1491" w:type="dxa"/>
            <w:noWrap/>
            <w:hideMark/>
          </w:tcPr>
          <w:p w14:paraId="7B56AF5D" w14:textId="77777777" w:rsidR="00ED5041" w:rsidRPr="00ED5041" w:rsidRDefault="00ED5041" w:rsidP="00ED50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ED5041">
              <w:t>0</w:t>
            </w:r>
          </w:p>
        </w:tc>
        <w:tc>
          <w:tcPr>
            <w:tcW w:w="2140" w:type="dxa"/>
            <w:noWrap/>
            <w:hideMark/>
          </w:tcPr>
          <w:p w14:paraId="47927786" w14:textId="77777777" w:rsidR="00ED5041" w:rsidRPr="00ED5041" w:rsidRDefault="00ED5041" w:rsidP="00ED50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ED5041">
              <w:t>0</w:t>
            </w:r>
          </w:p>
        </w:tc>
      </w:tr>
      <w:tr w:rsidR="00ED5041" w:rsidRPr="00ED5041" w14:paraId="454D9727"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7645A4FC" w14:textId="77777777" w:rsidR="00ED5041" w:rsidRPr="00ED5041" w:rsidRDefault="00ED5041" w:rsidP="00ED5041">
            <w:pPr>
              <w:jc w:val="center"/>
              <w:rPr>
                <w:rFonts w:ascii="Calibri" w:eastAsia="Times New Roman" w:hAnsi="Calibri" w:cs="Times New Roman"/>
                <w:color w:val="000000"/>
              </w:rPr>
            </w:pPr>
            <w:r w:rsidRPr="00ED5041">
              <w:t>25</w:t>
            </w:r>
          </w:p>
        </w:tc>
        <w:tc>
          <w:tcPr>
            <w:tcW w:w="1491" w:type="dxa"/>
            <w:noWrap/>
            <w:hideMark/>
          </w:tcPr>
          <w:p w14:paraId="68D7574C" w14:textId="77777777" w:rsidR="00ED5041" w:rsidRPr="00ED5041" w:rsidRDefault="00ED5041" w:rsidP="00ED50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ED5041">
              <w:t>0</w:t>
            </w:r>
          </w:p>
        </w:tc>
        <w:tc>
          <w:tcPr>
            <w:tcW w:w="2140" w:type="dxa"/>
            <w:noWrap/>
            <w:hideMark/>
          </w:tcPr>
          <w:p w14:paraId="283CF346" w14:textId="77777777" w:rsidR="00ED5041" w:rsidRPr="00ED5041" w:rsidRDefault="00ED5041" w:rsidP="00ED50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ED5041">
              <w:t>0</w:t>
            </w:r>
          </w:p>
        </w:tc>
      </w:tr>
      <w:tr w:rsidR="00ED5041" w:rsidRPr="00ED5041" w14:paraId="5CD05BF9"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4CAC7B06" w14:textId="77777777" w:rsidR="00ED5041" w:rsidRPr="00ED5041" w:rsidRDefault="00ED5041" w:rsidP="00ED5041">
            <w:pPr>
              <w:jc w:val="center"/>
              <w:rPr>
                <w:rFonts w:ascii="Calibri" w:eastAsia="Times New Roman" w:hAnsi="Calibri" w:cs="Times New Roman"/>
                <w:color w:val="000000"/>
              </w:rPr>
            </w:pPr>
            <w:r w:rsidRPr="00ED5041">
              <w:t>30</w:t>
            </w:r>
          </w:p>
        </w:tc>
        <w:tc>
          <w:tcPr>
            <w:tcW w:w="1491" w:type="dxa"/>
            <w:noWrap/>
            <w:hideMark/>
          </w:tcPr>
          <w:p w14:paraId="0FF87671" w14:textId="77777777" w:rsidR="00ED5041" w:rsidRPr="00ED5041" w:rsidRDefault="00ED5041" w:rsidP="00ED50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ED5041">
              <w:t>0</w:t>
            </w:r>
          </w:p>
        </w:tc>
        <w:tc>
          <w:tcPr>
            <w:tcW w:w="2140" w:type="dxa"/>
            <w:noWrap/>
            <w:hideMark/>
          </w:tcPr>
          <w:p w14:paraId="49E477AF" w14:textId="77777777" w:rsidR="00ED5041" w:rsidRPr="00ED5041" w:rsidRDefault="00ED5041" w:rsidP="00ED50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ED5041">
              <w:t>0</w:t>
            </w:r>
          </w:p>
        </w:tc>
      </w:tr>
      <w:tr w:rsidR="00ED5041" w:rsidRPr="00ED5041" w14:paraId="57E93F06"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406552C6" w14:textId="77777777" w:rsidR="00ED5041" w:rsidRPr="00ED5041" w:rsidRDefault="00ED5041" w:rsidP="00ED5041">
            <w:pPr>
              <w:jc w:val="center"/>
              <w:rPr>
                <w:rFonts w:ascii="Calibri" w:eastAsia="Times New Roman" w:hAnsi="Calibri" w:cs="Times New Roman"/>
                <w:color w:val="000000"/>
              </w:rPr>
            </w:pPr>
            <w:r w:rsidRPr="00ED5041">
              <w:t>35</w:t>
            </w:r>
          </w:p>
        </w:tc>
        <w:tc>
          <w:tcPr>
            <w:tcW w:w="1491" w:type="dxa"/>
            <w:noWrap/>
            <w:hideMark/>
          </w:tcPr>
          <w:p w14:paraId="0A253E50" w14:textId="77777777" w:rsidR="00ED5041" w:rsidRPr="00ED5041" w:rsidRDefault="00ED5041" w:rsidP="00ED50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ED5041">
              <w:t>0.2</w:t>
            </w:r>
          </w:p>
        </w:tc>
        <w:tc>
          <w:tcPr>
            <w:tcW w:w="2140" w:type="dxa"/>
            <w:noWrap/>
            <w:hideMark/>
          </w:tcPr>
          <w:p w14:paraId="51D4485F" w14:textId="77777777" w:rsidR="00ED5041" w:rsidRPr="00ED5041" w:rsidRDefault="00ED5041" w:rsidP="00ED50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ED5041">
              <w:t>0</w:t>
            </w:r>
          </w:p>
        </w:tc>
      </w:tr>
      <w:tr w:rsidR="00ED5041" w:rsidRPr="00ED5041" w14:paraId="61BDFE7E"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2A23B334" w14:textId="77777777" w:rsidR="00ED5041" w:rsidRPr="00ED5041" w:rsidRDefault="00ED5041" w:rsidP="00ED5041">
            <w:pPr>
              <w:jc w:val="center"/>
              <w:rPr>
                <w:rFonts w:ascii="Calibri" w:eastAsia="Times New Roman" w:hAnsi="Calibri" w:cs="Times New Roman"/>
                <w:color w:val="000000"/>
              </w:rPr>
            </w:pPr>
            <w:r w:rsidRPr="00ED5041">
              <w:t>40</w:t>
            </w:r>
          </w:p>
        </w:tc>
        <w:tc>
          <w:tcPr>
            <w:tcW w:w="1491" w:type="dxa"/>
            <w:noWrap/>
            <w:hideMark/>
          </w:tcPr>
          <w:p w14:paraId="369EAC8E" w14:textId="77777777" w:rsidR="00ED5041" w:rsidRPr="00ED5041" w:rsidRDefault="00ED5041" w:rsidP="00ED50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ED5041">
              <w:t>1.2</w:t>
            </w:r>
          </w:p>
        </w:tc>
        <w:tc>
          <w:tcPr>
            <w:tcW w:w="2140" w:type="dxa"/>
            <w:noWrap/>
            <w:hideMark/>
          </w:tcPr>
          <w:p w14:paraId="004E9530" w14:textId="77777777" w:rsidR="00ED5041" w:rsidRPr="00ED5041" w:rsidRDefault="00ED5041" w:rsidP="00ED50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ED5041">
              <w:t>0.1</w:t>
            </w:r>
          </w:p>
        </w:tc>
      </w:tr>
      <w:tr w:rsidR="00ED5041" w:rsidRPr="00ED5041" w14:paraId="27B46A37"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50D9207C" w14:textId="77777777" w:rsidR="00ED5041" w:rsidRPr="00ED5041" w:rsidRDefault="00ED5041" w:rsidP="00ED5041">
            <w:pPr>
              <w:jc w:val="center"/>
              <w:rPr>
                <w:rFonts w:ascii="Calibri" w:eastAsia="Times New Roman" w:hAnsi="Calibri" w:cs="Times New Roman"/>
                <w:color w:val="000000"/>
              </w:rPr>
            </w:pPr>
            <w:r w:rsidRPr="00ED5041">
              <w:t>45</w:t>
            </w:r>
          </w:p>
        </w:tc>
        <w:tc>
          <w:tcPr>
            <w:tcW w:w="1491" w:type="dxa"/>
            <w:noWrap/>
            <w:hideMark/>
          </w:tcPr>
          <w:p w14:paraId="34C00ED0" w14:textId="77777777" w:rsidR="00ED5041" w:rsidRPr="00ED5041" w:rsidRDefault="00ED5041" w:rsidP="00ED50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ED5041">
              <w:t>1.5</w:t>
            </w:r>
          </w:p>
        </w:tc>
        <w:tc>
          <w:tcPr>
            <w:tcW w:w="2140" w:type="dxa"/>
            <w:noWrap/>
            <w:hideMark/>
          </w:tcPr>
          <w:p w14:paraId="47050C44" w14:textId="77777777" w:rsidR="00ED5041" w:rsidRPr="00ED5041" w:rsidRDefault="00ED5041" w:rsidP="00ED50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ED5041">
              <w:t>0.2</w:t>
            </w:r>
          </w:p>
        </w:tc>
      </w:tr>
      <w:tr w:rsidR="00ED5041" w:rsidRPr="00ED5041" w14:paraId="03872C43"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4F5B8DD5" w14:textId="77777777" w:rsidR="00ED5041" w:rsidRPr="00ED5041" w:rsidRDefault="00ED5041" w:rsidP="00ED5041">
            <w:pPr>
              <w:jc w:val="center"/>
              <w:rPr>
                <w:rFonts w:ascii="Calibri" w:eastAsia="Times New Roman" w:hAnsi="Calibri" w:cs="Times New Roman"/>
                <w:color w:val="000000"/>
              </w:rPr>
            </w:pPr>
            <w:r w:rsidRPr="00ED5041">
              <w:t>50</w:t>
            </w:r>
          </w:p>
        </w:tc>
        <w:tc>
          <w:tcPr>
            <w:tcW w:w="1491" w:type="dxa"/>
            <w:noWrap/>
            <w:hideMark/>
          </w:tcPr>
          <w:p w14:paraId="065CF3A8" w14:textId="77777777" w:rsidR="00ED5041" w:rsidRPr="00ED5041" w:rsidRDefault="00ED5041" w:rsidP="00ED50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ED5041">
              <w:t>2.3</w:t>
            </w:r>
          </w:p>
        </w:tc>
        <w:tc>
          <w:tcPr>
            <w:tcW w:w="2140" w:type="dxa"/>
            <w:noWrap/>
            <w:hideMark/>
          </w:tcPr>
          <w:p w14:paraId="36FC2E40" w14:textId="77777777" w:rsidR="00ED5041" w:rsidRPr="00ED5041" w:rsidRDefault="00ED5041" w:rsidP="00ED50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ED5041">
              <w:t>0.3</w:t>
            </w:r>
          </w:p>
        </w:tc>
      </w:tr>
      <w:tr w:rsidR="00ED5041" w:rsidRPr="00ED5041" w14:paraId="422545AD"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73B9C61A" w14:textId="77777777" w:rsidR="00ED5041" w:rsidRPr="00ED5041" w:rsidRDefault="00ED5041" w:rsidP="00ED5041">
            <w:pPr>
              <w:jc w:val="center"/>
              <w:rPr>
                <w:rFonts w:ascii="Calibri" w:eastAsia="Times New Roman" w:hAnsi="Calibri" w:cs="Times New Roman"/>
                <w:color w:val="000000"/>
              </w:rPr>
            </w:pPr>
            <w:r w:rsidRPr="00ED5041">
              <w:t>55</w:t>
            </w:r>
          </w:p>
        </w:tc>
        <w:tc>
          <w:tcPr>
            <w:tcW w:w="1491" w:type="dxa"/>
            <w:noWrap/>
            <w:hideMark/>
          </w:tcPr>
          <w:p w14:paraId="38F1C364" w14:textId="77777777" w:rsidR="00ED5041" w:rsidRPr="00ED5041" w:rsidRDefault="00ED5041" w:rsidP="00ED50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ED5041">
              <w:t>3.5</w:t>
            </w:r>
          </w:p>
        </w:tc>
        <w:tc>
          <w:tcPr>
            <w:tcW w:w="2140" w:type="dxa"/>
            <w:noWrap/>
            <w:hideMark/>
          </w:tcPr>
          <w:p w14:paraId="2DE19531" w14:textId="77777777" w:rsidR="00ED5041" w:rsidRPr="00ED5041" w:rsidRDefault="00ED5041" w:rsidP="00ED50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ED5041">
              <w:t>0.4</w:t>
            </w:r>
          </w:p>
        </w:tc>
      </w:tr>
      <w:tr w:rsidR="00ED5041" w:rsidRPr="00ED5041" w14:paraId="30DB37C1"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2AEEE5A0" w14:textId="77777777" w:rsidR="00ED5041" w:rsidRPr="00ED5041" w:rsidRDefault="00ED5041" w:rsidP="00ED5041">
            <w:pPr>
              <w:jc w:val="center"/>
              <w:rPr>
                <w:rFonts w:ascii="Calibri" w:eastAsia="Times New Roman" w:hAnsi="Calibri" w:cs="Times New Roman"/>
                <w:color w:val="000000"/>
              </w:rPr>
            </w:pPr>
            <w:r w:rsidRPr="00ED5041">
              <w:t>60</w:t>
            </w:r>
          </w:p>
        </w:tc>
        <w:tc>
          <w:tcPr>
            <w:tcW w:w="1491" w:type="dxa"/>
            <w:noWrap/>
            <w:hideMark/>
          </w:tcPr>
          <w:p w14:paraId="29EBF48E" w14:textId="77777777" w:rsidR="00ED5041" w:rsidRPr="00ED5041" w:rsidRDefault="00ED5041" w:rsidP="00ED50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ED5041">
              <w:t>5.3</w:t>
            </w:r>
          </w:p>
        </w:tc>
        <w:tc>
          <w:tcPr>
            <w:tcW w:w="2140" w:type="dxa"/>
            <w:noWrap/>
            <w:hideMark/>
          </w:tcPr>
          <w:p w14:paraId="5C11C5B9" w14:textId="77777777" w:rsidR="00ED5041" w:rsidRPr="00ED5041" w:rsidRDefault="00ED5041" w:rsidP="00ED50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ED5041">
              <w:t>0.6</w:t>
            </w:r>
          </w:p>
        </w:tc>
      </w:tr>
      <w:tr w:rsidR="00ED5041" w:rsidRPr="00ED5041" w14:paraId="257AD28B"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64F6B004" w14:textId="77777777" w:rsidR="00ED5041" w:rsidRPr="00ED5041" w:rsidRDefault="00ED5041" w:rsidP="00ED5041">
            <w:pPr>
              <w:jc w:val="center"/>
              <w:rPr>
                <w:rFonts w:ascii="Calibri" w:eastAsia="Times New Roman" w:hAnsi="Calibri" w:cs="Times New Roman"/>
                <w:color w:val="000000"/>
              </w:rPr>
            </w:pPr>
            <w:r w:rsidRPr="00ED5041">
              <w:t>65</w:t>
            </w:r>
          </w:p>
        </w:tc>
        <w:tc>
          <w:tcPr>
            <w:tcW w:w="1491" w:type="dxa"/>
            <w:noWrap/>
            <w:hideMark/>
          </w:tcPr>
          <w:p w14:paraId="66CB7F8A" w14:textId="77777777" w:rsidR="00ED5041" w:rsidRPr="00ED5041" w:rsidRDefault="00ED5041" w:rsidP="00ED50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ED5041">
              <w:t>7.9</w:t>
            </w:r>
          </w:p>
        </w:tc>
        <w:tc>
          <w:tcPr>
            <w:tcW w:w="2140" w:type="dxa"/>
            <w:noWrap/>
            <w:hideMark/>
          </w:tcPr>
          <w:p w14:paraId="27E8B52A" w14:textId="77777777" w:rsidR="00ED5041" w:rsidRPr="00ED5041" w:rsidRDefault="00ED5041" w:rsidP="00ED50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ED5041">
              <w:t>0.9</w:t>
            </w:r>
          </w:p>
        </w:tc>
      </w:tr>
      <w:tr w:rsidR="00ED5041" w:rsidRPr="00ED5041" w14:paraId="11E2A4CE"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73EBE081" w14:textId="77777777" w:rsidR="00ED5041" w:rsidRPr="00ED5041" w:rsidRDefault="00ED5041" w:rsidP="00ED5041">
            <w:pPr>
              <w:jc w:val="center"/>
              <w:rPr>
                <w:rFonts w:ascii="Calibri" w:eastAsia="Times New Roman" w:hAnsi="Calibri" w:cs="Times New Roman"/>
                <w:color w:val="000000"/>
              </w:rPr>
            </w:pPr>
            <w:r w:rsidRPr="00ED5041">
              <w:t>70</w:t>
            </w:r>
          </w:p>
        </w:tc>
        <w:tc>
          <w:tcPr>
            <w:tcW w:w="1491" w:type="dxa"/>
            <w:noWrap/>
            <w:hideMark/>
          </w:tcPr>
          <w:p w14:paraId="3B10B60A" w14:textId="77777777" w:rsidR="00ED5041" w:rsidRPr="00ED5041" w:rsidRDefault="00ED5041" w:rsidP="00ED50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ED5041">
              <w:t>10.1</w:t>
            </w:r>
          </w:p>
        </w:tc>
        <w:tc>
          <w:tcPr>
            <w:tcW w:w="2140" w:type="dxa"/>
            <w:noWrap/>
            <w:hideMark/>
          </w:tcPr>
          <w:p w14:paraId="0B247D2C" w14:textId="77777777" w:rsidR="00ED5041" w:rsidRPr="00ED5041" w:rsidRDefault="00ED5041" w:rsidP="00ED50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ED5041">
              <w:t>1.1</w:t>
            </w:r>
          </w:p>
        </w:tc>
      </w:tr>
      <w:tr w:rsidR="00ED5041" w:rsidRPr="00ED5041" w14:paraId="617548E9"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3ED91F92" w14:textId="77777777" w:rsidR="00ED5041" w:rsidRPr="00ED5041" w:rsidRDefault="00ED5041" w:rsidP="00ED5041">
            <w:pPr>
              <w:jc w:val="center"/>
              <w:rPr>
                <w:rFonts w:ascii="Calibri" w:eastAsia="Times New Roman" w:hAnsi="Calibri" w:cs="Times New Roman"/>
                <w:color w:val="000000"/>
              </w:rPr>
            </w:pPr>
            <w:r w:rsidRPr="00ED5041">
              <w:t>75</w:t>
            </w:r>
          </w:p>
        </w:tc>
        <w:tc>
          <w:tcPr>
            <w:tcW w:w="1491" w:type="dxa"/>
            <w:noWrap/>
            <w:hideMark/>
          </w:tcPr>
          <w:p w14:paraId="2A9CE860" w14:textId="77777777" w:rsidR="00ED5041" w:rsidRPr="00ED5041" w:rsidRDefault="00ED5041" w:rsidP="00ED50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ED5041">
              <w:t>12</w:t>
            </w:r>
          </w:p>
        </w:tc>
        <w:tc>
          <w:tcPr>
            <w:tcW w:w="2140" w:type="dxa"/>
            <w:noWrap/>
            <w:hideMark/>
          </w:tcPr>
          <w:p w14:paraId="608B7786" w14:textId="77777777" w:rsidR="00ED5041" w:rsidRPr="00ED5041" w:rsidRDefault="00ED5041" w:rsidP="00ED50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ED5041">
              <w:t>1.4</w:t>
            </w:r>
          </w:p>
        </w:tc>
      </w:tr>
      <w:tr w:rsidR="00ED5041" w:rsidRPr="00ED5041" w14:paraId="191036F7"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6B7B0ECC" w14:textId="77777777" w:rsidR="00ED5041" w:rsidRPr="00ED5041" w:rsidRDefault="00ED5041" w:rsidP="00ED5041">
            <w:pPr>
              <w:jc w:val="center"/>
              <w:rPr>
                <w:rFonts w:ascii="Calibri" w:eastAsia="Times New Roman" w:hAnsi="Calibri" w:cs="Times New Roman"/>
                <w:color w:val="000000"/>
              </w:rPr>
            </w:pPr>
            <w:r w:rsidRPr="00ED5041">
              <w:t>80</w:t>
            </w:r>
          </w:p>
        </w:tc>
        <w:tc>
          <w:tcPr>
            <w:tcW w:w="1491" w:type="dxa"/>
            <w:noWrap/>
            <w:hideMark/>
          </w:tcPr>
          <w:p w14:paraId="6AF3A77C" w14:textId="77777777" w:rsidR="00ED5041" w:rsidRPr="00ED5041" w:rsidRDefault="00ED5041" w:rsidP="00ED50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ED5041">
              <w:t>16.1</w:t>
            </w:r>
          </w:p>
        </w:tc>
        <w:tc>
          <w:tcPr>
            <w:tcW w:w="2140" w:type="dxa"/>
            <w:noWrap/>
            <w:hideMark/>
          </w:tcPr>
          <w:p w14:paraId="206D3829" w14:textId="77777777" w:rsidR="00ED5041" w:rsidRPr="00ED5041" w:rsidRDefault="00ED5041" w:rsidP="00ED50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ED5041">
              <w:t>1.8</w:t>
            </w:r>
          </w:p>
        </w:tc>
      </w:tr>
      <w:tr w:rsidR="00ED5041" w:rsidRPr="00ED5041" w14:paraId="04AC0DBB"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1E1972CE" w14:textId="77777777" w:rsidR="00ED5041" w:rsidRPr="00ED5041" w:rsidRDefault="00ED5041" w:rsidP="00ED5041">
            <w:pPr>
              <w:jc w:val="center"/>
              <w:rPr>
                <w:rFonts w:ascii="Calibri" w:eastAsia="Times New Roman" w:hAnsi="Calibri" w:cs="Times New Roman"/>
                <w:color w:val="000000"/>
              </w:rPr>
            </w:pPr>
            <w:r w:rsidRPr="00ED5041">
              <w:t>85</w:t>
            </w:r>
          </w:p>
        </w:tc>
        <w:tc>
          <w:tcPr>
            <w:tcW w:w="1491" w:type="dxa"/>
            <w:noWrap/>
            <w:hideMark/>
          </w:tcPr>
          <w:p w14:paraId="515610D7" w14:textId="77777777" w:rsidR="00ED5041" w:rsidRPr="00ED5041" w:rsidRDefault="00ED5041" w:rsidP="00ED50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ED5041">
              <w:t>18.8</w:t>
            </w:r>
          </w:p>
        </w:tc>
        <w:tc>
          <w:tcPr>
            <w:tcW w:w="2140" w:type="dxa"/>
            <w:noWrap/>
            <w:hideMark/>
          </w:tcPr>
          <w:p w14:paraId="6DD0F74C" w14:textId="77777777" w:rsidR="00ED5041" w:rsidRPr="00ED5041" w:rsidRDefault="00ED5041" w:rsidP="00ED50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ED5041">
              <w:t>2.1</w:t>
            </w:r>
          </w:p>
        </w:tc>
      </w:tr>
      <w:tr w:rsidR="00ED5041" w:rsidRPr="00ED5041" w14:paraId="0F4BA696"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579780CB" w14:textId="77777777" w:rsidR="00ED5041" w:rsidRPr="00ED5041" w:rsidRDefault="00ED5041" w:rsidP="00ED5041">
            <w:pPr>
              <w:jc w:val="center"/>
              <w:rPr>
                <w:rFonts w:ascii="Calibri" w:eastAsia="Times New Roman" w:hAnsi="Calibri" w:cs="Times New Roman"/>
                <w:color w:val="000000"/>
              </w:rPr>
            </w:pPr>
            <w:r w:rsidRPr="00ED5041">
              <w:t>90</w:t>
            </w:r>
          </w:p>
        </w:tc>
        <w:tc>
          <w:tcPr>
            <w:tcW w:w="1491" w:type="dxa"/>
            <w:noWrap/>
            <w:hideMark/>
          </w:tcPr>
          <w:p w14:paraId="6A34DEFC" w14:textId="77777777" w:rsidR="00ED5041" w:rsidRPr="00ED5041" w:rsidRDefault="00ED5041" w:rsidP="00ED50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ED5041">
              <w:t>20.7</w:t>
            </w:r>
          </w:p>
        </w:tc>
        <w:tc>
          <w:tcPr>
            <w:tcW w:w="2140" w:type="dxa"/>
            <w:noWrap/>
            <w:hideMark/>
          </w:tcPr>
          <w:p w14:paraId="095B5154" w14:textId="77777777" w:rsidR="00ED5041" w:rsidRPr="00ED5041" w:rsidRDefault="00ED5041" w:rsidP="00ED50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ED5041">
              <w:t>2.3</w:t>
            </w:r>
          </w:p>
        </w:tc>
      </w:tr>
      <w:tr w:rsidR="00ED5041" w:rsidRPr="00ED5041" w14:paraId="16ECA842"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64427C44" w14:textId="77777777" w:rsidR="00ED5041" w:rsidRPr="00ED5041" w:rsidRDefault="00ED5041" w:rsidP="00ED5041">
            <w:pPr>
              <w:jc w:val="center"/>
              <w:rPr>
                <w:rFonts w:ascii="Calibri" w:eastAsia="Times New Roman" w:hAnsi="Calibri" w:cs="Times New Roman"/>
                <w:color w:val="000000"/>
              </w:rPr>
            </w:pPr>
            <w:r w:rsidRPr="00ED5041">
              <w:t>95</w:t>
            </w:r>
          </w:p>
        </w:tc>
        <w:tc>
          <w:tcPr>
            <w:tcW w:w="1491" w:type="dxa"/>
            <w:noWrap/>
            <w:hideMark/>
          </w:tcPr>
          <w:p w14:paraId="65A62A3F" w14:textId="77777777" w:rsidR="00ED5041" w:rsidRPr="00ED5041" w:rsidRDefault="00ED5041" w:rsidP="00ED50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ED5041">
              <w:t>30.9</w:t>
            </w:r>
          </w:p>
        </w:tc>
        <w:tc>
          <w:tcPr>
            <w:tcW w:w="2140" w:type="dxa"/>
            <w:noWrap/>
            <w:hideMark/>
          </w:tcPr>
          <w:p w14:paraId="32AFA228" w14:textId="77777777" w:rsidR="00ED5041" w:rsidRPr="00ED5041" w:rsidRDefault="00ED5041" w:rsidP="00ED50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ED5041">
              <w:t>3.5</w:t>
            </w:r>
          </w:p>
        </w:tc>
      </w:tr>
    </w:tbl>
    <w:p w14:paraId="0FFFA9A5" w14:textId="77777777" w:rsidR="00ED5041" w:rsidRPr="00ED5041" w:rsidRDefault="00ED5041" w:rsidP="00ED5041"/>
    <w:p w14:paraId="65ED560D" w14:textId="77777777" w:rsidR="00ED5041" w:rsidRDefault="00ED5041" w:rsidP="00152474">
      <w:pPr>
        <w:rPr>
          <w:i/>
        </w:rPr>
      </w:pPr>
    </w:p>
    <w:p w14:paraId="0FA8F98F" w14:textId="77777777" w:rsidR="00ED5041" w:rsidRDefault="00ED5041">
      <w:pPr>
        <w:rPr>
          <w:i/>
        </w:rPr>
      </w:pPr>
      <w:r>
        <w:rPr>
          <w:i/>
        </w:rPr>
        <w:br w:type="page"/>
      </w:r>
    </w:p>
    <w:p w14:paraId="39BEE427" w14:textId="5D0B2576" w:rsidR="00152474" w:rsidRPr="00ED5041" w:rsidRDefault="00152474" w:rsidP="00152474">
      <w:pPr>
        <w:rPr>
          <w:i/>
          <w:sz w:val="28"/>
        </w:rPr>
      </w:pPr>
      <w:r w:rsidRPr="00ED5041">
        <w:rPr>
          <w:i/>
          <w:sz w:val="28"/>
        </w:rPr>
        <w:lastRenderedPageBreak/>
        <w:t xml:space="preserve">Northeastern Coastal Zone </w:t>
      </w:r>
    </w:p>
    <w:p w14:paraId="6B4371ED" w14:textId="77777777" w:rsidR="00152474" w:rsidRDefault="00152474" w:rsidP="00152474">
      <w:pPr>
        <w:sectPr w:rsidR="00152474" w:rsidSect="00195867">
          <w:type w:val="continuous"/>
          <w:pgSz w:w="12240" w:h="15840"/>
          <w:pgMar w:top="1440" w:right="1440" w:bottom="1440" w:left="1440" w:header="720" w:footer="720" w:gutter="0"/>
          <w:cols w:space="720"/>
          <w:docGrid w:linePitch="360"/>
        </w:sectPr>
      </w:pPr>
    </w:p>
    <w:tbl>
      <w:tblPr>
        <w:tblStyle w:val="GridTable2"/>
        <w:tblpPr w:leftFromText="180" w:rightFromText="180" w:vertAnchor="text" w:horzAnchor="page" w:tblpX="2062" w:tblpY="655"/>
        <w:tblW w:w="3510" w:type="dxa"/>
        <w:tblLook w:val="04A0" w:firstRow="1" w:lastRow="0" w:firstColumn="1" w:lastColumn="0" w:noHBand="0" w:noVBand="1"/>
      </w:tblPr>
      <w:tblGrid>
        <w:gridCol w:w="1260"/>
        <w:gridCol w:w="2250"/>
      </w:tblGrid>
      <w:tr w:rsidR="00152474" w:rsidRPr="0030551C" w14:paraId="46F8330A" w14:textId="77777777" w:rsidTr="00751819">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15766F10" w14:textId="77777777" w:rsidR="00152474" w:rsidRPr="00EE0CD0" w:rsidRDefault="00152474" w:rsidP="00195867">
            <w:r w:rsidRPr="00EE0CD0">
              <w:t>BA (ft²/ac)</w:t>
            </w:r>
          </w:p>
        </w:tc>
        <w:tc>
          <w:tcPr>
            <w:tcW w:w="2250" w:type="dxa"/>
            <w:noWrap/>
            <w:hideMark/>
          </w:tcPr>
          <w:p w14:paraId="7B8F63E5" w14:textId="59447DE4" w:rsidR="00152474" w:rsidRPr="00EE0CD0" w:rsidRDefault="00152474" w:rsidP="00195867">
            <w:pPr>
              <w:cnfStyle w:val="100000000000" w:firstRow="1" w:lastRow="0" w:firstColumn="0" w:lastColumn="0" w:oddVBand="0" w:evenVBand="0" w:oddHBand="0" w:evenHBand="0" w:firstRowFirstColumn="0" w:firstRowLastColumn="0" w:lastRowFirstColumn="0" w:lastRowLastColumn="0"/>
            </w:pPr>
            <w:r w:rsidRPr="00EE0CD0">
              <w:t>C Prediction (t</w:t>
            </w:r>
            <w:r w:rsidR="00F91B04">
              <w:t>o</w:t>
            </w:r>
            <w:r w:rsidR="00D93181">
              <w:t>n</w:t>
            </w:r>
            <w:r w:rsidRPr="00EE0CD0">
              <w:t>/ac)</w:t>
            </w:r>
          </w:p>
        </w:tc>
      </w:tr>
      <w:tr w:rsidR="00152474" w:rsidRPr="0030551C" w14:paraId="496C1791"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3ACAE15F" w14:textId="77777777" w:rsidR="00152474" w:rsidRPr="00EE0CD0" w:rsidRDefault="00152474" w:rsidP="00195867">
            <w:pPr>
              <w:jc w:val="center"/>
            </w:pPr>
            <w:r w:rsidRPr="00EE0CD0">
              <w:t>0</w:t>
            </w:r>
          </w:p>
        </w:tc>
        <w:tc>
          <w:tcPr>
            <w:tcW w:w="2250" w:type="dxa"/>
            <w:noWrap/>
            <w:vAlign w:val="center"/>
            <w:hideMark/>
          </w:tcPr>
          <w:p w14:paraId="1434D214" w14:textId="77777777" w:rsidR="00152474" w:rsidRPr="00EE0CD0"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EE0CD0">
              <w:t>0.0</w:t>
            </w:r>
          </w:p>
        </w:tc>
      </w:tr>
      <w:tr w:rsidR="00152474" w:rsidRPr="0030551C" w14:paraId="780FC3E6"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52D0E865" w14:textId="77777777" w:rsidR="00152474" w:rsidRPr="00EE0CD0" w:rsidRDefault="00152474" w:rsidP="00195867">
            <w:pPr>
              <w:jc w:val="center"/>
            </w:pPr>
            <w:r w:rsidRPr="00EE0CD0">
              <w:t>10</w:t>
            </w:r>
          </w:p>
        </w:tc>
        <w:tc>
          <w:tcPr>
            <w:tcW w:w="2250" w:type="dxa"/>
            <w:noWrap/>
            <w:vAlign w:val="center"/>
            <w:hideMark/>
          </w:tcPr>
          <w:p w14:paraId="337058E9" w14:textId="77777777" w:rsidR="00152474" w:rsidRPr="00EE0CD0"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EE0CD0">
              <w:t>3.5</w:t>
            </w:r>
          </w:p>
        </w:tc>
      </w:tr>
      <w:tr w:rsidR="00152474" w:rsidRPr="0030551C" w14:paraId="6A76ADF7"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0FDB45EB" w14:textId="77777777" w:rsidR="00152474" w:rsidRPr="00EE0CD0" w:rsidRDefault="00152474" w:rsidP="00195867">
            <w:pPr>
              <w:jc w:val="center"/>
            </w:pPr>
            <w:r w:rsidRPr="00EE0CD0">
              <w:t>20</w:t>
            </w:r>
          </w:p>
        </w:tc>
        <w:tc>
          <w:tcPr>
            <w:tcW w:w="2250" w:type="dxa"/>
            <w:noWrap/>
            <w:vAlign w:val="center"/>
            <w:hideMark/>
          </w:tcPr>
          <w:p w14:paraId="6A16097B" w14:textId="77777777" w:rsidR="00152474" w:rsidRPr="00EE0CD0"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EE0CD0">
              <w:t>6.9</w:t>
            </w:r>
          </w:p>
        </w:tc>
      </w:tr>
      <w:tr w:rsidR="00152474" w:rsidRPr="0030551C" w14:paraId="0A945705"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65FCC75A" w14:textId="77777777" w:rsidR="00152474" w:rsidRPr="00EE0CD0" w:rsidRDefault="00152474" w:rsidP="00195867">
            <w:pPr>
              <w:jc w:val="center"/>
            </w:pPr>
            <w:r w:rsidRPr="00EE0CD0">
              <w:t>30</w:t>
            </w:r>
          </w:p>
        </w:tc>
        <w:tc>
          <w:tcPr>
            <w:tcW w:w="2250" w:type="dxa"/>
            <w:noWrap/>
            <w:vAlign w:val="center"/>
            <w:hideMark/>
          </w:tcPr>
          <w:p w14:paraId="2D78B3BE" w14:textId="77777777" w:rsidR="00152474" w:rsidRPr="00EE0CD0"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EE0CD0">
              <w:t>10.4</w:t>
            </w:r>
          </w:p>
        </w:tc>
      </w:tr>
      <w:tr w:rsidR="00152474" w:rsidRPr="0030551C" w14:paraId="611ABD49"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77DB09DE" w14:textId="77777777" w:rsidR="00152474" w:rsidRPr="00EE0CD0" w:rsidRDefault="00152474" w:rsidP="00195867">
            <w:pPr>
              <w:jc w:val="center"/>
            </w:pPr>
            <w:r w:rsidRPr="00EE0CD0">
              <w:t>40</w:t>
            </w:r>
          </w:p>
        </w:tc>
        <w:tc>
          <w:tcPr>
            <w:tcW w:w="2250" w:type="dxa"/>
            <w:noWrap/>
            <w:vAlign w:val="center"/>
            <w:hideMark/>
          </w:tcPr>
          <w:p w14:paraId="29168C8D" w14:textId="77777777" w:rsidR="00152474" w:rsidRPr="00EE0CD0"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EE0CD0">
              <w:t>13.8</w:t>
            </w:r>
          </w:p>
        </w:tc>
      </w:tr>
      <w:tr w:rsidR="00152474" w:rsidRPr="0030551C" w14:paraId="475C2929"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59DC7EF9" w14:textId="77777777" w:rsidR="00152474" w:rsidRPr="00EE0CD0" w:rsidRDefault="00152474" w:rsidP="00195867">
            <w:pPr>
              <w:jc w:val="center"/>
            </w:pPr>
            <w:r w:rsidRPr="00EE0CD0">
              <w:t>50</w:t>
            </w:r>
          </w:p>
        </w:tc>
        <w:tc>
          <w:tcPr>
            <w:tcW w:w="2250" w:type="dxa"/>
            <w:noWrap/>
            <w:vAlign w:val="center"/>
            <w:hideMark/>
          </w:tcPr>
          <w:p w14:paraId="7AFFEE0C" w14:textId="77777777" w:rsidR="00152474" w:rsidRPr="00EE0CD0"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EE0CD0">
              <w:t>17.3</w:t>
            </w:r>
          </w:p>
        </w:tc>
      </w:tr>
      <w:tr w:rsidR="00152474" w:rsidRPr="0030551C" w14:paraId="0D9CD3AE"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35A3EBD4" w14:textId="77777777" w:rsidR="00152474" w:rsidRPr="00EE0CD0" w:rsidRDefault="00152474" w:rsidP="00195867">
            <w:pPr>
              <w:jc w:val="center"/>
            </w:pPr>
            <w:r w:rsidRPr="00EE0CD0">
              <w:t>60</w:t>
            </w:r>
          </w:p>
        </w:tc>
        <w:tc>
          <w:tcPr>
            <w:tcW w:w="2250" w:type="dxa"/>
            <w:noWrap/>
            <w:vAlign w:val="center"/>
            <w:hideMark/>
          </w:tcPr>
          <w:p w14:paraId="6C9AE700" w14:textId="77777777" w:rsidR="00152474" w:rsidRPr="00EE0CD0"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EE0CD0">
              <w:t>20.8</w:t>
            </w:r>
          </w:p>
        </w:tc>
      </w:tr>
      <w:tr w:rsidR="00152474" w:rsidRPr="0030551C" w14:paraId="60867DD6"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5471643F" w14:textId="77777777" w:rsidR="00152474" w:rsidRPr="00EE0CD0" w:rsidRDefault="00152474" w:rsidP="00195867">
            <w:pPr>
              <w:jc w:val="center"/>
            </w:pPr>
            <w:r w:rsidRPr="00EE0CD0">
              <w:t>70</w:t>
            </w:r>
          </w:p>
        </w:tc>
        <w:tc>
          <w:tcPr>
            <w:tcW w:w="2250" w:type="dxa"/>
            <w:noWrap/>
            <w:vAlign w:val="center"/>
            <w:hideMark/>
          </w:tcPr>
          <w:p w14:paraId="1D1F9AE8" w14:textId="77777777" w:rsidR="00152474" w:rsidRPr="00EE0CD0"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EE0CD0">
              <w:t>24.2</w:t>
            </w:r>
          </w:p>
        </w:tc>
      </w:tr>
      <w:tr w:rsidR="00152474" w:rsidRPr="0030551C" w14:paraId="7236D2BA"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2296667E" w14:textId="77777777" w:rsidR="00152474" w:rsidRPr="00EE0CD0" w:rsidRDefault="00152474" w:rsidP="00195867">
            <w:pPr>
              <w:jc w:val="center"/>
            </w:pPr>
            <w:r w:rsidRPr="00EE0CD0">
              <w:t>80</w:t>
            </w:r>
          </w:p>
        </w:tc>
        <w:tc>
          <w:tcPr>
            <w:tcW w:w="2250" w:type="dxa"/>
            <w:noWrap/>
            <w:vAlign w:val="center"/>
            <w:hideMark/>
          </w:tcPr>
          <w:p w14:paraId="7EE6AAE3" w14:textId="77777777" w:rsidR="00152474" w:rsidRPr="00EE0CD0"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EE0CD0">
              <w:t>27.7</w:t>
            </w:r>
          </w:p>
        </w:tc>
      </w:tr>
      <w:tr w:rsidR="00152474" w:rsidRPr="0030551C" w14:paraId="32670575"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3C3F2AF9" w14:textId="77777777" w:rsidR="00152474" w:rsidRPr="00EE0CD0" w:rsidRDefault="00152474" w:rsidP="00195867">
            <w:pPr>
              <w:jc w:val="center"/>
            </w:pPr>
            <w:r w:rsidRPr="00EE0CD0">
              <w:t>90</w:t>
            </w:r>
          </w:p>
        </w:tc>
        <w:tc>
          <w:tcPr>
            <w:tcW w:w="2250" w:type="dxa"/>
            <w:noWrap/>
            <w:vAlign w:val="center"/>
            <w:hideMark/>
          </w:tcPr>
          <w:p w14:paraId="5E60609B" w14:textId="77777777" w:rsidR="00152474" w:rsidRPr="00EE0CD0"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EE0CD0">
              <w:t>31.1</w:t>
            </w:r>
          </w:p>
        </w:tc>
      </w:tr>
      <w:tr w:rsidR="00152474" w:rsidRPr="0030551C" w14:paraId="3E1C0F2F"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3549299A" w14:textId="77777777" w:rsidR="00152474" w:rsidRPr="00EE0CD0" w:rsidRDefault="00152474" w:rsidP="00195867">
            <w:pPr>
              <w:jc w:val="center"/>
            </w:pPr>
            <w:r w:rsidRPr="00EE0CD0">
              <w:t>100</w:t>
            </w:r>
          </w:p>
        </w:tc>
        <w:tc>
          <w:tcPr>
            <w:tcW w:w="2250" w:type="dxa"/>
            <w:noWrap/>
            <w:vAlign w:val="center"/>
            <w:hideMark/>
          </w:tcPr>
          <w:p w14:paraId="52CDD974" w14:textId="77777777" w:rsidR="00152474" w:rsidRPr="00EE0CD0"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EE0CD0">
              <w:t>34.6</w:t>
            </w:r>
          </w:p>
        </w:tc>
      </w:tr>
      <w:tr w:rsidR="00152474" w:rsidRPr="0030551C" w14:paraId="6DB723A2"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557F41F5" w14:textId="77777777" w:rsidR="00152474" w:rsidRPr="00EE0CD0" w:rsidRDefault="00152474" w:rsidP="00195867">
            <w:pPr>
              <w:jc w:val="center"/>
            </w:pPr>
            <w:r w:rsidRPr="00EE0CD0">
              <w:t>110</w:t>
            </w:r>
          </w:p>
        </w:tc>
        <w:tc>
          <w:tcPr>
            <w:tcW w:w="2250" w:type="dxa"/>
            <w:noWrap/>
            <w:vAlign w:val="center"/>
            <w:hideMark/>
          </w:tcPr>
          <w:p w14:paraId="0E124393" w14:textId="77777777" w:rsidR="00152474" w:rsidRPr="00EE0CD0"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EE0CD0">
              <w:t>38.1</w:t>
            </w:r>
          </w:p>
        </w:tc>
      </w:tr>
      <w:tr w:rsidR="00152474" w:rsidRPr="0030551C" w14:paraId="56D47CEC"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25DEF7C3" w14:textId="77777777" w:rsidR="00152474" w:rsidRPr="00EE0CD0" w:rsidRDefault="00152474" w:rsidP="00195867">
            <w:pPr>
              <w:jc w:val="center"/>
            </w:pPr>
            <w:r w:rsidRPr="00EE0CD0">
              <w:t>120</w:t>
            </w:r>
          </w:p>
        </w:tc>
        <w:tc>
          <w:tcPr>
            <w:tcW w:w="2250" w:type="dxa"/>
            <w:noWrap/>
            <w:vAlign w:val="center"/>
            <w:hideMark/>
          </w:tcPr>
          <w:p w14:paraId="75D3BBB1" w14:textId="77777777" w:rsidR="00152474" w:rsidRPr="00EE0CD0"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EE0CD0">
              <w:t>41.5</w:t>
            </w:r>
          </w:p>
        </w:tc>
      </w:tr>
      <w:tr w:rsidR="00152474" w:rsidRPr="0030551C" w14:paraId="0C8326FA"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30C93AE2" w14:textId="77777777" w:rsidR="00152474" w:rsidRPr="00EE0CD0" w:rsidRDefault="00152474" w:rsidP="00195867">
            <w:pPr>
              <w:jc w:val="center"/>
            </w:pPr>
            <w:r w:rsidRPr="00EE0CD0">
              <w:t>130</w:t>
            </w:r>
          </w:p>
        </w:tc>
        <w:tc>
          <w:tcPr>
            <w:tcW w:w="2250" w:type="dxa"/>
            <w:noWrap/>
            <w:vAlign w:val="center"/>
            <w:hideMark/>
          </w:tcPr>
          <w:p w14:paraId="32E4BF14" w14:textId="77777777" w:rsidR="00152474" w:rsidRPr="00EE0CD0"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EE0CD0">
              <w:t>45.0</w:t>
            </w:r>
          </w:p>
        </w:tc>
      </w:tr>
      <w:tr w:rsidR="00152474" w:rsidRPr="0030551C" w14:paraId="47E326F2"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1E7B0DF4" w14:textId="77777777" w:rsidR="00152474" w:rsidRPr="00EE0CD0" w:rsidRDefault="00152474" w:rsidP="00195867">
            <w:pPr>
              <w:jc w:val="center"/>
            </w:pPr>
            <w:r w:rsidRPr="00EE0CD0">
              <w:t>140</w:t>
            </w:r>
          </w:p>
        </w:tc>
        <w:tc>
          <w:tcPr>
            <w:tcW w:w="2250" w:type="dxa"/>
            <w:noWrap/>
            <w:vAlign w:val="center"/>
            <w:hideMark/>
          </w:tcPr>
          <w:p w14:paraId="71D307E7" w14:textId="77777777" w:rsidR="00152474" w:rsidRPr="00EE0CD0"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EE0CD0">
              <w:t>48.4</w:t>
            </w:r>
          </w:p>
        </w:tc>
      </w:tr>
      <w:tr w:rsidR="00152474" w:rsidRPr="0030551C" w14:paraId="0B31FF43"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7059FFD5" w14:textId="77777777" w:rsidR="00152474" w:rsidRPr="00EE0CD0" w:rsidRDefault="00152474" w:rsidP="00195867">
            <w:pPr>
              <w:jc w:val="center"/>
            </w:pPr>
            <w:r w:rsidRPr="00EE0CD0">
              <w:t>150</w:t>
            </w:r>
          </w:p>
        </w:tc>
        <w:tc>
          <w:tcPr>
            <w:tcW w:w="2250" w:type="dxa"/>
            <w:noWrap/>
            <w:vAlign w:val="center"/>
            <w:hideMark/>
          </w:tcPr>
          <w:p w14:paraId="47B87A20" w14:textId="77777777" w:rsidR="00152474" w:rsidRPr="00EE0CD0"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EE0CD0">
              <w:t>51.9</w:t>
            </w:r>
          </w:p>
        </w:tc>
      </w:tr>
      <w:tr w:rsidR="00152474" w:rsidRPr="0030551C" w14:paraId="79919E02"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181A5475" w14:textId="77777777" w:rsidR="00152474" w:rsidRPr="00EE0CD0" w:rsidRDefault="00152474" w:rsidP="00195867">
            <w:pPr>
              <w:jc w:val="center"/>
            </w:pPr>
            <w:r w:rsidRPr="00EE0CD0">
              <w:t>160</w:t>
            </w:r>
          </w:p>
        </w:tc>
        <w:tc>
          <w:tcPr>
            <w:tcW w:w="2250" w:type="dxa"/>
            <w:noWrap/>
            <w:vAlign w:val="center"/>
            <w:hideMark/>
          </w:tcPr>
          <w:p w14:paraId="4526B8F0" w14:textId="77777777" w:rsidR="00152474" w:rsidRPr="00EE0CD0"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EE0CD0">
              <w:t>55.4</w:t>
            </w:r>
          </w:p>
        </w:tc>
      </w:tr>
      <w:tr w:rsidR="00152474" w:rsidRPr="0030551C" w14:paraId="4208D2CD"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6267B639" w14:textId="77777777" w:rsidR="00152474" w:rsidRPr="00EE0CD0" w:rsidRDefault="00152474" w:rsidP="00195867">
            <w:pPr>
              <w:jc w:val="center"/>
            </w:pPr>
            <w:r w:rsidRPr="00EE0CD0">
              <w:t>170</w:t>
            </w:r>
          </w:p>
        </w:tc>
        <w:tc>
          <w:tcPr>
            <w:tcW w:w="2250" w:type="dxa"/>
            <w:noWrap/>
            <w:vAlign w:val="center"/>
            <w:hideMark/>
          </w:tcPr>
          <w:p w14:paraId="3FC6A085" w14:textId="77777777" w:rsidR="00152474" w:rsidRPr="00EE0CD0"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EE0CD0">
              <w:t>58.8</w:t>
            </w:r>
          </w:p>
        </w:tc>
      </w:tr>
      <w:tr w:rsidR="00152474" w:rsidRPr="0030551C" w14:paraId="22BBBA98"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678BDD0F" w14:textId="77777777" w:rsidR="00152474" w:rsidRPr="00EE0CD0" w:rsidRDefault="00152474" w:rsidP="00195867">
            <w:pPr>
              <w:jc w:val="center"/>
            </w:pPr>
            <w:r w:rsidRPr="00EE0CD0">
              <w:t>180</w:t>
            </w:r>
          </w:p>
        </w:tc>
        <w:tc>
          <w:tcPr>
            <w:tcW w:w="2250" w:type="dxa"/>
            <w:noWrap/>
            <w:vAlign w:val="center"/>
            <w:hideMark/>
          </w:tcPr>
          <w:p w14:paraId="7BAC7970" w14:textId="77777777" w:rsidR="00152474" w:rsidRPr="00EE0CD0"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EE0CD0">
              <w:t>62.3</w:t>
            </w:r>
          </w:p>
        </w:tc>
      </w:tr>
      <w:tr w:rsidR="00152474" w:rsidRPr="0030551C" w14:paraId="4046B206"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16F22B45" w14:textId="77777777" w:rsidR="00152474" w:rsidRPr="00EE0CD0" w:rsidRDefault="00152474" w:rsidP="00195867">
            <w:pPr>
              <w:jc w:val="center"/>
            </w:pPr>
            <w:r w:rsidRPr="00EE0CD0">
              <w:t>190</w:t>
            </w:r>
          </w:p>
        </w:tc>
        <w:tc>
          <w:tcPr>
            <w:tcW w:w="2250" w:type="dxa"/>
            <w:noWrap/>
            <w:vAlign w:val="center"/>
            <w:hideMark/>
          </w:tcPr>
          <w:p w14:paraId="6372A592" w14:textId="77777777" w:rsidR="00152474" w:rsidRPr="00EE0CD0"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EE0CD0">
              <w:t>65.8</w:t>
            </w:r>
          </w:p>
        </w:tc>
      </w:tr>
      <w:tr w:rsidR="00152474" w:rsidRPr="0030551C" w14:paraId="12BB0FB3"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73285DCD" w14:textId="77777777" w:rsidR="00152474" w:rsidRPr="00EE0CD0" w:rsidRDefault="00152474" w:rsidP="00195867">
            <w:pPr>
              <w:jc w:val="center"/>
            </w:pPr>
            <w:r w:rsidRPr="00EE0CD0">
              <w:t>200</w:t>
            </w:r>
          </w:p>
        </w:tc>
        <w:tc>
          <w:tcPr>
            <w:tcW w:w="2250" w:type="dxa"/>
            <w:noWrap/>
            <w:vAlign w:val="center"/>
            <w:hideMark/>
          </w:tcPr>
          <w:p w14:paraId="6EA38891" w14:textId="77777777" w:rsidR="00152474" w:rsidRPr="00EE0CD0"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EE0CD0">
              <w:t>69.2</w:t>
            </w:r>
          </w:p>
        </w:tc>
      </w:tr>
      <w:tr w:rsidR="00152474" w:rsidRPr="0030551C" w14:paraId="547DE7FA"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2D560498" w14:textId="77777777" w:rsidR="00152474" w:rsidRPr="00EE0CD0" w:rsidRDefault="00152474" w:rsidP="00195867">
            <w:pPr>
              <w:jc w:val="center"/>
            </w:pPr>
            <w:r w:rsidRPr="00EE0CD0">
              <w:t>210</w:t>
            </w:r>
          </w:p>
        </w:tc>
        <w:tc>
          <w:tcPr>
            <w:tcW w:w="2250" w:type="dxa"/>
            <w:noWrap/>
            <w:vAlign w:val="center"/>
            <w:hideMark/>
          </w:tcPr>
          <w:p w14:paraId="57FB0865" w14:textId="77777777" w:rsidR="00152474" w:rsidRPr="00EE0CD0"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EE0CD0">
              <w:t>72.7</w:t>
            </w:r>
          </w:p>
        </w:tc>
      </w:tr>
      <w:tr w:rsidR="00152474" w:rsidRPr="0030551C" w14:paraId="2AFB5BA9"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7D394120" w14:textId="77777777" w:rsidR="00152474" w:rsidRPr="00EE0CD0" w:rsidRDefault="00152474" w:rsidP="00195867">
            <w:pPr>
              <w:jc w:val="center"/>
            </w:pPr>
            <w:r w:rsidRPr="00EE0CD0">
              <w:t>220</w:t>
            </w:r>
          </w:p>
        </w:tc>
        <w:tc>
          <w:tcPr>
            <w:tcW w:w="2250" w:type="dxa"/>
            <w:noWrap/>
            <w:vAlign w:val="center"/>
            <w:hideMark/>
          </w:tcPr>
          <w:p w14:paraId="18846AA1" w14:textId="77777777" w:rsidR="00152474" w:rsidRPr="00EE0CD0"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EE0CD0">
              <w:t>76.1</w:t>
            </w:r>
          </w:p>
        </w:tc>
      </w:tr>
      <w:tr w:rsidR="00152474" w:rsidRPr="0030551C" w14:paraId="717BB0D5"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07F82C94" w14:textId="77777777" w:rsidR="00152474" w:rsidRPr="00EE0CD0" w:rsidRDefault="00152474" w:rsidP="00195867">
            <w:pPr>
              <w:jc w:val="center"/>
            </w:pPr>
            <w:r w:rsidRPr="00EE0CD0">
              <w:t>230</w:t>
            </w:r>
          </w:p>
        </w:tc>
        <w:tc>
          <w:tcPr>
            <w:tcW w:w="2250" w:type="dxa"/>
            <w:noWrap/>
            <w:vAlign w:val="center"/>
            <w:hideMark/>
          </w:tcPr>
          <w:p w14:paraId="56D2D67F" w14:textId="77777777" w:rsidR="00152474" w:rsidRPr="00EE0CD0"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EE0CD0">
              <w:t>79.6</w:t>
            </w:r>
          </w:p>
        </w:tc>
      </w:tr>
      <w:tr w:rsidR="00152474" w:rsidRPr="0030551C" w14:paraId="1BB608FB"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313BCE65" w14:textId="77777777" w:rsidR="00152474" w:rsidRPr="00EE0CD0" w:rsidRDefault="00152474" w:rsidP="00195867">
            <w:pPr>
              <w:jc w:val="center"/>
            </w:pPr>
            <w:r w:rsidRPr="00EE0CD0">
              <w:t>240</w:t>
            </w:r>
          </w:p>
        </w:tc>
        <w:tc>
          <w:tcPr>
            <w:tcW w:w="2250" w:type="dxa"/>
            <w:noWrap/>
            <w:vAlign w:val="center"/>
            <w:hideMark/>
          </w:tcPr>
          <w:p w14:paraId="5E69CBA3" w14:textId="77777777" w:rsidR="00152474" w:rsidRPr="00EE0CD0"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EE0CD0">
              <w:t>83.1</w:t>
            </w:r>
          </w:p>
        </w:tc>
      </w:tr>
      <w:tr w:rsidR="00152474" w:rsidRPr="0030551C" w14:paraId="3BA081C8"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318333B7" w14:textId="77777777" w:rsidR="00152474" w:rsidRPr="00EE0CD0" w:rsidRDefault="00152474" w:rsidP="00195867">
            <w:pPr>
              <w:jc w:val="center"/>
            </w:pPr>
            <w:r w:rsidRPr="00EE0CD0">
              <w:t>250</w:t>
            </w:r>
          </w:p>
        </w:tc>
        <w:tc>
          <w:tcPr>
            <w:tcW w:w="2250" w:type="dxa"/>
            <w:noWrap/>
            <w:vAlign w:val="center"/>
            <w:hideMark/>
          </w:tcPr>
          <w:p w14:paraId="1163C59B" w14:textId="77777777" w:rsidR="00152474" w:rsidRPr="00EE0CD0"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EE0CD0">
              <w:t>86.5</w:t>
            </w:r>
          </w:p>
        </w:tc>
      </w:tr>
      <w:tr w:rsidR="00152474" w:rsidRPr="0030551C" w14:paraId="52F445A3"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179FB185" w14:textId="77777777" w:rsidR="00152474" w:rsidRPr="00EE0CD0" w:rsidRDefault="00152474" w:rsidP="00195867">
            <w:pPr>
              <w:jc w:val="center"/>
            </w:pPr>
            <w:r w:rsidRPr="00EE0CD0">
              <w:t>260</w:t>
            </w:r>
          </w:p>
        </w:tc>
        <w:tc>
          <w:tcPr>
            <w:tcW w:w="2250" w:type="dxa"/>
            <w:noWrap/>
            <w:vAlign w:val="center"/>
            <w:hideMark/>
          </w:tcPr>
          <w:p w14:paraId="646A0951" w14:textId="77777777" w:rsidR="00152474" w:rsidRPr="00EE0CD0"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EE0CD0">
              <w:t>90.0</w:t>
            </w:r>
          </w:p>
        </w:tc>
      </w:tr>
      <w:tr w:rsidR="00152474" w:rsidRPr="0030551C" w14:paraId="2B2DC00E"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0020568F" w14:textId="77777777" w:rsidR="00152474" w:rsidRPr="00EE0CD0" w:rsidRDefault="00152474" w:rsidP="00195867">
            <w:pPr>
              <w:jc w:val="center"/>
            </w:pPr>
            <w:r w:rsidRPr="00EE0CD0">
              <w:t>270</w:t>
            </w:r>
          </w:p>
        </w:tc>
        <w:tc>
          <w:tcPr>
            <w:tcW w:w="2250" w:type="dxa"/>
            <w:noWrap/>
            <w:vAlign w:val="center"/>
            <w:hideMark/>
          </w:tcPr>
          <w:p w14:paraId="73A56557" w14:textId="77777777" w:rsidR="00152474" w:rsidRPr="00EE0CD0"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EE0CD0">
              <w:t>93.4</w:t>
            </w:r>
          </w:p>
        </w:tc>
      </w:tr>
      <w:tr w:rsidR="00152474" w:rsidRPr="0030551C" w14:paraId="1E945CBD"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152DAE48" w14:textId="77777777" w:rsidR="00152474" w:rsidRPr="00EE0CD0" w:rsidRDefault="00152474" w:rsidP="00195867">
            <w:pPr>
              <w:jc w:val="center"/>
            </w:pPr>
            <w:r w:rsidRPr="00EE0CD0">
              <w:t>280</w:t>
            </w:r>
          </w:p>
        </w:tc>
        <w:tc>
          <w:tcPr>
            <w:tcW w:w="2250" w:type="dxa"/>
            <w:noWrap/>
            <w:vAlign w:val="center"/>
            <w:hideMark/>
          </w:tcPr>
          <w:p w14:paraId="1483C7CA" w14:textId="77777777" w:rsidR="00152474" w:rsidRPr="00EE0CD0"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EE0CD0">
              <w:t>96.9</w:t>
            </w:r>
          </w:p>
        </w:tc>
      </w:tr>
      <w:tr w:rsidR="00152474" w:rsidRPr="0030551C" w14:paraId="49627237"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3CB675A8" w14:textId="77777777" w:rsidR="00152474" w:rsidRPr="00EE0CD0" w:rsidRDefault="00152474" w:rsidP="00195867">
            <w:pPr>
              <w:jc w:val="center"/>
            </w:pPr>
            <w:r w:rsidRPr="00EE0CD0">
              <w:t>290</w:t>
            </w:r>
          </w:p>
        </w:tc>
        <w:tc>
          <w:tcPr>
            <w:tcW w:w="2250" w:type="dxa"/>
            <w:noWrap/>
            <w:vAlign w:val="center"/>
            <w:hideMark/>
          </w:tcPr>
          <w:p w14:paraId="3ECC944F" w14:textId="77777777" w:rsidR="00152474" w:rsidRPr="00EE0CD0"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EE0CD0">
              <w:t>100.4</w:t>
            </w:r>
          </w:p>
        </w:tc>
      </w:tr>
      <w:tr w:rsidR="00152474" w:rsidRPr="0030551C" w14:paraId="4FA59C02"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60C487D0" w14:textId="77777777" w:rsidR="00152474" w:rsidRPr="00EE0CD0" w:rsidRDefault="00152474" w:rsidP="00195867">
            <w:pPr>
              <w:jc w:val="center"/>
            </w:pPr>
            <w:r w:rsidRPr="00EE0CD0">
              <w:t>300</w:t>
            </w:r>
          </w:p>
        </w:tc>
        <w:tc>
          <w:tcPr>
            <w:tcW w:w="2250" w:type="dxa"/>
            <w:noWrap/>
            <w:vAlign w:val="center"/>
            <w:hideMark/>
          </w:tcPr>
          <w:p w14:paraId="6E9B1C9D" w14:textId="77777777" w:rsidR="00152474"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EE0CD0">
              <w:t>103.8</w:t>
            </w:r>
          </w:p>
        </w:tc>
      </w:tr>
    </w:tbl>
    <w:p w14:paraId="1F5EE500" w14:textId="45509F25" w:rsidR="00152474" w:rsidRPr="000B0CA1" w:rsidRDefault="00152474" w:rsidP="00152474">
      <w:pPr>
        <w:jc w:val="center"/>
        <w:rPr>
          <w:b/>
        </w:rPr>
      </w:pPr>
      <w:r w:rsidRPr="000B0CA1">
        <w:rPr>
          <w:b/>
        </w:rPr>
        <w:t xml:space="preserve">Table </w:t>
      </w:r>
      <w:r w:rsidR="008E31F4">
        <w:rPr>
          <w:b/>
        </w:rPr>
        <w:t>5</w:t>
      </w:r>
      <w:r w:rsidRPr="000B0CA1">
        <w:rPr>
          <w:b/>
        </w:rPr>
        <w:t xml:space="preserve">: Predicted Live Tree Carbon Stock by </w:t>
      </w:r>
      <w:r>
        <w:rPr>
          <w:b/>
        </w:rPr>
        <w:t>B</w:t>
      </w:r>
      <w:r w:rsidRPr="000B0CA1">
        <w:rPr>
          <w:b/>
        </w:rPr>
        <w:t xml:space="preserve">asal </w:t>
      </w:r>
      <w:r>
        <w:rPr>
          <w:b/>
        </w:rPr>
        <w:t>A</w:t>
      </w:r>
      <w:r w:rsidRPr="000B0CA1">
        <w:rPr>
          <w:b/>
        </w:rPr>
        <w:t xml:space="preserve">rea   </w:t>
      </w:r>
    </w:p>
    <w:tbl>
      <w:tblPr>
        <w:tblStyle w:val="GridTable2"/>
        <w:tblpPr w:leftFromText="180" w:rightFromText="180" w:vertAnchor="text" w:horzAnchor="margin" w:tblpXSpec="right" w:tblpYSpec="center"/>
        <w:tblW w:w="4770" w:type="dxa"/>
        <w:tblLook w:val="04A0" w:firstRow="1" w:lastRow="0" w:firstColumn="1" w:lastColumn="0" w:noHBand="0" w:noVBand="1"/>
      </w:tblPr>
      <w:tblGrid>
        <w:gridCol w:w="1139"/>
        <w:gridCol w:w="1491"/>
        <w:gridCol w:w="2140"/>
      </w:tblGrid>
      <w:tr w:rsidR="00152474" w:rsidRPr="0052448B" w14:paraId="74A582D9" w14:textId="77777777" w:rsidTr="00751819">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vAlign w:val="bottom"/>
            <w:hideMark/>
          </w:tcPr>
          <w:p w14:paraId="1683F689" w14:textId="77777777" w:rsidR="00152474" w:rsidRPr="004D7B26" w:rsidRDefault="00152474" w:rsidP="00195867">
            <w:pPr>
              <w:jc w:val="center"/>
            </w:pPr>
            <w:r w:rsidRPr="004D7B26">
              <w:t>Percentile</w:t>
            </w:r>
          </w:p>
        </w:tc>
        <w:tc>
          <w:tcPr>
            <w:tcW w:w="1491" w:type="dxa"/>
            <w:noWrap/>
            <w:vAlign w:val="bottom"/>
            <w:hideMark/>
          </w:tcPr>
          <w:p w14:paraId="5F95AED3" w14:textId="77777777" w:rsidR="00152474" w:rsidRPr="004D7B26" w:rsidRDefault="00152474" w:rsidP="00195867">
            <w:pPr>
              <w:jc w:val="center"/>
              <w:cnfStyle w:val="100000000000" w:firstRow="1" w:lastRow="0" w:firstColumn="0" w:lastColumn="0" w:oddVBand="0" w:evenVBand="0" w:oddHBand="0" w:evenHBand="0" w:firstRowFirstColumn="0" w:firstRowLastColumn="0" w:lastRowFirstColumn="0" w:lastRowLastColumn="0"/>
            </w:pPr>
            <w:r w:rsidRPr="004D7B26">
              <w:t>BA (ft²/ac)</w:t>
            </w:r>
          </w:p>
        </w:tc>
        <w:tc>
          <w:tcPr>
            <w:tcW w:w="2140" w:type="dxa"/>
            <w:noWrap/>
            <w:vAlign w:val="bottom"/>
            <w:hideMark/>
          </w:tcPr>
          <w:p w14:paraId="0C60B251" w14:textId="5BA34AB8" w:rsidR="00152474" w:rsidRPr="004D7B26" w:rsidRDefault="00152474" w:rsidP="00195867">
            <w:pPr>
              <w:jc w:val="center"/>
              <w:cnfStyle w:val="100000000000" w:firstRow="1" w:lastRow="0" w:firstColumn="0" w:lastColumn="0" w:oddVBand="0" w:evenVBand="0" w:oddHBand="0" w:evenHBand="0" w:firstRowFirstColumn="0" w:firstRowLastColumn="0" w:lastRowFirstColumn="0" w:lastRowLastColumn="0"/>
            </w:pPr>
            <w:r w:rsidRPr="004D7B26">
              <w:t>C Prediction (t</w:t>
            </w:r>
            <w:r w:rsidR="00F91B04">
              <w:t>o</w:t>
            </w:r>
            <w:r w:rsidR="00D93181">
              <w:t>n</w:t>
            </w:r>
            <w:r w:rsidRPr="004D7B26">
              <w:t>/ac)</w:t>
            </w:r>
          </w:p>
        </w:tc>
      </w:tr>
      <w:tr w:rsidR="00152474" w:rsidRPr="0052448B" w14:paraId="57055C08"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vAlign w:val="center"/>
            <w:hideMark/>
          </w:tcPr>
          <w:p w14:paraId="0C99AC3B" w14:textId="77777777" w:rsidR="00152474" w:rsidRPr="004D7B26" w:rsidRDefault="00152474" w:rsidP="00195867">
            <w:pPr>
              <w:jc w:val="center"/>
            </w:pPr>
            <w:r w:rsidRPr="004D7B26">
              <w:t>0</w:t>
            </w:r>
          </w:p>
        </w:tc>
        <w:tc>
          <w:tcPr>
            <w:tcW w:w="1491" w:type="dxa"/>
            <w:noWrap/>
            <w:vAlign w:val="center"/>
            <w:hideMark/>
          </w:tcPr>
          <w:p w14:paraId="7E710E66" w14:textId="77777777" w:rsidR="00152474" w:rsidRPr="004D7B26"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4D7B26">
              <w:t>0.0</w:t>
            </w:r>
          </w:p>
        </w:tc>
        <w:tc>
          <w:tcPr>
            <w:tcW w:w="2140" w:type="dxa"/>
            <w:noWrap/>
            <w:vAlign w:val="center"/>
            <w:hideMark/>
          </w:tcPr>
          <w:p w14:paraId="52425D62" w14:textId="77777777" w:rsidR="00152474" w:rsidRPr="004D7B26"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4D7B26">
              <w:t>0.0</w:t>
            </w:r>
          </w:p>
        </w:tc>
      </w:tr>
      <w:tr w:rsidR="00152474" w:rsidRPr="0052448B" w14:paraId="3EE3C32F"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139" w:type="dxa"/>
            <w:noWrap/>
            <w:vAlign w:val="center"/>
            <w:hideMark/>
          </w:tcPr>
          <w:p w14:paraId="03A87A2C" w14:textId="77777777" w:rsidR="00152474" w:rsidRPr="004D7B26" w:rsidRDefault="00152474" w:rsidP="00195867">
            <w:pPr>
              <w:jc w:val="center"/>
            </w:pPr>
            <w:r w:rsidRPr="004D7B26">
              <w:t>1</w:t>
            </w:r>
          </w:p>
        </w:tc>
        <w:tc>
          <w:tcPr>
            <w:tcW w:w="1491" w:type="dxa"/>
            <w:noWrap/>
            <w:vAlign w:val="center"/>
            <w:hideMark/>
          </w:tcPr>
          <w:p w14:paraId="7163A699" w14:textId="77777777" w:rsidR="00152474" w:rsidRPr="004D7B26"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4D7B26">
              <w:t>7.0</w:t>
            </w:r>
          </w:p>
        </w:tc>
        <w:tc>
          <w:tcPr>
            <w:tcW w:w="2140" w:type="dxa"/>
            <w:noWrap/>
            <w:vAlign w:val="center"/>
            <w:hideMark/>
          </w:tcPr>
          <w:p w14:paraId="16FB39C4" w14:textId="77777777" w:rsidR="00152474" w:rsidRPr="004D7B26"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4D7B26">
              <w:t>2.4</w:t>
            </w:r>
          </w:p>
        </w:tc>
      </w:tr>
      <w:tr w:rsidR="00152474" w:rsidRPr="0052448B" w14:paraId="2CAEDB9D"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vAlign w:val="center"/>
            <w:hideMark/>
          </w:tcPr>
          <w:p w14:paraId="42C3B7A4" w14:textId="77777777" w:rsidR="00152474" w:rsidRPr="004D7B26" w:rsidRDefault="00152474" w:rsidP="00195867">
            <w:pPr>
              <w:jc w:val="center"/>
            </w:pPr>
            <w:r w:rsidRPr="004D7B26">
              <w:t>2</w:t>
            </w:r>
          </w:p>
        </w:tc>
        <w:tc>
          <w:tcPr>
            <w:tcW w:w="1491" w:type="dxa"/>
            <w:noWrap/>
            <w:vAlign w:val="center"/>
            <w:hideMark/>
          </w:tcPr>
          <w:p w14:paraId="6968F90D" w14:textId="77777777" w:rsidR="00152474" w:rsidRPr="004D7B26"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4D7B26">
              <w:t>14.6</w:t>
            </w:r>
          </w:p>
        </w:tc>
        <w:tc>
          <w:tcPr>
            <w:tcW w:w="2140" w:type="dxa"/>
            <w:noWrap/>
            <w:vAlign w:val="center"/>
            <w:hideMark/>
          </w:tcPr>
          <w:p w14:paraId="7B2745D4" w14:textId="77777777" w:rsidR="00152474" w:rsidRPr="004D7B26"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4D7B26">
              <w:t>5.0</w:t>
            </w:r>
          </w:p>
        </w:tc>
      </w:tr>
      <w:tr w:rsidR="00152474" w:rsidRPr="0052448B" w14:paraId="76CA9D42"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139" w:type="dxa"/>
            <w:noWrap/>
            <w:vAlign w:val="center"/>
            <w:hideMark/>
          </w:tcPr>
          <w:p w14:paraId="4B2BEAC7" w14:textId="77777777" w:rsidR="00152474" w:rsidRPr="004D7B26" w:rsidRDefault="00152474" w:rsidP="00195867">
            <w:pPr>
              <w:jc w:val="center"/>
            </w:pPr>
            <w:r w:rsidRPr="004D7B26">
              <w:t>3</w:t>
            </w:r>
          </w:p>
        </w:tc>
        <w:tc>
          <w:tcPr>
            <w:tcW w:w="1491" w:type="dxa"/>
            <w:noWrap/>
            <w:vAlign w:val="center"/>
            <w:hideMark/>
          </w:tcPr>
          <w:p w14:paraId="6EDABED7" w14:textId="77777777" w:rsidR="00152474" w:rsidRPr="004D7B26"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4D7B26">
              <w:t>24.1</w:t>
            </w:r>
          </w:p>
        </w:tc>
        <w:tc>
          <w:tcPr>
            <w:tcW w:w="2140" w:type="dxa"/>
            <w:noWrap/>
            <w:vAlign w:val="center"/>
            <w:hideMark/>
          </w:tcPr>
          <w:p w14:paraId="58D8232F" w14:textId="77777777" w:rsidR="00152474" w:rsidRPr="004D7B26"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4D7B26">
              <w:t>8.3</w:t>
            </w:r>
          </w:p>
        </w:tc>
      </w:tr>
      <w:tr w:rsidR="00152474" w:rsidRPr="0052448B" w14:paraId="7A07E360"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vAlign w:val="center"/>
            <w:hideMark/>
          </w:tcPr>
          <w:p w14:paraId="55FFEF5A" w14:textId="77777777" w:rsidR="00152474" w:rsidRPr="004D7B26" w:rsidRDefault="00152474" w:rsidP="00195867">
            <w:pPr>
              <w:jc w:val="center"/>
            </w:pPr>
            <w:r w:rsidRPr="004D7B26">
              <w:t>4</w:t>
            </w:r>
          </w:p>
        </w:tc>
        <w:tc>
          <w:tcPr>
            <w:tcW w:w="1491" w:type="dxa"/>
            <w:noWrap/>
            <w:vAlign w:val="center"/>
            <w:hideMark/>
          </w:tcPr>
          <w:p w14:paraId="568E2BA2" w14:textId="77777777" w:rsidR="00152474" w:rsidRPr="004D7B26"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4D7B26">
              <w:t>34.0</w:t>
            </w:r>
          </w:p>
        </w:tc>
        <w:tc>
          <w:tcPr>
            <w:tcW w:w="2140" w:type="dxa"/>
            <w:noWrap/>
            <w:vAlign w:val="center"/>
            <w:hideMark/>
          </w:tcPr>
          <w:p w14:paraId="272CBAD2" w14:textId="77777777" w:rsidR="00152474" w:rsidRPr="004D7B26"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4D7B26">
              <w:t>11.8</w:t>
            </w:r>
          </w:p>
        </w:tc>
      </w:tr>
      <w:tr w:rsidR="00152474" w:rsidRPr="0052448B" w14:paraId="57E66AF3"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139" w:type="dxa"/>
            <w:noWrap/>
            <w:vAlign w:val="center"/>
            <w:hideMark/>
          </w:tcPr>
          <w:p w14:paraId="1BAAD8F5" w14:textId="77777777" w:rsidR="00152474" w:rsidRPr="004D7B26" w:rsidRDefault="00152474" w:rsidP="00195867">
            <w:pPr>
              <w:jc w:val="center"/>
            </w:pPr>
            <w:r w:rsidRPr="004D7B26">
              <w:t>5</w:t>
            </w:r>
          </w:p>
        </w:tc>
        <w:tc>
          <w:tcPr>
            <w:tcW w:w="1491" w:type="dxa"/>
            <w:noWrap/>
            <w:vAlign w:val="center"/>
            <w:hideMark/>
          </w:tcPr>
          <w:p w14:paraId="0451E4E2" w14:textId="77777777" w:rsidR="00152474" w:rsidRPr="004D7B26"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4D7B26">
              <w:t>44.3</w:t>
            </w:r>
          </w:p>
        </w:tc>
        <w:tc>
          <w:tcPr>
            <w:tcW w:w="2140" w:type="dxa"/>
            <w:noWrap/>
            <w:vAlign w:val="center"/>
            <w:hideMark/>
          </w:tcPr>
          <w:p w14:paraId="54C65637" w14:textId="77777777" w:rsidR="00152474" w:rsidRPr="004D7B26"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4D7B26">
              <w:t>15.3</w:t>
            </w:r>
          </w:p>
        </w:tc>
      </w:tr>
      <w:tr w:rsidR="00152474" w:rsidRPr="0052448B" w14:paraId="30551B34"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vAlign w:val="center"/>
            <w:hideMark/>
          </w:tcPr>
          <w:p w14:paraId="3DA1C67E" w14:textId="77777777" w:rsidR="00152474" w:rsidRPr="004D7B26" w:rsidRDefault="00152474" w:rsidP="00195867">
            <w:pPr>
              <w:jc w:val="center"/>
            </w:pPr>
            <w:r w:rsidRPr="004D7B26">
              <w:t>10</w:t>
            </w:r>
          </w:p>
        </w:tc>
        <w:tc>
          <w:tcPr>
            <w:tcW w:w="1491" w:type="dxa"/>
            <w:noWrap/>
            <w:vAlign w:val="center"/>
            <w:hideMark/>
          </w:tcPr>
          <w:p w14:paraId="02489DEE" w14:textId="77777777" w:rsidR="00152474" w:rsidRPr="004D7B26"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4D7B26">
              <w:t>65.3</w:t>
            </w:r>
          </w:p>
        </w:tc>
        <w:tc>
          <w:tcPr>
            <w:tcW w:w="2140" w:type="dxa"/>
            <w:noWrap/>
            <w:vAlign w:val="center"/>
            <w:hideMark/>
          </w:tcPr>
          <w:p w14:paraId="36DF51E2" w14:textId="77777777" w:rsidR="00152474" w:rsidRPr="004D7B26"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4D7B26">
              <w:t>22.6</w:t>
            </w:r>
          </w:p>
        </w:tc>
      </w:tr>
      <w:tr w:rsidR="00152474" w:rsidRPr="0052448B" w14:paraId="1D2B3ECF"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139" w:type="dxa"/>
            <w:noWrap/>
            <w:vAlign w:val="center"/>
            <w:hideMark/>
          </w:tcPr>
          <w:p w14:paraId="4C016B0A" w14:textId="77777777" w:rsidR="00152474" w:rsidRPr="004D7B26" w:rsidRDefault="00152474" w:rsidP="00195867">
            <w:pPr>
              <w:jc w:val="center"/>
            </w:pPr>
            <w:r w:rsidRPr="004D7B26">
              <w:t>15</w:t>
            </w:r>
          </w:p>
        </w:tc>
        <w:tc>
          <w:tcPr>
            <w:tcW w:w="1491" w:type="dxa"/>
            <w:noWrap/>
            <w:vAlign w:val="center"/>
            <w:hideMark/>
          </w:tcPr>
          <w:p w14:paraId="6D742D9B" w14:textId="77777777" w:rsidR="00152474" w:rsidRPr="004D7B26"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4D7B26">
              <w:t>80.3</w:t>
            </w:r>
          </w:p>
        </w:tc>
        <w:tc>
          <w:tcPr>
            <w:tcW w:w="2140" w:type="dxa"/>
            <w:noWrap/>
            <w:vAlign w:val="center"/>
            <w:hideMark/>
          </w:tcPr>
          <w:p w14:paraId="1D067E62" w14:textId="77777777" w:rsidR="00152474" w:rsidRPr="004D7B26"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4D7B26">
              <w:t>27.8</w:t>
            </w:r>
          </w:p>
        </w:tc>
      </w:tr>
      <w:tr w:rsidR="00152474" w:rsidRPr="0052448B" w14:paraId="5CCBDD09"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vAlign w:val="center"/>
            <w:hideMark/>
          </w:tcPr>
          <w:p w14:paraId="1F15506F" w14:textId="77777777" w:rsidR="00152474" w:rsidRPr="004D7B26" w:rsidRDefault="00152474" w:rsidP="00195867">
            <w:pPr>
              <w:jc w:val="center"/>
            </w:pPr>
            <w:r w:rsidRPr="004D7B26">
              <w:t>20</w:t>
            </w:r>
          </w:p>
        </w:tc>
        <w:tc>
          <w:tcPr>
            <w:tcW w:w="1491" w:type="dxa"/>
            <w:noWrap/>
            <w:vAlign w:val="center"/>
            <w:hideMark/>
          </w:tcPr>
          <w:p w14:paraId="0FBB85DF" w14:textId="77777777" w:rsidR="00152474" w:rsidRPr="004D7B26"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4D7B26">
              <w:t>89.6</w:t>
            </w:r>
          </w:p>
        </w:tc>
        <w:tc>
          <w:tcPr>
            <w:tcW w:w="2140" w:type="dxa"/>
            <w:noWrap/>
            <w:vAlign w:val="center"/>
            <w:hideMark/>
          </w:tcPr>
          <w:p w14:paraId="280B83CB" w14:textId="77777777" w:rsidR="00152474" w:rsidRPr="004D7B26"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4D7B26">
              <w:t>31.0</w:t>
            </w:r>
          </w:p>
        </w:tc>
      </w:tr>
      <w:tr w:rsidR="00152474" w:rsidRPr="0052448B" w14:paraId="7E08CB5F"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139" w:type="dxa"/>
            <w:noWrap/>
            <w:vAlign w:val="center"/>
            <w:hideMark/>
          </w:tcPr>
          <w:p w14:paraId="13EB7764" w14:textId="77777777" w:rsidR="00152474" w:rsidRPr="004D7B26" w:rsidRDefault="00152474" w:rsidP="00195867">
            <w:pPr>
              <w:jc w:val="center"/>
            </w:pPr>
            <w:r w:rsidRPr="004D7B26">
              <w:t>25</w:t>
            </w:r>
          </w:p>
        </w:tc>
        <w:tc>
          <w:tcPr>
            <w:tcW w:w="1491" w:type="dxa"/>
            <w:noWrap/>
            <w:vAlign w:val="center"/>
            <w:hideMark/>
          </w:tcPr>
          <w:p w14:paraId="4B4FF7FE" w14:textId="77777777" w:rsidR="00152474" w:rsidRPr="004D7B26"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4D7B26">
              <w:t>100.2</w:t>
            </w:r>
          </w:p>
        </w:tc>
        <w:tc>
          <w:tcPr>
            <w:tcW w:w="2140" w:type="dxa"/>
            <w:noWrap/>
            <w:vAlign w:val="center"/>
            <w:hideMark/>
          </w:tcPr>
          <w:p w14:paraId="55E99BBF" w14:textId="77777777" w:rsidR="00152474" w:rsidRPr="004D7B26"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4D7B26">
              <w:t>34.7</w:t>
            </w:r>
          </w:p>
        </w:tc>
      </w:tr>
      <w:tr w:rsidR="00152474" w:rsidRPr="0052448B" w14:paraId="38B2718C"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vAlign w:val="center"/>
            <w:hideMark/>
          </w:tcPr>
          <w:p w14:paraId="326EE550" w14:textId="77777777" w:rsidR="00152474" w:rsidRPr="004D7B26" w:rsidRDefault="00152474" w:rsidP="00195867">
            <w:pPr>
              <w:jc w:val="center"/>
            </w:pPr>
            <w:r w:rsidRPr="004D7B26">
              <w:t>30</w:t>
            </w:r>
          </w:p>
        </w:tc>
        <w:tc>
          <w:tcPr>
            <w:tcW w:w="1491" w:type="dxa"/>
            <w:noWrap/>
            <w:vAlign w:val="center"/>
            <w:hideMark/>
          </w:tcPr>
          <w:p w14:paraId="635FF3D2" w14:textId="77777777" w:rsidR="00152474" w:rsidRPr="004D7B26"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4D7B26">
              <w:t>106.5</w:t>
            </w:r>
          </w:p>
        </w:tc>
        <w:tc>
          <w:tcPr>
            <w:tcW w:w="2140" w:type="dxa"/>
            <w:noWrap/>
            <w:vAlign w:val="center"/>
            <w:hideMark/>
          </w:tcPr>
          <w:p w14:paraId="73199D3F" w14:textId="77777777" w:rsidR="00152474" w:rsidRPr="004D7B26"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4D7B26">
              <w:t>36.8</w:t>
            </w:r>
          </w:p>
        </w:tc>
      </w:tr>
      <w:tr w:rsidR="00152474" w:rsidRPr="0052448B" w14:paraId="3F35A49D"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139" w:type="dxa"/>
            <w:noWrap/>
            <w:vAlign w:val="center"/>
            <w:hideMark/>
          </w:tcPr>
          <w:p w14:paraId="30BAE4D9" w14:textId="77777777" w:rsidR="00152474" w:rsidRPr="004D7B26" w:rsidRDefault="00152474" w:rsidP="00195867">
            <w:pPr>
              <w:jc w:val="center"/>
            </w:pPr>
            <w:r w:rsidRPr="004D7B26">
              <w:t>35</w:t>
            </w:r>
          </w:p>
        </w:tc>
        <w:tc>
          <w:tcPr>
            <w:tcW w:w="1491" w:type="dxa"/>
            <w:noWrap/>
            <w:vAlign w:val="center"/>
            <w:hideMark/>
          </w:tcPr>
          <w:p w14:paraId="0CEA1C45" w14:textId="77777777" w:rsidR="00152474" w:rsidRPr="004D7B26"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4D7B26">
              <w:t>112.1</w:t>
            </w:r>
          </w:p>
        </w:tc>
        <w:tc>
          <w:tcPr>
            <w:tcW w:w="2140" w:type="dxa"/>
            <w:noWrap/>
            <w:vAlign w:val="center"/>
            <w:hideMark/>
          </w:tcPr>
          <w:p w14:paraId="0C4B48D4" w14:textId="77777777" w:rsidR="00152474" w:rsidRPr="004D7B26"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4D7B26">
              <w:t>38.8</w:t>
            </w:r>
          </w:p>
        </w:tc>
      </w:tr>
      <w:tr w:rsidR="00152474" w:rsidRPr="0052448B" w14:paraId="59FD4CEF"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vAlign w:val="center"/>
            <w:hideMark/>
          </w:tcPr>
          <w:p w14:paraId="07F8EC56" w14:textId="77777777" w:rsidR="00152474" w:rsidRPr="004D7B26" w:rsidRDefault="00152474" w:rsidP="00195867">
            <w:pPr>
              <w:jc w:val="center"/>
            </w:pPr>
            <w:r w:rsidRPr="004D7B26">
              <w:t>40</w:t>
            </w:r>
          </w:p>
        </w:tc>
        <w:tc>
          <w:tcPr>
            <w:tcW w:w="1491" w:type="dxa"/>
            <w:noWrap/>
            <w:vAlign w:val="center"/>
            <w:hideMark/>
          </w:tcPr>
          <w:p w14:paraId="738F55CA" w14:textId="77777777" w:rsidR="00152474" w:rsidRPr="004D7B26"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4D7B26">
              <w:t>116.3</w:t>
            </w:r>
          </w:p>
        </w:tc>
        <w:tc>
          <w:tcPr>
            <w:tcW w:w="2140" w:type="dxa"/>
            <w:noWrap/>
            <w:vAlign w:val="center"/>
            <w:hideMark/>
          </w:tcPr>
          <w:p w14:paraId="5CDB0936" w14:textId="77777777" w:rsidR="00152474" w:rsidRPr="004D7B26"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4D7B26">
              <w:t>40.2</w:t>
            </w:r>
          </w:p>
        </w:tc>
      </w:tr>
      <w:tr w:rsidR="00152474" w:rsidRPr="0052448B" w14:paraId="3E9339EB"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139" w:type="dxa"/>
            <w:noWrap/>
            <w:vAlign w:val="center"/>
            <w:hideMark/>
          </w:tcPr>
          <w:p w14:paraId="657D5160" w14:textId="77777777" w:rsidR="00152474" w:rsidRPr="004D7B26" w:rsidRDefault="00152474" w:rsidP="00195867">
            <w:pPr>
              <w:jc w:val="center"/>
            </w:pPr>
            <w:r w:rsidRPr="004D7B26">
              <w:t>45</w:t>
            </w:r>
          </w:p>
        </w:tc>
        <w:tc>
          <w:tcPr>
            <w:tcW w:w="1491" w:type="dxa"/>
            <w:noWrap/>
            <w:vAlign w:val="center"/>
            <w:hideMark/>
          </w:tcPr>
          <w:p w14:paraId="13A7C6F0" w14:textId="77777777" w:rsidR="00152474" w:rsidRPr="004D7B26"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4D7B26">
              <w:t>122.0</w:t>
            </w:r>
          </w:p>
        </w:tc>
        <w:tc>
          <w:tcPr>
            <w:tcW w:w="2140" w:type="dxa"/>
            <w:noWrap/>
            <w:vAlign w:val="center"/>
            <w:hideMark/>
          </w:tcPr>
          <w:p w14:paraId="2687B0B8" w14:textId="77777777" w:rsidR="00152474" w:rsidRPr="004D7B26"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4D7B26">
              <w:t>42.2</w:t>
            </w:r>
          </w:p>
        </w:tc>
      </w:tr>
      <w:tr w:rsidR="00152474" w:rsidRPr="0052448B" w14:paraId="52C7075B"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vAlign w:val="center"/>
            <w:hideMark/>
          </w:tcPr>
          <w:p w14:paraId="3121B341" w14:textId="77777777" w:rsidR="00152474" w:rsidRPr="004D7B26" w:rsidRDefault="00152474" w:rsidP="00195867">
            <w:pPr>
              <w:jc w:val="center"/>
            </w:pPr>
            <w:r w:rsidRPr="004D7B26">
              <w:t>50</w:t>
            </w:r>
          </w:p>
        </w:tc>
        <w:tc>
          <w:tcPr>
            <w:tcW w:w="1491" w:type="dxa"/>
            <w:noWrap/>
            <w:vAlign w:val="center"/>
            <w:hideMark/>
          </w:tcPr>
          <w:p w14:paraId="74E69801" w14:textId="77777777" w:rsidR="00152474" w:rsidRPr="004D7B26"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4D7B26">
              <w:t>127.9</w:t>
            </w:r>
          </w:p>
        </w:tc>
        <w:tc>
          <w:tcPr>
            <w:tcW w:w="2140" w:type="dxa"/>
            <w:noWrap/>
            <w:vAlign w:val="center"/>
            <w:hideMark/>
          </w:tcPr>
          <w:p w14:paraId="4D6264EF" w14:textId="77777777" w:rsidR="00152474" w:rsidRPr="004D7B26"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4D7B26">
              <w:t>44.3</w:t>
            </w:r>
          </w:p>
        </w:tc>
      </w:tr>
      <w:tr w:rsidR="00152474" w:rsidRPr="0052448B" w14:paraId="6062344A"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139" w:type="dxa"/>
            <w:noWrap/>
            <w:vAlign w:val="center"/>
            <w:hideMark/>
          </w:tcPr>
          <w:p w14:paraId="3872026E" w14:textId="77777777" w:rsidR="00152474" w:rsidRPr="004D7B26" w:rsidRDefault="00152474" w:rsidP="00195867">
            <w:pPr>
              <w:jc w:val="center"/>
            </w:pPr>
            <w:r w:rsidRPr="004D7B26">
              <w:t>55</w:t>
            </w:r>
          </w:p>
        </w:tc>
        <w:tc>
          <w:tcPr>
            <w:tcW w:w="1491" w:type="dxa"/>
            <w:noWrap/>
            <w:vAlign w:val="center"/>
            <w:hideMark/>
          </w:tcPr>
          <w:p w14:paraId="08D3FDAC" w14:textId="77777777" w:rsidR="00152474" w:rsidRPr="004D7B26"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4D7B26">
              <w:t>133.8</w:t>
            </w:r>
          </w:p>
        </w:tc>
        <w:tc>
          <w:tcPr>
            <w:tcW w:w="2140" w:type="dxa"/>
            <w:noWrap/>
            <w:vAlign w:val="center"/>
            <w:hideMark/>
          </w:tcPr>
          <w:p w14:paraId="47B75C71" w14:textId="77777777" w:rsidR="00152474" w:rsidRPr="004D7B26"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4D7B26">
              <w:t>46.3</w:t>
            </w:r>
          </w:p>
        </w:tc>
      </w:tr>
      <w:tr w:rsidR="00152474" w:rsidRPr="0052448B" w14:paraId="0D427DE4"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vAlign w:val="center"/>
            <w:hideMark/>
          </w:tcPr>
          <w:p w14:paraId="327CE189" w14:textId="77777777" w:rsidR="00152474" w:rsidRPr="004D7B26" w:rsidRDefault="00152474" w:rsidP="00195867">
            <w:pPr>
              <w:jc w:val="center"/>
            </w:pPr>
            <w:r w:rsidRPr="004D7B26">
              <w:t>60</w:t>
            </w:r>
          </w:p>
        </w:tc>
        <w:tc>
          <w:tcPr>
            <w:tcW w:w="1491" w:type="dxa"/>
            <w:noWrap/>
            <w:vAlign w:val="center"/>
            <w:hideMark/>
          </w:tcPr>
          <w:p w14:paraId="7BE518C3" w14:textId="77777777" w:rsidR="00152474" w:rsidRPr="004D7B26"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4D7B26">
              <w:t>140.5</w:t>
            </w:r>
          </w:p>
        </w:tc>
        <w:tc>
          <w:tcPr>
            <w:tcW w:w="2140" w:type="dxa"/>
            <w:noWrap/>
            <w:vAlign w:val="center"/>
            <w:hideMark/>
          </w:tcPr>
          <w:p w14:paraId="1EF3E26F" w14:textId="77777777" w:rsidR="00152474" w:rsidRPr="004D7B26"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4D7B26">
              <w:t>48.6</w:t>
            </w:r>
          </w:p>
        </w:tc>
      </w:tr>
      <w:tr w:rsidR="00152474" w:rsidRPr="0052448B" w14:paraId="24CB396F"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139" w:type="dxa"/>
            <w:noWrap/>
            <w:vAlign w:val="center"/>
            <w:hideMark/>
          </w:tcPr>
          <w:p w14:paraId="4AE444D5" w14:textId="77777777" w:rsidR="00152474" w:rsidRPr="004D7B26" w:rsidRDefault="00152474" w:rsidP="00195867">
            <w:pPr>
              <w:jc w:val="center"/>
            </w:pPr>
            <w:r w:rsidRPr="004D7B26">
              <w:t>65</w:t>
            </w:r>
          </w:p>
        </w:tc>
        <w:tc>
          <w:tcPr>
            <w:tcW w:w="1491" w:type="dxa"/>
            <w:noWrap/>
            <w:vAlign w:val="center"/>
            <w:hideMark/>
          </w:tcPr>
          <w:p w14:paraId="32317147" w14:textId="77777777" w:rsidR="00152474" w:rsidRPr="004D7B26"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4D7B26">
              <w:t>147.7</w:t>
            </w:r>
          </w:p>
        </w:tc>
        <w:tc>
          <w:tcPr>
            <w:tcW w:w="2140" w:type="dxa"/>
            <w:noWrap/>
            <w:vAlign w:val="center"/>
            <w:hideMark/>
          </w:tcPr>
          <w:p w14:paraId="2DD378BA" w14:textId="77777777" w:rsidR="00152474" w:rsidRPr="004D7B26"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4D7B26">
              <w:t>51.1</w:t>
            </w:r>
          </w:p>
        </w:tc>
      </w:tr>
      <w:tr w:rsidR="00152474" w:rsidRPr="0052448B" w14:paraId="68A5CE57"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vAlign w:val="center"/>
            <w:hideMark/>
          </w:tcPr>
          <w:p w14:paraId="23672434" w14:textId="77777777" w:rsidR="00152474" w:rsidRPr="004D7B26" w:rsidRDefault="00152474" w:rsidP="00195867">
            <w:pPr>
              <w:jc w:val="center"/>
            </w:pPr>
            <w:r w:rsidRPr="004D7B26">
              <w:t>70</w:t>
            </w:r>
          </w:p>
        </w:tc>
        <w:tc>
          <w:tcPr>
            <w:tcW w:w="1491" w:type="dxa"/>
            <w:noWrap/>
            <w:vAlign w:val="center"/>
            <w:hideMark/>
          </w:tcPr>
          <w:p w14:paraId="46E4A04E" w14:textId="77777777" w:rsidR="00152474" w:rsidRPr="004D7B26"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4D7B26">
              <w:t>155.5</w:t>
            </w:r>
          </w:p>
        </w:tc>
        <w:tc>
          <w:tcPr>
            <w:tcW w:w="2140" w:type="dxa"/>
            <w:noWrap/>
            <w:vAlign w:val="center"/>
            <w:hideMark/>
          </w:tcPr>
          <w:p w14:paraId="4BE699C4" w14:textId="77777777" w:rsidR="00152474" w:rsidRPr="004D7B26"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4D7B26">
              <w:t>53.8</w:t>
            </w:r>
          </w:p>
        </w:tc>
      </w:tr>
      <w:tr w:rsidR="00152474" w:rsidRPr="0052448B" w14:paraId="2EFB5028"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139" w:type="dxa"/>
            <w:noWrap/>
            <w:vAlign w:val="center"/>
            <w:hideMark/>
          </w:tcPr>
          <w:p w14:paraId="3BE9CD27" w14:textId="77777777" w:rsidR="00152474" w:rsidRPr="004D7B26" w:rsidRDefault="00152474" w:rsidP="00195867">
            <w:pPr>
              <w:jc w:val="center"/>
            </w:pPr>
            <w:r w:rsidRPr="004D7B26">
              <w:t>75</w:t>
            </w:r>
          </w:p>
        </w:tc>
        <w:tc>
          <w:tcPr>
            <w:tcW w:w="1491" w:type="dxa"/>
            <w:noWrap/>
            <w:vAlign w:val="center"/>
            <w:hideMark/>
          </w:tcPr>
          <w:p w14:paraId="13701A14" w14:textId="77777777" w:rsidR="00152474" w:rsidRPr="004D7B26"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4D7B26">
              <w:t>163.7</w:t>
            </w:r>
          </w:p>
        </w:tc>
        <w:tc>
          <w:tcPr>
            <w:tcW w:w="2140" w:type="dxa"/>
            <w:noWrap/>
            <w:vAlign w:val="center"/>
            <w:hideMark/>
          </w:tcPr>
          <w:p w14:paraId="4EA51AA0" w14:textId="77777777" w:rsidR="00152474" w:rsidRPr="004D7B26"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4D7B26">
              <w:t>56.6</w:t>
            </w:r>
          </w:p>
        </w:tc>
      </w:tr>
      <w:tr w:rsidR="00152474" w:rsidRPr="0052448B" w14:paraId="7C741867"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vAlign w:val="center"/>
            <w:hideMark/>
          </w:tcPr>
          <w:p w14:paraId="7A3ED4D0" w14:textId="77777777" w:rsidR="00152474" w:rsidRPr="004D7B26" w:rsidRDefault="00152474" w:rsidP="00195867">
            <w:pPr>
              <w:jc w:val="center"/>
            </w:pPr>
            <w:r w:rsidRPr="004D7B26">
              <w:t>80</w:t>
            </w:r>
          </w:p>
        </w:tc>
        <w:tc>
          <w:tcPr>
            <w:tcW w:w="1491" w:type="dxa"/>
            <w:noWrap/>
            <w:vAlign w:val="center"/>
            <w:hideMark/>
          </w:tcPr>
          <w:p w14:paraId="577717F0" w14:textId="77777777" w:rsidR="00152474" w:rsidRPr="004D7B26"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4D7B26">
              <w:t>171.0</w:t>
            </w:r>
          </w:p>
        </w:tc>
        <w:tc>
          <w:tcPr>
            <w:tcW w:w="2140" w:type="dxa"/>
            <w:noWrap/>
            <w:vAlign w:val="center"/>
            <w:hideMark/>
          </w:tcPr>
          <w:p w14:paraId="0EDE2D14" w14:textId="77777777" w:rsidR="00152474" w:rsidRPr="004D7B26"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4D7B26">
              <w:t>59.2</w:t>
            </w:r>
          </w:p>
        </w:tc>
      </w:tr>
      <w:tr w:rsidR="00152474" w:rsidRPr="0052448B" w14:paraId="60FFEE37"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139" w:type="dxa"/>
            <w:noWrap/>
            <w:vAlign w:val="center"/>
            <w:hideMark/>
          </w:tcPr>
          <w:p w14:paraId="0CD913D8" w14:textId="77777777" w:rsidR="00152474" w:rsidRPr="004D7B26" w:rsidRDefault="00152474" w:rsidP="00195867">
            <w:pPr>
              <w:jc w:val="center"/>
            </w:pPr>
            <w:r w:rsidRPr="004D7B26">
              <w:t>85</w:t>
            </w:r>
          </w:p>
        </w:tc>
        <w:tc>
          <w:tcPr>
            <w:tcW w:w="1491" w:type="dxa"/>
            <w:noWrap/>
            <w:vAlign w:val="center"/>
            <w:hideMark/>
          </w:tcPr>
          <w:p w14:paraId="7EDAF2A6" w14:textId="77777777" w:rsidR="00152474" w:rsidRPr="004D7B26"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4D7B26">
              <w:t>182.6</w:t>
            </w:r>
          </w:p>
        </w:tc>
        <w:tc>
          <w:tcPr>
            <w:tcW w:w="2140" w:type="dxa"/>
            <w:noWrap/>
            <w:vAlign w:val="center"/>
            <w:hideMark/>
          </w:tcPr>
          <w:p w14:paraId="309BB873" w14:textId="77777777" w:rsidR="00152474" w:rsidRPr="004D7B26"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4D7B26">
              <w:t>63.2</w:t>
            </w:r>
          </w:p>
        </w:tc>
      </w:tr>
      <w:tr w:rsidR="00152474" w:rsidRPr="0052448B" w14:paraId="51A699A4"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vAlign w:val="center"/>
            <w:hideMark/>
          </w:tcPr>
          <w:p w14:paraId="55629709" w14:textId="77777777" w:rsidR="00152474" w:rsidRPr="004D7B26" w:rsidRDefault="00152474" w:rsidP="00195867">
            <w:pPr>
              <w:jc w:val="center"/>
            </w:pPr>
            <w:r w:rsidRPr="004D7B26">
              <w:t>90</w:t>
            </w:r>
          </w:p>
        </w:tc>
        <w:tc>
          <w:tcPr>
            <w:tcW w:w="1491" w:type="dxa"/>
            <w:noWrap/>
            <w:vAlign w:val="center"/>
            <w:hideMark/>
          </w:tcPr>
          <w:p w14:paraId="4249130E" w14:textId="77777777" w:rsidR="00152474" w:rsidRPr="004D7B26"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4D7B26">
              <w:t>197.5</w:t>
            </w:r>
          </w:p>
        </w:tc>
        <w:tc>
          <w:tcPr>
            <w:tcW w:w="2140" w:type="dxa"/>
            <w:noWrap/>
            <w:vAlign w:val="center"/>
            <w:hideMark/>
          </w:tcPr>
          <w:p w14:paraId="086CD150" w14:textId="77777777" w:rsidR="00152474" w:rsidRPr="004D7B26"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4D7B26">
              <w:t>68.3</w:t>
            </w:r>
          </w:p>
        </w:tc>
      </w:tr>
      <w:tr w:rsidR="00152474" w:rsidRPr="0052448B" w14:paraId="6054930B"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139" w:type="dxa"/>
            <w:noWrap/>
            <w:vAlign w:val="center"/>
            <w:hideMark/>
          </w:tcPr>
          <w:p w14:paraId="7F610F87" w14:textId="77777777" w:rsidR="00152474" w:rsidRPr="004D7B26" w:rsidRDefault="00152474" w:rsidP="00195867">
            <w:pPr>
              <w:jc w:val="center"/>
            </w:pPr>
            <w:r w:rsidRPr="004D7B26">
              <w:t>95</w:t>
            </w:r>
          </w:p>
        </w:tc>
        <w:tc>
          <w:tcPr>
            <w:tcW w:w="1491" w:type="dxa"/>
            <w:noWrap/>
            <w:vAlign w:val="center"/>
            <w:hideMark/>
          </w:tcPr>
          <w:p w14:paraId="499D9DE9" w14:textId="77777777" w:rsidR="00152474" w:rsidRPr="004D7B26"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4D7B26">
              <w:t>223.6</w:t>
            </w:r>
          </w:p>
        </w:tc>
        <w:tc>
          <w:tcPr>
            <w:tcW w:w="2140" w:type="dxa"/>
            <w:noWrap/>
            <w:vAlign w:val="center"/>
            <w:hideMark/>
          </w:tcPr>
          <w:p w14:paraId="3EBFD4D4" w14:textId="77777777" w:rsidR="00152474"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4D7B26">
              <w:t>77.4</w:t>
            </w:r>
          </w:p>
        </w:tc>
      </w:tr>
    </w:tbl>
    <w:p w14:paraId="2799F885" w14:textId="77777777" w:rsidR="00152474" w:rsidRDefault="00152474" w:rsidP="00152474">
      <w:pPr>
        <w:jc w:val="center"/>
      </w:pPr>
    </w:p>
    <w:p w14:paraId="58DFD2E4" w14:textId="3C018006" w:rsidR="00152474" w:rsidRPr="000B0CA1" w:rsidRDefault="00152474" w:rsidP="00152474">
      <w:pPr>
        <w:jc w:val="center"/>
        <w:rPr>
          <w:b/>
        </w:rPr>
      </w:pPr>
      <w:r w:rsidRPr="000B0CA1">
        <w:rPr>
          <w:b/>
        </w:rPr>
        <w:t xml:space="preserve">Table </w:t>
      </w:r>
      <w:r w:rsidR="008E31F4">
        <w:rPr>
          <w:b/>
        </w:rPr>
        <w:t>6</w:t>
      </w:r>
      <w:r w:rsidRPr="000B0CA1">
        <w:rPr>
          <w:b/>
        </w:rPr>
        <w:t xml:space="preserve">. Percentile </w:t>
      </w:r>
      <w:r>
        <w:rPr>
          <w:b/>
        </w:rPr>
        <w:t>Live Tree</w:t>
      </w:r>
      <w:r w:rsidRPr="000B0CA1">
        <w:rPr>
          <w:b/>
        </w:rPr>
        <w:t xml:space="preserve"> Carbon stocks in </w:t>
      </w:r>
      <w:r>
        <w:rPr>
          <w:b/>
        </w:rPr>
        <w:t>Northeastern Coastal Zone</w:t>
      </w:r>
      <w:r w:rsidRPr="000B0CA1">
        <w:rPr>
          <w:b/>
        </w:rPr>
        <w:t xml:space="preserve"> by </w:t>
      </w:r>
      <w:r>
        <w:rPr>
          <w:b/>
        </w:rPr>
        <w:t>Basal Area</w:t>
      </w:r>
    </w:p>
    <w:p w14:paraId="1DAA6719" w14:textId="77777777" w:rsidR="00152474" w:rsidRDefault="00152474" w:rsidP="00152474">
      <w:pPr>
        <w:sectPr w:rsidR="00152474" w:rsidSect="00195867">
          <w:type w:val="continuous"/>
          <w:pgSz w:w="12240" w:h="15840"/>
          <w:pgMar w:top="1440" w:right="1440" w:bottom="1440" w:left="1440" w:header="720" w:footer="720" w:gutter="0"/>
          <w:cols w:num="2" w:space="720"/>
          <w:docGrid w:linePitch="360"/>
        </w:sectPr>
      </w:pPr>
    </w:p>
    <w:p w14:paraId="2D41DDA2" w14:textId="77777777" w:rsidR="00152474" w:rsidRDefault="00152474" w:rsidP="00152474"/>
    <w:p w14:paraId="52E0687E" w14:textId="77777777" w:rsidR="00152474" w:rsidRDefault="00152474" w:rsidP="00152474"/>
    <w:p w14:paraId="06157F0C" w14:textId="77777777" w:rsidR="00152474" w:rsidRDefault="00152474" w:rsidP="00152474"/>
    <w:p w14:paraId="01B7979A" w14:textId="77777777" w:rsidR="00152474" w:rsidRDefault="00152474" w:rsidP="00152474"/>
    <w:p w14:paraId="7B3F90CF" w14:textId="77777777" w:rsidR="00152474" w:rsidRDefault="00152474" w:rsidP="00152474"/>
    <w:p w14:paraId="50A3594D" w14:textId="77777777" w:rsidR="00152474" w:rsidRDefault="00152474" w:rsidP="00152474"/>
    <w:p w14:paraId="25A5B25F" w14:textId="77777777" w:rsidR="00152474" w:rsidRDefault="00152474" w:rsidP="00152474"/>
    <w:p w14:paraId="60B8A05B" w14:textId="77777777" w:rsidR="00152474" w:rsidRDefault="00152474" w:rsidP="00152474"/>
    <w:p w14:paraId="25ECA597" w14:textId="77777777" w:rsidR="00152474" w:rsidRDefault="00152474" w:rsidP="00152474"/>
    <w:p w14:paraId="0299663B" w14:textId="77777777" w:rsidR="00152474" w:rsidRDefault="00152474" w:rsidP="00152474"/>
    <w:p w14:paraId="51F386C7" w14:textId="77777777" w:rsidR="00152474" w:rsidRDefault="00152474" w:rsidP="00152474"/>
    <w:p w14:paraId="0686539F" w14:textId="77777777" w:rsidR="00152474" w:rsidRDefault="00152474" w:rsidP="00152474"/>
    <w:p w14:paraId="6A429E47" w14:textId="77777777" w:rsidR="00152474" w:rsidRDefault="00152474" w:rsidP="00152474"/>
    <w:p w14:paraId="18BEE762" w14:textId="77777777" w:rsidR="00152474" w:rsidRDefault="00152474" w:rsidP="00152474"/>
    <w:p w14:paraId="6EBF490E" w14:textId="77777777" w:rsidR="00152474" w:rsidRDefault="00152474" w:rsidP="00152474"/>
    <w:p w14:paraId="3B628F9A" w14:textId="77777777" w:rsidR="00152474" w:rsidRDefault="00152474" w:rsidP="00152474"/>
    <w:p w14:paraId="4F2BE7FA" w14:textId="77777777" w:rsidR="00152474" w:rsidRDefault="00152474" w:rsidP="00152474"/>
    <w:p w14:paraId="626F4446" w14:textId="77777777" w:rsidR="00152474" w:rsidRDefault="00152474" w:rsidP="00152474"/>
    <w:p w14:paraId="619B2531" w14:textId="77777777" w:rsidR="00152474" w:rsidRDefault="00152474" w:rsidP="00152474"/>
    <w:p w14:paraId="17EEBAFF" w14:textId="77777777" w:rsidR="00152474" w:rsidRDefault="00152474" w:rsidP="00152474"/>
    <w:p w14:paraId="3C887538" w14:textId="77777777" w:rsidR="00152474" w:rsidRDefault="00152474" w:rsidP="00152474"/>
    <w:p w14:paraId="2ED13975" w14:textId="20F3C7CF" w:rsidR="00007DDF" w:rsidRDefault="00007DDF" w:rsidP="00152474"/>
    <w:p w14:paraId="43451FB3" w14:textId="77777777" w:rsidR="00007DDF" w:rsidRDefault="00007DDF">
      <w:r>
        <w:br w:type="page"/>
      </w:r>
    </w:p>
    <w:p w14:paraId="05A59310" w14:textId="1A747F61" w:rsidR="00ED5041" w:rsidRPr="00ED5041" w:rsidRDefault="00ED5041" w:rsidP="00ED5041">
      <w:pPr>
        <w:rPr>
          <w:i/>
          <w:sz w:val="28"/>
        </w:rPr>
      </w:pPr>
      <w:r w:rsidRPr="00ED5041">
        <w:rPr>
          <w:i/>
          <w:sz w:val="28"/>
        </w:rPr>
        <w:lastRenderedPageBreak/>
        <w:t>Northeastern Coastal Zone</w:t>
      </w:r>
    </w:p>
    <w:p w14:paraId="3C078190" w14:textId="77777777" w:rsidR="00ED5041" w:rsidRDefault="00ED5041" w:rsidP="00ED5041">
      <w:pPr>
        <w:jc w:val="center"/>
        <w:rPr>
          <w:b/>
        </w:rPr>
      </w:pPr>
      <w:r w:rsidRPr="000B0CA1">
        <w:rPr>
          <w:b/>
        </w:rPr>
        <w:t xml:space="preserve">Table </w:t>
      </w:r>
      <w:r>
        <w:rPr>
          <w:b/>
        </w:rPr>
        <w:t>7</w:t>
      </w:r>
      <w:r w:rsidRPr="000B0CA1">
        <w:rPr>
          <w:b/>
        </w:rPr>
        <w:t xml:space="preserve">: Predicted </w:t>
      </w:r>
      <w:r>
        <w:rPr>
          <w:b/>
        </w:rPr>
        <w:t>Dead</w:t>
      </w:r>
      <w:r w:rsidRPr="000B0CA1">
        <w:rPr>
          <w:b/>
        </w:rPr>
        <w:t xml:space="preserve"> Tree Carbon Stock by </w:t>
      </w:r>
      <w:r>
        <w:rPr>
          <w:b/>
        </w:rPr>
        <w:t>B</w:t>
      </w:r>
      <w:r w:rsidRPr="000B0CA1">
        <w:rPr>
          <w:b/>
        </w:rPr>
        <w:t xml:space="preserve">asal </w:t>
      </w:r>
      <w:r>
        <w:rPr>
          <w:b/>
        </w:rPr>
        <w:t xml:space="preserve">Area                                                              </w:t>
      </w:r>
    </w:p>
    <w:p w14:paraId="0702465C" w14:textId="77777777" w:rsidR="00ED5041" w:rsidRDefault="00ED5041" w:rsidP="00ED5041">
      <w:pPr>
        <w:rPr>
          <w:b/>
        </w:rPr>
      </w:pPr>
    </w:p>
    <w:p w14:paraId="7D51F11D" w14:textId="77777777" w:rsidR="00ED5041" w:rsidRPr="000B0CA1" w:rsidRDefault="00ED5041" w:rsidP="00ED5041">
      <w:pPr>
        <w:rPr>
          <w:b/>
        </w:rPr>
      </w:pPr>
      <w:r w:rsidRPr="000B0CA1">
        <w:rPr>
          <w:b/>
        </w:rPr>
        <w:t xml:space="preserve">Table </w:t>
      </w:r>
      <w:r>
        <w:rPr>
          <w:b/>
        </w:rPr>
        <w:t>8</w:t>
      </w:r>
      <w:r w:rsidRPr="000B0CA1">
        <w:rPr>
          <w:b/>
        </w:rPr>
        <w:t xml:space="preserve">. Percentile </w:t>
      </w:r>
      <w:r>
        <w:rPr>
          <w:b/>
        </w:rPr>
        <w:t>Dead Tree</w:t>
      </w:r>
      <w:r w:rsidRPr="000B0CA1">
        <w:rPr>
          <w:b/>
        </w:rPr>
        <w:t xml:space="preserve"> Carbon stocks in </w:t>
      </w:r>
      <w:r>
        <w:rPr>
          <w:b/>
        </w:rPr>
        <w:t>Northeastern Coastal Zone</w:t>
      </w:r>
      <w:r w:rsidRPr="000B0CA1">
        <w:rPr>
          <w:b/>
        </w:rPr>
        <w:t xml:space="preserve"> by </w:t>
      </w:r>
      <w:r>
        <w:rPr>
          <w:b/>
        </w:rPr>
        <w:t>Basal Area</w:t>
      </w:r>
    </w:p>
    <w:p w14:paraId="4B9BE07E" w14:textId="77777777" w:rsidR="00ED5041" w:rsidRDefault="00ED5041" w:rsidP="00ED5041">
      <w:pPr>
        <w:jc w:val="center"/>
        <w:rPr>
          <w:b/>
        </w:rPr>
        <w:sectPr w:rsidR="00ED5041" w:rsidSect="00681CDC">
          <w:type w:val="continuous"/>
          <w:pgSz w:w="12240" w:h="15840"/>
          <w:pgMar w:top="1440" w:right="1440" w:bottom="1440" w:left="1440" w:header="720" w:footer="720" w:gutter="0"/>
          <w:cols w:num="2" w:space="720"/>
          <w:docGrid w:linePitch="360"/>
        </w:sectPr>
      </w:pPr>
    </w:p>
    <w:tbl>
      <w:tblPr>
        <w:tblStyle w:val="GridTable2"/>
        <w:tblpPr w:leftFromText="180" w:rightFromText="180" w:vertAnchor="text" w:horzAnchor="page" w:tblpX="1981" w:tblpY="72"/>
        <w:tblW w:w="3330" w:type="dxa"/>
        <w:tblLook w:val="04A0" w:firstRow="1" w:lastRow="0" w:firstColumn="1" w:lastColumn="0" w:noHBand="0" w:noVBand="1"/>
      </w:tblPr>
      <w:tblGrid>
        <w:gridCol w:w="1260"/>
        <w:gridCol w:w="2070"/>
      </w:tblGrid>
      <w:tr w:rsidR="00ED5041" w:rsidRPr="0030551C" w14:paraId="59E3DBFD" w14:textId="77777777" w:rsidTr="00751819">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36001E76" w14:textId="77777777" w:rsidR="00ED5041" w:rsidRPr="0030551C" w:rsidRDefault="00ED5041" w:rsidP="00681CDC">
            <w:pPr>
              <w:rPr>
                <w:rFonts w:ascii="Calibri" w:eastAsia="Times New Roman" w:hAnsi="Calibri" w:cs="Calibri"/>
                <w:color w:val="000000"/>
              </w:rPr>
            </w:pPr>
            <w:bookmarkStart w:id="0" w:name="_Hlk95977989"/>
            <w:r w:rsidRPr="0052448B">
              <w:rPr>
                <w:rFonts w:ascii="Calibri" w:eastAsia="Times New Roman" w:hAnsi="Calibri" w:cs="Times New Roman"/>
                <w:color w:val="000000"/>
              </w:rPr>
              <w:t>BA (ft</w:t>
            </w:r>
            <w:r w:rsidRPr="0052448B">
              <w:rPr>
                <w:rFonts w:ascii="Calibri" w:eastAsia="Times New Roman" w:hAnsi="Calibri" w:cs="Times New Roman"/>
                <w:color w:val="000000"/>
                <w:vertAlign w:val="superscript"/>
              </w:rPr>
              <w:t>2</w:t>
            </w:r>
            <w:r w:rsidRPr="0052448B">
              <w:rPr>
                <w:rFonts w:ascii="Calibri" w:eastAsia="Times New Roman" w:hAnsi="Calibri" w:cs="Times New Roman"/>
                <w:color w:val="000000"/>
              </w:rPr>
              <w:t>/ac)</w:t>
            </w:r>
          </w:p>
        </w:tc>
        <w:tc>
          <w:tcPr>
            <w:tcW w:w="2070" w:type="dxa"/>
            <w:noWrap/>
            <w:hideMark/>
          </w:tcPr>
          <w:p w14:paraId="3D9D62CB" w14:textId="019B7A75" w:rsidR="00ED5041" w:rsidRPr="0030551C" w:rsidRDefault="00ED5041" w:rsidP="00681CD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52448B">
              <w:rPr>
                <w:rFonts w:ascii="Calibri" w:eastAsia="Times New Roman" w:hAnsi="Calibri" w:cs="Times New Roman"/>
                <w:color w:val="000000"/>
              </w:rPr>
              <w:t xml:space="preserve">C </w:t>
            </w:r>
            <w:r>
              <w:rPr>
                <w:rFonts w:ascii="Calibri" w:eastAsia="Times New Roman" w:hAnsi="Calibri" w:cs="Times New Roman"/>
                <w:color w:val="000000"/>
              </w:rPr>
              <w:t>Prediction</w:t>
            </w:r>
            <w:r w:rsidRPr="0052448B">
              <w:rPr>
                <w:rFonts w:ascii="Calibri" w:eastAsia="Times New Roman" w:hAnsi="Calibri" w:cs="Times New Roman"/>
                <w:color w:val="000000"/>
              </w:rPr>
              <w:t>(t</w:t>
            </w:r>
            <w:r w:rsidR="00F91B04">
              <w:rPr>
                <w:rFonts w:ascii="Calibri" w:eastAsia="Times New Roman" w:hAnsi="Calibri" w:cs="Times New Roman"/>
                <w:color w:val="000000"/>
              </w:rPr>
              <w:t>o</w:t>
            </w:r>
            <w:r w:rsidR="00D93181">
              <w:rPr>
                <w:rFonts w:ascii="Calibri" w:eastAsia="Times New Roman" w:hAnsi="Calibri" w:cs="Times New Roman"/>
                <w:color w:val="000000"/>
              </w:rPr>
              <w:t>n</w:t>
            </w:r>
            <w:r w:rsidRPr="0052448B">
              <w:rPr>
                <w:rFonts w:ascii="Calibri" w:eastAsia="Times New Roman" w:hAnsi="Calibri" w:cs="Times New Roman"/>
                <w:color w:val="000000"/>
              </w:rPr>
              <w:t>/ac)</w:t>
            </w:r>
          </w:p>
        </w:tc>
      </w:tr>
      <w:tr w:rsidR="00ED5041" w:rsidRPr="0030551C" w14:paraId="50A0BFCC"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157B5560" w14:textId="77777777" w:rsidR="00ED5041" w:rsidRPr="0030551C" w:rsidRDefault="00ED5041" w:rsidP="00681CDC">
            <w:pPr>
              <w:jc w:val="center"/>
              <w:rPr>
                <w:rFonts w:ascii="Calibri" w:eastAsia="Times New Roman" w:hAnsi="Calibri" w:cs="Calibri"/>
                <w:color w:val="000000"/>
              </w:rPr>
            </w:pPr>
            <w:r w:rsidRPr="00065A7C">
              <w:t>0</w:t>
            </w:r>
          </w:p>
        </w:tc>
        <w:tc>
          <w:tcPr>
            <w:tcW w:w="2070" w:type="dxa"/>
            <w:noWrap/>
            <w:hideMark/>
          </w:tcPr>
          <w:p w14:paraId="3786FCE5" w14:textId="77777777" w:rsidR="00ED5041" w:rsidRPr="0030551C" w:rsidRDefault="00ED5041" w:rsidP="00681C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065A7C">
              <w:t>0</w:t>
            </w:r>
          </w:p>
        </w:tc>
      </w:tr>
      <w:tr w:rsidR="00ED5041" w:rsidRPr="0030551C" w14:paraId="35C7B67B"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41EAD072" w14:textId="77777777" w:rsidR="00ED5041" w:rsidRPr="0030551C" w:rsidRDefault="00ED5041" w:rsidP="00681CDC">
            <w:pPr>
              <w:jc w:val="center"/>
              <w:rPr>
                <w:rFonts w:ascii="Calibri" w:eastAsia="Times New Roman" w:hAnsi="Calibri" w:cs="Calibri"/>
                <w:color w:val="000000"/>
              </w:rPr>
            </w:pPr>
            <w:r w:rsidRPr="00065A7C">
              <w:t>5</w:t>
            </w:r>
          </w:p>
        </w:tc>
        <w:tc>
          <w:tcPr>
            <w:tcW w:w="2070" w:type="dxa"/>
            <w:noWrap/>
            <w:hideMark/>
          </w:tcPr>
          <w:p w14:paraId="684B8F5C" w14:textId="77777777" w:rsidR="00ED5041" w:rsidRPr="0030551C" w:rsidRDefault="00ED5041" w:rsidP="00681C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065A7C">
              <w:t>0.6</w:t>
            </w:r>
          </w:p>
        </w:tc>
      </w:tr>
      <w:tr w:rsidR="00ED5041" w:rsidRPr="0030551C" w14:paraId="57DF3A19"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49B06267" w14:textId="77777777" w:rsidR="00ED5041" w:rsidRPr="0030551C" w:rsidRDefault="00ED5041" w:rsidP="00681CDC">
            <w:pPr>
              <w:jc w:val="center"/>
              <w:rPr>
                <w:rFonts w:ascii="Calibri" w:eastAsia="Times New Roman" w:hAnsi="Calibri" w:cs="Calibri"/>
                <w:color w:val="000000"/>
              </w:rPr>
            </w:pPr>
            <w:r w:rsidRPr="00065A7C">
              <w:t>10</w:t>
            </w:r>
          </w:p>
        </w:tc>
        <w:tc>
          <w:tcPr>
            <w:tcW w:w="2070" w:type="dxa"/>
            <w:noWrap/>
            <w:hideMark/>
          </w:tcPr>
          <w:p w14:paraId="0EBBDB78" w14:textId="77777777" w:rsidR="00ED5041" w:rsidRPr="0030551C" w:rsidRDefault="00ED5041" w:rsidP="00681C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065A7C">
              <w:t>1.3</w:t>
            </w:r>
          </w:p>
        </w:tc>
      </w:tr>
      <w:tr w:rsidR="00ED5041" w:rsidRPr="0030551C" w14:paraId="4810E734"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29C4B111" w14:textId="77777777" w:rsidR="00ED5041" w:rsidRPr="0030551C" w:rsidRDefault="00ED5041" w:rsidP="00681CDC">
            <w:pPr>
              <w:jc w:val="center"/>
              <w:rPr>
                <w:rFonts w:ascii="Calibri" w:eastAsia="Times New Roman" w:hAnsi="Calibri" w:cs="Calibri"/>
                <w:color w:val="000000"/>
              </w:rPr>
            </w:pPr>
            <w:r w:rsidRPr="00065A7C">
              <w:t>15</w:t>
            </w:r>
          </w:p>
        </w:tc>
        <w:tc>
          <w:tcPr>
            <w:tcW w:w="2070" w:type="dxa"/>
            <w:noWrap/>
            <w:hideMark/>
          </w:tcPr>
          <w:p w14:paraId="79C9A6CC" w14:textId="77777777" w:rsidR="00ED5041" w:rsidRPr="0030551C" w:rsidRDefault="00ED5041" w:rsidP="00681C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065A7C">
              <w:t>1.9</w:t>
            </w:r>
          </w:p>
        </w:tc>
      </w:tr>
      <w:tr w:rsidR="00ED5041" w:rsidRPr="0030551C" w14:paraId="2D6359B6"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4B82A2E9" w14:textId="77777777" w:rsidR="00ED5041" w:rsidRPr="0030551C" w:rsidRDefault="00ED5041" w:rsidP="00681CDC">
            <w:pPr>
              <w:jc w:val="center"/>
              <w:rPr>
                <w:rFonts w:ascii="Calibri" w:eastAsia="Times New Roman" w:hAnsi="Calibri" w:cs="Calibri"/>
                <w:color w:val="000000"/>
              </w:rPr>
            </w:pPr>
            <w:r w:rsidRPr="00065A7C">
              <w:t>20</w:t>
            </w:r>
          </w:p>
        </w:tc>
        <w:tc>
          <w:tcPr>
            <w:tcW w:w="2070" w:type="dxa"/>
            <w:noWrap/>
            <w:hideMark/>
          </w:tcPr>
          <w:p w14:paraId="6DB0A97F" w14:textId="77777777" w:rsidR="00ED5041" w:rsidRPr="0030551C" w:rsidRDefault="00ED5041" w:rsidP="00681C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065A7C">
              <w:t>2.5</w:t>
            </w:r>
          </w:p>
        </w:tc>
      </w:tr>
      <w:tr w:rsidR="00ED5041" w:rsidRPr="0030551C" w14:paraId="276BAB11"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5775563C" w14:textId="77777777" w:rsidR="00ED5041" w:rsidRPr="0030551C" w:rsidRDefault="00ED5041" w:rsidP="00681CDC">
            <w:pPr>
              <w:jc w:val="center"/>
              <w:rPr>
                <w:rFonts w:ascii="Calibri" w:eastAsia="Times New Roman" w:hAnsi="Calibri" w:cs="Calibri"/>
                <w:color w:val="000000"/>
              </w:rPr>
            </w:pPr>
            <w:r w:rsidRPr="00065A7C">
              <w:t>25</w:t>
            </w:r>
          </w:p>
        </w:tc>
        <w:tc>
          <w:tcPr>
            <w:tcW w:w="2070" w:type="dxa"/>
            <w:noWrap/>
            <w:hideMark/>
          </w:tcPr>
          <w:p w14:paraId="4B7A21B3" w14:textId="77777777" w:rsidR="00ED5041" w:rsidRPr="0030551C" w:rsidRDefault="00ED5041" w:rsidP="00681C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065A7C">
              <w:t>3.1</w:t>
            </w:r>
          </w:p>
        </w:tc>
      </w:tr>
      <w:tr w:rsidR="00ED5041" w:rsidRPr="0030551C" w14:paraId="56BC002E"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688E7940" w14:textId="77777777" w:rsidR="00ED5041" w:rsidRPr="0030551C" w:rsidRDefault="00ED5041" w:rsidP="00681CDC">
            <w:pPr>
              <w:jc w:val="center"/>
              <w:rPr>
                <w:rFonts w:ascii="Calibri" w:eastAsia="Times New Roman" w:hAnsi="Calibri" w:cs="Calibri"/>
                <w:color w:val="000000"/>
              </w:rPr>
            </w:pPr>
            <w:r w:rsidRPr="00065A7C">
              <w:t>30</w:t>
            </w:r>
          </w:p>
        </w:tc>
        <w:tc>
          <w:tcPr>
            <w:tcW w:w="2070" w:type="dxa"/>
            <w:noWrap/>
            <w:hideMark/>
          </w:tcPr>
          <w:p w14:paraId="3CCE706E" w14:textId="77777777" w:rsidR="00ED5041" w:rsidRPr="0030551C" w:rsidRDefault="00ED5041" w:rsidP="00681C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065A7C">
              <w:t>3.8</w:t>
            </w:r>
          </w:p>
        </w:tc>
      </w:tr>
      <w:tr w:rsidR="00ED5041" w:rsidRPr="0030551C" w14:paraId="58FD0165"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055FC4D9" w14:textId="77777777" w:rsidR="00ED5041" w:rsidRPr="0030551C" w:rsidRDefault="00ED5041" w:rsidP="00681CDC">
            <w:pPr>
              <w:jc w:val="center"/>
              <w:rPr>
                <w:rFonts w:ascii="Calibri" w:eastAsia="Times New Roman" w:hAnsi="Calibri" w:cs="Calibri"/>
                <w:color w:val="000000"/>
              </w:rPr>
            </w:pPr>
            <w:r w:rsidRPr="00065A7C">
              <w:t>35</w:t>
            </w:r>
          </w:p>
        </w:tc>
        <w:tc>
          <w:tcPr>
            <w:tcW w:w="2070" w:type="dxa"/>
            <w:noWrap/>
            <w:hideMark/>
          </w:tcPr>
          <w:p w14:paraId="460F6E08" w14:textId="77777777" w:rsidR="00ED5041" w:rsidRPr="0030551C" w:rsidRDefault="00ED5041" w:rsidP="00681C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065A7C">
              <w:t>4.4</w:t>
            </w:r>
          </w:p>
        </w:tc>
      </w:tr>
      <w:tr w:rsidR="00ED5041" w:rsidRPr="0030551C" w14:paraId="3952DDC2"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7D2B6D62" w14:textId="77777777" w:rsidR="00ED5041" w:rsidRPr="0030551C" w:rsidRDefault="00ED5041" w:rsidP="00681CDC">
            <w:pPr>
              <w:jc w:val="center"/>
              <w:rPr>
                <w:rFonts w:ascii="Calibri" w:eastAsia="Times New Roman" w:hAnsi="Calibri" w:cs="Calibri"/>
                <w:color w:val="000000"/>
              </w:rPr>
            </w:pPr>
            <w:r w:rsidRPr="00065A7C">
              <w:t>40</w:t>
            </w:r>
          </w:p>
        </w:tc>
        <w:tc>
          <w:tcPr>
            <w:tcW w:w="2070" w:type="dxa"/>
            <w:noWrap/>
            <w:hideMark/>
          </w:tcPr>
          <w:p w14:paraId="061045D0" w14:textId="77777777" w:rsidR="00ED5041" w:rsidRPr="0030551C" w:rsidRDefault="00ED5041" w:rsidP="00681C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065A7C">
              <w:t>5</w:t>
            </w:r>
          </w:p>
        </w:tc>
      </w:tr>
    </w:tbl>
    <w:tbl>
      <w:tblPr>
        <w:tblStyle w:val="GridTable2"/>
        <w:tblpPr w:leftFromText="180" w:rightFromText="180" w:vertAnchor="text" w:horzAnchor="margin" w:tblpXSpec="right" w:tblpY="87"/>
        <w:tblW w:w="4770" w:type="dxa"/>
        <w:tblLook w:val="04A0" w:firstRow="1" w:lastRow="0" w:firstColumn="1" w:lastColumn="0" w:noHBand="0" w:noVBand="1"/>
      </w:tblPr>
      <w:tblGrid>
        <w:gridCol w:w="1139"/>
        <w:gridCol w:w="1491"/>
        <w:gridCol w:w="2140"/>
      </w:tblGrid>
      <w:tr w:rsidR="00ED5041" w:rsidRPr="0052448B" w14:paraId="709106D3" w14:textId="77777777" w:rsidTr="00751819">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vAlign w:val="bottom"/>
            <w:hideMark/>
          </w:tcPr>
          <w:bookmarkEnd w:id="0"/>
          <w:p w14:paraId="3B1220DC" w14:textId="77777777" w:rsidR="00ED5041" w:rsidRPr="0052448B" w:rsidRDefault="00ED5041" w:rsidP="00681CDC">
            <w:pPr>
              <w:jc w:val="center"/>
              <w:rPr>
                <w:rFonts w:ascii="Calibri" w:eastAsia="Times New Roman" w:hAnsi="Calibri" w:cs="Times New Roman"/>
                <w:color w:val="000000"/>
              </w:rPr>
            </w:pPr>
            <w:r w:rsidRPr="004D7B26">
              <w:t>Percentile</w:t>
            </w:r>
          </w:p>
        </w:tc>
        <w:tc>
          <w:tcPr>
            <w:tcW w:w="1491" w:type="dxa"/>
            <w:noWrap/>
            <w:vAlign w:val="bottom"/>
            <w:hideMark/>
          </w:tcPr>
          <w:p w14:paraId="41837967" w14:textId="77777777" w:rsidR="00ED5041" w:rsidRPr="0052448B" w:rsidRDefault="00ED5041" w:rsidP="00681C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4D7B26">
              <w:t>BA (ft²/ac)</w:t>
            </w:r>
          </w:p>
        </w:tc>
        <w:tc>
          <w:tcPr>
            <w:tcW w:w="2140" w:type="dxa"/>
            <w:noWrap/>
            <w:vAlign w:val="bottom"/>
            <w:hideMark/>
          </w:tcPr>
          <w:p w14:paraId="6BD54A51" w14:textId="44B58118" w:rsidR="00ED5041" w:rsidRPr="0052448B" w:rsidRDefault="00ED5041" w:rsidP="00681C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4D7B26">
              <w:t>C Prediction (t</w:t>
            </w:r>
            <w:r w:rsidR="00F91B04">
              <w:t>o</w:t>
            </w:r>
            <w:r w:rsidR="00D93181">
              <w:t>n</w:t>
            </w:r>
            <w:r w:rsidRPr="004D7B26">
              <w:t>/ac)</w:t>
            </w:r>
          </w:p>
        </w:tc>
      </w:tr>
      <w:tr w:rsidR="00ED5041" w:rsidRPr="0052448B" w14:paraId="583DDE23"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06BFC12B" w14:textId="77777777" w:rsidR="00ED5041" w:rsidRPr="0052448B" w:rsidRDefault="00ED5041" w:rsidP="00681CDC">
            <w:pPr>
              <w:jc w:val="center"/>
              <w:rPr>
                <w:rFonts w:ascii="Calibri" w:eastAsia="Times New Roman" w:hAnsi="Calibri" w:cs="Times New Roman"/>
                <w:color w:val="000000"/>
              </w:rPr>
            </w:pPr>
            <w:r w:rsidRPr="00C5576D">
              <w:t>0</w:t>
            </w:r>
          </w:p>
        </w:tc>
        <w:tc>
          <w:tcPr>
            <w:tcW w:w="1491" w:type="dxa"/>
            <w:noWrap/>
            <w:hideMark/>
          </w:tcPr>
          <w:p w14:paraId="0562537C" w14:textId="77777777" w:rsidR="00ED5041" w:rsidRPr="0052448B" w:rsidRDefault="00ED5041" w:rsidP="00681C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5576D">
              <w:t>0</w:t>
            </w:r>
          </w:p>
        </w:tc>
        <w:tc>
          <w:tcPr>
            <w:tcW w:w="2140" w:type="dxa"/>
            <w:noWrap/>
            <w:hideMark/>
          </w:tcPr>
          <w:p w14:paraId="28296CC1" w14:textId="77777777" w:rsidR="00ED5041" w:rsidRPr="0052448B" w:rsidRDefault="00ED5041" w:rsidP="00681C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5576D">
              <w:t>0</w:t>
            </w:r>
          </w:p>
        </w:tc>
      </w:tr>
      <w:tr w:rsidR="00ED5041" w:rsidRPr="0052448B" w14:paraId="55EAF085"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587FBD21" w14:textId="77777777" w:rsidR="00ED5041" w:rsidRPr="0052448B" w:rsidRDefault="00ED5041" w:rsidP="00681CDC">
            <w:pPr>
              <w:jc w:val="center"/>
              <w:rPr>
                <w:rFonts w:ascii="Calibri" w:eastAsia="Times New Roman" w:hAnsi="Calibri" w:cs="Times New Roman"/>
                <w:color w:val="000000"/>
              </w:rPr>
            </w:pPr>
            <w:r w:rsidRPr="00C5576D">
              <w:t>5</w:t>
            </w:r>
          </w:p>
        </w:tc>
        <w:tc>
          <w:tcPr>
            <w:tcW w:w="1491" w:type="dxa"/>
            <w:noWrap/>
            <w:hideMark/>
          </w:tcPr>
          <w:p w14:paraId="378781B7" w14:textId="77777777" w:rsidR="00ED5041" w:rsidRPr="0052448B" w:rsidRDefault="00ED5041" w:rsidP="00681C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5576D">
              <w:t>0</w:t>
            </w:r>
          </w:p>
        </w:tc>
        <w:tc>
          <w:tcPr>
            <w:tcW w:w="2140" w:type="dxa"/>
            <w:noWrap/>
            <w:hideMark/>
          </w:tcPr>
          <w:p w14:paraId="64882471" w14:textId="77777777" w:rsidR="00ED5041" w:rsidRPr="0052448B" w:rsidRDefault="00ED5041" w:rsidP="00681C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5576D">
              <w:t>0</w:t>
            </w:r>
          </w:p>
        </w:tc>
      </w:tr>
      <w:tr w:rsidR="00ED5041" w:rsidRPr="0052448B" w14:paraId="7B0ECB83"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311A069E" w14:textId="77777777" w:rsidR="00ED5041" w:rsidRPr="0052448B" w:rsidRDefault="00ED5041" w:rsidP="00681CDC">
            <w:pPr>
              <w:jc w:val="center"/>
              <w:rPr>
                <w:rFonts w:ascii="Calibri" w:eastAsia="Times New Roman" w:hAnsi="Calibri" w:cs="Times New Roman"/>
                <w:color w:val="000000"/>
              </w:rPr>
            </w:pPr>
            <w:r w:rsidRPr="00C5576D">
              <w:t>10</w:t>
            </w:r>
          </w:p>
        </w:tc>
        <w:tc>
          <w:tcPr>
            <w:tcW w:w="1491" w:type="dxa"/>
            <w:noWrap/>
            <w:hideMark/>
          </w:tcPr>
          <w:p w14:paraId="4E7CAF3E" w14:textId="77777777" w:rsidR="00ED5041" w:rsidRPr="0052448B" w:rsidRDefault="00ED5041" w:rsidP="00681C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5576D">
              <w:t>0</w:t>
            </w:r>
          </w:p>
        </w:tc>
        <w:tc>
          <w:tcPr>
            <w:tcW w:w="2140" w:type="dxa"/>
            <w:noWrap/>
            <w:hideMark/>
          </w:tcPr>
          <w:p w14:paraId="205BC12E" w14:textId="77777777" w:rsidR="00ED5041" w:rsidRPr="0052448B" w:rsidRDefault="00ED5041" w:rsidP="00681C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5576D">
              <w:t>0</w:t>
            </w:r>
          </w:p>
        </w:tc>
      </w:tr>
      <w:tr w:rsidR="00ED5041" w:rsidRPr="0052448B" w14:paraId="77774A4F"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01A25D93" w14:textId="77777777" w:rsidR="00ED5041" w:rsidRPr="0052448B" w:rsidRDefault="00ED5041" w:rsidP="00681CDC">
            <w:pPr>
              <w:jc w:val="center"/>
              <w:rPr>
                <w:rFonts w:ascii="Calibri" w:eastAsia="Times New Roman" w:hAnsi="Calibri" w:cs="Times New Roman"/>
                <w:color w:val="000000"/>
              </w:rPr>
            </w:pPr>
            <w:r w:rsidRPr="00C5576D">
              <w:t>15</w:t>
            </w:r>
          </w:p>
        </w:tc>
        <w:tc>
          <w:tcPr>
            <w:tcW w:w="1491" w:type="dxa"/>
            <w:noWrap/>
            <w:hideMark/>
          </w:tcPr>
          <w:p w14:paraId="4CEC82FA" w14:textId="77777777" w:rsidR="00ED5041" w:rsidRPr="0052448B" w:rsidRDefault="00ED5041" w:rsidP="00681C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5576D">
              <w:t>0</w:t>
            </w:r>
          </w:p>
        </w:tc>
        <w:tc>
          <w:tcPr>
            <w:tcW w:w="2140" w:type="dxa"/>
            <w:noWrap/>
            <w:hideMark/>
          </w:tcPr>
          <w:p w14:paraId="2869A1F7" w14:textId="77777777" w:rsidR="00ED5041" w:rsidRPr="0052448B" w:rsidRDefault="00ED5041" w:rsidP="00681C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5576D">
              <w:t>0</w:t>
            </w:r>
          </w:p>
        </w:tc>
      </w:tr>
      <w:tr w:rsidR="00ED5041" w:rsidRPr="0052448B" w14:paraId="4965D8B6"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366AA0C7" w14:textId="77777777" w:rsidR="00ED5041" w:rsidRPr="0052448B" w:rsidRDefault="00ED5041" w:rsidP="00681CDC">
            <w:pPr>
              <w:jc w:val="center"/>
              <w:rPr>
                <w:rFonts w:ascii="Calibri" w:eastAsia="Times New Roman" w:hAnsi="Calibri" w:cs="Times New Roman"/>
                <w:color w:val="000000"/>
              </w:rPr>
            </w:pPr>
            <w:r w:rsidRPr="00C5576D">
              <w:t>20</w:t>
            </w:r>
          </w:p>
        </w:tc>
        <w:tc>
          <w:tcPr>
            <w:tcW w:w="1491" w:type="dxa"/>
            <w:noWrap/>
            <w:hideMark/>
          </w:tcPr>
          <w:p w14:paraId="33A6B14F" w14:textId="77777777" w:rsidR="00ED5041" w:rsidRPr="0052448B" w:rsidRDefault="00ED5041" w:rsidP="00681C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5576D">
              <w:t>0</w:t>
            </w:r>
          </w:p>
        </w:tc>
        <w:tc>
          <w:tcPr>
            <w:tcW w:w="2140" w:type="dxa"/>
            <w:noWrap/>
            <w:hideMark/>
          </w:tcPr>
          <w:p w14:paraId="1CECF453" w14:textId="77777777" w:rsidR="00ED5041" w:rsidRPr="0052448B" w:rsidRDefault="00ED5041" w:rsidP="00681C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5576D">
              <w:t>0</w:t>
            </w:r>
          </w:p>
        </w:tc>
      </w:tr>
      <w:tr w:rsidR="00ED5041" w:rsidRPr="0052448B" w14:paraId="439DE045"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63379FAC" w14:textId="77777777" w:rsidR="00ED5041" w:rsidRPr="0052448B" w:rsidRDefault="00ED5041" w:rsidP="00681CDC">
            <w:pPr>
              <w:jc w:val="center"/>
              <w:rPr>
                <w:rFonts w:ascii="Calibri" w:eastAsia="Times New Roman" w:hAnsi="Calibri" w:cs="Times New Roman"/>
                <w:color w:val="000000"/>
              </w:rPr>
            </w:pPr>
            <w:r w:rsidRPr="00C5576D">
              <w:t>25</w:t>
            </w:r>
          </w:p>
        </w:tc>
        <w:tc>
          <w:tcPr>
            <w:tcW w:w="1491" w:type="dxa"/>
            <w:noWrap/>
            <w:hideMark/>
          </w:tcPr>
          <w:p w14:paraId="67F5765A" w14:textId="77777777" w:rsidR="00ED5041" w:rsidRPr="0052448B" w:rsidRDefault="00ED5041" w:rsidP="00681C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5576D">
              <w:t>0.9</w:t>
            </w:r>
          </w:p>
        </w:tc>
        <w:tc>
          <w:tcPr>
            <w:tcW w:w="2140" w:type="dxa"/>
            <w:noWrap/>
            <w:hideMark/>
          </w:tcPr>
          <w:p w14:paraId="4ECA57FA" w14:textId="77777777" w:rsidR="00ED5041" w:rsidRPr="0052448B" w:rsidRDefault="00ED5041" w:rsidP="00681C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5576D">
              <w:t>0.1</w:t>
            </w:r>
          </w:p>
        </w:tc>
      </w:tr>
      <w:tr w:rsidR="00ED5041" w:rsidRPr="0052448B" w14:paraId="1032D296"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1AB197BA" w14:textId="77777777" w:rsidR="00ED5041" w:rsidRPr="0052448B" w:rsidRDefault="00ED5041" w:rsidP="00681CDC">
            <w:pPr>
              <w:jc w:val="center"/>
              <w:rPr>
                <w:rFonts w:ascii="Calibri" w:eastAsia="Times New Roman" w:hAnsi="Calibri" w:cs="Times New Roman"/>
                <w:color w:val="000000"/>
              </w:rPr>
            </w:pPr>
            <w:r w:rsidRPr="00C5576D">
              <w:t>30</w:t>
            </w:r>
          </w:p>
        </w:tc>
        <w:tc>
          <w:tcPr>
            <w:tcW w:w="1491" w:type="dxa"/>
            <w:noWrap/>
            <w:hideMark/>
          </w:tcPr>
          <w:p w14:paraId="2A167A30" w14:textId="77777777" w:rsidR="00ED5041" w:rsidRPr="0052448B" w:rsidRDefault="00ED5041" w:rsidP="00681C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5576D">
              <w:t>1.7</w:t>
            </w:r>
          </w:p>
        </w:tc>
        <w:tc>
          <w:tcPr>
            <w:tcW w:w="2140" w:type="dxa"/>
            <w:noWrap/>
            <w:hideMark/>
          </w:tcPr>
          <w:p w14:paraId="3B5A3F15" w14:textId="77777777" w:rsidR="00ED5041" w:rsidRPr="0052448B" w:rsidRDefault="00ED5041" w:rsidP="00681C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5576D">
              <w:t>0.2</w:t>
            </w:r>
          </w:p>
        </w:tc>
      </w:tr>
      <w:tr w:rsidR="00ED5041" w:rsidRPr="0052448B" w14:paraId="20CB2071"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08C582B0" w14:textId="77777777" w:rsidR="00ED5041" w:rsidRPr="0052448B" w:rsidRDefault="00ED5041" w:rsidP="00681CDC">
            <w:pPr>
              <w:jc w:val="center"/>
              <w:rPr>
                <w:rFonts w:ascii="Calibri" w:eastAsia="Times New Roman" w:hAnsi="Calibri" w:cs="Times New Roman"/>
                <w:color w:val="000000"/>
              </w:rPr>
            </w:pPr>
            <w:r w:rsidRPr="00C5576D">
              <w:t>35</w:t>
            </w:r>
          </w:p>
        </w:tc>
        <w:tc>
          <w:tcPr>
            <w:tcW w:w="1491" w:type="dxa"/>
            <w:noWrap/>
            <w:hideMark/>
          </w:tcPr>
          <w:p w14:paraId="1C334446" w14:textId="77777777" w:rsidR="00ED5041" w:rsidRPr="0052448B" w:rsidRDefault="00ED5041" w:rsidP="00681C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5576D">
              <w:t>2.4</w:t>
            </w:r>
          </w:p>
        </w:tc>
        <w:tc>
          <w:tcPr>
            <w:tcW w:w="2140" w:type="dxa"/>
            <w:noWrap/>
            <w:hideMark/>
          </w:tcPr>
          <w:p w14:paraId="75CEFCF4" w14:textId="77777777" w:rsidR="00ED5041" w:rsidRPr="0052448B" w:rsidRDefault="00ED5041" w:rsidP="00681C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5576D">
              <w:t>0.3</w:t>
            </w:r>
          </w:p>
        </w:tc>
      </w:tr>
      <w:tr w:rsidR="00ED5041" w:rsidRPr="0052448B" w14:paraId="27367508"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2BA85602" w14:textId="77777777" w:rsidR="00ED5041" w:rsidRPr="0052448B" w:rsidRDefault="00ED5041" w:rsidP="00681CDC">
            <w:pPr>
              <w:jc w:val="center"/>
              <w:rPr>
                <w:rFonts w:ascii="Calibri" w:eastAsia="Times New Roman" w:hAnsi="Calibri" w:cs="Times New Roman"/>
                <w:color w:val="000000"/>
              </w:rPr>
            </w:pPr>
            <w:r w:rsidRPr="00C5576D">
              <w:t>40</w:t>
            </w:r>
          </w:p>
        </w:tc>
        <w:tc>
          <w:tcPr>
            <w:tcW w:w="1491" w:type="dxa"/>
            <w:noWrap/>
            <w:hideMark/>
          </w:tcPr>
          <w:p w14:paraId="73F86516" w14:textId="77777777" w:rsidR="00ED5041" w:rsidRPr="0052448B" w:rsidRDefault="00ED5041" w:rsidP="00681C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5576D">
              <w:t>3.2</w:t>
            </w:r>
          </w:p>
        </w:tc>
        <w:tc>
          <w:tcPr>
            <w:tcW w:w="2140" w:type="dxa"/>
            <w:noWrap/>
            <w:hideMark/>
          </w:tcPr>
          <w:p w14:paraId="1B4AFF72" w14:textId="77777777" w:rsidR="00ED5041" w:rsidRPr="0052448B" w:rsidRDefault="00ED5041" w:rsidP="00681C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5576D">
              <w:t>0.4</w:t>
            </w:r>
          </w:p>
        </w:tc>
      </w:tr>
      <w:tr w:rsidR="00ED5041" w:rsidRPr="0052448B" w14:paraId="0054A2BB"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6F348BB8" w14:textId="77777777" w:rsidR="00ED5041" w:rsidRPr="0052448B" w:rsidRDefault="00ED5041" w:rsidP="00681CDC">
            <w:pPr>
              <w:jc w:val="center"/>
              <w:rPr>
                <w:rFonts w:ascii="Calibri" w:eastAsia="Times New Roman" w:hAnsi="Calibri" w:cs="Times New Roman"/>
                <w:color w:val="000000"/>
              </w:rPr>
            </w:pPr>
            <w:r w:rsidRPr="00C5576D">
              <w:t>45</w:t>
            </w:r>
          </w:p>
        </w:tc>
        <w:tc>
          <w:tcPr>
            <w:tcW w:w="1491" w:type="dxa"/>
            <w:noWrap/>
            <w:hideMark/>
          </w:tcPr>
          <w:p w14:paraId="4DE10D8D" w14:textId="77777777" w:rsidR="00ED5041" w:rsidRPr="0052448B" w:rsidRDefault="00ED5041" w:rsidP="00681C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5576D">
              <w:t>4.2</w:t>
            </w:r>
          </w:p>
        </w:tc>
        <w:tc>
          <w:tcPr>
            <w:tcW w:w="2140" w:type="dxa"/>
            <w:noWrap/>
            <w:hideMark/>
          </w:tcPr>
          <w:p w14:paraId="4DD1AFDD" w14:textId="77777777" w:rsidR="00ED5041" w:rsidRPr="0052448B" w:rsidRDefault="00ED5041" w:rsidP="00681C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5576D">
              <w:t>0.5</w:t>
            </w:r>
          </w:p>
        </w:tc>
      </w:tr>
      <w:tr w:rsidR="00ED5041" w:rsidRPr="0052448B" w14:paraId="0764AC3B"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49F3938F" w14:textId="77777777" w:rsidR="00ED5041" w:rsidRPr="0052448B" w:rsidRDefault="00ED5041" w:rsidP="00681CDC">
            <w:pPr>
              <w:jc w:val="center"/>
              <w:rPr>
                <w:rFonts w:ascii="Calibri" w:eastAsia="Times New Roman" w:hAnsi="Calibri" w:cs="Times New Roman"/>
                <w:color w:val="000000"/>
              </w:rPr>
            </w:pPr>
            <w:r w:rsidRPr="00C5576D">
              <w:t>50</w:t>
            </w:r>
          </w:p>
        </w:tc>
        <w:tc>
          <w:tcPr>
            <w:tcW w:w="1491" w:type="dxa"/>
            <w:noWrap/>
            <w:hideMark/>
          </w:tcPr>
          <w:p w14:paraId="2070B490" w14:textId="77777777" w:rsidR="00ED5041" w:rsidRPr="0052448B" w:rsidRDefault="00ED5041" w:rsidP="00681C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5576D">
              <w:t>5.2</w:t>
            </w:r>
          </w:p>
        </w:tc>
        <w:tc>
          <w:tcPr>
            <w:tcW w:w="2140" w:type="dxa"/>
            <w:noWrap/>
            <w:hideMark/>
          </w:tcPr>
          <w:p w14:paraId="1ECBB17C" w14:textId="77777777" w:rsidR="00ED5041" w:rsidRPr="0052448B" w:rsidRDefault="00ED5041" w:rsidP="00681C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5576D">
              <w:t>0.7</w:t>
            </w:r>
          </w:p>
        </w:tc>
      </w:tr>
      <w:tr w:rsidR="00ED5041" w:rsidRPr="0052448B" w14:paraId="7DBA33E6"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3C30002B" w14:textId="77777777" w:rsidR="00ED5041" w:rsidRPr="0052448B" w:rsidRDefault="00ED5041" w:rsidP="00681CDC">
            <w:pPr>
              <w:jc w:val="center"/>
              <w:rPr>
                <w:rFonts w:ascii="Calibri" w:eastAsia="Times New Roman" w:hAnsi="Calibri" w:cs="Times New Roman"/>
                <w:color w:val="000000"/>
              </w:rPr>
            </w:pPr>
            <w:r w:rsidRPr="00C5576D">
              <w:t>55</w:t>
            </w:r>
          </w:p>
        </w:tc>
        <w:tc>
          <w:tcPr>
            <w:tcW w:w="1491" w:type="dxa"/>
            <w:noWrap/>
            <w:hideMark/>
          </w:tcPr>
          <w:p w14:paraId="188335F5" w14:textId="77777777" w:rsidR="00ED5041" w:rsidRPr="0052448B" w:rsidRDefault="00ED5041" w:rsidP="00681C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5576D">
              <w:t>6.3</w:t>
            </w:r>
          </w:p>
        </w:tc>
        <w:tc>
          <w:tcPr>
            <w:tcW w:w="2140" w:type="dxa"/>
            <w:noWrap/>
            <w:hideMark/>
          </w:tcPr>
          <w:p w14:paraId="7CB9C4A7" w14:textId="77777777" w:rsidR="00ED5041" w:rsidRPr="0052448B" w:rsidRDefault="00ED5041" w:rsidP="00681C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5576D">
              <w:t>0.8</w:t>
            </w:r>
          </w:p>
        </w:tc>
      </w:tr>
      <w:tr w:rsidR="00ED5041" w:rsidRPr="0052448B" w14:paraId="72E1C49B"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6B65FADC" w14:textId="77777777" w:rsidR="00ED5041" w:rsidRPr="0052448B" w:rsidRDefault="00ED5041" w:rsidP="00681CDC">
            <w:pPr>
              <w:jc w:val="center"/>
              <w:rPr>
                <w:rFonts w:ascii="Calibri" w:eastAsia="Times New Roman" w:hAnsi="Calibri" w:cs="Times New Roman"/>
                <w:color w:val="000000"/>
              </w:rPr>
            </w:pPr>
            <w:r w:rsidRPr="00C5576D">
              <w:t>60</w:t>
            </w:r>
          </w:p>
        </w:tc>
        <w:tc>
          <w:tcPr>
            <w:tcW w:w="1491" w:type="dxa"/>
            <w:noWrap/>
            <w:hideMark/>
          </w:tcPr>
          <w:p w14:paraId="4255B0F3" w14:textId="77777777" w:rsidR="00ED5041" w:rsidRPr="0052448B" w:rsidRDefault="00ED5041" w:rsidP="00681C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5576D">
              <w:t>7.5</w:t>
            </w:r>
          </w:p>
        </w:tc>
        <w:tc>
          <w:tcPr>
            <w:tcW w:w="2140" w:type="dxa"/>
            <w:noWrap/>
            <w:hideMark/>
          </w:tcPr>
          <w:p w14:paraId="6C722AD3" w14:textId="77777777" w:rsidR="00ED5041" w:rsidRPr="0052448B" w:rsidRDefault="00ED5041" w:rsidP="00681C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5576D">
              <w:t>0.9</w:t>
            </w:r>
          </w:p>
        </w:tc>
      </w:tr>
      <w:tr w:rsidR="00ED5041" w:rsidRPr="0052448B" w14:paraId="0F16DED4"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5A405423" w14:textId="77777777" w:rsidR="00ED5041" w:rsidRPr="0052448B" w:rsidRDefault="00ED5041" w:rsidP="00681CDC">
            <w:pPr>
              <w:jc w:val="center"/>
              <w:rPr>
                <w:rFonts w:ascii="Calibri" w:eastAsia="Times New Roman" w:hAnsi="Calibri" w:cs="Times New Roman"/>
                <w:color w:val="000000"/>
              </w:rPr>
            </w:pPr>
            <w:r w:rsidRPr="00C5576D">
              <w:t>65</w:t>
            </w:r>
          </w:p>
        </w:tc>
        <w:tc>
          <w:tcPr>
            <w:tcW w:w="1491" w:type="dxa"/>
            <w:noWrap/>
            <w:hideMark/>
          </w:tcPr>
          <w:p w14:paraId="70E896DB" w14:textId="77777777" w:rsidR="00ED5041" w:rsidRPr="0052448B" w:rsidRDefault="00ED5041" w:rsidP="00681C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5576D">
              <w:t>9</w:t>
            </w:r>
          </w:p>
        </w:tc>
        <w:tc>
          <w:tcPr>
            <w:tcW w:w="2140" w:type="dxa"/>
            <w:noWrap/>
            <w:hideMark/>
          </w:tcPr>
          <w:p w14:paraId="25F04F17" w14:textId="77777777" w:rsidR="00ED5041" w:rsidRPr="0052448B" w:rsidRDefault="00ED5041" w:rsidP="00681C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5576D">
              <w:t>1.1</w:t>
            </w:r>
          </w:p>
        </w:tc>
      </w:tr>
      <w:tr w:rsidR="00ED5041" w:rsidRPr="0052448B" w14:paraId="329F350F"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7B6F2AB4" w14:textId="77777777" w:rsidR="00ED5041" w:rsidRPr="0052448B" w:rsidRDefault="00ED5041" w:rsidP="00681CDC">
            <w:pPr>
              <w:jc w:val="center"/>
              <w:rPr>
                <w:rFonts w:ascii="Calibri" w:eastAsia="Times New Roman" w:hAnsi="Calibri" w:cs="Times New Roman"/>
                <w:color w:val="000000"/>
              </w:rPr>
            </w:pPr>
            <w:r w:rsidRPr="00C5576D">
              <w:t>70</w:t>
            </w:r>
          </w:p>
        </w:tc>
        <w:tc>
          <w:tcPr>
            <w:tcW w:w="1491" w:type="dxa"/>
            <w:noWrap/>
            <w:hideMark/>
          </w:tcPr>
          <w:p w14:paraId="72C6245D" w14:textId="77777777" w:rsidR="00ED5041" w:rsidRPr="0052448B" w:rsidRDefault="00ED5041" w:rsidP="00681C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5576D">
              <w:t>10.4</w:t>
            </w:r>
          </w:p>
        </w:tc>
        <w:tc>
          <w:tcPr>
            <w:tcW w:w="2140" w:type="dxa"/>
            <w:noWrap/>
            <w:hideMark/>
          </w:tcPr>
          <w:p w14:paraId="366DF00F" w14:textId="77777777" w:rsidR="00ED5041" w:rsidRPr="0052448B" w:rsidRDefault="00ED5041" w:rsidP="00681C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5576D">
              <w:t>1.3</w:t>
            </w:r>
          </w:p>
        </w:tc>
      </w:tr>
      <w:tr w:rsidR="00ED5041" w:rsidRPr="0052448B" w14:paraId="4B78C4A2"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20C3507A" w14:textId="77777777" w:rsidR="00ED5041" w:rsidRPr="0052448B" w:rsidRDefault="00ED5041" w:rsidP="00681CDC">
            <w:pPr>
              <w:jc w:val="center"/>
              <w:rPr>
                <w:rFonts w:ascii="Calibri" w:eastAsia="Times New Roman" w:hAnsi="Calibri" w:cs="Times New Roman"/>
                <w:color w:val="000000"/>
              </w:rPr>
            </w:pPr>
            <w:r w:rsidRPr="00C5576D">
              <w:t>75</w:t>
            </w:r>
          </w:p>
        </w:tc>
        <w:tc>
          <w:tcPr>
            <w:tcW w:w="1491" w:type="dxa"/>
            <w:noWrap/>
            <w:hideMark/>
          </w:tcPr>
          <w:p w14:paraId="7FF30B7E" w14:textId="77777777" w:rsidR="00ED5041" w:rsidRPr="0052448B" w:rsidRDefault="00ED5041" w:rsidP="00681C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5576D">
              <w:t>12.5</w:t>
            </w:r>
          </w:p>
        </w:tc>
        <w:tc>
          <w:tcPr>
            <w:tcW w:w="2140" w:type="dxa"/>
            <w:noWrap/>
            <w:hideMark/>
          </w:tcPr>
          <w:p w14:paraId="2A0CE34D" w14:textId="77777777" w:rsidR="00ED5041" w:rsidRPr="0052448B" w:rsidRDefault="00ED5041" w:rsidP="00681C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5576D">
              <w:t>1.6</w:t>
            </w:r>
          </w:p>
        </w:tc>
      </w:tr>
      <w:tr w:rsidR="00ED5041" w:rsidRPr="0052448B" w14:paraId="76127D28"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731C5583" w14:textId="77777777" w:rsidR="00ED5041" w:rsidRPr="0052448B" w:rsidRDefault="00ED5041" w:rsidP="00681CDC">
            <w:pPr>
              <w:jc w:val="center"/>
              <w:rPr>
                <w:rFonts w:ascii="Calibri" w:eastAsia="Times New Roman" w:hAnsi="Calibri" w:cs="Times New Roman"/>
                <w:color w:val="000000"/>
              </w:rPr>
            </w:pPr>
            <w:r w:rsidRPr="00C5576D">
              <w:t>80</w:t>
            </w:r>
          </w:p>
        </w:tc>
        <w:tc>
          <w:tcPr>
            <w:tcW w:w="1491" w:type="dxa"/>
            <w:noWrap/>
            <w:hideMark/>
          </w:tcPr>
          <w:p w14:paraId="21097A8D" w14:textId="77777777" w:rsidR="00ED5041" w:rsidRPr="0052448B" w:rsidRDefault="00ED5041" w:rsidP="00681C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5576D">
              <w:t>15</w:t>
            </w:r>
          </w:p>
        </w:tc>
        <w:tc>
          <w:tcPr>
            <w:tcW w:w="2140" w:type="dxa"/>
            <w:noWrap/>
            <w:hideMark/>
          </w:tcPr>
          <w:p w14:paraId="03AF45B9" w14:textId="77777777" w:rsidR="00ED5041" w:rsidRPr="0052448B" w:rsidRDefault="00ED5041" w:rsidP="00681C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5576D">
              <w:t>1.9</w:t>
            </w:r>
          </w:p>
        </w:tc>
      </w:tr>
      <w:tr w:rsidR="00ED5041" w:rsidRPr="0052448B" w14:paraId="2B3ED9E1"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3E585527" w14:textId="77777777" w:rsidR="00ED5041" w:rsidRPr="0052448B" w:rsidRDefault="00ED5041" w:rsidP="00681CDC">
            <w:pPr>
              <w:jc w:val="center"/>
              <w:rPr>
                <w:rFonts w:ascii="Calibri" w:eastAsia="Times New Roman" w:hAnsi="Calibri" w:cs="Times New Roman"/>
                <w:color w:val="000000"/>
              </w:rPr>
            </w:pPr>
            <w:r w:rsidRPr="00C5576D">
              <w:t>85</w:t>
            </w:r>
          </w:p>
        </w:tc>
        <w:tc>
          <w:tcPr>
            <w:tcW w:w="1491" w:type="dxa"/>
            <w:noWrap/>
            <w:hideMark/>
          </w:tcPr>
          <w:p w14:paraId="5DC7891D" w14:textId="77777777" w:rsidR="00ED5041" w:rsidRPr="0052448B" w:rsidRDefault="00ED5041" w:rsidP="00681C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5576D">
              <w:t>18.2</w:t>
            </w:r>
          </w:p>
        </w:tc>
        <w:tc>
          <w:tcPr>
            <w:tcW w:w="2140" w:type="dxa"/>
            <w:noWrap/>
            <w:hideMark/>
          </w:tcPr>
          <w:p w14:paraId="4AE41678" w14:textId="77777777" w:rsidR="00ED5041" w:rsidRPr="0052448B" w:rsidRDefault="00ED5041" w:rsidP="00681C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5576D">
              <w:t>2.3</w:t>
            </w:r>
          </w:p>
        </w:tc>
      </w:tr>
      <w:tr w:rsidR="00ED5041" w:rsidRPr="0052448B" w14:paraId="7D18EF0D"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25394FE0" w14:textId="77777777" w:rsidR="00ED5041" w:rsidRPr="0052448B" w:rsidRDefault="00ED5041" w:rsidP="00681CDC">
            <w:pPr>
              <w:jc w:val="center"/>
              <w:rPr>
                <w:rFonts w:ascii="Calibri" w:eastAsia="Times New Roman" w:hAnsi="Calibri" w:cs="Times New Roman"/>
                <w:color w:val="000000"/>
              </w:rPr>
            </w:pPr>
            <w:r w:rsidRPr="00C5576D">
              <w:t>90</w:t>
            </w:r>
          </w:p>
        </w:tc>
        <w:tc>
          <w:tcPr>
            <w:tcW w:w="1491" w:type="dxa"/>
            <w:noWrap/>
            <w:hideMark/>
          </w:tcPr>
          <w:p w14:paraId="22BA14A0" w14:textId="77777777" w:rsidR="00ED5041" w:rsidRPr="0052448B" w:rsidRDefault="00ED5041" w:rsidP="00681C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5576D">
              <w:t>24.2</w:t>
            </w:r>
          </w:p>
        </w:tc>
        <w:tc>
          <w:tcPr>
            <w:tcW w:w="2140" w:type="dxa"/>
            <w:noWrap/>
            <w:hideMark/>
          </w:tcPr>
          <w:p w14:paraId="57B60634" w14:textId="77777777" w:rsidR="00ED5041" w:rsidRPr="0052448B" w:rsidRDefault="00ED5041" w:rsidP="00681C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5576D">
              <w:t>3</w:t>
            </w:r>
          </w:p>
        </w:tc>
      </w:tr>
      <w:tr w:rsidR="00ED5041" w:rsidRPr="0052448B" w14:paraId="44BF97D9"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4097B0B8" w14:textId="77777777" w:rsidR="00ED5041" w:rsidRPr="0052448B" w:rsidRDefault="00ED5041" w:rsidP="00681CDC">
            <w:pPr>
              <w:jc w:val="center"/>
              <w:rPr>
                <w:rFonts w:ascii="Calibri" w:eastAsia="Times New Roman" w:hAnsi="Calibri" w:cs="Times New Roman"/>
                <w:color w:val="000000"/>
              </w:rPr>
            </w:pPr>
            <w:r w:rsidRPr="00C5576D">
              <w:t>95</w:t>
            </w:r>
          </w:p>
        </w:tc>
        <w:tc>
          <w:tcPr>
            <w:tcW w:w="1491" w:type="dxa"/>
            <w:noWrap/>
            <w:hideMark/>
          </w:tcPr>
          <w:p w14:paraId="16636B5F" w14:textId="77777777" w:rsidR="00ED5041" w:rsidRPr="0052448B" w:rsidRDefault="00ED5041" w:rsidP="00681C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5576D">
              <w:t>35.6</w:t>
            </w:r>
          </w:p>
        </w:tc>
        <w:tc>
          <w:tcPr>
            <w:tcW w:w="2140" w:type="dxa"/>
            <w:noWrap/>
            <w:hideMark/>
          </w:tcPr>
          <w:p w14:paraId="7F1ADDE5" w14:textId="77777777" w:rsidR="00ED5041" w:rsidRPr="0052448B" w:rsidRDefault="00ED5041" w:rsidP="00681C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5576D">
              <w:t>4.5</w:t>
            </w:r>
          </w:p>
        </w:tc>
      </w:tr>
    </w:tbl>
    <w:p w14:paraId="05312AD7" w14:textId="77777777" w:rsidR="00ED5041" w:rsidRPr="000B0CA1" w:rsidRDefault="00ED5041" w:rsidP="00ED5041">
      <w:pPr>
        <w:jc w:val="center"/>
        <w:rPr>
          <w:b/>
        </w:rPr>
      </w:pPr>
    </w:p>
    <w:p w14:paraId="4A4526C3" w14:textId="77777777" w:rsidR="00ED5041" w:rsidRDefault="00ED5041" w:rsidP="00ED5041"/>
    <w:p w14:paraId="59ECEA91" w14:textId="77777777" w:rsidR="00ED5041" w:rsidRDefault="00ED5041" w:rsidP="00ED5041"/>
    <w:p w14:paraId="70EFB3CF" w14:textId="77777777" w:rsidR="00ED5041" w:rsidRDefault="00ED5041" w:rsidP="00ED5041"/>
    <w:p w14:paraId="36D2050F" w14:textId="77777777" w:rsidR="00ED5041" w:rsidRDefault="00ED5041" w:rsidP="00ED5041"/>
    <w:p w14:paraId="3218E9D7" w14:textId="77777777" w:rsidR="00ED5041" w:rsidRDefault="00ED5041" w:rsidP="00ED5041"/>
    <w:p w14:paraId="00CFAB56" w14:textId="77777777" w:rsidR="00ED5041" w:rsidRDefault="00ED5041" w:rsidP="00ED5041"/>
    <w:p w14:paraId="39ECA7A2" w14:textId="77777777" w:rsidR="00ED5041" w:rsidRDefault="00ED5041" w:rsidP="00ED5041"/>
    <w:p w14:paraId="46E7BDD4" w14:textId="77777777" w:rsidR="00ED5041" w:rsidRDefault="00ED5041" w:rsidP="00ED5041"/>
    <w:p w14:paraId="436A5A5D" w14:textId="77777777" w:rsidR="00ED5041" w:rsidRDefault="00ED5041" w:rsidP="00ED5041"/>
    <w:p w14:paraId="62196E49" w14:textId="77777777" w:rsidR="00ED5041" w:rsidRDefault="00ED5041" w:rsidP="00ED5041"/>
    <w:p w14:paraId="04A8D1D2" w14:textId="77777777" w:rsidR="00ED5041" w:rsidRPr="008E42D7" w:rsidRDefault="00ED5041" w:rsidP="00ED5041"/>
    <w:p w14:paraId="3EB8F1FD" w14:textId="77777777" w:rsidR="00ED5041" w:rsidRDefault="00ED5041" w:rsidP="00152474">
      <w:pPr>
        <w:rPr>
          <w:i/>
        </w:rPr>
      </w:pPr>
    </w:p>
    <w:p w14:paraId="1CEB3038" w14:textId="77777777" w:rsidR="00ED5041" w:rsidRDefault="00ED5041">
      <w:pPr>
        <w:rPr>
          <w:i/>
        </w:rPr>
      </w:pPr>
      <w:r>
        <w:rPr>
          <w:i/>
        </w:rPr>
        <w:br w:type="page"/>
      </w:r>
    </w:p>
    <w:p w14:paraId="2549E5B3" w14:textId="58284BA7" w:rsidR="00152474" w:rsidRPr="00ED5041" w:rsidRDefault="00152474" w:rsidP="00152474">
      <w:pPr>
        <w:rPr>
          <w:i/>
          <w:sz w:val="28"/>
        </w:rPr>
      </w:pPr>
      <w:r w:rsidRPr="00ED5041">
        <w:rPr>
          <w:i/>
          <w:sz w:val="28"/>
        </w:rPr>
        <w:lastRenderedPageBreak/>
        <w:t xml:space="preserve">Northeastern Highlands </w:t>
      </w:r>
    </w:p>
    <w:p w14:paraId="1EFDC55E" w14:textId="77777777" w:rsidR="00152474" w:rsidRDefault="00152474" w:rsidP="00152474">
      <w:pPr>
        <w:sectPr w:rsidR="00152474" w:rsidSect="00195867">
          <w:type w:val="continuous"/>
          <w:pgSz w:w="12240" w:h="15840"/>
          <w:pgMar w:top="1440" w:right="1440" w:bottom="1440" w:left="1440" w:header="720" w:footer="720" w:gutter="0"/>
          <w:cols w:space="720"/>
          <w:docGrid w:linePitch="360"/>
        </w:sectPr>
      </w:pPr>
    </w:p>
    <w:tbl>
      <w:tblPr>
        <w:tblStyle w:val="GridTable2"/>
        <w:tblpPr w:leftFromText="180" w:rightFromText="180" w:vertAnchor="text" w:horzAnchor="page" w:tblpX="2062" w:tblpY="655"/>
        <w:tblW w:w="3420" w:type="dxa"/>
        <w:tblLook w:val="04A0" w:firstRow="1" w:lastRow="0" w:firstColumn="1" w:lastColumn="0" w:noHBand="0" w:noVBand="1"/>
      </w:tblPr>
      <w:tblGrid>
        <w:gridCol w:w="1260"/>
        <w:gridCol w:w="2160"/>
      </w:tblGrid>
      <w:tr w:rsidR="00152474" w:rsidRPr="0030551C" w14:paraId="55F78EA1" w14:textId="77777777" w:rsidTr="00751819">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0889699D" w14:textId="77777777" w:rsidR="00152474" w:rsidRPr="00D0186B" w:rsidRDefault="00152474" w:rsidP="00195867">
            <w:r w:rsidRPr="00D0186B">
              <w:t>BA (ft²/ac)</w:t>
            </w:r>
          </w:p>
        </w:tc>
        <w:tc>
          <w:tcPr>
            <w:tcW w:w="2160" w:type="dxa"/>
            <w:noWrap/>
            <w:hideMark/>
          </w:tcPr>
          <w:p w14:paraId="1AA563EF" w14:textId="02263E1B" w:rsidR="00152474" w:rsidRPr="00D0186B" w:rsidRDefault="00152474" w:rsidP="00195867">
            <w:pPr>
              <w:cnfStyle w:val="100000000000" w:firstRow="1" w:lastRow="0" w:firstColumn="0" w:lastColumn="0" w:oddVBand="0" w:evenVBand="0" w:oddHBand="0" w:evenHBand="0" w:firstRowFirstColumn="0" w:firstRowLastColumn="0" w:lastRowFirstColumn="0" w:lastRowLastColumn="0"/>
            </w:pPr>
            <w:r w:rsidRPr="00D0186B">
              <w:t>C Prediction (t</w:t>
            </w:r>
            <w:r w:rsidR="00F91B04">
              <w:t>o</w:t>
            </w:r>
            <w:r w:rsidR="00D93181">
              <w:t>n</w:t>
            </w:r>
            <w:r w:rsidRPr="00D0186B">
              <w:t>/ac)</w:t>
            </w:r>
          </w:p>
        </w:tc>
      </w:tr>
      <w:tr w:rsidR="00152474" w:rsidRPr="0030551C" w14:paraId="6BB6A06A"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1527A948" w14:textId="77777777" w:rsidR="00152474" w:rsidRPr="00D0186B" w:rsidRDefault="00152474" w:rsidP="00195867">
            <w:pPr>
              <w:jc w:val="center"/>
            </w:pPr>
            <w:r w:rsidRPr="00D0186B">
              <w:t>0.0</w:t>
            </w:r>
          </w:p>
        </w:tc>
        <w:tc>
          <w:tcPr>
            <w:tcW w:w="2160" w:type="dxa"/>
            <w:noWrap/>
            <w:hideMark/>
          </w:tcPr>
          <w:p w14:paraId="2D95ED20" w14:textId="77777777" w:rsidR="00152474" w:rsidRPr="00D0186B"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D0186B">
              <w:t>0.0</w:t>
            </w:r>
          </w:p>
        </w:tc>
      </w:tr>
      <w:tr w:rsidR="00152474" w:rsidRPr="0030551C" w14:paraId="1B1A2A7D"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583500C3" w14:textId="77777777" w:rsidR="00152474" w:rsidRPr="00D0186B" w:rsidRDefault="00152474" w:rsidP="00195867">
            <w:pPr>
              <w:jc w:val="center"/>
            </w:pPr>
            <w:r w:rsidRPr="00D0186B">
              <w:t>10.0</w:t>
            </w:r>
          </w:p>
        </w:tc>
        <w:tc>
          <w:tcPr>
            <w:tcW w:w="2160" w:type="dxa"/>
            <w:noWrap/>
            <w:hideMark/>
          </w:tcPr>
          <w:p w14:paraId="046B153B" w14:textId="77777777" w:rsidR="00152474" w:rsidRPr="00D0186B"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D0186B">
              <w:t>3.2</w:t>
            </w:r>
          </w:p>
        </w:tc>
      </w:tr>
      <w:tr w:rsidR="00152474" w:rsidRPr="0030551C" w14:paraId="2E5F2B4D"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55DCBDC6" w14:textId="77777777" w:rsidR="00152474" w:rsidRPr="00D0186B" w:rsidRDefault="00152474" w:rsidP="00195867">
            <w:pPr>
              <w:jc w:val="center"/>
            </w:pPr>
            <w:r w:rsidRPr="00D0186B">
              <w:t>20.0</w:t>
            </w:r>
          </w:p>
        </w:tc>
        <w:tc>
          <w:tcPr>
            <w:tcW w:w="2160" w:type="dxa"/>
            <w:noWrap/>
            <w:hideMark/>
          </w:tcPr>
          <w:p w14:paraId="10692FE5" w14:textId="77777777" w:rsidR="00152474" w:rsidRPr="00D0186B"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D0186B">
              <w:t>6.5</w:t>
            </w:r>
          </w:p>
        </w:tc>
      </w:tr>
      <w:tr w:rsidR="00152474" w:rsidRPr="0030551C" w14:paraId="6E915F10"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140CEAEA" w14:textId="77777777" w:rsidR="00152474" w:rsidRPr="00D0186B" w:rsidRDefault="00152474" w:rsidP="00195867">
            <w:pPr>
              <w:jc w:val="center"/>
            </w:pPr>
            <w:r w:rsidRPr="00D0186B">
              <w:t>30.0</w:t>
            </w:r>
          </w:p>
        </w:tc>
        <w:tc>
          <w:tcPr>
            <w:tcW w:w="2160" w:type="dxa"/>
            <w:noWrap/>
            <w:hideMark/>
          </w:tcPr>
          <w:p w14:paraId="4E9CC07D" w14:textId="77777777" w:rsidR="00152474" w:rsidRPr="00D0186B"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D0186B">
              <w:t>9.7</w:t>
            </w:r>
          </w:p>
        </w:tc>
      </w:tr>
      <w:tr w:rsidR="00152474" w:rsidRPr="0030551C" w14:paraId="7D6DD048"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59F8D8FB" w14:textId="77777777" w:rsidR="00152474" w:rsidRPr="00D0186B" w:rsidRDefault="00152474" w:rsidP="00195867">
            <w:pPr>
              <w:jc w:val="center"/>
            </w:pPr>
            <w:r w:rsidRPr="00D0186B">
              <w:t>40.0</w:t>
            </w:r>
          </w:p>
        </w:tc>
        <w:tc>
          <w:tcPr>
            <w:tcW w:w="2160" w:type="dxa"/>
            <w:noWrap/>
            <w:hideMark/>
          </w:tcPr>
          <w:p w14:paraId="3AA8EBE0" w14:textId="77777777" w:rsidR="00152474" w:rsidRPr="00D0186B"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D0186B">
              <w:t>12.9</w:t>
            </w:r>
          </w:p>
        </w:tc>
      </w:tr>
      <w:tr w:rsidR="00152474" w:rsidRPr="0030551C" w14:paraId="59CA670B"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78DC472C" w14:textId="77777777" w:rsidR="00152474" w:rsidRPr="00D0186B" w:rsidRDefault="00152474" w:rsidP="00195867">
            <w:pPr>
              <w:jc w:val="center"/>
            </w:pPr>
            <w:r w:rsidRPr="00D0186B">
              <w:t>50.0</w:t>
            </w:r>
          </w:p>
        </w:tc>
        <w:tc>
          <w:tcPr>
            <w:tcW w:w="2160" w:type="dxa"/>
            <w:noWrap/>
            <w:hideMark/>
          </w:tcPr>
          <w:p w14:paraId="35A36E47" w14:textId="77777777" w:rsidR="00152474" w:rsidRPr="00D0186B"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D0186B">
              <w:t>16.2</w:t>
            </w:r>
          </w:p>
        </w:tc>
      </w:tr>
      <w:tr w:rsidR="00152474" w:rsidRPr="0030551C" w14:paraId="7DE96BB2"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44DFF540" w14:textId="77777777" w:rsidR="00152474" w:rsidRPr="00D0186B" w:rsidRDefault="00152474" w:rsidP="00195867">
            <w:pPr>
              <w:jc w:val="center"/>
            </w:pPr>
            <w:r w:rsidRPr="00D0186B">
              <w:t>60.0</w:t>
            </w:r>
          </w:p>
        </w:tc>
        <w:tc>
          <w:tcPr>
            <w:tcW w:w="2160" w:type="dxa"/>
            <w:noWrap/>
            <w:hideMark/>
          </w:tcPr>
          <w:p w14:paraId="5ED07370" w14:textId="77777777" w:rsidR="00152474" w:rsidRPr="00D0186B"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D0186B">
              <w:t>19.4</w:t>
            </w:r>
          </w:p>
        </w:tc>
      </w:tr>
      <w:tr w:rsidR="00152474" w:rsidRPr="0030551C" w14:paraId="541AB910"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7ED58DF6" w14:textId="77777777" w:rsidR="00152474" w:rsidRPr="00D0186B" w:rsidRDefault="00152474" w:rsidP="00195867">
            <w:pPr>
              <w:jc w:val="center"/>
            </w:pPr>
            <w:r w:rsidRPr="00D0186B">
              <w:t>70.0</w:t>
            </w:r>
          </w:p>
        </w:tc>
        <w:tc>
          <w:tcPr>
            <w:tcW w:w="2160" w:type="dxa"/>
            <w:noWrap/>
            <w:hideMark/>
          </w:tcPr>
          <w:p w14:paraId="61B411C6" w14:textId="77777777" w:rsidR="00152474" w:rsidRPr="00D0186B"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D0186B">
              <w:t>22.7</w:t>
            </w:r>
          </w:p>
        </w:tc>
      </w:tr>
      <w:tr w:rsidR="00152474" w:rsidRPr="0030551C" w14:paraId="7FC5F27A"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203A7661" w14:textId="77777777" w:rsidR="00152474" w:rsidRPr="00D0186B" w:rsidRDefault="00152474" w:rsidP="00195867">
            <w:pPr>
              <w:jc w:val="center"/>
            </w:pPr>
            <w:r w:rsidRPr="00D0186B">
              <w:t>80.0</w:t>
            </w:r>
          </w:p>
        </w:tc>
        <w:tc>
          <w:tcPr>
            <w:tcW w:w="2160" w:type="dxa"/>
            <w:noWrap/>
            <w:hideMark/>
          </w:tcPr>
          <w:p w14:paraId="7DDC195D" w14:textId="77777777" w:rsidR="00152474" w:rsidRPr="00D0186B"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D0186B">
              <w:t>25.9</w:t>
            </w:r>
          </w:p>
        </w:tc>
      </w:tr>
      <w:tr w:rsidR="00152474" w:rsidRPr="0030551C" w14:paraId="52D97A54"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67F42F86" w14:textId="77777777" w:rsidR="00152474" w:rsidRPr="00D0186B" w:rsidRDefault="00152474" w:rsidP="00195867">
            <w:pPr>
              <w:jc w:val="center"/>
            </w:pPr>
            <w:r w:rsidRPr="00D0186B">
              <w:t>90.0</w:t>
            </w:r>
          </w:p>
        </w:tc>
        <w:tc>
          <w:tcPr>
            <w:tcW w:w="2160" w:type="dxa"/>
            <w:noWrap/>
            <w:hideMark/>
          </w:tcPr>
          <w:p w14:paraId="1DD0159A" w14:textId="77777777" w:rsidR="00152474" w:rsidRPr="00D0186B"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D0186B">
              <w:t>29.1</w:t>
            </w:r>
          </w:p>
        </w:tc>
      </w:tr>
      <w:tr w:rsidR="00152474" w:rsidRPr="0030551C" w14:paraId="0343862D"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7C36C9FE" w14:textId="77777777" w:rsidR="00152474" w:rsidRPr="00D0186B" w:rsidRDefault="00152474" w:rsidP="00195867">
            <w:pPr>
              <w:jc w:val="center"/>
            </w:pPr>
            <w:r w:rsidRPr="00D0186B">
              <w:t>100.0</w:t>
            </w:r>
          </w:p>
        </w:tc>
        <w:tc>
          <w:tcPr>
            <w:tcW w:w="2160" w:type="dxa"/>
            <w:noWrap/>
            <w:hideMark/>
          </w:tcPr>
          <w:p w14:paraId="5CF0218A" w14:textId="77777777" w:rsidR="00152474" w:rsidRPr="00D0186B"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D0186B">
              <w:t>32.4</w:t>
            </w:r>
          </w:p>
        </w:tc>
      </w:tr>
      <w:tr w:rsidR="00152474" w:rsidRPr="0030551C" w14:paraId="206176B7"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507F140F" w14:textId="77777777" w:rsidR="00152474" w:rsidRPr="00D0186B" w:rsidRDefault="00152474" w:rsidP="00195867">
            <w:pPr>
              <w:jc w:val="center"/>
            </w:pPr>
            <w:r w:rsidRPr="00D0186B">
              <w:t>110.0</w:t>
            </w:r>
          </w:p>
        </w:tc>
        <w:tc>
          <w:tcPr>
            <w:tcW w:w="2160" w:type="dxa"/>
            <w:noWrap/>
            <w:hideMark/>
          </w:tcPr>
          <w:p w14:paraId="363167A2" w14:textId="77777777" w:rsidR="00152474" w:rsidRPr="00D0186B"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D0186B">
              <w:t>35.6</w:t>
            </w:r>
          </w:p>
        </w:tc>
      </w:tr>
      <w:tr w:rsidR="00152474" w:rsidRPr="0030551C" w14:paraId="00A28549"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5613FB2F" w14:textId="77777777" w:rsidR="00152474" w:rsidRPr="00D0186B" w:rsidRDefault="00152474" w:rsidP="00195867">
            <w:pPr>
              <w:jc w:val="center"/>
            </w:pPr>
            <w:r w:rsidRPr="00D0186B">
              <w:t>120.0</w:t>
            </w:r>
          </w:p>
        </w:tc>
        <w:tc>
          <w:tcPr>
            <w:tcW w:w="2160" w:type="dxa"/>
            <w:noWrap/>
            <w:hideMark/>
          </w:tcPr>
          <w:p w14:paraId="57981676" w14:textId="77777777" w:rsidR="00152474" w:rsidRPr="00D0186B"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D0186B">
              <w:t>38.8</w:t>
            </w:r>
          </w:p>
        </w:tc>
      </w:tr>
      <w:tr w:rsidR="00152474" w:rsidRPr="0030551C" w14:paraId="171C5CD3"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75E001E1" w14:textId="77777777" w:rsidR="00152474" w:rsidRPr="00D0186B" w:rsidRDefault="00152474" w:rsidP="00195867">
            <w:pPr>
              <w:jc w:val="center"/>
            </w:pPr>
            <w:r w:rsidRPr="00D0186B">
              <w:t>130.0</w:t>
            </w:r>
          </w:p>
        </w:tc>
        <w:tc>
          <w:tcPr>
            <w:tcW w:w="2160" w:type="dxa"/>
            <w:noWrap/>
            <w:hideMark/>
          </w:tcPr>
          <w:p w14:paraId="2DB51611" w14:textId="77777777" w:rsidR="00152474" w:rsidRPr="00D0186B"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D0186B">
              <w:t>42.1</w:t>
            </w:r>
          </w:p>
        </w:tc>
      </w:tr>
      <w:tr w:rsidR="00152474" w:rsidRPr="0030551C" w14:paraId="5A8C3C36"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3621CB8B" w14:textId="77777777" w:rsidR="00152474" w:rsidRPr="00D0186B" w:rsidRDefault="00152474" w:rsidP="00195867">
            <w:pPr>
              <w:jc w:val="center"/>
            </w:pPr>
            <w:r w:rsidRPr="00D0186B">
              <w:t>140.0</w:t>
            </w:r>
          </w:p>
        </w:tc>
        <w:tc>
          <w:tcPr>
            <w:tcW w:w="2160" w:type="dxa"/>
            <w:noWrap/>
            <w:hideMark/>
          </w:tcPr>
          <w:p w14:paraId="498A5283" w14:textId="77777777" w:rsidR="00152474" w:rsidRPr="00D0186B"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D0186B">
              <w:t>45.3</w:t>
            </w:r>
          </w:p>
        </w:tc>
      </w:tr>
      <w:tr w:rsidR="00152474" w:rsidRPr="0030551C" w14:paraId="7D27FDCE"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50EECE8A" w14:textId="77777777" w:rsidR="00152474" w:rsidRPr="00D0186B" w:rsidRDefault="00152474" w:rsidP="00195867">
            <w:pPr>
              <w:jc w:val="center"/>
            </w:pPr>
            <w:r w:rsidRPr="00D0186B">
              <w:t>150.0</w:t>
            </w:r>
          </w:p>
        </w:tc>
        <w:tc>
          <w:tcPr>
            <w:tcW w:w="2160" w:type="dxa"/>
            <w:noWrap/>
            <w:hideMark/>
          </w:tcPr>
          <w:p w14:paraId="747665B0" w14:textId="77777777" w:rsidR="00152474" w:rsidRPr="00D0186B"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D0186B">
              <w:t>48.6</w:t>
            </w:r>
          </w:p>
        </w:tc>
      </w:tr>
      <w:tr w:rsidR="00152474" w:rsidRPr="0030551C" w14:paraId="016626C2"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0240C532" w14:textId="77777777" w:rsidR="00152474" w:rsidRPr="00D0186B" w:rsidRDefault="00152474" w:rsidP="00195867">
            <w:pPr>
              <w:jc w:val="center"/>
            </w:pPr>
            <w:r w:rsidRPr="00D0186B">
              <w:t>160.0</w:t>
            </w:r>
          </w:p>
        </w:tc>
        <w:tc>
          <w:tcPr>
            <w:tcW w:w="2160" w:type="dxa"/>
            <w:noWrap/>
            <w:hideMark/>
          </w:tcPr>
          <w:p w14:paraId="09D9BE4C" w14:textId="77777777" w:rsidR="00152474" w:rsidRPr="00D0186B"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D0186B">
              <w:t>51.8</w:t>
            </w:r>
          </w:p>
        </w:tc>
      </w:tr>
      <w:tr w:rsidR="00152474" w:rsidRPr="0030551C" w14:paraId="7F23A1DB"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46E98CF9" w14:textId="77777777" w:rsidR="00152474" w:rsidRPr="00D0186B" w:rsidRDefault="00152474" w:rsidP="00195867">
            <w:pPr>
              <w:jc w:val="center"/>
            </w:pPr>
            <w:r w:rsidRPr="00D0186B">
              <w:t>170.0</w:t>
            </w:r>
          </w:p>
        </w:tc>
        <w:tc>
          <w:tcPr>
            <w:tcW w:w="2160" w:type="dxa"/>
            <w:noWrap/>
            <w:hideMark/>
          </w:tcPr>
          <w:p w14:paraId="08D2195C" w14:textId="77777777" w:rsidR="00152474" w:rsidRPr="00D0186B"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D0186B">
              <w:t>55.0</w:t>
            </w:r>
          </w:p>
        </w:tc>
      </w:tr>
      <w:tr w:rsidR="00152474" w:rsidRPr="0030551C" w14:paraId="62EE6027"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15053AAF" w14:textId="77777777" w:rsidR="00152474" w:rsidRPr="00D0186B" w:rsidRDefault="00152474" w:rsidP="00195867">
            <w:pPr>
              <w:jc w:val="center"/>
            </w:pPr>
            <w:r w:rsidRPr="00D0186B">
              <w:t>180.0</w:t>
            </w:r>
          </w:p>
        </w:tc>
        <w:tc>
          <w:tcPr>
            <w:tcW w:w="2160" w:type="dxa"/>
            <w:noWrap/>
            <w:hideMark/>
          </w:tcPr>
          <w:p w14:paraId="04A90340" w14:textId="77777777" w:rsidR="00152474" w:rsidRPr="00D0186B"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D0186B">
              <w:t>58.3</w:t>
            </w:r>
          </w:p>
        </w:tc>
      </w:tr>
      <w:tr w:rsidR="00152474" w:rsidRPr="0030551C" w14:paraId="0039DFFB"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6DEB90F5" w14:textId="77777777" w:rsidR="00152474" w:rsidRPr="00D0186B" w:rsidRDefault="00152474" w:rsidP="00195867">
            <w:pPr>
              <w:jc w:val="center"/>
            </w:pPr>
            <w:r w:rsidRPr="00D0186B">
              <w:t>190.0</w:t>
            </w:r>
          </w:p>
        </w:tc>
        <w:tc>
          <w:tcPr>
            <w:tcW w:w="2160" w:type="dxa"/>
            <w:noWrap/>
            <w:hideMark/>
          </w:tcPr>
          <w:p w14:paraId="0124EA37" w14:textId="77777777" w:rsidR="00152474" w:rsidRPr="00D0186B"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D0186B">
              <w:t>61.5</w:t>
            </w:r>
          </w:p>
        </w:tc>
      </w:tr>
      <w:tr w:rsidR="00152474" w:rsidRPr="0030551C" w14:paraId="6B291832"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475242CD" w14:textId="77777777" w:rsidR="00152474" w:rsidRPr="00D0186B" w:rsidRDefault="00152474" w:rsidP="00195867">
            <w:pPr>
              <w:jc w:val="center"/>
            </w:pPr>
            <w:r w:rsidRPr="00D0186B">
              <w:t>200.0</w:t>
            </w:r>
          </w:p>
        </w:tc>
        <w:tc>
          <w:tcPr>
            <w:tcW w:w="2160" w:type="dxa"/>
            <w:noWrap/>
            <w:hideMark/>
          </w:tcPr>
          <w:p w14:paraId="39D994AA" w14:textId="77777777" w:rsidR="00152474" w:rsidRPr="00D0186B"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D0186B">
              <w:t>64.7</w:t>
            </w:r>
          </w:p>
        </w:tc>
      </w:tr>
      <w:tr w:rsidR="00152474" w:rsidRPr="0030551C" w14:paraId="41ED7AF4"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22921939" w14:textId="77777777" w:rsidR="00152474" w:rsidRPr="00D0186B" w:rsidRDefault="00152474" w:rsidP="00195867">
            <w:pPr>
              <w:jc w:val="center"/>
            </w:pPr>
            <w:r w:rsidRPr="00D0186B">
              <w:t>210.0</w:t>
            </w:r>
          </w:p>
        </w:tc>
        <w:tc>
          <w:tcPr>
            <w:tcW w:w="2160" w:type="dxa"/>
            <w:noWrap/>
            <w:hideMark/>
          </w:tcPr>
          <w:p w14:paraId="59DE5847" w14:textId="77777777" w:rsidR="00152474" w:rsidRPr="00D0186B"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D0186B">
              <w:t>68.0</w:t>
            </w:r>
          </w:p>
        </w:tc>
      </w:tr>
      <w:tr w:rsidR="00152474" w:rsidRPr="0030551C" w14:paraId="1A67562A"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4E92B057" w14:textId="77777777" w:rsidR="00152474" w:rsidRPr="00D0186B" w:rsidRDefault="00152474" w:rsidP="00195867">
            <w:pPr>
              <w:jc w:val="center"/>
            </w:pPr>
            <w:r w:rsidRPr="00D0186B">
              <w:t>220.0</w:t>
            </w:r>
          </w:p>
        </w:tc>
        <w:tc>
          <w:tcPr>
            <w:tcW w:w="2160" w:type="dxa"/>
            <w:noWrap/>
            <w:hideMark/>
          </w:tcPr>
          <w:p w14:paraId="6C83E14E" w14:textId="77777777" w:rsidR="00152474" w:rsidRPr="00D0186B"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D0186B">
              <w:t>71.2</w:t>
            </w:r>
          </w:p>
        </w:tc>
      </w:tr>
      <w:tr w:rsidR="00152474" w:rsidRPr="0030551C" w14:paraId="51C8D9EC"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0961413C" w14:textId="77777777" w:rsidR="00152474" w:rsidRPr="00D0186B" w:rsidRDefault="00152474" w:rsidP="00195867">
            <w:pPr>
              <w:jc w:val="center"/>
            </w:pPr>
            <w:r w:rsidRPr="00D0186B">
              <w:t>230.0</w:t>
            </w:r>
          </w:p>
        </w:tc>
        <w:tc>
          <w:tcPr>
            <w:tcW w:w="2160" w:type="dxa"/>
            <w:noWrap/>
            <w:hideMark/>
          </w:tcPr>
          <w:p w14:paraId="73104235" w14:textId="77777777" w:rsidR="00152474" w:rsidRPr="00D0186B"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D0186B">
              <w:t>74.4</w:t>
            </w:r>
          </w:p>
        </w:tc>
      </w:tr>
      <w:tr w:rsidR="00152474" w:rsidRPr="0030551C" w14:paraId="5F015754"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215D1784" w14:textId="77777777" w:rsidR="00152474" w:rsidRPr="00D0186B" w:rsidRDefault="00152474" w:rsidP="00195867">
            <w:pPr>
              <w:jc w:val="center"/>
            </w:pPr>
            <w:r w:rsidRPr="00D0186B">
              <w:t>240.0</w:t>
            </w:r>
          </w:p>
        </w:tc>
        <w:tc>
          <w:tcPr>
            <w:tcW w:w="2160" w:type="dxa"/>
            <w:noWrap/>
            <w:hideMark/>
          </w:tcPr>
          <w:p w14:paraId="0B5BE232" w14:textId="77777777" w:rsidR="00152474" w:rsidRPr="00D0186B"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D0186B">
              <w:t>77.7</w:t>
            </w:r>
          </w:p>
        </w:tc>
      </w:tr>
      <w:tr w:rsidR="00152474" w:rsidRPr="0030551C" w14:paraId="3EF8B56F"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51801013" w14:textId="77777777" w:rsidR="00152474" w:rsidRPr="00D0186B" w:rsidRDefault="00152474" w:rsidP="00195867">
            <w:pPr>
              <w:jc w:val="center"/>
            </w:pPr>
            <w:r w:rsidRPr="00D0186B">
              <w:t>250.0</w:t>
            </w:r>
          </w:p>
        </w:tc>
        <w:tc>
          <w:tcPr>
            <w:tcW w:w="2160" w:type="dxa"/>
            <w:noWrap/>
            <w:hideMark/>
          </w:tcPr>
          <w:p w14:paraId="38F58B95" w14:textId="77777777" w:rsidR="00152474" w:rsidRPr="00D0186B"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D0186B">
              <w:t>80.9</w:t>
            </w:r>
          </w:p>
        </w:tc>
      </w:tr>
      <w:tr w:rsidR="00152474" w:rsidRPr="0030551C" w14:paraId="7D41C35A"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66554926" w14:textId="77777777" w:rsidR="00152474" w:rsidRPr="00D0186B" w:rsidRDefault="00152474" w:rsidP="00195867">
            <w:pPr>
              <w:jc w:val="center"/>
            </w:pPr>
            <w:r w:rsidRPr="00D0186B">
              <w:t>260.0</w:t>
            </w:r>
          </w:p>
        </w:tc>
        <w:tc>
          <w:tcPr>
            <w:tcW w:w="2160" w:type="dxa"/>
            <w:noWrap/>
            <w:hideMark/>
          </w:tcPr>
          <w:p w14:paraId="70E4313C" w14:textId="77777777" w:rsidR="00152474" w:rsidRPr="00D0186B"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D0186B">
              <w:t>84.2</w:t>
            </w:r>
          </w:p>
        </w:tc>
      </w:tr>
      <w:tr w:rsidR="00152474" w:rsidRPr="0030551C" w14:paraId="1DEF87AF"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5EF05DF0" w14:textId="77777777" w:rsidR="00152474" w:rsidRPr="00D0186B" w:rsidRDefault="00152474" w:rsidP="00195867">
            <w:pPr>
              <w:jc w:val="center"/>
            </w:pPr>
            <w:r w:rsidRPr="00D0186B">
              <w:t>270.0</w:t>
            </w:r>
          </w:p>
        </w:tc>
        <w:tc>
          <w:tcPr>
            <w:tcW w:w="2160" w:type="dxa"/>
            <w:noWrap/>
            <w:hideMark/>
          </w:tcPr>
          <w:p w14:paraId="46509EF9" w14:textId="77777777" w:rsidR="00152474" w:rsidRPr="00D0186B"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D0186B">
              <w:t>87.4</w:t>
            </w:r>
          </w:p>
        </w:tc>
      </w:tr>
      <w:tr w:rsidR="00152474" w:rsidRPr="0030551C" w14:paraId="17F265C5"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0934F428" w14:textId="77777777" w:rsidR="00152474" w:rsidRPr="00D0186B" w:rsidRDefault="00152474" w:rsidP="00195867">
            <w:pPr>
              <w:jc w:val="center"/>
            </w:pPr>
            <w:r w:rsidRPr="00D0186B">
              <w:t>280.0</w:t>
            </w:r>
          </w:p>
        </w:tc>
        <w:tc>
          <w:tcPr>
            <w:tcW w:w="2160" w:type="dxa"/>
            <w:noWrap/>
            <w:hideMark/>
          </w:tcPr>
          <w:p w14:paraId="4F87631E" w14:textId="77777777" w:rsidR="00152474" w:rsidRPr="00D0186B"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D0186B">
              <w:t>90.6</w:t>
            </w:r>
          </w:p>
        </w:tc>
      </w:tr>
      <w:tr w:rsidR="00152474" w:rsidRPr="0030551C" w14:paraId="7A9F8DE7"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4936F14F" w14:textId="77777777" w:rsidR="00152474" w:rsidRPr="00D0186B" w:rsidRDefault="00152474" w:rsidP="00195867">
            <w:pPr>
              <w:jc w:val="center"/>
            </w:pPr>
            <w:r w:rsidRPr="00D0186B">
              <w:t>290.0</w:t>
            </w:r>
          </w:p>
        </w:tc>
        <w:tc>
          <w:tcPr>
            <w:tcW w:w="2160" w:type="dxa"/>
            <w:noWrap/>
            <w:hideMark/>
          </w:tcPr>
          <w:p w14:paraId="5BD44D1F" w14:textId="77777777" w:rsidR="00152474" w:rsidRPr="00D0186B"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D0186B">
              <w:t>93.9</w:t>
            </w:r>
          </w:p>
        </w:tc>
      </w:tr>
      <w:tr w:rsidR="00152474" w:rsidRPr="0030551C" w14:paraId="464EEEFC"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5613C97B" w14:textId="77777777" w:rsidR="00152474" w:rsidRPr="00D0186B" w:rsidRDefault="00152474" w:rsidP="00195867">
            <w:pPr>
              <w:jc w:val="center"/>
            </w:pPr>
            <w:r w:rsidRPr="00D0186B">
              <w:t>300.0</w:t>
            </w:r>
          </w:p>
        </w:tc>
        <w:tc>
          <w:tcPr>
            <w:tcW w:w="2160" w:type="dxa"/>
            <w:noWrap/>
            <w:hideMark/>
          </w:tcPr>
          <w:p w14:paraId="5025698C" w14:textId="77777777" w:rsidR="00152474"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D0186B">
              <w:t>97.1</w:t>
            </w:r>
          </w:p>
        </w:tc>
      </w:tr>
    </w:tbl>
    <w:p w14:paraId="5D330C31" w14:textId="65367213" w:rsidR="00152474" w:rsidRPr="000B0CA1" w:rsidRDefault="00152474" w:rsidP="00152474">
      <w:pPr>
        <w:jc w:val="center"/>
        <w:rPr>
          <w:b/>
        </w:rPr>
      </w:pPr>
      <w:r w:rsidRPr="000B0CA1">
        <w:rPr>
          <w:b/>
        </w:rPr>
        <w:t xml:space="preserve">Table </w:t>
      </w:r>
      <w:r w:rsidR="008E31F4">
        <w:rPr>
          <w:b/>
        </w:rPr>
        <w:t>9</w:t>
      </w:r>
      <w:r w:rsidRPr="000B0CA1">
        <w:rPr>
          <w:b/>
        </w:rPr>
        <w:t xml:space="preserve">: Predicted Live Tree Carbon Stock by </w:t>
      </w:r>
      <w:r>
        <w:rPr>
          <w:b/>
        </w:rPr>
        <w:t>B</w:t>
      </w:r>
      <w:r w:rsidRPr="000B0CA1">
        <w:rPr>
          <w:b/>
        </w:rPr>
        <w:t xml:space="preserve">asal </w:t>
      </w:r>
      <w:r>
        <w:rPr>
          <w:b/>
        </w:rPr>
        <w:t>A</w:t>
      </w:r>
      <w:r w:rsidRPr="000B0CA1">
        <w:rPr>
          <w:b/>
        </w:rPr>
        <w:t xml:space="preserve">rea   </w:t>
      </w:r>
    </w:p>
    <w:tbl>
      <w:tblPr>
        <w:tblStyle w:val="GridTable2"/>
        <w:tblpPr w:leftFromText="180" w:rightFromText="180" w:vertAnchor="text" w:horzAnchor="margin" w:tblpXSpec="right" w:tblpYSpec="center"/>
        <w:tblW w:w="4770" w:type="dxa"/>
        <w:tblLook w:val="04A0" w:firstRow="1" w:lastRow="0" w:firstColumn="1" w:lastColumn="0" w:noHBand="0" w:noVBand="1"/>
      </w:tblPr>
      <w:tblGrid>
        <w:gridCol w:w="1139"/>
        <w:gridCol w:w="1491"/>
        <w:gridCol w:w="2140"/>
      </w:tblGrid>
      <w:tr w:rsidR="00152474" w:rsidRPr="0052448B" w14:paraId="2D63341A" w14:textId="77777777" w:rsidTr="00751819">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vAlign w:val="bottom"/>
            <w:hideMark/>
          </w:tcPr>
          <w:p w14:paraId="0A679B0E" w14:textId="77777777" w:rsidR="00152474" w:rsidRPr="004D7B26" w:rsidRDefault="00152474" w:rsidP="00195867">
            <w:pPr>
              <w:jc w:val="center"/>
            </w:pPr>
            <w:r w:rsidRPr="00562541">
              <w:t>Percentile</w:t>
            </w:r>
          </w:p>
        </w:tc>
        <w:tc>
          <w:tcPr>
            <w:tcW w:w="1491" w:type="dxa"/>
            <w:noWrap/>
            <w:vAlign w:val="bottom"/>
            <w:hideMark/>
          </w:tcPr>
          <w:p w14:paraId="43B4271A" w14:textId="77777777" w:rsidR="00152474" w:rsidRPr="004D7B26" w:rsidRDefault="00152474" w:rsidP="00195867">
            <w:pPr>
              <w:jc w:val="center"/>
              <w:cnfStyle w:val="100000000000" w:firstRow="1" w:lastRow="0" w:firstColumn="0" w:lastColumn="0" w:oddVBand="0" w:evenVBand="0" w:oddHBand="0" w:evenHBand="0" w:firstRowFirstColumn="0" w:firstRowLastColumn="0" w:lastRowFirstColumn="0" w:lastRowLastColumn="0"/>
            </w:pPr>
            <w:r w:rsidRPr="00562541">
              <w:t>BA (ft²/ac)</w:t>
            </w:r>
          </w:p>
        </w:tc>
        <w:tc>
          <w:tcPr>
            <w:tcW w:w="2140" w:type="dxa"/>
            <w:noWrap/>
            <w:vAlign w:val="bottom"/>
            <w:hideMark/>
          </w:tcPr>
          <w:p w14:paraId="714CE111" w14:textId="15B363C0" w:rsidR="00152474" w:rsidRPr="004D7B26" w:rsidRDefault="00152474" w:rsidP="00195867">
            <w:pPr>
              <w:jc w:val="center"/>
              <w:cnfStyle w:val="100000000000" w:firstRow="1" w:lastRow="0" w:firstColumn="0" w:lastColumn="0" w:oddVBand="0" w:evenVBand="0" w:oddHBand="0" w:evenHBand="0" w:firstRowFirstColumn="0" w:firstRowLastColumn="0" w:lastRowFirstColumn="0" w:lastRowLastColumn="0"/>
            </w:pPr>
            <w:r w:rsidRPr="00562541">
              <w:t>C Prediction (t</w:t>
            </w:r>
            <w:r w:rsidR="00F91B04">
              <w:t>o</w:t>
            </w:r>
            <w:r w:rsidR="00D93181">
              <w:t>n</w:t>
            </w:r>
            <w:r w:rsidRPr="00562541">
              <w:t>/ac)</w:t>
            </w:r>
          </w:p>
        </w:tc>
      </w:tr>
      <w:tr w:rsidR="00152474" w:rsidRPr="0052448B" w14:paraId="3E66A14C"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vAlign w:val="center"/>
            <w:hideMark/>
          </w:tcPr>
          <w:p w14:paraId="51D284B6" w14:textId="77777777" w:rsidR="00152474" w:rsidRPr="004D7B26" w:rsidRDefault="00152474" w:rsidP="00195867">
            <w:pPr>
              <w:jc w:val="center"/>
            </w:pPr>
            <w:r w:rsidRPr="00562541">
              <w:t>0</w:t>
            </w:r>
          </w:p>
        </w:tc>
        <w:tc>
          <w:tcPr>
            <w:tcW w:w="1491" w:type="dxa"/>
            <w:noWrap/>
            <w:vAlign w:val="center"/>
            <w:hideMark/>
          </w:tcPr>
          <w:p w14:paraId="143A2DF6" w14:textId="77777777" w:rsidR="00152474" w:rsidRPr="004D7B26"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562541">
              <w:t>0.0</w:t>
            </w:r>
          </w:p>
        </w:tc>
        <w:tc>
          <w:tcPr>
            <w:tcW w:w="2140" w:type="dxa"/>
            <w:noWrap/>
            <w:vAlign w:val="center"/>
            <w:hideMark/>
          </w:tcPr>
          <w:p w14:paraId="1701E2CD" w14:textId="77777777" w:rsidR="00152474" w:rsidRPr="004D7B26"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562541">
              <w:t>0.0</w:t>
            </w:r>
          </w:p>
        </w:tc>
      </w:tr>
      <w:tr w:rsidR="00152474" w:rsidRPr="0052448B" w14:paraId="451F97C5"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139" w:type="dxa"/>
            <w:noWrap/>
            <w:vAlign w:val="center"/>
            <w:hideMark/>
          </w:tcPr>
          <w:p w14:paraId="0246BDC0" w14:textId="77777777" w:rsidR="00152474" w:rsidRPr="004D7B26" w:rsidRDefault="00152474" w:rsidP="00195867">
            <w:pPr>
              <w:jc w:val="center"/>
            </w:pPr>
            <w:r w:rsidRPr="00562541">
              <w:t>1</w:t>
            </w:r>
          </w:p>
        </w:tc>
        <w:tc>
          <w:tcPr>
            <w:tcW w:w="1491" w:type="dxa"/>
            <w:noWrap/>
            <w:vAlign w:val="center"/>
            <w:hideMark/>
          </w:tcPr>
          <w:p w14:paraId="6EEA19C2" w14:textId="77777777" w:rsidR="00152474" w:rsidRPr="004D7B26"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562541">
              <w:t>22.1</w:t>
            </w:r>
          </w:p>
        </w:tc>
        <w:tc>
          <w:tcPr>
            <w:tcW w:w="2140" w:type="dxa"/>
            <w:noWrap/>
            <w:vAlign w:val="center"/>
            <w:hideMark/>
          </w:tcPr>
          <w:p w14:paraId="25EB0B5C" w14:textId="77777777" w:rsidR="00152474" w:rsidRPr="004D7B26"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562541">
              <w:t>7.2</w:t>
            </w:r>
          </w:p>
        </w:tc>
      </w:tr>
      <w:tr w:rsidR="00152474" w:rsidRPr="0052448B" w14:paraId="5B5AF4BC"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vAlign w:val="center"/>
            <w:hideMark/>
          </w:tcPr>
          <w:p w14:paraId="680E481D" w14:textId="77777777" w:rsidR="00152474" w:rsidRPr="004D7B26" w:rsidRDefault="00152474" w:rsidP="00195867">
            <w:pPr>
              <w:jc w:val="center"/>
            </w:pPr>
            <w:r w:rsidRPr="00562541">
              <w:t>2</w:t>
            </w:r>
          </w:p>
        </w:tc>
        <w:tc>
          <w:tcPr>
            <w:tcW w:w="1491" w:type="dxa"/>
            <w:noWrap/>
            <w:vAlign w:val="center"/>
            <w:hideMark/>
          </w:tcPr>
          <w:p w14:paraId="06F181CA" w14:textId="77777777" w:rsidR="00152474" w:rsidRPr="004D7B26"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562541">
              <w:t>39.9</w:t>
            </w:r>
          </w:p>
        </w:tc>
        <w:tc>
          <w:tcPr>
            <w:tcW w:w="2140" w:type="dxa"/>
            <w:noWrap/>
            <w:vAlign w:val="center"/>
            <w:hideMark/>
          </w:tcPr>
          <w:p w14:paraId="7A0CE285" w14:textId="77777777" w:rsidR="00152474" w:rsidRPr="004D7B26"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562541">
              <w:t>12.9</w:t>
            </w:r>
          </w:p>
        </w:tc>
      </w:tr>
      <w:tr w:rsidR="00152474" w:rsidRPr="0052448B" w14:paraId="4EA1FD12"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139" w:type="dxa"/>
            <w:noWrap/>
            <w:vAlign w:val="center"/>
            <w:hideMark/>
          </w:tcPr>
          <w:p w14:paraId="4B6BCA34" w14:textId="77777777" w:rsidR="00152474" w:rsidRPr="004D7B26" w:rsidRDefault="00152474" w:rsidP="00195867">
            <w:pPr>
              <w:jc w:val="center"/>
            </w:pPr>
            <w:r w:rsidRPr="00562541">
              <w:t>3</w:t>
            </w:r>
          </w:p>
        </w:tc>
        <w:tc>
          <w:tcPr>
            <w:tcW w:w="1491" w:type="dxa"/>
            <w:noWrap/>
            <w:vAlign w:val="center"/>
            <w:hideMark/>
          </w:tcPr>
          <w:p w14:paraId="01391B0A" w14:textId="77777777" w:rsidR="00152474" w:rsidRPr="004D7B26"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562541">
              <w:t>52.9</w:t>
            </w:r>
          </w:p>
        </w:tc>
        <w:tc>
          <w:tcPr>
            <w:tcW w:w="2140" w:type="dxa"/>
            <w:noWrap/>
            <w:vAlign w:val="center"/>
            <w:hideMark/>
          </w:tcPr>
          <w:p w14:paraId="06CF0290" w14:textId="77777777" w:rsidR="00152474" w:rsidRPr="004D7B26"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562541">
              <w:t>17.1</w:t>
            </w:r>
          </w:p>
        </w:tc>
      </w:tr>
      <w:tr w:rsidR="00152474" w:rsidRPr="0052448B" w14:paraId="5F60566F"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vAlign w:val="center"/>
            <w:hideMark/>
          </w:tcPr>
          <w:p w14:paraId="377667B4" w14:textId="77777777" w:rsidR="00152474" w:rsidRPr="004D7B26" w:rsidRDefault="00152474" w:rsidP="00195867">
            <w:pPr>
              <w:jc w:val="center"/>
            </w:pPr>
            <w:r w:rsidRPr="00562541">
              <w:t>4</w:t>
            </w:r>
          </w:p>
        </w:tc>
        <w:tc>
          <w:tcPr>
            <w:tcW w:w="1491" w:type="dxa"/>
            <w:noWrap/>
            <w:vAlign w:val="center"/>
            <w:hideMark/>
          </w:tcPr>
          <w:p w14:paraId="5475438C" w14:textId="77777777" w:rsidR="00152474" w:rsidRPr="004D7B26"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562541">
              <w:t>59.2</w:t>
            </w:r>
          </w:p>
        </w:tc>
        <w:tc>
          <w:tcPr>
            <w:tcW w:w="2140" w:type="dxa"/>
            <w:noWrap/>
            <w:vAlign w:val="center"/>
            <w:hideMark/>
          </w:tcPr>
          <w:p w14:paraId="31AD45ED" w14:textId="77777777" w:rsidR="00152474" w:rsidRPr="004D7B26"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562541">
              <w:t>19.2</w:t>
            </w:r>
          </w:p>
        </w:tc>
      </w:tr>
      <w:tr w:rsidR="00152474" w:rsidRPr="0052448B" w14:paraId="293E56FA"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139" w:type="dxa"/>
            <w:noWrap/>
            <w:vAlign w:val="center"/>
            <w:hideMark/>
          </w:tcPr>
          <w:p w14:paraId="0DE0C927" w14:textId="77777777" w:rsidR="00152474" w:rsidRPr="004D7B26" w:rsidRDefault="00152474" w:rsidP="00195867">
            <w:pPr>
              <w:jc w:val="center"/>
            </w:pPr>
            <w:r w:rsidRPr="00562541">
              <w:t>5</w:t>
            </w:r>
          </w:p>
        </w:tc>
        <w:tc>
          <w:tcPr>
            <w:tcW w:w="1491" w:type="dxa"/>
            <w:noWrap/>
            <w:vAlign w:val="center"/>
            <w:hideMark/>
          </w:tcPr>
          <w:p w14:paraId="03919512" w14:textId="77777777" w:rsidR="00152474" w:rsidRPr="004D7B26"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562541">
              <w:t>66.3</w:t>
            </w:r>
          </w:p>
        </w:tc>
        <w:tc>
          <w:tcPr>
            <w:tcW w:w="2140" w:type="dxa"/>
            <w:noWrap/>
            <w:vAlign w:val="center"/>
            <w:hideMark/>
          </w:tcPr>
          <w:p w14:paraId="031073FD" w14:textId="77777777" w:rsidR="00152474" w:rsidRPr="004D7B26"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562541">
              <w:t>21.4</w:t>
            </w:r>
          </w:p>
        </w:tc>
      </w:tr>
      <w:tr w:rsidR="00152474" w:rsidRPr="0052448B" w14:paraId="08827DE9"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vAlign w:val="center"/>
            <w:hideMark/>
          </w:tcPr>
          <w:p w14:paraId="579B72CA" w14:textId="77777777" w:rsidR="00152474" w:rsidRPr="004D7B26" w:rsidRDefault="00152474" w:rsidP="00195867">
            <w:pPr>
              <w:jc w:val="center"/>
            </w:pPr>
            <w:r w:rsidRPr="00562541">
              <w:t>10</w:t>
            </w:r>
          </w:p>
        </w:tc>
        <w:tc>
          <w:tcPr>
            <w:tcW w:w="1491" w:type="dxa"/>
            <w:noWrap/>
            <w:vAlign w:val="center"/>
            <w:hideMark/>
          </w:tcPr>
          <w:p w14:paraId="018F822F" w14:textId="77777777" w:rsidR="00152474" w:rsidRPr="004D7B26"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562541">
              <w:t>78.5</w:t>
            </w:r>
          </w:p>
        </w:tc>
        <w:tc>
          <w:tcPr>
            <w:tcW w:w="2140" w:type="dxa"/>
            <w:noWrap/>
            <w:vAlign w:val="center"/>
            <w:hideMark/>
          </w:tcPr>
          <w:p w14:paraId="7981ED88" w14:textId="77777777" w:rsidR="00152474" w:rsidRPr="004D7B26"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562541">
              <w:t>25.4</w:t>
            </w:r>
          </w:p>
        </w:tc>
      </w:tr>
      <w:tr w:rsidR="00152474" w:rsidRPr="0052448B" w14:paraId="7688BFB8"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139" w:type="dxa"/>
            <w:noWrap/>
            <w:vAlign w:val="center"/>
            <w:hideMark/>
          </w:tcPr>
          <w:p w14:paraId="11250A45" w14:textId="77777777" w:rsidR="00152474" w:rsidRPr="004D7B26" w:rsidRDefault="00152474" w:rsidP="00195867">
            <w:pPr>
              <w:jc w:val="center"/>
            </w:pPr>
            <w:r w:rsidRPr="00562541">
              <w:t>15</w:t>
            </w:r>
          </w:p>
        </w:tc>
        <w:tc>
          <w:tcPr>
            <w:tcW w:w="1491" w:type="dxa"/>
            <w:noWrap/>
            <w:vAlign w:val="center"/>
            <w:hideMark/>
          </w:tcPr>
          <w:p w14:paraId="5507BC80" w14:textId="77777777" w:rsidR="00152474" w:rsidRPr="004D7B26"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562541">
              <w:t>92.1</w:t>
            </w:r>
          </w:p>
        </w:tc>
        <w:tc>
          <w:tcPr>
            <w:tcW w:w="2140" w:type="dxa"/>
            <w:noWrap/>
            <w:vAlign w:val="center"/>
            <w:hideMark/>
          </w:tcPr>
          <w:p w14:paraId="24D766A0" w14:textId="77777777" w:rsidR="00152474" w:rsidRPr="004D7B26"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562541">
              <w:t>29.8</w:t>
            </w:r>
          </w:p>
        </w:tc>
      </w:tr>
      <w:tr w:rsidR="00152474" w:rsidRPr="0052448B" w14:paraId="7487FC7A"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vAlign w:val="center"/>
            <w:hideMark/>
          </w:tcPr>
          <w:p w14:paraId="772FED80" w14:textId="77777777" w:rsidR="00152474" w:rsidRPr="004D7B26" w:rsidRDefault="00152474" w:rsidP="00195867">
            <w:pPr>
              <w:jc w:val="center"/>
            </w:pPr>
            <w:r w:rsidRPr="00562541">
              <w:t>20</w:t>
            </w:r>
          </w:p>
        </w:tc>
        <w:tc>
          <w:tcPr>
            <w:tcW w:w="1491" w:type="dxa"/>
            <w:noWrap/>
            <w:vAlign w:val="center"/>
            <w:hideMark/>
          </w:tcPr>
          <w:p w14:paraId="04B74ADA" w14:textId="77777777" w:rsidR="00152474" w:rsidRPr="004D7B26"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562541">
              <w:t>102.1</w:t>
            </w:r>
          </w:p>
        </w:tc>
        <w:tc>
          <w:tcPr>
            <w:tcW w:w="2140" w:type="dxa"/>
            <w:noWrap/>
            <w:vAlign w:val="center"/>
            <w:hideMark/>
          </w:tcPr>
          <w:p w14:paraId="06BF50B6" w14:textId="77777777" w:rsidR="00152474" w:rsidRPr="004D7B26"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562541">
              <w:t>33.0</w:t>
            </w:r>
          </w:p>
        </w:tc>
      </w:tr>
      <w:tr w:rsidR="00152474" w:rsidRPr="0052448B" w14:paraId="24937C1D"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139" w:type="dxa"/>
            <w:noWrap/>
            <w:vAlign w:val="center"/>
            <w:hideMark/>
          </w:tcPr>
          <w:p w14:paraId="1FEDD486" w14:textId="77777777" w:rsidR="00152474" w:rsidRPr="004D7B26" w:rsidRDefault="00152474" w:rsidP="00195867">
            <w:pPr>
              <w:jc w:val="center"/>
            </w:pPr>
            <w:r w:rsidRPr="00562541">
              <w:t>25</w:t>
            </w:r>
          </w:p>
        </w:tc>
        <w:tc>
          <w:tcPr>
            <w:tcW w:w="1491" w:type="dxa"/>
            <w:noWrap/>
            <w:vAlign w:val="center"/>
            <w:hideMark/>
          </w:tcPr>
          <w:p w14:paraId="01FEEA6E" w14:textId="77777777" w:rsidR="00152474" w:rsidRPr="004D7B26"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562541">
              <w:t>109.7</w:t>
            </w:r>
          </w:p>
        </w:tc>
        <w:tc>
          <w:tcPr>
            <w:tcW w:w="2140" w:type="dxa"/>
            <w:noWrap/>
            <w:vAlign w:val="center"/>
            <w:hideMark/>
          </w:tcPr>
          <w:p w14:paraId="2B7437F5" w14:textId="77777777" w:rsidR="00152474" w:rsidRPr="004D7B26"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562541">
              <w:t>35.5</w:t>
            </w:r>
          </w:p>
        </w:tc>
      </w:tr>
      <w:tr w:rsidR="00152474" w:rsidRPr="0052448B" w14:paraId="05A0E4CE"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vAlign w:val="center"/>
            <w:hideMark/>
          </w:tcPr>
          <w:p w14:paraId="490D214D" w14:textId="77777777" w:rsidR="00152474" w:rsidRPr="004D7B26" w:rsidRDefault="00152474" w:rsidP="00195867">
            <w:pPr>
              <w:jc w:val="center"/>
            </w:pPr>
            <w:r w:rsidRPr="00562541">
              <w:t>30</w:t>
            </w:r>
          </w:p>
        </w:tc>
        <w:tc>
          <w:tcPr>
            <w:tcW w:w="1491" w:type="dxa"/>
            <w:noWrap/>
            <w:vAlign w:val="center"/>
            <w:hideMark/>
          </w:tcPr>
          <w:p w14:paraId="17C36CBA" w14:textId="77777777" w:rsidR="00152474" w:rsidRPr="004D7B26"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562541">
              <w:t>114.4</w:t>
            </w:r>
          </w:p>
        </w:tc>
        <w:tc>
          <w:tcPr>
            <w:tcW w:w="2140" w:type="dxa"/>
            <w:noWrap/>
            <w:vAlign w:val="center"/>
            <w:hideMark/>
          </w:tcPr>
          <w:p w14:paraId="3F2EE8AC" w14:textId="77777777" w:rsidR="00152474" w:rsidRPr="004D7B26"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562541">
              <w:t>37.0</w:t>
            </w:r>
          </w:p>
        </w:tc>
      </w:tr>
      <w:tr w:rsidR="00152474" w:rsidRPr="0052448B" w14:paraId="3A83D51E"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139" w:type="dxa"/>
            <w:noWrap/>
            <w:vAlign w:val="center"/>
            <w:hideMark/>
          </w:tcPr>
          <w:p w14:paraId="08766FE8" w14:textId="77777777" w:rsidR="00152474" w:rsidRPr="004D7B26" w:rsidRDefault="00152474" w:rsidP="00195867">
            <w:pPr>
              <w:jc w:val="center"/>
            </w:pPr>
            <w:r w:rsidRPr="00562541">
              <w:t>35</w:t>
            </w:r>
          </w:p>
        </w:tc>
        <w:tc>
          <w:tcPr>
            <w:tcW w:w="1491" w:type="dxa"/>
            <w:noWrap/>
            <w:vAlign w:val="center"/>
            <w:hideMark/>
          </w:tcPr>
          <w:p w14:paraId="42AFCC2E" w14:textId="77777777" w:rsidR="00152474" w:rsidRPr="004D7B26"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562541">
              <w:t>121.2</w:t>
            </w:r>
          </w:p>
        </w:tc>
        <w:tc>
          <w:tcPr>
            <w:tcW w:w="2140" w:type="dxa"/>
            <w:noWrap/>
            <w:vAlign w:val="center"/>
            <w:hideMark/>
          </w:tcPr>
          <w:p w14:paraId="6D38E3B0" w14:textId="77777777" w:rsidR="00152474" w:rsidRPr="004D7B26"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562541">
              <w:t>39.2</w:t>
            </w:r>
          </w:p>
        </w:tc>
      </w:tr>
      <w:tr w:rsidR="00152474" w:rsidRPr="0052448B" w14:paraId="151577DF"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vAlign w:val="center"/>
            <w:hideMark/>
          </w:tcPr>
          <w:p w14:paraId="6E93B53D" w14:textId="77777777" w:rsidR="00152474" w:rsidRPr="004D7B26" w:rsidRDefault="00152474" w:rsidP="00195867">
            <w:pPr>
              <w:jc w:val="center"/>
            </w:pPr>
            <w:r w:rsidRPr="00562541">
              <w:t>40</w:t>
            </w:r>
          </w:p>
        </w:tc>
        <w:tc>
          <w:tcPr>
            <w:tcW w:w="1491" w:type="dxa"/>
            <w:noWrap/>
            <w:vAlign w:val="center"/>
            <w:hideMark/>
          </w:tcPr>
          <w:p w14:paraId="339CE118" w14:textId="77777777" w:rsidR="00152474" w:rsidRPr="004D7B26"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562541">
              <w:t>126.6</w:t>
            </w:r>
          </w:p>
        </w:tc>
        <w:tc>
          <w:tcPr>
            <w:tcW w:w="2140" w:type="dxa"/>
            <w:noWrap/>
            <w:vAlign w:val="center"/>
            <w:hideMark/>
          </w:tcPr>
          <w:p w14:paraId="247419FB" w14:textId="77777777" w:rsidR="00152474" w:rsidRPr="004D7B26"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562541">
              <w:t>41.0</w:t>
            </w:r>
          </w:p>
        </w:tc>
      </w:tr>
      <w:tr w:rsidR="00152474" w:rsidRPr="0052448B" w14:paraId="1EFFBB57"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139" w:type="dxa"/>
            <w:noWrap/>
            <w:vAlign w:val="center"/>
            <w:hideMark/>
          </w:tcPr>
          <w:p w14:paraId="73A456A3" w14:textId="77777777" w:rsidR="00152474" w:rsidRPr="004D7B26" w:rsidRDefault="00152474" w:rsidP="00195867">
            <w:pPr>
              <w:jc w:val="center"/>
            </w:pPr>
            <w:r w:rsidRPr="00562541">
              <w:t>45</w:t>
            </w:r>
          </w:p>
        </w:tc>
        <w:tc>
          <w:tcPr>
            <w:tcW w:w="1491" w:type="dxa"/>
            <w:noWrap/>
            <w:vAlign w:val="center"/>
            <w:hideMark/>
          </w:tcPr>
          <w:p w14:paraId="029CA700" w14:textId="77777777" w:rsidR="00152474" w:rsidRPr="004D7B26"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562541">
              <w:t>133.7</w:t>
            </w:r>
          </w:p>
        </w:tc>
        <w:tc>
          <w:tcPr>
            <w:tcW w:w="2140" w:type="dxa"/>
            <w:noWrap/>
            <w:vAlign w:val="center"/>
            <w:hideMark/>
          </w:tcPr>
          <w:p w14:paraId="4EBF612C" w14:textId="77777777" w:rsidR="00152474" w:rsidRPr="004D7B26"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562541">
              <w:t>43.3</w:t>
            </w:r>
          </w:p>
        </w:tc>
      </w:tr>
      <w:tr w:rsidR="00152474" w:rsidRPr="0052448B" w14:paraId="21B99AFC"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vAlign w:val="center"/>
            <w:hideMark/>
          </w:tcPr>
          <w:p w14:paraId="53C2C7BB" w14:textId="77777777" w:rsidR="00152474" w:rsidRPr="004D7B26" w:rsidRDefault="00152474" w:rsidP="00195867">
            <w:pPr>
              <w:jc w:val="center"/>
            </w:pPr>
            <w:r w:rsidRPr="00562541">
              <w:t>50</w:t>
            </w:r>
          </w:p>
        </w:tc>
        <w:tc>
          <w:tcPr>
            <w:tcW w:w="1491" w:type="dxa"/>
            <w:noWrap/>
            <w:vAlign w:val="center"/>
            <w:hideMark/>
          </w:tcPr>
          <w:p w14:paraId="72752394" w14:textId="77777777" w:rsidR="00152474" w:rsidRPr="004D7B26"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562541">
              <w:t>140.4</w:t>
            </w:r>
          </w:p>
        </w:tc>
        <w:tc>
          <w:tcPr>
            <w:tcW w:w="2140" w:type="dxa"/>
            <w:noWrap/>
            <w:vAlign w:val="center"/>
            <w:hideMark/>
          </w:tcPr>
          <w:p w14:paraId="12E2CC05" w14:textId="77777777" w:rsidR="00152474" w:rsidRPr="004D7B26"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562541">
              <w:t>45.4</w:t>
            </w:r>
          </w:p>
        </w:tc>
      </w:tr>
      <w:tr w:rsidR="00152474" w:rsidRPr="0052448B" w14:paraId="725CB57D"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139" w:type="dxa"/>
            <w:noWrap/>
            <w:vAlign w:val="center"/>
            <w:hideMark/>
          </w:tcPr>
          <w:p w14:paraId="687B6DBE" w14:textId="77777777" w:rsidR="00152474" w:rsidRPr="004D7B26" w:rsidRDefault="00152474" w:rsidP="00195867">
            <w:pPr>
              <w:jc w:val="center"/>
            </w:pPr>
            <w:r w:rsidRPr="00562541">
              <w:t>55</w:t>
            </w:r>
          </w:p>
        </w:tc>
        <w:tc>
          <w:tcPr>
            <w:tcW w:w="1491" w:type="dxa"/>
            <w:noWrap/>
            <w:vAlign w:val="center"/>
            <w:hideMark/>
          </w:tcPr>
          <w:p w14:paraId="622DF4B4" w14:textId="77777777" w:rsidR="00152474" w:rsidRPr="004D7B26"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562541">
              <w:t>145.8</w:t>
            </w:r>
          </w:p>
        </w:tc>
        <w:tc>
          <w:tcPr>
            <w:tcW w:w="2140" w:type="dxa"/>
            <w:noWrap/>
            <w:vAlign w:val="center"/>
            <w:hideMark/>
          </w:tcPr>
          <w:p w14:paraId="18117FB3" w14:textId="77777777" w:rsidR="00152474" w:rsidRPr="004D7B26"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562541">
              <w:t>47.2</w:t>
            </w:r>
          </w:p>
        </w:tc>
      </w:tr>
      <w:tr w:rsidR="00152474" w:rsidRPr="0052448B" w14:paraId="4FE106FC"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vAlign w:val="center"/>
            <w:hideMark/>
          </w:tcPr>
          <w:p w14:paraId="69AB76D7" w14:textId="77777777" w:rsidR="00152474" w:rsidRPr="004D7B26" w:rsidRDefault="00152474" w:rsidP="00195867">
            <w:pPr>
              <w:jc w:val="center"/>
            </w:pPr>
            <w:r w:rsidRPr="00562541">
              <w:t>60</w:t>
            </w:r>
          </w:p>
        </w:tc>
        <w:tc>
          <w:tcPr>
            <w:tcW w:w="1491" w:type="dxa"/>
            <w:noWrap/>
            <w:vAlign w:val="center"/>
            <w:hideMark/>
          </w:tcPr>
          <w:p w14:paraId="71FB0ED0" w14:textId="77777777" w:rsidR="00152474" w:rsidRPr="004D7B26"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562541">
              <w:t>153.3</w:t>
            </w:r>
          </w:p>
        </w:tc>
        <w:tc>
          <w:tcPr>
            <w:tcW w:w="2140" w:type="dxa"/>
            <w:noWrap/>
            <w:vAlign w:val="center"/>
            <w:hideMark/>
          </w:tcPr>
          <w:p w14:paraId="4774334E" w14:textId="77777777" w:rsidR="00152474" w:rsidRPr="004D7B26"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562541">
              <w:t>49.6</w:t>
            </w:r>
          </w:p>
        </w:tc>
      </w:tr>
      <w:tr w:rsidR="00152474" w:rsidRPr="0052448B" w14:paraId="53AA0540"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139" w:type="dxa"/>
            <w:noWrap/>
            <w:vAlign w:val="center"/>
            <w:hideMark/>
          </w:tcPr>
          <w:p w14:paraId="06D5CE9D" w14:textId="77777777" w:rsidR="00152474" w:rsidRPr="004D7B26" w:rsidRDefault="00152474" w:rsidP="00195867">
            <w:pPr>
              <w:jc w:val="center"/>
            </w:pPr>
            <w:r w:rsidRPr="00562541">
              <w:t>65</w:t>
            </w:r>
          </w:p>
        </w:tc>
        <w:tc>
          <w:tcPr>
            <w:tcW w:w="1491" w:type="dxa"/>
            <w:noWrap/>
            <w:vAlign w:val="center"/>
            <w:hideMark/>
          </w:tcPr>
          <w:p w14:paraId="53640113" w14:textId="77777777" w:rsidR="00152474" w:rsidRPr="004D7B26"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562541">
              <w:t>159.3</w:t>
            </w:r>
          </w:p>
        </w:tc>
        <w:tc>
          <w:tcPr>
            <w:tcW w:w="2140" w:type="dxa"/>
            <w:noWrap/>
            <w:vAlign w:val="center"/>
            <w:hideMark/>
          </w:tcPr>
          <w:p w14:paraId="3E8A1DE7" w14:textId="77777777" w:rsidR="00152474" w:rsidRPr="004D7B26"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562541">
              <w:t>51.6</w:t>
            </w:r>
          </w:p>
        </w:tc>
      </w:tr>
      <w:tr w:rsidR="00152474" w:rsidRPr="0052448B" w14:paraId="0B5F7539"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vAlign w:val="center"/>
            <w:hideMark/>
          </w:tcPr>
          <w:p w14:paraId="3C985C64" w14:textId="77777777" w:rsidR="00152474" w:rsidRPr="004D7B26" w:rsidRDefault="00152474" w:rsidP="00195867">
            <w:pPr>
              <w:jc w:val="center"/>
            </w:pPr>
            <w:r w:rsidRPr="00562541">
              <w:t>70</w:t>
            </w:r>
          </w:p>
        </w:tc>
        <w:tc>
          <w:tcPr>
            <w:tcW w:w="1491" w:type="dxa"/>
            <w:noWrap/>
            <w:vAlign w:val="center"/>
            <w:hideMark/>
          </w:tcPr>
          <w:p w14:paraId="3C1D30A2" w14:textId="77777777" w:rsidR="00152474" w:rsidRPr="004D7B26"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562541">
              <w:t>166.2</w:t>
            </w:r>
          </w:p>
        </w:tc>
        <w:tc>
          <w:tcPr>
            <w:tcW w:w="2140" w:type="dxa"/>
            <w:noWrap/>
            <w:vAlign w:val="center"/>
            <w:hideMark/>
          </w:tcPr>
          <w:p w14:paraId="46DF9B8E" w14:textId="77777777" w:rsidR="00152474" w:rsidRPr="004D7B26"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562541">
              <w:t>53.8</w:t>
            </w:r>
          </w:p>
        </w:tc>
      </w:tr>
      <w:tr w:rsidR="00152474" w:rsidRPr="0052448B" w14:paraId="73D0CA4D"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139" w:type="dxa"/>
            <w:noWrap/>
            <w:vAlign w:val="center"/>
            <w:hideMark/>
          </w:tcPr>
          <w:p w14:paraId="6820CEFE" w14:textId="77777777" w:rsidR="00152474" w:rsidRPr="004D7B26" w:rsidRDefault="00152474" w:rsidP="00195867">
            <w:pPr>
              <w:jc w:val="center"/>
            </w:pPr>
            <w:r w:rsidRPr="00562541">
              <w:t>75</w:t>
            </w:r>
          </w:p>
        </w:tc>
        <w:tc>
          <w:tcPr>
            <w:tcW w:w="1491" w:type="dxa"/>
            <w:noWrap/>
            <w:vAlign w:val="center"/>
            <w:hideMark/>
          </w:tcPr>
          <w:p w14:paraId="4DB1C475" w14:textId="77777777" w:rsidR="00152474" w:rsidRPr="004D7B26"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562541">
              <w:t>174.6</w:t>
            </w:r>
          </w:p>
        </w:tc>
        <w:tc>
          <w:tcPr>
            <w:tcW w:w="2140" w:type="dxa"/>
            <w:noWrap/>
            <w:vAlign w:val="center"/>
            <w:hideMark/>
          </w:tcPr>
          <w:p w14:paraId="37CAA2B5" w14:textId="77777777" w:rsidR="00152474" w:rsidRPr="004D7B26"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562541">
              <w:t>56.5</w:t>
            </w:r>
          </w:p>
        </w:tc>
      </w:tr>
      <w:tr w:rsidR="00152474" w:rsidRPr="0052448B" w14:paraId="5897B7D1"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vAlign w:val="center"/>
            <w:hideMark/>
          </w:tcPr>
          <w:p w14:paraId="2BEDCFEE" w14:textId="77777777" w:rsidR="00152474" w:rsidRPr="004D7B26" w:rsidRDefault="00152474" w:rsidP="00195867">
            <w:pPr>
              <w:jc w:val="center"/>
            </w:pPr>
            <w:r w:rsidRPr="00562541">
              <w:t>80</w:t>
            </w:r>
          </w:p>
        </w:tc>
        <w:tc>
          <w:tcPr>
            <w:tcW w:w="1491" w:type="dxa"/>
            <w:noWrap/>
            <w:vAlign w:val="center"/>
            <w:hideMark/>
          </w:tcPr>
          <w:p w14:paraId="5D4E9CEC" w14:textId="77777777" w:rsidR="00152474" w:rsidRPr="004D7B26"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562541">
              <w:t>184.9</w:t>
            </w:r>
          </w:p>
        </w:tc>
        <w:tc>
          <w:tcPr>
            <w:tcW w:w="2140" w:type="dxa"/>
            <w:noWrap/>
            <w:vAlign w:val="center"/>
            <w:hideMark/>
          </w:tcPr>
          <w:p w14:paraId="2BE7042B" w14:textId="77777777" w:rsidR="00152474" w:rsidRPr="004D7B26"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562541">
              <w:t>59.8</w:t>
            </w:r>
          </w:p>
        </w:tc>
      </w:tr>
      <w:tr w:rsidR="00152474" w:rsidRPr="0052448B" w14:paraId="17EA4866"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139" w:type="dxa"/>
            <w:noWrap/>
            <w:vAlign w:val="center"/>
            <w:hideMark/>
          </w:tcPr>
          <w:p w14:paraId="4F73B0BB" w14:textId="77777777" w:rsidR="00152474" w:rsidRPr="004D7B26" w:rsidRDefault="00152474" w:rsidP="00195867">
            <w:pPr>
              <w:jc w:val="center"/>
            </w:pPr>
            <w:r w:rsidRPr="00562541">
              <w:t>85</w:t>
            </w:r>
          </w:p>
        </w:tc>
        <w:tc>
          <w:tcPr>
            <w:tcW w:w="1491" w:type="dxa"/>
            <w:noWrap/>
            <w:vAlign w:val="center"/>
            <w:hideMark/>
          </w:tcPr>
          <w:p w14:paraId="244FCDAD" w14:textId="77777777" w:rsidR="00152474" w:rsidRPr="004D7B26"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562541">
              <w:t>194.0</w:t>
            </w:r>
          </w:p>
        </w:tc>
        <w:tc>
          <w:tcPr>
            <w:tcW w:w="2140" w:type="dxa"/>
            <w:noWrap/>
            <w:vAlign w:val="center"/>
            <w:hideMark/>
          </w:tcPr>
          <w:p w14:paraId="2492343A" w14:textId="77777777" w:rsidR="00152474" w:rsidRPr="004D7B26"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562541">
              <w:t>62.8</w:t>
            </w:r>
          </w:p>
        </w:tc>
      </w:tr>
      <w:tr w:rsidR="00152474" w:rsidRPr="0052448B" w14:paraId="54082E41"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vAlign w:val="center"/>
            <w:hideMark/>
          </w:tcPr>
          <w:p w14:paraId="11E834CB" w14:textId="77777777" w:rsidR="00152474" w:rsidRPr="004D7B26" w:rsidRDefault="00152474" w:rsidP="00195867">
            <w:pPr>
              <w:jc w:val="center"/>
            </w:pPr>
            <w:r w:rsidRPr="00562541">
              <w:t>90</w:t>
            </w:r>
          </w:p>
        </w:tc>
        <w:tc>
          <w:tcPr>
            <w:tcW w:w="1491" w:type="dxa"/>
            <w:noWrap/>
            <w:vAlign w:val="center"/>
            <w:hideMark/>
          </w:tcPr>
          <w:p w14:paraId="143E0B04" w14:textId="77777777" w:rsidR="00152474" w:rsidRPr="004D7B26"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562541">
              <w:t>208.7</w:t>
            </w:r>
          </w:p>
        </w:tc>
        <w:tc>
          <w:tcPr>
            <w:tcW w:w="2140" w:type="dxa"/>
            <w:noWrap/>
            <w:vAlign w:val="center"/>
            <w:hideMark/>
          </w:tcPr>
          <w:p w14:paraId="2B3965EE" w14:textId="77777777" w:rsidR="00152474" w:rsidRPr="004D7B26" w:rsidRDefault="00152474" w:rsidP="00195867">
            <w:pPr>
              <w:jc w:val="center"/>
              <w:cnfStyle w:val="000000100000" w:firstRow="0" w:lastRow="0" w:firstColumn="0" w:lastColumn="0" w:oddVBand="0" w:evenVBand="0" w:oddHBand="1" w:evenHBand="0" w:firstRowFirstColumn="0" w:firstRowLastColumn="0" w:lastRowFirstColumn="0" w:lastRowLastColumn="0"/>
            </w:pPr>
            <w:r w:rsidRPr="00562541">
              <w:t>67.6</w:t>
            </w:r>
          </w:p>
        </w:tc>
      </w:tr>
      <w:tr w:rsidR="00152474" w:rsidRPr="0052448B" w14:paraId="218AB8E1"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139" w:type="dxa"/>
            <w:noWrap/>
            <w:vAlign w:val="center"/>
            <w:hideMark/>
          </w:tcPr>
          <w:p w14:paraId="58E368CD" w14:textId="77777777" w:rsidR="00152474" w:rsidRPr="004D7B26" w:rsidRDefault="00152474" w:rsidP="00195867">
            <w:pPr>
              <w:jc w:val="center"/>
            </w:pPr>
            <w:r w:rsidRPr="00562541">
              <w:t>95</w:t>
            </w:r>
          </w:p>
        </w:tc>
        <w:tc>
          <w:tcPr>
            <w:tcW w:w="1491" w:type="dxa"/>
            <w:noWrap/>
            <w:vAlign w:val="center"/>
            <w:hideMark/>
          </w:tcPr>
          <w:p w14:paraId="27385D9C" w14:textId="77777777" w:rsidR="00152474" w:rsidRPr="004D7B26"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562541">
              <w:t>231.0</w:t>
            </w:r>
          </w:p>
        </w:tc>
        <w:tc>
          <w:tcPr>
            <w:tcW w:w="2140" w:type="dxa"/>
            <w:noWrap/>
            <w:vAlign w:val="center"/>
            <w:hideMark/>
          </w:tcPr>
          <w:p w14:paraId="386BFB0B" w14:textId="77777777" w:rsidR="00152474" w:rsidRDefault="00152474" w:rsidP="00195867">
            <w:pPr>
              <w:jc w:val="center"/>
              <w:cnfStyle w:val="000000000000" w:firstRow="0" w:lastRow="0" w:firstColumn="0" w:lastColumn="0" w:oddVBand="0" w:evenVBand="0" w:oddHBand="0" w:evenHBand="0" w:firstRowFirstColumn="0" w:firstRowLastColumn="0" w:lastRowFirstColumn="0" w:lastRowLastColumn="0"/>
            </w:pPr>
            <w:r w:rsidRPr="00562541">
              <w:t>74.8</w:t>
            </w:r>
          </w:p>
        </w:tc>
      </w:tr>
    </w:tbl>
    <w:p w14:paraId="61E34815" w14:textId="77777777" w:rsidR="00152474" w:rsidRDefault="00152474" w:rsidP="00152474">
      <w:pPr>
        <w:jc w:val="center"/>
      </w:pPr>
    </w:p>
    <w:p w14:paraId="67513E3E" w14:textId="2E4ED567" w:rsidR="00152474" w:rsidRPr="000B0CA1" w:rsidRDefault="00152474" w:rsidP="00152474">
      <w:pPr>
        <w:jc w:val="center"/>
        <w:rPr>
          <w:b/>
        </w:rPr>
      </w:pPr>
      <w:r w:rsidRPr="000B0CA1">
        <w:rPr>
          <w:b/>
        </w:rPr>
        <w:t xml:space="preserve">Table </w:t>
      </w:r>
      <w:r w:rsidR="008E31F4">
        <w:rPr>
          <w:b/>
        </w:rPr>
        <w:t>10</w:t>
      </w:r>
      <w:r w:rsidRPr="000B0CA1">
        <w:rPr>
          <w:b/>
        </w:rPr>
        <w:t>. Percentil</w:t>
      </w:r>
      <w:r w:rsidR="008E31F4">
        <w:rPr>
          <w:b/>
        </w:rPr>
        <w:t>e</w:t>
      </w:r>
      <w:r>
        <w:rPr>
          <w:b/>
        </w:rPr>
        <w:t xml:space="preserve"> Live Tree</w:t>
      </w:r>
      <w:r w:rsidRPr="000B0CA1">
        <w:rPr>
          <w:b/>
        </w:rPr>
        <w:t xml:space="preserve"> Carbon stocks in </w:t>
      </w:r>
      <w:r>
        <w:rPr>
          <w:b/>
        </w:rPr>
        <w:t>Northeastern Highlands</w:t>
      </w:r>
      <w:r w:rsidRPr="000B0CA1">
        <w:rPr>
          <w:b/>
        </w:rPr>
        <w:t xml:space="preserve"> by </w:t>
      </w:r>
      <w:r>
        <w:rPr>
          <w:b/>
        </w:rPr>
        <w:t>Basal Area</w:t>
      </w:r>
    </w:p>
    <w:p w14:paraId="32CDD0F4" w14:textId="77777777" w:rsidR="00152474" w:rsidRDefault="00152474" w:rsidP="00152474">
      <w:pPr>
        <w:sectPr w:rsidR="00152474" w:rsidSect="00195867">
          <w:type w:val="continuous"/>
          <w:pgSz w:w="12240" w:h="15840"/>
          <w:pgMar w:top="1440" w:right="1440" w:bottom="1440" w:left="1440" w:header="720" w:footer="720" w:gutter="0"/>
          <w:cols w:num="2" w:space="720"/>
          <w:docGrid w:linePitch="360"/>
        </w:sectPr>
      </w:pPr>
    </w:p>
    <w:p w14:paraId="1CD5E0DB" w14:textId="77777777" w:rsidR="00152474" w:rsidRDefault="00152474" w:rsidP="00152474"/>
    <w:p w14:paraId="541FFE95" w14:textId="77777777" w:rsidR="00152474" w:rsidRDefault="00152474" w:rsidP="00152474"/>
    <w:p w14:paraId="6A768FD7" w14:textId="77777777" w:rsidR="00152474" w:rsidRDefault="00152474" w:rsidP="00152474"/>
    <w:p w14:paraId="617912A8" w14:textId="77777777" w:rsidR="00152474" w:rsidRDefault="00152474" w:rsidP="00152474"/>
    <w:p w14:paraId="7CCD91EA" w14:textId="77777777" w:rsidR="00152474" w:rsidRDefault="00152474" w:rsidP="00152474"/>
    <w:p w14:paraId="7563CADF" w14:textId="77777777" w:rsidR="00152474" w:rsidRDefault="00152474" w:rsidP="00152474"/>
    <w:p w14:paraId="106AB970" w14:textId="77777777" w:rsidR="00152474" w:rsidRDefault="00152474" w:rsidP="00152474"/>
    <w:p w14:paraId="6958AADE" w14:textId="77777777" w:rsidR="00152474" w:rsidRDefault="00152474" w:rsidP="00152474"/>
    <w:p w14:paraId="099FF4CC" w14:textId="77777777" w:rsidR="00152474" w:rsidRDefault="00152474" w:rsidP="00152474"/>
    <w:p w14:paraId="587EEA09" w14:textId="77777777" w:rsidR="00152474" w:rsidRDefault="00152474" w:rsidP="00152474"/>
    <w:p w14:paraId="17E53064" w14:textId="77777777" w:rsidR="00152474" w:rsidRDefault="00152474" w:rsidP="00152474"/>
    <w:p w14:paraId="4E7E2CFE" w14:textId="77777777" w:rsidR="00152474" w:rsidRDefault="00152474" w:rsidP="00152474"/>
    <w:p w14:paraId="5990DCBF" w14:textId="77777777" w:rsidR="00152474" w:rsidRDefault="00152474" w:rsidP="00152474"/>
    <w:p w14:paraId="25716860" w14:textId="77777777" w:rsidR="00152474" w:rsidRDefault="00152474" w:rsidP="00152474"/>
    <w:p w14:paraId="0ABDEE50" w14:textId="77777777" w:rsidR="00152474" w:rsidRDefault="00152474" w:rsidP="00152474"/>
    <w:p w14:paraId="336C38D2" w14:textId="77777777" w:rsidR="00152474" w:rsidRDefault="00152474" w:rsidP="00152474"/>
    <w:p w14:paraId="59CCAE3F" w14:textId="77777777" w:rsidR="00152474" w:rsidRDefault="00152474" w:rsidP="00152474"/>
    <w:p w14:paraId="1C459E8D" w14:textId="77777777" w:rsidR="00152474" w:rsidRDefault="00152474" w:rsidP="00152474"/>
    <w:p w14:paraId="35E03DC5" w14:textId="77777777" w:rsidR="00152474" w:rsidRDefault="00152474" w:rsidP="00152474"/>
    <w:p w14:paraId="76AE9165" w14:textId="77777777" w:rsidR="00152474" w:rsidRDefault="00152474" w:rsidP="00152474"/>
    <w:p w14:paraId="1323CBBF" w14:textId="77777777" w:rsidR="00152474" w:rsidRDefault="00152474" w:rsidP="00152474"/>
    <w:p w14:paraId="0361C7F4" w14:textId="77777777" w:rsidR="00152474" w:rsidRDefault="00152474" w:rsidP="00152474"/>
    <w:p w14:paraId="1D6E9BAF" w14:textId="6CA5EB0F" w:rsidR="00920A32" w:rsidRDefault="00920A32" w:rsidP="00152474"/>
    <w:p w14:paraId="34378387" w14:textId="77777777" w:rsidR="00920A32" w:rsidRDefault="00920A32">
      <w:r>
        <w:br w:type="page"/>
      </w:r>
    </w:p>
    <w:p w14:paraId="50BDAD3B" w14:textId="77777777" w:rsidR="00920A32" w:rsidRPr="004C5928" w:rsidRDefault="00920A32" w:rsidP="00920A32">
      <w:pPr>
        <w:rPr>
          <w:i/>
          <w:sz w:val="28"/>
        </w:rPr>
      </w:pPr>
      <w:r w:rsidRPr="004C5928">
        <w:rPr>
          <w:i/>
          <w:sz w:val="28"/>
        </w:rPr>
        <w:lastRenderedPageBreak/>
        <w:t>Northeastern Highlands</w:t>
      </w:r>
    </w:p>
    <w:p w14:paraId="17AB8C73" w14:textId="77777777" w:rsidR="00920A32" w:rsidRDefault="00920A32" w:rsidP="00920A32">
      <w:pPr>
        <w:jc w:val="center"/>
        <w:rPr>
          <w:b/>
        </w:rPr>
      </w:pPr>
      <w:r w:rsidRPr="000B0CA1">
        <w:rPr>
          <w:b/>
        </w:rPr>
        <w:t xml:space="preserve">Table </w:t>
      </w:r>
      <w:r>
        <w:rPr>
          <w:b/>
        </w:rPr>
        <w:t>11</w:t>
      </w:r>
      <w:r w:rsidRPr="000B0CA1">
        <w:rPr>
          <w:b/>
        </w:rPr>
        <w:t xml:space="preserve">: Predicted </w:t>
      </w:r>
      <w:r>
        <w:rPr>
          <w:b/>
        </w:rPr>
        <w:t>Dead</w:t>
      </w:r>
      <w:r w:rsidRPr="000B0CA1">
        <w:rPr>
          <w:b/>
        </w:rPr>
        <w:t xml:space="preserve"> Tree Carbon Stock by </w:t>
      </w:r>
      <w:r>
        <w:rPr>
          <w:b/>
        </w:rPr>
        <w:t>B</w:t>
      </w:r>
      <w:r w:rsidRPr="000B0CA1">
        <w:rPr>
          <w:b/>
        </w:rPr>
        <w:t xml:space="preserve">asal </w:t>
      </w:r>
      <w:r>
        <w:rPr>
          <w:b/>
        </w:rPr>
        <w:t>A</w:t>
      </w:r>
      <w:r w:rsidRPr="000B0CA1">
        <w:rPr>
          <w:b/>
        </w:rPr>
        <w:t>rea</w:t>
      </w:r>
      <w:r w:rsidRPr="004C5928">
        <w:rPr>
          <w:b/>
        </w:rPr>
        <w:t xml:space="preserve"> </w:t>
      </w:r>
      <w:r w:rsidRPr="000B0CA1">
        <w:rPr>
          <w:b/>
        </w:rPr>
        <w:t>Table</w:t>
      </w:r>
    </w:p>
    <w:p w14:paraId="2B37CD5A" w14:textId="77777777" w:rsidR="00920A32" w:rsidRDefault="00920A32" w:rsidP="00920A32">
      <w:pPr>
        <w:jc w:val="center"/>
        <w:rPr>
          <w:b/>
        </w:rPr>
      </w:pPr>
    </w:p>
    <w:p w14:paraId="16CDCAAB" w14:textId="77777777" w:rsidR="00920A32" w:rsidRPr="000B0CA1" w:rsidRDefault="00920A32" w:rsidP="00920A32">
      <w:pPr>
        <w:jc w:val="center"/>
        <w:rPr>
          <w:b/>
        </w:rPr>
      </w:pPr>
      <w:r w:rsidRPr="000B0CA1">
        <w:rPr>
          <w:b/>
        </w:rPr>
        <w:t xml:space="preserve"> </w:t>
      </w:r>
      <w:r>
        <w:rPr>
          <w:b/>
        </w:rPr>
        <w:t>12</w:t>
      </w:r>
      <w:r w:rsidRPr="000B0CA1">
        <w:rPr>
          <w:b/>
        </w:rPr>
        <w:t>. Percentile</w:t>
      </w:r>
      <w:r>
        <w:rPr>
          <w:b/>
        </w:rPr>
        <w:t xml:space="preserve"> Dead Tree</w:t>
      </w:r>
      <w:r w:rsidRPr="000B0CA1">
        <w:rPr>
          <w:b/>
        </w:rPr>
        <w:t xml:space="preserve"> Carbon stocks in </w:t>
      </w:r>
      <w:r>
        <w:rPr>
          <w:b/>
        </w:rPr>
        <w:t xml:space="preserve">Northeastern Highlands </w:t>
      </w:r>
      <w:r w:rsidRPr="000B0CA1">
        <w:rPr>
          <w:b/>
        </w:rPr>
        <w:t xml:space="preserve">by </w:t>
      </w:r>
      <w:r>
        <w:rPr>
          <w:b/>
        </w:rPr>
        <w:t>Basal Area</w:t>
      </w:r>
    </w:p>
    <w:p w14:paraId="6FE4B4D8" w14:textId="77777777" w:rsidR="00920A32" w:rsidRDefault="00920A32" w:rsidP="00920A32">
      <w:pPr>
        <w:jc w:val="center"/>
        <w:rPr>
          <w:b/>
        </w:rPr>
        <w:sectPr w:rsidR="00920A32" w:rsidSect="00681CDC">
          <w:type w:val="continuous"/>
          <w:pgSz w:w="12240" w:h="15840"/>
          <w:pgMar w:top="1440" w:right="1440" w:bottom="1440" w:left="1440" w:header="720" w:footer="720" w:gutter="0"/>
          <w:cols w:num="2" w:space="720"/>
          <w:docGrid w:linePitch="360"/>
        </w:sectPr>
      </w:pPr>
    </w:p>
    <w:tbl>
      <w:tblPr>
        <w:tblStyle w:val="GridTable2"/>
        <w:tblpPr w:leftFromText="180" w:rightFromText="180" w:vertAnchor="text" w:horzAnchor="page" w:tblpX="2041" w:tblpY="-48"/>
        <w:tblW w:w="3510" w:type="dxa"/>
        <w:tblLook w:val="04A0" w:firstRow="1" w:lastRow="0" w:firstColumn="1" w:lastColumn="0" w:noHBand="0" w:noVBand="1"/>
      </w:tblPr>
      <w:tblGrid>
        <w:gridCol w:w="1260"/>
        <w:gridCol w:w="2250"/>
      </w:tblGrid>
      <w:tr w:rsidR="00920A32" w:rsidRPr="0030551C" w14:paraId="6BA42D8F" w14:textId="77777777" w:rsidTr="00751819">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33FAC18C" w14:textId="77777777" w:rsidR="00920A32" w:rsidRPr="0030551C" w:rsidRDefault="00920A32" w:rsidP="00681CDC">
            <w:pPr>
              <w:rPr>
                <w:rFonts w:ascii="Calibri" w:eastAsia="Times New Roman" w:hAnsi="Calibri" w:cs="Calibri"/>
                <w:color w:val="000000"/>
              </w:rPr>
            </w:pPr>
            <w:r w:rsidRPr="00D0186B">
              <w:t>BA (ft²/ac)</w:t>
            </w:r>
          </w:p>
        </w:tc>
        <w:tc>
          <w:tcPr>
            <w:tcW w:w="2250" w:type="dxa"/>
            <w:noWrap/>
            <w:hideMark/>
          </w:tcPr>
          <w:p w14:paraId="35DFF419" w14:textId="55472AE4" w:rsidR="00920A32" w:rsidRPr="0030551C" w:rsidRDefault="00920A32" w:rsidP="00681CD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0186B">
              <w:t>C Prediction (t</w:t>
            </w:r>
            <w:r w:rsidR="00F91B04">
              <w:t>o</w:t>
            </w:r>
            <w:r w:rsidR="00D93181">
              <w:t>n</w:t>
            </w:r>
            <w:r w:rsidRPr="00D0186B">
              <w:t>/ac)</w:t>
            </w:r>
          </w:p>
        </w:tc>
      </w:tr>
      <w:tr w:rsidR="00920A32" w:rsidRPr="0030551C" w14:paraId="62657283"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1474B5EC" w14:textId="77777777" w:rsidR="00920A32" w:rsidRPr="0030551C" w:rsidRDefault="00920A32" w:rsidP="00681CDC">
            <w:pPr>
              <w:jc w:val="center"/>
              <w:rPr>
                <w:rFonts w:ascii="Calibri" w:eastAsia="Times New Roman" w:hAnsi="Calibri" w:cs="Calibri"/>
                <w:color w:val="000000"/>
              </w:rPr>
            </w:pPr>
            <w:r w:rsidRPr="00396BE7">
              <w:t>0</w:t>
            </w:r>
          </w:p>
        </w:tc>
        <w:tc>
          <w:tcPr>
            <w:tcW w:w="2250" w:type="dxa"/>
            <w:noWrap/>
            <w:hideMark/>
          </w:tcPr>
          <w:p w14:paraId="5C73D2A9" w14:textId="77777777" w:rsidR="00920A32" w:rsidRPr="0030551C" w:rsidRDefault="00920A32" w:rsidP="00681C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396BE7">
              <w:t>0.0</w:t>
            </w:r>
          </w:p>
        </w:tc>
      </w:tr>
      <w:tr w:rsidR="00920A32" w:rsidRPr="0030551C" w14:paraId="4DFBB2FF"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68E6F29D" w14:textId="77777777" w:rsidR="00920A32" w:rsidRPr="0030551C" w:rsidRDefault="00920A32" w:rsidP="00681CDC">
            <w:pPr>
              <w:jc w:val="center"/>
              <w:rPr>
                <w:rFonts w:ascii="Calibri" w:eastAsia="Times New Roman" w:hAnsi="Calibri" w:cs="Calibri"/>
                <w:color w:val="000000"/>
              </w:rPr>
            </w:pPr>
            <w:r w:rsidRPr="00396BE7">
              <w:t>5</w:t>
            </w:r>
          </w:p>
        </w:tc>
        <w:tc>
          <w:tcPr>
            <w:tcW w:w="2250" w:type="dxa"/>
            <w:noWrap/>
            <w:hideMark/>
          </w:tcPr>
          <w:p w14:paraId="7EF667DE" w14:textId="77777777" w:rsidR="00920A32" w:rsidRPr="0030551C" w:rsidRDefault="00920A32" w:rsidP="00681C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396BE7">
              <w:t>0.5</w:t>
            </w:r>
          </w:p>
        </w:tc>
      </w:tr>
      <w:tr w:rsidR="00920A32" w:rsidRPr="0030551C" w14:paraId="1EF38D44"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4C0ECA83" w14:textId="77777777" w:rsidR="00920A32" w:rsidRPr="0030551C" w:rsidRDefault="00920A32" w:rsidP="00681CDC">
            <w:pPr>
              <w:jc w:val="center"/>
              <w:rPr>
                <w:rFonts w:ascii="Calibri" w:eastAsia="Times New Roman" w:hAnsi="Calibri" w:cs="Calibri"/>
                <w:color w:val="000000"/>
              </w:rPr>
            </w:pPr>
            <w:r w:rsidRPr="00396BE7">
              <w:t>10</w:t>
            </w:r>
          </w:p>
        </w:tc>
        <w:tc>
          <w:tcPr>
            <w:tcW w:w="2250" w:type="dxa"/>
            <w:noWrap/>
            <w:hideMark/>
          </w:tcPr>
          <w:p w14:paraId="6E7BD050" w14:textId="77777777" w:rsidR="00920A32" w:rsidRPr="0030551C" w:rsidRDefault="00920A32" w:rsidP="00681C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396BE7">
              <w:t>0.9</w:t>
            </w:r>
          </w:p>
        </w:tc>
      </w:tr>
      <w:tr w:rsidR="00920A32" w:rsidRPr="0030551C" w14:paraId="449E87D2"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007F3B74" w14:textId="77777777" w:rsidR="00920A32" w:rsidRPr="0030551C" w:rsidRDefault="00920A32" w:rsidP="00681CDC">
            <w:pPr>
              <w:jc w:val="center"/>
              <w:rPr>
                <w:rFonts w:ascii="Calibri" w:eastAsia="Times New Roman" w:hAnsi="Calibri" w:cs="Calibri"/>
                <w:color w:val="000000"/>
              </w:rPr>
            </w:pPr>
            <w:r w:rsidRPr="00396BE7">
              <w:t>15</w:t>
            </w:r>
          </w:p>
        </w:tc>
        <w:tc>
          <w:tcPr>
            <w:tcW w:w="2250" w:type="dxa"/>
            <w:noWrap/>
            <w:hideMark/>
          </w:tcPr>
          <w:p w14:paraId="2C188B23" w14:textId="77777777" w:rsidR="00920A32" w:rsidRPr="0030551C" w:rsidRDefault="00920A32" w:rsidP="00681C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396BE7">
              <w:t>1.4</w:t>
            </w:r>
          </w:p>
        </w:tc>
      </w:tr>
      <w:tr w:rsidR="00920A32" w:rsidRPr="0030551C" w14:paraId="10546514"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10CD5AEC" w14:textId="77777777" w:rsidR="00920A32" w:rsidRPr="0030551C" w:rsidRDefault="00920A32" w:rsidP="00681CDC">
            <w:pPr>
              <w:jc w:val="center"/>
              <w:rPr>
                <w:rFonts w:ascii="Calibri" w:eastAsia="Times New Roman" w:hAnsi="Calibri" w:cs="Calibri"/>
                <w:color w:val="000000"/>
              </w:rPr>
            </w:pPr>
            <w:r w:rsidRPr="00396BE7">
              <w:t>20</w:t>
            </w:r>
          </w:p>
        </w:tc>
        <w:tc>
          <w:tcPr>
            <w:tcW w:w="2250" w:type="dxa"/>
            <w:noWrap/>
            <w:hideMark/>
          </w:tcPr>
          <w:p w14:paraId="3125C070" w14:textId="77777777" w:rsidR="00920A32" w:rsidRPr="0030551C" w:rsidRDefault="00920A32" w:rsidP="00681C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396BE7">
              <w:t>1.8</w:t>
            </w:r>
          </w:p>
        </w:tc>
      </w:tr>
      <w:tr w:rsidR="00920A32" w:rsidRPr="0030551C" w14:paraId="0E344722"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10B66252" w14:textId="77777777" w:rsidR="00920A32" w:rsidRPr="0030551C" w:rsidRDefault="00920A32" w:rsidP="00681CDC">
            <w:pPr>
              <w:jc w:val="center"/>
              <w:rPr>
                <w:rFonts w:ascii="Calibri" w:eastAsia="Times New Roman" w:hAnsi="Calibri" w:cs="Calibri"/>
                <w:color w:val="000000"/>
              </w:rPr>
            </w:pPr>
            <w:r w:rsidRPr="00396BE7">
              <w:t>25</w:t>
            </w:r>
          </w:p>
        </w:tc>
        <w:tc>
          <w:tcPr>
            <w:tcW w:w="2250" w:type="dxa"/>
            <w:noWrap/>
            <w:hideMark/>
          </w:tcPr>
          <w:p w14:paraId="3FE6A427" w14:textId="77777777" w:rsidR="00920A32" w:rsidRPr="0030551C" w:rsidRDefault="00920A32" w:rsidP="00681C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396BE7">
              <w:t>2.3</w:t>
            </w:r>
          </w:p>
        </w:tc>
      </w:tr>
      <w:tr w:rsidR="00920A32" w:rsidRPr="0030551C" w14:paraId="7102DCAE"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0699AA76" w14:textId="77777777" w:rsidR="00920A32" w:rsidRPr="0030551C" w:rsidRDefault="00920A32" w:rsidP="00681CDC">
            <w:pPr>
              <w:jc w:val="center"/>
              <w:rPr>
                <w:rFonts w:ascii="Calibri" w:eastAsia="Times New Roman" w:hAnsi="Calibri" w:cs="Calibri"/>
                <w:color w:val="000000"/>
              </w:rPr>
            </w:pPr>
            <w:r w:rsidRPr="00396BE7">
              <w:t>30</w:t>
            </w:r>
          </w:p>
        </w:tc>
        <w:tc>
          <w:tcPr>
            <w:tcW w:w="2250" w:type="dxa"/>
            <w:noWrap/>
            <w:hideMark/>
          </w:tcPr>
          <w:p w14:paraId="502D32CE" w14:textId="77777777" w:rsidR="00920A32" w:rsidRPr="0030551C" w:rsidRDefault="00920A32" w:rsidP="00681C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396BE7">
              <w:t>2.7</w:t>
            </w:r>
          </w:p>
        </w:tc>
      </w:tr>
      <w:tr w:rsidR="00920A32" w:rsidRPr="0030551C" w14:paraId="35168080"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15D8E2DE" w14:textId="77777777" w:rsidR="00920A32" w:rsidRPr="0030551C" w:rsidRDefault="00920A32" w:rsidP="00681CDC">
            <w:pPr>
              <w:jc w:val="center"/>
              <w:rPr>
                <w:rFonts w:ascii="Calibri" w:eastAsia="Times New Roman" w:hAnsi="Calibri" w:cs="Calibri"/>
                <w:color w:val="000000"/>
              </w:rPr>
            </w:pPr>
            <w:r w:rsidRPr="00396BE7">
              <w:t>35</w:t>
            </w:r>
          </w:p>
        </w:tc>
        <w:tc>
          <w:tcPr>
            <w:tcW w:w="2250" w:type="dxa"/>
            <w:noWrap/>
            <w:hideMark/>
          </w:tcPr>
          <w:p w14:paraId="3C84289A" w14:textId="77777777" w:rsidR="00920A32" w:rsidRPr="0030551C" w:rsidRDefault="00920A32" w:rsidP="00681C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396BE7">
              <w:t>3.2</w:t>
            </w:r>
          </w:p>
        </w:tc>
      </w:tr>
      <w:tr w:rsidR="00920A32" w:rsidRPr="0030551C" w14:paraId="43EE5D86"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60" w:type="dxa"/>
            <w:noWrap/>
            <w:hideMark/>
          </w:tcPr>
          <w:p w14:paraId="3B4C7F33" w14:textId="77777777" w:rsidR="00920A32" w:rsidRPr="0030551C" w:rsidRDefault="00920A32" w:rsidP="00681CDC">
            <w:pPr>
              <w:jc w:val="center"/>
              <w:rPr>
                <w:rFonts w:ascii="Calibri" w:eastAsia="Times New Roman" w:hAnsi="Calibri" w:cs="Calibri"/>
                <w:color w:val="000000"/>
              </w:rPr>
            </w:pPr>
            <w:r w:rsidRPr="00396BE7">
              <w:t>40</w:t>
            </w:r>
          </w:p>
        </w:tc>
        <w:tc>
          <w:tcPr>
            <w:tcW w:w="2250" w:type="dxa"/>
            <w:noWrap/>
            <w:hideMark/>
          </w:tcPr>
          <w:p w14:paraId="00B8930F" w14:textId="77777777" w:rsidR="00920A32" w:rsidRPr="0030551C" w:rsidRDefault="00920A32" w:rsidP="00681C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396BE7">
              <w:t>3.7</w:t>
            </w:r>
          </w:p>
        </w:tc>
      </w:tr>
    </w:tbl>
    <w:tbl>
      <w:tblPr>
        <w:tblStyle w:val="GridTable2"/>
        <w:tblpPr w:leftFromText="180" w:rightFromText="180" w:vertAnchor="text" w:horzAnchor="margin" w:tblpXSpec="right" w:tblpY="12"/>
        <w:tblW w:w="4770" w:type="dxa"/>
        <w:tblLook w:val="04A0" w:firstRow="1" w:lastRow="0" w:firstColumn="1" w:lastColumn="0" w:noHBand="0" w:noVBand="1"/>
      </w:tblPr>
      <w:tblGrid>
        <w:gridCol w:w="1139"/>
        <w:gridCol w:w="1491"/>
        <w:gridCol w:w="2140"/>
      </w:tblGrid>
      <w:tr w:rsidR="00920A32" w:rsidRPr="0052448B" w14:paraId="0E77BF2C" w14:textId="77777777" w:rsidTr="00751819">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vAlign w:val="bottom"/>
            <w:hideMark/>
          </w:tcPr>
          <w:p w14:paraId="2A86A491" w14:textId="77777777" w:rsidR="00920A32" w:rsidRPr="0052448B" w:rsidRDefault="00920A32" w:rsidP="00681CDC">
            <w:pPr>
              <w:jc w:val="center"/>
              <w:rPr>
                <w:rFonts w:ascii="Calibri" w:eastAsia="Times New Roman" w:hAnsi="Calibri" w:cs="Times New Roman"/>
                <w:color w:val="000000"/>
              </w:rPr>
            </w:pPr>
            <w:r w:rsidRPr="003156B2">
              <w:t>Percentile</w:t>
            </w:r>
          </w:p>
        </w:tc>
        <w:tc>
          <w:tcPr>
            <w:tcW w:w="1491" w:type="dxa"/>
            <w:noWrap/>
            <w:vAlign w:val="bottom"/>
            <w:hideMark/>
          </w:tcPr>
          <w:p w14:paraId="0A64072D" w14:textId="77777777" w:rsidR="00920A32" w:rsidRPr="0052448B" w:rsidRDefault="00920A32" w:rsidP="00681C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156B2">
              <w:t>BA (ft²/ac)</w:t>
            </w:r>
          </w:p>
        </w:tc>
        <w:tc>
          <w:tcPr>
            <w:tcW w:w="2140" w:type="dxa"/>
            <w:noWrap/>
            <w:vAlign w:val="bottom"/>
            <w:hideMark/>
          </w:tcPr>
          <w:p w14:paraId="3A73FB2D" w14:textId="654280C5" w:rsidR="00920A32" w:rsidRPr="0052448B" w:rsidRDefault="00920A32" w:rsidP="00681C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156B2">
              <w:t>C Prediction (t</w:t>
            </w:r>
            <w:r w:rsidR="00F91B04">
              <w:t>o</w:t>
            </w:r>
            <w:r w:rsidR="00D93181">
              <w:t>n</w:t>
            </w:r>
            <w:r w:rsidRPr="003156B2">
              <w:t>/ac)</w:t>
            </w:r>
          </w:p>
        </w:tc>
      </w:tr>
      <w:tr w:rsidR="00920A32" w:rsidRPr="0052448B" w14:paraId="5A083867"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22EDBBF3" w14:textId="77777777" w:rsidR="00920A32" w:rsidRPr="0052448B" w:rsidRDefault="00920A32" w:rsidP="00681CDC">
            <w:pPr>
              <w:jc w:val="center"/>
              <w:rPr>
                <w:rFonts w:ascii="Calibri" w:eastAsia="Times New Roman" w:hAnsi="Calibri" w:cs="Times New Roman"/>
                <w:color w:val="000000"/>
              </w:rPr>
            </w:pPr>
            <w:r w:rsidRPr="00F836E4">
              <w:t>0</w:t>
            </w:r>
          </w:p>
        </w:tc>
        <w:tc>
          <w:tcPr>
            <w:tcW w:w="1491" w:type="dxa"/>
            <w:noWrap/>
            <w:hideMark/>
          </w:tcPr>
          <w:p w14:paraId="15501F43" w14:textId="77777777" w:rsidR="00920A32" w:rsidRPr="0052448B" w:rsidRDefault="00920A32" w:rsidP="00681C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836E4">
              <w:t>0</w:t>
            </w:r>
          </w:p>
        </w:tc>
        <w:tc>
          <w:tcPr>
            <w:tcW w:w="2140" w:type="dxa"/>
            <w:noWrap/>
            <w:hideMark/>
          </w:tcPr>
          <w:p w14:paraId="3DCC19D8" w14:textId="77777777" w:rsidR="00920A32" w:rsidRPr="0052448B" w:rsidRDefault="00920A32" w:rsidP="00681C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836E4">
              <w:t>0</w:t>
            </w:r>
          </w:p>
        </w:tc>
      </w:tr>
      <w:tr w:rsidR="00920A32" w:rsidRPr="0052448B" w14:paraId="784B7D3E"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0868A575" w14:textId="77777777" w:rsidR="00920A32" w:rsidRPr="0052448B" w:rsidRDefault="00920A32" w:rsidP="00681CDC">
            <w:pPr>
              <w:jc w:val="center"/>
              <w:rPr>
                <w:rFonts w:ascii="Calibri" w:eastAsia="Times New Roman" w:hAnsi="Calibri" w:cs="Times New Roman"/>
                <w:color w:val="000000"/>
              </w:rPr>
            </w:pPr>
            <w:r w:rsidRPr="00F836E4">
              <w:t>5</w:t>
            </w:r>
          </w:p>
        </w:tc>
        <w:tc>
          <w:tcPr>
            <w:tcW w:w="1491" w:type="dxa"/>
            <w:noWrap/>
            <w:hideMark/>
          </w:tcPr>
          <w:p w14:paraId="31A02B68" w14:textId="77777777" w:rsidR="00920A32" w:rsidRPr="0052448B" w:rsidRDefault="00920A32" w:rsidP="00681C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836E4">
              <w:t>0</w:t>
            </w:r>
          </w:p>
        </w:tc>
        <w:tc>
          <w:tcPr>
            <w:tcW w:w="2140" w:type="dxa"/>
            <w:noWrap/>
            <w:hideMark/>
          </w:tcPr>
          <w:p w14:paraId="68AE0D92" w14:textId="77777777" w:rsidR="00920A32" w:rsidRPr="0052448B" w:rsidRDefault="00920A32" w:rsidP="00681C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836E4">
              <w:t>0</w:t>
            </w:r>
          </w:p>
        </w:tc>
      </w:tr>
      <w:tr w:rsidR="00920A32" w:rsidRPr="0052448B" w14:paraId="60FD1A68"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0310A040" w14:textId="77777777" w:rsidR="00920A32" w:rsidRPr="0052448B" w:rsidRDefault="00920A32" w:rsidP="00681CDC">
            <w:pPr>
              <w:jc w:val="center"/>
              <w:rPr>
                <w:rFonts w:ascii="Calibri" w:eastAsia="Times New Roman" w:hAnsi="Calibri" w:cs="Times New Roman"/>
                <w:color w:val="000000"/>
              </w:rPr>
            </w:pPr>
            <w:r w:rsidRPr="00F836E4">
              <w:t>10</w:t>
            </w:r>
          </w:p>
        </w:tc>
        <w:tc>
          <w:tcPr>
            <w:tcW w:w="1491" w:type="dxa"/>
            <w:noWrap/>
            <w:hideMark/>
          </w:tcPr>
          <w:p w14:paraId="2FE059F1" w14:textId="77777777" w:rsidR="00920A32" w:rsidRPr="0052448B" w:rsidRDefault="00920A32" w:rsidP="00681C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836E4">
              <w:t>0</w:t>
            </w:r>
          </w:p>
        </w:tc>
        <w:tc>
          <w:tcPr>
            <w:tcW w:w="2140" w:type="dxa"/>
            <w:noWrap/>
            <w:hideMark/>
          </w:tcPr>
          <w:p w14:paraId="4CE75037" w14:textId="77777777" w:rsidR="00920A32" w:rsidRPr="0052448B" w:rsidRDefault="00920A32" w:rsidP="00681C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836E4">
              <w:t>0</w:t>
            </w:r>
          </w:p>
        </w:tc>
      </w:tr>
      <w:tr w:rsidR="00920A32" w:rsidRPr="0052448B" w14:paraId="1AD0B818"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68EAEC1C" w14:textId="77777777" w:rsidR="00920A32" w:rsidRPr="0052448B" w:rsidRDefault="00920A32" w:rsidP="00681CDC">
            <w:pPr>
              <w:jc w:val="center"/>
              <w:rPr>
                <w:rFonts w:ascii="Calibri" w:eastAsia="Times New Roman" w:hAnsi="Calibri" w:cs="Times New Roman"/>
                <w:color w:val="000000"/>
              </w:rPr>
            </w:pPr>
            <w:r w:rsidRPr="00F836E4">
              <w:t>15</w:t>
            </w:r>
          </w:p>
        </w:tc>
        <w:tc>
          <w:tcPr>
            <w:tcW w:w="1491" w:type="dxa"/>
            <w:noWrap/>
            <w:hideMark/>
          </w:tcPr>
          <w:p w14:paraId="1770D055" w14:textId="77777777" w:rsidR="00920A32" w:rsidRPr="0052448B" w:rsidRDefault="00920A32" w:rsidP="00681C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836E4">
              <w:t>1.7</w:t>
            </w:r>
          </w:p>
        </w:tc>
        <w:tc>
          <w:tcPr>
            <w:tcW w:w="2140" w:type="dxa"/>
            <w:noWrap/>
            <w:hideMark/>
          </w:tcPr>
          <w:p w14:paraId="5DF4FE68" w14:textId="77777777" w:rsidR="00920A32" w:rsidRPr="0052448B" w:rsidRDefault="00920A32" w:rsidP="00681C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836E4">
              <w:t>0.2</w:t>
            </w:r>
          </w:p>
        </w:tc>
      </w:tr>
      <w:tr w:rsidR="00920A32" w:rsidRPr="0052448B" w14:paraId="43E751AF"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5433422A" w14:textId="77777777" w:rsidR="00920A32" w:rsidRPr="0052448B" w:rsidRDefault="00920A32" w:rsidP="00681CDC">
            <w:pPr>
              <w:jc w:val="center"/>
              <w:rPr>
                <w:rFonts w:ascii="Calibri" w:eastAsia="Times New Roman" w:hAnsi="Calibri" w:cs="Times New Roman"/>
                <w:color w:val="000000"/>
              </w:rPr>
            </w:pPr>
            <w:r w:rsidRPr="00F836E4">
              <w:t>20</w:t>
            </w:r>
          </w:p>
        </w:tc>
        <w:tc>
          <w:tcPr>
            <w:tcW w:w="1491" w:type="dxa"/>
            <w:noWrap/>
            <w:hideMark/>
          </w:tcPr>
          <w:p w14:paraId="4D7E301B" w14:textId="77777777" w:rsidR="00920A32" w:rsidRPr="0052448B" w:rsidRDefault="00920A32" w:rsidP="00681C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836E4">
              <w:t>2.5</w:t>
            </w:r>
          </w:p>
        </w:tc>
        <w:tc>
          <w:tcPr>
            <w:tcW w:w="2140" w:type="dxa"/>
            <w:noWrap/>
            <w:hideMark/>
          </w:tcPr>
          <w:p w14:paraId="7D085665" w14:textId="77777777" w:rsidR="00920A32" w:rsidRPr="0052448B" w:rsidRDefault="00920A32" w:rsidP="00681C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836E4">
              <w:t>0.2</w:t>
            </w:r>
          </w:p>
        </w:tc>
      </w:tr>
      <w:tr w:rsidR="00920A32" w:rsidRPr="0052448B" w14:paraId="6DCBC4BF"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1C357D1E" w14:textId="77777777" w:rsidR="00920A32" w:rsidRPr="0052448B" w:rsidRDefault="00920A32" w:rsidP="00681CDC">
            <w:pPr>
              <w:jc w:val="center"/>
              <w:rPr>
                <w:rFonts w:ascii="Calibri" w:eastAsia="Times New Roman" w:hAnsi="Calibri" w:cs="Times New Roman"/>
                <w:color w:val="000000"/>
              </w:rPr>
            </w:pPr>
            <w:r w:rsidRPr="00F836E4">
              <w:t>25</w:t>
            </w:r>
          </w:p>
        </w:tc>
        <w:tc>
          <w:tcPr>
            <w:tcW w:w="1491" w:type="dxa"/>
            <w:noWrap/>
            <w:hideMark/>
          </w:tcPr>
          <w:p w14:paraId="4B0DB9DF" w14:textId="77777777" w:rsidR="00920A32" w:rsidRPr="0052448B" w:rsidRDefault="00920A32" w:rsidP="00681C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836E4">
              <w:t>3.6</w:t>
            </w:r>
          </w:p>
        </w:tc>
        <w:tc>
          <w:tcPr>
            <w:tcW w:w="2140" w:type="dxa"/>
            <w:noWrap/>
            <w:hideMark/>
          </w:tcPr>
          <w:p w14:paraId="68A06EE9" w14:textId="77777777" w:rsidR="00920A32" w:rsidRPr="0052448B" w:rsidRDefault="00920A32" w:rsidP="00681C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836E4">
              <w:t>0.3</w:t>
            </w:r>
          </w:p>
        </w:tc>
      </w:tr>
      <w:tr w:rsidR="00920A32" w:rsidRPr="0052448B" w14:paraId="63891D60"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3D47C700" w14:textId="77777777" w:rsidR="00920A32" w:rsidRPr="0052448B" w:rsidRDefault="00920A32" w:rsidP="00681CDC">
            <w:pPr>
              <w:jc w:val="center"/>
              <w:rPr>
                <w:rFonts w:ascii="Calibri" w:eastAsia="Times New Roman" w:hAnsi="Calibri" w:cs="Times New Roman"/>
                <w:color w:val="000000"/>
              </w:rPr>
            </w:pPr>
            <w:r w:rsidRPr="00F836E4">
              <w:t>30</w:t>
            </w:r>
          </w:p>
        </w:tc>
        <w:tc>
          <w:tcPr>
            <w:tcW w:w="1491" w:type="dxa"/>
            <w:noWrap/>
            <w:hideMark/>
          </w:tcPr>
          <w:p w14:paraId="05AA2F55" w14:textId="77777777" w:rsidR="00920A32" w:rsidRPr="0052448B" w:rsidRDefault="00920A32" w:rsidP="00681C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836E4">
              <w:t>5.1</w:t>
            </w:r>
          </w:p>
        </w:tc>
        <w:tc>
          <w:tcPr>
            <w:tcW w:w="2140" w:type="dxa"/>
            <w:noWrap/>
            <w:hideMark/>
          </w:tcPr>
          <w:p w14:paraId="6CE68BAB" w14:textId="77777777" w:rsidR="00920A32" w:rsidRPr="0052448B" w:rsidRDefault="00920A32" w:rsidP="00681C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836E4">
              <w:t>0.5</w:t>
            </w:r>
          </w:p>
        </w:tc>
      </w:tr>
      <w:tr w:rsidR="00920A32" w:rsidRPr="0052448B" w14:paraId="41B7B712"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1E38C844" w14:textId="77777777" w:rsidR="00920A32" w:rsidRPr="0052448B" w:rsidRDefault="00920A32" w:rsidP="00681CDC">
            <w:pPr>
              <w:jc w:val="center"/>
              <w:rPr>
                <w:rFonts w:ascii="Calibri" w:eastAsia="Times New Roman" w:hAnsi="Calibri" w:cs="Times New Roman"/>
                <w:color w:val="000000"/>
              </w:rPr>
            </w:pPr>
            <w:r w:rsidRPr="00F836E4">
              <w:t>35</w:t>
            </w:r>
          </w:p>
        </w:tc>
        <w:tc>
          <w:tcPr>
            <w:tcW w:w="1491" w:type="dxa"/>
            <w:noWrap/>
            <w:hideMark/>
          </w:tcPr>
          <w:p w14:paraId="03678AC2" w14:textId="77777777" w:rsidR="00920A32" w:rsidRPr="0052448B" w:rsidRDefault="00920A32" w:rsidP="00681C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836E4">
              <w:t>6.5</w:t>
            </w:r>
          </w:p>
        </w:tc>
        <w:tc>
          <w:tcPr>
            <w:tcW w:w="2140" w:type="dxa"/>
            <w:noWrap/>
            <w:hideMark/>
          </w:tcPr>
          <w:p w14:paraId="3642F4D7" w14:textId="77777777" w:rsidR="00920A32" w:rsidRPr="0052448B" w:rsidRDefault="00920A32" w:rsidP="00681C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836E4">
              <w:t>0.6</w:t>
            </w:r>
          </w:p>
        </w:tc>
      </w:tr>
      <w:tr w:rsidR="00920A32" w:rsidRPr="0052448B" w14:paraId="7C30D5CD"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3FF6F4A5" w14:textId="77777777" w:rsidR="00920A32" w:rsidRPr="0052448B" w:rsidRDefault="00920A32" w:rsidP="00681CDC">
            <w:pPr>
              <w:jc w:val="center"/>
              <w:rPr>
                <w:rFonts w:ascii="Calibri" w:eastAsia="Times New Roman" w:hAnsi="Calibri" w:cs="Times New Roman"/>
                <w:color w:val="000000"/>
              </w:rPr>
            </w:pPr>
            <w:r w:rsidRPr="00F836E4">
              <w:t>40</w:t>
            </w:r>
          </w:p>
        </w:tc>
        <w:tc>
          <w:tcPr>
            <w:tcW w:w="1491" w:type="dxa"/>
            <w:noWrap/>
            <w:hideMark/>
          </w:tcPr>
          <w:p w14:paraId="0014463F" w14:textId="77777777" w:rsidR="00920A32" w:rsidRPr="0052448B" w:rsidRDefault="00920A32" w:rsidP="00681C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836E4">
              <w:t>7.8</w:t>
            </w:r>
          </w:p>
        </w:tc>
        <w:tc>
          <w:tcPr>
            <w:tcW w:w="2140" w:type="dxa"/>
            <w:noWrap/>
            <w:hideMark/>
          </w:tcPr>
          <w:p w14:paraId="24D78C5F" w14:textId="77777777" w:rsidR="00920A32" w:rsidRPr="0052448B" w:rsidRDefault="00920A32" w:rsidP="00681C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836E4">
              <w:t>0.7</w:t>
            </w:r>
          </w:p>
        </w:tc>
      </w:tr>
      <w:tr w:rsidR="00920A32" w:rsidRPr="0052448B" w14:paraId="07362755"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78871746" w14:textId="77777777" w:rsidR="00920A32" w:rsidRPr="0052448B" w:rsidRDefault="00920A32" w:rsidP="00681CDC">
            <w:pPr>
              <w:jc w:val="center"/>
              <w:rPr>
                <w:rFonts w:ascii="Calibri" w:eastAsia="Times New Roman" w:hAnsi="Calibri" w:cs="Times New Roman"/>
                <w:color w:val="000000"/>
              </w:rPr>
            </w:pPr>
            <w:r w:rsidRPr="00F836E4">
              <w:t>45</w:t>
            </w:r>
          </w:p>
        </w:tc>
        <w:tc>
          <w:tcPr>
            <w:tcW w:w="1491" w:type="dxa"/>
            <w:noWrap/>
            <w:hideMark/>
          </w:tcPr>
          <w:p w14:paraId="7194D7BB" w14:textId="77777777" w:rsidR="00920A32" w:rsidRPr="0052448B" w:rsidRDefault="00920A32" w:rsidP="00681C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836E4">
              <w:t>9.2</w:t>
            </w:r>
          </w:p>
        </w:tc>
        <w:tc>
          <w:tcPr>
            <w:tcW w:w="2140" w:type="dxa"/>
            <w:noWrap/>
            <w:hideMark/>
          </w:tcPr>
          <w:p w14:paraId="76251226" w14:textId="77777777" w:rsidR="00920A32" w:rsidRPr="0052448B" w:rsidRDefault="00920A32" w:rsidP="00681C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836E4">
              <w:t>0.8</w:t>
            </w:r>
          </w:p>
        </w:tc>
      </w:tr>
      <w:tr w:rsidR="00920A32" w:rsidRPr="0052448B" w14:paraId="64E438C3"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438F8E2B" w14:textId="77777777" w:rsidR="00920A32" w:rsidRPr="0052448B" w:rsidRDefault="00920A32" w:rsidP="00681CDC">
            <w:pPr>
              <w:jc w:val="center"/>
              <w:rPr>
                <w:rFonts w:ascii="Calibri" w:eastAsia="Times New Roman" w:hAnsi="Calibri" w:cs="Times New Roman"/>
                <w:color w:val="000000"/>
              </w:rPr>
            </w:pPr>
            <w:r w:rsidRPr="00F836E4">
              <w:t>50</w:t>
            </w:r>
          </w:p>
        </w:tc>
        <w:tc>
          <w:tcPr>
            <w:tcW w:w="1491" w:type="dxa"/>
            <w:noWrap/>
            <w:hideMark/>
          </w:tcPr>
          <w:p w14:paraId="754DDA7D" w14:textId="77777777" w:rsidR="00920A32" w:rsidRPr="0052448B" w:rsidRDefault="00920A32" w:rsidP="00681C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836E4">
              <w:t>10.5</w:t>
            </w:r>
          </w:p>
        </w:tc>
        <w:tc>
          <w:tcPr>
            <w:tcW w:w="2140" w:type="dxa"/>
            <w:noWrap/>
            <w:hideMark/>
          </w:tcPr>
          <w:p w14:paraId="46C3E991" w14:textId="77777777" w:rsidR="00920A32" w:rsidRPr="0052448B" w:rsidRDefault="00920A32" w:rsidP="00681C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836E4">
              <w:t>1</w:t>
            </w:r>
          </w:p>
        </w:tc>
      </w:tr>
      <w:tr w:rsidR="00920A32" w:rsidRPr="0052448B" w14:paraId="6202F5C6"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22628FEC" w14:textId="77777777" w:rsidR="00920A32" w:rsidRPr="0052448B" w:rsidRDefault="00920A32" w:rsidP="00681CDC">
            <w:pPr>
              <w:jc w:val="center"/>
              <w:rPr>
                <w:rFonts w:ascii="Calibri" w:eastAsia="Times New Roman" w:hAnsi="Calibri" w:cs="Times New Roman"/>
                <w:color w:val="000000"/>
              </w:rPr>
            </w:pPr>
            <w:r w:rsidRPr="00F836E4">
              <w:t>55</w:t>
            </w:r>
          </w:p>
        </w:tc>
        <w:tc>
          <w:tcPr>
            <w:tcW w:w="1491" w:type="dxa"/>
            <w:noWrap/>
            <w:hideMark/>
          </w:tcPr>
          <w:p w14:paraId="3A38069C" w14:textId="77777777" w:rsidR="00920A32" w:rsidRPr="0052448B" w:rsidRDefault="00920A32" w:rsidP="00681C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836E4">
              <w:t>11.9</w:t>
            </w:r>
          </w:p>
        </w:tc>
        <w:tc>
          <w:tcPr>
            <w:tcW w:w="2140" w:type="dxa"/>
            <w:noWrap/>
            <w:hideMark/>
          </w:tcPr>
          <w:p w14:paraId="12625927" w14:textId="77777777" w:rsidR="00920A32" w:rsidRPr="0052448B" w:rsidRDefault="00920A32" w:rsidP="00681C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836E4">
              <w:t>1.1</w:t>
            </w:r>
          </w:p>
        </w:tc>
      </w:tr>
      <w:tr w:rsidR="00920A32" w:rsidRPr="0052448B" w14:paraId="795D5675"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269B8725" w14:textId="77777777" w:rsidR="00920A32" w:rsidRPr="0052448B" w:rsidRDefault="00920A32" w:rsidP="00681CDC">
            <w:pPr>
              <w:jc w:val="center"/>
              <w:rPr>
                <w:rFonts w:ascii="Calibri" w:eastAsia="Times New Roman" w:hAnsi="Calibri" w:cs="Times New Roman"/>
                <w:color w:val="000000"/>
              </w:rPr>
            </w:pPr>
            <w:r w:rsidRPr="00F836E4">
              <w:t>60</w:t>
            </w:r>
          </w:p>
        </w:tc>
        <w:tc>
          <w:tcPr>
            <w:tcW w:w="1491" w:type="dxa"/>
            <w:noWrap/>
            <w:hideMark/>
          </w:tcPr>
          <w:p w14:paraId="379C6498" w14:textId="77777777" w:rsidR="00920A32" w:rsidRPr="0052448B" w:rsidRDefault="00920A32" w:rsidP="00681C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836E4">
              <w:t>13.8</w:t>
            </w:r>
          </w:p>
        </w:tc>
        <w:tc>
          <w:tcPr>
            <w:tcW w:w="2140" w:type="dxa"/>
            <w:noWrap/>
            <w:hideMark/>
          </w:tcPr>
          <w:p w14:paraId="05CBE002" w14:textId="77777777" w:rsidR="00920A32" w:rsidRPr="0052448B" w:rsidRDefault="00920A32" w:rsidP="00681C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836E4">
              <w:t>1.3</w:t>
            </w:r>
          </w:p>
        </w:tc>
      </w:tr>
      <w:tr w:rsidR="00920A32" w:rsidRPr="0052448B" w14:paraId="6A17672E"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0CCACD61" w14:textId="77777777" w:rsidR="00920A32" w:rsidRPr="0052448B" w:rsidRDefault="00920A32" w:rsidP="00681CDC">
            <w:pPr>
              <w:jc w:val="center"/>
              <w:rPr>
                <w:rFonts w:ascii="Calibri" w:eastAsia="Times New Roman" w:hAnsi="Calibri" w:cs="Times New Roman"/>
                <w:color w:val="000000"/>
              </w:rPr>
            </w:pPr>
            <w:r w:rsidRPr="00F836E4">
              <w:t>65</w:t>
            </w:r>
          </w:p>
        </w:tc>
        <w:tc>
          <w:tcPr>
            <w:tcW w:w="1491" w:type="dxa"/>
            <w:noWrap/>
            <w:hideMark/>
          </w:tcPr>
          <w:p w14:paraId="5B35B3EA" w14:textId="77777777" w:rsidR="00920A32" w:rsidRPr="0052448B" w:rsidRDefault="00920A32" w:rsidP="00681C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836E4">
              <w:t>15.1</w:t>
            </w:r>
          </w:p>
        </w:tc>
        <w:tc>
          <w:tcPr>
            <w:tcW w:w="2140" w:type="dxa"/>
            <w:noWrap/>
            <w:hideMark/>
          </w:tcPr>
          <w:p w14:paraId="36440242" w14:textId="77777777" w:rsidR="00920A32" w:rsidRPr="0052448B" w:rsidRDefault="00920A32" w:rsidP="00681C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836E4">
              <w:t>1.4</w:t>
            </w:r>
          </w:p>
        </w:tc>
      </w:tr>
      <w:tr w:rsidR="00920A32" w:rsidRPr="0052448B" w14:paraId="69D77368"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1EDE3B4F" w14:textId="77777777" w:rsidR="00920A32" w:rsidRPr="0052448B" w:rsidRDefault="00920A32" w:rsidP="00681CDC">
            <w:pPr>
              <w:jc w:val="center"/>
              <w:rPr>
                <w:rFonts w:ascii="Calibri" w:eastAsia="Times New Roman" w:hAnsi="Calibri" w:cs="Times New Roman"/>
                <w:color w:val="000000"/>
              </w:rPr>
            </w:pPr>
            <w:r w:rsidRPr="00F836E4">
              <w:t>70</w:t>
            </w:r>
          </w:p>
        </w:tc>
        <w:tc>
          <w:tcPr>
            <w:tcW w:w="1491" w:type="dxa"/>
            <w:noWrap/>
            <w:hideMark/>
          </w:tcPr>
          <w:p w14:paraId="4E96193E" w14:textId="77777777" w:rsidR="00920A32" w:rsidRPr="0052448B" w:rsidRDefault="00920A32" w:rsidP="00681C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836E4">
              <w:t>17.8</w:t>
            </w:r>
          </w:p>
        </w:tc>
        <w:tc>
          <w:tcPr>
            <w:tcW w:w="2140" w:type="dxa"/>
            <w:noWrap/>
            <w:hideMark/>
          </w:tcPr>
          <w:p w14:paraId="6F534DAA" w14:textId="77777777" w:rsidR="00920A32" w:rsidRPr="0052448B" w:rsidRDefault="00920A32" w:rsidP="00681C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836E4">
              <w:t>1.6</w:t>
            </w:r>
          </w:p>
        </w:tc>
      </w:tr>
      <w:tr w:rsidR="00920A32" w:rsidRPr="0052448B" w14:paraId="4D4B7FF3"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09735857" w14:textId="77777777" w:rsidR="00920A32" w:rsidRPr="0052448B" w:rsidRDefault="00920A32" w:rsidP="00681CDC">
            <w:pPr>
              <w:jc w:val="center"/>
              <w:rPr>
                <w:rFonts w:ascii="Calibri" w:eastAsia="Times New Roman" w:hAnsi="Calibri" w:cs="Times New Roman"/>
                <w:color w:val="000000"/>
              </w:rPr>
            </w:pPr>
            <w:r w:rsidRPr="00F836E4">
              <w:t>75</w:t>
            </w:r>
          </w:p>
        </w:tc>
        <w:tc>
          <w:tcPr>
            <w:tcW w:w="1491" w:type="dxa"/>
            <w:noWrap/>
            <w:hideMark/>
          </w:tcPr>
          <w:p w14:paraId="2910C93D" w14:textId="77777777" w:rsidR="00920A32" w:rsidRPr="0052448B" w:rsidRDefault="00920A32" w:rsidP="00681C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836E4">
              <w:t>20</w:t>
            </w:r>
          </w:p>
        </w:tc>
        <w:tc>
          <w:tcPr>
            <w:tcW w:w="2140" w:type="dxa"/>
            <w:noWrap/>
            <w:hideMark/>
          </w:tcPr>
          <w:p w14:paraId="0404F584" w14:textId="77777777" w:rsidR="00920A32" w:rsidRPr="0052448B" w:rsidRDefault="00920A32" w:rsidP="00681C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836E4">
              <w:t>1.8</w:t>
            </w:r>
          </w:p>
        </w:tc>
      </w:tr>
      <w:tr w:rsidR="00920A32" w:rsidRPr="0052448B" w14:paraId="664CB0EB"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6478738D" w14:textId="77777777" w:rsidR="00920A32" w:rsidRPr="0052448B" w:rsidRDefault="00920A32" w:rsidP="00681CDC">
            <w:pPr>
              <w:jc w:val="center"/>
              <w:rPr>
                <w:rFonts w:ascii="Calibri" w:eastAsia="Times New Roman" w:hAnsi="Calibri" w:cs="Times New Roman"/>
                <w:color w:val="000000"/>
              </w:rPr>
            </w:pPr>
            <w:r w:rsidRPr="00F836E4">
              <w:t>80</w:t>
            </w:r>
          </w:p>
        </w:tc>
        <w:tc>
          <w:tcPr>
            <w:tcW w:w="1491" w:type="dxa"/>
            <w:noWrap/>
            <w:hideMark/>
          </w:tcPr>
          <w:p w14:paraId="7BF5E619" w14:textId="77777777" w:rsidR="00920A32" w:rsidRPr="0052448B" w:rsidRDefault="00920A32" w:rsidP="00681C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836E4">
              <w:t>23.2</w:t>
            </w:r>
          </w:p>
        </w:tc>
        <w:tc>
          <w:tcPr>
            <w:tcW w:w="2140" w:type="dxa"/>
            <w:noWrap/>
            <w:hideMark/>
          </w:tcPr>
          <w:p w14:paraId="23895348" w14:textId="77777777" w:rsidR="00920A32" w:rsidRPr="0052448B" w:rsidRDefault="00920A32" w:rsidP="00681C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836E4">
              <w:t>2.1</w:t>
            </w:r>
          </w:p>
        </w:tc>
      </w:tr>
      <w:tr w:rsidR="00920A32" w:rsidRPr="0052448B" w14:paraId="4F6DDD78"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272C1751" w14:textId="77777777" w:rsidR="00920A32" w:rsidRPr="0052448B" w:rsidRDefault="00920A32" w:rsidP="00681CDC">
            <w:pPr>
              <w:jc w:val="center"/>
              <w:rPr>
                <w:rFonts w:ascii="Calibri" w:eastAsia="Times New Roman" w:hAnsi="Calibri" w:cs="Times New Roman"/>
                <w:color w:val="000000"/>
              </w:rPr>
            </w:pPr>
            <w:r w:rsidRPr="00F836E4">
              <w:t>85</w:t>
            </w:r>
          </w:p>
        </w:tc>
        <w:tc>
          <w:tcPr>
            <w:tcW w:w="1491" w:type="dxa"/>
            <w:noWrap/>
            <w:hideMark/>
          </w:tcPr>
          <w:p w14:paraId="61874023" w14:textId="77777777" w:rsidR="00920A32" w:rsidRPr="0052448B" w:rsidRDefault="00920A32" w:rsidP="00681C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836E4">
              <w:t>26.9</w:t>
            </w:r>
          </w:p>
        </w:tc>
        <w:tc>
          <w:tcPr>
            <w:tcW w:w="2140" w:type="dxa"/>
            <w:noWrap/>
            <w:hideMark/>
          </w:tcPr>
          <w:p w14:paraId="1CB46405" w14:textId="77777777" w:rsidR="00920A32" w:rsidRPr="0052448B" w:rsidRDefault="00920A32" w:rsidP="00681C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836E4">
              <w:t>2.5</w:t>
            </w:r>
          </w:p>
        </w:tc>
      </w:tr>
      <w:tr w:rsidR="00920A32" w:rsidRPr="0052448B" w14:paraId="64FC3526" w14:textId="77777777" w:rsidTr="0075181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44D633A3" w14:textId="77777777" w:rsidR="00920A32" w:rsidRPr="0052448B" w:rsidRDefault="00920A32" w:rsidP="00681CDC">
            <w:pPr>
              <w:jc w:val="center"/>
              <w:rPr>
                <w:rFonts w:ascii="Calibri" w:eastAsia="Times New Roman" w:hAnsi="Calibri" w:cs="Times New Roman"/>
                <w:color w:val="000000"/>
              </w:rPr>
            </w:pPr>
            <w:r w:rsidRPr="00F836E4">
              <w:t>90</w:t>
            </w:r>
          </w:p>
        </w:tc>
        <w:tc>
          <w:tcPr>
            <w:tcW w:w="1491" w:type="dxa"/>
            <w:noWrap/>
            <w:hideMark/>
          </w:tcPr>
          <w:p w14:paraId="6887D565" w14:textId="77777777" w:rsidR="00920A32" w:rsidRPr="0052448B" w:rsidRDefault="00920A32" w:rsidP="00681C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836E4">
              <w:t>32.2</w:t>
            </w:r>
          </w:p>
        </w:tc>
        <w:tc>
          <w:tcPr>
            <w:tcW w:w="2140" w:type="dxa"/>
            <w:noWrap/>
            <w:hideMark/>
          </w:tcPr>
          <w:p w14:paraId="3E127416" w14:textId="77777777" w:rsidR="00920A32" w:rsidRPr="0052448B" w:rsidRDefault="00920A32" w:rsidP="00681C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836E4">
              <w:t>2.9</w:t>
            </w:r>
          </w:p>
        </w:tc>
      </w:tr>
      <w:tr w:rsidR="00920A32" w:rsidRPr="0052448B" w14:paraId="0BB916C1" w14:textId="77777777" w:rsidTr="00751819">
        <w:trPr>
          <w:trHeight w:val="290"/>
        </w:trPr>
        <w:tc>
          <w:tcPr>
            <w:cnfStyle w:val="001000000000" w:firstRow="0" w:lastRow="0" w:firstColumn="1" w:lastColumn="0" w:oddVBand="0" w:evenVBand="0" w:oddHBand="0" w:evenHBand="0" w:firstRowFirstColumn="0" w:firstRowLastColumn="0" w:lastRowFirstColumn="0" w:lastRowLastColumn="0"/>
            <w:tcW w:w="1139" w:type="dxa"/>
            <w:noWrap/>
            <w:hideMark/>
          </w:tcPr>
          <w:p w14:paraId="3A8FE5BF" w14:textId="77777777" w:rsidR="00920A32" w:rsidRPr="0052448B" w:rsidRDefault="00920A32" w:rsidP="00681CDC">
            <w:pPr>
              <w:jc w:val="center"/>
              <w:rPr>
                <w:rFonts w:ascii="Calibri" w:eastAsia="Times New Roman" w:hAnsi="Calibri" w:cs="Times New Roman"/>
                <w:color w:val="000000"/>
              </w:rPr>
            </w:pPr>
            <w:r w:rsidRPr="00F836E4">
              <w:t>95</w:t>
            </w:r>
          </w:p>
        </w:tc>
        <w:tc>
          <w:tcPr>
            <w:tcW w:w="1491" w:type="dxa"/>
            <w:noWrap/>
            <w:hideMark/>
          </w:tcPr>
          <w:p w14:paraId="3D6D9C4A" w14:textId="77777777" w:rsidR="00920A32" w:rsidRPr="0052448B" w:rsidRDefault="00920A32" w:rsidP="00681C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836E4">
              <w:t>41.1</w:t>
            </w:r>
          </w:p>
        </w:tc>
        <w:tc>
          <w:tcPr>
            <w:tcW w:w="2140" w:type="dxa"/>
            <w:noWrap/>
            <w:hideMark/>
          </w:tcPr>
          <w:p w14:paraId="31119CCC" w14:textId="77777777" w:rsidR="00920A32" w:rsidRPr="0052448B" w:rsidRDefault="00920A32" w:rsidP="00681C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836E4">
              <w:t>3.8</w:t>
            </w:r>
          </w:p>
        </w:tc>
      </w:tr>
    </w:tbl>
    <w:p w14:paraId="56AA9904" w14:textId="77777777" w:rsidR="00920A32" w:rsidRPr="000B0CA1" w:rsidRDefault="00920A32" w:rsidP="00920A32">
      <w:pPr>
        <w:jc w:val="center"/>
        <w:rPr>
          <w:b/>
        </w:rPr>
      </w:pPr>
    </w:p>
    <w:p w14:paraId="69BD236A" w14:textId="77777777" w:rsidR="00920A32" w:rsidRDefault="00920A32" w:rsidP="00920A32"/>
    <w:p w14:paraId="1804881B" w14:textId="77777777" w:rsidR="00920A32" w:rsidRDefault="00920A32" w:rsidP="00920A32"/>
    <w:p w14:paraId="00E62B2F" w14:textId="77777777" w:rsidR="00920A32" w:rsidRDefault="00920A32" w:rsidP="00920A32"/>
    <w:p w14:paraId="19136678" w14:textId="77777777" w:rsidR="00920A32" w:rsidRDefault="00920A32" w:rsidP="00920A32"/>
    <w:p w14:paraId="184ECC82" w14:textId="77777777" w:rsidR="00920A32" w:rsidRDefault="00920A32" w:rsidP="00920A32"/>
    <w:p w14:paraId="22085E13" w14:textId="77777777" w:rsidR="00920A32" w:rsidRDefault="00920A32" w:rsidP="00920A32"/>
    <w:p w14:paraId="360DBBA2" w14:textId="77777777" w:rsidR="00920A32" w:rsidRPr="008E42D7" w:rsidRDefault="00920A32" w:rsidP="00920A32"/>
    <w:p w14:paraId="19019460" w14:textId="77777777" w:rsidR="00152474" w:rsidRDefault="00152474" w:rsidP="00152474"/>
    <w:p w14:paraId="38FD6376" w14:textId="77777777" w:rsidR="00152474" w:rsidRDefault="00152474" w:rsidP="00152474"/>
    <w:p w14:paraId="0CBCDC57" w14:textId="77777777" w:rsidR="008E31F4" w:rsidRDefault="008E31F4" w:rsidP="00152474"/>
    <w:p w14:paraId="2816F29A" w14:textId="31CCF96B" w:rsidR="00920A32" w:rsidRDefault="00920A32" w:rsidP="00152474"/>
    <w:p w14:paraId="1F895BFA" w14:textId="77777777" w:rsidR="00920A32" w:rsidRDefault="00920A32">
      <w:r>
        <w:br w:type="page"/>
      </w:r>
    </w:p>
    <w:p w14:paraId="001B4905" w14:textId="77777777" w:rsidR="008E31F4" w:rsidRDefault="008E31F4" w:rsidP="00152474">
      <w:pPr>
        <w:sectPr w:rsidR="008E31F4" w:rsidSect="00195867">
          <w:type w:val="continuous"/>
          <w:pgSz w:w="12240" w:h="15840"/>
          <w:pgMar w:top="1440" w:right="1440" w:bottom="1440" w:left="1440" w:header="720" w:footer="720" w:gutter="0"/>
          <w:cols w:num="2" w:space="720"/>
          <w:docGrid w:linePitch="360"/>
        </w:sectPr>
      </w:pPr>
    </w:p>
    <w:p w14:paraId="1365CB80" w14:textId="3A95CA43" w:rsidR="00152474" w:rsidRPr="00920A32" w:rsidRDefault="0048158E" w:rsidP="00152474">
      <w:pPr>
        <w:rPr>
          <w:b/>
          <w:sz w:val="28"/>
          <w:szCs w:val="28"/>
        </w:rPr>
      </w:pPr>
      <w:r w:rsidRPr="00920A32">
        <w:rPr>
          <w:b/>
          <w:sz w:val="28"/>
          <w:szCs w:val="28"/>
        </w:rPr>
        <w:lastRenderedPageBreak/>
        <w:t>Methods: Calculating Carbon Predictions</w:t>
      </w:r>
    </w:p>
    <w:p w14:paraId="6539D65E" w14:textId="209AF2AD" w:rsidR="00493665" w:rsidRDefault="00F65915" w:rsidP="00493665">
      <w:pPr>
        <w:ind w:firstLine="720"/>
      </w:pPr>
      <w:r>
        <w:t>Estimating carbon stocks in forest stands can be complex; with additional uncertainty caused by comparing estimates generated using different methods or volume and biomass models. To overcome these hurdles, the relationship between basal area</w:t>
      </w:r>
      <w:r w:rsidR="00493665">
        <w:t xml:space="preserve">, </w:t>
      </w:r>
      <w:r>
        <w:t xml:space="preserve">tree volume and biomass </w:t>
      </w:r>
      <w:r w:rsidR="00493665">
        <w:t xml:space="preserve">provided predictions by </w:t>
      </w:r>
      <w:r>
        <w:t xml:space="preserve">using the nation’s tree census – the database of the USFS Forest Inventory and Analysis program (FIADB).  </w:t>
      </w:r>
    </w:p>
    <w:p w14:paraId="69141528" w14:textId="63830243" w:rsidR="00493665" w:rsidRDefault="00F65915" w:rsidP="00493665">
      <w:pPr>
        <w:ind w:firstLine="720"/>
      </w:pPr>
      <w:r>
        <w:t>The database was queried and conditions (which</w:t>
      </w:r>
      <w:r w:rsidR="00493665">
        <w:t xml:space="preserve"> </w:t>
      </w:r>
      <w:r>
        <w:t xml:space="preserve">would ordinarily be considered a stand with a unique combination of owner, forest type, size class, tree density, etc.) </w:t>
      </w:r>
      <w:r w:rsidR="00964269">
        <w:t xml:space="preserve">were </w:t>
      </w:r>
      <w:r>
        <w:t>treated as separate observations. The per-acre estimates of live tree basal area (ft²), aboveground</w:t>
      </w:r>
      <w:r w:rsidR="00493665">
        <w:t xml:space="preserve"> carbon, and </w:t>
      </w:r>
      <w:r>
        <w:t>below</w:t>
      </w:r>
      <w:r w:rsidR="00493665">
        <w:t xml:space="preserve"> </w:t>
      </w:r>
      <w:r>
        <w:t>ground carbon</w:t>
      </w:r>
      <w:r w:rsidR="00493665">
        <w:t xml:space="preserve">, </w:t>
      </w:r>
      <w:r>
        <w:t>along with sampling weights (i.e., acres), were queried from FIADB.</w:t>
      </w:r>
      <w:r w:rsidR="00493665">
        <w:t xml:space="preserve"> Within these data tons C in live trees having DBH ≥ 1.0 in. was estimated using the component ratio method (CRM, Heath and others 2009). </w:t>
      </w:r>
      <w:r>
        <w:t xml:space="preserve">Ordinary least squares regression was used on the observations and their weights to predict a linear relationship of the form a*[BA]=[CARBON].  One standard error prediction </w:t>
      </w:r>
      <w:proofErr w:type="gramStart"/>
      <w:r>
        <w:t>intervals</w:t>
      </w:r>
      <w:proofErr w:type="gramEnd"/>
      <w:r>
        <w:t xml:space="preserve"> (68.3%) were also calculated. Separate relationships were fit to observations within different US Forest Service Ecological Subsections that occur within </w:t>
      </w:r>
      <w:proofErr w:type="gramStart"/>
      <w:r>
        <w:t>Massachusetts, and</w:t>
      </w:r>
      <w:proofErr w:type="gramEnd"/>
      <w:r>
        <w:t xml:space="preserve"> grouped by different physiographic regions within Massachusetts that share similar characteristics of forest growth (e.g., species, productivity, disturbance patterns) that correspond with live tree forest biomass stocks.  These regions were: </w:t>
      </w:r>
    </w:p>
    <w:p w14:paraId="2FA4234E" w14:textId="092F7E81" w:rsidR="00493665" w:rsidRDefault="00195867" w:rsidP="00493665">
      <w:pPr>
        <w:pStyle w:val="ListParagraph"/>
        <w:numPr>
          <w:ilvl w:val="0"/>
          <w:numId w:val="4"/>
        </w:numPr>
      </w:pPr>
      <w:r>
        <w:t>t</w:t>
      </w:r>
      <w:r w:rsidR="00493665">
        <w:t>he Cape Cod Coastal Lowland and Islands ecological subsection in the Lower New England ecological section</w:t>
      </w:r>
      <w:r w:rsidR="00681CDC">
        <w:t xml:space="preserve">, which corresponds to the Atlantic Coastal Pine Barrens </w:t>
      </w:r>
      <w:proofErr w:type="gramStart"/>
      <w:r w:rsidR="00681CDC">
        <w:t>ecoregion</w:t>
      </w:r>
      <w:r w:rsidR="00493665">
        <w:t>;</w:t>
      </w:r>
      <w:proofErr w:type="gramEnd"/>
      <w:r w:rsidR="00493665">
        <w:t xml:space="preserve"> </w:t>
      </w:r>
    </w:p>
    <w:p w14:paraId="0589730D" w14:textId="06165791" w:rsidR="00195867" w:rsidRDefault="00195867" w:rsidP="00751819">
      <w:pPr>
        <w:pStyle w:val="ListParagraph"/>
        <w:numPr>
          <w:ilvl w:val="0"/>
          <w:numId w:val="4"/>
        </w:numPr>
      </w:pPr>
      <w:r>
        <w:t>t</w:t>
      </w:r>
      <w:r w:rsidR="00F65915">
        <w:t>he remaining ecological subsections in the Lower New England ecological section</w:t>
      </w:r>
      <w:r w:rsidR="00681CDC">
        <w:t>, which correspond to the Northeastern Coastal Zone ecoregion</w:t>
      </w:r>
      <w:r w:rsidR="00F65915">
        <w:t xml:space="preserve">; and </w:t>
      </w:r>
    </w:p>
    <w:p w14:paraId="187A1D73" w14:textId="6DCAFDCC" w:rsidR="00F65915" w:rsidRDefault="00F65915" w:rsidP="00F65915">
      <w:pPr>
        <w:pStyle w:val="ListParagraph"/>
        <w:numPr>
          <w:ilvl w:val="0"/>
          <w:numId w:val="4"/>
        </w:numPr>
      </w:pPr>
      <w:r>
        <w:t>the New England Piedmont, and Green-Taconic-Berkshire Mountains, ecological sections</w:t>
      </w:r>
      <w:r w:rsidR="00797270">
        <w:t>, which correspond to the Northeastern Highlands ecoregion</w:t>
      </w:r>
      <w:r>
        <w:t xml:space="preserve">. </w:t>
      </w:r>
    </w:p>
    <w:p w14:paraId="1FC8849E" w14:textId="77777777" w:rsidR="00F65915" w:rsidRDefault="00F65915" w:rsidP="00751819">
      <w:pPr>
        <w:pStyle w:val="ListParagraph"/>
      </w:pPr>
    </w:p>
    <w:p w14:paraId="5BE434DE" w14:textId="7E6CA6F0" w:rsidR="00F65915" w:rsidRDefault="00F65915" w:rsidP="00F65915">
      <w:r>
        <w:t xml:space="preserve">The process was repeated for standing dead trees having DBH ≥ 1.0 in.  Quantiles were also produced from the weighted empirical distribution of the basal area observations.  In this way, foresters can: </w:t>
      </w:r>
    </w:p>
    <w:p w14:paraId="67B2602A" w14:textId="7825EBE1" w:rsidR="00195867" w:rsidRDefault="00F65915" w:rsidP="00751819">
      <w:pPr>
        <w:pStyle w:val="ListParagraph"/>
        <w:numPr>
          <w:ilvl w:val="0"/>
          <w:numId w:val="5"/>
        </w:numPr>
      </w:pPr>
      <w:r>
        <w:t xml:space="preserve">rapidly and reasonably estimate and predict live and standing dead tree forest carbon stocks, with minimal additional effort relative to measurements they’re already </w:t>
      </w:r>
      <w:proofErr w:type="gramStart"/>
      <w:r>
        <w:t>collecting;</w:t>
      </w:r>
      <w:proofErr w:type="gramEnd"/>
      <w:r>
        <w:t xml:space="preserve"> </w:t>
      </w:r>
    </w:p>
    <w:p w14:paraId="42261296" w14:textId="0A56FF65" w:rsidR="00195867" w:rsidRDefault="00F65915" w:rsidP="00751819">
      <w:pPr>
        <w:pStyle w:val="ListParagraph"/>
        <w:numPr>
          <w:ilvl w:val="0"/>
          <w:numId w:val="5"/>
        </w:numPr>
      </w:pPr>
      <w:r>
        <w:t xml:space="preserve">generate a reasonable comparison of the subject stands to similarly situated forest land, using methods and models already in place, that can be kept </w:t>
      </w:r>
      <w:proofErr w:type="gramStart"/>
      <w:r>
        <w:t>current;</w:t>
      </w:r>
      <w:proofErr w:type="gramEnd"/>
      <w:r>
        <w:t xml:space="preserve">  </w:t>
      </w:r>
    </w:p>
    <w:p w14:paraId="2BA2431E" w14:textId="7134CDD6" w:rsidR="00195867" w:rsidRDefault="00F65915" w:rsidP="00751819">
      <w:pPr>
        <w:pStyle w:val="ListParagraph"/>
        <w:numPr>
          <w:ilvl w:val="0"/>
          <w:numId w:val="5"/>
        </w:numPr>
      </w:pPr>
      <w:r>
        <w:t xml:space="preserve">avoid some of the pitfalls when comparing estimates generated using different models (e.g., CRM vs. Jenkins vs. others, which can vary by &gt;10% over the same trees); and </w:t>
      </w:r>
    </w:p>
    <w:p w14:paraId="2B9D6EDC" w14:textId="3CA4F3EA" w:rsidR="00F65915" w:rsidRDefault="00F65915" w:rsidP="00F65915">
      <w:pPr>
        <w:pStyle w:val="ListParagraph"/>
        <w:numPr>
          <w:ilvl w:val="0"/>
          <w:numId w:val="5"/>
        </w:numPr>
      </w:pPr>
      <w:r>
        <w:t xml:space="preserve">utilize the strength of the predictive power of tree diameter as the squared term of volume and biomass estimates, that’s readily explainable to a wide audience; sacrificing some technical accuracy for efficiency and minimizing the need to learn the application of complex models. </w:t>
      </w:r>
    </w:p>
    <w:p w14:paraId="3E08D49B" w14:textId="73D11167" w:rsidR="0048158E" w:rsidRDefault="0048158E" w:rsidP="0048158E">
      <w:pPr>
        <w:pStyle w:val="ListParagraph"/>
      </w:pPr>
    </w:p>
    <w:p w14:paraId="3695871E" w14:textId="216D568D" w:rsidR="0048158E" w:rsidRDefault="0048158E" w:rsidP="0048158E">
      <w:pPr>
        <w:pStyle w:val="ListParagraph"/>
      </w:pPr>
    </w:p>
    <w:p w14:paraId="51B2AE96" w14:textId="77777777" w:rsidR="00F65915" w:rsidRDefault="00F65915" w:rsidP="00751819">
      <w:pPr>
        <w:pStyle w:val="ListParagraph"/>
      </w:pPr>
    </w:p>
    <w:p w14:paraId="4EE080F7" w14:textId="77777777" w:rsidR="00F65915" w:rsidRDefault="00F65915" w:rsidP="00751819">
      <w:pPr>
        <w:ind w:firstLine="360"/>
      </w:pPr>
      <w:r>
        <w:lastRenderedPageBreak/>
        <w:t xml:space="preserve">A comparable procedure was used to extract estimates across FIA’s entire NERS region of mean aboveground and belowground live and standing dead tree carbon stocks, and mean rate of net growth (gross growth minus natural mortality (not harvesting)) of live trees, all with DBH ≥ 1.0 in., per acre, as a function of FIA’s stand age variable stored at the condition level.  While this would include all the effects of prior disturbance, management, etc.; FIA’s stand age variable does not force delineation of a separate condition; and FIA’s stand age variable is not necessarily representative of time since last disturbance but represents a weighted average of the age of the plurality of all live trees, seedlings, and saplings not overtopped in the predominant stand size class of the condition observed on the plot; it is still a helpful indicator and shows strong relationships with measures of stand structure and dynamics. </w:t>
      </w:r>
    </w:p>
    <w:p w14:paraId="15C060B8" w14:textId="77777777" w:rsidR="00F65915" w:rsidRDefault="00F65915" w:rsidP="00F65915"/>
    <w:p w14:paraId="104B3648" w14:textId="05ED107E" w:rsidR="00F65915" w:rsidRPr="00964269" w:rsidRDefault="00F65915" w:rsidP="00F65915">
      <w:pPr>
        <w:rPr>
          <w:i/>
        </w:rPr>
      </w:pPr>
      <w:r w:rsidRPr="00964269">
        <w:rPr>
          <w:i/>
        </w:rPr>
        <w:t xml:space="preserve">This information and approach </w:t>
      </w:r>
      <w:r w:rsidR="00FE3146" w:rsidRPr="00964269">
        <w:rPr>
          <w:i/>
        </w:rPr>
        <w:t>were</w:t>
      </w:r>
      <w:r w:rsidRPr="00964269">
        <w:rPr>
          <w:i/>
        </w:rPr>
        <w:t xml:space="preserve"> collaboratively developed and reviewed by Mass</w:t>
      </w:r>
      <w:r w:rsidR="00FE3146">
        <w:rPr>
          <w:i/>
        </w:rPr>
        <w:t xml:space="preserve"> </w:t>
      </w:r>
      <w:r w:rsidRPr="00964269">
        <w:rPr>
          <w:i/>
        </w:rPr>
        <w:t xml:space="preserve">Audubon, NIACS, and DCR forest scientists. </w:t>
      </w:r>
    </w:p>
    <w:p w14:paraId="306E2DEA" w14:textId="77777777" w:rsidR="00F65915" w:rsidRDefault="00F65915" w:rsidP="00F65915"/>
    <w:p w14:paraId="0BE2961E" w14:textId="77777777" w:rsidR="00195867" w:rsidRDefault="00195867" w:rsidP="00F65915"/>
    <w:p w14:paraId="04413200" w14:textId="77777777" w:rsidR="00195867" w:rsidRDefault="00195867" w:rsidP="00F65915"/>
    <w:p w14:paraId="19541864" w14:textId="77777777" w:rsidR="00195867" w:rsidRDefault="00195867" w:rsidP="00F65915"/>
    <w:p w14:paraId="71FB8F9B" w14:textId="77777777" w:rsidR="00195867" w:rsidRDefault="00195867" w:rsidP="00F65915"/>
    <w:p w14:paraId="4097055A" w14:textId="77777777" w:rsidR="00195867" w:rsidRDefault="00195867" w:rsidP="00F65915"/>
    <w:p w14:paraId="6607AF6F" w14:textId="77777777" w:rsidR="00195867" w:rsidRDefault="00195867" w:rsidP="00F65915"/>
    <w:p w14:paraId="2F9A625A" w14:textId="77777777" w:rsidR="00195867" w:rsidRDefault="00195867" w:rsidP="00F65915"/>
    <w:p w14:paraId="60417F32" w14:textId="77777777" w:rsidR="00751819" w:rsidRDefault="00751819">
      <w:pPr>
        <w:rPr>
          <w:rFonts w:cstheme="minorHAnsi"/>
          <w:b/>
        </w:rPr>
      </w:pPr>
      <w:r>
        <w:rPr>
          <w:rFonts w:cstheme="minorHAnsi"/>
          <w:b/>
        </w:rPr>
        <w:br w:type="page"/>
      </w:r>
    </w:p>
    <w:p w14:paraId="0DE447F9" w14:textId="6630267D" w:rsidR="00F65915" w:rsidRPr="00964269" w:rsidRDefault="00F65915" w:rsidP="00F65915">
      <w:pPr>
        <w:rPr>
          <w:rFonts w:cstheme="minorHAnsi"/>
          <w:b/>
        </w:rPr>
      </w:pPr>
      <w:r w:rsidRPr="00964269">
        <w:rPr>
          <w:rFonts w:cstheme="minorHAnsi"/>
          <w:b/>
        </w:rPr>
        <w:lastRenderedPageBreak/>
        <w:t xml:space="preserve">References, background, and supplemental information </w:t>
      </w:r>
    </w:p>
    <w:p w14:paraId="09A9C665" w14:textId="77777777" w:rsidR="00F65915" w:rsidRPr="00195867" w:rsidRDefault="00F65915" w:rsidP="00F65915">
      <w:pPr>
        <w:rPr>
          <w:rFonts w:cstheme="minorHAnsi"/>
        </w:rPr>
      </w:pPr>
    </w:p>
    <w:p w14:paraId="3DE451FE" w14:textId="588050E7" w:rsidR="00F65915" w:rsidRPr="00195867" w:rsidRDefault="00F65915" w:rsidP="00F65915">
      <w:pPr>
        <w:rPr>
          <w:rFonts w:cstheme="minorHAnsi"/>
          <w:i/>
        </w:rPr>
      </w:pPr>
      <w:r w:rsidRPr="00964269">
        <w:rPr>
          <w:rFonts w:cstheme="minorHAnsi"/>
          <w:i/>
        </w:rPr>
        <w:t xml:space="preserve">FIADB documentation: </w:t>
      </w:r>
    </w:p>
    <w:p w14:paraId="1FF880C1" w14:textId="52ECAB4C" w:rsidR="00F65915" w:rsidRPr="00195867" w:rsidRDefault="00F65915" w:rsidP="00F65915">
      <w:pPr>
        <w:rPr>
          <w:rFonts w:cstheme="minorHAnsi"/>
        </w:rPr>
      </w:pPr>
      <w:r w:rsidRPr="00195867">
        <w:rPr>
          <w:rFonts w:cstheme="minorHAnsi"/>
        </w:rPr>
        <w:t xml:space="preserve">Burrill, Elizabeth A.; </w:t>
      </w:r>
      <w:proofErr w:type="spellStart"/>
      <w:r w:rsidRPr="00195867">
        <w:rPr>
          <w:rFonts w:cstheme="minorHAnsi"/>
        </w:rPr>
        <w:t>DiTommaso</w:t>
      </w:r>
      <w:proofErr w:type="spellEnd"/>
      <w:r w:rsidRPr="00195867">
        <w:rPr>
          <w:rFonts w:cstheme="minorHAnsi"/>
        </w:rPr>
        <w:t xml:space="preserve">, Andrea M.; Turner, Jeffery A.; Pugh, Scott A.; </w:t>
      </w:r>
      <w:proofErr w:type="spellStart"/>
      <w:r w:rsidRPr="00195867">
        <w:rPr>
          <w:rFonts w:cstheme="minorHAnsi"/>
        </w:rPr>
        <w:t>Menlove</w:t>
      </w:r>
      <w:proofErr w:type="spellEnd"/>
      <w:r w:rsidRPr="00195867">
        <w:rPr>
          <w:rFonts w:cstheme="minorHAnsi"/>
        </w:rPr>
        <w:t xml:space="preserve">, James; Christiansen, Glenn; Perry, Carol J.; Conkling, Barbara L. 2021. The Forest Inventory and Analysis Database: database description and user guide version 9.0 for Phase 2. U.S. Department of Agriculture, Forest Service. 1024 p. [Online]. Available at web address: https://www.fia.fs.fed.us/library/database-documentation/current/ver90/FIADB%20User%20Guide%20P2_9-0_final.pdf </w:t>
      </w:r>
    </w:p>
    <w:p w14:paraId="1B704102" w14:textId="77777777" w:rsidR="00F65915" w:rsidRPr="00195867" w:rsidRDefault="00F65915" w:rsidP="00F65915">
      <w:pPr>
        <w:rPr>
          <w:rFonts w:cstheme="minorHAnsi"/>
        </w:rPr>
      </w:pPr>
      <w:r w:rsidRPr="00195867">
        <w:rPr>
          <w:rFonts w:cstheme="minorHAnsi"/>
        </w:rPr>
        <w:t>(</w:t>
      </w:r>
      <w:proofErr w:type="gramStart"/>
      <w:r w:rsidRPr="00195867">
        <w:rPr>
          <w:rFonts w:cstheme="minorHAnsi"/>
        </w:rPr>
        <w:t>see</w:t>
      </w:r>
      <w:proofErr w:type="gramEnd"/>
      <w:r w:rsidRPr="00195867">
        <w:rPr>
          <w:rFonts w:cstheme="minorHAnsi"/>
        </w:rPr>
        <w:t xml:space="preserve"> Appendix K for information on CRM). </w:t>
      </w:r>
    </w:p>
    <w:p w14:paraId="3C7ABBD9" w14:textId="77777777" w:rsidR="00F65915" w:rsidRPr="00195867" w:rsidRDefault="00F65915" w:rsidP="00F65915">
      <w:pPr>
        <w:rPr>
          <w:rFonts w:cstheme="minorHAnsi"/>
        </w:rPr>
      </w:pPr>
    </w:p>
    <w:p w14:paraId="54748BFB" w14:textId="1412D378" w:rsidR="00F65915" w:rsidRPr="00195867" w:rsidRDefault="00F65915" w:rsidP="00F65915">
      <w:pPr>
        <w:rPr>
          <w:rFonts w:cstheme="minorHAnsi"/>
        </w:rPr>
      </w:pPr>
      <w:r w:rsidRPr="00964269">
        <w:rPr>
          <w:rFonts w:cstheme="minorHAnsi"/>
          <w:i/>
        </w:rPr>
        <w:t xml:space="preserve">FIADB Population Estimation documentation: </w:t>
      </w:r>
    </w:p>
    <w:p w14:paraId="6E34EBBB" w14:textId="1B513C73" w:rsidR="00195867" w:rsidRPr="00195867" w:rsidRDefault="00F65915" w:rsidP="00F65915">
      <w:pPr>
        <w:rPr>
          <w:rFonts w:cstheme="minorHAnsi"/>
        </w:rPr>
      </w:pPr>
      <w:r w:rsidRPr="00195867">
        <w:rPr>
          <w:rFonts w:cstheme="minorHAnsi"/>
        </w:rPr>
        <w:t xml:space="preserve">O’Connell, Barbara M.; Conkling, Barbara L.; Wilson, Andrea M.; Burrill, Elizabeth A.; Turner, Jeffrey A.; Pugh, Scott A.; Christensen, Glenn; Ridley, Ted; </w:t>
      </w:r>
      <w:proofErr w:type="spellStart"/>
      <w:r w:rsidRPr="00195867">
        <w:rPr>
          <w:rFonts w:cstheme="minorHAnsi"/>
        </w:rPr>
        <w:t>Menlove</w:t>
      </w:r>
      <w:proofErr w:type="spellEnd"/>
      <w:r w:rsidRPr="00195867">
        <w:rPr>
          <w:rFonts w:cstheme="minorHAnsi"/>
        </w:rPr>
        <w:t xml:space="preserve">, James.  2017.  The Forest Inventory and Analysis Database: Population Estimation User Guide (Edition: </w:t>
      </w:r>
      <w:proofErr w:type="gramStart"/>
      <w:r w:rsidRPr="00195867">
        <w:rPr>
          <w:rFonts w:cstheme="minorHAnsi"/>
        </w:rPr>
        <w:t>March,</w:t>
      </w:r>
      <w:proofErr w:type="gramEnd"/>
      <w:r w:rsidRPr="00195867">
        <w:rPr>
          <w:rFonts w:cstheme="minorHAnsi"/>
        </w:rPr>
        <w:t xml:space="preserve"> 2017).  136 p. [Online].  Available at web address: https://www.fia.fs.fed.us/library/database-documentation/current/ver70/FIADB%20Population%20Estimation%20user%20guide_final.pdf </w:t>
      </w:r>
    </w:p>
    <w:p w14:paraId="0D26A813" w14:textId="77777777" w:rsidR="00F65915" w:rsidRPr="00195867" w:rsidRDefault="00F65915" w:rsidP="00F65915">
      <w:pPr>
        <w:rPr>
          <w:rFonts w:cstheme="minorHAnsi"/>
        </w:rPr>
      </w:pPr>
    </w:p>
    <w:p w14:paraId="73B1A17E" w14:textId="69CF8A0E" w:rsidR="00F65915" w:rsidRPr="00195867" w:rsidRDefault="00F65915" w:rsidP="00F65915">
      <w:pPr>
        <w:rPr>
          <w:rFonts w:cstheme="minorHAnsi"/>
        </w:rPr>
      </w:pPr>
      <w:r w:rsidRPr="00964269">
        <w:rPr>
          <w:rFonts w:cstheme="minorHAnsi"/>
          <w:i/>
        </w:rPr>
        <w:t xml:space="preserve">FIA NRS Field Data Collection Methods: </w:t>
      </w:r>
    </w:p>
    <w:p w14:paraId="008D643A" w14:textId="5189F386" w:rsidR="00F65915" w:rsidRPr="00195867" w:rsidRDefault="00F65915" w:rsidP="00F65915">
      <w:pPr>
        <w:rPr>
          <w:rFonts w:cstheme="minorHAnsi"/>
        </w:rPr>
      </w:pPr>
      <w:r w:rsidRPr="00195867">
        <w:rPr>
          <w:rFonts w:cstheme="minorHAnsi"/>
        </w:rPr>
        <w:t xml:space="preserve">Forest Service Staff.  2021.  Forest Inventory and Analysis National Core Field Guide Volume I: Field Data Collection Procedures for Phase 2 Plots: Northern Research Station (Version 9.1, September 2021).  572 p. [Online].  Available at Web Address: </w:t>
      </w:r>
      <w:hyperlink r:id="rId11" w:history="1">
        <w:r w:rsidR="00195867" w:rsidRPr="00195867">
          <w:rPr>
            <w:rStyle w:val="Hyperlink"/>
            <w:rFonts w:cstheme="minorHAnsi"/>
          </w:rPr>
          <w:t>https://www.nrs.fs.fed.us/fia/data-collection/</w:t>
        </w:r>
      </w:hyperlink>
      <w:r w:rsidRPr="00195867">
        <w:rPr>
          <w:rFonts w:cstheme="minorHAnsi"/>
        </w:rPr>
        <w:t xml:space="preserve">. </w:t>
      </w:r>
    </w:p>
    <w:p w14:paraId="798D73A3" w14:textId="77777777" w:rsidR="00195867" w:rsidRPr="00195867" w:rsidRDefault="00195867" w:rsidP="00F65915">
      <w:pPr>
        <w:rPr>
          <w:rFonts w:cstheme="minorHAnsi"/>
        </w:rPr>
      </w:pPr>
    </w:p>
    <w:p w14:paraId="09BC8563" w14:textId="77777777" w:rsidR="00F65915" w:rsidRPr="00964269" w:rsidRDefault="00F65915" w:rsidP="00F65915">
      <w:pPr>
        <w:rPr>
          <w:rFonts w:cstheme="minorHAnsi"/>
          <w:i/>
        </w:rPr>
      </w:pPr>
      <w:r w:rsidRPr="00964269">
        <w:rPr>
          <w:rFonts w:cstheme="minorHAnsi"/>
          <w:i/>
        </w:rPr>
        <w:t xml:space="preserve">Documentation of CRM and adjustments for standing dead trees: </w:t>
      </w:r>
    </w:p>
    <w:p w14:paraId="3253F044" w14:textId="6FF8A37E" w:rsidR="00195867" w:rsidRDefault="00F65915" w:rsidP="00195867">
      <w:pPr>
        <w:pStyle w:val="paragraph"/>
        <w:spacing w:before="0" w:beforeAutospacing="0" w:after="0" w:afterAutospacing="0"/>
        <w:textAlignment w:val="baseline"/>
        <w:rPr>
          <w:rStyle w:val="eop"/>
          <w:rFonts w:asciiTheme="minorHAnsi" w:hAnsiTheme="minorHAnsi" w:cstheme="minorHAnsi"/>
          <w:sz w:val="22"/>
          <w:szCs w:val="22"/>
        </w:rPr>
      </w:pPr>
      <w:r w:rsidRPr="00195867">
        <w:rPr>
          <w:rFonts w:asciiTheme="minorHAnsi" w:hAnsiTheme="minorHAnsi" w:cstheme="minorHAnsi"/>
          <w:sz w:val="22"/>
          <w:szCs w:val="22"/>
        </w:rPr>
        <w:t xml:space="preserve">Heath, Linda S.; Hansen, Mark; Smith, James E.; Miles, Patrick D.; Smith, Brad W. 2009. Investigation into calculating tree biomass and carbon in the FIADB using a biomass expansion factor approach. In: McWilliams, Will; </w:t>
      </w:r>
      <w:proofErr w:type="spellStart"/>
      <w:r w:rsidRPr="00195867">
        <w:rPr>
          <w:rFonts w:asciiTheme="minorHAnsi" w:hAnsiTheme="minorHAnsi" w:cstheme="minorHAnsi"/>
          <w:sz w:val="22"/>
          <w:szCs w:val="22"/>
        </w:rPr>
        <w:t>Moisen</w:t>
      </w:r>
      <w:proofErr w:type="spellEnd"/>
      <w:r w:rsidRPr="00195867">
        <w:rPr>
          <w:rFonts w:asciiTheme="minorHAnsi" w:hAnsiTheme="minorHAnsi" w:cstheme="minorHAnsi"/>
          <w:sz w:val="22"/>
          <w:szCs w:val="22"/>
        </w:rPr>
        <w:t xml:space="preserve">, Gretchen; </w:t>
      </w:r>
      <w:proofErr w:type="spellStart"/>
      <w:r w:rsidRPr="00195867">
        <w:rPr>
          <w:rFonts w:asciiTheme="minorHAnsi" w:hAnsiTheme="minorHAnsi" w:cstheme="minorHAnsi"/>
          <w:sz w:val="22"/>
          <w:szCs w:val="22"/>
        </w:rPr>
        <w:t>Czaplewski</w:t>
      </w:r>
      <w:proofErr w:type="spellEnd"/>
      <w:r w:rsidRPr="00195867">
        <w:rPr>
          <w:rFonts w:asciiTheme="minorHAnsi" w:hAnsiTheme="minorHAnsi" w:cstheme="minorHAnsi"/>
          <w:sz w:val="22"/>
          <w:szCs w:val="22"/>
        </w:rPr>
        <w:t xml:space="preserve">, Ray, comps. Forest Inventory and Analysis (FIA) Symposium 2008; October 21-23, 2008; Park City, UT. Proc. RMRS-P-56CD. Fort Collins, CO: U.S. Department of Agriculture, Forest Service, Rocky Mountain Research Station. 26 p.  Available at web address: </w:t>
      </w:r>
      <w:hyperlink r:id="rId12" w:tgtFrame="_blank" w:history="1">
        <w:r w:rsidR="00195867" w:rsidRPr="00195867">
          <w:rPr>
            <w:rStyle w:val="normaltextrun"/>
            <w:rFonts w:asciiTheme="minorHAnsi" w:hAnsiTheme="minorHAnsi" w:cstheme="minorHAnsi"/>
            <w:color w:val="0000FF"/>
            <w:sz w:val="22"/>
            <w:szCs w:val="22"/>
            <w:u w:val="single"/>
          </w:rPr>
          <w:t>https://www.fs.usda.gov/treesearch/pubs/33351</w:t>
        </w:r>
      </w:hyperlink>
      <w:r w:rsidR="00195867" w:rsidRPr="00195867">
        <w:rPr>
          <w:rStyle w:val="normaltextrun"/>
          <w:rFonts w:asciiTheme="minorHAnsi" w:hAnsiTheme="minorHAnsi" w:cstheme="minorHAnsi"/>
          <w:sz w:val="22"/>
          <w:szCs w:val="22"/>
        </w:rPr>
        <w:t>.</w:t>
      </w:r>
      <w:r w:rsidR="00195867" w:rsidRPr="00195867">
        <w:rPr>
          <w:rStyle w:val="eop"/>
          <w:rFonts w:asciiTheme="minorHAnsi" w:hAnsiTheme="minorHAnsi" w:cstheme="minorHAnsi"/>
          <w:sz w:val="22"/>
          <w:szCs w:val="22"/>
        </w:rPr>
        <w:t> </w:t>
      </w:r>
    </w:p>
    <w:p w14:paraId="30A515D4" w14:textId="77777777" w:rsidR="00195867" w:rsidRPr="00195867" w:rsidRDefault="00195867" w:rsidP="00195867">
      <w:pPr>
        <w:pStyle w:val="paragraph"/>
        <w:spacing w:before="0" w:beforeAutospacing="0" w:after="0" w:afterAutospacing="0"/>
        <w:textAlignment w:val="baseline"/>
        <w:rPr>
          <w:rFonts w:asciiTheme="minorHAnsi" w:hAnsiTheme="minorHAnsi" w:cstheme="minorHAnsi"/>
          <w:sz w:val="22"/>
          <w:szCs w:val="22"/>
        </w:rPr>
      </w:pPr>
    </w:p>
    <w:p w14:paraId="59352D34" w14:textId="48434600" w:rsidR="00195867" w:rsidRDefault="00195867" w:rsidP="00195867">
      <w:pPr>
        <w:pStyle w:val="paragraph"/>
        <w:spacing w:before="0" w:beforeAutospacing="0" w:after="0" w:afterAutospacing="0"/>
        <w:textAlignment w:val="baseline"/>
        <w:rPr>
          <w:rStyle w:val="eop"/>
          <w:rFonts w:asciiTheme="minorHAnsi" w:hAnsiTheme="minorHAnsi" w:cstheme="minorHAnsi"/>
          <w:sz w:val="22"/>
          <w:szCs w:val="22"/>
        </w:rPr>
      </w:pPr>
      <w:proofErr w:type="spellStart"/>
      <w:r w:rsidRPr="00195867">
        <w:rPr>
          <w:rStyle w:val="normaltextrun"/>
          <w:rFonts w:asciiTheme="minorHAnsi" w:hAnsiTheme="minorHAnsi" w:cstheme="minorHAnsi"/>
          <w:sz w:val="22"/>
          <w:szCs w:val="22"/>
        </w:rPr>
        <w:t>Domke</w:t>
      </w:r>
      <w:proofErr w:type="spellEnd"/>
      <w:r w:rsidRPr="00195867">
        <w:rPr>
          <w:rStyle w:val="normaltextrun"/>
          <w:rFonts w:asciiTheme="minorHAnsi" w:hAnsiTheme="minorHAnsi" w:cstheme="minorHAnsi"/>
          <w:sz w:val="22"/>
          <w:szCs w:val="22"/>
        </w:rPr>
        <w:t xml:space="preserve">, Grant M.; Woodall, Christopher W.; Smith, James E. 2011. Accounting for density reduction and structural loss in standing dead trees: Implications for forest biomass and carbon stock estimates in the United States. Carbon Balance and Management. 6:14. [11 p.]  Available at web address: </w:t>
      </w:r>
      <w:hyperlink r:id="rId13" w:tgtFrame="_blank" w:history="1">
        <w:r w:rsidRPr="00195867">
          <w:rPr>
            <w:rStyle w:val="normaltextrun"/>
            <w:rFonts w:asciiTheme="minorHAnsi" w:hAnsiTheme="minorHAnsi" w:cstheme="minorHAnsi"/>
            <w:color w:val="0000FF"/>
            <w:sz w:val="22"/>
            <w:szCs w:val="22"/>
            <w:u w:val="single"/>
          </w:rPr>
          <w:t>https://www.fs.usda.gov/treesearch/pubs/40208</w:t>
        </w:r>
      </w:hyperlink>
      <w:r w:rsidRPr="00195867">
        <w:rPr>
          <w:rStyle w:val="normaltextrun"/>
          <w:rFonts w:asciiTheme="minorHAnsi" w:hAnsiTheme="minorHAnsi" w:cstheme="minorHAnsi"/>
          <w:sz w:val="22"/>
          <w:szCs w:val="22"/>
        </w:rPr>
        <w:t>.</w:t>
      </w:r>
      <w:r w:rsidRPr="00195867">
        <w:rPr>
          <w:rStyle w:val="eop"/>
          <w:rFonts w:asciiTheme="minorHAnsi" w:hAnsiTheme="minorHAnsi" w:cstheme="minorHAnsi"/>
          <w:sz w:val="22"/>
          <w:szCs w:val="22"/>
        </w:rPr>
        <w:t> </w:t>
      </w:r>
    </w:p>
    <w:p w14:paraId="57E13BA0" w14:textId="77777777" w:rsidR="00195867" w:rsidRPr="00195867" w:rsidRDefault="00195867" w:rsidP="00195867">
      <w:pPr>
        <w:pStyle w:val="paragraph"/>
        <w:spacing w:before="0" w:beforeAutospacing="0" w:after="0" w:afterAutospacing="0"/>
        <w:textAlignment w:val="baseline"/>
        <w:rPr>
          <w:rFonts w:asciiTheme="minorHAnsi" w:hAnsiTheme="minorHAnsi" w:cstheme="minorHAnsi"/>
          <w:sz w:val="22"/>
          <w:szCs w:val="22"/>
        </w:rPr>
      </w:pPr>
    </w:p>
    <w:p w14:paraId="68140F30" w14:textId="77777777" w:rsidR="00195867" w:rsidRPr="00195867" w:rsidRDefault="00195867" w:rsidP="00195867">
      <w:pPr>
        <w:pStyle w:val="paragraph"/>
        <w:spacing w:before="0" w:beforeAutospacing="0" w:after="0" w:afterAutospacing="0"/>
        <w:textAlignment w:val="baseline"/>
        <w:rPr>
          <w:rFonts w:asciiTheme="minorHAnsi" w:hAnsiTheme="minorHAnsi" w:cstheme="minorHAnsi"/>
          <w:sz w:val="22"/>
          <w:szCs w:val="22"/>
        </w:rPr>
      </w:pPr>
      <w:r w:rsidRPr="00195867">
        <w:rPr>
          <w:rStyle w:val="normaltextrun"/>
          <w:rFonts w:asciiTheme="minorHAnsi" w:hAnsiTheme="minorHAnsi" w:cstheme="minorHAnsi"/>
          <w:i/>
          <w:iCs/>
          <w:sz w:val="22"/>
          <w:szCs w:val="22"/>
        </w:rPr>
        <w:t>USFS Ecomap ecological land unit geographic delineations:</w:t>
      </w:r>
      <w:r w:rsidRPr="00195867">
        <w:rPr>
          <w:rStyle w:val="eop"/>
          <w:rFonts w:asciiTheme="minorHAnsi" w:hAnsiTheme="minorHAnsi" w:cstheme="minorHAnsi"/>
          <w:sz w:val="22"/>
          <w:szCs w:val="22"/>
        </w:rPr>
        <w:t> </w:t>
      </w:r>
    </w:p>
    <w:p w14:paraId="6185BAFD" w14:textId="58A91D43" w:rsidR="0052448B" w:rsidRPr="00195867" w:rsidRDefault="00000000" w:rsidP="00195867">
      <w:pPr>
        <w:pStyle w:val="paragraph"/>
        <w:spacing w:before="0" w:beforeAutospacing="0" w:after="0" w:afterAutospacing="0"/>
        <w:textAlignment w:val="baseline"/>
        <w:rPr>
          <w:rFonts w:asciiTheme="minorHAnsi" w:hAnsiTheme="minorHAnsi" w:cstheme="minorHAnsi"/>
          <w:sz w:val="22"/>
          <w:szCs w:val="22"/>
        </w:rPr>
      </w:pPr>
      <w:hyperlink r:id="rId14" w:tgtFrame="_blank" w:history="1">
        <w:r w:rsidR="00195867" w:rsidRPr="00195867">
          <w:rPr>
            <w:rStyle w:val="normaltextrun"/>
            <w:rFonts w:asciiTheme="minorHAnsi" w:hAnsiTheme="minorHAnsi" w:cstheme="minorHAnsi"/>
            <w:color w:val="0000FF"/>
            <w:sz w:val="22"/>
            <w:szCs w:val="22"/>
            <w:u w:val="single"/>
          </w:rPr>
          <w:t>https://data.fs.usda.gov/geodata/edw/datasets.php</w:t>
        </w:r>
      </w:hyperlink>
      <w:r w:rsidR="00195867" w:rsidRPr="00195867">
        <w:rPr>
          <w:rStyle w:val="normaltextrun"/>
          <w:rFonts w:asciiTheme="minorHAnsi" w:hAnsiTheme="minorHAnsi" w:cstheme="minorHAnsi"/>
          <w:sz w:val="22"/>
          <w:szCs w:val="22"/>
        </w:rPr>
        <w:t>; See Ecological Provinces/Sections/Subsections</w:t>
      </w:r>
      <w:r w:rsidR="00195867" w:rsidRPr="00195867">
        <w:rPr>
          <w:rStyle w:val="eop"/>
          <w:rFonts w:asciiTheme="minorHAnsi" w:hAnsiTheme="minorHAnsi" w:cstheme="minorHAnsi"/>
          <w:sz w:val="22"/>
          <w:szCs w:val="22"/>
        </w:rPr>
        <w:t> </w:t>
      </w:r>
    </w:p>
    <w:sectPr w:rsidR="0052448B" w:rsidRPr="00195867" w:rsidSect="001524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423898"/>
    <w:multiLevelType w:val="multilevel"/>
    <w:tmpl w:val="AC386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9534701"/>
    <w:multiLevelType w:val="multilevel"/>
    <w:tmpl w:val="7F705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05D58"/>
    <w:multiLevelType w:val="hybridMultilevel"/>
    <w:tmpl w:val="8EAA9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F836EA"/>
    <w:multiLevelType w:val="hybridMultilevel"/>
    <w:tmpl w:val="CEE2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CA6A73"/>
    <w:multiLevelType w:val="hybridMultilevel"/>
    <w:tmpl w:val="F790F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5332275">
    <w:abstractNumId w:val="0"/>
  </w:num>
  <w:num w:numId="2" w16cid:durableId="1559701188">
    <w:abstractNumId w:val="1"/>
  </w:num>
  <w:num w:numId="3" w16cid:durableId="447357634">
    <w:abstractNumId w:val="2"/>
  </w:num>
  <w:num w:numId="4" w16cid:durableId="1862014783">
    <w:abstractNumId w:val="4"/>
  </w:num>
  <w:num w:numId="5" w16cid:durableId="10651050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C1A"/>
    <w:rsid w:val="00007DDF"/>
    <w:rsid w:val="00015AA2"/>
    <w:rsid w:val="00016B4D"/>
    <w:rsid w:val="00041B28"/>
    <w:rsid w:val="000665BD"/>
    <w:rsid w:val="00070037"/>
    <w:rsid w:val="00075F66"/>
    <w:rsid w:val="000A4E1C"/>
    <w:rsid w:val="000B20E5"/>
    <w:rsid w:val="000F47F5"/>
    <w:rsid w:val="00121629"/>
    <w:rsid w:val="00152474"/>
    <w:rsid w:val="00155132"/>
    <w:rsid w:val="00155600"/>
    <w:rsid w:val="001842BA"/>
    <w:rsid w:val="00195867"/>
    <w:rsid w:val="001A3CF7"/>
    <w:rsid w:val="00221DB2"/>
    <w:rsid w:val="00294546"/>
    <w:rsid w:val="002B00F1"/>
    <w:rsid w:val="002B0987"/>
    <w:rsid w:val="002D70DE"/>
    <w:rsid w:val="002E3B37"/>
    <w:rsid w:val="002F7960"/>
    <w:rsid w:val="0030551C"/>
    <w:rsid w:val="00306336"/>
    <w:rsid w:val="00320595"/>
    <w:rsid w:val="00326565"/>
    <w:rsid w:val="00326AB0"/>
    <w:rsid w:val="00327F68"/>
    <w:rsid w:val="00331ADE"/>
    <w:rsid w:val="00335336"/>
    <w:rsid w:val="00350A23"/>
    <w:rsid w:val="00377337"/>
    <w:rsid w:val="00382C4C"/>
    <w:rsid w:val="00385C24"/>
    <w:rsid w:val="00394094"/>
    <w:rsid w:val="003D60D7"/>
    <w:rsid w:val="003E3E7E"/>
    <w:rsid w:val="003E7B97"/>
    <w:rsid w:val="0040502B"/>
    <w:rsid w:val="0048158E"/>
    <w:rsid w:val="00493665"/>
    <w:rsid w:val="004E63ED"/>
    <w:rsid w:val="00506D58"/>
    <w:rsid w:val="00513094"/>
    <w:rsid w:val="00515624"/>
    <w:rsid w:val="0052448B"/>
    <w:rsid w:val="0054349D"/>
    <w:rsid w:val="00553496"/>
    <w:rsid w:val="00584CFF"/>
    <w:rsid w:val="005C3EB4"/>
    <w:rsid w:val="005D0158"/>
    <w:rsid w:val="005D6BC9"/>
    <w:rsid w:val="005E2CF8"/>
    <w:rsid w:val="005F7B42"/>
    <w:rsid w:val="006208ED"/>
    <w:rsid w:val="00657726"/>
    <w:rsid w:val="00681CDC"/>
    <w:rsid w:val="006947A3"/>
    <w:rsid w:val="006B3E17"/>
    <w:rsid w:val="006C4D5B"/>
    <w:rsid w:val="00751819"/>
    <w:rsid w:val="00762321"/>
    <w:rsid w:val="007656D9"/>
    <w:rsid w:val="00797270"/>
    <w:rsid w:val="007B0F91"/>
    <w:rsid w:val="007E2D5C"/>
    <w:rsid w:val="007E4AE2"/>
    <w:rsid w:val="007F3BFE"/>
    <w:rsid w:val="008012D7"/>
    <w:rsid w:val="00817D1C"/>
    <w:rsid w:val="008226B8"/>
    <w:rsid w:val="008241D9"/>
    <w:rsid w:val="0083650A"/>
    <w:rsid w:val="008476A9"/>
    <w:rsid w:val="008D69C4"/>
    <w:rsid w:val="008E31F4"/>
    <w:rsid w:val="00914286"/>
    <w:rsid w:val="00920A32"/>
    <w:rsid w:val="009302DC"/>
    <w:rsid w:val="009436E4"/>
    <w:rsid w:val="00956ED7"/>
    <w:rsid w:val="00964269"/>
    <w:rsid w:val="009A7F6B"/>
    <w:rsid w:val="00A15DD9"/>
    <w:rsid w:val="00A335D0"/>
    <w:rsid w:val="00A5326B"/>
    <w:rsid w:val="00AB5DE5"/>
    <w:rsid w:val="00AC4914"/>
    <w:rsid w:val="00AD034E"/>
    <w:rsid w:val="00AD10B7"/>
    <w:rsid w:val="00B0231E"/>
    <w:rsid w:val="00B23181"/>
    <w:rsid w:val="00B24896"/>
    <w:rsid w:val="00B42C1A"/>
    <w:rsid w:val="00B77FBC"/>
    <w:rsid w:val="00B85D1A"/>
    <w:rsid w:val="00B92CAB"/>
    <w:rsid w:val="00BA3228"/>
    <w:rsid w:val="00BB303B"/>
    <w:rsid w:val="00BD7C6E"/>
    <w:rsid w:val="00C33F91"/>
    <w:rsid w:val="00C416B9"/>
    <w:rsid w:val="00C531AF"/>
    <w:rsid w:val="00C931CA"/>
    <w:rsid w:val="00CA78E1"/>
    <w:rsid w:val="00CD3337"/>
    <w:rsid w:val="00D00E22"/>
    <w:rsid w:val="00D35DF8"/>
    <w:rsid w:val="00D65D26"/>
    <w:rsid w:val="00D93181"/>
    <w:rsid w:val="00D946EA"/>
    <w:rsid w:val="00DB5321"/>
    <w:rsid w:val="00DE1DC5"/>
    <w:rsid w:val="00E02DE6"/>
    <w:rsid w:val="00E56342"/>
    <w:rsid w:val="00EA1B6C"/>
    <w:rsid w:val="00EC4501"/>
    <w:rsid w:val="00ED07D7"/>
    <w:rsid w:val="00ED5041"/>
    <w:rsid w:val="00EE55DF"/>
    <w:rsid w:val="00EF3FEC"/>
    <w:rsid w:val="00F11DA9"/>
    <w:rsid w:val="00F57E73"/>
    <w:rsid w:val="00F65915"/>
    <w:rsid w:val="00F85885"/>
    <w:rsid w:val="00F91B04"/>
    <w:rsid w:val="00FA7182"/>
    <w:rsid w:val="00FE3146"/>
    <w:rsid w:val="023574A3"/>
    <w:rsid w:val="04529493"/>
    <w:rsid w:val="053E6A00"/>
    <w:rsid w:val="05B7DB08"/>
    <w:rsid w:val="074CA33D"/>
    <w:rsid w:val="096513FF"/>
    <w:rsid w:val="0A3D1FC1"/>
    <w:rsid w:val="0B13F31B"/>
    <w:rsid w:val="0BC9D472"/>
    <w:rsid w:val="0E32667E"/>
    <w:rsid w:val="0E79F36E"/>
    <w:rsid w:val="12C903C9"/>
    <w:rsid w:val="13EC1080"/>
    <w:rsid w:val="149289EF"/>
    <w:rsid w:val="16BE4DC6"/>
    <w:rsid w:val="17F83CD7"/>
    <w:rsid w:val="19E45425"/>
    <w:rsid w:val="1AB76D46"/>
    <w:rsid w:val="1BB29477"/>
    <w:rsid w:val="2136008E"/>
    <w:rsid w:val="2221D5FB"/>
    <w:rsid w:val="247FEC56"/>
    <w:rsid w:val="2562D1E5"/>
    <w:rsid w:val="28D43C07"/>
    <w:rsid w:val="2A70AFDF"/>
    <w:rsid w:val="2B22AADE"/>
    <w:rsid w:val="2C764D36"/>
    <w:rsid w:val="2ED0A4B8"/>
    <w:rsid w:val="2EE3969C"/>
    <w:rsid w:val="311F3981"/>
    <w:rsid w:val="320E35E6"/>
    <w:rsid w:val="38FEE5F1"/>
    <w:rsid w:val="3B370A5E"/>
    <w:rsid w:val="3C1A7B8B"/>
    <w:rsid w:val="412A6D1E"/>
    <w:rsid w:val="446F4F1A"/>
    <w:rsid w:val="48F2CE69"/>
    <w:rsid w:val="4BD33BC2"/>
    <w:rsid w:val="4E735852"/>
    <w:rsid w:val="54E299D6"/>
    <w:rsid w:val="55656477"/>
    <w:rsid w:val="55DBF8E3"/>
    <w:rsid w:val="58480D53"/>
    <w:rsid w:val="58D02ADB"/>
    <w:rsid w:val="595B8787"/>
    <w:rsid w:val="62D9932F"/>
    <w:rsid w:val="69EDC3D2"/>
    <w:rsid w:val="761A4F49"/>
    <w:rsid w:val="7AB27B45"/>
    <w:rsid w:val="7AC4DAA9"/>
    <w:rsid w:val="7E442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40DC7"/>
  <w15:chartTrackingRefBased/>
  <w15:docId w15:val="{64C69F97-A407-474D-876F-747DEA8DF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41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41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2">
    <w:name w:val="Grid Table 2"/>
    <w:basedOn w:val="TableNormal"/>
    <w:uiPriority w:val="47"/>
    <w:rsid w:val="0030551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152474"/>
    <w:rPr>
      <w:sz w:val="16"/>
      <w:szCs w:val="16"/>
    </w:rPr>
  </w:style>
  <w:style w:type="paragraph" w:styleId="CommentText">
    <w:name w:val="annotation text"/>
    <w:basedOn w:val="Normal"/>
    <w:link w:val="CommentTextChar"/>
    <w:uiPriority w:val="99"/>
    <w:unhideWhenUsed/>
    <w:rsid w:val="00152474"/>
    <w:pPr>
      <w:spacing w:line="240" w:lineRule="auto"/>
    </w:pPr>
    <w:rPr>
      <w:sz w:val="20"/>
      <w:szCs w:val="20"/>
    </w:rPr>
  </w:style>
  <w:style w:type="character" w:customStyle="1" w:styleId="CommentTextChar">
    <w:name w:val="Comment Text Char"/>
    <w:basedOn w:val="DefaultParagraphFont"/>
    <w:link w:val="CommentText"/>
    <w:uiPriority w:val="99"/>
    <w:rsid w:val="00152474"/>
    <w:rPr>
      <w:sz w:val="20"/>
      <w:szCs w:val="20"/>
    </w:rPr>
  </w:style>
  <w:style w:type="paragraph" w:styleId="BalloonText">
    <w:name w:val="Balloon Text"/>
    <w:basedOn w:val="Normal"/>
    <w:link w:val="BalloonTextChar"/>
    <w:uiPriority w:val="99"/>
    <w:semiHidden/>
    <w:unhideWhenUsed/>
    <w:rsid w:val="001524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47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65915"/>
    <w:rPr>
      <w:b/>
      <w:bCs/>
    </w:rPr>
  </w:style>
  <w:style w:type="character" w:customStyle="1" w:styleId="CommentSubjectChar">
    <w:name w:val="Comment Subject Char"/>
    <w:basedOn w:val="CommentTextChar"/>
    <w:link w:val="CommentSubject"/>
    <w:uiPriority w:val="99"/>
    <w:semiHidden/>
    <w:rsid w:val="00F65915"/>
    <w:rPr>
      <w:b/>
      <w:bCs/>
      <w:sz w:val="20"/>
      <w:szCs w:val="20"/>
    </w:rPr>
  </w:style>
  <w:style w:type="character" w:styleId="Hyperlink">
    <w:name w:val="Hyperlink"/>
    <w:basedOn w:val="DefaultParagraphFont"/>
    <w:uiPriority w:val="99"/>
    <w:unhideWhenUsed/>
    <w:rsid w:val="00F65915"/>
    <w:rPr>
      <w:color w:val="0563C1" w:themeColor="hyperlink"/>
      <w:u w:val="single"/>
    </w:rPr>
  </w:style>
  <w:style w:type="character" w:styleId="UnresolvedMention">
    <w:name w:val="Unresolved Mention"/>
    <w:basedOn w:val="DefaultParagraphFont"/>
    <w:uiPriority w:val="99"/>
    <w:semiHidden/>
    <w:unhideWhenUsed/>
    <w:rsid w:val="00F65915"/>
    <w:rPr>
      <w:color w:val="605E5C"/>
      <w:shd w:val="clear" w:color="auto" w:fill="E1DFDD"/>
    </w:rPr>
  </w:style>
  <w:style w:type="paragraph" w:styleId="ListParagraph">
    <w:name w:val="List Paragraph"/>
    <w:basedOn w:val="Normal"/>
    <w:uiPriority w:val="34"/>
    <w:qFormat/>
    <w:rsid w:val="00493665"/>
    <w:pPr>
      <w:ind w:left="720"/>
      <w:contextualSpacing/>
    </w:pPr>
  </w:style>
  <w:style w:type="paragraph" w:customStyle="1" w:styleId="paragraph">
    <w:name w:val="paragraph"/>
    <w:basedOn w:val="Normal"/>
    <w:rsid w:val="001958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95867"/>
  </w:style>
  <w:style w:type="character" w:customStyle="1" w:styleId="eop">
    <w:name w:val="eop"/>
    <w:basedOn w:val="DefaultParagraphFont"/>
    <w:rsid w:val="00195867"/>
  </w:style>
  <w:style w:type="character" w:customStyle="1" w:styleId="Heading1Char">
    <w:name w:val="Heading 1 Char"/>
    <w:basedOn w:val="DefaultParagraphFont"/>
    <w:link w:val="Heading1"/>
    <w:uiPriority w:val="9"/>
    <w:rsid w:val="008241D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241D9"/>
    <w:rPr>
      <w:rFonts w:asciiTheme="majorHAnsi" w:eastAsiaTheme="majorEastAsia" w:hAnsiTheme="majorHAnsi" w:cstheme="majorBidi"/>
      <w:color w:val="2F5496" w:themeColor="accent1" w:themeShade="BF"/>
      <w:sz w:val="26"/>
      <w:szCs w:val="26"/>
    </w:rPr>
  </w:style>
  <w:style w:type="table" w:customStyle="1" w:styleId="GridTable21">
    <w:name w:val="Grid Table 21"/>
    <w:basedOn w:val="TableNormal"/>
    <w:next w:val="GridTable2"/>
    <w:uiPriority w:val="47"/>
    <w:rsid w:val="00ED504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9A7F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27462">
      <w:bodyDiv w:val="1"/>
      <w:marLeft w:val="0"/>
      <w:marRight w:val="0"/>
      <w:marTop w:val="0"/>
      <w:marBottom w:val="0"/>
      <w:divBdr>
        <w:top w:val="none" w:sz="0" w:space="0" w:color="auto"/>
        <w:left w:val="none" w:sz="0" w:space="0" w:color="auto"/>
        <w:bottom w:val="none" w:sz="0" w:space="0" w:color="auto"/>
        <w:right w:val="none" w:sz="0" w:space="0" w:color="auto"/>
      </w:divBdr>
      <w:divsChild>
        <w:div w:id="392168075">
          <w:marLeft w:val="0"/>
          <w:marRight w:val="0"/>
          <w:marTop w:val="0"/>
          <w:marBottom w:val="0"/>
          <w:divBdr>
            <w:top w:val="none" w:sz="0" w:space="0" w:color="auto"/>
            <w:left w:val="none" w:sz="0" w:space="0" w:color="auto"/>
            <w:bottom w:val="none" w:sz="0" w:space="0" w:color="auto"/>
            <w:right w:val="none" w:sz="0" w:space="0" w:color="auto"/>
          </w:divBdr>
        </w:div>
        <w:div w:id="588462722">
          <w:marLeft w:val="0"/>
          <w:marRight w:val="0"/>
          <w:marTop w:val="0"/>
          <w:marBottom w:val="0"/>
          <w:divBdr>
            <w:top w:val="none" w:sz="0" w:space="0" w:color="auto"/>
            <w:left w:val="none" w:sz="0" w:space="0" w:color="auto"/>
            <w:bottom w:val="none" w:sz="0" w:space="0" w:color="auto"/>
            <w:right w:val="none" w:sz="0" w:space="0" w:color="auto"/>
          </w:divBdr>
        </w:div>
        <w:div w:id="614824555">
          <w:marLeft w:val="0"/>
          <w:marRight w:val="0"/>
          <w:marTop w:val="0"/>
          <w:marBottom w:val="0"/>
          <w:divBdr>
            <w:top w:val="none" w:sz="0" w:space="0" w:color="auto"/>
            <w:left w:val="none" w:sz="0" w:space="0" w:color="auto"/>
            <w:bottom w:val="none" w:sz="0" w:space="0" w:color="auto"/>
            <w:right w:val="none" w:sz="0" w:space="0" w:color="auto"/>
          </w:divBdr>
        </w:div>
        <w:div w:id="1984499514">
          <w:marLeft w:val="0"/>
          <w:marRight w:val="0"/>
          <w:marTop w:val="0"/>
          <w:marBottom w:val="0"/>
          <w:divBdr>
            <w:top w:val="none" w:sz="0" w:space="0" w:color="auto"/>
            <w:left w:val="none" w:sz="0" w:space="0" w:color="auto"/>
            <w:bottom w:val="none" w:sz="0" w:space="0" w:color="auto"/>
            <w:right w:val="none" w:sz="0" w:space="0" w:color="auto"/>
          </w:divBdr>
        </w:div>
      </w:divsChild>
    </w:div>
    <w:div w:id="470443448">
      <w:bodyDiv w:val="1"/>
      <w:marLeft w:val="0"/>
      <w:marRight w:val="0"/>
      <w:marTop w:val="0"/>
      <w:marBottom w:val="0"/>
      <w:divBdr>
        <w:top w:val="none" w:sz="0" w:space="0" w:color="auto"/>
        <w:left w:val="none" w:sz="0" w:space="0" w:color="auto"/>
        <w:bottom w:val="none" w:sz="0" w:space="0" w:color="auto"/>
        <w:right w:val="none" w:sz="0" w:space="0" w:color="auto"/>
      </w:divBdr>
      <w:divsChild>
        <w:div w:id="253631435">
          <w:marLeft w:val="0"/>
          <w:marRight w:val="0"/>
          <w:marTop w:val="0"/>
          <w:marBottom w:val="0"/>
          <w:divBdr>
            <w:top w:val="none" w:sz="0" w:space="0" w:color="auto"/>
            <w:left w:val="none" w:sz="0" w:space="0" w:color="auto"/>
            <w:bottom w:val="none" w:sz="0" w:space="0" w:color="auto"/>
            <w:right w:val="none" w:sz="0" w:space="0" w:color="auto"/>
          </w:divBdr>
        </w:div>
        <w:div w:id="629163890">
          <w:marLeft w:val="0"/>
          <w:marRight w:val="0"/>
          <w:marTop w:val="0"/>
          <w:marBottom w:val="0"/>
          <w:divBdr>
            <w:top w:val="none" w:sz="0" w:space="0" w:color="auto"/>
            <w:left w:val="none" w:sz="0" w:space="0" w:color="auto"/>
            <w:bottom w:val="none" w:sz="0" w:space="0" w:color="auto"/>
            <w:right w:val="none" w:sz="0" w:space="0" w:color="auto"/>
          </w:divBdr>
        </w:div>
        <w:div w:id="694774187">
          <w:marLeft w:val="0"/>
          <w:marRight w:val="0"/>
          <w:marTop w:val="0"/>
          <w:marBottom w:val="0"/>
          <w:divBdr>
            <w:top w:val="none" w:sz="0" w:space="0" w:color="auto"/>
            <w:left w:val="none" w:sz="0" w:space="0" w:color="auto"/>
            <w:bottom w:val="none" w:sz="0" w:space="0" w:color="auto"/>
            <w:right w:val="none" w:sz="0" w:space="0" w:color="auto"/>
          </w:divBdr>
        </w:div>
        <w:div w:id="726412243">
          <w:marLeft w:val="0"/>
          <w:marRight w:val="0"/>
          <w:marTop w:val="0"/>
          <w:marBottom w:val="0"/>
          <w:divBdr>
            <w:top w:val="none" w:sz="0" w:space="0" w:color="auto"/>
            <w:left w:val="none" w:sz="0" w:space="0" w:color="auto"/>
            <w:bottom w:val="none" w:sz="0" w:space="0" w:color="auto"/>
            <w:right w:val="none" w:sz="0" w:space="0" w:color="auto"/>
          </w:divBdr>
        </w:div>
        <w:div w:id="1048723628">
          <w:marLeft w:val="0"/>
          <w:marRight w:val="0"/>
          <w:marTop w:val="0"/>
          <w:marBottom w:val="0"/>
          <w:divBdr>
            <w:top w:val="none" w:sz="0" w:space="0" w:color="auto"/>
            <w:left w:val="none" w:sz="0" w:space="0" w:color="auto"/>
            <w:bottom w:val="none" w:sz="0" w:space="0" w:color="auto"/>
            <w:right w:val="none" w:sz="0" w:space="0" w:color="auto"/>
          </w:divBdr>
        </w:div>
        <w:div w:id="1121648846">
          <w:marLeft w:val="0"/>
          <w:marRight w:val="0"/>
          <w:marTop w:val="0"/>
          <w:marBottom w:val="0"/>
          <w:divBdr>
            <w:top w:val="none" w:sz="0" w:space="0" w:color="auto"/>
            <w:left w:val="none" w:sz="0" w:space="0" w:color="auto"/>
            <w:bottom w:val="none" w:sz="0" w:space="0" w:color="auto"/>
            <w:right w:val="none" w:sz="0" w:space="0" w:color="auto"/>
          </w:divBdr>
        </w:div>
        <w:div w:id="1324968801">
          <w:marLeft w:val="0"/>
          <w:marRight w:val="0"/>
          <w:marTop w:val="0"/>
          <w:marBottom w:val="0"/>
          <w:divBdr>
            <w:top w:val="none" w:sz="0" w:space="0" w:color="auto"/>
            <w:left w:val="none" w:sz="0" w:space="0" w:color="auto"/>
            <w:bottom w:val="none" w:sz="0" w:space="0" w:color="auto"/>
            <w:right w:val="none" w:sz="0" w:space="0" w:color="auto"/>
          </w:divBdr>
        </w:div>
        <w:div w:id="1327706692">
          <w:marLeft w:val="0"/>
          <w:marRight w:val="0"/>
          <w:marTop w:val="0"/>
          <w:marBottom w:val="0"/>
          <w:divBdr>
            <w:top w:val="none" w:sz="0" w:space="0" w:color="auto"/>
            <w:left w:val="none" w:sz="0" w:space="0" w:color="auto"/>
            <w:bottom w:val="none" w:sz="0" w:space="0" w:color="auto"/>
            <w:right w:val="none" w:sz="0" w:space="0" w:color="auto"/>
          </w:divBdr>
        </w:div>
        <w:div w:id="1665619624">
          <w:marLeft w:val="0"/>
          <w:marRight w:val="0"/>
          <w:marTop w:val="0"/>
          <w:marBottom w:val="0"/>
          <w:divBdr>
            <w:top w:val="none" w:sz="0" w:space="0" w:color="auto"/>
            <w:left w:val="none" w:sz="0" w:space="0" w:color="auto"/>
            <w:bottom w:val="none" w:sz="0" w:space="0" w:color="auto"/>
            <w:right w:val="none" w:sz="0" w:space="0" w:color="auto"/>
          </w:divBdr>
        </w:div>
        <w:div w:id="1832137304">
          <w:marLeft w:val="0"/>
          <w:marRight w:val="0"/>
          <w:marTop w:val="0"/>
          <w:marBottom w:val="0"/>
          <w:divBdr>
            <w:top w:val="none" w:sz="0" w:space="0" w:color="auto"/>
            <w:left w:val="none" w:sz="0" w:space="0" w:color="auto"/>
            <w:bottom w:val="none" w:sz="0" w:space="0" w:color="auto"/>
            <w:right w:val="none" w:sz="0" w:space="0" w:color="auto"/>
          </w:divBdr>
        </w:div>
        <w:div w:id="1924948251">
          <w:marLeft w:val="0"/>
          <w:marRight w:val="0"/>
          <w:marTop w:val="0"/>
          <w:marBottom w:val="0"/>
          <w:divBdr>
            <w:top w:val="none" w:sz="0" w:space="0" w:color="auto"/>
            <w:left w:val="none" w:sz="0" w:space="0" w:color="auto"/>
            <w:bottom w:val="none" w:sz="0" w:space="0" w:color="auto"/>
            <w:right w:val="none" w:sz="0" w:space="0" w:color="auto"/>
          </w:divBdr>
        </w:div>
        <w:div w:id="1951233227">
          <w:marLeft w:val="0"/>
          <w:marRight w:val="0"/>
          <w:marTop w:val="0"/>
          <w:marBottom w:val="0"/>
          <w:divBdr>
            <w:top w:val="none" w:sz="0" w:space="0" w:color="auto"/>
            <w:left w:val="none" w:sz="0" w:space="0" w:color="auto"/>
            <w:bottom w:val="none" w:sz="0" w:space="0" w:color="auto"/>
            <w:right w:val="none" w:sz="0" w:space="0" w:color="auto"/>
          </w:divBdr>
          <w:divsChild>
            <w:div w:id="284311886">
              <w:marLeft w:val="0"/>
              <w:marRight w:val="0"/>
              <w:marTop w:val="0"/>
              <w:marBottom w:val="0"/>
              <w:divBdr>
                <w:top w:val="none" w:sz="0" w:space="0" w:color="auto"/>
                <w:left w:val="none" w:sz="0" w:space="0" w:color="auto"/>
                <w:bottom w:val="none" w:sz="0" w:space="0" w:color="auto"/>
                <w:right w:val="none" w:sz="0" w:space="0" w:color="auto"/>
              </w:divBdr>
            </w:div>
            <w:div w:id="2022733275">
              <w:marLeft w:val="0"/>
              <w:marRight w:val="0"/>
              <w:marTop w:val="0"/>
              <w:marBottom w:val="0"/>
              <w:divBdr>
                <w:top w:val="none" w:sz="0" w:space="0" w:color="auto"/>
                <w:left w:val="none" w:sz="0" w:space="0" w:color="auto"/>
                <w:bottom w:val="none" w:sz="0" w:space="0" w:color="auto"/>
                <w:right w:val="none" w:sz="0" w:space="0" w:color="auto"/>
              </w:divBdr>
            </w:div>
          </w:divsChild>
        </w:div>
        <w:div w:id="1956014393">
          <w:marLeft w:val="0"/>
          <w:marRight w:val="0"/>
          <w:marTop w:val="0"/>
          <w:marBottom w:val="0"/>
          <w:divBdr>
            <w:top w:val="none" w:sz="0" w:space="0" w:color="auto"/>
            <w:left w:val="none" w:sz="0" w:space="0" w:color="auto"/>
            <w:bottom w:val="none" w:sz="0" w:space="0" w:color="auto"/>
            <w:right w:val="none" w:sz="0" w:space="0" w:color="auto"/>
          </w:divBdr>
          <w:divsChild>
            <w:div w:id="678848429">
              <w:marLeft w:val="0"/>
              <w:marRight w:val="0"/>
              <w:marTop w:val="0"/>
              <w:marBottom w:val="0"/>
              <w:divBdr>
                <w:top w:val="none" w:sz="0" w:space="0" w:color="auto"/>
                <w:left w:val="none" w:sz="0" w:space="0" w:color="auto"/>
                <w:bottom w:val="none" w:sz="0" w:space="0" w:color="auto"/>
                <w:right w:val="none" w:sz="0" w:space="0" w:color="auto"/>
              </w:divBdr>
            </w:div>
            <w:div w:id="755858875">
              <w:marLeft w:val="0"/>
              <w:marRight w:val="0"/>
              <w:marTop w:val="0"/>
              <w:marBottom w:val="0"/>
              <w:divBdr>
                <w:top w:val="none" w:sz="0" w:space="0" w:color="auto"/>
                <w:left w:val="none" w:sz="0" w:space="0" w:color="auto"/>
                <w:bottom w:val="none" w:sz="0" w:space="0" w:color="auto"/>
                <w:right w:val="none" w:sz="0" w:space="0" w:color="auto"/>
              </w:divBdr>
            </w:div>
            <w:div w:id="1503886884">
              <w:marLeft w:val="0"/>
              <w:marRight w:val="0"/>
              <w:marTop w:val="0"/>
              <w:marBottom w:val="0"/>
              <w:divBdr>
                <w:top w:val="none" w:sz="0" w:space="0" w:color="auto"/>
                <w:left w:val="none" w:sz="0" w:space="0" w:color="auto"/>
                <w:bottom w:val="none" w:sz="0" w:space="0" w:color="auto"/>
                <w:right w:val="none" w:sz="0" w:space="0" w:color="auto"/>
              </w:divBdr>
            </w:div>
          </w:divsChild>
        </w:div>
        <w:div w:id="1957637102">
          <w:marLeft w:val="0"/>
          <w:marRight w:val="0"/>
          <w:marTop w:val="0"/>
          <w:marBottom w:val="0"/>
          <w:divBdr>
            <w:top w:val="none" w:sz="0" w:space="0" w:color="auto"/>
            <w:left w:val="none" w:sz="0" w:space="0" w:color="auto"/>
            <w:bottom w:val="none" w:sz="0" w:space="0" w:color="auto"/>
            <w:right w:val="none" w:sz="0" w:space="0" w:color="auto"/>
          </w:divBdr>
        </w:div>
        <w:div w:id="2021925788">
          <w:marLeft w:val="0"/>
          <w:marRight w:val="0"/>
          <w:marTop w:val="0"/>
          <w:marBottom w:val="0"/>
          <w:divBdr>
            <w:top w:val="none" w:sz="0" w:space="0" w:color="auto"/>
            <w:left w:val="none" w:sz="0" w:space="0" w:color="auto"/>
            <w:bottom w:val="none" w:sz="0" w:space="0" w:color="auto"/>
            <w:right w:val="none" w:sz="0" w:space="0" w:color="auto"/>
          </w:divBdr>
        </w:div>
        <w:div w:id="2046786576">
          <w:marLeft w:val="0"/>
          <w:marRight w:val="0"/>
          <w:marTop w:val="0"/>
          <w:marBottom w:val="0"/>
          <w:divBdr>
            <w:top w:val="none" w:sz="0" w:space="0" w:color="auto"/>
            <w:left w:val="none" w:sz="0" w:space="0" w:color="auto"/>
            <w:bottom w:val="none" w:sz="0" w:space="0" w:color="auto"/>
            <w:right w:val="none" w:sz="0" w:space="0" w:color="auto"/>
          </w:divBdr>
        </w:div>
      </w:divsChild>
    </w:div>
    <w:div w:id="478881648">
      <w:bodyDiv w:val="1"/>
      <w:marLeft w:val="0"/>
      <w:marRight w:val="0"/>
      <w:marTop w:val="0"/>
      <w:marBottom w:val="0"/>
      <w:divBdr>
        <w:top w:val="none" w:sz="0" w:space="0" w:color="auto"/>
        <w:left w:val="none" w:sz="0" w:space="0" w:color="auto"/>
        <w:bottom w:val="none" w:sz="0" w:space="0" w:color="auto"/>
        <w:right w:val="none" w:sz="0" w:space="0" w:color="auto"/>
      </w:divBdr>
    </w:div>
    <w:div w:id="1811481778">
      <w:bodyDiv w:val="1"/>
      <w:marLeft w:val="0"/>
      <w:marRight w:val="0"/>
      <w:marTop w:val="0"/>
      <w:marBottom w:val="0"/>
      <w:divBdr>
        <w:top w:val="none" w:sz="0" w:space="0" w:color="auto"/>
        <w:left w:val="none" w:sz="0" w:space="0" w:color="auto"/>
        <w:bottom w:val="none" w:sz="0" w:space="0" w:color="auto"/>
        <w:right w:val="none" w:sz="0" w:space="0" w:color="auto"/>
      </w:divBdr>
      <w:divsChild>
        <w:div w:id="273758558">
          <w:marLeft w:val="0"/>
          <w:marRight w:val="0"/>
          <w:marTop w:val="0"/>
          <w:marBottom w:val="0"/>
          <w:divBdr>
            <w:top w:val="none" w:sz="0" w:space="0" w:color="auto"/>
            <w:left w:val="none" w:sz="0" w:space="0" w:color="auto"/>
            <w:bottom w:val="none" w:sz="0" w:space="0" w:color="auto"/>
            <w:right w:val="none" w:sz="0" w:space="0" w:color="auto"/>
          </w:divBdr>
        </w:div>
        <w:div w:id="424308497">
          <w:marLeft w:val="0"/>
          <w:marRight w:val="0"/>
          <w:marTop w:val="0"/>
          <w:marBottom w:val="0"/>
          <w:divBdr>
            <w:top w:val="none" w:sz="0" w:space="0" w:color="auto"/>
            <w:left w:val="none" w:sz="0" w:space="0" w:color="auto"/>
            <w:bottom w:val="none" w:sz="0" w:space="0" w:color="auto"/>
            <w:right w:val="none" w:sz="0" w:space="0" w:color="auto"/>
          </w:divBdr>
        </w:div>
        <w:div w:id="567425594">
          <w:marLeft w:val="0"/>
          <w:marRight w:val="0"/>
          <w:marTop w:val="0"/>
          <w:marBottom w:val="0"/>
          <w:divBdr>
            <w:top w:val="none" w:sz="0" w:space="0" w:color="auto"/>
            <w:left w:val="none" w:sz="0" w:space="0" w:color="auto"/>
            <w:bottom w:val="none" w:sz="0" w:space="0" w:color="auto"/>
            <w:right w:val="none" w:sz="0" w:space="0" w:color="auto"/>
          </w:divBdr>
        </w:div>
        <w:div w:id="745419034">
          <w:marLeft w:val="0"/>
          <w:marRight w:val="0"/>
          <w:marTop w:val="0"/>
          <w:marBottom w:val="0"/>
          <w:divBdr>
            <w:top w:val="none" w:sz="0" w:space="0" w:color="auto"/>
            <w:left w:val="none" w:sz="0" w:space="0" w:color="auto"/>
            <w:bottom w:val="none" w:sz="0" w:space="0" w:color="auto"/>
            <w:right w:val="none" w:sz="0" w:space="0" w:color="auto"/>
          </w:divBdr>
        </w:div>
        <w:div w:id="904297249">
          <w:marLeft w:val="0"/>
          <w:marRight w:val="0"/>
          <w:marTop w:val="0"/>
          <w:marBottom w:val="0"/>
          <w:divBdr>
            <w:top w:val="none" w:sz="0" w:space="0" w:color="auto"/>
            <w:left w:val="none" w:sz="0" w:space="0" w:color="auto"/>
            <w:bottom w:val="none" w:sz="0" w:space="0" w:color="auto"/>
            <w:right w:val="none" w:sz="0" w:space="0" w:color="auto"/>
          </w:divBdr>
        </w:div>
        <w:div w:id="911308946">
          <w:marLeft w:val="0"/>
          <w:marRight w:val="0"/>
          <w:marTop w:val="0"/>
          <w:marBottom w:val="0"/>
          <w:divBdr>
            <w:top w:val="none" w:sz="0" w:space="0" w:color="auto"/>
            <w:left w:val="none" w:sz="0" w:space="0" w:color="auto"/>
            <w:bottom w:val="none" w:sz="0" w:space="0" w:color="auto"/>
            <w:right w:val="none" w:sz="0" w:space="0" w:color="auto"/>
          </w:divBdr>
        </w:div>
        <w:div w:id="923490848">
          <w:marLeft w:val="0"/>
          <w:marRight w:val="0"/>
          <w:marTop w:val="0"/>
          <w:marBottom w:val="0"/>
          <w:divBdr>
            <w:top w:val="none" w:sz="0" w:space="0" w:color="auto"/>
            <w:left w:val="none" w:sz="0" w:space="0" w:color="auto"/>
            <w:bottom w:val="none" w:sz="0" w:space="0" w:color="auto"/>
            <w:right w:val="none" w:sz="0" w:space="0" w:color="auto"/>
          </w:divBdr>
        </w:div>
        <w:div w:id="976686577">
          <w:marLeft w:val="0"/>
          <w:marRight w:val="0"/>
          <w:marTop w:val="0"/>
          <w:marBottom w:val="0"/>
          <w:divBdr>
            <w:top w:val="none" w:sz="0" w:space="0" w:color="auto"/>
            <w:left w:val="none" w:sz="0" w:space="0" w:color="auto"/>
            <w:bottom w:val="none" w:sz="0" w:space="0" w:color="auto"/>
            <w:right w:val="none" w:sz="0" w:space="0" w:color="auto"/>
          </w:divBdr>
        </w:div>
        <w:div w:id="1188524376">
          <w:marLeft w:val="0"/>
          <w:marRight w:val="0"/>
          <w:marTop w:val="0"/>
          <w:marBottom w:val="0"/>
          <w:divBdr>
            <w:top w:val="none" w:sz="0" w:space="0" w:color="auto"/>
            <w:left w:val="none" w:sz="0" w:space="0" w:color="auto"/>
            <w:bottom w:val="none" w:sz="0" w:space="0" w:color="auto"/>
            <w:right w:val="none" w:sz="0" w:space="0" w:color="auto"/>
          </w:divBdr>
        </w:div>
        <w:div w:id="1236743418">
          <w:marLeft w:val="0"/>
          <w:marRight w:val="0"/>
          <w:marTop w:val="0"/>
          <w:marBottom w:val="0"/>
          <w:divBdr>
            <w:top w:val="none" w:sz="0" w:space="0" w:color="auto"/>
            <w:left w:val="none" w:sz="0" w:space="0" w:color="auto"/>
            <w:bottom w:val="none" w:sz="0" w:space="0" w:color="auto"/>
            <w:right w:val="none" w:sz="0" w:space="0" w:color="auto"/>
          </w:divBdr>
          <w:divsChild>
            <w:div w:id="557521281">
              <w:marLeft w:val="0"/>
              <w:marRight w:val="0"/>
              <w:marTop w:val="0"/>
              <w:marBottom w:val="0"/>
              <w:divBdr>
                <w:top w:val="none" w:sz="0" w:space="0" w:color="auto"/>
                <w:left w:val="none" w:sz="0" w:space="0" w:color="auto"/>
                <w:bottom w:val="none" w:sz="0" w:space="0" w:color="auto"/>
                <w:right w:val="none" w:sz="0" w:space="0" w:color="auto"/>
              </w:divBdr>
            </w:div>
            <w:div w:id="765535987">
              <w:marLeft w:val="0"/>
              <w:marRight w:val="0"/>
              <w:marTop w:val="0"/>
              <w:marBottom w:val="0"/>
              <w:divBdr>
                <w:top w:val="none" w:sz="0" w:space="0" w:color="auto"/>
                <w:left w:val="none" w:sz="0" w:space="0" w:color="auto"/>
                <w:bottom w:val="none" w:sz="0" w:space="0" w:color="auto"/>
                <w:right w:val="none" w:sz="0" w:space="0" w:color="auto"/>
              </w:divBdr>
            </w:div>
            <w:div w:id="2053839645">
              <w:marLeft w:val="0"/>
              <w:marRight w:val="0"/>
              <w:marTop w:val="0"/>
              <w:marBottom w:val="0"/>
              <w:divBdr>
                <w:top w:val="none" w:sz="0" w:space="0" w:color="auto"/>
                <w:left w:val="none" w:sz="0" w:space="0" w:color="auto"/>
                <w:bottom w:val="none" w:sz="0" w:space="0" w:color="auto"/>
                <w:right w:val="none" w:sz="0" w:space="0" w:color="auto"/>
              </w:divBdr>
            </w:div>
          </w:divsChild>
        </w:div>
        <w:div w:id="1508665866">
          <w:marLeft w:val="0"/>
          <w:marRight w:val="0"/>
          <w:marTop w:val="0"/>
          <w:marBottom w:val="0"/>
          <w:divBdr>
            <w:top w:val="none" w:sz="0" w:space="0" w:color="auto"/>
            <w:left w:val="none" w:sz="0" w:space="0" w:color="auto"/>
            <w:bottom w:val="none" w:sz="0" w:space="0" w:color="auto"/>
            <w:right w:val="none" w:sz="0" w:space="0" w:color="auto"/>
          </w:divBdr>
        </w:div>
        <w:div w:id="1514145954">
          <w:marLeft w:val="0"/>
          <w:marRight w:val="0"/>
          <w:marTop w:val="0"/>
          <w:marBottom w:val="0"/>
          <w:divBdr>
            <w:top w:val="none" w:sz="0" w:space="0" w:color="auto"/>
            <w:left w:val="none" w:sz="0" w:space="0" w:color="auto"/>
            <w:bottom w:val="none" w:sz="0" w:space="0" w:color="auto"/>
            <w:right w:val="none" w:sz="0" w:space="0" w:color="auto"/>
          </w:divBdr>
        </w:div>
        <w:div w:id="1761638518">
          <w:marLeft w:val="0"/>
          <w:marRight w:val="0"/>
          <w:marTop w:val="0"/>
          <w:marBottom w:val="0"/>
          <w:divBdr>
            <w:top w:val="none" w:sz="0" w:space="0" w:color="auto"/>
            <w:left w:val="none" w:sz="0" w:space="0" w:color="auto"/>
            <w:bottom w:val="none" w:sz="0" w:space="0" w:color="auto"/>
            <w:right w:val="none" w:sz="0" w:space="0" w:color="auto"/>
          </w:divBdr>
        </w:div>
        <w:div w:id="1835099034">
          <w:marLeft w:val="0"/>
          <w:marRight w:val="0"/>
          <w:marTop w:val="0"/>
          <w:marBottom w:val="0"/>
          <w:divBdr>
            <w:top w:val="none" w:sz="0" w:space="0" w:color="auto"/>
            <w:left w:val="none" w:sz="0" w:space="0" w:color="auto"/>
            <w:bottom w:val="none" w:sz="0" w:space="0" w:color="auto"/>
            <w:right w:val="none" w:sz="0" w:space="0" w:color="auto"/>
          </w:divBdr>
        </w:div>
        <w:div w:id="1836796951">
          <w:marLeft w:val="0"/>
          <w:marRight w:val="0"/>
          <w:marTop w:val="0"/>
          <w:marBottom w:val="0"/>
          <w:divBdr>
            <w:top w:val="none" w:sz="0" w:space="0" w:color="auto"/>
            <w:left w:val="none" w:sz="0" w:space="0" w:color="auto"/>
            <w:bottom w:val="none" w:sz="0" w:space="0" w:color="auto"/>
            <w:right w:val="none" w:sz="0" w:space="0" w:color="auto"/>
          </w:divBdr>
        </w:div>
        <w:div w:id="1913849985">
          <w:marLeft w:val="0"/>
          <w:marRight w:val="0"/>
          <w:marTop w:val="0"/>
          <w:marBottom w:val="0"/>
          <w:divBdr>
            <w:top w:val="none" w:sz="0" w:space="0" w:color="auto"/>
            <w:left w:val="none" w:sz="0" w:space="0" w:color="auto"/>
            <w:bottom w:val="none" w:sz="0" w:space="0" w:color="auto"/>
            <w:right w:val="none" w:sz="0" w:space="0" w:color="auto"/>
          </w:divBdr>
          <w:divsChild>
            <w:div w:id="745878661">
              <w:marLeft w:val="0"/>
              <w:marRight w:val="0"/>
              <w:marTop w:val="0"/>
              <w:marBottom w:val="0"/>
              <w:divBdr>
                <w:top w:val="none" w:sz="0" w:space="0" w:color="auto"/>
                <w:left w:val="none" w:sz="0" w:space="0" w:color="auto"/>
                <w:bottom w:val="none" w:sz="0" w:space="0" w:color="auto"/>
                <w:right w:val="none" w:sz="0" w:space="0" w:color="auto"/>
              </w:divBdr>
            </w:div>
            <w:div w:id="87820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44942">
      <w:bodyDiv w:val="1"/>
      <w:marLeft w:val="0"/>
      <w:marRight w:val="0"/>
      <w:marTop w:val="0"/>
      <w:marBottom w:val="0"/>
      <w:divBdr>
        <w:top w:val="none" w:sz="0" w:space="0" w:color="auto"/>
        <w:left w:val="none" w:sz="0" w:space="0" w:color="auto"/>
        <w:bottom w:val="none" w:sz="0" w:space="0" w:color="auto"/>
        <w:right w:val="none" w:sz="0" w:space="0" w:color="auto"/>
      </w:divBdr>
    </w:div>
    <w:div w:id="211551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theastforestcarbon.org/" TargetMode="External"/><Relationship Id="rId13" Type="http://schemas.openxmlformats.org/officeDocument/2006/relationships/hyperlink" Target="https://www.fs.usda.gov/treesearch/pubs/40208"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s.usda.gov/treesearch/pubs/3335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rs.fs.fed.us/fia/data-collectio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media/image1.jpeg"/><Relationship Id="rId14" Type="http://schemas.openxmlformats.org/officeDocument/2006/relationships/hyperlink" Target="https://data.fs.usda.gov/geodata/edw/dataset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28F2894D0A8848BA8802AAA3CBD541" ma:contentTypeVersion="12" ma:contentTypeDescription="Create a new document." ma:contentTypeScope="" ma:versionID="ea95bf7b66c56757d03b9c4697a0d0db">
  <xsd:schema xmlns:xsd="http://www.w3.org/2001/XMLSchema" xmlns:xs="http://www.w3.org/2001/XMLSchema" xmlns:p="http://schemas.microsoft.com/office/2006/metadata/properties" xmlns:ns2="f4386376-39f0-487a-b1bd-82ac8733b7c9" xmlns:ns3="462e4759-e94e-4e8b-ae88-2d3594f6c201" targetNamespace="http://schemas.microsoft.com/office/2006/metadata/properties" ma:root="true" ma:fieldsID="f5c68ea0495f07824146aa78af68c875" ns2:_="" ns3:_="">
    <xsd:import namespace="f4386376-39f0-487a-b1bd-82ac8733b7c9"/>
    <xsd:import namespace="462e4759-e94e-4e8b-ae88-2d3594f6c2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86376-39f0-487a-b1bd-82ac8733b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d2a59d2-95d5-4f39-a175-f10eb0baca16"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2e4759-e94e-4e8b-ae88-2d3594f6c2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4386376-39f0-487a-b1bd-82ac8733b7c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9197CC-0829-4B0A-8129-48413BA11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86376-39f0-487a-b1bd-82ac8733b7c9"/>
    <ds:schemaRef ds:uri="462e4759-e94e-4e8b-ae88-2d3594f6c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E0C6CF-3FF6-4B92-B107-DB36FADD1C92}">
  <ds:schemaRefs>
    <ds:schemaRef ds:uri="http://schemas.microsoft.com/office/2006/metadata/properties"/>
    <ds:schemaRef ds:uri="http://schemas.microsoft.com/office/infopath/2007/PartnerControls"/>
    <ds:schemaRef ds:uri="f4386376-39f0-487a-b1bd-82ac8733b7c9"/>
  </ds:schemaRefs>
</ds:datastoreItem>
</file>

<file path=customXml/itemProps3.xml><?xml version="1.0" encoding="utf-8"?>
<ds:datastoreItem xmlns:ds="http://schemas.openxmlformats.org/officeDocument/2006/customXml" ds:itemID="{EF0E96D9-13C4-4D01-9A20-0FB6252387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2478</Words>
  <Characters>14130</Characters>
  <Application>Microsoft Office Word</Application>
  <DocSecurity>0</DocSecurity>
  <Lines>117</Lines>
  <Paragraphs>33</Paragraphs>
  <ScaleCrop>false</ScaleCrop>
  <Company/>
  <LinksUpToDate>false</LinksUpToDate>
  <CharactersWithSpaces>16575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Rapp</dc:creator>
  <cp:keywords/>
  <dc:description/>
  <cp:lastModifiedBy>Hyldburg, Mackenzie (DCR)</cp:lastModifiedBy>
  <cp:revision>2</cp:revision>
  <dcterms:created xsi:type="dcterms:W3CDTF">2023-03-01T21:07:00Z</dcterms:created>
  <dcterms:modified xsi:type="dcterms:W3CDTF">2023-03-01T21:07:00Z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0x0101009128F2894D0A8848BA8802AAA3CBD541</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