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5BC" w:rsidRPr="00DB15BC" w:rsidRDefault="00431048" w:rsidP="00DB15BC">
      <w:pPr>
        <w:pStyle w:val="NoSpacing"/>
        <w:rPr>
          <w:rStyle w:val="TitleChar"/>
          <w:rFonts w:asciiTheme="minorHAnsi" w:hAnsiTheme="minorHAnsi"/>
          <w:b/>
          <w:color w:val="auto"/>
        </w:rPr>
      </w:pPr>
      <w:r w:rsidRPr="00DB15BC">
        <w:rPr>
          <w:rStyle w:val="TitleChar"/>
          <w:rFonts w:asciiTheme="minorHAnsi" w:hAnsiTheme="minorHAnsi"/>
          <w:b/>
          <w:color w:val="auto"/>
        </w:rPr>
        <w:t>Electronic Visit Verification (EVV) in Massachusetts:</w:t>
      </w:r>
      <w:r w:rsidR="00AC5C5F">
        <w:rPr>
          <w:rStyle w:val="TitleChar"/>
          <w:rFonts w:asciiTheme="minorHAnsi" w:hAnsiTheme="minorHAnsi"/>
          <w:b/>
          <w:color w:val="auto"/>
        </w:rPr>
        <w:t xml:space="preserve"> Stakeholder Dialogue Session #6</w:t>
      </w:r>
    </w:p>
    <w:p w:rsidR="00DB15BC" w:rsidRPr="00DB15BC" w:rsidRDefault="00DB15BC" w:rsidP="00DB15BC">
      <w:pPr>
        <w:pStyle w:val="NoSpacing"/>
      </w:pPr>
    </w:p>
    <w:p w:rsidR="00431048" w:rsidRPr="00DB15BC" w:rsidRDefault="00AC5C5F" w:rsidP="00DB15BC">
      <w:pPr>
        <w:pStyle w:val="NoSpacing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Lifepath</w:t>
      </w:r>
      <w:proofErr w:type="spellEnd"/>
      <w:r>
        <w:rPr>
          <w:b/>
          <w:sz w:val="32"/>
          <w:szCs w:val="32"/>
        </w:rPr>
        <w:t xml:space="preserve"> – Greenfield, MA, July 16</w:t>
      </w:r>
      <w:r w:rsidR="00431048" w:rsidRPr="00DB15BC">
        <w:rPr>
          <w:b/>
          <w:sz w:val="32"/>
          <w:szCs w:val="32"/>
        </w:rPr>
        <w:t>, 2019</w:t>
      </w:r>
    </w:p>
    <w:p w:rsidR="007709DB" w:rsidRPr="00885B12" w:rsidRDefault="005A5B73" w:rsidP="007709DB">
      <w:pPr>
        <w:pStyle w:val="Heading2"/>
        <w:rPr>
          <w:color w:val="auto"/>
          <w:u w:val="single"/>
        </w:rPr>
      </w:pPr>
      <w:r>
        <w:rPr>
          <w:color w:val="auto"/>
          <w:u w:val="single"/>
        </w:rPr>
        <w:t>Slide 2</w:t>
      </w:r>
      <w:r w:rsidR="007709DB" w:rsidRPr="00885B12">
        <w:rPr>
          <w:color w:val="auto"/>
          <w:u w:val="single"/>
        </w:rPr>
        <w:t>:</w:t>
      </w:r>
    </w:p>
    <w:p w:rsidR="007709DB" w:rsidRDefault="007709DB" w:rsidP="007709DB">
      <w:pPr>
        <w:pStyle w:val="Heading2"/>
        <w:rPr>
          <w:color w:val="auto"/>
        </w:rPr>
      </w:pPr>
      <w:r>
        <w:rPr>
          <w:color w:val="auto"/>
        </w:rPr>
        <w:t>Today’s Agenda</w:t>
      </w:r>
    </w:p>
    <w:p w:rsidR="007709DB" w:rsidRPr="00DB15BC" w:rsidRDefault="00431048" w:rsidP="00212364">
      <w:pPr>
        <w:pStyle w:val="ListParagraph"/>
        <w:numPr>
          <w:ilvl w:val="0"/>
          <w:numId w:val="2"/>
        </w:numPr>
        <w:rPr>
          <w:sz w:val="21"/>
          <w:szCs w:val="21"/>
        </w:rPr>
      </w:pPr>
      <w:r w:rsidRPr="00DB15BC">
        <w:rPr>
          <w:sz w:val="21"/>
          <w:szCs w:val="21"/>
        </w:rPr>
        <w:t>EVV Overv</w:t>
      </w:r>
      <w:r w:rsidR="00665C4F" w:rsidRPr="00DB15BC">
        <w:rPr>
          <w:sz w:val="21"/>
          <w:szCs w:val="21"/>
        </w:rPr>
        <w:t>iew &amp; EVV Stakeholder Engagement</w:t>
      </w:r>
    </w:p>
    <w:p w:rsidR="00A01857" w:rsidRPr="00DB15BC" w:rsidRDefault="00E961FD" w:rsidP="00212364">
      <w:pPr>
        <w:pStyle w:val="ListParagraph"/>
        <w:numPr>
          <w:ilvl w:val="1"/>
          <w:numId w:val="2"/>
        </w:numPr>
        <w:rPr>
          <w:sz w:val="21"/>
          <w:szCs w:val="21"/>
        </w:rPr>
      </w:pPr>
      <w:hyperlink r:id="rId6" w:history="1">
        <w:r w:rsidR="00A01857" w:rsidRPr="00DB15BC">
          <w:rPr>
            <w:rStyle w:val="Hyperlink"/>
            <w:sz w:val="21"/>
            <w:szCs w:val="21"/>
          </w:rPr>
          <w:t>https://www.mass.gov/info-details/electronic-visit-verification</w:t>
        </w:r>
      </w:hyperlink>
      <w:r w:rsidR="00A01857" w:rsidRPr="00DB15BC">
        <w:rPr>
          <w:sz w:val="21"/>
          <w:szCs w:val="21"/>
        </w:rPr>
        <w:t xml:space="preserve"> </w:t>
      </w:r>
    </w:p>
    <w:p w:rsidR="00431048" w:rsidRPr="00DB15BC" w:rsidRDefault="009314FD" w:rsidP="00212364">
      <w:pPr>
        <w:pStyle w:val="ListParagraph"/>
        <w:numPr>
          <w:ilvl w:val="0"/>
          <w:numId w:val="2"/>
        </w:numPr>
        <w:rPr>
          <w:sz w:val="21"/>
          <w:szCs w:val="21"/>
        </w:rPr>
      </w:pPr>
      <w:r>
        <w:rPr>
          <w:sz w:val="21"/>
          <w:szCs w:val="21"/>
        </w:rPr>
        <w:t>My Timesheet Topics for Review</w:t>
      </w:r>
    </w:p>
    <w:p w:rsidR="00A01857" w:rsidRDefault="0061224E" w:rsidP="00212364">
      <w:pPr>
        <w:pStyle w:val="ListParagraph"/>
        <w:numPr>
          <w:ilvl w:val="1"/>
          <w:numId w:val="2"/>
        </w:numPr>
        <w:rPr>
          <w:sz w:val="21"/>
          <w:szCs w:val="21"/>
        </w:rPr>
      </w:pPr>
      <w:r>
        <w:rPr>
          <w:sz w:val="21"/>
          <w:szCs w:val="21"/>
        </w:rPr>
        <w:t>High Level Process Workflow</w:t>
      </w:r>
    </w:p>
    <w:p w:rsidR="009314FD" w:rsidRPr="00DB15BC" w:rsidRDefault="009314FD" w:rsidP="00212364">
      <w:pPr>
        <w:pStyle w:val="ListParagraph"/>
        <w:numPr>
          <w:ilvl w:val="1"/>
          <w:numId w:val="2"/>
        </w:numPr>
        <w:rPr>
          <w:sz w:val="21"/>
          <w:szCs w:val="21"/>
        </w:rPr>
      </w:pPr>
      <w:r>
        <w:rPr>
          <w:sz w:val="21"/>
          <w:szCs w:val="21"/>
        </w:rPr>
        <w:t>Cures Act Compliance</w:t>
      </w:r>
    </w:p>
    <w:p w:rsidR="00665C4F" w:rsidRPr="00DB15BC" w:rsidRDefault="009314FD" w:rsidP="00212364">
      <w:pPr>
        <w:pStyle w:val="ListParagraph"/>
        <w:numPr>
          <w:ilvl w:val="1"/>
          <w:numId w:val="2"/>
        </w:numPr>
        <w:rPr>
          <w:sz w:val="21"/>
          <w:szCs w:val="21"/>
        </w:rPr>
      </w:pPr>
      <w:r>
        <w:rPr>
          <w:sz w:val="21"/>
          <w:szCs w:val="21"/>
        </w:rPr>
        <w:t>Reporting Functionalities</w:t>
      </w:r>
    </w:p>
    <w:p w:rsidR="00431048" w:rsidRPr="00DB15BC" w:rsidRDefault="0061224E" w:rsidP="00212364">
      <w:pPr>
        <w:pStyle w:val="ListParagraph"/>
        <w:numPr>
          <w:ilvl w:val="0"/>
          <w:numId w:val="2"/>
        </w:numPr>
        <w:rPr>
          <w:sz w:val="21"/>
          <w:szCs w:val="21"/>
        </w:rPr>
      </w:pPr>
      <w:r>
        <w:rPr>
          <w:sz w:val="21"/>
          <w:szCs w:val="21"/>
        </w:rPr>
        <w:t xml:space="preserve">Future </w:t>
      </w:r>
      <w:r w:rsidR="00431048" w:rsidRPr="00DB15BC">
        <w:rPr>
          <w:sz w:val="21"/>
          <w:szCs w:val="21"/>
        </w:rPr>
        <w:t>Dialogue Sessions</w:t>
      </w:r>
    </w:p>
    <w:p w:rsidR="009314FD" w:rsidRPr="00DB15BC" w:rsidRDefault="009314FD" w:rsidP="009314FD">
      <w:pPr>
        <w:pStyle w:val="Heading2"/>
        <w:rPr>
          <w:color w:val="auto"/>
          <w:u w:val="single"/>
        </w:rPr>
      </w:pPr>
      <w:r w:rsidRPr="00DB15BC">
        <w:rPr>
          <w:color w:val="auto"/>
          <w:u w:val="single"/>
        </w:rPr>
        <w:t>Slide</w:t>
      </w:r>
      <w:r>
        <w:rPr>
          <w:color w:val="auto"/>
          <w:u w:val="single"/>
        </w:rPr>
        <w:t xml:space="preserve"> 3</w:t>
      </w:r>
      <w:r w:rsidRPr="00DB15BC">
        <w:rPr>
          <w:color w:val="auto"/>
          <w:u w:val="single"/>
        </w:rPr>
        <w:t>:</w:t>
      </w:r>
    </w:p>
    <w:p w:rsidR="009314FD" w:rsidRPr="009314FD" w:rsidRDefault="009314FD" w:rsidP="009314FD">
      <w:pPr>
        <w:pStyle w:val="Heading2"/>
        <w:rPr>
          <w:color w:val="auto"/>
        </w:rPr>
      </w:pPr>
      <w:r>
        <w:rPr>
          <w:color w:val="auto"/>
        </w:rPr>
        <w:t>Terms Used in Today’s Session</w:t>
      </w:r>
    </w:p>
    <w:p w:rsidR="009314FD" w:rsidRDefault="009314FD" w:rsidP="009314FD">
      <w:pPr>
        <w:pStyle w:val="NoSpacing"/>
        <w:numPr>
          <w:ilvl w:val="0"/>
          <w:numId w:val="5"/>
        </w:numPr>
        <w:rPr>
          <w:sz w:val="21"/>
          <w:szCs w:val="21"/>
        </w:rPr>
      </w:pPr>
      <w:r w:rsidRPr="005A5B73">
        <w:rPr>
          <w:b/>
          <w:bCs/>
          <w:sz w:val="21"/>
          <w:szCs w:val="21"/>
        </w:rPr>
        <w:t xml:space="preserve">Alternate EVV or Alt. EVV </w:t>
      </w:r>
      <w:r w:rsidRPr="005A5B73">
        <w:rPr>
          <w:sz w:val="21"/>
          <w:szCs w:val="21"/>
        </w:rPr>
        <w:t xml:space="preserve">– Refers to EVV systems used by provider agencies that are NOT the </w:t>
      </w:r>
      <w:proofErr w:type="spellStart"/>
      <w:r w:rsidRPr="005A5B73">
        <w:rPr>
          <w:sz w:val="21"/>
          <w:szCs w:val="21"/>
        </w:rPr>
        <w:t>MyTimesheet</w:t>
      </w:r>
      <w:proofErr w:type="spellEnd"/>
      <w:r w:rsidRPr="005A5B73">
        <w:rPr>
          <w:sz w:val="21"/>
          <w:szCs w:val="21"/>
        </w:rPr>
        <w:t xml:space="preserve"> EVV System.  These are “Alternative” EVV systems.</w:t>
      </w:r>
    </w:p>
    <w:p w:rsidR="009314FD" w:rsidRPr="005A5B73" w:rsidRDefault="009314FD" w:rsidP="009314FD">
      <w:pPr>
        <w:pStyle w:val="NoSpacing"/>
        <w:rPr>
          <w:sz w:val="21"/>
          <w:szCs w:val="21"/>
        </w:rPr>
      </w:pPr>
    </w:p>
    <w:p w:rsidR="009314FD" w:rsidRDefault="009314FD" w:rsidP="009314FD">
      <w:pPr>
        <w:pStyle w:val="NoSpacing"/>
        <w:numPr>
          <w:ilvl w:val="0"/>
          <w:numId w:val="5"/>
        </w:numPr>
        <w:rPr>
          <w:sz w:val="21"/>
          <w:szCs w:val="21"/>
        </w:rPr>
      </w:pPr>
      <w:r w:rsidRPr="005A5B73">
        <w:rPr>
          <w:b/>
          <w:bCs/>
          <w:sz w:val="21"/>
          <w:szCs w:val="21"/>
        </w:rPr>
        <w:t xml:space="preserve">Data Aggregator </w:t>
      </w:r>
      <w:r w:rsidRPr="005A5B73">
        <w:rPr>
          <w:sz w:val="21"/>
          <w:szCs w:val="21"/>
        </w:rPr>
        <w:t xml:space="preserve">– System that combines or “aggregates” EVV data from provider agencies.  Provider agencies using Alt. EVV systems will send their EVV data to </w:t>
      </w:r>
      <w:proofErr w:type="spellStart"/>
      <w:r w:rsidRPr="005A5B73">
        <w:rPr>
          <w:sz w:val="21"/>
          <w:szCs w:val="21"/>
        </w:rPr>
        <w:t>Optum’s</w:t>
      </w:r>
      <w:proofErr w:type="spellEnd"/>
      <w:r w:rsidRPr="005A5B73">
        <w:rPr>
          <w:sz w:val="21"/>
          <w:szCs w:val="21"/>
        </w:rPr>
        <w:t xml:space="preserve"> data aggregator.  </w:t>
      </w:r>
      <w:proofErr w:type="spellStart"/>
      <w:r w:rsidRPr="005A5B73">
        <w:rPr>
          <w:sz w:val="21"/>
          <w:szCs w:val="21"/>
        </w:rPr>
        <w:t>MyTimesheet</w:t>
      </w:r>
      <w:proofErr w:type="spellEnd"/>
      <w:r w:rsidRPr="005A5B73">
        <w:rPr>
          <w:sz w:val="21"/>
          <w:szCs w:val="21"/>
        </w:rPr>
        <w:t xml:space="preserve"> data will also flow into the data aggregator. </w:t>
      </w:r>
    </w:p>
    <w:p w:rsidR="009314FD" w:rsidRPr="0061224E" w:rsidRDefault="009314FD" w:rsidP="009314FD">
      <w:pPr>
        <w:pStyle w:val="NoSpacing"/>
        <w:rPr>
          <w:sz w:val="21"/>
          <w:szCs w:val="21"/>
        </w:rPr>
      </w:pPr>
    </w:p>
    <w:p w:rsidR="009314FD" w:rsidRPr="005A5B73" w:rsidRDefault="009314FD" w:rsidP="009314FD">
      <w:pPr>
        <w:numPr>
          <w:ilvl w:val="0"/>
          <w:numId w:val="6"/>
        </w:numPr>
        <w:rPr>
          <w:bCs/>
          <w:sz w:val="21"/>
          <w:szCs w:val="21"/>
        </w:rPr>
      </w:pPr>
      <w:proofErr w:type="spellStart"/>
      <w:r w:rsidRPr="005A5B73">
        <w:rPr>
          <w:b/>
          <w:bCs/>
          <w:sz w:val="21"/>
          <w:szCs w:val="21"/>
        </w:rPr>
        <w:t>MyTimesheet</w:t>
      </w:r>
      <w:proofErr w:type="spellEnd"/>
      <w:r w:rsidRPr="005A5B73">
        <w:rPr>
          <w:bCs/>
          <w:sz w:val="21"/>
          <w:szCs w:val="21"/>
        </w:rPr>
        <w:t xml:space="preserve"> – </w:t>
      </w:r>
      <w:proofErr w:type="spellStart"/>
      <w:r w:rsidRPr="005A5B73">
        <w:rPr>
          <w:bCs/>
          <w:sz w:val="21"/>
          <w:szCs w:val="21"/>
        </w:rPr>
        <w:t>Optum’s</w:t>
      </w:r>
      <w:proofErr w:type="spellEnd"/>
      <w:r w:rsidRPr="005A5B73">
        <w:rPr>
          <w:bCs/>
          <w:sz w:val="21"/>
          <w:szCs w:val="21"/>
        </w:rPr>
        <w:t xml:space="preserve"> EVV system that can be used by provider agencies to collect EVV data</w:t>
      </w:r>
      <w:r>
        <w:rPr>
          <w:bCs/>
          <w:sz w:val="21"/>
          <w:szCs w:val="21"/>
        </w:rPr>
        <w:t>.</w:t>
      </w:r>
    </w:p>
    <w:p w:rsidR="009314FD" w:rsidRDefault="009314FD" w:rsidP="009314FD">
      <w:pPr>
        <w:numPr>
          <w:ilvl w:val="0"/>
          <w:numId w:val="6"/>
        </w:numPr>
        <w:rPr>
          <w:bCs/>
          <w:sz w:val="21"/>
          <w:szCs w:val="21"/>
        </w:rPr>
      </w:pPr>
      <w:proofErr w:type="spellStart"/>
      <w:r w:rsidRPr="005A5B73">
        <w:rPr>
          <w:b/>
          <w:bCs/>
          <w:sz w:val="21"/>
          <w:szCs w:val="21"/>
        </w:rPr>
        <w:t>Optum</w:t>
      </w:r>
      <w:proofErr w:type="spellEnd"/>
      <w:r w:rsidRPr="005A5B73">
        <w:rPr>
          <w:bCs/>
          <w:sz w:val="21"/>
          <w:szCs w:val="21"/>
        </w:rPr>
        <w:t xml:space="preserve"> – Vendor that EOHHS selected to provide the</w:t>
      </w:r>
      <w:r>
        <w:rPr>
          <w:bCs/>
          <w:sz w:val="21"/>
          <w:szCs w:val="21"/>
        </w:rPr>
        <w:t xml:space="preserve"> </w:t>
      </w:r>
      <w:proofErr w:type="spellStart"/>
      <w:r>
        <w:rPr>
          <w:bCs/>
          <w:sz w:val="21"/>
          <w:szCs w:val="21"/>
        </w:rPr>
        <w:t>MyTimesheet</w:t>
      </w:r>
      <w:proofErr w:type="spellEnd"/>
      <w:r>
        <w:rPr>
          <w:bCs/>
          <w:sz w:val="21"/>
          <w:szCs w:val="21"/>
        </w:rPr>
        <w:t xml:space="preserve"> &amp; Data Aggregator </w:t>
      </w:r>
      <w:r w:rsidRPr="005A5B73">
        <w:rPr>
          <w:bCs/>
          <w:sz w:val="21"/>
          <w:szCs w:val="21"/>
        </w:rPr>
        <w:t>EVV Systems.</w:t>
      </w:r>
    </w:p>
    <w:p w:rsidR="009314FD" w:rsidRPr="00885B12" w:rsidRDefault="009314FD" w:rsidP="009314FD">
      <w:pPr>
        <w:pStyle w:val="Heading2"/>
        <w:rPr>
          <w:color w:val="auto"/>
          <w:u w:val="single"/>
        </w:rPr>
      </w:pPr>
      <w:r>
        <w:rPr>
          <w:color w:val="auto"/>
          <w:u w:val="single"/>
        </w:rPr>
        <w:lastRenderedPageBreak/>
        <w:t>Slide 4</w:t>
      </w:r>
      <w:r w:rsidRPr="00885B12">
        <w:rPr>
          <w:color w:val="auto"/>
          <w:u w:val="single"/>
        </w:rPr>
        <w:t>:</w:t>
      </w:r>
    </w:p>
    <w:p w:rsidR="009314FD" w:rsidRDefault="009314FD" w:rsidP="009314FD">
      <w:pPr>
        <w:pStyle w:val="Heading2"/>
        <w:rPr>
          <w:color w:val="auto"/>
        </w:rPr>
      </w:pPr>
      <w:r>
        <w:rPr>
          <w:color w:val="auto"/>
        </w:rPr>
        <w:t>Objective of Dialogue Sessions</w:t>
      </w:r>
    </w:p>
    <w:p w:rsidR="009314FD" w:rsidRPr="00212364" w:rsidRDefault="009314FD" w:rsidP="009314FD">
      <w:pPr>
        <w:pStyle w:val="Heading3"/>
        <w:numPr>
          <w:ilvl w:val="0"/>
          <w:numId w:val="9"/>
        </w:numPr>
        <w:rPr>
          <w:rFonts w:asciiTheme="minorHAnsi" w:hAnsiTheme="minorHAnsi"/>
          <w:b w:val="0"/>
          <w:color w:val="auto"/>
          <w:sz w:val="21"/>
          <w:szCs w:val="21"/>
        </w:rPr>
      </w:pPr>
      <w:r w:rsidRPr="00212364">
        <w:rPr>
          <w:rFonts w:asciiTheme="minorHAnsi" w:hAnsiTheme="minorHAnsi"/>
          <w:b w:val="0"/>
          <w:color w:val="auto"/>
          <w:sz w:val="21"/>
          <w:szCs w:val="21"/>
        </w:rPr>
        <w:t>Obtain feedback from provider agencies on different aspects of EVV</w:t>
      </w:r>
    </w:p>
    <w:p w:rsidR="009314FD" w:rsidRPr="00212364" w:rsidRDefault="009314FD" w:rsidP="009314FD">
      <w:pPr>
        <w:pStyle w:val="Heading3"/>
        <w:numPr>
          <w:ilvl w:val="1"/>
          <w:numId w:val="9"/>
        </w:numPr>
        <w:rPr>
          <w:rFonts w:asciiTheme="minorHAnsi" w:hAnsiTheme="minorHAnsi"/>
          <w:b w:val="0"/>
          <w:color w:val="auto"/>
          <w:sz w:val="21"/>
          <w:szCs w:val="21"/>
        </w:rPr>
      </w:pPr>
      <w:r w:rsidRPr="00212364">
        <w:rPr>
          <w:rFonts w:asciiTheme="minorHAnsi" w:hAnsiTheme="minorHAnsi"/>
          <w:b w:val="0"/>
          <w:color w:val="auto"/>
          <w:sz w:val="21"/>
          <w:szCs w:val="21"/>
        </w:rPr>
        <w:t xml:space="preserve">Ensure that EOHHS and </w:t>
      </w:r>
      <w:proofErr w:type="spellStart"/>
      <w:r w:rsidRPr="00212364">
        <w:rPr>
          <w:rFonts w:asciiTheme="minorHAnsi" w:hAnsiTheme="minorHAnsi"/>
          <w:b w:val="0"/>
          <w:color w:val="auto"/>
          <w:sz w:val="21"/>
          <w:szCs w:val="21"/>
        </w:rPr>
        <w:t>Optum</w:t>
      </w:r>
      <w:proofErr w:type="spellEnd"/>
      <w:r w:rsidRPr="00212364">
        <w:rPr>
          <w:rFonts w:asciiTheme="minorHAnsi" w:hAnsiTheme="minorHAnsi"/>
          <w:b w:val="0"/>
          <w:color w:val="auto"/>
          <w:sz w:val="21"/>
          <w:szCs w:val="21"/>
        </w:rPr>
        <w:t xml:space="preserve"> are on the right track before system is developed and plans are finalized</w:t>
      </w:r>
    </w:p>
    <w:p w:rsidR="009314FD" w:rsidRPr="00212364" w:rsidRDefault="009314FD" w:rsidP="009314FD">
      <w:pPr>
        <w:pStyle w:val="Heading3"/>
        <w:numPr>
          <w:ilvl w:val="1"/>
          <w:numId w:val="9"/>
        </w:numPr>
        <w:rPr>
          <w:rFonts w:asciiTheme="minorHAnsi" w:hAnsiTheme="minorHAnsi"/>
          <w:b w:val="0"/>
          <w:color w:val="auto"/>
          <w:sz w:val="21"/>
          <w:szCs w:val="21"/>
        </w:rPr>
      </w:pPr>
      <w:r w:rsidRPr="00212364">
        <w:rPr>
          <w:rFonts w:asciiTheme="minorHAnsi" w:hAnsiTheme="minorHAnsi"/>
          <w:b w:val="0"/>
          <w:color w:val="auto"/>
          <w:sz w:val="21"/>
          <w:szCs w:val="21"/>
        </w:rPr>
        <w:t xml:space="preserve">Make system or policy changes based on additional review from feedback </w:t>
      </w:r>
    </w:p>
    <w:p w:rsidR="009314FD" w:rsidRPr="00212364" w:rsidRDefault="009314FD" w:rsidP="009314FD">
      <w:pPr>
        <w:pStyle w:val="Heading3"/>
        <w:numPr>
          <w:ilvl w:val="1"/>
          <w:numId w:val="9"/>
        </w:numPr>
        <w:rPr>
          <w:rFonts w:asciiTheme="minorHAnsi" w:hAnsiTheme="minorHAnsi"/>
          <w:b w:val="0"/>
          <w:color w:val="auto"/>
          <w:sz w:val="21"/>
          <w:szCs w:val="21"/>
        </w:rPr>
      </w:pPr>
      <w:r w:rsidRPr="00212364">
        <w:rPr>
          <w:rFonts w:asciiTheme="minorHAnsi" w:hAnsiTheme="minorHAnsi"/>
          <w:b w:val="0"/>
          <w:color w:val="auto"/>
          <w:sz w:val="21"/>
          <w:szCs w:val="21"/>
        </w:rPr>
        <w:t>Hear from providers across the Commonwealth and engage as partners</w:t>
      </w:r>
    </w:p>
    <w:p w:rsidR="009314FD" w:rsidRPr="00212364" w:rsidRDefault="009314FD" w:rsidP="009314FD">
      <w:pPr>
        <w:pStyle w:val="Heading3"/>
        <w:numPr>
          <w:ilvl w:val="1"/>
          <w:numId w:val="9"/>
        </w:numPr>
        <w:rPr>
          <w:rFonts w:asciiTheme="minorHAnsi" w:hAnsiTheme="minorHAnsi"/>
          <w:b w:val="0"/>
          <w:color w:val="auto"/>
          <w:sz w:val="21"/>
          <w:szCs w:val="21"/>
        </w:rPr>
      </w:pPr>
      <w:r w:rsidRPr="00212364">
        <w:rPr>
          <w:rFonts w:asciiTheme="minorHAnsi" w:hAnsiTheme="minorHAnsi"/>
          <w:b w:val="0"/>
          <w:color w:val="auto"/>
          <w:sz w:val="21"/>
          <w:szCs w:val="21"/>
        </w:rPr>
        <w:t>Engage with all stakeholders across the Commonwealth, not just those who are located in Metro-Boston</w:t>
      </w:r>
    </w:p>
    <w:p w:rsidR="009314FD" w:rsidRPr="00212364" w:rsidRDefault="009314FD" w:rsidP="009314FD">
      <w:pPr>
        <w:pStyle w:val="Heading3"/>
        <w:numPr>
          <w:ilvl w:val="1"/>
          <w:numId w:val="9"/>
        </w:numPr>
        <w:rPr>
          <w:rFonts w:asciiTheme="minorHAnsi" w:hAnsiTheme="minorHAnsi"/>
          <w:b w:val="0"/>
          <w:color w:val="auto"/>
          <w:sz w:val="21"/>
          <w:szCs w:val="21"/>
        </w:rPr>
      </w:pPr>
      <w:r w:rsidRPr="00212364">
        <w:rPr>
          <w:rFonts w:asciiTheme="minorHAnsi" w:hAnsiTheme="minorHAnsi"/>
          <w:b w:val="0"/>
          <w:color w:val="auto"/>
          <w:sz w:val="21"/>
          <w:szCs w:val="21"/>
        </w:rPr>
        <w:t xml:space="preserve">Facilitate relationships between EOHHS, </w:t>
      </w:r>
      <w:proofErr w:type="spellStart"/>
      <w:r w:rsidRPr="00212364">
        <w:rPr>
          <w:rFonts w:asciiTheme="minorHAnsi" w:hAnsiTheme="minorHAnsi"/>
          <w:b w:val="0"/>
          <w:color w:val="auto"/>
          <w:sz w:val="21"/>
          <w:szCs w:val="21"/>
        </w:rPr>
        <w:t>Optum</w:t>
      </w:r>
      <w:proofErr w:type="spellEnd"/>
      <w:r w:rsidRPr="00212364">
        <w:rPr>
          <w:rFonts w:asciiTheme="minorHAnsi" w:hAnsiTheme="minorHAnsi"/>
          <w:b w:val="0"/>
          <w:color w:val="auto"/>
          <w:sz w:val="21"/>
          <w:szCs w:val="21"/>
        </w:rPr>
        <w:t>, EOEA and provider agencies</w:t>
      </w:r>
    </w:p>
    <w:p w:rsidR="009314FD" w:rsidRPr="00212364" w:rsidRDefault="009314FD" w:rsidP="009314FD">
      <w:pPr>
        <w:pStyle w:val="Heading3"/>
        <w:numPr>
          <w:ilvl w:val="0"/>
          <w:numId w:val="9"/>
        </w:numPr>
        <w:rPr>
          <w:rFonts w:asciiTheme="minorHAnsi" w:hAnsiTheme="minorHAnsi"/>
          <w:b w:val="0"/>
          <w:color w:val="auto"/>
          <w:sz w:val="21"/>
          <w:szCs w:val="21"/>
        </w:rPr>
      </w:pPr>
      <w:r w:rsidRPr="00212364">
        <w:rPr>
          <w:rFonts w:asciiTheme="minorHAnsi" w:hAnsiTheme="minorHAnsi"/>
          <w:b w:val="0"/>
          <w:color w:val="auto"/>
          <w:sz w:val="21"/>
          <w:szCs w:val="21"/>
        </w:rPr>
        <w:t>Address a broad range of topics</w:t>
      </w:r>
    </w:p>
    <w:p w:rsidR="009314FD" w:rsidRPr="00212364" w:rsidRDefault="009314FD" w:rsidP="009314FD">
      <w:pPr>
        <w:pStyle w:val="Heading3"/>
        <w:numPr>
          <w:ilvl w:val="1"/>
          <w:numId w:val="9"/>
        </w:numPr>
        <w:rPr>
          <w:rFonts w:asciiTheme="minorHAnsi" w:hAnsiTheme="minorHAnsi"/>
          <w:b w:val="0"/>
          <w:color w:val="auto"/>
          <w:sz w:val="21"/>
          <w:szCs w:val="21"/>
        </w:rPr>
      </w:pPr>
      <w:r w:rsidRPr="00212364">
        <w:rPr>
          <w:rFonts w:asciiTheme="minorHAnsi" w:hAnsiTheme="minorHAnsi"/>
          <w:b w:val="0"/>
          <w:color w:val="auto"/>
          <w:sz w:val="21"/>
          <w:szCs w:val="21"/>
        </w:rPr>
        <w:t>Not all stakeholders will be able to attend all sessions but format should allow all stakeholders to attend at least one session</w:t>
      </w:r>
    </w:p>
    <w:p w:rsidR="009314FD" w:rsidRPr="00212364" w:rsidRDefault="009314FD" w:rsidP="009314FD">
      <w:pPr>
        <w:pStyle w:val="Heading3"/>
        <w:numPr>
          <w:ilvl w:val="1"/>
          <w:numId w:val="9"/>
        </w:numPr>
        <w:rPr>
          <w:rFonts w:asciiTheme="minorHAnsi" w:hAnsiTheme="minorHAnsi"/>
          <w:b w:val="0"/>
          <w:color w:val="auto"/>
          <w:sz w:val="21"/>
          <w:szCs w:val="21"/>
        </w:rPr>
      </w:pPr>
      <w:r w:rsidRPr="00212364">
        <w:rPr>
          <w:rFonts w:asciiTheme="minorHAnsi" w:hAnsiTheme="minorHAnsi"/>
          <w:b w:val="0"/>
          <w:color w:val="auto"/>
          <w:sz w:val="21"/>
          <w:szCs w:val="21"/>
        </w:rPr>
        <w:t>Supplement with other modes of education and input</w:t>
      </w:r>
    </w:p>
    <w:p w:rsidR="00885B12" w:rsidRPr="00885B12" w:rsidRDefault="009314FD" w:rsidP="00885B12">
      <w:pPr>
        <w:pStyle w:val="Heading2"/>
        <w:rPr>
          <w:color w:val="auto"/>
          <w:u w:val="single"/>
        </w:rPr>
      </w:pPr>
      <w:r>
        <w:rPr>
          <w:color w:val="auto"/>
          <w:u w:val="single"/>
        </w:rPr>
        <w:t>Slide 5</w:t>
      </w:r>
      <w:r w:rsidR="00885B12" w:rsidRPr="00885B12">
        <w:rPr>
          <w:color w:val="auto"/>
          <w:u w:val="single"/>
        </w:rPr>
        <w:t>:</w:t>
      </w:r>
    </w:p>
    <w:p w:rsidR="00885B12" w:rsidRPr="00885B12" w:rsidRDefault="00AE17C9" w:rsidP="00885B12">
      <w:pPr>
        <w:pStyle w:val="Heading2"/>
        <w:rPr>
          <w:color w:val="auto"/>
        </w:rPr>
      </w:pPr>
      <w:r>
        <w:rPr>
          <w:color w:val="auto"/>
        </w:rPr>
        <w:t>21</w:t>
      </w:r>
      <w:r w:rsidRPr="00AE17C9">
        <w:rPr>
          <w:color w:val="auto"/>
          <w:vertAlign w:val="superscript"/>
        </w:rPr>
        <w:t>st</w:t>
      </w:r>
      <w:r>
        <w:rPr>
          <w:color w:val="auto"/>
        </w:rPr>
        <w:t xml:space="preserve"> Century Cures Act mandates EVV use</w:t>
      </w:r>
    </w:p>
    <w:p w:rsidR="00885B12" w:rsidRDefault="00431048" w:rsidP="00212364">
      <w:pPr>
        <w:pStyle w:val="ListParagraph"/>
        <w:numPr>
          <w:ilvl w:val="0"/>
          <w:numId w:val="1"/>
        </w:numPr>
        <w:rPr>
          <w:sz w:val="21"/>
          <w:szCs w:val="21"/>
        </w:rPr>
      </w:pPr>
      <w:r w:rsidRPr="00431048">
        <w:rPr>
          <w:sz w:val="21"/>
          <w:szCs w:val="21"/>
        </w:rPr>
        <w:t>Electronic Visit Verification (EVV) refers to the technology a worker uses during a home visit to capture information about the services provided</w:t>
      </w:r>
    </w:p>
    <w:p w:rsidR="00431048" w:rsidRPr="00431048" w:rsidRDefault="00431048" w:rsidP="00212364">
      <w:pPr>
        <w:pStyle w:val="ListParagraph"/>
        <w:numPr>
          <w:ilvl w:val="0"/>
          <w:numId w:val="1"/>
        </w:numPr>
        <w:rPr>
          <w:sz w:val="21"/>
          <w:szCs w:val="21"/>
        </w:rPr>
      </w:pPr>
      <w:r w:rsidRPr="00431048">
        <w:rPr>
          <w:sz w:val="21"/>
          <w:szCs w:val="21"/>
        </w:rPr>
        <w:t>The 21st Century Cures Act (federal law) requires EVV for the following Medicaid services:</w:t>
      </w:r>
    </w:p>
    <w:p w:rsidR="00431048" w:rsidRPr="00431048" w:rsidRDefault="00431048" w:rsidP="00212364">
      <w:pPr>
        <w:pStyle w:val="ListParagraph"/>
        <w:numPr>
          <w:ilvl w:val="1"/>
          <w:numId w:val="1"/>
        </w:numPr>
        <w:rPr>
          <w:sz w:val="21"/>
          <w:szCs w:val="21"/>
        </w:rPr>
      </w:pPr>
      <w:r w:rsidRPr="00431048">
        <w:rPr>
          <w:sz w:val="21"/>
          <w:szCs w:val="21"/>
        </w:rPr>
        <w:t>Personal care by 1/1/2020</w:t>
      </w:r>
    </w:p>
    <w:p w:rsidR="00431048" w:rsidRDefault="00431048" w:rsidP="00212364">
      <w:pPr>
        <w:pStyle w:val="ListParagraph"/>
        <w:numPr>
          <w:ilvl w:val="1"/>
          <w:numId w:val="1"/>
        </w:numPr>
        <w:rPr>
          <w:sz w:val="21"/>
          <w:szCs w:val="21"/>
        </w:rPr>
      </w:pPr>
      <w:r w:rsidRPr="00431048">
        <w:rPr>
          <w:sz w:val="21"/>
          <w:szCs w:val="21"/>
        </w:rPr>
        <w:t>Home health by 1/1/2023</w:t>
      </w:r>
    </w:p>
    <w:p w:rsidR="00431048" w:rsidRDefault="00431048" w:rsidP="00212364">
      <w:pPr>
        <w:pStyle w:val="ListParagraph"/>
        <w:numPr>
          <w:ilvl w:val="0"/>
          <w:numId w:val="1"/>
        </w:numPr>
        <w:rPr>
          <w:sz w:val="21"/>
          <w:szCs w:val="21"/>
        </w:rPr>
      </w:pPr>
      <w:r w:rsidRPr="00431048">
        <w:rPr>
          <w:sz w:val="21"/>
          <w:szCs w:val="21"/>
        </w:rPr>
        <w:t>EVV is required</w:t>
      </w:r>
      <w:r w:rsidR="00E01C41">
        <w:rPr>
          <w:sz w:val="21"/>
          <w:szCs w:val="21"/>
        </w:rPr>
        <w:t xml:space="preserve"> for Medicaid services but EOEA</w:t>
      </w:r>
      <w:r w:rsidRPr="00431048">
        <w:rPr>
          <w:sz w:val="21"/>
          <w:szCs w:val="21"/>
        </w:rPr>
        <w:t xml:space="preserve"> will be requiring it for EOEA Non-Medicaid services as well</w:t>
      </w:r>
    </w:p>
    <w:p w:rsidR="009314FD" w:rsidRPr="00885B12" w:rsidRDefault="009314FD" w:rsidP="00212364">
      <w:pPr>
        <w:pStyle w:val="ListParagraph"/>
        <w:numPr>
          <w:ilvl w:val="0"/>
          <w:numId w:val="1"/>
        </w:numPr>
        <w:rPr>
          <w:sz w:val="21"/>
          <w:szCs w:val="21"/>
        </w:rPr>
      </w:pPr>
      <w:r>
        <w:rPr>
          <w:sz w:val="21"/>
          <w:szCs w:val="21"/>
        </w:rPr>
        <w:t>EVV use is not required for organizations that provide only companion services and/or only adult day services</w:t>
      </w:r>
    </w:p>
    <w:p w:rsidR="009314FD" w:rsidRDefault="009314FD" w:rsidP="009314FD">
      <w:pPr>
        <w:pStyle w:val="Heading2"/>
        <w:rPr>
          <w:color w:val="auto"/>
          <w:u w:val="single"/>
        </w:rPr>
      </w:pPr>
    </w:p>
    <w:p w:rsidR="009314FD" w:rsidRPr="009314FD" w:rsidRDefault="009314FD" w:rsidP="009314FD"/>
    <w:p w:rsidR="00E961FD" w:rsidRDefault="00E961FD" w:rsidP="009314FD">
      <w:pPr>
        <w:pStyle w:val="Heading2"/>
        <w:rPr>
          <w:color w:val="auto"/>
          <w:u w:val="single"/>
        </w:rPr>
      </w:pPr>
    </w:p>
    <w:p w:rsidR="009314FD" w:rsidRPr="0061224E" w:rsidRDefault="009314FD" w:rsidP="009314FD">
      <w:pPr>
        <w:pStyle w:val="Heading2"/>
        <w:rPr>
          <w:color w:val="auto"/>
          <w:u w:val="single"/>
        </w:rPr>
      </w:pPr>
      <w:r>
        <w:rPr>
          <w:color w:val="auto"/>
          <w:u w:val="single"/>
        </w:rPr>
        <w:t>Slide 6</w:t>
      </w:r>
      <w:r w:rsidRPr="0061224E">
        <w:rPr>
          <w:color w:val="auto"/>
          <w:u w:val="single"/>
        </w:rPr>
        <w:t>:</w:t>
      </w:r>
    </w:p>
    <w:p w:rsidR="009314FD" w:rsidRDefault="009314FD" w:rsidP="009314FD">
      <w:pPr>
        <w:pStyle w:val="Heading2"/>
        <w:rPr>
          <w:color w:val="auto"/>
        </w:rPr>
      </w:pPr>
      <w:r>
        <w:rPr>
          <w:color w:val="auto"/>
        </w:rPr>
        <w:t>Massachusetts’ goals for EVV implementation</w:t>
      </w:r>
    </w:p>
    <w:p w:rsidR="009314FD" w:rsidRPr="00DB15BC" w:rsidRDefault="009314FD" w:rsidP="009314FD"/>
    <w:p w:rsidR="009314FD" w:rsidRPr="00212364" w:rsidRDefault="009314FD" w:rsidP="009314FD">
      <w:pPr>
        <w:pStyle w:val="NoSpacing"/>
        <w:numPr>
          <w:ilvl w:val="0"/>
          <w:numId w:val="8"/>
        </w:numPr>
        <w:rPr>
          <w:sz w:val="21"/>
          <w:szCs w:val="21"/>
        </w:rPr>
      </w:pPr>
      <w:r w:rsidRPr="00212364">
        <w:rPr>
          <w:b/>
          <w:sz w:val="21"/>
          <w:szCs w:val="21"/>
        </w:rPr>
        <w:t>Effective Compliance:</w:t>
      </w:r>
      <w:r w:rsidRPr="00212364">
        <w:rPr>
          <w:sz w:val="21"/>
          <w:szCs w:val="21"/>
        </w:rPr>
        <w:t xml:space="preserve">  Provide an EVV system that complies with federal Medicaid requirements, minimizes burden on users, and does not disrupt the provision of services</w:t>
      </w:r>
    </w:p>
    <w:p w:rsidR="009314FD" w:rsidRPr="00212364" w:rsidRDefault="009314FD" w:rsidP="009314FD">
      <w:pPr>
        <w:pStyle w:val="NoSpacing"/>
        <w:numPr>
          <w:ilvl w:val="0"/>
          <w:numId w:val="8"/>
        </w:numPr>
        <w:rPr>
          <w:sz w:val="21"/>
          <w:szCs w:val="21"/>
        </w:rPr>
      </w:pPr>
      <w:r w:rsidRPr="00212364">
        <w:rPr>
          <w:b/>
          <w:sz w:val="21"/>
          <w:szCs w:val="21"/>
        </w:rPr>
        <w:t>Efficiency:</w:t>
      </w:r>
      <w:r w:rsidRPr="00212364">
        <w:rPr>
          <w:sz w:val="21"/>
          <w:szCs w:val="21"/>
        </w:rPr>
        <w:t xml:space="preserve">  Reduce administrative burden of paper timesheets</w:t>
      </w:r>
    </w:p>
    <w:p w:rsidR="009314FD" w:rsidRPr="00212364" w:rsidRDefault="009314FD" w:rsidP="009314FD">
      <w:pPr>
        <w:pStyle w:val="NoSpacing"/>
        <w:numPr>
          <w:ilvl w:val="0"/>
          <w:numId w:val="8"/>
        </w:numPr>
        <w:rPr>
          <w:sz w:val="21"/>
          <w:szCs w:val="21"/>
        </w:rPr>
      </w:pPr>
      <w:r w:rsidRPr="00212364">
        <w:rPr>
          <w:b/>
          <w:sz w:val="21"/>
          <w:szCs w:val="21"/>
        </w:rPr>
        <w:t>Program Integrity:</w:t>
      </w:r>
      <w:r w:rsidRPr="00212364">
        <w:rPr>
          <w:sz w:val="21"/>
          <w:szCs w:val="21"/>
        </w:rPr>
        <w:t xml:space="preserve"> Reduce billing errors and unauthorized spending</w:t>
      </w:r>
    </w:p>
    <w:p w:rsidR="0061224E" w:rsidRDefault="009314FD" w:rsidP="00885B12">
      <w:pPr>
        <w:pStyle w:val="Heading2"/>
        <w:rPr>
          <w:color w:val="auto"/>
          <w:u w:val="single"/>
        </w:rPr>
      </w:pPr>
      <w:r>
        <w:rPr>
          <w:color w:val="auto"/>
          <w:u w:val="single"/>
        </w:rPr>
        <w:t>Slide 7</w:t>
      </w:r>
      <w:r w:rsidR="00885B12" w:rsidRPr="00885B12">
        <w:rPr>
          <w:color w:val="auto"/>
          <w:u w:val="single"/>
        </w:rPr>
        <w:t>:</w:t>
      </w:r>
    </w:p>
    <w:p w:rsidR="00885B12" w:rsidRPr="00885B12" w:rsidRDefault="00885B12" w:rsidP="00885B12">
      <w:pPr>
        <w:pStyle w:val="Heading2"/>
        <w:rPr>
          <w:color w:val="auto"/>
          <w:u w:val="single"/>
        </w:rPr>
      </w:pPr>
      <w:r w:rsidRPr="00885B12">
        <w:rPr>
          <w:color w:val="auto"/>
          <w:u w:val="single"/>
        </w:rPr>
        <w:t xml:space="preserve"> </w:t>
      </w:r>
      <w:r w:rsidR="0061224E">
        <w:rPr>
          <w:noProof/>
        </w:rPr>
        <w:drawing>
          <wp:inline distT="0" distB="0" distL="0" distR="0" wp14:anchorId="00416945" wp14:editId="68703E13">
            <wp:extent cx="4397072" cy="326003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370" r="12700" b="2555"/>
                    <a:stretch/>
                  </pic:blipFill>
                  <pic:spPr bwMode="auto">
                    <a:xfrm>
                      <a:off x="0" y="0"/>
                      <a:ext cx="4394134" cy="3257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4FD" w:rsidRDefault="009314FD" w:rsidP="0061224E">
      <w:pPr>
        <w:rPr>
          <w:rFonts w:asciiTheme="majorHAnsi" w:hAnsiTheme="majorHAnsi"/>
          <w:b/>
          <w:sz w:val="26"/>
          <w:szCs w:val="26"/>
          <w:u w:val="single"/>
        </w:rPr>
      </w:pPr>
    </w:p>
    <w:p w:rsidR="009314FD" w:rsidRDefault="009314FD" w:rsidP="0061224E">
      <w:pPr>
        <w:rPr>
          <w:rFonts w:asciiTheme="majorHAnsi" w:hAnsiTheme="majorHAnsi"/>
          <w:b/>
          <w:sz w:val="26"/>
          <w:szCs w:val="26"/>
          <w:u w:val="single"/>
        </w:rPr>
      </w:pPr>
    </w:p>
    <w:p w:rsidR="009314FD" w:rsidRDefault="009314FD" w:rsidP="0061224E">
      <w:pPr>
        <w:rPr>
          <w:rFonts w:asciiTheme="majorHAnsi" w:hAnsiTheme="majorHAnsi"/>
          <w:b/>
          <w:sz w:val="26"/>
          <w:szCs w:val="26"/>
          <w:u w:val="single"/>
        </w:rPr>
      </w:pPr>
    </w:p>
    <w:p w:rsidR="009314FD" w:rsidRDefault="009314FD" w:rsidP="0061224E">
      <w:pPr>
        <w:rPr>
          <w:rFonts w:asciiTheme="majorHAnsi" w:hAnsiTheme="majorHAnsi"/>
          <w:b/>
          <w:sz w:val="26"/>
          <w:szCs w:val="26"/>
          <w:u w:val="single"/>
        </w:rPr>
      </w:pPr>
    </w:p>
    <w:p w:rsidR="009314FD" w:rsidRDefault="009314FD" w:rsidP="0061224E">
      <w:pPr>
        <w:rPr>
          <w:rFonts w:asciiTheme="majorHAnsi" w:hAnsiTheme="majorHAnsi"/>
          <w:b/>
          <w:sz w:val="26"/>
          <w:szCs w:val="26"/>
          <w:u w:val="single"/>
        </w:rPr>
      </w:pPr>
    </w:p>
    <w:p w:rsidR="009314FD" w:rsidRDefault="009314FD" w:rsidP="0061224E">
      <w:pPr>
        <w:rPr>
          <w:rFonts w:asciiTheme="majorHAnsi" w:hAnsiTheme="majorHAnsi"/>
          <w:b/>
          <w:sz w:val="26"/>
          <w:szCs w:val="26"/>
          <w:u w:val="single"/>
        </w:rPr>
      </w:pPr>
    </w:p>
    <w:p w:rsidR="009314FD" w:rsidRDefault="009314FD" w:rsidP="0061224E">
      <w:pPr>
        <w:rPr>
          <w:rFonts w:asciiTheme="majorHAnsi" w:hAnsiTheme="majorHAnsi"/>
          <w:b/>
          <w:sz w:val="26"/>
          <w:szCs w:val="26"/>
          <w:u w:val="single"/>
        </w:rPr>
      </w:pPr>
    </w:p>
    <w:p w:rsidR="009314FD" w:rsidRDefault="009314FD" w:rsidP="0061224E">
      <w:pPr>
        <w:rPr>
          <w:rFonts w:asciiTheme="majorHAnsi" w:hAnsiTheme="majorHAnsi"/>
          <w:b/>
          <w:sz w:val="26"/>
          <w:szCs w:val="26"/>
          <w:u w:val="single"/>
        </w:rPr>
      </w:pPr>
    </w:p>
    <w:p w:rsidR="00853BA2" w:rsidRPr="0061224E" w:rsidRDefault="00853BA2" w:rsidP="0061224E">
      <w:pPr>
        <w:rPr>
          <w:rFonts w:asciiTheme="majorHAnsi" w:hAnsiTheme="majorHAnsi"/>
          <w:b/>
          <w:bCs/>
          <w:sz w:val="26"/>
          <w:szCs w:val="26"/>
        </w:rPr>
      </w:pPr>
      <w:bookmarkStart w:id="0" w:name="_GoBack"/>
      <w:bookmarkEnd w:id="0"/>
      <w:r w:rsidRPr="0061224E">
        <w:rPr>
          <w:rFonts w:asciiTheme="majorHAnsi" w:hAnsiTheme="majorHAnsi"/>
          <w:b/>
          <w:sz w:val="26"/>
          <w:szCs w:val="26"/>
          <w:u w:val="single"/>
        </w:rPr>
        <w:t>Slide 8</w:t>
      </w:r>
      <w:r w:rsidR="00885B12" w:rsidRPr="0061224E">
        <w:rPr>
          <w:rFonts w:asciiTheme="majorHAnsi" w:hAnsiTheme="majorHAnsi"/>
          <w:b/>
          <w:sz w:val="26"/>
          <w:szCs w:val="26"/>
          <w:u w:val="single"/>
        </w:rPr>
        <w:t xml:space="preserve">: </w:t>
      </w:r>
    </w:p>
    <w:p w:rsidR="00885B12" w:rsidRDefault="00F53584" w:rsidP="00885B12">
      <w:pPr>
        <w:pStyle w:val="Heading2"/>
        <w:rPr>
          <w:color w:val="auto"/>
        </w:rPr>
      </w:pPr>
      <w:r>
        <w:rPr>
          <w:color w:val="auto"/>
        </w:rPr>
        <w:t xml:space="preserve">EVV </w:t>
      </w:r>
      <w:r w:rsidRPr="00F53584">
        <w:rPr>
          <w:color w:val="auto"/>
          <w:u w:val="single"/>
        </w:rPr>
        <w:t>Estimated</w:t>
      </w:r>
      <w:r>
        <w:rPr>
          <w:color w:val="auto"/>
        </w:rPr>
        <w:t xml:space="preserve"> Timeline</w:t>
      </w:r>
    </w:p>
    <w:p w:rsidR="00615C33" w:rsidRDefault="00047EB5" w:rsidP="00FC6253">
      <w:pPr>
        <w:rPr>
          <w:u w:val="single"/>
        </w:rPr>
      </w:pPr>
      <w:r>
        <w:rPr>
          <w:noProof/>
        </w:rPr>
        <w:drawing>
          <wp:inline distT="0" distB="0" distL="0" distR="0" wp14:anchorId="25917993" wp14:editId="58F1C801">
            <wp:extent cx="4436828" cy="2782956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700" t="11883" r="12549" b="4763"/>
                    <a:stretch/>
                  </pic:blipFill>
                  <pic:spPr bwMode="auto">
                    <a:xfrm>
                      <a:off x="0" y="0"/>
                      <a:ext cx="4442850" cy="2786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B12" w:rsidRPr="00885B12" w:rsidRDefault="0061224E" w:rsidP="00885B12">
      <w:pPr>
        <w:pStyle w:val="Heading2"/>
        <w:rPr>
          <w:color w:val="auto"/>
          <w:u w:val="single"/>
        </w:rPr>
      </w:pPr>
      <w:r>
        <w:rPr>
          <w:color w:val="auto"/>
          <w:u w:val="single"/>
        </w:rPr>
        <w:lastRenderedPageBreak/>
        <w:t>Slide 9</w:t>
      </w:r>
      <w:r w:rsidR="00885B12" w:rsidRPr="00885B12">
        <w:rPr>
          <w:color w:val="auto"/>
          <w:u w:val="single"/>
        </w:rPr>
        <w:t>:</w:t>
      </w:r>
    </w:p>
    <w:p w:rsidR="009314FD" w:rsidRDefault="009314FD" w:rsidP="00885B12">
      <w:pPr>
        <w:pStyle w:val="Heading2"/>
        <w:rPr>
          <w:color w:val="auto"/>
        </w:rPr>
      </w:pPr>
      <w:r>
        <w:rPr>
          <w:noProof/>
        </w:rPr>
        <w:drawing>
          <wp:inline distT="0" distB="0" distL="0" distR="0" wp14:anchorId="4E14916B" wp14:editId="762B2BC7">
            <wp:extent cx="4444779" cy="3347500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567" r="12700" b="-60"/>
                    <a:stretch/>
                  </pic:blipFill>
                  <pic:spPr bwMode="auto">
                    <a:xfrm>
                      <a:off x="0" y="0"/>
                      <a:ext cx="4441808" cy="3345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4FD" w:rsidRPr="00885B12" w:rsidRDefault="009314FD" w:rsidP="009314FD">
      <w:pPr>
        <w:pStyle w:val="Heading2"/>
        <w:rPr>
          <w:color w:val="auto"/>
          <w:u w:val="single"/>
        </w:rPr>
      </w:pPr>
      <w:r>
        <w:rPr>
          <w:color w:val="auto"/>
          <w:u w:val="single"/>
        </w:rPr>
        <w:t>Slide 10</w:t>
      </w:r>
      <w:r w:rsidRPr="00885B12">
        <w:rPr>
          <w:color w:val="auto"/>
          <w:u w:val="single"/>
        </w:rPr>
        <w:t>:</w:t>
      </w:r>
    </w:p>
    <w:p w:rsidR="009314FD" w:rsidRDefault="009314FD" w:rsidP="00885B12">
      <w:pPr>
        <w:pStyle w:val="Heading2"/>
        <w:rPr>
          <w:color w:val="auto"/>
        </w:rPr>
      </w:pPr>
      <w:r>
        <w:rPr>
          <w:color w:val="auto"/>
        </w:rPr>
        <w:t xml:space="preserve">EVV Overview – </w:t>
      </w:r>
      <w:proofErr w:type="spellStart"/>
      <w:r>
        <w:rPr>
          <w:color w:val="auto"/>
        </w:rPr>
        <w:t>MyTimesheet</w:t>
      </w:r>
      <w:proofErr w:type="spellEnd"/>
      <w:r>
        <w:rPr>
          <w:color w:val="auto"/>
        </w:rPr>
        <w:t xml:space="preserve"> </w:t>
      </w:r>
    </w:p>
    <w:p w:rsidR="009314FD" w:rsidRPr="009314FD" w:rsidRDefault="009314FD" w:rsidP="00885B12">
      <w:pPr>
        <w:pStyle w:val="Heading2"/>
        <w:rPr>
          <w:color w:val="auto"/>
          <w:u w:val="single"/>
        </w:rPr>
      </w:pPr>
      <w:r w:rsidRPr="009314FD">
        <w:rPr>
          <w:color w:val="auto"/>
          <w:u w:val="single"/>
        </w:rPr>
        <w:t>Slide 11:</w:t>
      </w:r>
    </w:p>
    <w:p w:rsidR="009314FD" w:rsidRPr="009314FD" w:rsidRDefault="009314FD" w:rsidP="009314FD">
      <w:r>
        <w:rPr>
          <w:noProof/>
        </w:rPr>
        <w:drawing>
          <wp:inline distT="0" distB="0" distL="0" distR="0" wp14:anchorId="4D8AA39F" wp14:editId="542B5B35">
            <wp:extent cx="4405022" cy="329979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968" r="12968" b="1367"/>
                    <a:stretch/>
                  </pic:blipFill>
                  <pic:spPr bwMode="auto">
                    <a:xfrm>
                      <a:off x="0" y="0"/>
                      <a:ext cx="4402078" cy="329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4FD" w:rsidRPr="009314FD" w:rsidRDefault="009314FD" w:rsidP="009314FD">
      <w:pPr>
        <w:pStyle w:val="Heading2"/>
        <w:rPr>
          <w:color w:val="auto"/>
          <w:u w:val="single"/>
        </w:rPr>
      </w:pPr>
      <w:r>
        <w:rPr>
          <w:color w:val="auto"/>
          <w:u w:val="single"/>
        </w:rPr>
        <w:lastRenderedPageBreak/>
        <w:t>Slide 12</w:t>
      </w:r>
      <w:r w:rsidRPr="009314FD">
        <w:rPr>
          <w:color w:val="auto"/>
          <w:u w:val="single"/>
        </w:rPr>
        <w:t>:</w:t>
      </w:r>
    </w:p>
    <w:p w:rsidR="009314FD" w:rsidRDefault="009314FD" w:rsidP="00885B12">
      <w:pPr>
        <w:pStyle w:val="Heading2"/>
        <w:rPr>
          <w:color w:val="auto"/>
        </w:rPr>
      </w:pPr>
      <w:r>
        <w:rPr>
          <w:noProof/>
        </w:rPr>
        <w:drawing>
          <wp:inline distT="0" distB="0" distL="0" distR="0" wp14:anchorId="2E374BB0" wp14:editId="463588BB">
            <wp:extent cx="4357315" cy="3395207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369" r="13369" b="-1486"/>
                    <a:stretch/>
                  </pic:blipFill>
                  <pic:spPr bwMode="auto">
                    <a:xfrm>
                      <a:off x="0" y="0"/>
                      <a:ext cx="4354402" cy="3392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4FD" w:rsidRPr="009314FD" w:rsidRDefault="009314FD" w:rsidP="009314FD">
      <w:pPr>
        <w:pStyle w:val="Heading2"/>
        <w:rPr>
          <w:color w:val="auto"/>
          <w:u w:val="single"/>
        </w:rPr>
      </w:pPr>
      <w:r>
        <w:rPr>
          <w:color w:val="auto"/>
          <w:u w:val="single"/>
        </w:rPr>
        <w:t>Slide 13</w:t>
      </w:r>
      <w:r w:rsidRPr="009314FD">
        <w:rPr>
          <w:color w:val="auto"/>
          <w:u w:val="single"/>
        </w:rPr>
        <w:t>:</w:t>
      </w:r>
    </w:p>
    <w:p w:rsidR="009314FD" w:rsidRDefault="009314FD" w:rsidP="009314FD">
      <w:r>
        <w:rPr>
          <w:noProof/>
        </w:rPr>
        <w:drawing>
          <wp:inline distT="0" distB="0" distL="0" distR="0" wp14:anchorId="7D251354" wp14:editId="0E5D34F7">
            <wp:extent cx="4389120" cy="3347499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102" r="13101" b="-60"/>
                    <a:stretch/>
                  </pic:blipFill>
                  <pic:spPr bwMode="auto">
                    <a:xfrm>
                      <a:off x="0" y="0"/>
                      <a:ext cx="4386186" cy="3345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4FD" w:rsidRDefault="009314FD" w:rsidP="009314FD"/>
    <w:p w:rsidR="009314FD" w:rsidRDefault="009314FD" w:rsidP="009314FD"/>
    <w:p w:rsidR="009314FD" w:rsidRDefault="009314FD" w:rsidP="009314FD">
      <w:pPr>
        <w:pStyle w:val="Heading2"/>
        <w:rPr>
          <w:color w:val="auto"/>
          <w:u w:val="single"/>
        </w:rPr>
      </w:pPr>
      <w:r>
        <w:rPr>
          <w:color w:val="auto"/>
          <w:u w:val="single"/>
        </w:rPr>
        <w:lastRenderedPageBreak/>
        <w:t>Slide 14</w:t>
      </w:r>
      <w:r w:rsidRPr="009314FD">
        <w:rPr>
          <w:color w:val="auto"/>
          <w:u w:val="single"/>
        </w:rPr>
        <w:t>:</w:t>
      </w:r>
    </w:p>
    <w:p w:rsidR="009314FD" w:rsidRDefault="009314FD" w:rsidP="009314FD">
      <w:r>
        <w:rPr>
          <w:noProof/>
        </w:rPr>
        <w:drawing>
          <wp:inline distT="0" distB="0" distL="0" distR="0" wp14:anchorId="1418AC58" wp14:editId="3E62BA02">
            <wp:extent cx="4405022" cy="344291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968" r="12968" b="-2912"/>
                    <a:stretch/>
                  </pic:blipFill>
                  <pic:spPr bwMode="auto">
                    <a:xfrm>
                      <a:off x="0" y="0"/>
                      <a:ext cx="4402078" cy="3440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4FD" w:rsidRDefault="009314FD" w:rsidP="009314FD">
      <w:pPr>
        <w:pStyle w:val="Heading2"/>
        <w:rPr>
          <w:color w:val="auto"/>
          <w:u w:val="single"/>
        </w:rPr>
      </w:pPr>
      <w:r>
        <w:rPr>
          <w:color w:val="auto"/>
          <w:u w:val="single"/>
        </w:rPr>
        <w:t>Slide 15</w:t>
      </w:r>
      <w:r w:rsidRPr="009314FD">
        <w:rPr>
          <w:color w:val="auto"/>
          <w:u w:val="single"/>
        </w:rPr>
        <w:t>:</w:t>
      </w:r>
    </w:p>
    <w:p w:rsidR="009314FD" w:rsidRDefault="009314FD" w:rsidP="009314FD">
      <w:r>
        <w:rPr>
          <w:noProof/>
        </w:rPr>
        <w:drawing>
          <wp:inline distT="0" distB="0" distL="0" distR="0" wp14:anchorId="469FC02D" wp14:editId="6332155E">
            <wp:extent cx="4389120" cy="3347499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235" r="12968" b="-60"/>
                    <a:stretch/>
                  </pic:blipFill>
                  <pic:spPr bwMode="auto">
                    <a:xfrm>
                      <a:off x="0" y="0"/>
                      <a:ext cx="4386186" cy="3345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4FD" w:rsidRDefault="009314FD" w:rsidP="009314FD"/>
    <w:p w:rsidR="009314FD" w:rsidRDefault="009314FD" w:rsidP="009314FD"/>
    <w:p w:rsidR="009314FD" w:rsidRDefault="009314FD" w:rsidP="009314FD">
      <w:pPr>
        <w:pStyle w:val="Heading2"/>
        <w:rPr>
          <w:color w:val="auto"/>
          <w:u w:val="single"/>
        </w:rPr>
      </w:pPr>
      <w:r>
        <w:rPr>
          <w:color w:val="auto"/>
          <w:u w:val="single"/>
        </w:rPr>
        <w:lastRenderedPageBreak/>
        <w:t>Slide 16</w:t>
      </w:r>
      <w:r w:rsidRPr="009314FD">
        <w:rPr>
          <w:color w:val="auto"/>
          <w:u w:val="single"/>
        </w:rPr>
        <w:t>:</w:t>
      </w:r>
    </w:p>
    <w:p w:rsidR="009314FD" w:rsidRDefault="009314FD" w:rsidP="009314FD">
      <w:pPr>
        <w:pStyle w:val="Heading2"/>
        <w:rPr>
          <w:color w:val="auto"/>
        </w:rPr>
      </w:pPr>
      <w:r>
        <w:rPr>
          <w:color w:val="auto"/>
        </w:rPr>
        <w:t>EVV Overview –</w:t>
      </w:r>
      <w:r>
        <w:rPr>
          <w:color w:val="auto"/>
        </w:rPr>
        <w:t xml:space="preserve"> Reporting</w:t>
      </w:r>
    </w:p>
    <w:p w:rsidR="009314FD" w:rsidRDefault="009314FD" w:rsidP="009314FD"/>
    <w:p w:rsidR="009314FD" w:rsidRPr="009314FD" w:rsidRDefault="009314FD" w:rsidP="009314FD">
      <w:pPr>
        <w:pStyle w:val="Heading2"/>
        <w:rPr>
          <w:color w:val="auto"/>
          <w:u w:val="single"/>
        </w:rPr>
      </w:pPr>
      <w:r>
        <w:rPr>
          <w:color w:val="auto"/>
          <w:u w:val="single"/>
        </w:rPr>
        <w:lastRenderedPageBreak/>
        <w:t>Slide 17</w:t>
      </w:r>
      <w:r w:rsidRPr="009314FD">
        <w:rPr>
          <w:color w:val="auto"/>
          <w:u w:val="single"/>
        </w:rPr>
        <w:t>:</w:t>
      </w:r>
    </w:p>
    <w:p w:rsidR="009314FD" w:rsidRDefault="009314FD" w:rsidP="009314FD">
      <w:pPr>
        <w:pStyle w:val="Heading2"/>
        <w:rPr>
          <w:color w:val="auto"/>
        </w:rPr>
      </w:pPr>
      <w:r>
        <w:rPr>
          <w:noProof/>
        </w:rPr>
        <w:drawing>
          <wp:inline distT="0" distB="0" distL="0" distR="0" wp14:anchorId="45E2E7F6" wp14:editId="0954FF10">
            <wp:extent cx="4420925" cy="339520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700" r="12968" b="-1486"/>
                    <a:stretch/>
                  </pic:blipFill>
                  <pic:spPr bwMode="auto">
                    <a:xfrm>
                      <a:off x="0" y="0"/>
                      <a:ext cx="4417970" cy="3392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</w:t>
      </w:r>
    </w:p>
    <w:p w:rsidR="009314FD" w:rsidRPr="009314FD" w:rsidRDefault="009314FD" w:rsidP="009314FD">
      <w:pPr>
        <w:pStyle w:val="Heading2"/>
        <w:rPr>
          <w:color w:val="auto"/>
          <w:u w:val="single"/>
        </w:rPr>
      </w:pPr>
      <w:r>
        <w:rPr>
          <w:color w:val="auto"/>
          <w:u w:val="single"/>
        </w:rPr>
        <w:t>Slide 18</w:t>
      </w:r>
      <w:r w:rsidRPr="009314FD">
        <w:rPr>
          <w:color w:val="auto"/>
          <w:u w:val="single"/>
        </w:rPr>
        <w:t>:</w:t>
      </w:r>
    </w:p>
    <w:p w:rsidR="009314FD" w:rsidRDefault="009314FD" w:rsidP="009314FD">
      <w:r>
        <w:rPr>
          <w:noProof/>
        </w:rPr>
        <w:drawing>
          <wp:inline distT="0" distB="0" distL="0" distR="0" wp14:anchorId="67FD9256" wp14:editId="4620C85F">
            <wp:extent cx="4373217" cy="3387256"/>
            <wp:effectExtent l="0" t="0" r="889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3101" r="13369" b="-1247"/>
                    <a:stretch/>
                  </pic:blipFill>
                  <pic:spPr bwMode="auto">
                    <a:xfrm>
                      <a:off x="0" y="0"/>
                      <a:ext cx="4370294" cy="3384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4FD" w:rsidRDefault="009314FD" w:rsidP="009314FD"/>
    <w:p w:rsidR="009314FD" w:rsidRDefault="009314FD" w:rsidP="009314FD"/>
    <w:p w:rsidR="009314FD" w:rsidRPr="009314FD" w:rsidRDefault="009314FD" w:rsidP="009314FD">
      <w:pPr>
        <w:pStyle w:val="Heading2"/>
        <w:rPr>
          <w:color w:val="auto"/>
          <w:u w:val="single"/>
        </w:rPr>
      </w:pPr>
      <w:r>
        <w:rPr>
          <w:color w:val="auto"/>
          <w:u w:val="single"/>
        </w:rPr>
        <w:lastRenderedPageBreak/>
        <w:t>Slide 19</w:t>
      </w:r>
      <w:r w:rsidRPr="009314FD">
        <w:rPr>
          <w:color w:val="auto"/>
          <w:u w:val="single"/>
        </w:rPr>
        <w:t>:</w:t>
      </w:r>
    </w:p>
    <w:p w:rsidR="009314FD" w:rsidRPr="009314FD" w:rsidRDefault="009314FD" w:rsidP="009314FD">
      <w:r>
        <w:rPr>
          <w:noProof/>
        </w:rPr>
        <w:drawing>
          <wp:inline distT="0" distB="0" distL="0" distR="0" wp14:anchorId="4AD0C3E8" wp14:editId="38FDD85D">
            <wp:extent cx="4373218" cy="3347499"/>
            <wp:effectExtent l="0" t="0" r="889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3235" r="13235" b="-60"/>
                    <a:stretch/>
                  </pic:blipFill>
                  <pic:spPr bwMode="auto">
                    <a:xfrm>
                      <a:off x="0" y="0"/>
                      <a:ext cx="4370294" cy="3345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4FD" w:rsidRPr="009314FD" w:rsidRDefault="009314FD" w:rsidP="009314FD">
      <w:pPr>
        <w:pStyle w:val="Heading2"/>
        <w:rPr>
          <w:color w:val="auto"/>
          <w:u w:val="single"/>
        </w:rPr>
      </w:pPr>
      <w:r>
        <w:rPr>
          <w:color w:val="auto"/>
          <w:u w:val="single"/>
        </w:rPr>
        <w:t>Slide 20</w:t>
      </w:r>
      <w:r w:rsidRPr="009314FD">
        <w:rPr>
          <w:color w:val="auto"/>
          <w:u w:val="single"/>
        </w:rPr>
        <w:t>:</w:t>
      </w:r>
    </w:p>
    <w:p w:rsidR="009314FD" w:rsidRPr="009314FD" w:rsidRDefault="009314FD" w:rsidP="009314FD">
      <w:r>
        <w:rPr>
          <w:noProof/>
        </w:rPr>
        <w:drawing>
          <wp:inline distT="0" distB="0" distL="0" distR="0" wp14:anchorId="6EBD30AA" wp14:editId="2037A117">
            <wp:extent cx="4349364" cy="345881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3369" r="13502" b="-3387"/>
                    <a:stretch/>
                  </pic:blipFill>
                  <pic:spPr bwMode="auto">
                    <a:xfrm>
                      <a:off x="0" y="0"/>
                      <a:ext cx="4346457" cy="3456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4FD" w:rsidRDefault="009314FD" w:rsidP="009314FD"/>
    <w:p w:rsidR="009314FD" w:rsidRDefault="009314FD" w:rsidP="009314FD"/>
    <w:p w:rsidR="009314FD" w:rsidRPr="009314FD" w:rsidRDefault="009314FD" w:rsidP="009314FD">
      <w:pPr>
        <w:pStyle w:val="Heading2"/>
        <w:rPr>
          <w:color w:val="auto"/>
          <w:u w:val="single"/>
        </w:rPr>
      </w:pPr>
      <w:r>
        <w:rPr>
          <w:color w:val="auto"/>
          <w:u w:val="single"/>
        </w:rPr>
        <w:lastRenderedPageBreak/>
        <w:t>Slide 21</w:t>
      </w:r>
      <w:r w:rsidRPr="009314FD">
        <w:rPr>
          <w:color w:val="auto"/>
          <w:u w:val="single"/>
        </w:rPr>
        <w:t>:</w:t>
      </w:r>
    </w:p>
    <w:p w:rsidR="009314FD" w:rsidRPr="009314FD" w:rsidRDefault="00E961FD" w:rsidP="009314FD">
      <w:r>
        <w:rPr>
          <w:noProof/>
        </w:rPr>
        <w:drawing>
          <wp:inline distT="0" distB="0" distL="0" distR="0" wp14:anchorId="32D8EC80" wp14:editId="6DD49B41">
            <wp:extent cx="4325510" cy="342701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3235" r="14038" b="-2436"/>
                    <a:stretch/>
                  </pic:blipFill>
                  <pic:spPr bwMode="auto">
                    <a:xfrm>
                      <a:off x="0" y="0"/>
                      <a:ext cx="4322618" cy="3424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599" w:rsidRDefault="00067599" w:rsidP="00067599"/>
    <w:sectPr w:rsidR="000675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E64D5"/>
    <w:multiLevelType w:val="hybridMultilevel"/>
    <w:tmpl w:val="0CF6B5A8"/>
    <w:lvl w:ilvl="0" w:tplc="6C6006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8"/>
        <w:szCs w:val="28"/>
      </w:rPr>
    </w:lvl>
    <w:lvl w:ilvl="1" w:tplc="E8B629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0225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E038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C8ED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705A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10F8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3C52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689D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32D030C"/>
    <w:multiLevelType w:val="hybridMultilevel"/>
    <w:tmpl w:val="3B98B334"/>
    <w:lvl w:ilvl="0" w:tplc="2F460E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457478"/>
    <w:multiLevelType w:val="hybridMultilevel"/>
    <w:tmpl w:val="1DA0F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A806B8"/>
    <w:multiLevelType w:val="hybridMultilevel"/>
    <w:tmpl w:val="358E0BD6"/>
    <w:lvl w:ilvl="0" w:tplc="2F460E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8"/>
        <w:szCs w:val="28"/>
      </w:rPr>
    </w:lvl>
    <w:lvl w:ilvl="1" w:tplc="5E2C54B0">
      <w:start w:val="483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sz w:val="24"/>
        <w:szCs w:val="24"/>
      </w:rPr>
    </w:lvl>
    <w:lvl w:ilvl="2" w:tplc="E16EFD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8679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E087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44BB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E21C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2CD2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3CD2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87042F5"/>
    <w:multiLevelType w:val="hybridMultilevel"/>
    <w:tmpl w:val="DFFC8320"/>
    <w:lvl w:ilvl="0" w:tplc="D68AFB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A693B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AC3D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B694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7CBB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56C8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AC65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6EB9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1A77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9CC59DC"/>
    <w:multiLevelType w:val="hybridMultilevel"/>
    <w:tmpl w:val="0F4AC81C"/>
    <w:lvl w:ilvl="0" w:tplc="152449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8"/>
        <w:szCs w:val="28"/>
      </w:rPr>
    </w:lvl>
    <w:lvl w:ilvl="1" w:tplc="943436E6">
      <w:start w:val="114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sz w:val="24"/>
        <w:szCs w:val="24"/>
      </w:rPr>
    </w:lvl>
    <w:lvl w:ilvl="2" w:tplc="D53637E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1AB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72C4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8418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8299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907A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965E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EFD1249"/>
    <w:multiLevelType w:val="hybridMultilevel"/>
    <w:tmpl w:val="70642280"/>
    <w:lvl w:ilvl="0" w:tplc="E10C11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A61F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8A67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EAAC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F0E0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7A28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7A6A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184D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DED1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2DD32B3"/>
    <w:multiLevelType w:val="hybridMultilevel"/>
    <w:tmpl w:val="7A7EB0C6"/>
    <w:lvl w:ilvl="0" w:tplc="0F36ED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5853F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829E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78A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36CD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A40F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6495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FC67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92C4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C516CFA"/>
    <w:multiLevelType w:val="hybridMultilevel"/>
    <w:tmpl w:val="2174D390"/>
    <w:lvl w:ilvl="0" w:tplc="FB98B1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CC26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6CFA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748B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689B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8E6E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0C17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141E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7840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2702DB3"/>
    <w:multiLevelType w:val="hybridMultilevel"/>
    <w:tmpl w:val="B0123902"/>
    <w:lvl w:ilvl="0" w:tplc="8668C2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CA47C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2A82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00C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FEC6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CA75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BA6A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300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F6DA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3697049"/>
    <w:multiLevelType w:val="hybridMultilevel"/>
    <w:tmpl w:val="CBB6B7F4"/>
    <w:lvl w:ilvl="0" w:tplc="B74ED2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DE5BD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5AF3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1093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0429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70EF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B055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3E38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EE5A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5DB508A"/>
    <w:multiLevelType w:val="hybridMultilevel"/>
    <w:tmpl w:val="1F16E700"/>
    <w:lvl w:ilvl="0" w:tplc="794490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1ABFE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10E7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DCC5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E8E6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7CB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9E56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76A3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A280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0B47F66"/>
    <w:multiLevelType w:val="hybridMultilevel"/>
    <w:tmpl w:val="3B92AC3E"/>
    <w:lvl w:ilvl="0" w:tplc="1C38D6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3AA15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sz w:val="28"/>
        <w:szCs w:val="28"/>
      </w:rPr>
    </w:lvl>
    <w:lvl w:ilvl="2" w:tplc="53C403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8C2D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3CF6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7071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2E87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187D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BCAE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49D0CAC"/>
    <w:multiLevelType w:val="hybridMultilevel"/>
    <w:tmpl w:val="94D41D14"/>
    <w:lvl w:ilvl="0" w:tplc="F93E7B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D4AD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7276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AC53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7283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2ED4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AED1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0C83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AA23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5367451"/>
    <w:multiLevelType w:val="hybridMultilevel"/>
    <w:tmpl w:val="22C08282"/>
    <w:lvl w:ilvl="0" w:tplc="3C8E5C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D2D31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8652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C0A5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0EB8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0E28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C4AF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7A39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1898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5A036F04"/>
    <w:multiLevelType w:val="hybridMultilevel"/>
    <w:tmpl w:val="7EC4AE84"/>
    <w:lvl w:ilvl="0" w:tplc="6E38DB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8"/>
        <w:szCs w:val="28"/>
      </w:rPr>
    </w:lvl>
    <w:lvl w:ilvl="1" w:tplc="1EAC05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8453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FCE0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5C0A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7A3F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0821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8C30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7ADC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5BDE2BC5"/>
    <w:multiLevelType w:val="hybridMultilevel"/>
    <w:tmpl w:val="D324B6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7B231A"/>
    <w:multiLevelType w:val="hybridMultilevel"/>
    <w:tmpl w:val="8A64C248"/>
    <w:lvl w:ilvl="0" w:tplc="8006C614">
      <w:start w:val="1"/>
      <w:numFmt w:val="decimal"/>
      <w:lvlText w:val="%1."/>
      <w:lvlJc w:val="left"/>
      <w:pPr>
        <w:ind w:left="1080" w:hanging="360"/>
      </w:pPr>
      <w:rPr>
        <w:rFonts w:hint="default"/>
        <w:sz w:val="2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255A11"/>
    <w:multiLevelType w:val="hybridMultilevel"/>
    <w:tmpl w:val="ED72D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D9294E"/>
    <w:multiLevelType w:val="hybridMultilevel"/>
    <w:tmpl w:val="8E5CF66E"/>
    <w:lvl w:ilvl="0" w:tplc="2F460E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4E1109"/>
    <w:multiLevelType w:val="hybridMultilevel"/>
    <w:tmpl w:val="5C5A59B2"/>
    <w:lvl w:ilvl="0" w:tplc="60FC02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C87F0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C2F4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5A8D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2465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42ED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803E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6869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C429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774D1793"/>
    <w:multiLevelType w:val="hybridMultilevel"/>
    <w:tmpl w:val="7CDC95DE"/>
    <w:lvl w:ilvl="0" w:tplc="C91A8D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8"/>
        <w:szCs w:val="28"/>
      </w:rPr>
    </w:lvl>
    <w:lvl w:ilvl="1" w:tplc="385698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ACED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22D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B022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7A5F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7841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523C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D2B5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77A30484"/>
    <w:multiLevelType w:val="hybridMultilevel"/>
    <w:tmpl w:val="E550D450"/>
    <w:lvl w:ilvl="0" w:tplc="30827A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E4D3B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sz w:val="28"/>
        <w:szCs w:val="28"/>
      </w:rPr>
    </w:lvl>
    <w:lvl w:ilvl="2" w:tplc="0C402D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CA0B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082C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0CDC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9221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44BE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ECBB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7C23144C"/>
    <w:multiLevelType w:val="hybridMultilevel"/>
    <w:tmpl w:val="9322EEB0"/>
    <w:lvl w:ilvl="0" w:tplc="2F460E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5729BF"/>
    <w:multiLevelType w:val="hybridMultilevel"/>
    <w:tmpl w:val="D5AA6B4E"/>
    <w:lvl w:ilvl="0" w:tplc="161C88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8"/>
        <w:szCs w:val="28"/>
      </w:rPr>
    </w:lvl>
    <w:lvl w:ilvl="1" w:tplc="D56051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46CA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E063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A66A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84C8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D65C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AA6D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12E2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17"/>
  </w:num>
  <w:num w:numId="3">
    <w:abstractNumId w:val="18"/>
  </w:num>
  <w:num w:numId="4">
    <w:abstractNumId w:val="16"/>
  </w:num>
  <w:num w:numId="5">
    <w:abstractNumId w:val="21"/>
  </w:num>
  <w:num w:numId="6">
    <w:abstractNumId w:val="15"/>
  </w:num>
  <w:num w:numId="7">
    <w:abstractNumId w:val="0"/>
  </w:num>
  <w:num w:numId="8">
    <w:abstractNumId w:val="2"/>
  </w:num>
  <w:num w:numId="9">
    <w:abstractNumId w:val="3"/>
  </w:num>
  <w:num w:numId="10">
    <w:abstractNumId w:val="19"/>
  </w:num>
  <w:num w:numId="11">
    <w:abstractNumId w:val="1"/>
  </w:num>
  <w:num w:numId="12">
    <w:abstractNumId w:val="6"/>
  </w:num>
  <w:num w:numId="13">
    <w:abstractNumId w:val="23"/>
  </w:num>
  <w:num w:numId="14">
    <w:abstractNumId w:val="24"/>
  </w:num>
  <w:num w:numId="15">
    <w:abstractNumId w:val="22"/>
  </w:num>
  <w:num w:numId="16">
    <w:abstractNumId w:val="12"/>
  </w:num>
  <w:num w:numId="17">
    <w:abstractNumId w:val="4"/>
  </w:num>
  <w:num w:numId="18">
    <w:abstractNumId w:val="20"/>
  </w:num>
  <w:num w:numId="19">
    <w:abstractNumId w:val="14"/>
  </w:num>
  <w:num w:numId="20">
    <w:abstractNumId w:val="13"/>
  </w:num>
  <w:num w:numId="21">
    <w:abstractNumId w:val="10"/>
  </w:num>
  <w:num w:numId="22">
    <w:abstractNumId w:val="11"/>
  </w:num>
  <w:num w:numId="23">
    <w:abstractNumId w:val="8"/>
  </w:num>
  <w:num w:numId="24">
    <w:abstractNumId w:val="7"/>
  </w:num>
  <w:num w:numId="25">
    <w:abstractNumId w:val="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B12"/>
    <w:rsid w:val="00026598"/>
    <w:rsid w:val="00047EB5"/>
    <w:rsid w:val="00067599"/>
    <w:rsid w:val="000A29F0"/>
    <w:rsid w:val="000C138E"/>
    <w:rsid w:val="000D7894"/>
    <w:rsid w:val="00124C38"/>
    <w:rsid w:val="0014076D"/>
    <w:rsid w:val="0017576A"/>
    <w:rsid w:val="00212364"/>
    <w:rsid w:val="00240595"/>
    <w:rsid w:val="00336DF1"/>
    <w:rsid w:val="00346C38"/>
    <w:rsid w:val="003866A1"/>
    <w:rsid w:val="003F2032"/>
    <w:rsid w:val="003F3832"/>
    <w:rsid w:val="00431048"/>
    <w:rsid w:val="004C55EA"/>
    <w:rsid w:val="005A5B73"/>
    <w:rsid w:val="005E6AFA"/>
    <w:rsid w:val="005F4349"/>
    <w:rsid w:val="0061224E"/>
    <w:rsid w:val="00615C33"/>
    <w:rsid w:val="00665C4F"/>
    <w:rsid w:val="006D6D8B"/>
    <w:rsid w:val="007709DB"/>
    <w:rsid w:val="00803044"/>
    <w:rsid w:val="00804B0B"/>
    <w:rsid w:val="00813C3E"/>
    <w:rsid w:val="00853BA2"/>
    <w:rsid w:val="00885B12"/>
    <w:rsid w:val="009301D8"/>
    <w:rsid w:val="009314FD"/>
    <w:rsid w:val="009322C7"/>
    <w:rsid w:val="009A5865"/>
    <w:rsid w:val="009C382F"/>
    <w:rsid w:val="009D3DA8"/>
    <w:rsid w:val="00A01857"/>
    <w:rsid w:val="00AC5C5F"/>
    <w:rsid w:val="00AE17C9"/>
    <w:rsid w:val="00C07F37"/>
    <w:rsid w:val="00C3581F"/>
    <w:rsid w:val="00D00E6A"/>
    <w:rsid w:val="00D219B6"/>
    <w:rsid w:val="00DB15BC"/>
    <w:rsid w:val="00DB5F8B"/>
    <w:rsid w:val="00DC3E29"/>
    <w:rsid w:val="00E01C41"/>
    <w:rsid w:val="00E10085"/>
    <w:rsid w:val="00E4052F"/>
    <w:rsid w:val="00E961FD"/>
    <w:rsid w:val="00EA34A5"/>
    <w:rsid w:val="00EB013E"/>
    <w:rsid w:val="00ED1C85"/>
    <w:rsid w:val="00EF11D8"/>
    <w:rsid w:val="00F44E11"/>
    <w:rsid w:val="00F53584"/>
    <w:rsid w:val="00F721E6"/>
    <w:rsid w:val="00FC6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224E"/>
  </w:style>
  <w:style w:type="paragraph" w:styleId="Heading1">
    <w:name w:val="heading 1"/>
    <w:basedOn w:val="Normal"/>
    <w:next w:val="Normal"/>
    <w:link w:val="Heading1Char"/>
    <w:uiPriority w:val="9"/>
    <w:qFormat/>
    <w:rsid w:val="00885B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5B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85B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85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85B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85B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85B1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885B12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885B1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85B1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5B1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85B1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5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B1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85B1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6759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224E"/>
  </w:style>
  <w:style w:type="paragraph" w:styleId="Heading1">
    <w:name w:val="heading 1"/>
    <w:basedOn w:val="Normal"/>
    <w:next w:val="Normal"/>
    <w:link w:val="Heading1Char"/>
    <w:uiPriority w:val="9"/>
    <w:qFormat/>
    <w:rsid w:val="00885B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5B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85B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85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85B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85B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85B1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885B12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885B1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85B1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5B1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85B1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5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B1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85B1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675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3895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30365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519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10500">
          <w:marLeft w:val="1166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4124">
          <w:marLeft w:val="1166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8936">
          <w:marLeft w:val="1166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90212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91693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296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3587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217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836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5749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0644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69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0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562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396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3056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522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0864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207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50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8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859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05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327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6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57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4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9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78288">
          <w:marLeft w:val="446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81181">
          <w:marLeft w:val="108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1839">
          <w:marLeft w:val="108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68285">
          <w:marLeft w:val="108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91289">
          <w:marLeft w:val="108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1048">
          <w:marLeft w:val="108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4699">
          <w:marLeft w:val="446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53359">
          <w:marLeft w:val="108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36454">
          <w:marLeft w:val="108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24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180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46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586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31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23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70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7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463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3222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83729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6390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29142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3210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8200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0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1651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91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9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68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9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8344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9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074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79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334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2434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1975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0417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78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70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14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15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073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156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895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88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568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323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50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343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38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35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6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03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765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5492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378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202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99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37323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41316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2288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111789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7834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8204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4018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44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929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65760">
          <w:marLeft w:val="116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5701">
          <w:marLeft w:val="116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770">
          <w:marLeft w:val="116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3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272037">
          <w:marLeft w:val="446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8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2035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6655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8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43940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76603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6076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671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02944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9570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444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8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94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838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09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96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47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152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6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642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326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889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6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2668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83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15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130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23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04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7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39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1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9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761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65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6754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2598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14304">
          <w:marLeft w:val="1166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4619">
          <w:marLeft w:val="1166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63864">
          <w:marLeft w:val="1166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72899">
          <w:marLeft w:val="1166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7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338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28775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6534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70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3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52299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5282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60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45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65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05130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4226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13467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89592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6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57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6688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82249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20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97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mass.gov/info-details/electronic-visit-verification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EHS</dc:creator>
  <cp:lastModifiedBy>EHS</cp:lastModifiedBy>
  <cp:revision>5</cp:revision>
  <dcterms:created xsi:type="dcterms:W3CDTF">2019-07-18T18:15:00Z</dcterms:created>
  <dcterms:modified xsi:type="dcterms:W3CDTF">2019-07-18T18:32:00Z</dcterms:modified>
</cp:coreProperties>
</file>