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D5" w:rsidRDefault="00856BD5" w:rsidP="00856BD5">
      <w:pPr>
        <w:pStyle w:val="BodyText2"/>
        <w:rPr>
          <w:color w:val="000000"/>
        </w:rPr>
      </w:pPr>
      <w:r w:rsidRPr="00856BD5">
        <w:rPr>
          <w:color w:val="000000"/>
        </w:rPr>
        <w:t>REFERENCE LIST</w:t>
      </w:r>
      <w:r>
        <w:rPr>
          <w:color w:val="000000"/>
        </w:rPr>
        <w:t xml:space="preserve"> FOR</w:t>
      </w:r>
      <w:r w:rsidRPr="00856BD5">
        <w:rPr>
          <w:color w:val="000000"/>
        </w:rPr>
        <w:br/>
        <w:t xml:space="preserve">LSP LICENSING EXAMINATION </w:t>
      </w:r>
    </w:p>
    <w:p w:rsidR="00856BD5" w:rsidRPr="00856BD5" w:rsidRDefault="00856BD5" w:rsidP="00856BD5">
      <w:pPr>
        <w:pStyle w:val="BodyText2"/>
        <w:rPr>
          <w:color w:val="000000"/>
        </w:rPr>
      </w:pPr>
      <w:r>
        <w:rPr>
          <w:noProof/>
          <w:sz w:val="20"/>
        </w:rPr>
        <w:pict>
          <v:line id="_x0000_s1026" style="position:absolute;left:0;text-align:left;z-index:251657728" from="-1.05pt,35.2pt" to="484.75pt,35.2pt" o:allowincell="f"/>
        </w:pict>
      </w:r>
    </w:p>
    <w:p w:rsidR="00856BD5" w:rsidRDefault="00856BD5">
      <w:pPr>
        <w:pStyle w:val="NormalWeb"/>
        <w:jc w:val="center"/>
        <w:rPr>
          <w:b/>
        </w:rPr>
      </w:pPr>
    </w:p>
    <w:p w:rsidR="00856BD5" w:rsidRDefault="00856BD5" w:rsidP="007B37DB">
      <w:pPr>
        <w:pStyle w:val="NormalWeb"/>
        <w:jc w:val="both"/>
        <w:rPr>
          <w:bCs/>
        </w:rPr>
      </w:pPr>
      <w:r>
        <w:rPr>
          <w:bCs/>
        </w:rPr>
        <w:t xml:space="preserve">What should approved candidates study to best prepare for the LSP exam?  </w:t>
      </w:r>
    </w:p>
    <w:p w:rsidR="00856BD5" w:rsidRDefault="00856BD5" w:rsidP="007B37DB">
      <w:pPr>
        <w:pStyle w:val="NormalWeb"/>
        <w:jc w:val="both"/>
        <w:rPr>
          <w:bCs/>
        </w:rPr>
      </w:pPr>
      <w:r>
        <w:rPr>
          <w:bCs/>
        </w:rPr>
        <w:t xml:space="preserve">Unquestionably, providing competent professional services as an LSP requires knowledge of and familiarity with a wide range of laws, regulations, technical and regulatory guidance documents, as well as scientific principles and concepts from the fields of chemistry, geology, hydrogeology, toxicology, statistics, and others.  LSPs also need to understand current field and laboratory assessment and analytical procedures, risk assessment methodologies, and remediation techniques.  MassDEP maintains a compendium of 21E-related laws, regulations, policies, guidance, permit instructions, transmittal forms, and other relevant documents on its website at </w:t>
      </w:r>
      <w:hyperlink r:id="rId7" w:history="1">
        <w:r>
          <w:rPr>
            <w:rStyle w:val="Hyperlink"/>
            <w:bCs/>
          </w:rPr>
          <w:t>http://Mass.Gov/dep</w:t>
        </w:r>
      </w:hyperlink>
      <w:r>
        <w:rPr>
          <w:bCs/>
        </w:rPr>
        <w:t>.  Once licensed by the Board, LSPs are expected to be familiar with all the information about the 21E program posted on MassDEP’s website.  They are also expected to stay abreast of the standards of practice in the profession relating to environmental assessment and remediation methods and techniques.</w:t>
      </w:r>
    </w:p>
    <w:p w:rsidR="00856BD5" w:rsidRDefault="00856BD5" w:rsidP="007B37DB">
      <w:pPr>
        <w:pStyle w:val="NormalWeb"/>
        <w:jc w:val="both"/>
        <w:rPr>
          <w:bCs/>
        </w:rPr>
      </w:pPr>
      <w:r>
        <w:rPr>
          <w:bCs/>
        </w:rPr>
        <w:t xml:space="preserve">For purposes of the LSP Examination, however, the LSP Board advises candidates to focus their exam preparation time on the following: </w:t>
      </w:r>
    </w:p>
    <w:p w:rsidR="00856BD5" w:rsidRDefault="00856BD5" w:rsidP="007B37DB">
      <w:pPr>
        <w:pStyle w:val="NormalWeb"/>
        <w:numPr>
          <w:ilvl w:val="0"/>
          <w:numId w:val="4"/>
        </w:numPr>
        <w:jc w:val="both"/>
        <w:rPr>
          <w:bCs/>
        </w:rPr>
      </w:pPr>
      <w:r>
        <w:rPr>
          <w:bCs/>
        </w:rPr>
        <w:t xml:space="preserve">the limited set of statutes, regulations, and technical and regulatory FINAL and DRAFT guidance </w:t>
      </w:r>
      <w:r>
        <w:rPr>
          <w:b/>
        </w:rPr>
        <w:t>listed below</w:t>
      </w:r>
      <w:r>
        <w:rPr>
          <w:bCs/>
        </w:rPr>
        <w:t xml:space="preserve"> (all of which are available on MassDEP’s website); and </w:t>
      </w:r>
    </w:p>
    <w:p w:rsidR="00856BD5" w:rsidRDefault="00856BD5" w:rsidP="007B37DB">
      <w:pPr>
        <w:pStyle w:val="NormalWeb"/>
        <w:numPr>
          <w:ilvl w:val="0"/>
          <w:numId w:val="4"/>
        </w:numPr>
        <w:jc w:val="both"/>
        <w:rPr>
          <w:bCs/>
        </w:rPr>
      </w:pPr>
      <w:r>
        <w:rPr>
          <w:bCs/>
        </w:rPr>
        <w:t xml:space="preserve">the relevant and current scientific principles and concepts from the fields of chemistry, geology, hydrogeology, toxicology, and statistics, including those needed to understand field and laboratory assessment and analytical procedures, risk assessment methodologies, and remediation techniques.  Various published texts and sources are available to assist candidates in learning these principles and concepts. </w:t>
      </w:r>
    </w:p>
    <w:p w:rsidR="00856BD5" w:rsidRDefault="00856BD5">
      <w:pPr>
        <w:pStyle w:val="NormalWeb"/>
        <w:jc w:val="center"/>
        <w:rPr>
          <w:bCs/>
        </w:rPr>
      </w:pPr>
      <w:r>
        <w:rPr>
          <w:bCs/>
        </w:rPr>
        <w:t>*********</w:t>
      </w:r>
    </w:p>
    <w:p w:rsidR="00856BD5" w:rsidRDefault="00856BD5">
      <w:pPr>
        <w:spacing w:before="100" w:after="100"/>
      </w:pPr>
      <w:r>
        <w:rPr>
          <w:b/>
        </w:rPr>
        <w:t>Statutes</w:t>
      </w:r>
      <w:r>
        <w:t xml:space="preserve">  (</w:t>
      </w:r>
      <w:hyperlink r:id="rId8" w:history="1">
        <w:r>
          <w:rPr>
            <w:rStyle w:val="Hyperlink"/>
          </w:rPr>
          <w:t>http://www.Mass.G</w:t>
        </w:r>
        <w:r>
          <w:rPr>
            <w:rStyle w:val="Hyperlink"/>
          </w:rPr>
          <w:t>o</w:t>
        </w:r>
        <w:r>
          <w:rPr>
            <w:rStyle w:val="Hyperlink"/>
          </w:rPr>
          <w:t>v/legis/laws/mgl/gl-pt1-toc.htm</w:t>
        </w:r>
      </w:hyperlink>
      <w:r>
        <w:t>)</w:t>
      </w:r>
    </w:p>
    <w:p w:rsidR="00856BD5" w:rsidRDefault="00856BD5">
      <w:pPr>
        <w:numPr>
          <w:ilvl w:val="1"/>
          <w:numId w:val="2"/>
        </w:numPr>
        <w:spacing w:before="100" w:after="100"/>
      </w:pPr>
      <w:r>
        <w:t xml:space="preserve">Mass. General Laws, Chapter 21E </w:t>
      </w:r>
    </w:p>
    <w:p w:rsidR="00856BD5" w:rsidRDefault="00856BD5">
      <w:pPr>
        <w:numPr>
          <w:ilvl w:val="1"/>
          <w:numId w:val="2"/>
        </w:numPr>
        <w:spacing w:before="100" w:after="100"/>
      </w:pPr>
      <w:r>
        <w:t>Mass. General Laws, Chapter</w:t>
      </w:r>
      <w:r w:rsidR="001D01A1">
        <w:t xml:space="preserve"> 21A, §§ 19-19J [re: LSP Board]</w:t>
      </w:r>
      <w:r>
        <w:t xml:space="preserve"> (LSPs should be especially familiar with the provisions of § 19J.)</w:t>
      </w:r>
    </w:p>
    <w:p w:rsidR="00856BD5" w:rsidRDefault="00856BD5">
      <w:pPr>
        <w:spacing w:before="100" w:after="100"/>
      </w:pPr>
      <w:r>
        <w:rPr>
          <w:b/>
        </w:rPr>
        <w:t>Regulations</w:t>
      </w:r>
      <w:r>
        <w:t xml:space="preserve">  (</w:t>
      </w:r>
      <w:hyperlink r:id="rId9" w:history="1">
        <w:r>
          <w:rPr>
            <w:rStyle w:val="Hyperlink"/>
          </w:rPr>
          <w:t>http://www.Mass.</w:t>
        </w:r>
        <w:r>
          <w:rPr>
            <w:rStyle w:val="Hyperlink"/>
          </w:rPr>
          <w:t>G</w:t>
        </w:r>
        <w:r>
          <w:rPr>
            <w:rStyle w:val="Hyperlink"/>
          </w:rPr>
          <w:t>ov/dep</w:t>
        </w:r>
      </w:hyperlink>
      <w:r>
        <w:t>)</w:t>
      </w:r>
    </w:p>
    <w:p w:rsidR="00856BD5" w:rsidRDefault="00856BD5">
      <w:pPr>
        <w:numPr>
          <w:ilvl w:val="1"/>
          <w:numId w:val="2"/>
        </w:numPr>
        <w:spacing w:before="100" w:after="100"/>
      </w:pPr>
      <w:r>
        <w:rPr>
          <w:i/>
          <w:iCs/>
        </w:rPr>
        <w:lastRenderedPageBreak/>
        <w:t>Massachusetts Contingency Plan</w:t>
      </w:r>
      <w:r>
        <w:t xml:space="preserve"> (as amended April 25, 2014), 310 Code Mass. Regs. 40.0000 </w:t>
      </w:r>
      <w:r>
        <w:rPr>
          <w:i/>
        </w:rPr>
        <w:t>et seq.</w:t>
      </w:r>
      <w:r>
        <w:t xml:space="preserve"> </w:t>
      </w:r>
    </w:p>
    <w:p w:rsidR="00856BD5" w:rsidRDefault="00856BD5">
      <w:pPr>
        <w:numPr>
          <w:ilvl w:val="1"/>
          <w:numId w:val="2"/>
        </w:numPr>
        <w:spacing w:before="100" w:after="100"/>
      </w:pPr>
      <w:r>
        <w:t xml:space="preserve">LSP Board Regulations (as amended 4/8/05), 309 Code Mass. Regs. 1.00-9.00 </w:t>
      </w:r>
    </w:p>
    <w:p w:rsidR="00856BD5" w:rsidRDefault="00856BD5">
      <w:pPr>
        <w:numPr>
          <w:ilvl w:val="1"/>
          <w:numId w:val="2"/>
        </w:numPr>
        <w:spacing w:before="100" w:after="100"/>
      </w:pPr>
      <w:r>
        <w:t xml:space="preserve">DEP fee regulations, </w:t>
      </w:r>
      <w:r>
        <w:rPr>
          <w:i/>
          <w:iCs/>
        </w:rPr>
        <w:t>Timely Action Schedules and Fee Provisions</w:t>
      </w:r>
      <w:r>
        <w:t xml:space="preserve">, 310 Code Mass. Regs. 4.00 </w:t>
      </w:r>
      <w:r>
        <w:rPr>
          <w:i/>
        </w:rPr>
        <w:t>et seq</w:t>
      </w:r>
      <w:r>
        <w:t xml:space="preserve">. </w:t>
      </w:r>
    </w:p>
    <w:p w:rsidR="00856BD5" w:rsidRDefault="00856BD5">
      <w:pPr>
        <w:numPr>
          <w:ilvl w:val="1"/>
          <w:numId w:val="2"/>
        </w:numPr>
        <w:spacing w:before="100" w:after="100"/>
      </w:pPr>
      <w:r>
        <w:t>The following sections of the Massachusetts Wetlands Protection Regulations:       310 CMR 10.02 and 10.06(7), and the definitions of the terms contained in those sections as set forth in 310 CMR 10.04.</w:t>
      </w:r>
    </w:p>
    <w:p w:rsidR="00856BD5" w:rsidRDefault="00856BD5">
      <w:pPr>
        <w:spacing w:before="100" w:after="100"/>
        <w:rPr>
          <w:bCs/>
        </w:rPr>
      </w:pPr>
      <w:r>
        <w:rPr>
          <w:b/>
        </w:rPr>
        <w:t xml:space="preserve">Technical and Regulatory FINAL and DRAFT Guidance – Massachusetts </w:t>
      </w:r>
      <w:r>
        <w:rPr>
          <w:bCs/>
        </w:rPr>
        <w:t>(</w:t>
      </w:r>
      <w:hyperlink r:id="rId10" w:history="1">
        <w:r>
          <w:rPr>
            <w:rStyle w:val="Hyperlink"/>
            <w:bCs/>
          </w:rPr>
          <w:t>http://www.Mass.Gov/dep</w:t>
        </w:r>
      </w:hyperlink>
      <w:r>
        <w:rPr>
          <w:bCs/>
        </w:rPr>
        <w:t>)</w:t>
      </w:r>
    </w:p>
    <w:p w:rsidR="00856BD5" w:rsidRDefault="00856BD5">
      <w:pPr>
        <w:numPr>
          <w:ilvl w:val="1"/>
          <w:numId w:val="2"/>
        </w:numPr>
        <w:spacing w:before="100" w:after="100"/>
        <w:rPr>
          <w:i/>
          <w:iCs/>
        </w:rPr>
      </w:pPr>
      <w:r>
        <w:rPr>
          <w:i/>
          <w:iCs/>
          <w:szCs w:val="17"/>
        </w:rPr>
        <w:t xml:space="preserve">MCP Timelines and Fees, </w:t>
      </w:r>
      <w:r w:rsidRPr="001D01A1">
        <w:rPr>
          <w:szCs w:val="17"/>
        </w:rPr>
        <w:t>revised June 11, 2014</w:t>
      </w:r>
    </w:p>
    <w:p w:rsidR="00856BD5" w:rsidRPr="00856BD5" w:rsidRDefault="00856BD5">
      <w:pPr>
        <w:numPr>
          <w:ilvl w:val="1"/>
          <w:numId w:val="2"/>
        </w:numPr>
        <w:spacing w:before="100" w:after="100"/>
        <w:rPr>
          <w:i/>
          <w:iCs/>
        </w:rPr>
      </w:pPr>
      <w:r>
        <w:rPr>
          <w:i/>
          <w:iCs/>
          <w:szCs w:val="17"/>
        </w:rPr>
        <w:t>Master MCP Q &amp; A: 1993-2009</w:t>
      </w:r>
    </w:p>
    <w:p w:rsidR="00856BD5" w:rsidRPr="007B37DB" w:rsidRDefault="00856BD5" w:rsidP="00856BD5">
      <w:pPr>
        <w:numPr>
          <w:ilvl w:val="1"/>
          <w:numId w:val="2"/>
        </w:numPr>
        <w:spacing w:before="100" w:after="100"/>
        <w:rPr>
          <w:i/>
          <w:iCs/>
          <w:color w:val="000000"/>
        </w:rPr>
      </w:pPr>
      <w:hyperlink r:id="rId11" w:history="1">
        <w:r w:rsidRPr="007B37DB">
          <w:rPr>
            <w:rStyle w:val="Hyperlink"/>
            <w:i/>
            <w:iCs/>
            <w:color w:val="000000"/>
            <w:u w:val="none"/>
          </w:rPr>
          <w:t>New MCP Questions and Answers in support of the amendments to the Massachusetts Contingency Plan (310 CMR 40.0000) published April 25, 2014 (fully effective June 20, 2014)</w:t>
        </w:r>
      </w:hyperlink>
    </w:p>
    <w:p w:rsidR="007B37DB" w:rsidRPr="00897F8E" w:rsidRDefault="007B37DB" w:rsidP="007B37DB">
      <w:pPr>
        <w:numPr>
          <w:ilvl w:val="1"/>
          <w:numId w:val="2"/>
        </w:numPr>
        <w:spacing w:before="100" w:after="100"/>
        <w:rPr>
          <w:i/>
          <w:iCs/>
        </w:rPr>
      </w:pPr>
      <w:r w:rsidRPr="007B37DB">
        <w:rPr>
          <w:iCs/>
        </w:rPr>
        <w:t>WSC #14-150:</w:t>
      </w:r>
      <w:r w:rsidRPr="00897F8E">
        <w:rPr>
          <w:i/>
          <w:iCs/>
        </w:rPr>
        <w:t xml:space="preserve"> Greener Cleanups Guidance</w:t>
      </w:r>
      <w:r w:rsidR="001D01A1">
        <w:rPr>
          <w:i/>
          <w:iCs/>
        </w:rPr>
        <w:t>,</w:t>
      </w:r>
      <w:r w:rsidRPr="00897F8E">
        <w:rPr>
          <w:i/>
          <w:iCs/>
        </w:rPr>
        <w:t xml:space="preserve"> </w:t>
      </w:r>
      <w:r w:rsidRPr="001D01A1">
        <w:rPr>
          <w:iCs/>
        </w:rPr>
        <w:t>October 20, 2014</w:t>
      </w:r>
    </w:p>
    <w:p w:rsidR="007B37DB" w:rsidRPr="00897F8E" w:rsidRDefault="007B37DB" w:rsidP="007B37DB">
      <w:pPr>
        <w:numPr>
          <w:ilvl w:val="1"/>
          <w:numId w:val="2"/>
        </w:numPr>
        <w:spacing w:before="100" w:after="100"/>
        <w:rPr>
          <w:i/>
          <w:iCs/>
        </w:rPr>
      </w:pPr>
      <w:r w:rsidRPr="007B37DB">
        <w:rPr>
          <w:iCs/>
        </w:rPr>
        <w:t>WSC #13-500:</w:t>
      </w:r>
      <w:r w:rsidRPr="00897F8E">
        <w:rPr>
          <w:i/>
          <w:iCs/>
        </w:rPr>
        <w:t xml:space="preserve"> Similar Soils Provision Guidance</w:t>
      </w:r>
      <w:r w:rsidR="001D01A1">
        <w:rPr>
          <w:i/>
          <w:iCs/>
        </w:rPr>
        <w:t>,</w:t>
      </w:r>
      <w:r w:rsidRPr="00897F8E">
        <w:rPr>
          <w:i/>
          <w:iCs/>
        </w:rPr>
        <w:t xml:space="preserve"> </w:t>
      </w:r>
      <w:r w:rsidRPr="001D01A1">
        <w:rPr>
          <w:iCs/>
        </w:rPr>
        <w:t>September 4, 2014 (revised)</w:t>
      </w:r>
    </w:p>
    <w:p w:rsidR="007B37DB" w:rsidRPr="00897F8E" w:rsidRDefault="007B37DB" w:rsidP="007B37DB">
      <w:pPr>
        <w:numPr>
          <w:ilvl w:val="1"/>
          <w:numId w:val="2"/>
        </w:numPr>
        <w:spacing w:before="100" w:after="100"/>
        <w:rPr>
          <w:i/>
          <w:iCs/>
        </w:rPr>
      </w:pPr>
      <w:r w:rsidRPr="007B37DB">
        <w:rPr>
          <w:iCs/>
        </w:rPr>
        <w:t>WSC #11-435:</w:t>
      </w:r>
      <w:r w:rsidRPr="00897F8E">
        <w:rPr>
          <w:i/>
          <w:iCs/>
        </w:rPr>
        <w:t xml:space="preserve"> Interim Fin</w:t>
      </w:r>
      <w:r>
        <w:rPr>
          <w:i/>
          <w:iCs/>
        </w:rPr>
        <w:t xml:space="preserve">al Vapor Intrusion Guidance  </w:t>
      </w:r>
    </w:p>
    <w:p w:rsidR="00856BD5" w:rsidRPr="007B37DB" w:rsidRDefault="007B37DB" w:rsidP="007B37DB">
      <w:pPr>
        <w:numPr>
          <w:ilvl w:val="1"/>
          <w:numId w:val="2"/>
        </w:numPr>
        <w:spacing w:before="100" w:after="100"/>
        <w:rPr>
          <w:i/>
          <w:iCs/>
        </w:rPr>
      </w:pPr>
      <w:r w:rsidRPr="007B37DB">
        <w:rPr>
          <w:iCs/>
        </w:rPr>
        <w:t>WSC #10-320:</w:t>
      </w:r>
      <w:r w:rsidRPr="00897F8E">
        <w:rPr>
          <w:i/>
          <w:iCs/>
        </w:rPr>
        <w:t xml:space="preserve"> Compendium of Quality Control Requirements and Performance Standards for Selected Analytical Protocols</w:t>
      </w:r>
    </w:p>
    <w:p w:rsidR="00856BD5" w:rsidRDefault="00856BD5">
      <w:pPr>
        <w:numPr>
          <w:ilvl w:val="1"/>
          <w:numId w:val="2"/>
        </w:numPr>
        <w:spacing w:before="100" w:after="100"/>
        <w:rPr>
          <w:i/>
          <w:iCs/>
        </w:rPr>
      </w:pPr>
      <w:r w:rsidRPr="007B37DB">
        <w:rPr>
          <w:szCs w:val="17"/>
        </w:rPr>
        <w:t>WSC #07-350:</w:t>
      </w:r>
      <w:r>
        <w:rPr>
          <w:szCs w:val="17"/>
        </w:rPr>
        <w:t xml:space="preserve"> </w:t>
      </w:r>
      <w:r>
        <w:rPr>
          <w:i/>
          <w:iCs/>
          <w:szCs w:val="17"/>
        </w:rPr>
        <w:t>MCP Representativeness Evaluations and Data Usability Assessments</w:t>
      </w:r>
      <w:r>
        <w:rPr>
          <w:szCs w:val="17"/>
        </w:rPr>
        <w:t xml:space="preserve">, </w:t>
      </w:r>
      <w:r w:rsidR="001D01A1">
        <w:rPr>
          <w:szCs w:val="17"/>
        </w:rPr>
        <w:t>September</w:t>
      </w:r>
      <w:r w:rsidRPr="001D01A1">
        <w:rPr>
          <w:szCs w:val="17"/>
        </w:rPr>
        <w:t xml:space="preserve"> 2007</w:t>
      </w:r>
    </w:p>
    <w:p w:rsidR="00856BD5" w:rsidRDefault="00856BD5">
      <w:pPr>
        <w:numPr>
          <w:ilvl w:val="1"/>
          <w:numId w:val="2"/>
        </w:numPr>
        <w:spacing w:before="100" w:after="100"/>
      </w:pPr>
      <w:r>
        <w:t xml:space="preserve">The following two components of the </w:t>
      </w:r>
      <w:r>
        <w:rPr>
          <w:i/>
          <w:iCs/>
        </w:rPr>
        <w:t>Massachusetts Compendium of Quality Assurance and Quality Control Requirements and Performance Standards for Selected Analytical Methods</w:t>
      </w:r>
      <w:r w:rsidRPr="007B37DB">
        <w:rPr>
          <w:i/>
          <w:iCs/>
        </w:rPr>
        <w:t xml:space="preserve"> </w:t>
      </w:r>
      <w:r w:rsidRPr="007B37DB">
        <w:t>(WSC #02-320)</w:t>
      </w:r>
      <w:r w:rsidRPr="007B37DB">
        <w:rPr>
          <w:iCs/>
        </w:rPr>
        <w:t>:</w:t>
      </w:r>
    </w:p>
    <w:p w:rsidR="00856BD5" w:rsidRDefault="00856BD5">
      <w:pPr>
        <w:numPr>
          <w:ilvl w:val="1"/>
          <w:numId w:val="5"/>
        </w:numPr>
        <w:tabs>
          <w:tab w:val="clear" w:pos="1080"/>
          <w:tab w:val="left" w:pos="1800"/>
        </w:tabs>
        <w:spacing w:before="100" w:after="100"/>
        <w:ind w:left="1800"/>
      </w:pPr>
      <w:r>
        <w:rPr>
          <w:rStyle w:val="Strong"/>
          <w:rFonts w:ascii="Verdana" w:hAnsi="Verdana"/>
          <w:sz w:val="17"/>
          <w:szCs w:val="17"/>
        </w:rPr>
        <w:t>Overview of the MCP Analytical Data Enhancement Process</w:t>
      </w:r>
      <w:r>
        <w:rPr>
          <w:rFonts w:ascii="Verdana" w:hAnsi="Verdana"/>
          <w:sz w:val="17"/>
          <w:szCs w:val="17"/>
        </w:rPr>
        <w:t xml:space="preserve"> </w:t>
      </w:r>
      <w:r>
        <w:rPr>
          <w:rFonts w:ascii="Verdana" w:hAnsi="Verdana"/>
          <w:sz w:val="17"/>
          <w:szCs w:val="17"/>
        </w:rPr>
        <w:br/>
        <w:t xml:space="preserve">Title: </w:t>
      </w:r>
      <w:r>
        <w:rPr>
          <w:rFonts w:ascii="Verdana" w:hAnsi="Verdana"/>
          <w:i/>
          <w:iCs/>
          <w:sz w:val="17"/>
          <w:szCs w:val="17"/>
        </w:rPr>
        <w:t>Preface and Table of Contents for Compendium of MCP Analytical Methods</w:t>
      </w:r>
      <w:r>
        <w:rPr>
          <w:rFonts w:ascii="Verdana" w:hAnsi="Verdana"/>
          <w:sz w:val="17"/>
          <w:szCs w:val="17"/>
        </w:rPr>
        <w:t xml:space="preserve"> </w:t>
      </w:r>
      <w:r>
        <w:rPr>
          <w:rFonts w:ascii="Verdana" w:hAnsi="Verdana"/>
          <w:sz w:val="17"/>
          <w:szCs w:val="17"/>
        </w:rPr>
        <w:br/>
        <w:t>Status: Final May 2004</w:t>
      </w:r>
    </w:p>
    <w:p w:rsidR="00856BD5" w:rsidRDefault="00856BD5">
      <w:pPr>
        <w:numPr>
          <w:ilvl w:val="1"/>
          <w:numId w:val="5"/>
        </w:numPr>
        <w:tabs>
          <w:tab w:val="clear" w:pos="1080"/>
          <w:tab w:val="left" w:pos="1800"/>
        </w:tabs>
        <w:spacing w:before="100" w:after="100"/>
        <w:ind w:left="1800"/>
      </w:pPr>
      <w:r>
        <w:rPr>
          <w:rFonts w:ascii="Verdana" w:hAnsi="Verdana"/>
          <w:b/>
          <w:bCs/>
          <w:sz w:val="17"/>
          <w:szCs w:val="17"/>
        </w:rPr>
        <w:t>Sampling, Data Evaluation, and Reporting</w:t>
      </w:r>
      <w:r>
        <w:br/>
      </w:r>
      <w:r>
        <w:rPr>
          <w:rFonts w:ascii="Verdana" w:hAnsi="Verdana"/>
          <w:sz w:val="17"/>
        </w:rPr>
        <w:t xml:space="preserve">Title: </w:t>
      </w:r>
      <w:r>
        <w:rPr>
          <w:rFonts w:ascii="Verdana" w:hAnsi="Verdana"/>
          <w:i/>
          <w:iCs/>
          <w:sz w:val="17"/>
        </w:rPr>
        <w:t>QA/QC Guidelines for the Acquisition and Reporting of Analytical Data</w:t>
      </w:r>
      <w:r>
        <w:rPr>
          <w:rFonts w:ascii="Verdana" w:hAnsi="Verdana"/>
          <w:sz w:val="17"/>
        </w:rPr>
        <w:br/>
        <w:t>Status:  Final May 2004</w:t>
      </w:r>
    </w:p>
    <w:p w:rsidR="00856BD5" w:rsidRDefault="00856BD5">
      <w:pPr>
        <w:numPr>
          <w:ilvl w:val="1"/>
          <w:numId w:val="2"/>
        </w:numPr>
        <w:spacing w:before="100" w:after="100"/>
      </w:pPr>
      <w:r>
        <w:t xml:space="preserve">WSC #04-160: </w:t>
      </w:r>
      <w:r>
        <w:rPr>
          <w:i/>
        </w:rPr>
        <w:t>Conducting Feasibility Evaluations Under the MCP</w:t>
      </w:r>
      <w:r>
        <w:t xml:space="preserve">, </w:t>
      </w:r>
      <w:r w:rsidRPr="001D01A1">
        <w:t>July 2004</w:t>
      </w:r>
    </w:p>
    <w:p w:rsidR="00856BD5" w:rsidRDefault="00856BD5">
      <w:pPr>
        <w:numPr>
          <w:ilvl w:val="1"/>
          <w:numId w:val="2"/>
        </w:numPr>
        <w:spacing w:before="100" w:after="100"/>
      </w:pPr>
      <w:r>
        <w:t xml:space="preserve">WSC #02-411: </w:t>
      </w:r>
      <w:r>
        <w:rPr>
          <w:i/>
        </w:rPr>
        <w:t>Characterizing Risks Posed by Petroleum Contaminated Sites: Implementation of MA DEP VPH/EPH Approach</w:t>
      </w:r>
      <w:r>
        <w:t>, October 2002</w:t>
      </w:r>
    </w:p>
    <w:p w:rsidR="00856BD5" w:rsidRDefault="00856BD5">
      <w:pPr>
        <w:numPr>
          <w:ilvl w:val="1"/>
          <w:numId w:val="2"/>
        </w:numPr>
        <w:spacing w:before="100" w:after="100"/>
      </w:pPr>
      <w:r>
        <w:t xml:space="preserve">WSC #02-430: </w:t>
      </w:r>
      <w:r>
        <w:rPr>
          <w:i/>
        </w:rPr>
        <w:t>Indoor Air Sampling and Evaluation Guide</w:t>
      </w:r>
      <w:r>
        <w:t xml:space="preserve">, April 2002  </w:t>
      </w:r>
    </w:p>
    <w:p w:rsidR="00856BD5" w:rsidRDefault="00856BD5">
      <w:pPr>
        <w:numPr>
          <w:ilvl w:val="1"/>
          <w:numId w:val="2"/>
        </w:numPr>
        <w:spacing w:before="100" w:after="100"/>
      </w:pPr>
      <w:r>
        <w:lastRenderedPageBreak/>
        <w:t xml:space="preserve">WSC #02-500: </w:t>
      </w:r>
      <w:r>
        <w:rPr>
          <w:i/>
        </w:rPr>
        <w:t>DRAFT Monitored Natural Attenuation,</w:t>
      </w:r>
      <w:r>
        <w:t xml:space="preserve"> January 2002</w:t>
      </w:r>
    </w:p>
    <w:p w:rsidR="00856BD5" w:rsidRDefault="00856BD5">
      <w:pPr>
        <w:numPr>
          <w:ilvl w:val="1"/>
          <w:numId w:val="2"/>
        </w:numPr>
        <w:spacing w:before="100" w:after="100"/>
      </w:pPr>
      <w:r>
        <w:t xml:space="preserve">COMM #97-001: </w:t>
      </w:r>
      <w:r>
        <w:rPr>
          <w:i/>
        </w:rPr>
        <w:t>Reuse and Disposal of Contaminated Soils and Sediments at Massachusetts Landfills</w:t>
      </w:r>
      <w:r>
        <w:t>, August 1997</w:t>
      </w:r>
    </w:p>
    <w:p w:rsidR="00856BD5" w:rsidRDefault="00856BD5">
      <w:pPr>
        <w:numPr>
          <w:ilvl w:val="1"/>
          <w:numId w:val="2"/>
        </w:numPr>
        <w:spacing w:before="100" w:after="100"/>
      </w:pPr>
      <w:r>
        <w:t xml:space="preserve">WSC #96-402: </w:t>
      </w:r>
      <w:r>
        <w:rPr>
          <w:i/>
        </w:rPr>
        <w:t>Underground Storage Tank Closure Assessment Manual</w:t>
      </w:r>
      <w:r>
        <w:t>, April 1996</w:t>
      </w:r>
    </w:p>
    <w:p w:rsidR="00856BD5" w:rsidRDefault="00856BD5">
      <w:pPr>
        <w:numPr>
          <w:ilvl w:val="1"/>
          <w:numId w:val="2"/>
        </w:numPr>
        <w:spacing w:before="100" w:after="100"/>
      </w:pPr>
      <w:r>
        <w:t xml:space="preserve">WSC/ORS #95-141: </w:t>
      </w:r>
      <w:r>
        <w:rPr>
          <w:i/>
        </w:rPr>
        <w:t>Guidance for Disposal Site Risk Characterization -- In Support of the Massachusetts Contingency Plan</w:t>
      </w:r>
      <w:r>
        <w:t xml:space="preserve">, March 1996  </w:t>
      </w:r>
    </w:p>
    <w:p w:rsidR="00856BD5" w:rsidRPr="007B37DB" w:rsidRDefault="00856BD5">
      <w:pPr>
        <w:numPr>
          <w:ilvl w:val="1"/>
          <w:numId w:val="2"/>
        </w:numPr>
        <w:spacing w:before="100" w:after="100"/>
        <w:rPr>
          <w:rFonts w:eastAsia="MS Mincho"/>
        </w:rPr>
      </w:pPr>
      <w:r>
        <w:t xml:space="preserve">WSC #94-400: </w:t>
      </w:r>
      <w:r>
        <w:rPr>
          <w:i/>
        </w:rPr>
        <w:t>Interim Remediation Waste Management Policy for Petroleum Contaminated Soils</w:t>
      </w:r>
      <w:r>
        <w:t>, April 1994</w:t>
      </w:r>
    </w:p>
    <w:p w:rsidR="007B37DB" w:rsidRPr="001D01A1" w:rsidRDefault="007B37DB" w:rsidP="001D01A1">
      <w:pPr>
        <w:numPr>
          <w:ilvl w:val="1"/>
          <w:numId w:val="2"/>
        </w:numPr>
        <w:spacing w:before="100" w:after="100"/>
        <w:rPr>
          <w:i/>
          <w:iCs/>
        </w:rPr>
      </w:pPr>
      <w:r w:rsidRPr="00C1571F">
        <w:rPr>
          <w:i/>
          <w:iCs/>
        </w:rPr>
        <w:t>LNAPL AND THE MCP: GUIDANCE FOR SITE ASSESSMENT AND CLOSURE</w:t>
      </w:r>
      <w:r w:rsidR="001D01A1">
        <w:rPr>
          <w:i/>
          <w:iCs/>
        </w:rPr>
        <w:t xml:space="preserve">, </w:t>
      </w:r>
      <w:r w:rsidRPr="001D01A1">
        <w:rPr>
          <w:iCs/>
        </w:rPr>
        <w:t>Public Review Draft, July 1, 2014</w:t>
      </w:r>
    </w:p>
    <w:p w:rsidR="007B37DB" w:rsidRPr="00C1571F" w:rsidRDefault="007B37DB" w:rsidP="007B37DB">
      <w:pPr>
        <w:numPr>
          <w:ilvl w:val="1"/>
          <w:numId w:val="2"/>
        </w:numPr>
        <w:spacing w:before="100" w:after="100"/>
        <w:rPr>
          <w:i/>
          <w:iCs/>
        </w:rPr>
      </w:pPr>
      <w:r w:rsidRPr="00C1571F">
        <w:rPr>
          <w:i/>
          <w:iCs/>
        </w:rPr>
        <w:t>AUL Guidance: Public Review Draft</w:t>
      </w:r>
      <w:r w:rsidR="001D01A1">
        <w:rPr>
          <w:i/>
          <w:iCs/>
        </w:rPr>
        <w:t xml:space="preserve">, </w:t>
      </w:r>
      <w:r w:rsidRPr="001D01A1">
        <w:rPr>
          <w:iCs/>
        </w:rPr>
        <w:t>June 2014</w:t>
      </w:r>
    </w:p>
    <w:p w:rsidR="007B37DB" w:rsidRPr="00C1571F" w:rsidRDefault="007B37DB" w:rsidP="007B37DB">
      <w:pPr>
        <w:numPr>
          <w:ilvl w:val="1"/>
          <w:numId w:val="2"/>
        </w:numPr>
        <w:spacing w:before="100" w:after="100"/>
        <w:rPr>
          <w:i/>
          <w:iCs/>
        </w:rPr>
      </w:pPr>
      <w:r w:rsidRPr="00C1571F">
        <w:rPr>
          <w:i/>
          <w:iCs/>
        </w:rPr>
        <w:t>Best Management Practices (“BMPs”) for Gardening at Remediated M.G.L. Chapter 21E Disposal Sites: Public Review Draft</w:t>
      </w:r>
      <w:r w:rsidR="001D01A1">
        <w:rPr>
          <w:i/>
          <w:iCs/>
        </w:rPr>
        <w:t>,</w:t>
      </w:r>
      <w:r w:rsidRPr="001D01A1">
        <w:rPr>
          <w:iCs/>
        </w:rPr>
        <w:t xml:space="preserve"> June 2014</w:t>
      </w:r>
    </w:p>
    <w:p w:rsidR="007B37DB" w:rsidRDefault="007B37DB" w:rsidP="007B37DB">
      <w:pPr>
        <w:numPr>
          <w:ilvl w:val="1"/>
          <w:numId w:val="2"/>
        </w:numPr>
        <w:spacing w:before="100" w:after="100"/>
        <w:rPr>
          <w:rFonts w:eastAsia="MS Mincho"/>
        </w:rPr>
      </w:pPr>
      <w:r w:rsidRPr="00C1571F">
        <w:rPr>
          <w:i/>
          <w:iCs/>
        </w:rPr>
        <w:t>Assessing Contamination at Residential Underground Heating Oil Tank Closures</w:t>
      </w:r>
    </w:p>
    <w:sectPr w:rsidR="007B37DB">
      <w:footerReference w:type="even" r:id="rId12"/>
      <w:footerReference w:type="default" r:id="rId13"/>
      <w:headerReference w:type="first" r:id="rId14"/>
      <w:pgSz w:w="12240" w:h="15840" w:code="1"/>
      <w:pgMar w:top="1296" w:right="1440" w:bottom="1296" w:left="1440" w:header="72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4E7" w:rsidRDefault="00D924E7" w:rsidP="00856BD5">
      <w:r>
        <w:separator/>
      </w:r>
    </w:p>
  </w:endnote>
  <w:endnote w:type="continuationSeparator" w:id="0">
    <w:p w:rsidR="00D924E7" w:rsidRDefault="00D924E7" w:rsidP="00856B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A1" w:rsidRDefault="001D0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1A1" w:rsidRDefault="001D01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A1" w:rsidRDefault="001D0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AF5">
      <w:rPr>
        <w:rStyle w:val="PageNumber"/>
        <w:noProof/>
      </w:rPr>
      <w:t>3</w:t>
    </w:r>
    <w:r>
      <w:rPr>
        <w:rStyle w:val="PageNumber"/>
      </w:rPr>
      <w:fldChar w:fldCharType="end"/>
    </w:r>
  </w:p>
  <w:p w:rsidR="001D01A1" w:rsidRDefault="001D01A1">
    <w:pPr>
      <w:pStyle w:val="Footer"/>
    </w:pPr>
  </w:p>
  <w:p w:rsidR="001D01A1" w:rsidRDefault="001D01A1">
    <w:pPr>
      <w:pStyle w:val="Footer"/>
    </w:pPr>
  </w:p>
  <w:p w:rsidR="001D01A1" w:rsidRDefault="001D0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4E7" w:rsidRDefault="00D924E7" w:rsidP="00856BD5">
      <w:r>
        <w:separator/>
      </w:r>
    </w:p>
  </w:footnote>
  <w:footnote w:type="continuationSeparator" w:id="0">
    <w:p w:rsidR="00D924E7" w:rsidRDefault="00D924E7" w:rsidP="00856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12" w:type="dxa"/>
      <w:tblLayout w:type="fixed"/>
      <w:tblLook w:val="0000"/>
    </w:tblPr>
    <w:tblGrid>
      <w:gridCol w:w="2400"/>
      <w:gridCol w:w="8010"/>
    </w:tblGrid>
    <w:tr w:rsidR="001D01A1">
      <w:tblPrEx>
        <w:tblCellMar>
          <w:top w:w="0" w:type="dxa"/>
          <w:bottom w:w="0" w:type="dxa"/>
        </w:tblCellMar>
      </w:tblPrEx>
      <w:trPr>
        <w:cantSplit/>
        <w:trHeight w:hRule="exact" w:val="1980"/>
      </w:trPr>
      <w:tc>
        <w:tcPr>
          <w:tcW w:w="2400" w:type="dxa"/>
        </w:tcPr>
        <w:p w:rsidR="001D01A1" w:rsidRDefault="00F14AF5">
          <w:pPr>
            <w:pStyle w:val="Footer"/>
          </w:pPr>
          <w:r>
            <w:rPr>
              <w:noProof/>
            </w:rPr>
            <w:drawing>
              <wp:inline distT="0" distB="0" distL="0" distR="0">
                <wp:extent cx="1066800" cy="1200150"/>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srcRect/>
                        <a:stretch>
                          <a:fillRect/>
                        </a:stretch>
                      </pic:blipFill>
                      <pic:spPr bwMode="auto">
                        <a:xfrm>
                          <a:off x="0" y="0"/>
                          <a:ext cx="1066800" cy="1200150"/>
                        </a:xfrm>
                        <a:prstGeom prst="rect">
                          <a:avLst/>
                        </a:prstGeom>
                        <a:noFill/>
                        <a:ln w="9525">
                          <a:noFill/>
                          <a:miter lim="800000"/>
                          <a:headEnd/>
                          <a:tailEnd/>
                        </a:ln>
                      </pic:spPr>
                    </pic:pic>
                  </a:graphicData>
                </a:graphic>
              </wp:inline>
            </w:drawing>
          </w:r>
        </w:p>
        <w:p w:rsidR="001D01A1" w:rsidRDefault="001D01A1"/>
      </w:tc>
      <w:tc>
        <w:tcPr>
          <w:tcW w:w="8010" w:type="dxa"/>
        </w:tcPr>
        <w:p w:rsidR="001D01A1" w:rsidRDefault="001D01A1">
          <w:pPr>
            <w:spacing w:before="120"/>
            <w:ind w:left="-558"/>
            <w:jc w:val="center"/>
            <w:rPr>
              <w:rFonts w:ascii="Century Schoolbook" w:hAnsi="Century Schoolbook"/>
              <w:sz w:val="22"/>
            </w:rPr>
          </w:pPr>
          <w:r>
            <w:rPr>
              <w:rFonts w:ascii="Century Schoolbook" w:hAnsi="Century Schoolbook"/>
              <w:sz w:val="28"/>
            </w:rPr>
            <w:t>C</w:t>
          </w:r>
          <w:r>
            <w:rPr>
              <w:rFonts w:ascii="Century Schoolbook" w:hAnsi="Century Schoolbook"/>
              <w:sz w:val="22"/>
            </w:rPr>
            <w:t xml:space="preserve">OMMONWEALTH OF </w:t>
          </w:r>
          <w:r>
            <w:rPr>
              <w:rFonts w:ascii="Century Schoolbook" w:hAnsi="Century Schoolbook"/>
              <w:sz w:val="28"/>
            </w:rPr>
            <w:t>M</w:t>
          </w:r>
          <w:r>
            <w:rPr>
              <w:rFonts w:ascii="Century Schoolbook" w:hAnsi="Century Schoolbook"/>
              <w:sz w:val="22"/>
            </w:rPr>
            <w:t>ASSACHUSETTS</w:t>
          </w:r>
        </w:p>
        <w:p w:rsidR="001D01A1" w:rsidRDefault="001D01A1">
          <w:pPr>
            <w:spacing w:before="40"/>
            <w:ind w:left="-348"/>
            <w:jc w:val="center"/>
            <w:rPr>
              <w:rFonts w:ascii="Century Schoolbook" w:hAnsi="Century Schoolbook"/>
              <w:b/>
              <w:sz w:val="28"/>
            </w:rPr>
          </w:pPr>
          <w:r>
            <w:rPr>
              <w:rFonts w:ascii="Century Schoolbook" w:hAnsi="Century Schoolbook"/>
              <w:b/>
              <w:sz w:val="28"/>
            </w:rPr>
            <w:t>Board of Registration</w:t>
          </w:r>
        </w:p>
        <w:p w:rsidR="001D01A1" w:rsidRDefault="001D01A1">
          <w:pPr>
            <w:spacing w:before="40"/>
            <w:ind w:left="-348"/>
            <w:jc w:val="center"/>
            <w:rPr>
              <w:rFonts w:ascii="Century Schoolbook" w:hAnsi="Century Schoolbook"/>
              <w:b/>
              <w:sz w:val="28"/>
            </w:rPr>
          </w:pPr>
          <w:r>
            <w:rPr>
              <w:rFonts w:ascii="Century Schoolbook" w:hAnsi="Century Schoolbook"/>
              <w:b/>
              <w:sz w:val="28"/>
            </w:rPr>
            <w:t>of</w:t>
          </w:r>
        </w:p>
        <w:p w:rsidR="001D01A1" w:rsidRDefault="001D01A1">
          <w:pPr>
            <w:spacing w:before="40"/>
            <w:ind w:left="-348"/>
            <w:jc w:val="center"/>
            <w:rPr>
              <w:rFonts w:ascii="Century Schoolbook" w:hAnsi="Century Schoolbook"/>
              <w:b/>
              <w:sz w:val="22"/>
            </w:rPr>
          </w:pPr>
          <w:r>
            <w:rPr>
              <w:rFonts w:ascii="Century Schoolbook" w:hAnsi="Century Schoolbook"/>
              <w:b/>
              <w:sz w:val="28"/>
            </w:rPr>
            <w:t>Hazardous Waste Site Cleanup Professionals</w:t>
          </w:r>
        </w:p>
        <w:p w:rsidR="001D01A1" w:rsidRDefault="001D01A1">
          <w:pPr>
            <w:spacing w:before="40"/>
            <w:jc w:val="center"/>
            <w:rPr>
              <w:b/>
            </w:rPr>
          </w:pPr>
        </w:p>
      </w:tc>
    </w:tr>
  </w:tbl>
  <w:p w:rsidR="001D01A1" w:rsidRDefault="001D0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F29"/>
    <w:multiLevelType w:val="hybridMultilevel"/>
    <w:tmpl w:val="FF003A3C"/>
    <w:lvl w:ilvl="0">
      <w:start w:val="1"/>
      <w:numFmt w:val="upperRoman"/>
      <w:pStyle w:val="Heading2"/>
      <w:lvlText w:val="%1."/>
      <w:lvlJc w:val="right"/>
      <w:pPr>
        <w:tabs>
          <w:tab w:val="num" w:pos="360"/>
        </w:tabs>
        <w:ind w:left="360" w:hanging="360"/>
      </w:pPr>
    </w:lvl>
    <w:lvl w:ilvl="1">
      <w:start w:val="1"/>
      <w:numFmt w:val="bullet"/>
      <w:lvlText w:val="o"/>
      <w:lvlJc w:val="righ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15384212"/>
    <w:multiLevelType w:val="hybridMultilevel"/>
    <w:tmpl w:val="D46E0C52"/>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05F1277"/>
    <w:multiLevelType w:val="hybridMultilevel"/>
    <w:tmpl w:val="3F8A1D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9257604"/>
    <w:multiLevelType w:val="hybridMultilevel"/>
    <w:tmpl w:val="FF003A3C"/>
    <w:lvl w:ilvl="0" w:tplc="AAF632C6">
      <w:start w:val="1"/>
      <w:numFmt w:val="upperRoman"/>
      <w:lvlText w:val="%1."/>
      <w:lvlJc w:val="righ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4802E142">
      <w:start w:val="1"/>
      <w:numFmt w:val="bullet"/>
      <w:lvlText w:val=""/>
      <w:lvlJc w:val="left"/>
      <w:pPr>
        <w:tabs>
          <w:tab w:val="num" w:pos="1800"/>
        </w:tabs>
        <w:ind w:left="1800" w:hanging="360"/>
      </w:pPr>
      <w:rPr>
        <w:rFonts w:ascii="Symbol" w:hAnsi="Symbol" w:hint="default"/>
      </w:rPr>
    </w:lvl>
    <w:lvl w:ilvl="3" w:tplc="1B6419BA">
      <w:start w:val="1"/>
      <w:numFmt w:val="decimal"/>
      <w:lvlText w:val="%4."/>
      <w:lvlJc w:val="left"/>
      <w:pPr>
        <w:tabs>
          <w:tab w:val="num" w:pos="2520"/>
        </w:tabs>
        <w:ind w:left="2520" w:hanging="360"/>
      </w:pPr>
    </w:lvl>
    <w:lvl w:ilvl="4" w:tplc="6AF84788" w:tentative="1">
      <w:start w:val="1"/>
      <w:numFmt w:val="upperRoman"/>
      <w:lvlText w:val="%5."/>
      <w:lvlJc w:val="right"/>
      <w:pPr>
        <w:tabs>
          <w:tab w:val="num" w:pos="3240"/>
        </w:tabs>
        <w:ind w:left="3240" w:hanging="360"/>
      </w:pPr>
    </w:lvl>
    <w:lvl w:ilvl="5" w:tplc="B082D8C8" w:tentative="1">
      <w:start w:val="1"/>
      <w:numFmt w:val="upperRoman"/>
      <w:lvlText w:val="%6."/>
      <w:lvlJc w:val="right"/>
      <w:pPr>
        <w:tabs>
          <w:tab w:val="num" w:pos="3960"/>
        </w:tabs>
        <w:ind w:left="3960" w:hanging="360"/>
      </w:pPr>
    </w:lvl>
    <w:lvl w:ilvl="6" w:tplc="12663564" w:tentative="1">
      <w:start w:val="1"/>
      <w:numFmt w:val="upperRoman"/>
      <w:lvlText w:val="%7."/>
      <w:lvlJc w:val="right"/>
      <w:pPr>
        <w:tabs>
          <w:tab w:val="num" w:pos="4680"/>
        </w:tabs>
        <w:ind w:left="4680" w:hanging="360"/>
      </w:pPr>
    </w:lvl>
    <w:lvl w:ilvl="7" w:tplc="BE9869D8" w:tentative="1">
      <w:start w:val="1"/>
      <w:numFmt w:val="upperRoman"/>
      <w:lvlText w:val="%8."/>
      <w:lvlJc w:val="right"/>
      <w:pPr>
        <w:tabs>
          <w:tab w:val="num" w:pos="5400"/>
        </w:tabs>
        <w:ind w:left="5400" w:hanging="360"/>
      </w:pPr>
    </w:lvl>
    <w:lvl w:ilvl="8" w:tplc="104EC3DE" w:tentative="1">
      <w:start w:val="1"/>
      <w:numFmt w:val="upperRoman"/>
      <w:lvlText w:val="%9."/>
      <w:lvlJc w:val="right"/>
      <w:pPr>
        <w:tabs>
          <w:tab w:val="num" w:pos="6120"/>
        </w:tabs>
        <w:ind w:left="6120" w:hanging="360"/>
      </w:pPr>
    </w:lvl>
  </w:abstractNum>
  <w:abstractNum w:abstractNumId="4">
    <w:nsid w:val="65BE6E9B"/>
    <w:multiLevelType w:val="hybridMultilevel"/>
    <w:tmpl w:val="4048759A"/>
    <w:lvl w:ilvl="0" w:tplc="646AB6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88502C"/>
    <w:multiLevelType w:val="hybridMultilevel"/>
    <w:tmpl w:val="FF003A3C"/>
    <w:lvl w:ilvl="0" w:tplc="CFD6C982">
      <w:start w:val="1"/>
      <w:numFmt w:val="upperRoman"/>
      <w:lvlText w:val="%1."/>
      <w:lvlJc w:val="righ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B3E4CE96">
      <w:start w:val="1"/>
      <w:numFmt w:val="bullet"/>
      <w:lvlText w:val=""/>
      <w:lvlJc w:val="left"/>
      <w:pPr>
        <w:tabs>
          <w:tab w:val="num" w:pos="1800"/>
        </w:tabs>
        <w:ind w:left="1800" w:hanging="360"/>
      </w:pPr>
      <w:rPr>
        <w:rFonts w:ascii="Symbol" w:hAnsi="Symbol" w:hint="default"/>
      </w:rPr>
    </w:lvl>
    <w:lvl w:ilvl="3" w:tplc="CDD28212">
      <w:start w:val="1"/>
      <w:numFmt w:val="decimal"/>
      <w:lvlText w:val="%4."/>
      <w:lvlJc w:val="left"/>
      <w:pPr>
        <w:tabs>
          <w:tab w:val="num" w:pos="2520"/>
        </w:tabs>
        <w:ind w:left="2520" w:hanging="360"/>
      </w:pPr>
    </w:lvl>
    <w:lvl w:ilvl="4" w:tplc="73167CEA" w:tentative="1">
      <w:start w:val="1"/>
      <w:numFmt w:val="upperRoman"/>
      <w:lvlText w:val="%5."/>
      <w:lvlJc w:val="right"/>
      <w:pPr>
        <w:tabs>
          <w:tab w:val="num" w:pos="3240"/>
        </w:tabs>
        <w:ind w:left="3240" w:hanging="360"/>
      </w:pPr>
    </w:lvl>
    <w:lvl w:ilvl="5" w:tplc="9FB0D4CA" w:tentative="1">
      <w:start w:val="1"/>
      <w:numFmt w:val="upperRoman"/>
      <w:lvlText w:val="%6."/>
      <w:lvlJc w:val="right"/>
      <w:pPr>
        <w:tabs>
          <w:tab w:val="num" w:pos="3960"/>
        </w:tabs>
        <w:ind w:left="3960" w:hanging="360"/>
      </w:pPr>
    </w:lvl>
    <w:lvl w:ilvl="6" w:tplc="F2647D40" w:tentative="1">
      <w:start w:val="1"/>
      <w:numFmt w:val="upperRoman"/>
      <w:lvlText w:val="%7."/>
      <w:lvlJc w:val="right"/>
      <w:pPr>
        <w:tabs>
          <w:tab w:val="num" w:pos="4680"/>
        </w:tabs>
        <w:ind w:left="4680" w:hanging="360"/>
      </w:pPr>
    </w:lvl>
    <w:lvl w:ilvl="7" w:tplc="8C52B596" w:tentative="1">
      <w:start w:val="1"/>
      <w:numFmt w:val="upperRoman"/>
      <w:lvlText w:val="%8."/>
      <w:lvlJc w:val="right"/>
      <w:pPr>
        <w:tabs>
          <w:tab w:val="num" w:pos="5400"/>
        </w:tabs>
        <w:ind w:left="5400" w:hanging="360"/>
      </w:pPr>
    </w:lvl>
    <w:lvl w:ilvl="8" w:tplc="BDBC87E2" w:tentative="1">
      <w:start w:val="1"/>
      <w:numFmt w:val="upperRoman"/>
      <w:lvlText w:val="%9."/>
      <w:lvlJc w:val="right"/>
      <w:pPr>
        <w:tabs>
          <w:tab w:val="num" w:pos="6120"/>
        </w:tabs>
        <w:ind w:left="612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56BD5"/>
    <w:rsid w:val="000C4263"/>
    <w:rsid w:val="001D01A1"/>
    <w:rsid w:val="005F6319"/>
    <w:rsid w:val="007B37DB"/>
    <w:rsid w:val="00856BD5"/>
    <w:rsid w:val="00A32F41"/>
    <w:rsid w:val="00D924E7"/>
    <w:rsid w:val="00F14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paragraph" w:styleId="Heading2">
    <w:name w:val="heading 2"/>
    <w:basedOn w:val="Normal"/>
    <w:next w:val="Normal"/>
    <w:qFormat/>
    <w:pPr>
      <w:keepNext/>
      <w:numPr>
        <w:numId w:val="2"/>
      </w:numPr>
      <w:spacing w:before="100" w:beforeAutospacing="1" w:after="100" w:afterAutospacing="1"/>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EmailStyle15"/>
    <w:aliases w:val="EmailStyle15"/>
    <w:basedOn w:val="DefaultParagraphFont"/>
    <w:personal/>
    <w:personalCompose/>
    <w:rPr>
      <w:rFonts w:ascii="Arial" w:hAnsi="Arial" w:cs="Arial"/>
      <w:color w:val="auto"/>
      <w:sz w:val="20"/>
    </w:rPr>
  </w:style>
  <w:style w:type="character" w:customStyle="1" w:styleId="PersonalReplyStyle">
    <w:name w:val="EmailStyle16"/>
    <w:aliases w:val="EmailStyle16"/>
    <w:basedOn w:val="DefaultParagraphFont"/>
    <w:personal/>
    <w:personalReply/>
    <w:rPr>
      <w:rFonts w:ascii="Arial" w:hAnsi="Arial" w:cs="Arial"/>
      <w:color w:val="auto"/>
      <w:sz w:val="20"/>
    </w:rPr>
  </w:style>
  <w:style w:type="paragraph" w:styleId="PlainText">
    <w:name w:val="Plain Text"/>
    <w:basedOn w:val="Normal"/>
    <w:semiHidden/>
    <w:rPr>
      <w:rFonts w:ascii="Courier New" w:hAnsi="Courier New" w:cs="Courier New"/>
      <w:sz w:val="20"/>
      <w:szCs w:val="20"/>
    </w:rPr>
  </w:style>
  <w:style w:type="paragraph" w:styleId="BodyTextIndent">
    <w:name w:val="Body Text Indent"/>
    <w:basedOn w:val="Normal"/>
    <w:semiHidden/>
    <w:pPr>
      <w:ind w:left="360"/>
    </w:pPr>
    <w:rPr>
      <w:rFonts w:eastAsia="MS Mincho"/>
      <w:sz w:val="20"/>
    </w:rPr>
  </w:style>
  <w:style w:type="paragraph" w:styleId="BodyText">
    <w:name w:val="Body Text"/>
    <w:basedOn w:val="Normal"/>
    <w:semiHidden/>
    <w:rPr>
      <w:rFonts w:eastAsia="MS Mincho"/>
      <w:b/>
      <w:bCs/>
    </w:rPr>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color w:val="800080"/>
      <w:sz w:val="40"/>
    </w:rPr>
  </w:style>
  <w:style w:type="character" w:styleId="Strong">
    <w:name w:val="Strong"/>
    <w:basedOn w:val="DefaultParagraphFont"/>
    <w:qFormat/>
    <w:rPr>
      <w:b/>
      <w:bCs/>
    </w:r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ep"/>
  <Relationship Id="rId11" Type="http://schemas.openxmlformats.org/officeDocument/2006/relationships/hyperlink" TargetMode="External" Target="http://www.mass.gov/eea/docs/dep/cleanup/laws/mastqa.pdf"/>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Mass.Gov/dep"/>
  <Relationship Id="rId8" Type="http://schemas.openxmlformats.org/officeDocument/2006/relationships/hyperlink" TargetMode="External" Target="http://www.Mass.Gov/legis/laws/mgl/gl-pt1-toc.htm"/>
  <Relationship Id="rId9" Type="http://schemas.openxmlformats.org/officeDocument/2006/relationships/hyperlink" TargetMode="External" Target="http://www.Mass.Gov/dep"/>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WSC #04-160: Conducting Feasibility Evaluations Under the MCP</vt:lpstr>
    </vt:vector>
  </TitlesOfParts>
  <Company>Commonwealth of Massachusetts</Company>
  <LinksUpToDate>false</LinksUpToDate>
  <CharactersWithSpaces>5130</CharactersWithSpaces>
  <SharedDoc>false</SharedDoc>
  <HLinks>
    <vt:vector size="30" baseType="variant">
      <vt:variant>
        <vt:i4>5701717</vt:i4>
      </vt:variant>
      <vt:variant>
        <vt:i4>12</vt:i4>
      </vt:variant>
      <vt:variant>
        <vt:i4>0</vt:i4>
      </vt:variant>
      <vt:variant>
        <vt:i4>5</vt:i4>
      </vt:variant>
      <vt:variant>
        <vt:lpwstr>http://www.mass.gov/eea/docs/dep/cleanup/laws/mastqa.pdf</vt:lpwstr>
      </vt:variant>
      <vt:variant>
        <vt:lpwstr/>
      </vt:variant>
      <vt:variant>
        <vt:i4>4063287</vt:i4>
      </vt:variant>
      <vt:variant>
        <vt:i4>9</vt:i4>
      </vt:variant>
      <vt:variant>
        <vt:i4>0</vt:i4>
      </vt:variant>
      <vt:variant>
        <vt:i4>5</vt:i4>
      </vt:variant>
      <vt:variant>
        <vt:lpwstr>http://www.mass.gov/dep</vt:lpwstr>
      </vt:variant>
      <vt:variant>
        <vt:lpwstr/>
      </vt:variant>
      <vt:variant>
        <vt:i4>4063287</vt:i4>
      </vt:variant>
      <vt:variant>
        <vt:i4>6</vt:i4>
      </vt:variant>
      <vt:variant>
        <vt:i4>0</vt:i4>
      </vt:variant>
      <vt:variant>
        <vt:i4>5</vt:i4>
      </vt:variant>
      <vt:variant>
        <vt:lpwstr>http://www.mass.gov/dep</vt:lpwstr>
      </vt:variant>
      <vt:variant>
        <vt:lpwstr/>
      </vt:variant>
      <vt:variant>
        <vt:i4>5046277</vt:i4>
      </vt:variant>
      <vt:variant>
        <vt:i4>3</vt:i4>
      </vt:variant>
      <vt:variant>
        <vt:i4>0</vt:i4>
      </vt:variant>
      <vt:variant>
        <vt:i4>5</vt:i4>
      </vt:variant>
      <vt:variant>
        <vt:lpwstr>http://www.mass.gov/legis/laws/mgl/gl-pt1-toc.htm</vt:lpwstr>
      </vt:variant>
      <vt:variant>
        <vt:lpwstr/>
      </vt:variant>
      <vt:variant>
        <vt:i4>4063342</vt:i4>
      </vt:variant>
      <vt:variant>
        <vt:i4>0</vt:i4>
      </vt:variant>
      <vt:variant>
        <vt:i4>0</vt:i4>
      </vt:variant>
      <vt:variant>
        <vt:i4>5</vt:i4>
      </vt:variant>
      <vt:variant>
        <vt:lpwstr>http://mass.gov/dep</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2015-06-12T20:28:00Z</dcterms:created>
  <dc:creator>Paul Locke</dc:creator>
  <lastModifiedBy>bwyche</lastModifiedBy>
  <lastPrinted>2008-05-02T14:21:00Z</lastPrinted>
  <dcterms:modified xsi:type="dcterms:W3CDTF">2015-06-12T20:28:00Z</dcterms:modified>
  <revision>2</revision>
  <dc:title>WSC #04-160: Conducting Feasibility Evaluations Under the MCP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-351712196</vt:i4>
  </property>
  <property fmtid="{D5CDD505-2E9C-101B-9397-08002B2CF9AE}" pid="3" name="_EmailSubject">
    <vt:lpwstr>Exam Study Materials</vt:lpwstr>
  </property>
  <property fmtid="{D5CDD505-2E9C-101B-9397-08002B2CF9AE}" pid="4" name="_AuthorEmail">
    <vt:lpwstr>Beverly.Roby@MassMail.State.MA.US</vt:lpwstr>
  </property>
  <property fmtid="{D5CDD505-2E9C-101B-9397-08002B2CF9AE}" pid="5" name="_AuthorEmailDisplayName">
    <vt:lpwstr>Roby, Beverly (DEP)</vt:lpwstr>
  </property>
  <property fmtid="{D5CDD505-2E9C-101B-9397-08002B2CF9AE}" pid="6" name="_PreviousAdHocReviewCycleID">
    <vt:i4>569877719</vt:i4>
  </property>
  <property fmtid="{D5CDD505-2E9C-101B-9397-08002B2CF9AE}" pid="7" name="_NewReviewCycle">
    <vt:lpwstr/>
  </property>
  <property fmtid="{D5CDD505-2E9C-101B-9397-08002B2CF9AE}" pid="8" name="_ReviewingToolsShownOnce">
    <vt:lpwstr/>
  </property>
</Properties>
</file>