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C0" w:rsidRPr="001844EF" w:rsidRDefault="00162679" w:rsidP="001844EF">
      <w:r>
        <w:rPr>
          <w:noProof/>
        </w:rPr>
        <mc:AlternateContent>
          <mc:Choice Requires="wps">
            <w:drawing>
              <wp:inline distT="0" distB="0" distL="0" distR="0">
                <wp:extent cx="5943600" cy="822960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Default="00556871" w:rsidP="00DB51C0">
                            <w:pPr>
                              <w:jc w:val="center"/>
                              <w:rPr>
                                <w:b/>
                                <w:sz w:val="36"/>
                              </w:rPr>
                            </w:pPr>
                            <w:r>
                              <w:rPr>
                                <w:b/>
                                <w:sz w:val="36"/>
                              </w:rPr>
                              <w:t>ODOR</w:t>
                            </w:r>
                            <w:r w:rsidR="00DB51C0">
                              <w:rPr>
                                <w:b/>
                                <w:sz w:val="36"/>
                              </w:rPr>
                              <w:t xml:space="preserve"> ASSESSMENT</w:t>
                            </w:r>
                          </w:p>
                          <w:p w:rsidR="000B21F1" w:rsidRDefault="000B21F1" w:rsidP="00DB51C0">
                            <w:pPr>
                              <w:jc w:val="center"/>
                              <w:rPr>
                                <w:b/>
                                <w:sz w:val="36"/>
                              </w:rPr>
                            </w:pPr>
                            <w:r>
                              <w:rPr>
                                <w:b/>
                                <w:sz w:val="36"/>
                              </w:rPr>
                              <w:t>Follow-up report</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B367DF" w:rsidRDefault="00556871" w:rsidP="00B367DF">
                            <w:pPr>
                              <w:jc w:val="center"/>
                              <w:rPr>
                                <w:b/>
                                <w:bCs/>
                                <w:sz w:val="28"/>
                              </w:rPr>
                            </w:pPr>
                            <w:bookmarkStart w:id="0" w:name="_GoBack"/>
                            <w:r>
                              <w:rPr>
                                <w:b/>
                                <w:bCs/>
                                <w:sz w:val="28"/>
                              </w:rPr>
                              <w:t xml:space="preserve">Executive </w:t>
                            </w:r>
                            <w:r w:rsidR="00FE7096">
                              <w:rPr>
                                <w:b/>
                                <w:bCs/>
                                <w:sz w:val="28"/>
                              </w:rPr>
                              <w:t>Office of Health and Human Services</w:t>
                            </w:r>
                          </w:p>
                          <w:bookmarkEnd w:id="0"/>
                          <w:p w:rsidR="00556871" w:rsidRDefault="00B367DF" w:rsidP="00B367DF">
                            <w:pPr>
                              <w:jc w:val="center"/>
                              <w:rPr>
                                <w:b/>
                                <w:bCs/>
                                <w:sz w:val="28"/>
                              </w:rPr>
                            </w:pPr>
                            <w:r w:rsidRPr="00B367DF">
                              <w:rPr>
                                <w:b/>
                                <w:bCs/>
                                <w:sz w:val="28"/>
                              </w:rPr>
                              <w:t>600 Washington Street</w:t>
                            </w:r>
                          </w:p>
                          <w:p w:rsidR="00653643" w:rsidRPr="00705149" w:rsidRDefault="00D66159" w:rsidP="00B367DF">
                            <w:pPr>
                              <w:jc w:val="center"/>
                              <w:rPr>
                                <w:b/>
                                <w:bCs/>
                                <w:sz w:val="28"/>
                              </w:rPr>
                            </w:pPr>
                            <w:r>
                              <w:rPr>
                                <w:b/>
                                <w:bCs/>
                                <w:sz w:val="28"/>
                              </w:rPr>
                              <w:t>Boston, MA</w:t>
                            </w:r>
                          </w:p>
                          <w:p w:rsidR="00C424AE" w:rsidRPr="00705149" w:rsidRDefault="00C424AE" w:rsidP="00C424AE">
                            <w:pPr>
                              <w:jc w:val="center"/>
                              <w:rPr>
                                <w:b/>
                                <w:bCs/>
                              </w:rPr>
                            </w:pPr>
                          </w:p>
                          <w:p w:rsidR="009A3B91" w:rsidRDefault="009A3B91" w:rsidP="00C424AE">
                            <w:pPr>
                              <w:jc w:val="center"/>
                              <w:rPr>
                                <w:b/>
                                <w:bCs/>
                              </w:rPr>
                            </w:pPr>
                          </w:p>
                          <w:p w:rsidR="00C424AE" w:rsidRDefault="00162679" w:rsidP="00DB51C0">
                            <w:pPr>
                              <w:jc w:val="center"/>
                            </w:pPr>
                            <w:r>
                              <w:rPr>
                                <w:noProof/>
                              </w:rPr>
                              <w:drawing>
                                <wp:inline distT="0" distB="0" distL="0" distR="0">
                                  <wp:extent cx="4044950" cy="2774950"/>
                                  <wp:effectExtent l="0" t="0" r="0" b="0"/>
                                  <wp:docPr id="2" name="Picture 2" descr="Front facade of 600 Washington Street, Boston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nt facade of 600 Washington Street, Boston MA"/>
                                          <pic:cNvPicPr>
                                            <a:picLocks noChangeAspect="1" noChangeArrowheads="1"/>
                                          </pic:cNvPicPr>
                                        </pic:nvPicPr>
                                        <pic:blipFill>
                                          <a:blip r:embed="rId8">
                                            <a:lum bright="12000" contrast="6000"/>
                                            <a:extLst>
                                              <a:ext uri="{28A0092B-C50C-407E-A947-70E740481C1C}">
                                                <a14:useLocalDpi xmlns:a14="http://schemas.microsoft.com/office/drawing/2010/main" val="0"/>
                                              </a:ext>
                                            </a:extLst>
                                          </a:blip>
                                          <a:srcRect b="24324"/>
                                          <a:stretch>
                                            <a:fillRect/>
                                          </a:stretch>
                                        </pic:blipFill>
                                        <pic:spPr bwMode="auto">
                                          <a:xfrm>
                                            <a:off x="0" y="0"/>
                                            <a:ext cx="4044950" cy="2774950"/>
                                          </a:xfrm>
                                          <a:prstGeom prst="rect">
                                            <a:avLst/>
                                          </a:prstGeom>
                                          <a:noFill/>
                                          <a:ln>
                                            <a:noFill/>
                                          </a:ln>
                                        </pic:spPr>
                                      </pic:pic>
                                    </a:graphicData>
                                  </a:graphic>
                                </wp:inline>
                              </w:drawing>
                            </w:r>
                          </w:p>
                          <w:p w:rsidR="00C424AE" w:rsidRDefault="00C424AE" w:rsidP="00DB51C0">
                            <w:pPr>
                              <w:jc w:val="center"/>
                            </w:pPr>
                          </w:p>
                          <w:p w:rsidR="001B28EA" w:rsidRDefault="001B28EA" w:rsidP="00DB51C0">
                            <w:pPr>
                              <w:jc w:val="center"/>
                            </w:pPr>
                          </w:p>
                          <w:p w:rsidR="005F4CE5" w:rsidRDefault="005F4CE5" w:rsidP="00DB51C0">
                            <w:pPr>
                              <w:jc w:val="center"/>
                            </w:pPr>
                          </w:p>
                          <w:p w:rsidR="001B28EA" w:rsidRDefault="001B28EA" w:rsidP="00DB51C0">
                            <w:pPr>
                              <w:jc w:val="center"/>
                            </w:pPr>
                          </w:p>
                          <w:p w:rsidR="00F47535" w:rsidRDefault="00F47535" w:rsidP="00DB51C0">
                            <w:pPr>
                              <w:jc w:val="center"/>
                            </w:pPr>
                          </w:p>
                          <w:p w:rsidR="00AE6286" w:rsidRDefault="00AE6286" w:rsidP="00DB51C0">
                            <w:pPr>
                              <w:jc w:val="center"/>
                            </w:pPr>
                          </w:p>
                          <w:p w:rsidR="00AE6286" w:rsidRDefault="00AE6286"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0B21F1" w:rsidP="00DB51C0">
                            <w:pPr>
                              <w:jc w:val="center"/>
                            </w:pPr>
                            <w:r>
                              <w:t>January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DB51C0" w:rsidRDefault="00DB51C0" w:rsidP="00DB51C0">
                      <w:pPr>
                        <w:jc w:val="center"/>
                        <w:rPr>
                          <w:b/>
                          <w:sz w:val="36"/>
                        </w:rPr>
                      </w:pPr>
                    </w:p>
                    <w:p w:rsidR="00DB51C0" w:rsidRDefault="00DB51C0" w:rsidP="00DB51C0">
                      <w:pPr>
                        <w:jc w:val="center"/>
                        <w:rPr>
                          <w:b/>
                          <w:sz w:val="36"/>
                        </w:rPr>
                      </w:pPr>
                    </w:p>
                    <w:p w:rsidR="00DB51C0" w:rsidRDefault="00556871" w:rsidP="00DB51C0">
                      <w:pPr>
                        <w:jc w:val="center"/>
                        <w:rPr>
                          <w:b/>
                          <w:sz w:val="36"/>
                        </w:rPr>
                      </w:pPr>
                      <w:r>
                        <w:rPr>
                          <w:b/>
                          <w:sz w:val="36"/>
                        </w:rPr>
                        <w:t>ODOR</w:t>
                      </w:r>
                      <w:r w:rsidR="00DB51C0">
                        <w:rPr>
                          <w:b/>
                          <w:sz w:val="36"/>
                        </w:rPr>
                        <w:t xml:space="preserve"> ASSESSMENT</w:t>
                      </w:r>
                    </w:p>
                    <w:p w:rsidR="000B21F1" w:rsidRDefault="000B21F1" w:rsidP="00DB51C0">
                      <w:pPr>
                        <w:jc w:val="center"/>
                        <w:rPr>
                          <w:b/>
                          <w:sz w:val="36"/>
                        </w:rPr>
                      </w:pPr>
                      <w:r>
                        <w:rPr>
                          <w:b/>
                          <w:sz w:val="36"/>
                        </w:rPr>
                        <w:t>Follow-up report</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B367DF" w:rsidRDefault="00556871" w:rsidP="00B367DF">
                      <w:pPr>
                        <w:jc w:val="center"/>
                        <w:rPr>
                          <w:b/>
                          <w:bCs/>
                          <w:sz w:val="28"/>
                        </w:rPr>
                      </w:pPr>
                      <w:bookmarkStart w:id="1" w:name="_GoBack"/>
                      <w:r>
                        <w:rPr>
                          <w:b/>
                          <w:bCs/>
                          <w:sz w:val="28"/>
                        </w:rPr>
                        <w:t xml:space="preserve">Executive </w:t>
                      </w:r>
                      <w:r w:rsidR="00FE7096">
                        <w:rPr>
                          <w:b/>
                          <w:bCs/>
                          <w:sz w:val="28"/>
                        </w:rPr>
                        <w:t>Office of Health and Human Services</w:t>
                      </w:r>
                    </w:p>
                    <w:bookmarkEnd w:id="1"/>
                    <w:p w:rsidR="00556871" w:rsidRDefault="00B367DF" w:rsidP="00B367DF">
                      <w:pPr>
                        <w:jc w:val="center"/>
                        <w:rPr>
                          <w:b/>
                          <w:bCs/>
                          <w:sz w:val="28"/>
                        </w:rPr>
                      </w:pPr>
                      <w:r w:rsidRPr="00B367DF">
                        <w:rPr>
                          <w:b/>
                          <w:bCs/>
                          <w:sz w:val="28"/>
                        </w:rPr>
                        <w:t>600 Washington Street</w:t>
                      </w:r>
                    </w:p>
                    <w:p w:rsidR="00653643" w:rsidRPr="00705149" w:rsidRDefault="00D66159" w:rsidP="00B367DF">
                      <w:pPr>
                        <w:jc w:val="center"/>
                        <w:rPr>
                          <w:b/>
                          <w:bCs/>
                          <w:sz w:val="28"/>
                        </w:rPr>
                      </w:pPr>
                      <w:r>
                        <w:rPr>
                          <w:b/>
                          <w:bCs/>
                          <w:sz w:val="28"/>
                        </w:rPr>
                        <w:t>Boston, MA</w:t>
                      </w:r>
                    </w:p>
                    <w:p w:rsidR="00C424AE" w:rsidRPr="00705149" w:rsidRDefault="00C424AE" w:rsidP="00C424AE">
                      <w:pPr>
                        <w:jc w:val="center"/>
                        <w:rPr>
                          <w:b/>
                          <w:bCs/>
                        </w:rPr>
                      </w:pPr>
                    </w:p>
                    <w:p w:rsidR="009A3B91" w:rsidRDefault="009A3B91" w:rsidP="00C424AE">
                      <w:pPr>
                        <w:jc w:val="center"/>
                        <w:rPr>
                          <w:b/>
                          <w:bCs/>
                        </w:rPr>
                      </w:pPr>
                    </w:p>
                    <w:p w:rsidR="00C424AE" w:rsidRDefault="00162679" w:rsidP="00DB51C0">
                      <w:pPr>
                        <w:jc w:val="center"/>
                      </w:pPr>
                      <w:r>
                        <w:rPr>
                          <w:noProof/>
                        </w:rPr>
                        <w:drawing>
                          <wp:inline distT="0" distB="0" distL="0" distR="0">
                            <wp:extent cx="4044950" cy="2774950"/>
                            <wp:effectExtent l="0" t="0" r="0" b="0"/>
                            <wp:docPr id="2" name="Picture 2" descr="Front facade of 600 Washington Street, Boston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nt facade of 600 Washington Street, Boston MA"/>
                                    <pic:cNvPicPr>
                                      <a:picLocks noChangeAspect="1" noChangeArrowheads="1"/>
                                    </pic:cNvPicPr>
                                  </pic:nvPicPr>
                                  <pic:blipFill>
                                    <a:blip r:embed="rId8">
                                      <a:lum bright="12000" contrast="6000"/>
                                      <a:extLst>
                                        <a:ext uri="{28A0092B-C50C-407E-A947-70E740481C1C}">
                                          <a14:useLocalDpi xmlns:a14="http://schemas.microsoft.com/office/drawing/2010/main" val="0"/>
                                        </a:ext>
                                      </a:extLst>
                                    </a:blip>
                                    <a:srcRect b="24324"/>
                                    <a:stretch>
                                      <a:fillRect/>
                                    </a:stretch>
                                  </pic:blipFill>
                                  <pic:spPr bwMode="auto">
                                    <a:xfrm>
                                      <a:off x="0" y="0"/>
                                      <a:ext cx="4044950" cy="2774950"/>
                                    </a:xfrm>
                                    <a:prstGeom prst="rect">
                                      <a:avLst/>
                                    </a:prstGeom>
                                    <a:noFill/>
                                    <a:ln>
                                      <a:noFill/>
                                    </a:ln>
                                  </pic:spPr>
                                </pic:pic>
                              </a:graphicData>
                            </a:graphic>
                          </wp:inline>
                        </w:drawing>
                      </w:r>
                    </w:p>
                    <w:p w:rsidR="00C424AE" w:rsidRDefault="00C424AE" w:rsidP="00DB51C0">
                      <w:pPr>
                        <w:jc w:val="center"/>
                      </w:pPr>
                    </w:p>
                    <w:p w:rsidR="001B28EA" w:rsidRDefault="001B28EA" w:rsidP="00DB51C0">
                      <w:pPr>
                        <w:jc w:val="center"/>
                      </w:pPr>
                    </w:p>
                    <w:p w:rsidR="005F4CE5" w:rsidRDefault="005F4CE5" w:rsidP="00DB51C0">
                      <w:pPr>
                        <w:jc w:val="center"/>
                      </w:pPr>
                    </w:p>
                    <w:p w:rsidR="001B28EA" w:rsidRDefault="001B28EA" w:rsidP="00DB51C0">
                      <w:pPr>
                        <w:jc w:val="center"/>
                      </w:pPr>
                    </w:p>
                    <w:p w:rsidR="00F47535" w:rsidRDefault="00F47535" w:rsidP="00DB51C0">
                      <w:pPr>
                        <w:jc w:val="center"/>
                      </w:pPr>
                    </w:p>
                    <w:p w:rsidR="00AE6286" w:rsidRDefault="00AE6286" w:rsidP="00DB51C0">
                      <w:pPr>
                        <w:jc w:val="center"/>
                      </w:pPr>
                    </w:p>
                    <w:p w:rsidR="00AE6286" w:rsidRDefault="00AE6286"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0B21F1" w:rsidP="00DB51C0">
                      <w:pPr>
                        <w:jc w:val="center"/>
                      </w:pPr>
                      <w:r>
                        <w:t>January 2019</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295074" w:rsidRDefault="005C29F8" w:rsidP="00B367DF">
            <w:pPr>
              <w:tabs>
                <w:tab w:val="left" w:pos="1485"/>
              </w:tabs>
              <w:rPr>
                <w:bCs/>
              </w:rPr>
            </w:pPr>
            <w:r>
              <w:rPr>
                <w:bCs/>
              </w:rPr>
              <w:t>Executive Office of Health and Human Services (EOHHS) office</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5C29F8" w:rsidRDefault="00B367DF" w:rsidP="005C29F8">
            <w:pPr>
              <w:pStyle w:val="StaffTitleHangingIndent"/>
              <w:rPr>
                <w:bCs/>
              </w:rPr>
            </w:pPr>
            <w:r w:rsidRPr="00295074">
              <w:rPr>
                <w:bCs/>
              </w:rPr>
              <w:t>600 Washington Street</w:t>
            </w:r>
            <w:r w:rsidR="005C29F8">
              <w:rPr>
                <w:bCs/>
              </w:rPr>
              <w:t>,</w:t>
            </w:r>
          </w:p>
          <w:p w:rsidR="00966B98" w:rsidRPr="00295074" w:rsidRDefault="00AE6286" w:rsidP="005C29F8">
            <w:pPr>
              <w:pStyle w:val="StaffTitleHangingIndent"/>
            </w:pPr>
            <w:r>
              <w:t>Boston</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6500F9" w:rsidRDefault="006500F9" w:rsidP="006500F9">
            <w:pPr>
              <w:pStyle w:val="StaffTitleHangingIndent"/>
            </w:pPr>
            <w:r>
              <w:t xml:space="preserve">Deb Coleman, Facilities Director </w:t>
            </w:r>
          </w:p>
          <w:p w:rsidR="00966B98" w:rsidRPr="00B367DF" w:rsidRDefault="006500F9" w:rsidP="006500F9">
            <w:pPr>
              <w:pStyle w:val="StaffTitleHangingIndent"/>
              <w:rPr>
                <w:highlight w:val="yellow"/>
              </w:rPr>
            </w:pPr>
            <w:r>
              <w:t>Executive Office of Health and Human Services</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B367DF" w:rsidRDefault="005C29F8" w:rsidP="005C29F8">
            <w:pPr>
              <w:tabs>
                <w:tab w:val="left" w:pos="1485"/>
              </w:tabs>
              <w:rPr>
                <w:bCs/>
                <w:highlight w:val="yellow"/>
              </w:rPr>
            </w:pPr>
            <w:r>
              <w:rPr>
                <w:bCs/>
              </w:rPr>
              <w:t xml:space="preserve">Odors and </w:t>
            </w:r>
            <w:r w:rsidR="00B367DF" w:rsidRPr="00295074">
              <w:rPr>
                <w:bCs/>
              </w:rPr>
              <w:t>health</w:t>
            </w:r>
            <w:r w:rsidR="00F841D2" w:rsidRPr="00295074">
              <w:rPr>
                <w:bCs/>
              </w:rPr>
              <w:t xml:space="preserve"> </w:t>
            </w:r>
            <w:r w:rsidR="004D6304" w:rsidRPr="00295074">
              <w:rPr>
                <w:bCs/>
              </w:rPr>
              <w:t>concerns</w:t>
            </w:r>
            <w:r>
              <w:rPr>
                <w:bCs/>
              </w:rPr>
              <w:t xml:space="preserve"> following an oil spill </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0B21F1" w:rsidP="000B21F1">
            <w:pPr>
              <w:tabs>
                <w:tab w:val="left" w:pos="1485"/>
              </w:tabs>
              <w:rPr>
                <w:bCs/>
              </w:rPr>
            </w:pPr>
            <w:r>
              <w:rPr>
                <w:bCs/>
              </w:rPr>
              <w:t>January 15,</w:t>
            </w:r>
            <w:r w:rsidR="005C29F8">
              <w:rPr>
                <w:bCs/>
              </w:rPr>
              <w:t xml:space="preserve"> 201</w:t>
            </w:r>
            <w:r>
              <w:rPr>
                <w:bCs/>
              </w:rPr>
              <w:t>9</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Pr="0009667C" w:rsidRDefault="00653643" w:rsidP="004D6304">
            <w:pPr>
              <w:pStyle w:val="StaffTitleHangingIndent"/>
              <w:rPr>
                <w:bCs/>
              </w:rPr>
            </w:pPr>
            <w:r>
              <w:rPr>
                <w:bCs/>
              </w:rPr>
              <w:t xml:space="preserve">Ruth Alfasso, Environmental Engineer, </w:t>
            </w:r>
            <w:r w:rsidR="00FE7096">
              <w:rPr>
                <w:bCs/>
              </w:rPr>
              <w:t>Indoor Air Q</w:t>
            </w:r>
            <w:r w:rsidR="002E1405">
              <w:rPr>
                <w:bCs/>
              </w:rPr>
              <w:t>uality (</w:t>
            </w:r>
            <w:r w:rsidR="000D21AE">
              <w:rPr>
                <w:bCs/>
              </w:rPr>
              <w:t>IAQ</w:t>
            </w:r>
            <w:r w:rsidR="002E1405">
              <w:rPr>
                <w:bCs/>
              </w:rPr>
              <w:t>)</w:t>
            </w:r>
            <w:r w:rsidR="000D21AE">
              <w:rPr>
                <w:bCs/>
              </w:rPr>
              <w:t xml:space="preserve"> </w:t>
            </w:r>
            <w:r w:rsidR="00966B98">
              <w:rPr>
                <w:bCs/>
              </w:rPr>
              <w:t>Program</w:t>
            </w:r>
          </w:p>
        </w:tc>
      </w:tr>
      <w:tr w:rsidR="00966B98" w:rsidRPr="005E458D" w:rsidTr="007154D5">
        <w:trPr>
          <w:trHeight w:val="323"/>
          <w:jc w:val="center"/>
        </w:trPr>
        <w:tc>
          <w:tcPr>
            <w:tcW w:w="5089" w:type="dxa"/>
            <w:shd w:val="clear" w:color="auto" w:fill="auto"/>
          </w:tcPr>
          <w:p w:rsidR="00966B98" w:rsidRPr="00790002" w:rsidRDefault="00966B98" w:rsidP="00486557">
            <w:pPr>
              <w:tabs>
                <w:tab w:val="left" w:pos="1485"/>
              </w:tabs>
              <w:rPr>
                <w:rStyle w:val="BackgroundBoldedDescriptors"/>
              </w:rPr>
            </w:pPr>
            <w:r w:rsidRPr="00790002">
              <w:rPr>
                <w:rStyle w:val="BackgroundBoldedDescriptors"/>
              </w:rPr>
              <w:t>Building Description:</w:t>
            </w:r>
          </w:p>
        </w:tc>
        <w:tc>
          <w:tcPr>
            <w:tcW w:w="4008" w:type="dxa"/>
            <w:shd w:val="clear" w:color="auto" w:fill="auto"/>
          </w:tcPr>
          <w:p w:rsidR="00966B98" w:rsidRPr="00790002" w:rsidRDefault="00295074" w:rsidP="005C29F8">
            <w:pPr>
              <w:pStyle w:val="StaffTitleHangingIndent"/>
              <w:rPr>
                <w:bCs/>
              </w:rPr>
            </w:pPr>
            <w:r w:rsidRPr="00790002">
              <w:rPr>
                <w:bCs/>
              </w:rPr>
              <w:t xml:space="preserve">The offices </w:t>
            </w:r>
            <w:r w:rsidR="005C29F8">
              <w:rPr>
                <w:bCs/>
              </w:rPr>
              <w:t>are in</w:t>
            </w:r>
            <w:r w:rsidRPr="00790002">
              <w:rPr>
                <w:bCs/>
              </w:rPr>
              <w:t xml:space="preserve"> a seven-story, brick-faced building. The building underwent interior renovations in 2011. It has a flat roof with a black rubber membrane. </w:t>
            </w:r>
          </w:p>
        </w:tc>
      </w:tr>
      <w:tr w:rsidR="00966B98" w:rsidRPr="005E458D" w:rsidTr="007154D5">
        <w:trPr>
          <w:jc w:val="center"/>
        </w:trPr>
        <w:tc>
          <w:tcPr>
            <w:tcW w:w="5089" w:type="dxa"/>
            <w:shd w:val="clear" w:color="auto" w:fill="auto"/>
          </w:tcPr>
          <w:p w:rsidR="00966B98" w:rsidRPr="00790002" w:rsidRDefault="00966B98" w:rsidP="00486557">
            <w:pPr>
              <w:tabs>
                <w:tab w:val="left" w:pos="1485"/>
              </w:tabs>
              <w:rPr>
                <w:rStyle w:val="BackgroundBoldedDescriptors"/>
              </w:rPr>
            </w:pPr>
            <w:r w:rsidRPr="00790002">
              <w:rPr>
                <w:rStyle w:val="BackgroundBoldedDescriptors"/>
              </w:rPr>
              <w:t>Windows:</w:t>
            </w:r>
          </w:p>
        </w:tc>
        <w:tc>
          <w:tcPr>
            <w:tcW w:w="4008" w:type="dxa"/>
            <w:shd w:val="clear" w:color="auto" w:fill="auto"/>
          </w:tcPr>
          <w:p w:rsidR="00966B98" w:rsidRPr="00790002" w:rsidRDefault="00F841D2" w:rsidP="00745B72">
            <w:pPr>
              <w:tabs>
                <w:tab w:val="left" w:pos="1485"/>
              </w:tabs>
              <w:rPr>
                <w:bCs/>
              </w:rPr>
            </w:pPr>
            <w:r w:rsidRPr="00790002">
              <w:rPr>
                <w:bCs/>
              </w:rPr>
              <w:t>Not</w:t>
            </w:r>
            <w:r w:rsidR="00753693" w:rsidRPr="00790002">
              <w:rPr>
                <w:bCs/>
              </w:rPr>
              <w:t xml:space="preserve"> o</w:t>
            </w:r>
            <w:r w:rsidR="0073731E" w:rsidRPr="00790002">
              <w:rPr>
                <w:bCs/>
              </w:rPr>
              <w:t>penable</w:t>
            </w:r>
          </w:p>
        </w:tc>
      </w:tr>
    </w:tbl>
    <w:p w:rsidR="005C29F8" w:rsidRDefault="005C29F8" w:rsidP="00F93352">
      <w:pPr>
        <w:pStyle w:val="Heading1"/>
      </w:pPr>
      <w:r>
        <w:t>Background</w:t>
      </w:r>
    </w:p>
    <w:p w:rsidR="00AC2FB7" w:rsidRDefault="005C29F8" w:rsidP="00FE7096">
      <w:pPr>
        <w:pStyle w:val="BodyText10"/>
      </w:pPr>
      <w:r>
        <w:t xml:space="preserve">During the </w:t>
      </w:r>
      <w:r w:rsidRPr="00F35F63">
        <w:t>day on Sunday November 25, 2018, there was a report of a discharge of</w:t>
      </w:r>
      <w:r w:rsidR="00F35F63">
        <w:t xml:space="preserve"> No. 2</w:t>
      </w:r>
      <w:r w:rsidRPr="00F35F63">
        <w:t xml:space="preserve"> </w:t>
      </w:r>
      <w:r w:rsidR="00F35F63">
        <w:t xml:space="preserve">fuel oil </w:t>
      </w:r>
      <w:r w:rsidRPr="00F35F63">
        <w:t>in the basement of</w:t>
      </w:r>
      <w:r>
        <w:t xml:space="preserve"> 600 Washington Street</w:t>
      </w:r>
      <w:r w:rsidR="00C31330">
        <w:t xml:space="preserve"> which houses</w:t>
      </w:r>
      <w:r>
        <w:t xml:space="preserve"> EOHHS offices. The fire department was on scene and cleanup, including removal of oil from the street and below ground was initiated</w:t>
      </w:r>
      <w:r w:rsidR="00CB7CEC">
        <w:t xml:space="preserve">. </w:t>
      </w:r>
      <w:r>
        <w:t xml:space="preserve">The fire department, in coordination with the building operations staff and EOHHS facilities staff cleared the building and environs </w:t>
      </w:r>
      <w:r w:rsidR="00102C95">
        <w:t>in</w:t>
      </w:r>
      <w:r>
        <w:t xml:space="preserve"> terms of general safety.</w:t>
      </w:r>
    </w:p>
    <w:p w:rsidR="00C319AE" w:rsidRDefault="005C29F8" w:rsidP="00FE7096">
      <w:pPr>
        <w:pStyle w:val="BodyText10"/>
      </w:pPr>
      <w:r>
        <w:t xml:space="preserve">EOHHS facilities staff then contacted the Boston Public Health Commission </w:t>
      </w:r>
      <w:r w:rsidR="00AC2FB7">
        <w:t xml:space="preserve">(BPHC) </w:t>
      </w:r>
      <w:r>
        <w:t xml:space="preserve">for assistance regarding the safe occupancy of </w:t>
      </w:r>
      <w:r w:rsidR="00AC2FB7">
        <w:t>the building. BPHC cleared the building for occupancy</w:t>
      </w:r>
      <w:r w:rsidR="00F35F63">
        <w:t>, h</w:t>
      </w:r>
      <w:r w:rsidR="00AC2FB7">
        <w:t>owever, occupants in many areas reported oil odor.</w:t>
      </w:r>
    </w:p>
    <w:p w:rsidR="005C29F8" w:rsidRDefault="00AC2FB7" w:rsidP="00FE7096">
      <w:pPr>
        <w:pStyle w:val="BodyText10"/>
      </w:pPr>
      <w:r>
        <w:t xml:space="preserve">As a </w:t>
      </w:r>
      <w:proofErr w:type="gramStart"/>
      <w:r>
        <w:t>follow</w:t>
      </w:r>
      <w:proofErr w:type="gramEnd"/>
      <w:r>
        <w:t xml:space="preserve"> up to the BPHC assessment, the BEH IAQ program was requested to assess the building and measure for TVOCs in occupied areas throughout the building. </w:t>
      </w:r>
      <w:r w:rsidR="00C319AE">
        <w:t>The BEH/IAQ program took measurements on</w:t>
      </w:r>
      <w:r>
        <w:t xml:space="preserve"> November 26, 2018</w:t>
      </w:r>
      <w:r w:rsidR="00C319AE">
        <w:t xml:space="preserve"> on all floors of the building and the </w:t>
      </w:r>
      <w:r w:rsidR="00C319AE">
        <w:lastRenderedPageBreak/>
        <w:t xml:space="preserve">basement. At that time, the BEH IAQ program recommended verbally a few </w:t>
      </w:r>
      <w:r w:rsidR="009A3AC8">
        <w:t>mitigation</w:t>
      </w:r>
      <w:r w:rsidR="00C319AE">
        <w:t xml:space="preserve"> measures</w:t>
      </w:r>
      <w:r w:rsidR="009A3AC8">
        <w:t xml:space="preserve"> including:</w:t>
      </w:r>
    </w:p>
    <w:p w:rsidR="009A3AC8" w:rsidRDefault="009A3AC8" w:rsidP="009A3AC8">
      <w:pPr>
        <w:pStyle w:val="BodyText"/>
        <w:numPr>
          <w:ilvl w:val="0"/>
          <w:numId w:val="29"/>
        </w:numPr>
      </w:pPr>
      <w:r>
        <w:t>Operate supply and exhaust ventilation continuously in all areas during occupied periods to ensure a supply of fresh air and exhaust to dilute and remove odors. Consider extended time of operation for the ventilation system to ensure that stagnant air with oily odors does not build up overnight.</w:t>
      </w:r>
    </w:p>
    <w:p w:rsidR="00E80CE0" w:rsidRDefault="009A3AC8" w:rsidP="009A3AC8">
      <w:pPr>
        <w:pStyle w:val="BodyText"/>
        <w:numPr>
          <w:ilvl w:val="0"/>
          <w:numId w:val="29"/>
        </w:numPr>
      </w:pPr>
      <w:r>
        <w:t>Use a fan as indicated during the visit to eject odors from the basement.</w:t>
      </w:r>
    </w:p>
    <w:p w:rsidR="009A3AC8" w:rsidRDefault="009A3AC8" w:rsidP="009A3AC8">
      <w:pPr>
        <w:pStyle w:val="BodyText"/>
        <w:numPr>
          <w:ilvl w:val="0"/>
          <w:numId w:val="29"/>
        </w:numPr>
      </w:pPr>
      <w:r>
        <w:t>Consider increasing cleaning in occupied areas, including cleaning carpeting, as oil odor may linger in materials such as upholstery, carpeting, and dust.</w:t>
      </w:r>
    </w:p>
    <w:p w:rsidR="009A3AC8" w:rsidRDefault="009A3AC8" w:rsidP="00FE7096">
      <w:pPr>
        <w:pStyle w:val="BodyText10"/>
      </w:pPr>
    </w:p>
    <w:p w:rsidR="00C319AE" w:rsidRDefault="00C319AE" w:rsidP="00FE7096">
      <w:pPr>
        <w:pStyle w:val="BodyText10"/>
      </w:pPr>
      <w:r>
        <w:t>On January 15, 2019, the BEH/IAQ program returned</w:t>
      </w:r>
      <w:r w:rsidR="009A3AC8">
        <w:t xml:space="preserve"> </w:t>
      </w:r>
      <w:r w:rsidR="00E80CE0">
        <w:t>to perform follow-up testing and assessment to determine if oil odors and related total volatile organic compounds (TVOCs) remained in the building.</w:t>
      </w:r>
    </w:p>
    <w:p w:rsidR="00F93352" w:rsidRDefault="00F93352" w:rsidP="00F93352">
      <w:pPr>
        <w:pStyle w:val="Heading1"/>
      </w:pPr>
      <w:r>
        <w:t>M</w:t>
      </w:r>
      <w:r w:rsidR="007154D5">
        <w:t>ethods</w:t>
      </w:r>
    </w:p>
    <w:p w:rsidR="00F93352" w:rsidRDefault="00F93352" w:rsidP="00F93352">
      <w:pPr>
        <w:pStyle w:val="BodyText"/>
      </w:pPr>
      <w:r w:rsidRPr="002C2B7C">
        <w:t>Please refer to the IAQ Manual for methods, sampling procedures, and interpretation of results (MDPH, 2015).</w:t>
      </w:r>
    </w:p>
    <w:p w:rsidR="005D747F" w:rsidRDefault="005D747F" w:rsidP="005D747F">
      <w:pPr>
        <w:pStyle w:val="Heading1"/>
      </w:pPr>
      <w:r>
        <w:t>IAQ Testing Results</w:t>
      </w:r>
    </w:p>
    <w:p w:rsidR="005D747F" w:rsidRDefault="005D747F" w:rsidP="005D747F">
      <w:pPr>
        <w:pStyle w:val="BodyText1"/>
      </w:pPr>
      <w:r w:rsidRPr="00375CB0">
        <w:t>The following is a summary of indoor air testing result</w:t>
      </w:r>
      <w:r>
        <w:t>s</w:t>
      </w:r>
      <w:r w:rsidRPr="00375CB0">
        <w:t xml:space="preserve"> (Table 1).</w:t>
      </w:r>
    </w:p>
    <w:p w:rsidR="00AC2FB7" w:rsidRDefault="00AC2FB7" w:rsidP="00AC2FB7">
      <w:pPr>
        <w:pStyle w:val="BodyText"/>
        <w:numPr>
          <w:ilvl w:val="0"/>
          <w:numId w:val="26"/>
        </w:numPr>
      </w:pPr>
      <w:r>
        <w:rPr>
          <w:b/>
          <w:i/>
        </w:rPr>
        <w:t>Total Volatile Organic Compounds (TVOC)</w:t>
      </w:r>
      <w:r w:rsidR="005D747F">
        <w:t xml:space="preserve"> levels </w:t>
      </w:r>
      <w:r w:rsidR="00E80CE0">
        <w:t xml:space="preserve">were </w:t>
      </w:r>
      <w:r w:rsidR="00F003BF">
        <w:t>below the detection limit of the instrument (</w:t>
      </w:r>
      <w:proofErr w:type="gramStart"/>
      <w:r w:rsidR="00F003BF">
        <w:t>non detect</w:t>
      </w:r>
      <w:proofErr w:type="gramEnd"/>
      <w:r w:rsidR="00F003BF">
        <w:t xml:space="preserve"> or ND)</w:t>
      </w:r>
      <w:r w:rsidR="00E80CE0">
        <w:t xml:space="preserve"> areas </w:t>
      </w:r>
      <w:r w:rsidR="00F003BF">
        <w:t>assessed.</w:t>
      </w:r>
      <w:r w:rsidR="00E80CE0">
        <w:t xml:space="preserve"> Light oil odors were noted in </w:t>
      </w:r>
      <w:r w:rsidR="00E3214F">
        <w:t>the stairwell</w:t>
      </w:r>
      <w:r w:rsidR="00F003BF">
        <w:t xml:space="preserve"> on the Hayward Place side of the building</w:t>
      </w:r>
      <w:r w:rsidR="00E80CE0">
        <w:t xml:space="preserve"> along with cigarette smoke odors, but none in occupied areas.</w:t>
      </w:r>
    </w:p>
    <w:p w:rsidR="00AC2FB7" w:rsidRDefault="00AC2FB7" w:rsidP="00E6443F">
      <w:pPr>
        <w:pStyle w:val="Heading1"/>
      </w:pPr>
      <w:r>
        <w:t>Results/Discussion</w:t>
      </w:r>
    </w:p>
    <w:p w:rsidR="00FC33AE" w:rsidRDefault="00F35F63" w:rsidP="00FC33AE">
      <w:pPr>
        <w:pStyle w:val="BodyText10"/>
      </w:pPr>
      <w:r>
        <w:t xml:space="preserve">No. 2 fuel </w:t>
      </w:r>
      <w:r w:rsidR="00FC33AE">
        <w:t>oil</w:t>
      </w:r>
      <w:r>
        <w:t xml:space="preserve"> </w:t>
      </w:r>
      <w:r w:rsidR="00FC33AE">
        <w:t xml:space="preserve">is composed of a variety of compounds, many of which are volatile. The odors of the combined products in oil create a penetrating, distinct “oily” odor. This odor and the </w:t>
      </w:r>
      <w:r w:rsidR="00FC33AE">
        <w:lastRenderedPageBreak/>
        <w:t>associated TVOCs can result in irritation to mucous membranes and other short-term symptoms in sensitive individuals.</w:t>
      </w:r>
    </w:p>
    <w:p w:rsidR="00FC33AE" w:rsidRDefault="00E3214F" w:rsidP="00FC33AE">
      <w:pPr>
        <w:pStyle w:val="BodyText10"/>
      </w:pPr>
      <w:r>
        <w:t xml:space="preserve">The </w:t>
      </w:r>
      <w:r w:rsidR="00FC33AE">
        <w:t xml:space="preserve">oil was spilled in the basement of the building. </w:t>
      </w:r>
      <w:r w:rsidR="00AD2818">
        <w:t xml:space="preserve">Based on testing and assessment on November 26, 2018, it was determined that the stairwell on the Hayward Place side of the building was providing a conduit for oily odors/fumes to travel from the basement to the rest of the building. </w:t>
      </w:r>
      <w:r w:rsidR="00FC33AE">
        <w:t>Because of the stack effect, where heated air rises, odors associated with the basement can be pulled up the stairwell</w:t>
      </w:r>
      <w:r w:rsidR="00FE7096">
        <w:t xml:space="preserve"> and enter occupied areas. The higher levels of TVOCs measured and odors detected on the 7</w:t>
      </w:r>
      <w:r w:rsidR="00FE7096" w:rsidRPr="00FE7096">
        <w:rPr>
          <w:vertAlign w:val="superscript"/>
        </w:rPr>
        <w:t>th</w:t>
      </w:r>
      <w:r w:rsidR="00FE7096">
        <w:t xml:space="preserve"> floor</w:t>
      </w:r>
      <w:r w:rsidR="00AD2818">
        <w:t xml:space="preserve"> during the November 26, 2018 visit resulted from</w:t>
      </w:r>
      <w:r w:rsidR="00FE7096">
        <w:t xml:space="preserve"> this process.</w:t>
      </w:r>
      <w:r w:rsidR="00AD2818">
        <w:t xml:space="preserve"> Building staff reported that, as recommended by the BEH/IAQ program,</w:t>
      </w:r>
      <w:r w:rsidR="00FE7096">
        <w:t xml:space="preserve"> a fan </w:t>
      </w:r>
      <w:r w:rsidR="00AD2818">
        <w:t>was</w:t>
      </w:r>
      <w:r w:rsidR="00FE7096">
        <w:t xml:space="preserve"> used to eject odor-laden air from the basement directly outside, to prevent migration to occupied areas upstairs.</w:t>
      </w:r>
    </w:p>
    <w:p w:rsidR="00AD2818" w:rsidRPr="00E6443F" w:rsidRDefault="00AD2818" w:rsidP="00FC33AE">
      <w:pPr>
        <w:pStyle w:val="BodyText10"/>
      </w:pPr>
      <w:r>
        <w:t>During the follow-up visit on January 15, 2019, no oily odors were detected in any occupied space</w:t>
      </w:r>
      <w:r w:rsidR="00F003BF">
        <w:t xml:space="preserve"> and levels of TVOC were </w:t>
      </w:r>
      <w:r w:rsidR="00F87D98">
        <w:t>ND</w:t>
      </w:r>
      <w:r>
        <w:t>. The only oily odors detected were in the stairwell of the building</w:t>
      </w:r>
      <w:r w:rsidR="00F87D98">
        <w:t>.</w:t>
      </w:r>
      <w:r>
        <w:t xml:space="preserve"> On lower floors of the stairwell, an odor of cigarette smoke was also detected, which is likely f</w:t>
      </w:r>
      <w:r w:rsidR="008E03AA">
        <w:t>rom illicit smoking activities.</w:t>
      </w:r>
      <w:r>
        <w:t xml:space="preserve"> </w:t>
      </w:r>
      <w:r w:rsidR="008E03AA">
        <w:t xml:space="preserve">Cigarette smoke can contain TVOCs as well as soot, carbon monoxide and other pollutants. </w:t>
      </w:r>
      <w:r>
        <w:t xml:space="preserve">Dust, debris and peeling paint were also observed in stairwells. Cleaning the stairwells thoroughly and preventing illicit smoking will </w:t>
      </w:r>
      <w:r w:rsidR="008E03AA">
        <w:t>likely reduce</w:t>
      </w:r>
      <w:r>
        <w:t xml:space="preserve"> odors from this area. The subbasement was also examined, a locati</w:t>
      </w:r>
      <w:r w:rsidR="008E03AA">
        <w:t>o</w:t>
      </w:r>
      <w:r>
        <w:t>n where significant oily odors and TVOCs</w:t>
      </w:r>
      <w:r w:rsidR="008E03AA">
        <w:t xml:space="preserve"> had been observed on the November 26, 2018 visit.</w:t>
      </w:r>
      <w:r w:rsidR="00F87D98">
        <w:t xml:space="preserve"> This area was no longer a source of measurable TVOCs.</w:t>
      </w:r>
    </w:p>
    <w:p w:rsidR="004D05AC" w:rsidRPr="00736ECE" w:rsidRDefault="00DF2A15" w:rsidP="00104481">
      <w:pPr>
        <w:pStyle w:val="Heading1"/>
      </w:pPr>
      <w:r w:rsidRPr="00736ECE">
        <w:t>C</w:t>
      </w:r>
      <w:r w:rsidR="004D05AC" w:rsidRPr="00736ECE">
        <w:t>onclusions/Recommendations</w:t>
      </w:r>
    </w:p>
    <w:p w:rsidR="007B5977" w:rsidRDefault="00F87A1A" w:rsidP="00E102B0">
      <w:pPr>
        <w:pStyle w:val="BodyText"/>
      </w:pPr>
      <w:r w:rsidRPr="00736ECE">
        <w:t xml:space="preserve">Based on observations at the time of assessment, </w:t>
      </w:r>
      <w:r w:rsidR="00590617">
        <w:t>the following is recommended:</w:t>
      </w:r>
    </w:p>
    <w:p w:rsidR="008E03AA" w:rsidRDefault="008E03AA" w:rsidP="00FE7096">
      <w:pPr>
        <w:pStyle w:val="BodyText"/>
        <w:numPr>
          <w:ilvl w:val="0"/>
          <w:numId w:val="23"/>
        </w:numPr>
        <w:ind w:left="720" w:hanging="720"/>
      </w:pPr>
      <w:r>
        <w:t>Have the stairwells cleaned to remove dust, dirt and debris that may be an ongoing source of oil odor. If needed, ventilate the stairwell periodically using a fan in a window.</w:t>
      </w:r>
    </w:p>
    <w:p w:rsidR="008E03AA" w:rsidRDefault="008E03AA" w:rsidP="00FE7096">
      <w:pPr>
        <w:pStyle w:val="BodyText"/>
        <w:numPr>
          <w:ilvl w:val="0"/>
          <w:numId w:val="23"/>
        </w:numPr>
        <w:ind w:left="720" w:hanging="720"/>
      </w:pPr>
      <w:r>
        <w:t>Take measures to prevent smoking in the stairwells and elsewhere in the building.</w:t>
      </w:r>
    </w:p>
    <w:p w:rsidR="008E03AA" w:rsidRDefault="008E03AA" w:rsidP="00FE7096">
      <w:pPr>
        <w:pStyle w:val="BodyText"/>
        <w:numPr>
          <w:ilvl w:val="0"/>
          <w:numId w:val="23"/>
        </w:numPr>
        <w:ind w:left="720" w:hanging="720"/>
      </w:pPr>
      <w:r>
        <w:t>Ensure building ventilation is operating during occupied hours to provide an ongoing source of fresh air and exhaust.</w:t>
      </w:r>
    </w:p>
    <w:p w:rsidR="00F87D98" w:rsidRDefault="007A2045" w:rsidP="002849F3">
      <w:pPr>
        <w:pStyle w:val="BodyText"/>
        <w:numPr>
          <w:ilvl w:val="0"/>
          <w:numId w:val="23"/>
        </w:numPr>
        <w:ind w:left="720" w:hanging="720"/>
      </w:pPr>
      <w:r>
        <w:t xml:space="preserve">Refer to resource manual and other related IAQ documents located on the MDPH’s website for further building-wide evaluations and advice on maintaining public buildings. These documents are available at: </w:t>
      </w:r>
      <w:hyperlink r:id="rId9" w:history="1">
        <w:r w:rsidRPr="00D0484B">
          <w:t>http:</w:t>
        </w:r>
        <w:r w:rsidRPr="00D0484B">
          <w:t>/</w:t>
        </w:r>
        <w:r w:rsidRPr="00D0484B">
          <w:t>/</w:t>
        </w:r>
        <w:r w:rsidRPr="00D0484B">
          <w:t>m</w:t>
        </w:r>
        <w:r w:rsidRPr="00D0484B">
          <w:t>ass.</w:t>
        </w:r>
        <w:r w:rsidRPr="00D0484B">
          <w:t>g</w:t>
        </w:r>
        <w:r w:rsidRPr="00D0484B">
          <w:t>o</w:t>
        </w:r>
        <w:r w:rsidRPr="00D0484B">
          <w:t>v</w:t>
        </w:r>
        <w:r w:rsidRPr="00D0484B">
          <w:t>/dph/iaq</w:t>
        </w:r>
      </w:hyperlink>
      <w:r w:rsidR="005D53B9">
        <w:t>.</w:t>
      </w:r>
      <w:r w:rsidR="005942C5" w:rsidRPr="00A009E4">
        <w:br w:type="page"/>
      </w:r>
    </w:p>
    <w:p w:rsidR="004D05AC" w:rsidRPr="00F87D98" w:rsidRDefault="004A28CB" w:rsidP="00F87D98">
      <w:pPr>
        <w:pStyle w:val="BodyText"/>
        <w:ind w:firstLine="0"/>
        <w:rPr>
          <w:b/>
          <w:sz w:val="28"/>
          <w:szCs w:val="28"/>
        </w:rPr>
      </w:pPr>
      <w:r w:rsidRPr="00F87D98">
        <w:rPr>
          <w:b/>
          <w:sz w:val="28"/>
          <w:szCs w:val="28"/>
        </w:rPr>
        <w:lastRenderedPageBreak/>
        <w:t>R</w:t>
      </w:r>
      <w:r w:rsidR="004D05AC" w:rsidRPr="00F87D98">
        <w:rPr>
          <w:b/>
          <w:sz w:val="28"/>
          <w:szCs w:val="28"/>
        </w:rPr>
        <w:t>eferences</w:t>
      </w:r>
    </w:p>
    <w:p w:rsidR="00FB2D24" w:rsidRPr="002849F3" w:rsidRDefault="00FB2D24" w:rsidP="00FB2D24">
      <w:pPr>
        <w:pStyle w:val="References"/>
      </w:pPr>
      <w:r w:rsidRPr="002849F3">
        <w:t xml:space="preserve">MDPH. 2015. Massachusetts Department of Public Health. Indoor Air Quality Manual: Chapters I-III. Available at: </w:t>
      </w:r>
      <w:hyperlink r:id="rId10" w:history="1">
        <w:r w:rsidRPr="002849F3">
          <w:rPr>
            <w:rStyle w:val="Hyperlink"/>
          </w:rPr>
          <w:t>http://www.mass.gov/eo</w:t>
        </w:r>
        <w:r w:rsidRPr="002849F3">
          <w:rPr>
            <w:rStyle w:val="Hyperlink"/>
          </w:rPr>
          <w:t>h</w:t>
        </w:r>
        <w:r w:rsidRPr="002849F3">
          <w:rPr>
            <w:rStyle w:val="Hyperlink"/>
          </w:rPr>
          <w:t>h</w:t>
        </w:r>
        <w:r w:rsidRPr="002849F3">
          <w:rPr>
            <w:rStyle w:val="Hyperlink"/>
          </w:rPr>
          <w:t>s/gov/departments/dp</w:t>
        </w:r>
        <w:r w:rsidRPr="002849F3">
          <w:rPr>
            <w:rStyle w:val="Hyperlink"/>
          </w:rPr>
          <w:t>h</w:t>
        </w:r>
        <w:r w:rsidRPr="002849F3">
          <w:rPr>
            <w:rStyle w:val="Hyperlink"/>
          </w:rPr>
          <w:t>/programs/environmental-health/exposure-topics/iaq/ia</w:t>
        </w:r>
        <w:r w:rsidRPr="002849F3">
          <w:rPr>
            <w:rStyle w:val="Hyperlink"/>
          </w:rPr>
          <w:t>q</w:t>
        </w:r>
        <w:r w:rsidRPr="002849F3">
          <w:rPr>
            <w:rStyle w:val="Hyperlink"/>
          </w:rPr>
          <w:t>-man</w:t>
        </w:r>
        <w:r w:rsidRPr="002849F3">
          <w:rPr>
            <w:rStyle w:val="Hyperlink"/>
          </w:rPr>
          <w:t>u</w:t>
        </w:r>
        <w:r w:rsidRPr="002849F3">
          <w:rPr>
            <w:rStyle w:val="Hyperlink"/>
          </w:rPr>
          <w:t>al/</w:t>
        </w:r>
      </w:hyperlink>
      <w:r w:rsidRPr="002849F3">
        <w:t>.</w:t>
      </w:r>
    </w:p>
    <w:p w:rsidR="0052529C" w:rsidRDefault="0052529C" w:rsidP="00FB2D24">
      <w:pPr>
        <w:pStyle w:val="References"/>
        <w:sectPr w:rsidR="0052529C" w:rsidSect="00B0444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titlePg/>
          <w:docGrid w:linePitch="254"/>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2097"/>
        <w:gridCol w:w="4642"/>
      </w:tblGrid>
      <w:tr w:rsidR="0052529C" w:rsidRPr="000E74B4" w:rsidTr="000E74B4">
        <w:tc>
          <w:tcPr>
            <w:tcW w:w="2628" w:type="dxa"/>
            <w:tcBorders>
              <w:top w:val="single" w:sz="18" w:space="0" w:color="auto"/>
              <w:left w:val="single" w:sz="18" w:space="0" w:color="auto"/>
              <w:bottom w:val="single" w:sz="18" w:space="0" w:color="auto"/>
              <w:right w:val="single" w:sz="18" w:space="0" w:color="auto"/>
            </w:tcBorders>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lastRenderedPageBreak/>
              <w:t>Location</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TVOC (ppm)</w:t>
            </w:r>
          </w:p>
        </w:tc>
        <w:tc>
          <w:tcPr>
            <w:tcW w:w="4788" w:type="dxa"/>
            <w:tcBorders>
              <w:top w:val="single" w:sz="18" w:space="0" w:color="auto"/>
              <w:left w:val="single" w:sz="18" w:space="0" w:color="auto"/>
              <w:bottom w:val="single" w:sz="18" w:space="0" w:color="auto"/>
              <w:right w:val="single" w:sz="18" w:space="0" w:color="auto"/>
            </w:tcBorders>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Comments</w:t>
            </w:r>
          </w:p>
        </w:tc>
      </w:tr>
      <w:tr w:rsidR="0052529C" w:rsidRPr="000E74B4" w:rsidTr="000E74B4">
        <w:tc>
          <w:tcPr>
            <w:tcW w:w="2628" w:type="dxa"/>
            <w:tcBorders>
              <w:top w:val="single" w:sz="18" w:space="0" w:color="auto"/>
            </w:tcBorders>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Background (outside)</w:t>
            </w:r>
          </w:p>
        </w:tc>
        <w:tc>
          <w:tcPr>
            <w:tcW w:w="2160" w:type="dxa"/>
            <w:tcBorders>
              <w:top w:val="single" w:sz="18" w:space="0" w:color="auto"/>
            </w:tcBorders>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ND</w:t>
            </w:r>
          </w:p>
        </w:tc>
        <w:tc>
          <w:tcPr>
            <w:tcW w:w="4788" w:type="dxa"/>
            <w:tcBorders>
              <w:top w:val="single" w:sz="18" w:space="0" w:color="auto"/>
            </w:tcBorders>
            <w:shd w:val="clear" w:color="auto" w:fill="auto"/>
          </w:tcPr>
          <w:p w:rsidR="0052529C" w:rsidRPr="000E74B4" w:rsidRDefault="0052529C" w:rsidP="0052529C">
            <w:pPr>
              <w:rPr>
                <w:rFonts w:ascii="Calibri" w:eastAsia="Calibri" w:hAnsi="Calibri"/>
                <w:sz w:val="22"/>
                <w:szCs w:val="24"/>
              </w:rPr>
            </w:pPr>
          </w:p>
        </w:tc>
      </w:tr>
      <w:tr w:rsidR="0052529C" w:rsidRPr="000E74B4" w:rsidTr="000E74B4">
        <w:tc>
          <w:tcPr>
            <w:tcW w:w="2628"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7248</w:t>
            </w:r>
          </w:p>
        </w:tc>
        <w:tc>
          <w:tcPr>
            <w:tcW w:w="2160"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ND</w:t>
            </w:r>
          </w:p>
        </w:tc>
        <w:tc>
          <w:tcPr>
            <w:tcW w:w="4788"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No oil odor</w:t>
            </w:r>
          </w:p>
        </w:tc>
      </w:tr>
      <w:tr w:rsidR="0052529C" w:rsidRPr="000E74B4" w:rsidTr="000E74B4">
        <w:tc>
          <w:tcPr>
            <w:tcW w:w="2628"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7230</w:t>
            </w:r>
          </w:p>
        </w:tc>
        <w:tc>
          <w:tcPr>
            <w:tcW w:w="2160"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ND</w:t>
            </w:r>
          </w:p>
        </w:tc>
        <w:tc>
          <w:tcPr>
            <w:tcW w:w="4788"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No oil odor</w:t>
            </w:r>
          </w:p>
        </w:tc>
      </w:tr>
      <w:tr w:rsidR="0052529C" w:rsidRPr="000E74B4" w:rsidTr="000E74B4">
        <w:tc>
          <w:tcPr>
            <w:tcW w:w="2628"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7223</w:t>
            </w:r>
          </w:p>
        </w:tc>
        <w:tc>
          <w:tcPr>
            <w:tcW w:w="2160"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ND</w:t>
            </w:r>
          </w:p>
        </w:tc>
        <w:tc>
          <w:tcPr>
            <w:tcW w:w="4788"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No oil odor</w:t>
            </w:r>
          </w:p>
        </w:tc>
      </w:tr>
      <w:tr w:rsidR="0052529C" w:rsidRPr="000E74B4" w:rsidTr="000E74B4">
        <w:tc>
          <w:tcPr>
            <w:tcW w:w="2628"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7</w:t>
            </w:r>
            <w:r w:rsidRPr="000E74B4">
              <w:rPr>
                <w:rFonts w:ascii="Calibri" w:eastAsia="Calibri" w:hAnsi="Calibri"/>
                <w:sz w:val="22"/>
                <w:szCs w:val="24"/>
                <w:vertAlign w:val="superscript"/>
              </w:rPr>
              <w:t>th</w:t>
            </w:r>
            <w:r w:rsidRPr="000E74B4">
              <w:rPr>
                <w:rFonts w:ascii="Calibri" w:eastAsia="Calibri" w:hAnsi="Calibri"/>
                <w:sz w:val="22"/>
                <w:szCs w:val="24"/>
              </w:rPr>
              <w:t xml:space="preserve"> floor elevator lobby</w:t>
            </w:r>
          </w:p>
        </w:tc>
        <w:tc>
          <w:tcPr>
            <w:tcW w:w="2160"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ND</w:t>
            </w:r>
          </w:p>
        </w:tc>
        <w:tc>
          <w:tcPr>
            <w:tcW w:w="4788"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No oil odor</w:t>
            </w:r>
          </w:p>
        </w:tc>
      </w:tr>
      <w:tr w:rsidR="0052529C" w:rsidRPr="000E74B4" w:rsidTr="000E74B4">
        <w:tc>
          <w:tcPr>
            <w:tcW w:w="2628"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7285</w:t>
            </w:r>
          </w:p>
        </w:tc>
        <w:tc>
          <w:tcPr>
            <w:tcW w:w="2160"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ND</w:t>
            </w:r>
          </w:p>
        </w:tc>
        <w:tc>
          <w:tcPr>
            <w:tcW w:w="4788"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No oil odor</w:t>
            </w:r>
          </w:p>
        </w:tc>
      </w:tr>
      <w:tr w:rsidR="0052529C" w:rsidRPr="000E74B4" w:rsidTr="000E74B4">
        <w:tc>
          <w:tcPr>
            <w:tcW w:w="2628"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7268</w:t>
            </w:r>
          </w:p>
        </w:tc>
        <w:tc>
          <w:tcPr>
            <w:tcW w:w="2160"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ND</w:t>
            </w:r>
          </w:p>
        </w:tc>
        <w:tc>
          <w:tcPr>
            <w:tcW w:w="4788"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No oil odor</w:t>
            </w:r>
          </w:p>
        </w:tc>
      </w:tr>
      <w:tr w:rsidR="0052529C" w:rsidRPr="000E74B4" w:rsidTr="000E74B4">
        <w:tc>
          <w:tcPr>
            <w:tcW w:w="2628"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7</w:t>
            </w:r>
            <w:r w:rsidRPr="000E74B4">
              <w:rPr>
                <w:rFonts w:ascii="Calibri" w:eastAsia="Calibri" w:hAnsi="Calibri"/>
                <w:sz w:val="22"/>
                <w:szCs w:val="24"/>
                <w:vertAlign w:val="superscript"/>
              </w:rPr>
              <w:t>th</w:t>
            </w:r>
            <w:r w:rsidRPr="000E74B4">
              <w:rPr>
                <w:rFonts w:ascii="Calibri" w:eastAsia="Calibri" w:hAnsi="Calibri"/>
                <w:sz w:val="22"/>
                <w:szCs w:val="24"/>
              </w:rPr>
              <w:t xml:space="preserve"> floor training room</w:t>
            </w:r>
          </w:p>
        </w:tc>
        <w:tc>
          <w:tcPr>
            <w:tcW w:w="2160"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ND</w:t>
            </w:r>
          </w:p>
        </w:tc>
        <w:tc>
          <w:tcPr>
            <w:tcW w:w="4788"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No oil odor</w:t>
            </w:r>
          </w:p>
        </w:tc>
      </w:tr>
      <w:tr w:rsidR="0052529C" w:rsidRPr="000E74B4" w:rsidTr="000E74B4">
        <w:tc>
          <w:tcPr>
            <w:tcW w:w="2628"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Hayward Place side stairwell</w:t>
            </w:r>
          </w:p>
        </w:tc>
        <w:tc>
          <w:tcPr>
            <w:tcW w:w="2160" w:type="dxa"/>
            <w:shd w:val="clear" w:color="auto" w:fill="auto"/>
          </w:tcPr>
          <w:p w:rsidR="0052529C" w:rsidRPr="000E74B4" w:rsidRDefault="0052529C" w:rsidP="0052529C">
            <w:pPr>
              <w:rPr>
                <w:rFonts w:ascii="Calibri" w:eastAsia="Calibri" w:hAnsi="Calibri"/>
                <w:sz w:val="22"/>
                <w:szCs w:val="24"/>
              </w:rPr>
            </w:pPr>
          </w:p>
        </w:tc>
        <w:tc>
          <w:tcPr>
            <w:tcW w:w="4788" w:type="dxa"/>
            <w:shd w:val="clear" w:color="auto" w:fill="auto"/>
          </w:tcPr>
          <w:p w:rsidR="0052529C" w:rsidRPr="000E74B4" w:rsidRDefault="0052529C" w:rsidP="0052529C">
            <w:pPr>
              <w:rPr>
                <w:rFonts w:ascii="Calibri" w:eastAsia="Calibri" w:hAnsi="Calibri"/>
                <w:sz w:val="22"/>
                <w:szCs w:val="24"/>
              </w:rPr>
            </w:pPr>
          </w:p>
        </w:tc>
      </w:tr>
      <w:tr w:rsidR="0052529C" w:rsidRPr="000E74B4" w:rsidTr="000E74B4">
        <w:tc>
          <w:tcPr>
            <w:tcW w:w="2628"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 xml:space="preserve">   7</w:t>
            </w:r>
            <w:r w:rsidRPr="000E74B4">
              <w:rPr>
                <w:rFonts w:ascii="Calibri" w:eastAsia="Calibri" w:hAnsi="Calibri"/>
                <w:sz w:val="22"/>
                <w:szCs w:val="24"/>
                <w:vertAlign w:val="superscript"/>
              </w:rPr>
              <w:t>th</w:t>
            </w:r>
            <w:r w:rsidRPr="000E74B4">
              <w:rPr>
                <w:rFonts w:ascii="Calibri" w:eastAsia="Calibri" w:hAnsi="Calibri"/>
                <w:sz w:val="22"/>
                <w:szCs w:val="24"/>
              </w:rPr>
              <w:t xml:space="preserve"> floor</w:t>
            </w:r>
          </w:p>
        </w:tc>
        <w:tc>
          <w:tcPr>
            <w:tcW w:w="2160"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ND</w:t>
            </w:r>
          </w:p>
        </w:tc>
        <w:tc>
          <w:tcPr>
            <w:tcW w:w="4788"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Light oil odor</w:t>
            </w:r>
          </w:p>
        </w:tc>
      </w:tr>
      <w:tr w:rsidR="0052529C" w:rsidRPr="000E74B4" w:rsidTr="000E74B4">
        <w:tc>
          <w:tcPr>
            <w:tcW w:w="2628"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 xml:space="preserve">   6</w:t>
            </w:r>
            <w:r w:rsidRPr="000E74B4">
              <w:rPr>
                <w:rFonts w:ascii="Calibri" w:eastAsia="Calibri" w:hAnsi="Calibri"/>
                <w:sz w:val="22"/>
                <w:szCs w:val="24"/>
                <w:vertAlign w:val="superscript"/>
              </w:rPr>
              <w:t>th</w:t>
            </w:r>
            <w:r w:rsidRPr="000E74B4">
              <w:rPr>
                <w:rFonts w:ascii="Calibri" w:eastAsia="Calibri" w:hAnsi="Calibri"/>
                <w:sz w:val="22"/>
                <w:szCs w:val="24"/>
              </w:rPr>
              <w:t xml:space="preserve"> floor</w:t>
            </w:r>
          </w:p>
        </w:tc>
        <w:tc>
          <w:tcPr>
            <w:tcW w:w="2160"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ND</w:t>
            </w:r>
          </w:p>
        </w:tc>
        <w:tc>
          <w:tcPr>
            <w:tcW w:w="4788"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Light oil odor</w:t>
            </w:r>
          </w:p>
        </w:tc>
      </w:tr>
      <w:tr w:rsidR="0052529C" w:rsidRPr="000E74B4" w:rsidTr="000E74B4">
        <w:tc>
          <w:tcPr>
            <w:tcW w:w="2628"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 xml:space="preserve">   5</w:t>
            </w:r>
            <w:r w:rsidRPr="000E74B4">
              <w:rPr>
                <w:rFonts w:ascii="Calibri" w:eastAsia="Calibri" w:hAnsi="Calibri"/>
                <w:sz w:val="22"/>
                <w:szCs w:val="24"/>
                <w:vertAlign w:val="superscript"/>
              </w:rPr>
              <w:t>th</w:t>
            </w:r>
            <w:r w:rsidRPr="000E74B4">
              <w:rPr>
                <w:rFonts w:ascii="Calibri" w:eastAsia="Calibri" w:hAnsi="Calibri"/>
                <w:sz w:val="22"/>
                <w:szCs w:val="24"/>
              </w:rPr>
              <w:t xml:space="preserve"> floor</w:t>
            </w:r>
          </w:p>
        </w:tc>
        <w:tc>
          <w:tcPr>
            <w:tcW w:w="2160"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ND</w:t>
            </w:r>
          </w:p>
        </w:tc>
        <w:tc>
          <w:tcPr>
            <w:tcW w:w="4788"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 xml:space="preserve">Light oil odor </w:t>
            </w:r>
          </w:p>
        </w:tc>
      </w:tr>
      <w:tr w:rsidR="0052529C" w:rsidRPr="000E74B4" w:rsidTr="000E74B4">
        <w:tc>
          <w:tcPr>
            <w:tcW w:w="2628"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 xml:space="preserve">   4</w:t>
            </w:r>
            <w:r w:rsidRPr="000E74B4">
              <w:rPr>
                <w:rFonts w:ascii="Calibri" w:eastAsia="Calibri" w:hAnsi="Calibri"/>
                <w:sz w:val="22"/>
                <w:szCs w:val="24"/>
                <w:vertAlign w:val="superscript"/>
              </w:rPr>
              <w:t>th</w:t>
            </w:r>
            <w:r w:rsidRPr="000E74B4">
              <w:rPr>
                <w:rFonts w:ascii="Calibri" w:eastAsia="Calibri" w:hAnsi="Calibri"/>
                <w:sz w:val="22"/>
                <w:szCs w:val="24"/>
              </w:rPr>
              <w:t xml:space="preserve"> floor</w:t>
            </w:r>
          </w:p>
        </w:tc>
        <w:tc>
          <w:tcPr>
            <w:tcW w:w="2160"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ND</w:t>
            </w:r>
          </w:p>
        </w:tc>
        <w:tc>
          <w:tcPr>
            <w:tcW w:w="4788"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Light oil odor and light cigarette odor</w:t>
            </w:r>
          </w:p>
        </w:tc>
      </w:tr>
      <w:tr w:rsidR="0052529C" w:rsidRPr="000E74B4" w:rsidTr="000E74B4">
        <w:tc>
          <w:tcPr>
            <w:tcW w:w="2628"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 xml:space="preserve">   2</w:t>
            </w:r>
            <w:r w:rsidRPr="000E74B4">
              <w:rPr>
                <w:rFonts w:ascii="Calibri" w:eastAsia="Calibri" w:hAnsi="Calibri"/>
                <w:sz w:val="22"/>
                <w:szCs w:val="24"/>
                <w:vertAlign w:val="superscript"/>
              </w:rPr>
              <w:t>nd</w:t>
            </w:r>
            <w:r w:rsidRPr="000E74B4">
              <w:rPr>
                <w:rFonts w:ascii="Calibri" w:eastAsia="Calibri" w:hAnsi="Calibri"/>
                <w:sz w:val="22"/>
                <w:szCs w:val="24"/>
              </w:rPr>
              <w:t xml:space="preserve"> floor</w:t>
            </w:r>
          </w:p>
        </w:tc>
        <w:tc>
          <w:tcPr>
            <w:tcW w:w="2160"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ND</w:t>
            </w:r>
          </w:p>
        </w:tc>
        <w:tc>
          <w:tcPr>
            <w:tcW w:w="4788"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Light oil odor and light cigarette odor</w:t>
            </w:r>
          </w:p>
        </w:tc>
      </w:tr>
      <w:tr w:rsidR="0052529C" w:rsidRPr="000E74B4" w:rsidTr="000E74B4">
        <w:tc>
          <w:tcPr>
            <w:tcW w:w="2628"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 xml:space="preserve">   1</w:t>
            </w:r>
            <w:r w:rsidRPr="000E74B4">
              <w:rPr>
                <w:rFonts w:ascii="Calibri" w:eastAsia="Calibri" w:hAnsi="Calibri"/>
                <w:sz w:val="22"/>
                <w:szCs w:val="24"/>
                <w:vertAlign w:val="superscript"/>
              </w:rPr>
              <w:t>st</w:t>
            </w:r>
            <w:r w:rsidRPr="000E74B4">
              <w:rPr>
                <w:rFonts w:ascii="Calibri" w:eastAsia="Calibri" w:hAnsi="Calibri"/>
                <w:sz w:val="22"/>
                <w:szCs w:val="24"/>
              </w:rPr>
              <w:t xml:space="preserve"> floor</w:t>
            </w:r>
          </w:p>
        </w:tc>
        <w:tc>
          <w:tcPr>
            <w:tcW w:w="2160"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ND</w:t>
            </w:r>
          </w:p>
        </w:tc>
        <w:tc>
          <w:tcPr>
            <w:tcW w:w="4788"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Light oil odor and light cigarette odor</w:t>
            </w:r>
          </w:p>
        </w:tc>
      </w:tr>
      <w:tr w:rsidR="0052529C" w:rsidRPr="000E74B4" w:rsidTr="000E74B4">
        <w:tc>
          <w:tcPr>
            <w:tcW w:w="2628"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subbasement</w:t>
            </w:r>
          </w:p>
        </w:tc>
        <w:tc>
          <w:tcPr>
            <w:tcW w:w="2160"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ND</w:t>
            </w:r>
          </w:p>
        </w:tc>
        <w:tc>
          <w:tcPr>
            <w:tcW w:w="4788"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Cleaner odor</w:t>
            </w:r>
          </w:p>
        </w:tc>
      </w:tr>
      <w:tr w:rsidR="0052529C" w:rsidRPr="000E74B4" w:rsidTr="000E74B4">
        <w:tc>
          <w:tcPr>
            <w:tcW w:w="2628"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Near oil tanks in subbasement</w:t>
            </w:r>
          </w:p>
        </w:tc>
        <w:tc>
          <w:tcPr>
            <w:tcW w:w="2160"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ND</w:t>
            </w:r>
          </w:p>
        </w:tc>
        <w:tc>
          <w:tcPr>
            <w:tcW w:w="4788" w:type="dxa"/>
            <w:shd w:val="clear" w:color="auto" w:fill="auto"/>
          </w:tcPr>
          <w:p w:rsidR="0052529C" w:rsidRPr="000E74B4" w:rsidRDefault="0052529C" w:rsidP="0052529C">
            <w:pPr>
              <w:rPr>
                <w:rFonts w:ascii="Calibri" w:eastAsia="Calibri" w:hAnsi="Calibri"/>
                <w:sz w:val="22"/>
                <w:szCs w:val="24"/>
              </w:rPr>
            </w:pPr>
            <w:r w:rsidRPr="000E74B4">
              <w:rPr>
                <w:rFonts w:ascii="Calibri" w:eastAsia="Calibri" w:hAnsi="Calibri"/>
                <w:sz w:val="22"/>
                <w:szCs w:val="24"/>
              </w:rPr>
              <w:t>Oil/equipment odor</w:t>
            </w:r>
          </w:p>
        </w:tc>
      </w:tr>
    </w:tbl>
    <w:p w:rsidR="0052529C" w:rsidRPr="0052529C" w:rsidRDefault="0052529C" w:rsidP="0052529C">
      <w:pPr>
        <w:spacing w:after="200" w:line="276" w:lineRule="auto"/>
        <w:rPr>
          <w:rFonts w:ascii="Calibri" w:eastAsia="Calibri" w:hAnsi="Calibri"/>
          <w:sz w:val="22"/>
          <w:szCs w:val="22"/>
        </w:rPr>
      </w:pPr>
    </w:p>
    <w:tbl>
      <w:tblPr>
        <w:tblW w:w="8724" w:type="dxa"/>
        <w:jc w:val="center"/>
        <w:tblLayout w:type="fixed"/>
        <w:tblLook w:val="0000" w:firstRow="0" w:lastRow="0" w:firstColumn="0" w:lastColumn="0" w:noHBand="0" w:noVBand="0"/>
      </w:tblPr>
      <w:tblGrid>
        <w:gridCol w:w="3407"/>
        <w:gridCol w:w="2617"/>
        <w:gridCol w:w="2700"/>
      </w:tblGrid>
      <w:tr w:rsidR="0052529C" w:rsidRPr="0052529C" w:rsidTr="000E74B4">
        <w:trPr>
          <w:trHeight w:val="300"/>
          <w:jc w:val="center"/>
        </w:trPr>
        <w:tc>
          <w:tcPr>
            <w:tcW w:w="3407" w:type="dxa"/>
            <w:tcBorders>
              <w:top w:val="nil"/>
              <w:left w:val="nil"/>
              <w:bottom w:val="nil"/>
              <w:right w:val="nil"/>
            </w:tcBorders>
            <w:shd w:val="clear" w:color="auto" w:fill="auto"/>
            <w:noWrap/>
            <w:vAlign w:val="center"/>
          </w:tcPr>
          <w:p w:rsidR="0052529C" w:rsidRPr="0052529C" w:rsidRDefault="0052529C" w:rsidP="0052529C">
            <w:pPr>
              <w:spacing w:after="200" w:line="276" w:lineRule="auto"/>
              <w:rPr>
                <w:rFonts w:ascii="Times" w:eastAsia="Calibri" w:hAnsi="Times" w:cs="Times"/>
                <w:sz w:val="20"/>
                <w:szCs w:val="22"/>
              </w:rPr>
            </w:pPr>
            <w:r w:rsidRPr="0052529C">
              <w:rPr>
                <w:rFonts w:ascii="Times" w:eastAsia="Calibri" w:hAnsi="Times" w:cs="Times"/>
                <w:sz w:val="20"/>
                <w:szCs w:val="22"/>
              </w:rPr>
              <w:t>ppm = parts per million</w:t>
            </w:r>
          </w:p>
        </w:tc>
        <w:tc>
          <w:tcPr>
            <w:tcW w:w="2617" w:type="dxa"/>
            <w:tcBorders>
              <w:top w:val="nil"/>
              <w:left w:val="nil"/>
              <w:bottom w:val="nil"/>
              <w:right w:val="nil"/>
            </w:tcBorders>
            <w:shd w:val="clear" w:color="auto" w:fill="auto"/>
            <w:noWrap/>
            <w:vAlign w:val="center"/>
          </w:tcPr>
          <w:p w:rsidR="0052529C" w:rsidRPr="0052529C" w:rsidRDefault="0052529C" w:rsidP="0052529C">
            <w:pPr>
              <w:spacing w:after="200" w:line="276" w:lineRule="auto"/>
              <w:rPr>
                <w:rFonts w:ascii="Times" w:eastAsia="Calibri" w:hAnsi="Times" w:cs="Times"/>
                <w:sz w:val="20"/>
                <w:szCs w:val="22"/>
              </w:rPr>
            </w:pPr>
            <w:r w:rsidRPr="0052529C">
              <w:rPr>
                <w:rFonts w:ascii="Times" w:eastAsia="Calibri" w:hAnsi="Times" w:cs="Times"/>
                <w:sz w:val="20"/>
                <w:szCs w:val="22"/>
              </w:rPr>
              <w:t>ND = non-detect</w:t>
            </w:r>
          </w:p>
        </w:tc>
        <w:tc>
          <w:tcPr>
            <w:tcW w:w="2700" w:type="dxa"/>
            <w:tcBorders>
              <w:top w:val="nil"/>
              <w:left w:val="nil"/>
              <w:bottom w:val="nil"/>
              <w:right w:val="nil"/>
            </w:tcBorders>
            <w:shd w:val="clear" w:color="auto" w:fill="auto"/>
            <w:noWrap/>
            <w:vAlign w:val="center"/>
          </w:tcPr>
          <w:p w:rsidR="0052529C" w:rsidRPr="0052529C" w:rsidRDefault="0052529C" w:rsidP="0052529C">
            <w:pPr>
              <w:spacing w:after="200" w:line="276" w:lineRule="auto"/>
              <w:rPr>
                <w:rFonts w:ascii="Times" w:eastAsia="Calibri" w:hAnsi="Times" w:cs="Times"/>
                <w:sz w:val="20"/>
                <w:szCs w:val="22"/>
              </w:rPr>
            </w:pPr>
          </w:p>
        </w:tc>
      </w:tr>
    </w:tbl>
    <w:p w:rsidR="0052529C" w:rsidRPr="0052529C" w:rsidRDefault="0052529C" w:rsidP="0052529C">
      <w:pPr>
        <w:spacing w:after="200" w:line="276" w:lineRule="auto"/>
        <w:rPr>
          <w:rFonts w:ascii="Calibri" w:eastAsia="Calibri" w:hAnsi="Calibri"/>
          <w:sz w:val="22"/>
          <w:szCs w:val="22"/>
        </w:rPr>
      </w:pPr>
    </w:p>
    <w:p w:rsidR="00533D9F" w:rsidRPr="00C86CE2" w:rsidRDefault="00533D9F" w:rsidP="00FB2D24">
      <w:pPr>
        <w:pStyle w:val="References"/>
      </w:pPr>
    </w:p>
    <w:sectPr w:rsidR="00533D9F" w:rsidRPr="00C86CE2">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4B4" w:rsidRDefault="000E74B4">
      <w:r>
        <w:separator/>
      </w:r>
    </w:p>
  </w:endnote>
  <w:endnote w:type="continuationSeparator" w:id="0">
    <w:p w:rsidR="000E74B4" w:rsidRDefault="000E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2679">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29C" w:rsidRDefault="00525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4B4" w:rsidRDefault="000E74B4">
      <w:r>
        <w:separator/>
      </w:r>
    </w:p>
  </w:footnote>
  <w:footnote w:type="continuationSeparator" w:id="0">
    <w:p w:rsidR="000E74B4" w:rsidRDefault="000E7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29C" w:rsidRDefault="005252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29C" w:rsidRDefault="005252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29C" w:rsidRDefault="005252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4B4" w:rsidRPr="00D35459" w:rsidRDefault="000E74B4" w:rsidP="000E74B4">
    <w:pPr>
      <w:tabs>
        <w:tab w:val="center" w:pos="4680"/>
        <w:tab w:val="right" w:pos="9360"/>
      </w:tabs>
      <w:jc w:val="center"/>
      <w:rPr>
        <w:b/>
      </w:rPr>
    </w:pPr>
    <w:r w:rsidRPr="00D35459">
      <w:rPr>
        <w:b/>
      </w:rPr>
      <w:t xml:space="preserve">Table </w:t>
    </w:r>
    <w:r>
      <w:rPr>
        <w:b/>
      </w:rPr>
      <w:t>1</w:t>
    </w:r>
  </w:p>
  <w:p w:rsidR="000E74B4" w:rsidRDefault="000E74B4" w:rsidP="000E74B4">
    <w:pPr>
      <w:tabs>
        <w:tab w:val="center" w:pos="4680"/>
        <w:tab w:val="right" w:pos="9360"/>
      </w:tabs>
      <w:jc w:val="center"/>
      <w:rPr>
        <w:b/>
      </w:rPr>
    </w:pPr>
    <w:r>
      <w:rPr>
        <w:b/>
      </w:rPr>
      <w:t>Total Volatile Organic Compounds</w:t>
    </w:r>
  </w:p>
  <w:p w:rsidR="000E74B4" w:rsidRPr="00D35459" w:rsidRDefault="000E74B4" w:rsidP="000E74B4">
    <w:pPr>
      <w:tabs>
        <w:tab w:val="center" w:pos="4680"/>
        <w:tab w:val="right" w:pos="9360"/>
      </w:tabs>
      <w:jc w:val="center"/>
      <w:rPr>
        <w:b/>
      </w:rPr>
    </w:pPr>
    <w:r>
      <w:rPr>
        <w:b/>
      </w:rPr>
      <w:t>600 Washington Street, Boston</w:t>
    </w:r>
  </w:p>
  <w:p w:rsidR="000E74B4" w:rsidRPr="00D35459" w:rsidRDefault="000E74B4" w:rsidP="000E74B4">
    <w:pPr>
      <w:tabs>
        <w:tab w:val="center" w:pos="4680"/>
        <w:tab w:val="right" w:pos="9360"/>
      </w:tabs>
      <w:jc w:val="center"/>
      <w:rPr>
        <w:b/>
      </w:rPr>
    </w:pPr>
    <w:r>
      <w:rPr>
        <w:b/>
      </w:rPr>
      <w:t>January 15</w:t>
    </w:r>
    <w:r w:rsidRPr="00D35459">
      <w:rPr>
        <w:b/>
      </w:rPr>
      <w:t>, 2018</w:t>
    </w:r>
  </w:p>
  <w:p w:rsidR="000E74B4" w:rsidRDefault="000E74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1600B"/>
    <w:multiLevelType w:val="multilevel"/>
    <w:tmpl w:val="1762915E"/>
    <w:numStyleLink w:val="StyleBulletedSymbolsymbolBoldLeft0Hanging0251"/>
  </w:abstractNum>
  <w:abstractNum w:abstractNumId="4" w15:restartNumberingAfterBreak="0">
    <w:nsid w:val="1DF329A2"/>
    <w:multiLevelType w:val="multilevel"/>
    <w:tmpl w:val="1762915E"/>
    <w:numStyleLink w:val="StyleBulletedSymbolsymbolBoldLeft0Hanging0251"/>
  </w:abstractNum>
  <w:abstractNum w:abstractNumId="5"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2AD30EED"/>
    <w:multiLevelType w:val="multilevel"/>
    <w:tmpl w:val="1762915E"/>
    <w:numStyleLink w:val="StyleBulletedSymbolsymbolBoldLeft0Hanging0251"/>
  </w:abstractNum>
  <w:abstractNum w:abstractNumId="9"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2"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3"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DD64C6"/>
    <w:multiLevelType w:val="multilevel"/>
    <w:tmpl w:val="1762915E"/>
    <w:numStyleLink w:val="StyleBulletedSymbolsymbolBoldLeft0Hanging0251"/>
  </w:abstractNum>
  <w:abstractNum w:abstractNumId="15"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4E67BEC"/>
    <w:multiLevelType w:val="multilevel"/>
    <w:tmpl w:val="71C4E34C"/>
    <w:numStyleLink w:val="StyleNumberedLeft0Hanging025"/>
  </w:abstractNum>
  <w:abstractNum w:abstractNumId="17"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48B9214B"/>
    <w:multiLevelType w:val="hybridMultilevel"/>
    <w:tmpl w:val="E54E6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B7174"/>
    <w:multiLevelType w:val="hybridMultilevel"/>
    <w:tmpl w:val="36BE9CA0"/>
    <w:lvl w:ilvl="0" w:tplc="04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A87FCE"/>
    <w:multiLevelType w:val="hybridMultilevel"/>
    <w:tmpl w:val="AC188F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46258D1"/>
    <w:multiLevelType w:val="hybridMultilevel"/>
    <w:tmpl w:val="4B8836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FC6D8A"/>
    <w:multiLevelType w:val="multilevel"/>
    <w:tmpl w:val="1762915E"/>
    <w:numStyleLink w:val="StyleBulletedSymbolsymbolBoldLeft0Hanging0251"/>
  </w:abstractNum>
  <w:abstractNum w:abstractNumId="26"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8" w15:restartNumberingAfterBreak="0">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1"/>
  </w:num>
  <w:num w:numId="2">
    <w:abstractNumId w:val="0"/>
  </w:num>
  <w:num w:numId="3">
    <w:abstractNumId w:val="10"/>
  </w:num>
  <w:num w:numId="4">
    <w:abstractNumId w:val="12"/>
  </w:num>
  <w:num w:numId="5">
    <w:abstractNumId w:val="13"/>
  </w:num>
  <w:num w:numId="6">
    <w:abstractNumId w:val="27"/>
  </w:num>
  <w:num w:numId="7">
    <w:abstractNumId w:val="26"/>
  </w:num>
  <w:num w:numId="8">
    <w:abstractNumId w:val="6"/>
  </w:num>
  <w:num w:numId="9">
    <w:abstractNumId w:val="1"/>
  </w:num>
  <w:num w:numId="10">
    <w:abstractNumId w:val="7"/>
  </w:num>
  <w:num w:numId="11">
    <w:abstractNumId w:val="17"/>
  </w:num>
  <w:num w:numId="12">
    <w:abstractNumId w:val="5"/>
  </w:num>
  <w:num w:numId="13">
    <w:abstractNumId w:val="20"/>
  </w:num>
  <w:num w:numId="14">
    <w:abstractNumId w:val="15"/>
  </w:num>
  <w:num w:numId="15">
    <w:abstractNumId w:val="4"/>
  </w:num>
  <w:num w:numId="16">
    <w:abstractNumId w:val="14"/>
  </w:num>
  <w:num w:numId="17">
    <w:abstractNumId w:val="3"/>
  </w:num>
  <w:num w:numId="18">
    <w:abstractNumId w:val="8"/>
  </w:num>
  <w:num w:numId="19">
    <w:abstractNumId w:val="25"/>
  </w:num>
  <w:num w:numId="20">
    <w:abstractNumId w:val="23"/>
  </w:num>
  <w:num w:numId="21">
    <w:abstractNumId w:val="28"/>
  </w:num>
  <w:num w:numId="22">
    <w:abstractNumId w:val="16"/>
  </w:num>
  <w:num w:numId="23">
    <w:abstractNumId w:val="19"/>
  </w:num>
  <w:num w:numId="24">
    <w:abstractNumId w:val="2"/>
  </w:num>
  <w:num w:numId="25">
    <w:abstractNumId w:val="21"/>
  </w:num>
  <w:num w:numId="26">
    <w:abstractNumId w:val="9"/>
  </w:num>
  <w:num w:numId="27">
    <w:abstractNumId w:val="22"/>
  </w:num>
  <w:num w:numId="28">
    <w:abstractNumId w:val="18"/>
  </w:num>
  <w:num w:numId="29">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7A"/>
    <w:rsid w:val="00001C41"/>
    <w:rsid w:val="00002962"/>
    <w:rsid w:val="00002DC6"/>
    <w:rsid w:val="00003CDA"/>
    <w:rsid w:val="00003E0B"/>
    <w:rsid w:val="00005661"/>
    <w:rsid w:val="000105AD"/>
    <w:rsid w:val="00010835"/>
    <w:rsid w:val="000108ED"/>
    <w:rsid w:val="00010B10"/>
    <w:rsid w:val="00011F77"/>
    <w:rsid w:val="00012827"/>
    <w:rsid w:val="00012980"/>
    <w:rsid w:val="00012B49"/>
    <w:rsid w:val="0001560D"/>
    <w:rsid w:val="00020432"/>
    <w:rsid w:val="00020771"/>
    <w:rsid w:val="00021A0F"/>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4AAC"/>
    <w:rsid w:val="0004505E"/>
    <w:rsid w:val="00045144"/>
    <w:rsid w:val="0004591A"/>
    <w:rsid w:val="00045DAC"/>
    <w:rsid w:val="000479ED"/>
    <w:rsid w:val="000506A6"/>
    <w:rsid w:val="00050A04"/>
    <w:rsid w:val="00051245"/>
    <w:rsid w:val="00051D6A"/>
    <w:rsid w:val="00053D15"/>
    <w:rsid w:val="00054D1C"/>
    <w:rsid w:val="00054FB7"/>
    <w:rsid w:val="0005561F"/>
    <w:rsid w:val="0005565A"/>
    <w:rsid w:val="00056AED"/>
    <w:rsid w:val="0005754A"/>
    <w:rsid w:val="00057A3E"/>
    <w:rsid w:val="00057C6A"/>
    <w:rsid w:val="00060C25"/>
    <w:rsid w:val="00061C5B"/>
    <w:rsid w:val="000622DC"/>
    <w:rsid w:val="00064961"/>
    <w:rsid w:val="00064E64"/>
    <w:rsid w:val="00065727"/>
    <w:rsid w:val="00066FDF"/>
    <w:rsid w:val="00067F0A"/>
    <w:rsid w:val="00070644"/>
    <w:rsid w:val="00070900"/>
    <w:rsid w:val="00071FD1"/>
    <w:rsid w:val="000723F3"/>
    <w:rsid w:val="00073BC9"/>
    <w:rsid w:val="000747FD"/>
    <w:rsid w:val="00074CF6"/>
    <w:rsid w:val="00074DFE"/>
    <w:rsid w:val="000754DA"/>
    <w:rsid w:val="000755A9"/>
    <w:rsid w:val="0007568F"/>
    <w:rsid w:val="00076A4B"/>
    <w:rsid w:val="00076CDF"/>
    <w:rsid w:val="000770C5"/>
    <w:rsid w:val="000771D8"/>
    <w:rsid w:val="00081B88"/>
    <w:rsid w:val="000824E4"/>
    <w:rsid w:val="0008264F"/>
    <w:rsid w:val="000835D9"/>
    <w:rsid w:val="00084CDC"/>
    <w:rsid w:val="000858A8"/>
    <w:rsid w:val="00085C64"/>
    <w:rsid w:val="00085FDB"/>
    <w:rsid w:val="00085FFB"/>
    <w:rsid w:val="00086A56"/>
    <w:rsid w:val="000875E3"/>
    <w:rsid w:val="0009163D"/>
    <w:rsid w:val="0009271D"/>
    <w:rsid w:val="00092A24"/>
    <w:rsid w:val="00094409"/>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DA4"/>
    <w:rsid w:val="000A6A90"/>
    <w:rsid w:val="000A6DBD"/>
    <w:rsid w:val="000A77BF"/>
    <w:rsid w:val="000A7B4D"/>
    <w:rsid w:val="000B03EB"/>
    <w:rsid w:val="000B0925"/>
    <w:rsid w:val="000B1B9C"/>
    <w:rsid w:val="000B21F1"/>
    <w:rsid w:val="000B22E9"/>
    <w:rsid w:val="000B2419"/>
    <w:rsid w:val="000B30BF"/>
    <w:rsid w:val="000B40AE"/>
    <w:rsid w:val="000B4F42"/>
    <w:rsid w:val="000B5560"/>
    <w:rsid w:val="000B58F8"/>
    <w:rsid w:val="000B6296"/>
    <w:rsid w:val="000B6402"/>
    <w:rsid w:val="000B6C64"/>
    <w:rsid w:val="000B722C"/>
    <w:rsid w:val="000B75AE"/>
    <w:rsid w:val="000C0F0F"/>
    <w:rsid w:val="000C0FC9"/>
    <w:rsid w:val="000C3F97"/>
    <w:rsid w:val="000C4769"/>
    <w:rsid w:val="000C64E1"/>
    <w:rsid w:val="000C6AA6"/>
    <w:rsid w:val="000C72C1"/>
    <w:rsid w:val="000C7952"/>
    <w:rsid w:val="000C7FD6"/>
    <w:rsid w:val="000D1920"/>
    <w:rsid w:val="000D21AE"/>
    <w:rsid w:val="000D24E6"/>
    <w:rsid w:val="000D35ED"/>
    <w:rsid w:val="000D3F92"/>
    <w:rsid w:val="000D423F"/>
    <w:rsid w:val="000D5513"/>
    <w:rsid w:val="000D6993"/>
    <w:rsid w:val="000D6D88"/>
    <w:rsid w:val="000D6E60"/>
    <w:rsid w:val="000D7274"/>
    <w:rsid w:val="000D77C0"/>
    <w:rsid w:val="000E3262"/>
    <w:rsid w:val="000E3EA9"/>
    <w:rsid w:val="000E64AB"/>
    <w:rsid w:val="000E74B4"/>
    <w:rsid w:val="000F005B"/>
    <w:rsid w:val="000F042F"/>
    <w:rsid w:val="000F07EE"/>
    <w:rsid w:val="000F247D"/>
    <w:rsid w:val="000F2B46"/>
    <w:rsid w:val="000F2DD2"/>
    <w:rsid w:val="000F5F97"/>
    <w:rsid w:val="000F694B"/>
    <w:rsid w:val="0010091C"/>
    <w:rsid w:val="00101E4B"/>
    <w:rsid w:val="00102288"/>
    <w:rsid w:val="001022AC"/>
    <w:rsid w:val="00102C95"/>
    <w:rsid w:val="00104481"/>
    <w:rsid w:val="00104BB6"/>
    <w:rsid w:val="00104C3D"/>
    <w:rsid w:val="001062F9"/>
    <w:rsid w:val="00107443"/>
    <w:rsid w:val="001111F2"/>
    <w:rsid w:val="00111B85"/>
    <w:rsid w:val="00111DBB"/>
    <w:rsid w:val="001129E9"/>
    <w:rsid w:val="001133C6"/>
    <w:rsid w:val="001138EF"/>
    <w:rsid w:val="00113A6B"/>
    <w:rsid w:val="00114C4D"/>
    <w:rsid w:val="0011553E"/>
    <w:rsid w:val="00116A02"/>
    <w:rsid w:val="001174D9"/>
    <w:rsid w:val="0012097F"/>
    <w:rsid w:val="00120991"/>
    <w:rsid w:val="00121426"/>
    <w:rsid w:val="001216C4"/>
    <w:rsid w:val="001219A9"/>
    <w:rsid w:val="00121A72"/>
    <w:rsid w:val="00122112"/>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6653"/>
    <w:rsid w:val="00140CFF"/>
    <w:rsid w:val="00141FBD"/>
    <w:rsid w:val="00143327"/>
    <w:rsid w:val="001442D6"/>
    <w:rsid w:val="0014514E"/>
    <w:rsid w:val="001466B0"/>
    <w:rsid w:val="00146E57"/>
    <w:rsid w:val="0014793F"/>
    <w:rsid w:val="00150858"/>
    <w:rsid w:val="00151E76"/>
    <w:rsid w:val="00152B5F"/>
    <w:rsid w:val="00152F19"/>
    <w:rsid w:val="001537A1"/>
    <w:rsid w:val="00154071"/>
    <w:rsid w:val="0015463D"/>
    <w:rsid w:val="001550FA"/>
    <w:rsid w:val="00155F6E"/>
    <w:rsid w:val="00156DA3"/>
    <w:rsid w:val="0015758A"/>
    <w:rsid w:val="00157B58"/>
    <w:rsid w:val="001607C1"/>
    <w:rsid w:val="001607F1"/>
    <w:rsid w:val="0016083E"/>
    <w:rsid w:val="0016102E"/>
    <w:rsid w:val="0016104A"/>
    <w:rsid w:val="00161186"/>
    <w:rsid w:val="001611A0"/>
    <w:rsid w:val="00161BD0"/>
    <w:rsid w:val="00162679"/>
    <w:rsid w:val="00162EA0"/>
    <w:rsid w:val="001649EB"/>
    <w:rsid w:val="00164A7D"/>
    <w:rsid w:val="001650A0"/>
    <w:rsid w:val="00165286"/>
    <w:rsid w:val="001653C6"/>
    <w:rsid w:val="00165A82"/>
    <w:rsid w:val="00165C0A"/>
    <w:rsid w:val="00167F86"/>
    <w:rsid w:val="00170ABD"/>
    <w:rsid w:val="001726A9"/>
    <w:rsid w:val="0017429F"/>
    <w:rsid w:val="00175559"/>
    <w:rsid w:val="0017560B"/>
    <w:rsid w:val="00175AD9"/>
    <w:rsid w:val="00176DF7"/>
    <w:rsid w:val="00176F95"/>
    <w:rsid w:val="001774B5"/>
    <w:rsid w:val="001779B4"/>
    <w:rsid w:val="00177FB7"/>
    <w:rsid w:val="001801F0"/>
    <w:rsid w:val="00180830"/>
    <w:rsid w:val="00180AE3"/>
    <w:rsid w:val="0018157B"/>
    <w:rsid w:val="00181B60"/>
    <w:rsid w:val="00181D06"/>
    <w:rsid w:val="00182066"/>
    <w:rsid w:val="00182887"/>
    <w:rsid w:val="001828FF"/>
    <w:rsid w:val="00182D6C"/>
    <w:rsid w:val="00182F45"/>
    <w:rsid w:val="001835DB"/>
    <w:rsid w:val="001838C1"/>
    <w:rsid w:val="00183D48"/>
    <w:rsid w:val="001844EF"/>
    <w:rsid w:val="001848D9"/>
    <w:rsid w:val="00184974"/>
    <w:rsid w:val="001869A2"/>
    <w:rsid w:val="00187326"/>
    <w:rsid w:val="0018765B"/>
    <w:rsid w:val="00190190"/>
    <w:rsid w:val="00190F27"/>
    <w:rsid w:val="00190F80"/>
    <w:rsid w:val="001922AF"/>
    <w:rsid w:val="00192C3D"/>
    <w:rsid w:val="00193271"/>
    <w:rsid w:val="001936AB"/>
    <w:rsid w:val="00194486"/>
    <w:rsid w:val="00194FA6"/>
    <w:rsid w:val="00196622"/>
    <w:rsid w:val="001966AA"/>
    <w:rsid w:val="001966CC"/>
    <w:rsid w:val="00196971"/>
    <w:rsid w:val="00197A4E"/>
    <w:rsid w:val="00197CCC"/>
    <w:rsid w:val="00197DED"/>
    <w:rsid w:val="001A0088"/>
    <w:rsid w:val="001A13E3"/>
    <w:rsid w:val="001A21AD"/>
    <w:rsid w:val="001A291A"/>
    <w:rsid w:val="001A2D49"/>
    <w:rsid w:val="001A3656"/>
    <w:rsid w:val="001A3882"/>
    <w:rsid w:val="001A4A0C"/>
    <w:rsid w:val="001A4B16"/>
    <w:rsid w:val="001A5F73"/>
    <w:rsid w:val="001A6E3E"/>
    <w:rsid w:val="001A6F32"/>
    <w:rsid w:val="001A7ACE"/>
    <w:rsid w:val="001B0089"/>
    <w:rsid w:val="001B28EA"/>
    <w:rsid w:val="001B4988"/>
    <w:rsid w:val="001B535E"/>
    <w:rsid w:val="001B64D5"/>
    <w:rsid w:val="001B7980"/>
    <w:rsid w:val="001B7C7D"/>
    <w:rsid w:val="001C07FF"/>
    <w:rsid w:val="001C0838"/>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0E16"/>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4548"/>
    <w:rsid w:val="001E5B37"/>
    <w:rsid w:val="001E5D57"/>
    <w:rsid w:val="001E5E6B"/>
    <w:rsid w:val="001E6F66"/>
    <w:rsid w:val="001E700D"/>
    <w:rsid w:val="001E7963"/>
    <w:rsid w:val="001F02BC"/>
    <w:rsid w:val="001F0B7B"/>
    <w:rsid w:val="001F0DC8"/>
    <w:rsid w:val="001F124A"/>
    <w:rsid w:val="001F1714"/>
    <w:rsid w:val="001F1FD5"/>
    <w:rsid w:val="001F21E0"/>
    <w:rsid w:val="001F224A"/>
    <w:rsid w:val="001F26F1"/>
    <w:rsid w:val="001F26FB"/>
    <w:rsid w:val="001F2F70"/>
    <w:rsid w:val="001F3986"/>
    <w:rsid w:val="001F4234"/>
    <w:rsid w:val="001F441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1ECE"/>
    <w:rsid w:val="0022290D"/>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2D53"/>
    <w:rsid w:val="00243348"/>
    <w:rsid w:val="0024497D"/>
    <w:rsid w:val="00244B7E"/>
    <w:rsid w:val="00244FA3"/>
    <w:rsid w:val="002456CA"/>
    <w:rsid w:val="00245C46"/>
    <w:rsid w:val="00245EC2"/>
    <w:rsid w:val="00246147"/>
    <w:rsid w:val="00247F97"/>
    <w:rsid w:val="00251B76"/>
    <w:rsid w:val="0025271C"/>
    <w:rsid w:val="0025288A"/>
    <w:rsid w:val="00253B50"/>
    <w:rsid w:val="00253F0C"/>
    <w:rsid w:val="00255988"/>
    <w:rsid w:val="002563BC"/>
    <w:rsid w:val="00257350"/>
    <w:rsid w:val="0026107E"/>
    <w:rsid w:val="00261269"/>
    <w:rsid w:val="00262919"/>
    <w:rsid w:val="00264059"/>
    <w:rsid w:val="00264AB2"/>
    <w:rsid w:val="00264AFB"/>
    <w:rsid w:val="00265723"/>
    <w:rsid w:val="002660FC"/>
    <w:rsid w:val="00270588"/>
    <w:rsid w:val="00270760"/>
    <w:rsid w:val="002707EF"/>
    <w:rsid w:val="00271743"/>
    <w:rsid w:val="00271AD3"/>
    <w:rsid w:val="00272607"/>
    <w:rsid w:val="00272C40"/>
    <w:rsid w:val="00273B44"/>
    <w:rsid w:val="00274E4A"/>
    <w:rsid w:val="0027518C"/>
    <w:rsid w:val="002759DC"/>
    <w:rsid w:val="0027605D"/>
    <w:rsid w:val="00276168"/>
    <w:rsid w:val="00276427"/>
    <w:rsid w:val="0027734A"/>
    <w:rsid w:val="00280268"/>
    <w:rsid w:val="002815C4"/>
    <w:rsid w:val="00282303"/>
    <w:rsid w:val="002849CA"/>
    <w:rsid w:val="002849F3"/>
    <w:rsid w:val="00284B3E"/>
    <w:rsid w:val="0028728A"/>
    <w:rsid w:val="00287A1F"/>
    <w:rsid w:val="00291A33"/>
    <w:rsid w:val="00291A6F"/>
    <w:rsid w:val="0029445C"/>
    <w:rsid w:val="00294E3C"/>
    <w:rsid w:val="00295074"/>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711"/>
    <w:rsid w:val="002B5A0B"/>
    <w:rsid w:val="002B7F3F"/>
    <w:rsid w:val="002C3B44"/>
    <w:rsid w:val="002C4BB4"/>
    <w:rsid w:val="002C57AC"/>
    <w:rsid w:val="002C5A97"/>
    <w:rsid w:val="002C6DE8"/>
    <w:rsid w:val="002D0789"/>
    <w:rsid w:val="002D1507"/>
    <w:rsid w:val="002D2ABC"/>
    <w:rsid w:val="002D2EDD"/>
    <w:rsid w:val="002D472B"/>
    <w:rsid w:val="002D4F2F"/>
    <w:rsid w:val="002D5170"/>
    <w:rsid w:val="002D5685"/>
    <w:rsid w:val="002D5739"/>
    <w:rsid w:val="002D5C1C"/>
    <w:rsid w:val="002D772C"/>
    <w:rsid w:val="002E1405"/>
    <w:rsid w:val="002E18EF"/>
    <w:rsid w:val="002E21D7"/>
    <w:rsid w:val="002E2A25"/>
    <w:rsid w:val="002E378D"/>
    <w:rsid w:val="002E3BBA"/>
    <w:rsid w:val="002E418D"/>
    <w:rsid w:val="002E5125"/>
    <w:rsid w:val="002E6748"/>
    <w:rsid w:val="002E6F58"/>
    <w:rsid w:val="002E745A"/>
    <w:rsid w:val="002E7719"/>
    <w:rsid w:val="002E7DCA"/>
    <w:rsid w:val="002F03F9"/>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1C65"/>
    <w:rsid w:val="00301E9F"/>
    <w:rsid w:val="003021FA"/>
    <w:rsid w:val="00302EF4"/>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163"/>
    <w:rsid w:val="00315921"/>
    <w:rsid w:val="00316BF9"/>
    <w:rsid w:val="00320889"/>
    <w:rsid w:val="00323608"/>
    <w:rsid w:val="00323F52"/>
    <w:rsid w:val="00324A6A"/>
    <w:rsid w:val="00325302"/>
    <w:rsid w:val="00325E7E"/>
    <w:rsid w:val="003274E6"/>
    <w:rsid w:val="00330468"/>
    <w:rsid w:val="0033092B"/>
    <w:rsid w:val="00330F06"/>
    <w:rsid w:val="00330F29"/>
    <w:rsid w:val="003341D9"/>
    <w:rsid w:val="003343D6"/>
    <w:rsid w:val="003351C0"/>
    <w:rsid w:val="00335919"/>
    <w:rsid w:val="00336A6A"/>
    <w:rsid w:val="003375EE"/>
    <w:rsid w:val="003378F3"/>
    <w:rsid w:val="00337A18"/>
    <w:rsid w:val="00340323"/>
    <w:rsid w:val="00340473"/>
    <w:rsid w:val="00341095"/>
    <w:rsid w:val="00345127"/>
    <w:rsid w:val="00345178"/>
    <w:rsid w:val="0034587D"/>
    <w:rsid w:val="003458C3"/>
    <w:rsid w:val="00345944"/>
    <w:rsid w:val="00346463"/>
    <w:rsid w:val="00346B72"/>
    <w:rsid w:val="00346BE2"/>
    <w:rsid w:val="003471E2"/>
    <w:rsid w:val="00347C0D"/>
    <w:rsid w:val="00350571"/>
    <w:rsid w:val="00351496"/>
    <w:rsid w:val="003518E7"/>
    <w:rsid w:val="003541F9"/>
    <w:rsid w:val="0035436D"/>
    <w:rsid w:val="00354532"/>
    <w:rsid w:val="00354EEA"/>
    <w:rsid w:val="00355280"/>
    <w:rsid w:val="00355B10"/>
    <w:rsid w:val="00356121"/>
    <w:rsid w:val="00356C15"/>
    <w:rsid w:val="00357BD9"/>
    <w:rsid w:val="00357CB2"/>
    <w:rsid w:val="003601DC"/>
    <w:rsid w:val="003609C4"/>
    <w:rsid w:val="0036112D"/>
    <w:rsid w:val="0036119D"/>
    <w:rsid w:val="0036510F"/>
    <w:rsid w:val="00365C53"/>
    <w:rsid w:val="003671C5"/>
    <w:rsid w:val="00367B9E"/>
    <w:rsid w:val="00370275"/>
    <w:rsid w:val="00370784"/>
    <w:rsid w:val="00371434"/>
    <w:rsid w:val="003717E5"/>
    <w:rsid w:val="00372350"/>
    <w:rsid w:val="00373943"/>
    <w:rsid w:val="00373B4E"/>
    <w:rsid w:val="003754B2"/>
    <w:rsid w:val="0037757C"/>
    <w:rsid w:val="003820B3"/>
    <w:rsid w:val="00382A79"/>
    <w:rsid w:val="00382BFA"/>
    <w:rsid w:val="003835AD"/>
    <w:rsid w:val="00383BB7"/>
    <w:rsid w:val="0038729C"/>
    <w:rsid w:val="0038743B"/>
    <w:rsid w:val="00387FDE"/>
    <w:rsid w:val="00390663"/>
    <w:rsid w:val="0039069F"/>
    <w:rsid w:val="00392217"/>
    <w:rsid w:val="0039263A"/>
    <w:rsid w:val="00393091"/>
    <w:rsid w:val="00393AD1"/>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EE4"/>
    <w:rsid w:val="003B3ACF"/>
    <w:rsid w:val="003B4C3C"/>
    <w:rsid w:val="003B4E5F"/>
    <w:rsid w:val="003B5CF0"/>
    <w:rsid w:val="003B610C"/>
    <w:rsid w:val="003B6252"/>
    <w:rsid w:val="003B78B1"/>
    <w:rsid w:val="003C03E7"/>
    <w:rsid w:val="003C1744"/>
    <w:rsid w:val="003C25E4"/>
    <w:rsid w:val="003C4C5A"/>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2017"/>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CCD"/>
    <w:rsid w:val="003F2F5F"/>
    <w:rsid w:val="003F33C1"/>
    <w:rsid w:val="003F377E"/>
    <w:rsid w:val="003F4EC3"/>
    <w:rsid w:val="003F4F8C"/>
    <w:rsid w:val="003F54C4"/>
    <w:rsid w:val="003F66CC"/>
    <w:rsid w:val="003F6DB7"/>
    <w:rsid w:val="004000AE"/>
    <w:rsid w:val="00400570"/>
    <w:rsid w:val="004005F8"/>
    <w:rsid w:val="00400B5B"/>
    <w:rsid w:val="0040151C"/>
    <w:rsid w:val="00401927"/>
    <w:rsid w:val="00403858"/>
    <w:rsid w:val="00403874"/>
    <w:rsid w:val="00404F8A"/>
    <w:rsid w:val="0040505D"/>
    <w:rsid w:val="00406079"/>
    <w:rsid w:val="00406760"/>
    <w:rsid w:val="0041005C"/>
    <w:rsid w:val="00410068"/>
    <w:rsid w:val="004115DA"/>
    <w:rsid w:val="00412AE3"/>
    <w:rsid w:val="00412B14"/>
    <w:rsid w:val="00412FF2"/>
    <w:rsid w:val="00414AD3"/>
    <w:rsid w:val="00415383"/>
    <w:rsid w:val="004155F6"/>
    <w:rsid w:val="004160E5"/>
    <w:rsid w:val="00416293"/>
    <w:rsid w:val="00416DB2"/>
    <w:rsid w:val="00417496"/>
    <w:rsid w:val="00417FC1"/>
    <w:rsid w:val="004206B7"/>
    <w:rsid w:val="00420721"/>
    <w:rsid w:val="00420CE0"/>
    <w:rsid w:val="00420D1A"/>
    <w:rsid w:val="0042199C"/>
    <w:rsid w:val="00421CB4"/>
    <w:rsid w:val="0042251C"/>
    <w:rsid w:val="0042497C"/>
    <w:rsid w:val="00425FC6"/>
    <w:rsid w:val="00426402"/>
    <w:rsid w:val="0042699C"/>
    <w:rsid w:val="004275C1"/>
    <w:rsid w:val="004301A4"/>
    <w:rsid w:val="0043075D"/>
    <w:rsid w:val="00430C1F"/>
    <w:rsid w:val="00430E0D"/>
    <w:rsid w:val="0043143C"/>
    <w:rsid w:val="00432201"/>
    <w:rsid w:val="0043332C"/>
    <w:rsid w:val="00433F00"/>
    <w:rsid w:val="004340D7"/>
    <w:rsid w:val="00436E4C"/>
    <w:rsid w:val="00437F04"/>
    <w:rsid w:val="004409C4"/>
    <w:rsid w:val="004411D8"/>
    <w:rsid w:val="00441201"/>
    <w:rsid w:val="00441790"/>
    <w:rsid w:val="004424F9"/>
    <w:rsid w:val="0044477F"/>
    <w:rsid w:val="00445006"/>
    <w:rsid w:val="0044643A"/>
    <w:rsid w:val="004510D8"/>
    <w:rsid w:val="0045416E"/>
    <w:rsid w:val="004543CC"/>
    <w:rsid w:val="004545E3"/>
    <w:rsid w:val="00454B4A"/>
    <w:rsid w:val="00454D42"/>
    <w:rsid w:val="00455543"/>
    <w:rsid w:val="00456C2C"/>
    <w:rsid w:val="004576F9"/>
    <w:rsid w:val="004578E9"/>
    <w:rsid w:val="004610F9"/>
    <w:rsid w:val="004619F0"/>
    <w:rsid w:val="004631F0"/>
    <w:rsid w:val="004652D4"/>
    <w:rsid w:val="00465C6E"/>
    <w:rsid w:val="00466D0B"/>
    <w:rsid w:val="004677C2"/>
    <w:rsid w:val="00467DBA"/>
    <w:rsid w:val="00470AAE"/>
    <w:rsid w:val="00470E3A"/>
    <w:rsid w:val="00471171"/>
    <w:rsid w:val="004717C7"/>
    <w:rsid w:val="004737A0"/>
    <w:rsid w:val="004741D1"/>
    <w:rsid w:val="00474CC3"/>
    <w:rsid w:val="00474D3D"/>
    <w:rsid w:val="00475175"/>
    <w:rsid w:val="00475F77"/>
    <w:rsid w:val="00476C2E"/>
    <w:rsid w:val="0047705A"/>
    <w:rsid w:val="00480358"/>
    <w:rsid w:val="00482E41"/>
    <w:rsid w:val="004841FA"/>
    <w:rsid w:val="004843C9"/>
    <w:rsid w:val="00484665"/>
    <w:rsid w:val="00484A74"/>
    <w:rsid w:val="00484AD7"/>
    <w:rsid w:val="00485739"/>
    <w:rsid w:val="004862E3"/>
    <w:rsid w:val="00486557"/>
    <w:rsid w:val="0049028D"/>
    <w:rsid w:val="00491149"/>
    <w:rsid w:val="00491DC6"/>
    <w:rsid w:val="00492676"/>
    <w:rsid w:val="004934A8"/>
    <w:rsid w:val="0049417E"/>
    <w:rsid w:val="004964D7"/>
    <w:rsid w:val="004A19CE"/>
    <w:rsid w:val="004A1D9A"/>
    <w:rsid w:val="004A235A"/>
    <w:rsid w:val="004A28CB"/>
    <w:rsid w:val="004A2ADD"/>
    <w:rsid w:val="004A380E"/>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30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819"/>
    <w:rsid w:val="0050417C"/>
    <w:rsid w:val="00504AD7"/>
    <w:rsid w:val="0050537D"/>
    <w:rsid w:val="00510F5C"/>
    <w:rsid w:val="00511466"/>
    <w:rsid w:val="0051146E"/>
    <w:rsid w:val="00511DA7"/>
    <w:rsid w:val="00511E11"/>
    <w:rsid w:val="00511E2A"/>
    <w:rsid w:val="00512131"/>
    <w:rsid w:val="005127CC"/>
    <w:rsid w:val="005133BC"/>
    <w:rsid w:val="005139EA"/>
    <w:rsid w:val="0051411F"/>
    <w:rsid w:val="00514CF7"/>
    <w:rsid w:val="00514DA5"/>
    <w:rsid w:val="0051531C"/>
    <w:rsid w:val="00515C4A"/>
    <w:rsid w:val="00516F75"/>
    <w:rsid w:val="00520166"/>
    <w:rsid w:val="0052037F"/>
    <w:rsid w:val="00521831"/>
    <w:rsid w:val="00521E5B"/>
    <w:rsid w:val="005223F5"/>
    <w:rsid w:val="00523553"/>
    <w:rsid w:val="0052514D"/>
    <w:rsid w:val="0052529C"/>
    <w:rsid w:val="00526EA9"/>
    <w:rsid w:val="00527EE3"/>
    <w:rsid w:val="00531136"/>
    <w:rsid w:val="005312F5"/>
    <w:rsid w:val="00531E02"/>
    <w:rsid w:val="00532279"/>
    <w:rsid w:val="005333E0"/>
    <w:rsid w:val="005335FD"/>
    <w:rsid w:val="005338A3"/>
    <w:rsid w:val="00533D9F"/>
    <w:rsid w:val="00534E93"/>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43E3"/>
    <w:rsid w:val="005555D6"/>
    <w:rsid w:val="00555930"/>
    <w:rsid w:val="00555963"/>
    <w:rsid w:val="00555CAD"/>
    <w:rsid w:val="00555D17"/>
    <w:rsid w:val="00555DB1"/>
    <w:rsid w:val="0055687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82C5A"/>
    <w:rsid w:val="00583227"/>
    <w:rsid w:val="005835A3"/>
    <w:rsid w:val="0058447C"/>
    <w:rsid w:val="00584656"/>
    <w:rsid w:val="005859C3"/>
    <w:rsid w:val="00585A3D"/>
    <w:rsid w:val="00587592"/>
    <w:rsid w:val="005875E3"/>
    <w:rsid w:val="005876EF"/>
    <w:rsid w:val="00587AF3"/>
    <w:rsid w:val="00590617"/>
    <w:rsid w:val="00590A8B"/>
    <w:rsid w:val="00590C8F"/>
    <w:rsid w:val="00590E8E"/>
    <w:rsid w:val="0059175B"/>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7D5"/>
    <w:rsid w:val="005C1B04"/>
    <w:rsid w:val="005C29F8"/>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3B9"/>
    <w:rsid w:val="005D56EC"/>
    <w:rsid w:val="005D5715"/>
    <w:rsid w:val="005D5966"/>
    <w:rsid w:val="005D5F26"/>
    <w:rsid w:val="005D747F"/>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021"/>
    <w:rsid w:val="005E65BB"/>
    <w:rsid w:val="005E6668"/>
    <w:rsid w:val="005F0CE4"/>
    <w:rsid w:val="005F0F3C"/>
    <w:rsid w:val="005F27B3"/>
    <w:rsid w:val="005F3246"/>
    <w:rsid w:val="005F4329"/>
    <w:rsid w:val="005F44CA"/>
    <w:rsid w:val="005F49FE"/>
    <w:rsid w:val="005F4CE5"/>
    <w:rsid w:val="005F4D5B"/>
    <w:rsid w:val="005F56B6"/>
    <w:rsid w:val="005F5B7B"/>
    <w:rsid w:val="005F5BD3"/>
    <w:rsid w:val="005F5CDE"/>
    <w:rsid w:val="005F5F70"/>
    <w:rsid w:val="005F6100"/>
    <w:rsid w:val="005F61F9"/>
    <w:rsid w:val="005F7D0A"/>
    <w:rsid w:val="00600733"/>
    <w:rsid w:val="006007DD"/>
    <w:rsid w:val="00601C04"/>
    <w:rsid w:val="006033DE"/>
    <w:rsid w:val="0060439A"/>
    <w:rsid w:val="00606D1D"/>
    <w:rsid w:val="00607980"/>
    <w:rsid w:val="00607B34"/>
    <w:rsid w:val="00610F72"/>
    <w:rsid w:val="006120FB"/>
    <w:rsid w:val="00612DA9"/>
    <w:rsid w:val="0061467A"/>
    <w:rsid w:val="00615818"/>
    <w:rsid w:val="00616CF5"/>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0BCD"/>
    <w:rsid w:val="006329B8"/>
    <w:rsid w:val="00633747"/>
    <w:rsid w:val="00634327"/>
    <w:rsid w:val="00634E61"/>
    <w:rsid w:val="006352A5"/>
    <w:rsid w:val="00635311"/>
    <w:rsid w:val="006362ED"/>
    <w:rsid w:val="00640074"/>
    <w:rsid w:val="00640206"/>
    <w:rsid w:val="00641A2A"/>
    <w:rsid w:val="00641DDA"/>
    <w:rsid w:val="00642771"/>
    <w:rsid w:val="00644811"/>
    <w:rsid w:val="0064541B"/>
    <w:rsid w:val="0064547F"/>
    <w:rsid w:val="0064548F"/>
    <w:rsid w:val="00646E09"/>
    <w:rsid w:val="006500F9"/>
    <w:rsid w:val="00650B28"/>
    <w:rsid w:val="00651657"/>
    <w:rsid w:val="00651C6A"/>
    <w:rsid w:val="00651F00"/>
    <w:rsid w:val="00652F0C"/>
    <w:rsid w:val="00653643"/>
    <w:rsid w:val="00653719"/>
    <w:rsid w:val="00654A5A"/>
    <w:rsid w:val="006553B9"/>
    <w:rsid w:val="006559F1"/>
    <w:rsid w:val="0065610F"/>
    <w:rsid w:val="00656404"/>
    <w:rsid w:val="00656CBF"/>
    <w:rsid w:val="00656F3E"/>
    <w:rsid w:val="00657D1D"/>
    <w:rsid w:val="00660270"/>
    <w:rsid w:val="00661A14"/>
    <w:rsid w:val="00661F35"/>
    <w:rsid w:val="00662616"/>
    <w:rsid w:val="00662C22"/>
    <w:rsid w:val="00663BA5"/>
    <w:rsid w:val="00664675"/>
    <w:rsid w:val="006646AD"/>
    <w:rsid w:val="00664C0E"/>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2B37"/>
    <w:rsid w:val="006A3281"/>
    <w:rsid w:val="006A45C5"/>
    <w:rsid w:val="006A4C27"/>
    <w:rsid w:val="006A7C9F"/>
    <w:rsid w:val="006B0B31"/>
    <w:rsid w:val="006B3423"/>
    <w:rsid w:val="006B55F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574A"/>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980"/>
    <w:rsid w:val="006F3CCE"/>
    <w:rsid w:val="006F3DD6"/>
    <w:rsid w:val="006F61D3"/>
    <w:rsid w:val="006F6549"/>
    <w:rsid w:val="006F6ACB"/>
    <w:rsid w:val="00700099"/>
    <w:rsid w:val="007001DA"/>
    <w:rsid w:val="007010EE"/>
    <w:rsid w:val="0070190E"/>
    <w:rsid w:val="0070196F"/>
    <w:rsid w:val="00701DCD"/>
    <w:rsid w:val="00702971"/>
    <w:rsid w:val="00702F60"/>
    <w:rsid w:val="00703249"/>
    <w:rsid w:val="00703A75"/>
    <w:rsid w:val="007040C2"/>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43E"/>
    <w:rsid w:val="00716851"/>
    <w:rsid w:val="00717DF5"/>
    <w:rsid w:val="00720179"/>
    <w:rsid w:val="007202BA"/>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D1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B72"/>
    <w:rsid w:val="00745ED4"/>
    <w:rsid w:val="00746B1E"/>
    <w:rsid w:val="00746D99"/>
    <w:rsid w:val="00747D2C"/>
    <w:rsid w:val="00750545"/>
    <w:rsid w:val="00750BD2"/>
    <w:rsid w:val="0075126F"/>
    <w:rsid w:val="00751572"/>
    <w:rsid w:val="007515A3"/>
    <w:rsid w:val="0075353C"/>
    <w:rsid w:val="00753693"/>
    <w:rsid w:val="0075388D"/>
    <w:rsid w:val="007548B2"/>
    <w:rsid w:val="0075685C"/>
    <w:rsid w:val="00757A0B"/>
    <w:rsid w:val="00757D0A"/>
    <w:rsid w:val="0076164D"/>
    <w:rsid w:val="00763F34"/>
    <w:rsid w:val="007659D3"/>
    <w:rsid w:val="00765A98"/>
    <w:rsid w:val="00766B6A"/>
    <w:rsid w:val="00766E6E"/>
    <w:rsid w:val="00766EE5"/>
    <w:rsid w:val="007722D0"/>
    <w:rsid w:val="007746D5"/>
    <w:rsid w:val="00774BD5"/>
    <w:rsid w:val="00774E53"/>
    <w:rsid w:val="007759CE"/>
    <w:rsid w:val="007759E8"/>
    <w:rsid w:val="0077606E"/>
    <w:rsid w:val="0077623F"/>
    <w:rsid w:val="007764CB"/>
    <w:rsid w:val="00776C96"/>
    <w:rsid w:val="00777614"/>
    <w:rsid w:val="00780DBF"/>
    <w:rsid w:val="007817BA"/>
    <w:rsid w:val="00781C9C"/>
    <w:rsid w:val="00782E96"/>
    <w:rsid w:val="00784245"/>
    <w:rsid w:val="00784FD6"/>
    <w:rsid w:val="0078547A"/>
    <w:rsid w:val="00785CC7"/>
    <w:rsid w:val="00786E91"/>
    <w:rsid w:val="00790002"/>
    <w:rsid w:val="007902F0"/>
    <w:rsid w:val="0079151A"/>
    <w:rsid w:val="007929C0"/>
    <w:rsid w:val="00792D77"/>
    <w:rsid w:val="007949BD"/>
    <w:rsid w:val="0079533A"/>
    <w:rsid w:val="00795D33"/>
    <w:rsid w:val="00795DB5"/>
    <w:rsid w:val="00796396"/>
    <w:rsid w:val="0079669C"/>
    <w:rsid w:val="007975E4"/>
    <w:rsid w:val="007A00DE"/>
    <w:rsid w:val="007A0D08"/>
    <w:rsid w:val="007A2045"/>
    <w:rsid w:val="007A33A6"/>
    <w:rsid w:val="007A3CE7"/>
    <w:rsid w:val="007A496A"/>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1D36"/>
    <w:rsid w:val="007C2542"/>
    <w:rsid w:val="007C2982"/>
    <w:rsid w:val="007C29C4"/>
    <w:rsid w:val="007C375B"/>
    <w:rsid w:val="007C3A2A"/>
    <w:rsid w:val="007C3E90"/>
    <w:rsid w:val="007C4657"/>
    <w:rsid w:val="007C4CB6"/>
    <w:rsid w:val="007C4D82"/>
    <w:rsid w:val="007C4F3B"/>
    <w:rsid w:val="007C5477"/>
    <w:rsid w:val="007C6BE5"/>
    <w:rsid w:val="007C6EC0"/>
    <w:rsid w:val="007C7233"/>
    <w:rsid w:val="007C7C29"/>
    <w:rsid w:val="007C7F4D"/>
    <w:rsid w:val="007D0632"/>
    <w:rsid w:val="007D0659"/>
    <w:rsid w:val="007D0CA9"/>
    <w:rsid w:val="007D2370"/>
    <w:rsid w:val="007D24F4"/>
    <w:rsid w:val="007D26CD"/>
    <w:rsid w:val="007D2865"/>
    <w:rsid w:val="007D29AA"/>
    <w:rsid w:val="007D2C35"/>
    <w:rsid w:val="007D2CC8"/>
    <w:rsid w:val="007D30D1"/>
    <w:rsid w:val="007D3E11"/>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3FC"/>
    <w:rsid w:val="007F383A"/>
    <w:rsid w:val="007F38D3"/>
    <w:rsid w:val="007F4320"/>
    <w:rsid w:val="007F4E40"/>
    <w:rsid w:val="007F4F34"/>
    <w:rsid w:val="007F5D80"/>
    <w:rsid w:val="007F6E69"/>
    <w:rsid w:val="007F7A37"/>
    <w:rsid w:val="007F7CCE"/>
    <w:rsid w:val="007F7DEE"/>
    <w:rsid w:val="008005CF"/>
    <w:rsid w:val="00801C3D"/>
    <w:rsid w:val="0080239B"/>
    <w:rsid w:val="0080269F"/>
    <w:rsid w:val="00803E61"/>
    <w:rsid w:val="008040E5"/>
    <w:rsid w:val="00804374"/>
    <w:rsid w:val="00805088"/>
    <w:rsid w:val="008058CA"/>
    <w:rsid w:val="008063F2"/>
    <w:rsid w:val="00806635"/>
    <w:rsid w:val="00807AA4"/>
    <w:rsid w:val="00807B6A"/>
    <w:rsid w:val="00807F2E"/>
    <w:rsid w:val="00810532"/>
    <w:rsid w:val="008116E9"/>
    <w:rsid w:val="00811A48"/>
    <w:rsid w:val="00813922"/>
    <w:rsid w:val="0081463F"/>
    <w:rsid w:val="008148CD"/>
    <w:rsid w:val="00815395"/>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26E5C"/>
    <w:rsid w:val="00830C6A"/>
    <w:rsid w:val="008310F1"/>
    <w:rsid w:val="008339DA"/>
    <w:rsid w:val="00833D79"/>
    <w:rsid w:val="00834909"/>
    <w:rsid w:val="008355B0"/>
    <w:rsid w:val="00837404"/>
    <w:rsid w:val="00837706"/>
    <w:rsid w:val="00837C4C"/>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23D"/>
    <w:rsid w:val="0085440A"/>
    <w:rsid w:val="00854B8E"/>
    <w:rsid w:val="0085549C"/>
    <w:rsid w:val="00855F10"/>
    <w:rsid w:val="008601E7"/>
    <w:rsid w:val="00860808"/>
    <w:rsid w:val="00861072"/>
    <w:rsid w:val="00861D2E"/>
    <w:rsid w:val="00861DCD"/>
    <w:rsid w:val="0086208E"/>
    <w:rsid w:val="00863A05"/>
    <w:rsid w:val="0086440E"/>
    <w:rsid w:val="00864627"/>
    <w:rsid w:val="00865336"/>
    <w:rsid w:val="0086691F"/>
    <w:rsid w:val="008672A5"/>
    <w:rsid w:val="008672D6"/>
    <w:rsid w:val="0086784D"/>
    <w:rsid w:val="00870582"/>
    <w:rsid w:val="008719E4"/>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3652"/>
    <w:rsid w:val="00893D69"/>
    <w:rsid w:val="00893F29"/>
    <w:rsid w:val="00894503"/>
    <w:rsid w:val="00894A4D"/>
    <w:rsid w:val="008954CB"/>
    <w:rsid w:val="00895519"/>
    <w:rsid w:val="008957A9"/>
    <w:rsid w:val="00895FA5"/>
    <w:rsid w:val="00896172"/>
    <w:rsid w:val="008A023D"/>
    <w:rsid w:val="008A0DFE"/>
    <w:rsid w:val="008A2029"/>
    <w:rsid w:val="008A222F"/>
    <w:rsid w:val="008A2385"/>
    <w:rsid w:val="008A2A88"/>
    <w:rsid w:val="008A3358"/>
    <w:rsid w:val="008A340C"/>
    <w:rsid w:val="008A4A6C"/>
    <w:rsid w:val="008A4F35"/>
    <w:rsid w:val="008A5001"/>
    <w:rsid w:val="008A560C"/>
    <w:rsid w:val="008A68A9"/>
    <w:rsid w:val="008A6FB4"/>
    <w:rsid w:val="008A764A"/>
    <w:rsid w:val="008A790E"/>
    <w:rsid w:val="008A7ACE"/>
    <w:rsid w:val="008B0058"/>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3AA"/>
    <w:rsid w:val="008E0D2C"/>
    <w:rsid w:val="008E1E90"/>
    <w:rsid w:val="008E227A"/>
    <w:rsid w:val="008E25DB"/>
    <w:rsid w:val="008E2AAA"/>
    <w:rsid w:val="008E3A0C"/>
    <w:rsid w:val="008E4DE1"/>
    <w:rsid w:val="008E52B9"/>
    <w:rsid w:val="008E568E"/>
    <w:rsid w:val="008E5784"/>
    <w:rsid w:val="008E5EEC"/>
    <w:rsid w:val="008E7D87"/>
    <w:rsid w:val="008F0B78"/>
    <w:rsid w:val="008F13C9"/>
    <w:rsid w:val="008F31D0"/>
    <w:rsid w:val="008F31E2"/>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6596"/>
    <w:rsid w:val="00906C56"/>
    <w:rsid w:val="00906CB1"/>
    <w:rsid w:val="00906D84"/>
    <w:rsid w:val="0090714B"/>
    <w:rsid w:val="00907493"/>
    <w:rsid w:val="009078A0"/>
    <w:rsid w:val="00907926"/>
    <w:rsid w:val="009100B5"/>
    <w:rsid w:val="00911BED"/>
    <w:rsid w:val="00912C72"/>
    <w:rsid w:val="0091332A"/>
    <w:rsid w:val="00913600"/>
    <w:rsid w:val="00913C76"/>
    <w:rsid w:val="009145B1"/>
    <w:rsid w:val="00914694"/>
    <w:rsid w:val="00914E24"/>
    <w:rsid w:val="00915A90"/>
    <w:rsid w:val="00915B11"/>
    <w:rsid w:val="00915B36"/>
    <w:rsid w:val="00915EF4"/>
    <w:rsid w:val="009169EC"/>
    <w:rsid w:val="00917474"/>
    <w:rsid w:val="0092039B"/>
    <w:rsid w:val="009203BE"/>
    <w:rsid w:val="009214B5"/>
    <w:rsid w:val="009219C7"/>
    <w:rsid w:val="00921C96"/>
    <w:rsid w:val="009222D2"/>
    <w:rsid w:val="00923A46"/>
    <w:rsid w:val="00923DC2"/>
    <w:rsid w:val="0092485B"/>
    <w:rsid w:val="009252C2"/>
    <w:rsid w:val="0092540C"/>
    <w:rsid w:val="00925B56"/>
    <w:rsid w:val="00925F8A"/>
    <w:rsid w:val="00926FFA"/>
    <w:rsid w:val="00927258"/>
    <w:rsid w:val="00927B9E"/>
    <w:rsid w:val="009306EB"/>
    <w:rsid w:val="00930A27"/>
    <w:rsid w:val="009311CA"/>
    <w:rsid w:val="00931A87"/>
    <w:rsid w:val="009336DB"/>
    <w:rsid w:val="009337EE"/>
    <w:rsid w:val="00933C10"/>
    <w:rsid w:val="009350FD"/>
    <w:rsid w:val="0093560B"/>
    <w:rsid w:val="00937C75"/>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703B3"/>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5935"/>
    <w:rsid w:val="00985AA8"/>
    <w:rsid w:val="00986EA2"/>
    <w:rsid w:val="0099118D"/>
    <w:rsid w:val="0099123F"/>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3AC8"/>
    <w:rsid w:val="009A3B91"/>
    <w:rsid w:val="009A4C8C"/>
    <w:rsid w:val="009A619C"/>
    <w:rsid w:val="009A6467"/>
    <w:rsid w:val="009A6C7C"/>
    <w:rsid w:val="009A7A0F"/>
    <w:rsid w:val="009B024A"/>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F02"/>
    <w:rsid w:val="009C6546"/>
    <w:rsid w:val="009C7C1A"/>
    <w:rsid w:val="009D26CE"/>
    <w:rsid w:val="009D2AB1"/>
    <w:rsid w:val="009D2E84"/>
    <w:rsid w:val="009D6851"/>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09E4"/>
    <w:rsid w:val="00A01220"/>
    <w:rsid w:val="00A020F8"/>
    <w:rsid w:val="00A038DD"/>
    <w:rsid w:val="00A0397C"/>
    <w:rsid w:val="00A054C9"/>
    <w:rsid w:val="00A07063"/>
    <w:rsid w:val="00A071F0"/>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5562"/>
    <w:rsid w:val="00A27DB3"/>
    <w:rsid w:val="00A27F47"/>
    <w:rsid w:val="00A30906"/>
    <w:rsid w:val="00A30B81"/>
    <w:rsid w:val="00A31BC6"/>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03D"/>
    <w:rsid w:val="00A42B71"/>
    <w:rsid w:val="00A42F4F"/>
    <w:rsid w:val="00A43F40"/>
    <w:rsid w:val="00A441BC"/>
    <w:rsid w:val="00A443CE"/>
    <w:rsid w:val="00A44AA2"/>
    <w:rsid w:val="00A46823"/>
    <w:rsid w:val="00A468A7"/>
    <w:rsid w:val="00A473E6"/>
    <w:rsid w:val="00A47ABA"/>
    <w:rsid w:val="00A47B29"/>
    <w:rsid w:val="00A50CF4"/>
    <w:rsid w:val="00A524E1"/>
    <w:rsid w:val="00A52C43"/>
    <w:rsid w:val="00A53180"/>
    <w:rsid w:val="00A5401F"/>
    <w:rsid w:val="00A569A9"/>
    <w:rsid w:val="00A60961"/>
    <w:rsid w:val="00A63B94"/>
    <w:rsid w:val="00A64B61"/>
    <w:rsid w:val="00A64C3F"/>
    <w:rsid w:val="00A64D7B"/>
    <w:rsid w:val="00A64EBD"/>
    <w:rsid w:val="00A65108"/>
    <w:rsid w:val="00A65AAD"/>
    <w:rsid w:val="00A660B5"/>
    <w:rsid w:val="00A6613C"/>
    <w:rsid w:val="00A679E5"/>
    <w:rsid w:val="00A7005E"/>
    <w:rsid w:val="00A72486"/>
    <w:rsid w:val="00A72E47"/>
    <w:rsid w:val="00A72EDD"/>
    <w:rsid w:val="00A7329A"/>
    <w:rsid w:val="00A73ED8"/>
    <w:rsid w:val="00A74C13"/>
    <w:rsid w:val="00A74E68"/>
    <w:rsid w:val="00A7500E"/>
    <w:rsid w:val="00A75834"/>
    <w:rsid w:val="00A76375"/>
    <w:rsid w:val="00A774C8"/>
    <w:rsid w:val="00A81115"/>
    <w:rsid w:val="00A81BBA"/>
    <w:rsid w:val="00A8441B"/>
    <w:rsid w:val="00A845A3"/>
    <w:rsid w:val="00A875D1"/>
    <w:rsid w:val="00A87BF2"/>
    <w:rsid w:val="00A90795"/>
    <w:rsid w:val="00A907A9"/>
    <w:rsid w:val="00A90B98"/>
    <w:rsid w:val="00A91138"/>
    <w:rsid w:val="00A91275"/>
    <w:rsid w:val="00A9262C"/>
    <w:rsid w:val="00A92C70"/>
    <w:rsid w:val="00A9343F"/>
    <w:rsid w:val="00A939DE"/>
    <w:rsid w:val="00A95AE2"/>
    <w:rsid w:val="00A96F0D"/>
    <w:rsid w:val="00A97799"/>
    <w:rsid w:val="00AA03A5"/>
    <w:rsid w:val="00AA07E6"/>
    <w:rsid w:val="00AA1B70"/>
    <w:rsid w:val="00AA28BF"/>
    <w:rsid w:val="00AA3079"/>
    <w:rsid w:val="00AA47CC"/>
    <w:rsid w:val="00AA4AA2"/>
    <w:rsid w:val="00AA4ACF"/>
    <w:rsid w:val="00AA6209"/>
    <w:rsid w:val="00AA686D"/>
    <w:rsid w:val="00AA764F"/>
    <w:rsid w:val="00AB0775"/>
    <w:rsid w:val="00AB0B1A"/>
    <w:rsid w:val="00AB1485"/>
    <w:rsid w:val="00AB2DD3"/>
    <w:rsid w:val="00AB3406"/>
    <w:rsid w:val="00AB432B"/>
    <w:rsid w:val="00AB5879"/>
    <w:rsid w:val="00AB764B"/>
    <w:rsid w:val="00AB7B30"/>
    <w:rsid w:val="00AC1F0F"/>
    <w:rsid w:val="00AC2595"/>
    <w:rsid w:val="00AC2FB7"/>
    <w:rsid w:val="00AC3177"/>
    <w:rsid w:val="00AC44C1"/>
    <w:rsid w:val="00AC4AAF"/>
    <w:rsid w:val="00AC50B6"/>
    <w:rsid w:val="00AC6023"/>
    <w:rsid w:val="00AC7A9C"/>
    <w:rsid w:val="00AD0093"/>
    <w:rsid w:val="00AD0A1D"/>
    <w:rsid w:val="00AD216A"/>
    <w:rsid w:val="00AD2818"/>
    <w:rsid w:val="00AD3753"/>
    <w:rsid w:val="00AD482C"/>
    <w:rsid w:val="00AD50A4"/>
    <w:rsid w:val="00AD54E0"/>
    <w:rsid w:val="00AD5FB2"/>
    <w:rsid w:val="00AD66A9"/>
    <w:rsid w:val="00AD7B1A"/>
    <w:rsid w:val="00AE011D"/>
    <w:rsid w:val="00AE02DB"/>
    <w:rsid w:val="00AE1606"/>
    <w:rsid w:val="00AE2057"/>
    <w:rsid w:val="00AE2126"/>
    <w:rsid w:val="00AE2D06"/>
    <w:rsid w:val="00AE3193"/>
    <w:rsid w:val="00AE339E"/>
    <w:rsid w:val="00AE37E0"/>
    <w:rsid w:val="00AE5008"/>
    <w:rsid w:val="00AE55A9"/>
    <w:rsid w:val="00AE5AC0"/>
    <w:rsid w:val="00AE6286"/>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255F"/>
    <w:rsid w:val="00B02EC2"/>
    <w:rsid w:val="00B03611"/>
    <w:rsid w:val="00B03A22"/>
    <w:rsid w:val="00B03CD0"/>
    <w:rsid w:val="00B0444B"/>
    <w:rsid w:val="00B04828"/>
    <w:rsid w:val="00B04BEA"/>
    <w:rsid w:val="00B04EE5"/>
    <w:rsid w:val="00B0563C"/>
    <w:rsid w:val="00B076B5"/>
    <w:rsid w:val="00B110E6"/>
    <w:rsid w:val="00B1139E"/>
    <w:rsid w:val="00B1230C"/>
    <w:rsid w:val="00B124A0"/>
    <w:rsid w:val="00B12F7B"/>
    <w:rsid w:val="00B1385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67DF"/>
    <w:rsid w:val="00B379BD"/>
    <w:rsid w:val="00B37E6E"/>
    <w:rsid w:val="00B41F11"/>
    <w:rsid w:val="00B42252"/>
    <w:rsid w:val="00B422D8"/>
    <w:rsid w:val="00B43919"/>
    <w:rsid w:val="00B446F4"/>
    <w:rsid w:val="00B45A5F"/>
    <w:rsid w:val="00B46863"/>
    <w:rsid w:val="00B46925"/>
    <w:rsid w:val="00B46A3D"/>
    <w:rsid w:val="00B52BB3"/>
    <w:rsid w:val="00B52C86"/>
    <w:rsid w:val="00B530D3"/>
    <w:rsid w:val="00B53C78"/>
    <w:rsid w:val="00B55B41"/>
    <w:rsid w:val="00B56B2D"/>
    <w:rsid w:val="00B5708A"/>
    <w:rsid w:val="00B57949"/>
    <w:rsid w:val="00B57B9A"/>
    <w:rsid w:val="00B61424"/>
    <w:rsid w:val="00B6149F"/>
    <w:rsid w:val="00B61EBA"/>
    <w:rsid w:val="00B62135"/>
    <w:rsid w:val="00B62316"/>
    <w:rsid w:val="00B625C3"/>
    <w:rsid w:val="00B63D2C"/>
    <w:rsid w:val="00B64827"/>
    <w:rsid w:val="00B64F70"/>
    <w:rsid w:val="00B65DA8"/>
    <w:rsid w:val="00B66417"/>
    <w:rsid w:val="00B66836"/>
    <w:rsid w:val="00B675AC"/>
    <w:rsid w:val="00B70520"/>
    <w:rsid w:val="00B7096D"/>
    <w:rsid w:val="00B70B1F"/>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49B"/>
    <w:rsid w:val="00B87940"/>
    <w:rsid w:val="00B87A1D"/>
    <w:rsid w:val="00B9117F"/>
    <w:rsid w:val="00B91776"/>
    <w:rsid w:val="00B91E8C"/>
    <w:rsid w:val="00B92F7E"/>
    <w:rsid w:val="00B96018"/>
    <w:rsid w:val="00BA09FE"/>
    <w:rsid w:val="00BA19BD"/>
    <w:rsid w:val="00BA1B10"/>
    <w:rsid w:val="00BA1E04"/>
    <w:rsid w:val="00BA212F"/>
    <w:rsid w:val="00BA264D"/>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06A1"/>
    <w:rsid w:val="00BC1220"/>
    <w:rsid w:val="00BC25BB"/>
    <w:rsid w:val="00BC2B30"/>
    <w:rsid w:val="00BC43B8"/>
    <w:rsid w:val="00BC4768"/>
    <w:rsid w:val="00BC47FB"/>
    <w:rsid w:val="00BC5778"/>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1164"/>
    <w:rsid w:val="00BF1CE7"/>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6473"/>
    <w:rsid w:val="00C10747"/>
    <w:rsid w:val="00C121C0"/>
    <w:rsid w:val="00C1321C"/>
    <w:rsid w:val="00C13676"/>
    <w:rsid w:val="00C13A20"/>
    <w:rsid w:val="00C14502"/>
    <w:rsid w:val="00C14637"/>
    <w:rsid w:val="00C15B73"/>
    <w:rsid w:val="00C17393"/>
    <w:rsid w:val="00C17702"/>
    <w:rsid w:val="00C20116"/>
    <w:rsid w:val="00C21DA0"/>
    <w:rsid w:val="00C21FFB"/>
    <w:rsid w:val="00C227E2"/>
    <w:rsid w:val="00C2294D"/>
    <w:rsid w:val="00C235A1"/>
    <w:rsid w:val="00C23973"/>
    <w:rsid w:val="00C26B42"/>
    <w:rsid w:val="00C26B64"/>
    <w:rsid w:val="00C27AC9"/>
    <w:rsid w:val="00C31330"/>
    <w:rsid w:val="00C3146A"/>
    <w:rsid w:val="00C319AE"/>
    <w:rsid w:val="00C3241A"/>
    <w:rsid w:val="00C33EDD"/>
    <w:rsid w:val="00C3473F"/>
    <w:rsid w:val="00C3481E"/>
    <w:rsid w:val="00C34E04"/>
    <w:rsid w:val="00C3603B"/>
    <w:rsid w:val="00C36316"/>
    <w:rsid w:val="00C364EF"/>
    <w:rsid w:val="00C365E3"/>
    <w:rsid w:val="00C367F9"/>
    <w:rsid w:val="00C408A6"/>
    <w:rsid w:val="00C4122E"/>
    <w:rsid w:val="00C41A6F"/>
    <w:rsid w:val="00C424AE"/>
    <w:rsid w:val="00C4264C"/>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4B06"/>
    <w:rsid w:val="00C85603"/>
    <w:rsid w:val="00C86367"/>
    <w:rsid w:val="00C86440"/>
    <w:rsid w:val="00C86777"/>
    <w:rsid w:val="00C86BB6"/>
    <w:rsid w:val="00C86CE2"/>
    <w:rsid w:val="00C87791"/>
    <w:rsid w:val="00C91EE7"/>
    <w:rsid w:val="00C921ED"/>
    <w:rsid w:val="00C922EF"/>
    <w:rsid w:val="00C923C0"/>
    <w:rsid w:val="00C92925"/>
    <w:rsid w:val="00C92E27"/>
    <w:rsid w:val="00C9334F"/>
    <w:rsid w:val="00C934C1"/>
    <w:rsid w:val="00C9411D"/>
    <w:rsid w:val="00C967FE"/>
    <w:rsid w:val="00C96B2D"/>
    <w:rsid w:val="00C96C0D"/>
    <w:rsid w:val="00C96F1F"/>
    <w:rsid w:val="00C975DC"/>
    <w:rsid w:val="00CA0A8F"/>
    <w:rsid w:val="00CA10A7"/>
    <w:rsid w:val="00CA133E"/>
    <w:rsid w:val="00CA167E"/>
    <w:rsid w:val="00CA1AE0"/>
    <w:rsid w:val="00CA257D"/>
    <w:rsid w:val="00CA4EB5"/>
    <w:rsid w:val="00CA5013"/>
    <w:rsid w:val="00CA63B2"/>
    <w:rsid w:val="00CA7509"/>
    <w:rsid w:val="00CA7C48"/>
    <w:rsid w:val="00CB0AD1"/>
    <w:rsid w:val="00CB2E78"/>
    <w:rsid w:val="00CB321B"/>
    <w:rsid w:val="00CB3405"/>
    <w:rsid w:val="00CB3D75"/>
    <w:rsid w:val="00CB4614"/>
    <w:rsid w:val="00CB5428"/>
    <w:rsid w:val="00CB591D"/>
    <w:rsid w:val="00CB5E19"/>
    <w:rsid w:val="00CB6106"/>
    <w:rsid w:val="00CB62C2"/>
    <w:rsid w:val="00CB67D4"/>
    <w:rsid w:val="00CB740C"/>
    <w:rsid w:val="00CB7787"/>
    <w:rsid w:val="00CB7824"/>
    <w:rsid w:val="00CB7CEC"/>
    <w:rsid w:val="00CB7E1A"/>
    <w:rsid w:val="00CC00EC"/>
    <w:rsid w:val="00CC0B4D"/>
    <w:rsid w:val="00CC1CFC"/>
    <w:rsid w:val="00CC29A8"/>
    <w:rsid w:val="00CC2BE8"/>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5A9D"/>
    <w:rsid w:val="00CD67A3"/>
    <w:rsid w:val="00CD70C2"/>
    <w:rsid w:val="00CD76B9"/>
    <w:rsid w:val="00CD7A85"/>
    <w:rsid w:val="00CD7F09"/>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530"/>
    <w:rsid w:val="00CF0802"/>
    <w:rsid w:val="00CF17FC"/>
    <w:rsid w:val="00CF29D5"/>
    <w:rsid w:val="00CF3168"/>
    <w:rsid w:val="00CF35C8"/>
    <w:rsid w:val="00CF4413"/>
    <w:rsid w:val="00CF52BA"/>
    <w:rsid w:val="00CF5BD7"/>
    <w:rsid w:val="00CF738F"/>
    <w:rsid w:val="00D00461"/>
    <w:rsid w:val="00D018A3"/>
    <w:rsid w:val="00D021BA"/>
    <w:rsid w:val="00D024E7"/>
    <w:rsid w:val="00D02F8D"/>
    <w:rsid w:val="00D03BED"/>
    <w:rsid w:val="00D0424E"/>
    <w:rsid w:val="00D0484B"/>
    <w:rsid w:val="00D04B69"/>
    <w:rsid w:val="00D050CE"/>
    <w:rsid w:val="00D07457"/>
    <w:rsid w:val="00D07809"/>
    <w:rsid w:val="00D079F1"/>
    <w:rsid w:val="00D07A13"/>
    <w:rsid w:val="00D106C1"/>
    <w:rsid w:val="00D11103"/>
    <w:rsid w:val="00D11DE0"/>
    <w:rsid w:val="00D121E1"/>
    <w:rsid w:val="00D122B2"/>
    <w:rsid w:val="00D144B1"/>
    <w:rsid w:val="00D15311"/>
    <w:rsid w:val="00D1666F"/>
    <w:rsid w:val="00D16AA1"/>
    <w:rsid w:val="00D16B6E"/>
    <w:rsid w:val="00D16D30"/>
    <w:rsid w:val="00D16F2A"/>
    <w:rsid w:val="00D17828"/>
    <w:rsid w:val="00D20769"/>
    <w:rsid w:val="00D211C0"/>
    <w:rsid w:val="00D21960"/>
    <w:rsid w:val="00D23582"/>
    <w:rsid w:val="00D23C5A"/>
    <w:rsid w:val="00D26833"/>
    <w:rsid w:val="00D26D14"/>
    <w:rsid w:val="00D300E7"/>
    <w:rsid w:val="00D30C0B"/>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513AC"/>
    <w:rsid w:val="00D5159F"/>
    <w:rsid w:val="00D51841"/>
    <w:rsid w:val="00D52C42"/>
    <w:rsid w:val="00D542B2"/>
    <w:rsid w:val="00D54EA8"/>
    <w:rsid w:val="00D54F30"/>
    <w:rsid w:val="00D55CE5"/>
    <w:rsid w:val="00D568B8"/>
    <w:rsid w:val="00D5718D"/>
    <w:rsid w:val="00D574F1"/>
    <w:rsid w:val="00D60623"/>
    <w:rsid w:val="00D60790"/>
    <w:rsid w:val="00D607B1"/>
    <w:rsid w:val="00D60D10"/>
    <w:rsid w:val="00D639C1"/>
    <w:rsid w:val="00D645E7"/>
    <w:rsid w:val="00D65986"/>
    <w:rsid w:val="00D66159"/>
    <w:rsid w:val="00D663C6"/>
    <w:rsid w:val="00D668BF"/>
    <w:rsid w:val="00D67840"/>
    <w:rsid w:val="00D67E32"/>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5FC0"/>
    <w:rsid w:val="00D86095"/>
    <w:rsid w:val="00D86DD4"/>
    <w:rsid w:val="00D87240"/>
    <w:rsid w:val="00D9014F"/>
    <w:rsid w:val="00D903F7"/>
    <w:rsid w:val="00D91494"/>
    <w:rsid w:val="00D91573"/>
    <w:rsid w:val="00D919CD"/>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3E30"/>
    <w:rsid w:val="00DC4407"/>
    <w:rsid w:val="00DC4961"/>
    <w:rsid w:val="00DC5569"/>
    <w:rsid w:val="00DC5A66"/>
    <w:rsid w:val="00DC6636"/>
    <w:rsid w:val="00DD0516"/>
    <w:rsid w:val="00DD0E39"/>
    <w:rsid w:val="00DD3D9A"/>
    <w:rsid w:val="00DD42C3"/>
    <w:rsid w:val="00DD5249"/>
    <w:rsid w:val="00DD5DAB"/>
    <w:rsid w:val="00DD5DF1"/>
    <w:rsid w:val="00DD668C"/>
    <w:rsid w:val="00DD684B"/>
    <w:rsid w:val="00DD6C7E"/>
    <w:rsid w:val="00DD7322"/>
    <w:rsid w:val="00DD73C5"/>
    <w:rsid w:val="00DD7557"/>
    <w:rsid w:val="00DD7A1D"/>
    <w:rsid w:val="00DE00BE"/>
    <w:rsid w:val="00DE1866"/>
    <w:rsid w:val="00DE1A18"/>
    <w:rsid w:val="00DE2DB6"/>
    <w:rsid w:val="00DE302D"/>
    <w:rsid w:val="00DE4845"/>
    <w:rsid w:val="00DE62F9"/>
    <w:rsid w:val="00DE6429"/>
    <w:rsid w:val="00DE7850"/>
    <w:rsid w:val="00DE7DA0"/>
    <w:rsid w:val="00DF2A15"/>
    <w:rsid w:val="00DF2CD5"/>
    <w:rsid w:val="00DF3697"/>
    <w:rsid w:val="00DF3E8A"/>
    <w:rsid w:val="00DF42EF"/>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6F0A"/>
    <w:rsid w:val="00E07992"/>
    <w:rsid w:val="00E102B0"/>
    <w:rsid w:val="00E10416"/>
    <w:rsid w:val="00E11055"/>
    <w:rsid w:val="00E115C8"/>
    <w:rsid w:val="00E125FF"/>
    <w:rsid w:val="00E133E4"/>
    <w:rsid w:val="00E15CC3"/>
    <w:rsid w:val="00E17A04"/>
    <w:rsid w:val="00E20175"/>
    <w:rsid w:val="00E2027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65B"/>
    <w:rsid w:val="00E31C65"/>
    <w:rsid w:val="00E31CD0"/>
    <w:rsid w:val="00E31E6D"/>
    <w:rsid w:val="00E3214F"/>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46F5"/>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443F"/>
    <w:rsid w:val="00E6607A"/>
    <w:rsid w:val="00E66248"/>
    <w:rsid w:val="00E66A1A"/>
    <w:rsid w:val="00E66BEA"/>
    <w:rsid w:val="00E66D0A"/>
    <w:rsid w:val="00E67EE4"/>
    <w:rsid w:val="00E703D1"/>
    <w:rsid w:val="00E70410"/>
    <w:rsid w:val="00E706A0"/>
    <w:rsid w:val="00E70F93"/>
    <w:rsid w:val="00E7277E"/>
    <w:rsid w:val="00E728B4"/>
    <w:rsid w:val="00E72FF5"/>
    <w:rsid w:val="00E74B8A"/>
    <w:rsid w:val="00E761FD"/>
    <w:rsid w:val="00E76D00"/>
    <w:rsid w:val="00E77116"/>
    <w:rsid w:val="00E77729"/>
    <w:rsid w:val="00E80CE0"/>
    <w:rsid w:val="00E82B15"/>
    <w:rsid w:val="00E8444B"/>
    <w:rsid w:val="00E84CA2"/>
    <w:rsid w:val="00E85D88"/>
    <w:rsid w:val="00E863F6"/>
    <w:rsid w:val="00E87E98"/>
    <w:rsid w:val="00E909EA"/>
    <w:rsid w:val="00E927D3"/>
    <w:rsid w:val="00E935B0"/>
    <w:rsid w:val="00E93863"/>
    <w:rsid w:val="00E93DCE"/>
    <w:rsid w:val="00E9402A"/>
    <w:rsid w:val="00E9425E"/>
    <w:rsid w:val="00E94309"/>
    <w:rsid w:val="00E95544"/>
    <w:rsid w:val="00E960D1"/>
    <w:rsid w:val="00E97C76"/>
    <w:rsid w:val="00EA0EBE"/>
    <w:rsid w:val="00EA1D65"/>
    <w:rsid w:val="00EA2482"/>
    <w:rsid w:val="00EA252A"/>
    <w:rsid w:val="00EA31D4"/>
    <w:rsid w:val="00EA4484"/>
    <w:rsid w:val="00EA5EF2"/>
    <w:rsid w:val="00EA6068"/>
    <w:rsid w:val="00EA6102"/>
    <w:rsid w:val="00EA61A2"/>
    <w:rsid w:val="00EB06CB"/>
    <w:rsid w:val="00EB203C"/>
    <w:rsid w:val="00EB2200"/>
    <w:rsid w:val="00EB2C50"/>
    <w:rsid w:val="00EB47D6"/>
    <w:rsid w:val="00EB4F51"/>
    <w:rsid w:val="00EB512F"/>
    <w:rsid w:val="00EB7065"/>
    <w:rsid w:val="00EB7C50"/>
    <w:rsid w:val="00EC002E"/>
    <w:rsid w:val="00EC0945"/>
    <w:rsid w:val="00EC163A"/>
    <w:rsid w:val="00EC1B80"/>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1D0F"/>
    <w:rsid w:val="00EE2D5E"/>
    <w:rsid w:val="00EE387A"/>
    <w:rsid w:val="00EE558C"/>
    <w:rsid w:val="00EE5677"/>
    <w:rsid w:val="00EE5A81"/>
    <w:rsid w:val="00EE64C1"/>
    <w:rsid w:val="00EF1527"/>
    <w:rsid w:val="00EF1AB3"/>
    <w:rsid w:val="00EF2FCF"/>
    <w:rsid w:val="00EF3B42"/>
    <w:rsid w:val="00EF3C45"/>
    <w:rsid w:val="00EF3FC8"/>
    <w:rsid w:val="00EF6658"/>
    <w:rsid w:val="00EF697F"/>
    <w:rsid w:val="00EF6CE0"/>
    <w:rsid w:val="00EF77A4"/>
    <w:rsid w:val="00F003BF"/>
    <w:rsid w:val="00F00E4B"/>
    <w:rsid w:val="00F02A7D"/>
    <w:rsid w:val="00F02C25"/>
    <w:rsid w:val="00F03135"/>
    <w:rsid w:val="00F04081"/>
    <w:rsid w:val="00F0449B"/>
    <w:rsid w:val="00F04D19"/>
    <w:rsid w:val="00F059CA"/>
    <w:rsid w:val="00F0689C"/>
    <w:rsid w:val="00F07413"/>
    <w:rsid w:val="00F0783A"/>
    <w:rsid w:val="00F07C87"/>
    <w:rsid w:val="00F10ED1"/>
    <w:rsid w:val="00F11294"/>
    <w:rsid w:val="00F1230E"/>
    <w:rsid w:val="00F123DE"/>
    <w:rsid w:val="00F135A8"/>
    <w:rsid w:val="00F13948"/>
    <w:rsid w:val="00F14CF2"/>
    <w:rsid w:val="00F14F0C"/>
    <w:rsid w:val="00F167D9"/>
    <w:rsid w:val="00F16C30"/>
    <w:rsid w:val="00F2051A"/>
    <w:rsid w:val="00F2059C"/>
    <w:rsid w:val="00F21871"/>
    <w:rsid w:val="00F21E72"/>
    <w:rsid w:val="00F233A6"/>
    <w:rsid w:val="00F2579C"/>
    <w:rsid w:val="00F262F2"/>
    <w:rsid w:val="00F26795"/>
    <w:rsid w:val="00F271D5"/>
    <w:rsid w:val="00F27438"/>
    <w:rsid w:val="00F2757F"/>
    <w:rsid w:val="00F27A96"/>
    <w:rsid w:val="00F30C5F"/>
    <w:rsid w:val="00F31C2D"/>
    <w:rsid w:val="00F348C7"/>
    <w:rsid w:val="00F35F63"/>
    <w:rsid w:val="00F3639B"/>
    <w:rsid w:val="00F368B8"/>
    <w:rsid w:val="00F36C6D"/>
    <w:rsid w:val="00F379BD"/>
    <w:rsid w:val="00F40C5B"/>
    <w:rsid w:val="00F40DEC"/>
    <w:rsid w:val="00F412D3"/>
    <w:rsid w:val="00F4163D"/>
    <w:rsid w:val="00F438A3"/>
    <w:rsid w:val="00F43F15"/>
    <w:rsid w:val="00F444EF"/>
    <w:rsid w:val="00F45763"/>
    <w:rsid w:val="00F46252"/>
    <w:rsid w:val="00F467DF"/>
    <w:rsid w:val="00F467F1"/>
    <w:rsid w:val="00F46DB2"/>
    <w:rsid w:val="00F47535"/>
    <w:rsid w:val="00F47B68"/>
    <w:rsid w:val="00F51419"/>
    <w:rsid w:val="00F516B0"/>
    <w:rsid w:val="00F53A8F"/>
    <w:rsid w:val="00F53C9A"/>
    <w:rsid w:val="00F5440E"/>
    <w:rsid w:val="00F546B5"/>
    <w:rsid w:val="00F5553C"/>
    <w:rsid w:val="00F562C7"/>
    <w:rsid w:val="00F56D9B"/>
    <w:rsid w:val="00F56DEF"/>
    <w:rsid w:val="00F60573"/>
    <w:rsid w:val="00F612CF"/>
    <w:rsid w:val="00F62370"/>
    <w:rsid w:val="00F62A29"/>
    <w:rsid w:val="00F63984"/>
    <w:rsid w:val="00F64B5E"/>
    <w:rsid w:val="00F65040"/>
    <w:rsid w:val="00F6732A"/>
    <w:rsid w:val="00F67C33"/>
    <w:rsid w:val="00F705EC"/>
    <w:rsid w:val="00F70E45"/>
    <w:rsid w:val="00F7250B"/>
    <w:rsid w:val="00F72DF4"/>
    <w:rsid w:val="00F744A6"/>
    <w:rsid w:val="00F75A57"/>
    <w:rsid w:val="00F76736"/>
    <w:rsid w:val="00F76A43"/>
    <w:rsid w:val="00F777E6"/>
    <w:rsid w:val="00F77D18"/>
    <w:rsid w:val="00F804BF"/>
    <w:rsid w:val="00F81278"/>
    <w:rsid w:val="00F814A9"/>
    <w:rsid w:val="00F8170B"/>
    <w:rsid w:val="00F818E3"/>
    <w:rsid w:val="00F81AD5"/>
    <w:rsid w:val="00F81E1F"/>
    <w:rsid w:val="00F8209E"/>
    <w:rsid w:val="00F826AE"/>
    <w:rsid w:val="00F82A1D"/>
    <w:rsid w:val="00F82E4B"/>
    <w:rsid w:val="00F835F8"/>
    <w:rsid w:val="00F83D53"/>
    <w:rsid w:val="00F840D3"/>
    <w:rsid w:val="00F841D2"/>
    <w:rsid w:val="00F85700"/>
    <w:rsid w:val="00F85E13"/>
    <w:rsid w:val="00F85E1B"/>
    <w:rsid w:val="00F861A8"/>
    <w:rsid w:val="00F87A1A"/>
    <w:rsid w:val="00F87D98"/>
    <w:rsid w:val="00F9063F"/>
    <w:rsid w:val="00F91EAE"/>
    <w:rsid w:val="00F92385"/>
    <w:rsid w:val="00F93352"/>
    <w:rsid w:val="00F93486"/>
    <w:rsid w:val="00F93D5E"/>
    <w:rsid w:val="00F954C0"/>
    <w:rsid w:val="00F9712B"/>
    <w:rsid w:val="00F9766E"/>
    <w:rsid w:val="00F979B3"/>
    <w:rsid w:val="00FA0CCD"/>
    <w:rsid w:val="00FA1583"/>
    <w:rsid w:val="00FA234F"/>
    <w:rsid w:val="00FA3444"/>
    <w:rsid w:val="00FA3571"/>
    <w:rsid w:val="00FA4A79"/>
    <w:rsid w:val="00FA55C6"/>
    <w:rsid w:val="00FA65C5"/>
    <w:rsid w:val="00FA7AA9"/>
    <w:rsid w:val="00FB0243"/>
    <w:rsid w:val="00FB06A5"/>
    <w:rsid w:val="00FB0D02"/>
    <w:rsid w:val="00FB0FCE"/>
    <w:rsid w:val="00FB1447"/>
    <w:rsid w:val="00FB175F"/>
    <w:rsid w:val="00FB2273"/>
    <w:rsid w:val="00FB23A3"/>
    <w:rsid w:val="00FB2D24"/>
    <w:rsid w:val="00FB3500"/>
    <w:rsid w:val="00FB3CD4"/>
    <w:rsid w:val="00FB408A"/>
    <w:rsid w:val="00FB57D1"/>
    <w:rsid w:val="00FC0C07"/>
    <w:rsid w:val="00FC1BEF"/>
    <w:rsid w:val="00FC30CD"/>
    <w:rsid w:val="00FC33AE"/>
    <w:rsid w:val="00FC475A"/>
    <w:rsid w:val="00FC49C1"/>
    <w:rsid w:val="00FC515C"/>
    <w:rsid w:val="00FD0008"/>
    <w:rsid w:val="00FD12CD"/>
    <w:rsid w:val="00FD1831"/>
    <w:rsid w:val="00FD1B0E"/>
    <w:rsid w:val="00FD2277"/>
    <w:rsid w:val="00FD2355"/>
    <w:rsid w:val="00FD2611"/>
    <w:rsid w:val="00FD3A75"/>
    <w:rsid w:val="00FD414C"/>
    <w:rsid w:val="00FD4A4E"/>
    <w:rsid w:val="00FD4A58"/>
    <w:rsid w:val="00FD4F6E"/>
    <w:rsid w:val="00FD5950"/>
    <w:rsid w:val="00FD6A10"/>
    <w:rsid w:val="00FE0071"/>
    <w:rsid w:val="00FE1649"/>
    <w:rsid w:val="00FE3606"/>
    <w:rsid w:val="00FE569E"/>
    <w:rsid w:val="00FE61E7"/>
    <w:rsid w:val="00FE7096"/>
    <w:rsid w:val="00FF00D0"/>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68A965D-610B-47FF-BC07-2931AE36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table" w:customStyle="1" w:styleId="TableGrid1">
    <w:name w:val="Table Grid1"/>
    <w:basedOn w:val="TableNormal"/>
    <w:next w:val="TableGrid"/>
    <w:uiPriority w:val="59"/>
    <w:rsid w:val="0052529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134880350">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ass.gov/eohhs/gov/departments/dph/programs/environmental-health/exposure-topics/iaq/iaq-manu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ass.gov/dph/iaq"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A5126-79AC-4211-B921-FE15A50AE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1012</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6613</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Executive Office of Health and Human Services (January 2019)</dc:title>
  <dc:subject>Chelsea DOR 90 Everett Street</dc:subject>
  <dc:creator>Indoor Air Quality Program</dc:creator>
  <cp:keywords/>
  <cp:lastModifiedBy>Woo, Karl (EHS)</cp:lastModifiedBy>
  <cp:revision>2</cp:revision>
  <cp:lastPrinted>2019-01-23T19:55:00Z</cp:lastPrinted>
  <dcterms:created xsi:type="dcterms:W3CDTF">2019-03-19T14:45:00Z</dcterms:created>
  <dcterms:modified xsi:type="dcterms:W3CDTF">2019-03-19T14:45:00Z</dcterms:modified>
</cp:coreProperties>
</file>