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C7D6" w14:textId="77777777" w:rsidR="004929D5" w:rsidRDefault="00000000">
      <w:pPr>
        <w:spacing w:after="40"/>
        <w:jc w:val="center"/>
      </w:pPr>
      <w:r>
        <w:rPr>
          <w:b/>
          <w:bCs/>
          <w:color w:val="1F3864"/>
          <w:sz w:val="32"/>
          <w:szCs w:val="32"/>
        </w:rPr>
        <w:t>Summary of Community Engagement</w:t>
      </w:r>
    </w:p>
    <w:p w14:paraId="3A86C7D7" w14:textId="77777777" w:rsidR="004929D5" w:rsidRDefault="00000000" w:rsidP="00E36049">
      <w:pPr>
        <w:pStyle w:val="Heading1"/>
      </w:pPr>
      <w:r>
        <w:t>Hampden &amp; Franklin County Cardiovascular Associates, P.C.</w:t>
      </w:r>
    </w:p>
    <w:p w14:paraId="3A86C7D8" w14:textId="77777777" w:rsidR="004929D5" w:rsidRPr="008900E0" w:rsidRDefault="00000000">
      <w:pPr>
        <w:spacing w:after="220"/>
        <w:jc w:val="center"/>
        <w:rPr>
          <w:sz w:val="28"/>
          <w:szCs w:val="28"/>
        </w:rPr>
      </w:pPr>
      <w:r w:rsidRPr="008900E0">
        <w:rPr>
          <w:color w:val="555555"/>
          <w:sz w:val="24"/>
          <w:szCs w:val="24"/>
        </w:rPr>
        <w:t>Determination of Need Application No. HFCCA-26042113-RE — Proposed Cardiac PET/CT, 141 King Street, Northampton, MA</w:t>
      </w:r>
    </w:p>
    <w:p w14:paraId="3A86C7D9" w14:textId="77777777" w:rsidR="004929D5" w:rsidRDefault="00000000">
      <w:pPr>
        <w:pStyle w:val="Heading2"/>
      </w:pPr>
      <w:r>
        <w:t>Outreach Approach</w:t>
      </w:r>
    </w:p>
    <w:p w14:paraId="3A86C7DA" w14:textId="77777777" w:rsidR="004929D5" w:rsidRPr="008900E0" w:rsidRDefault="00000000">
      <w:pPr>
        <w:spacing w:after="160" w:line="276" w:lineRule="auto"/>
        <w:rPr>
          <w:sz w:val="24"/>
          <w:szCs w:val="24"/>
        </w:rPr>
      </w:pPr>
      <w:r w:rsidRPr="008900E0">
        <w:rPr>
          <w:sz w:val="24"/>
          <w:szCs w:val="24"/>
        </w:rPr>
        <w:t>The Applicant conducted community engagement for the Proposed Project through five formal outreach channels involving clinical providers, a community health organization, a regional hospital relationship, and community representatives connected to the patient population that will be served by the proposed cardiac PET/CT service. Outreach was conducted through individual meetings, phone consultations, and written correspondence during the fall of 2025 and the first quarter of 2026. The engagements described below were undertaken to identify need within the Applicant's Patient Panel, to inform the design and selection of the Proposed Project in response to that need, and to confirm the public health value of delivering this service in a physician-office setting. The Applicant did not conduct a separate project-specific survey, community meeting, virtual meeting, or Patient and Family Advisory Council presentation directed to the Patient Panel. The basis for that approach is explained below.</w:t>
      </w:r>
    </w:p>
    <w:p w14:paraId="3A86C7DB" w14:textId="77777777" w:rsidR="004929D5" w:rsidRDefault="00000000">
      <w:pPr>
        <w:pStyle w:val="Heading2"/>
      </w:pPr>
      <w:r>
        <w:t>1. Referring Physician Consultations</w:t>
      </w:r>
    </w:p>
    <w:p w14:paraId="3A86C7DC" w14:textId="77777777" w:rsidR="004929D5" w:rsidRPr="008900E0" w:rsidRDefault="00000000">
      <w:pPr>
        <w:spacing w:after="160" w:line="276" w:lineRule="auto"/>
        <w:rPr>
          <w:sz w:val="24"/>
          <w:szCs w:val="24"/>
        </w:rPr>
      </w:pPr>
      <w:r w:rsidRPr="008900E0">
        <w:rPr>
          <w:sz w:val="24"/>
          <w:szCs w:val="24"/>
        </w:rPr>
        <w:t>The Applicant consulted with referring primary care physicians in its network to assess the clinical need for cardiac PET/CT and the barriers patients currently face in accessing that service. These consultations took place through direct conversations and phone calls with approximately five referring physicians and practices in the Hampden and Hampshire County area during the fall of 2025. Dean Singer, D.O., of Bridge Primary participated in this process and subsequently provided a written letter of support estimating approximately 20 cardiac PET/CT referrals per month from his patient panel.</w:t>
      </w:r>
    </w:p>
    <w:p w14:paraId="3A86C7DD" w14:textId="77777777" w:rsidR="004929D5" w:rsidRPr="008900E0" w:rsidRDefault="00000000">
      <w:pPr>
        <w:spacing w:after="160" w:line="276" w:lineRule="auto"/>
        <w:rPr>
          <w:sz w:val="24"/>
          <w:szCs w:val="24"/>
        </w:rPr>
      </w:pPr>
      <w:r w:rsidRPr="008900E0">
        <w:rPr>
          <w:sz w:val="24"/>
          <w:szCs w:val="24"/>
        </w:rPr>
        <w:t xml:space="preserve">The physicians consulted confirmed that patients requiring cardiac PET/CT currently face referral delays of four to six weeks at the nearest hospital-based facility, and that </w:t>
      </w:r>
      <w:proofErr w:type="gramStart"/>
      <w:r w:rsidRPr="008900E0">
        <w:rPr>
          <w:sz w:val="24"/>
          <w:szCs w:val="24"/>
        </w:rPr>
        <w:t>a number of</w:t>
      </w:r>
      <w:proofErr w:type="gramEnd"/>
      <w:r w:rsidRPr="008900E0">
        <w:rPr>
          <w:sz w:val="24"/>
          <w:szCs w:val="24"/>
        </w:rPr>
        <w:t xml:space="preserve"> patients had declined or deferred the study because of the travel burden involved. They expressed strong support for having the service available within the practice.</w:t>
      </w:r>
    </w:p>
    <w:p w14:paraId="3A86C7DE" w14:textId="77777777" w:rsidR="004929D5" w:rsidRDefault="00000000">
      <w:pPr>
        <w:pStyle w:val="Heading2"/>
      </w:pPr>
      <w:r>
        <w:t>2. Internal HFCCA Physician Consultations</w:t>
      </w:r>
    </w:p>
    <w:p w14:paraId="3A86C7DF" w14:textId="77777777" w:rsidR="004929D5" w:rsidRPr="008900E0" w:rsidRDefault="00000000">
      <w:pPr>
        <w:spacing w:after="160" w:line="276" w:lineRule="auto"/>
        <w:rPr>
          <w:sz w:val="24"/>
          <w:szCs w:val="24"/>
        </w:rPr>
      </w:pPr>
      <w:r w:rsidRPr="008900E0">
        <w:rPr>
          <w:sz w:val="24"/>
          <w:szCs w:val="24"/>
        </w:rPr>
        <w:t>The Applicant's cardiologists were consulted as part of the clinical planning process. Two HFCCA physicians provided written letters of support dated March 13, 2026, estimating their anticipated referral volumes at 96 and 48 studies per year, respectively. The full physician group was additionally engaged through practice meetings during the fall of 2025.</w:t>
      </w:r>
    </w:p>
    <w:p w14:paraId="3A86C7E0" w14:textId="77777777" w:rsidR="004929D5" w:rsidRPr="00BB1945" w:rsidRDefault="00000000">
      <w:pPr>
        <w:spacing w:after="160" w:line="276" w:lineRule="auto"/>
        <w:rPr>
          <w:sz w:val="24"/>
          <w:szCs w:val="24"/>
        </w:rPr>
      </w:pPr>
      <w:r w:rsidRPr="00BB1945">
        <w:rPr>
          <w:sz w:val="24"/>
          <w:szCs w:val="24"/>
        </w:rPr>
        <w:lastRenderedPageBreak/>
        <w:t>The physicians confirmed that a meaningful subset of their patients would benefit clinically from PET/CT over SPECT — particularly patients with prior inconclusive SPECT results and those with suspected multivessel coronary artery disease in whom balanced ischemia may be underestimated by SPECT. They noted that having the capability on-site would materially improve diagnostic accuracy and reduce the delays currently associated with referring those patients to hospital-based facilities.</w:t>
      </w:r>
    </w:p>
    <w:p w14:paraId="3A86C7E1" w14:textId="77777777" w:rsidR="004929D5" w:rsidRDefault="00000000">
      <w:pPr>
        <w:pStyle w:val="Heading2"/>
      </w:pPr>
      <w:r>
        <w:t>3. Community Health Organization Engagement</w:t>
      </w:r>
    </w:p>
    <w:p w14:paraId="3A86C7E2" w14:textId="77777777" w:rsidR="004929D5" w:rsidRPr="00BB1945" w:rsidRDefault="00000000">
      <w:pPr>
        <w:spacing w:after="160" w:line="276" w:lineRule="auto"/>
        <w:rPr>
          <w:sz w:val="24"/>
          <w:szCs w:val="24"/>
        </w:rPr>
      </w:pPr>
      <w:r w:rsidRPr="00BB1945">
        <w:rPr>
          <w:sz w:val="24"/>
          <w:szCs w:val="24"/>
        </w:rPr>
        <w:t xml:space="preserve">The Applicant </w:t>
      </w:r>
      <w:proofErr w:type="gramStart"/>
      <w:r w:rsidRPr="00BB1945">
        <w:rPr>
          <w:sz w:val="24"/>
          <w:szCs w:val="24"/>
        </w:rPr>
        <w:t>engaged</w:t>
      </w:r>
      <w:proofErr w:type="gramEnd"/>
      <w:r w:rsidRPr="00BB1945">
        <w:rPr>
          <w:sz w:val="24"/>
          <w:szCs w:val="24"/>
        </w:rPr>
        <w:t xml:space="preserve"> Caring Health Center, Springfield, Massachusetts — a Federally Qualified Health Center serving uninsured, low-income, and medically underserved populations within the Applicant's primary service area, and the channel through which the Applicant engaged groups representative of its most vulnerable patients. The engagement took place through direct conversations with Caring Health Center clinical staff as part of the Applicant's ongoing referral relationship during the fall of 2025. Discussion topics included the barriers that Caring Health Center's cardiac patients face in accessing advanced cardiac imaging and the anticipated impact of local PET/CT availability on that population.</w:t>
      </w:r>
    </w:p>
    <w:p w14:paraId="3A86C7E3" w14:textId="77777777" w:rsidR="004929D5" w:rsidRPr="00BB1945" w:rsidRDefault="00000000">
      <w:pPr>
        <w:spacing w:after="160" w:line="276" w:lineRule="auto"/>
        <w:rPr>
          <w:sz w:val="24"/>
          <w:szCs w:val="24"/>
        </w:rPr>
      </w:pPr>
      <w:r w:rsidRPr="00BB1945">
        <w:rPr>
          <w:sz w:val="24"/>
          <w:szCs w:val="24"/>
        </w:rPr>
        <w:t>Caring Health Center confirmed that a significant number of its cardiac patients are currently referred to hospital-based facilities outside the immediate area for advanced cardiac imaging, and that transportation constraints and the cost of hospital-based services create meaningful barriers for elderly and low-income patients — a number of whom defer or forgo the study entirely. Caring Health Center expressed support for the Proposed Project as a more accessible and affordable option for its patient population.</w:t>
      </w:r>
    </w:p>
    <w:p w14:paraId="3A86C7E4" w14:textId="77777777" w:rsidR="004929D5" w:rsidRDefault="00000000">
      <w:pPr>
        <w:pStyle w:val="Heading2"/>
      </w:pPr>
      <w:r>
        <w:t>4. Regional Hospital Engagement</w:t>
      </w:r>
    </w:p>
    <w:p w14:paraId="3A86C7E5" w14:textId="77777777" w:rsidR="004929D5" w:rsidRPr="00BB1945" w:rsidRDefault="00000000">
      <w:pPr>
        <w:spacing w:after="160" w:line="276" w:lineRule="auto"/>
        <w:rPr>
          <w:sz w:val="24"/>
          <w:szCs w:val="24"/>
        </w:rPr>
      </w:pPr>
      <w:r w:rsidRPr="00BB1945">
        <w:rPr>
          <w:sz w:val="24"/>
          <w:szCs w:val="24"/>
        </w:rPr>
        <w:t>The Applicant has an existing Professional Services Agreement with Baystate Medical Practices, Inc. (effective February 1, 2020), under which HFCCA cardiologists provide reading and consultation services at Baystate Medical Center. That relationship gives the Applicant direct, first-hand visibility into hospital-based cardiac imaging volumes and scheduling in the region.</w:t>
      </w:r>
    </w:p>
    <w:p w14:paraId="3A86C7E6" w14:textId="77777777" w:rsidR="004929D5" w:rsidRPr="00BB1945" w:rsidRDefault="00000000">
      <w:pPr>
        <w:spacing w:after="160" w:line="276" w:lineRule="auto"/>
        <w:rPr>
          <w:sz w:val="24"/>
          <w:szCs w:val="24"/>
        </w:rPr>
      </w:pPr>
      <w:r w:rsidRPr="00BB1945">
        <w:rPr>
          <w:sz w:val="24"/>
          <w:szCs w:val="24"/>
        </w:rPr>
        <w:t xml:space="preserve">Based on that visibility, the Applicant has observed that non-urgent hospital-based cardiac PET/CT in the region typically involves scheduling delays of several weeks, and that routine same-day or next-day access for clinically urgent cases is limited. These observations are consistent with the access concerns raised by referring physicians and elected </w:t>
      </w:r>
      <w:proofErr w:type="gramStart"/>
      <w:r w:rsidRPr="00BB1945">
        <w:rPr>
          <w:sz w:val="24"/>
          <w:szCs w:val="24"/>
        </w:rPr>
        <w:t>officials, and</w:t>
      </w:r>
      <w:proofErr w:type="gramEnd"/>
      <w:r w:rsidRPr="00BB1945">
        <w:rPr>
          <w:sz w:val="24"/>
          <w:szCs w:val="24"/>
        </w:rPr>
        <w:t xml:space="preserve"> reinforce the clinical case for practice-based cardiac PET/CT availability.</w:t>
      </w:r>
    </w:p>
    <w:p w14:paraId="3A86C7E7" w14:textId="77777777" w:rsidR="004929D5" w:rsidRDefault="00000000">
      <w:pPr>
        <w:pStyle w:val="Heading2"/>
      </w:pPr>
      <w:r>
        <w:lastRenderedPageBreak/>
        <w:t>5. Elected Official Engagement</w:t>
      </w:r>
    </w:p>
    <w:p w14:paraId="3A86C7E8" w14:textId="77777777" w:rsidR="004929D5" w:rsidRPr="00BB1945" w:rsidRDefault="00000000">
      <w:pPr>
        <w:spacing w:after="160" w:line="276" w:lineRule="auto"/>
        <w:rPr>
          <w:sz w:val="24"/>
          <w:szCs w:val="24"/>
        </w:rPr>
      </w:pPr>
      <w:r w:rsidRPr="00BB1945">
        <w:rPr>
          <w:sz w:val="24"/>
          <w:szCs w:val="24"/>
        </w:rPr>
        <w:t xml:space="preserve">The Applicant engaged elected officials representing the communities within its primary service area to discuss access to cardiac imaging and regional public health needs. Mayor Domenic J. Sarno of the City of Springfield was engaged through direct correspondence with the </w:t>
      </w:r>
      <w:proofErr w:type="gramStart"/>
      <w:r w:rsidRPr="00BB1945">
        <w:rPr>
          <w:sz w:val="24"/>
          <w:szCs w:val="24"/>
        </w:rPr>
        <w:t>Mayor's</w:t>
      </w:r>
      <w:proofErr w:type="gramEnd"/>
      <w:r w:rsidRPr="00BB1945">
        <w:rPr>
          <w:sz w:val="24"/>
          <w:szCs w:val="24"/>
        </w:rPr>
        <w:t xml:space="preserve"> office during the first quarter of 2026 and provided a written letter of support. State Representative Angelo J. </w:t>
      </w:r>
      <w:proofErr w:type="spellStart"/>
      <w:r w:rsidRPr="00BB1945">
        <w:rPr>
          <w:sz w:val="24"/>
          <w:szCs w:val="24"/>
        </w:rPr>
        <w:t>Puppolo</w:t>
      </w:r>
      <w:proofErr w:type="spellEnd"/>
      <w:r w:rsidRPr="00BB1945">
        <w:rPr>
          <w:sz w:val="24"/>
          <w:szCs w:val="24"/>
        </w:rPr>
        <w:t xml:space="preserve">, Jr., of the 12th Hampden District was engaged through direct correspondence during the first quarter of 2026 </w:t>
      </w:r>
      <w:proofErr w:type="gramStart"/>
      <w:r w:rsidRPr="00BB1945">
        <w:rPr>
          <w:sz w:val="24"/>
          <w:szCs w:val="24"/>
        </w:rPr>
        <w:t>and also</w:t>
      </w:r>
      <w:proofErr w:type="gramEnd"/>
      <w:r w:rsidRPr="00BB1945">
        <w:rPr>
          <w:sz w:val="24"/>
          <w:szCs w:val="24"/>
        </w:rPr>
        <w:t xml:space="preserve"> provided a written letter of support.</w:t>
      </w:r>
    </w:p>
    <w:p w14:paraId="3A86C7E9" w14:textId="77777777" w:rsidR="004929D5" w:rsidRPr="00BB1945" w:rsidRDefault="00000000">
      <w:pPr>
        <w:spacing w:after="160" w:line="276" w:lineRule="auto"/>
        <w:rPr>
          <w:sz w:val="24"/>
          <w:szCs w:val="24"/>
        </w:rPr>
      </w:pPr>
      <w:r w:rsidRPr="00BB1945">
        <w:rPr>
          <w:sz w:val="24"/>
          <w:szCs w:val="24"/>
        </w:rPr>
        <w:t>Both officials independently emphasized the disproportionate cardiovascular disease burden in western Massachusetts, the practical barriers that hospital-based imaging creates for elderly, low-income, and transportation-limited residents of Hampden County, and their support for the Applicant's physician-office-based model as the appropriate vehicle for delivering this service locally.</w:t>
      </w:r>
    </w:p>
    <w:p w14:paraId="3A86C7EA" w14:textId="77777777" w:rsidR="004929D5" w:rsidRDefault="00000000">
      <w:pPr>
        <w:pStyle w:val="Heading2"/>
      </w:pPr>
      <w:r>
        <w:t>6. Direct Patient Panel Engagement and Rationale</w:t>
      </w:r>
    </w:p>
    <w:p w14:paraId="3A86C7EB" w14:textId="77777777" w:rsidR="004929D5" w:rsidRPr="00CF6BBC" w:rsidRDefault="00000000">
      <w:pPr>
        <w:spacing w:after="160" w:line="276" w:lineRule="auto"/>
        <w:rPr>
          <w:sz w:val="24"/>
          <w:szCs w:val="24"/>
        </w:rPr>
      </w:pPr>
      <w:r w:rsidRPr="00CF6BBC">
        <w:rPr>
          <w:sz w:val="24"/>
          <w:szCs w:val="24"/>
        </w:rPr>
        <w:t>The Applicant did not conduct a separate project-specific patient survey, community meeting, virtual meeting, or Patient and Family Advisory Council presentation concerning the Proposed Project. HFCCA's physicians maintain direct and ongoing clinical relationships with the patients who receive myocardial perfusion imaging and therefore have first-hand knowledge of the circumstances in which cardiac PET/CT would provide materially enhanced diagnostic information. Those circumstances include prior inconclusive SPECT studies, suspected multivessel coronary artery disease, attenuation artifact, and possible microvascular dysfunction.</w:t>
      </w:r>
    </w:p>
    <w:p w14:paraId="3A86C7EC" w14:textId="77777777" w:rsidR="004929D5" w:rsidRPr="00CF6BBC" w:rsidRDefault="00000000">
      <w:pPr>
        <w:spacing w:after="160" w:line="276" w:lineRule="auto"/>
        <w:rPr>
          <w:sz w:val="24"/>
          <w:szCs w:val="24"/>
        </w:rPr>
      </w:pPr>
      <w:r w:rsidRPr="00CF6BBC">
        <w:rPr>
          <w:sz w:val="24"/>
          <w:szCs w:val="24"/>
        </w:rPr>
        <w:t xml:space="preserve">Through routine clinical care, HFCCA's physicians also have first-hand knowledge of patient experiences and preferences concerning cardiac imaging. When PET and SPECT are discussed, patients have generally indicated a preference for PET because it offers </w:t>
      </w:r>
      <w:proofErr w:type="gramStart"/>
      <w:r w:rsidRPr="00CF6BBC">
        <w:rPr>
          <w:sz w:val="24"/>
          <w:szCs w:val="24"/>
        </w:rPr>
        <w:t>a shorter</w:t>
      </w:r>
      <w:proofErr w:type="gramEnd"/>
      <w:r w:rsidRPr="00CF6BBC">
        <w:rPr>
          <w:sz w:val="24"/>
          <w:szCs w:val="24"/>
        </w:rPr>
        <w:t xml:space="preserve"> testing time, lower radiation exposure, and greater diagnostic accuracy. Some patients, particularly those with claustrophobia, may prefer SPECT or require </w:t>
      </w:r>
      <w:proofErr w:type="gramStart"/>
      <w:r w:rsidRPr="00CF6BBC">
        <w:rPr>
          <w:sz w:val="24"/>
          <w:szCs w:val="24"/>
        </w:rPr>
        <w:t>accommodations</w:t>
      </w:r>
      <w:proofErr w:type="gramEnd"/>
      <w:r w:rsidRPr="00CF6BBC">
        <w:rPr>
          <w:sz w:val="24"/>
          <w:szCs w:val="24"/>
        </w:rPr>
        <w:t>. These routine physician-patient interactions informed the Applicant's understanding of patient needs and preferences, but they were not conducted as a formal, project-specific Patient Panel engagement process.</w:t>
      </w:r>
    </w:p>
    <w:p w14:paraId="3A86C7ED" w14:textId="77777777" w:rsidR="004929D5" w:rsidRPr="00CF6BBC" w:rsidRDefault="00000000">
      <w:pPr>
        <w:spacing w:after="160" w:line="276" w:lineRule="auto"/>
        <w:rPr>
          <w:sz w:val="24"/>
          <w:szCs w:val="24"/>
        </w:rPr>
      </w:pPr>
      <w:r w:rsidRPr="00CF6BBC">
        <w:rPr>
          <w:sz w:val="24"/>
          <w:szCs w:val="24"/>
        </w:rPr>
        <w:t xml:space="preserve">The Proposed Project will not eliminate patient choice or discontinue SPECT imaging. HFCCA will continue to operate both modalities. Patients who prefer SPECT, who clinically require it, or for whom insurance coverage, out-of-pocket cost, or affordability considerations make PET unavailable will continue to have access to SPECT. Given the physicians' direct clinical knowledge of the affected patients, the continued availability of SPECT, and the additional outreach to referring providers, Caring Health Center, regional hospital stakeholders, and elected officials, the Applicant did not believe a separate patient survey or meeting was necessary to identify the need for or shape the </w:t>
      </w:r>
      <w:r w:rsidRPr="00CF6BBC">
        <w:rPr>
          <w:sz w:val="24"/>
          <w:szCs w:val="24"/>
        </w:rPr>
        <w:lastRenderedPageBreak/>
        <w:t>Proposed Project. The Applicant acknowledges that this approach did not constitute formal direct Patient Panel engagement and provides this explanation for the Department's review.</w:t>
      </w:r>
    </w:p>
    <w:p w14:paraId="3A86C7EE" w14:textId="77777777" w:rsidR="004929D5" w:rsidRDefault="00000000">
      <w:pPr>
        <w:pStyle w:val="Heading2"/>
      </w:pPr>
      <w:r>
        <w:t>Summary</w:t>
      </w:r>
    </w:p>
    <w:p w14:paraId="3A86C7EF" w14:textId="77777777" w:rsidR="004929D5" w:rsidRPr="00CF6BBC" w:rsidRDefault="00000000">
      <w:pPr>
        <w:spacing w:after="160" w:line="276" w:lineRule="auto"/>
        <w:rPr>
          <w:sz w:val="24"/>
          <w:szCs w:val="24"/>
        </w:rPr>
      </w:pPr>
      <w:r w:rsidRPr="00CF6BBC">
        <w:rPr>
          <w:sz w:val="24"/>
          <w:szCs w:val="24"/>
        </w:rPr>
        <w:t>Across the five formal outreach channels, the engagement confirmed a consistent message: there is no outpatient cardiac PET/CT in Hampden, Hampshire, or Franklin County; patients face meaningful travel, cost, and scheduling barriers in reaching hospital-based imaging; and a physician-office-based cardiac PET/CT service would improve timely access, diagnostic accuracy, and continuity of care for the Applicant's Patient Panel, with the greatest benefit accruing to elderly, low-income, and underserved patients. The feedback received was uniformly supportive of the Proposed Project. The Applicant's physicians' routine clinical interactions further indicate that patients generally prefer PET when available because of its shorter testing time, lower radiation exposure, and greater diagnostic accuracy, while recognizing that some patients may prefer or need SPECT. HFCCA will therefore continue to offer both modalities.</w:t>
      </w:r>
    </w:p>
    <w:p w14:paraId="3F21B583" w14:textId="77777777" w:rsidR="000F25F3" w:rsidRDefault="000F25F3">
      <w:pPr>
        <w:spacing w:after="160" w:line="276" w:lineRule="auto"/>
        <w:sectPr w:rsidR="000F25F3">
          <w:footerReference w:type="default" r:id="rId10"/>
          <w:pgSz w:w="12240" w:h="15840"/>
          <w:pgMar w:top="1440" w:right="1440" w:bottom="1440" w:left="1440" w:header="708" w:footer="708" w:gutter="0"/>
          <w:cols w:space="720"/>
          <w:docGrid w:linePitch="360"/>
        </w:sectPr>
      </w:pPr>
    </w:p>
    <w:p w14:paraId="1D9A2F9F" w14:textId="63C9956F" w:rsidR="000F25F3" w:rsidRDefault="00436785" w:rsidP="003E5505">
      <w:pPr>
        <w:pStyle w:val="Heading2"/>
      </w:pPr>
      <w:r>
        <w:lastRenderedPageBreak/>
        <w:t>Articles of Organization Link</w:t>
      </w:r>
    </w:p>
    <w:p w14:paraId="624D66C6" w14:textId="0EC6F480" w:rsidR="00436785" w:rsidRPr="00D959D8" w:rsidRDefault="0051538E" w:rsidP="00436785">
      <w:hyperlink r:id="rId11" w:history="1">
        <w:r w:rsidRPr="0051538E">
          <w:rPr>
            <w:rStyle w:val="Hyperlink"/>
          </w:rPr>
          <w:t xml:space="preserve">Articles of Organization </w:t>
        </w:r>
      </w:hyperlink>
    </w:p>
    <w:p w14:paraId="4AF40EE9" w14:textId="497D4CDB" w:rsidR="00436785" w:rsidRDefault="00436785">
      <w:pPr>
        <w:spacing w:after="160" w:line="276" w:lineRule="auto"/>
        <w:sectPr w:rsidR="00436785">
          <w:footerReference w:type="default" r:id="rId12"/>
          <w:pgSz w:w="12240" w:h="15840"/>
          <w:pgMar w:top="1440" w:right="1440" w:bottom="1440" w:left="1440" w:header="708" w:footer="708" w:gutter="0"/>
          <w:cols w:space="720"/>
          <w:docGrid w:linePitch="360"/>
        </w:sectPr>
      </w:pPr>
    </w:p>
    <w:p w14:paraId="319CAAB3" w14:textId="67AFF590" w:rsidR="00436785" w:rsidRDefault="00384934" w:rsidP="003E5505">
      <w:pPr>
        <w:pStyle w:val="Heading2"/>
      </w:pPr>
      <w:r>
        <w:lastRenderedPageBreak/>
        <w:t>Filing Fee</w:t>
      </w:r>
    </w:p>
    <w:p w14:paraId="34DEB88F" w14:textId="34AE7A14" w:rsidR="00384934" w:rsidRDefault="00384934">
      <w:pPr>
        <w:spacing w:after="160" w:line="276" w:lineRule="auto"/>
      </w:pPr>
      <w:r w:rsidRPr="00384934">
        <w:rPr>
          <w:noProof/>
        </w:rPr>
        <w:drawing>
          <wp:inline distT="0" distB="0" distL="0" distR="0" wp14:anchorId="09AFF15F" wp14:editId="40DEDA7E">
            <wp:extent cx="5943600" cy="3950970"/>
            <wp:effectExtent l="0" t="0" r="0" b="0"/>
            <wp:docPr id="892837627" name="Picture 2" descr="Filing Fee, paid 4/23/2026, in amount of 2802 dollars and 48 c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37627" name="Picture 2" descr="Filing Fee, paid 4/23/2026, in amount of 2802 dollars and 48 c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50970"/>
                    </a:xfrm>
                    <a:prstGeom prst="rect">
                      <a:avLst/>
                    </a:prstGeom>
                    <a:noFill/>
                    <a:ln>
                      <a:noFill/>
                    </a:ln>
                  </pic:spPr>
                </pic:pic>
              </a:graphicData>
            </a:graphic>
          </wp:inline>
        </w:drawing>
      </w:r>
    </w:p>
    <w:sectPr w:rsidR="0038493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F9752" w14:textId="77777777" w:rsidR="000A6C37" w:rsidRDefault="000A6C37">
      <w:r>
        <w:separator/>
      </w:r>
    </w:p>
  </w:endnote>
  <w:endnote w:type="continuationSeparator" w:id="0">
    <w:p w14:paraId="5A2D3E6C" w14:textId="77777777" w:rsidR="000A6C37" w:rsidRDefault="000A6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C7F0" w14:textId="19316795" w:rsidR="004929D5" w:rsidRPr="00496E0B" w:rsidRDefault="00000000">
    <w:pPr>
      <w:pBdr>
        <w:top w:val="single" w:sz="4" w:space="6" w:color="CCCCCC"/>
      </w:pBdr>
      <w:jc w:val="center"/>
      <w:rPr>
        <w:sz w:val="24"/>
        <w:szCs w:val="24"/>
      </w:rPr>
    </w:pPr>
    <w:r w:rsidRPr="00496E0B">
      <w:rPr>
        <w:color w:val="555555"/>
        <w:sz w:val="24"/>
        <w:szCs w:val="24"/>
      </w:rPr>
      <w:t xml:space="preserve">Summary of Community </w:t>
    </w:r>
    <w:proofErr w:type="gramStart"/>
    <w:r w:rsidRPr="00496E0B">
      <w:rPr>
        <w:color w:val="555555"/>
        <w:sz w:val="24"/>
        <w:szCs w:val="24"/>
      </w:rPr>
      <w:t>Engagement  HFCCA</w:t>
    </w:r>
    <w:proofErr w:type="gramEnd"/>
    <w:r w:rsidRPr="00496E0B">
      <w:rPr>
        <w:color w:val="555555"/>
        <w:sz w:val="24"/>
        <w:szCs w:val="24"/>
      </w:rPr>
      <w:t xml:space="preserve"> DON No. HFCCA-26042113-</w:t>
    </w:r>
    <w:proofErr w:type="gramStart"/>
    <w:r w:rsidRPr="00496E0B">
      <w:rPr>
        <w:color w:val="555555"/>
        <w:sz w:val="24"/>
        <w:szCs w:val="24"/>
      </w:rPr>
      <w:t>RE  Page</w:t>
    </w:r>
    <w:proofErr w:type="gramEnd"/>
    <w:r w:rsidRPr="00496E0B">
      <w:rPr>
        <w:color w:val="555555"/>
        <w:sz w:val="24"/>
        <w:szCs w:val="24"/>
      </w:rPr>
      <w:t xml:space="preserve"> </w:t>
    </w:r>
    <w:r w:rsidRPr="00496E0B">
      <w:rPr>
        <w:color w:val="555555"/>
        <w:sz w:val="24"/>
        <w:szCs w:val="24"/>
      </w:rPr>
      <w:fldChar w:fldCharType="begin"/>
    </w:r>
    <w:r w:rsidRPr="00496E0B">
      <w:rPr>
        <w:color w:val="555555"/>
        <w:sz w:val="24"/>
        <w:szCs w:val="24"/>
      </w:rPr>
      <w:instrText>PAGE</w:instrText>
    </w:r>
    <w:r w:rsidRPr="00496E0B">
      <w:rPr>
        <w:color w:val="555555"/>
        <w:sz w:val="24"/>
        <w:szCs w:val="24"/>
      </w:rPr>
      <w:fldChar w:fldCharType="separate"/>
    </w:r>
    <w:r w:rsidR="004C6059" w:rsidRPr="00496E0B">
      <w:rPr>
        <w:noProof/>
        <w:color w:val="555555"/>
        <w:sz w:val="24"/>
        <w:szCs w:val="24"/>
      </w:rPr>
      <w:t>1</w:t>
    </w:r>
    <w:r w:rsidRPr="00496E0B">
      <w:rPr>
        <w:color w:val="555555"/>
        <w:sz w:val="24"/>
        <w:szCs w:val="24"/>
      </w:rPr>
      <w:fldChar w:fldCharType="end"/>
    </w:r>
    <w:r w:rsidRPr="00496E0B">
      <w:rPr>
        <w:color w:val="555555"/>
        <w:sz w:val="24"/>
        <w:szCs w:val="24"/>
      </w:rPr>
      <w:t xml:space="preserve"> of </w:t>
    </w:r>
    <w:r w:rsidRPr="00496E0B">
      <w:rPr>
        <w:color w:val="555555"/>
        <w:sz w:val="24"/>
        <w:szCs w:val="24"/>
      </w:rPr>
      <w:fldChar w:fldCharType="begin"/>
    </w:r>
    <w:r w:rsidRPr="00496E0B">
      <w:rPr>
        <w:color w:val="555555"/>
        <w:sz w:val="24"/>
        <w:szCs w:val="24"/>
      </w:rPr>
      <w:instrText>NUMPAGES</w:instrText>
    </w:r>
    <w:r w:rsidRPr="00496E0B">
      <w:rPr>
        <w:color w:val="555555"/>
        <w:sz w:val="24"/>
        <w:szCs w:val="24"/>
      </w:rPr>
      <w:fldChar w:fldCharType="separate"/>
    </w:r>
    <w:r w:rsidR="004C6059" w:rsidRPr="00496E0B">
      <w:rPr>
        <w:noProof/>
        <w:color w:val="555555"/>
        <w:sz w:val="24"/>
        <w:szCs w:val="24"/>
      </w:rPr>
      <w:t>2</w:t>
    </w:r>
    <w:r w:rsidRPr="00496E0B">
      <w:rPr>
        <w:color w:val="555555"/>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CF1E" w14:textId="468E673F" w:rsidR="00A525B9" w:rsidRPr="00A525B9" w:rsidRDefault="00A525B9" w:rsidP="00A52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3B68" w14:textId="77777777" w:rsidR="000A6C37" w:rsidRDefault="000A6C37">
      <w:r>
        <w:separator/>
      </w:r>
    </w:p>
  </w:footnote>
  <w:footnote w:type="continuationSeparator" w:id="0">
    <w:p w14:paraId="071274D2" w14:textId="77777777" w:rsidR="000A6C37" w:rsidRDefault="000A6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C12FF"/>
    <w:multiLevelType w:val="hybridMultilevel"/>
    <w:tmpl w:val="E8BAD1D6"/>
    <w:lvl w:ilvl="0" w:tplc="A8DA3092">
      <w:start w:val="1"/>
      <w:numFmt w:val="bullet"/>
      <w:lvlText w:val="●"/>
      <w:lvlJc w:val="left"/>
      <w:pPr>
        <w:ind w:left="720" w:hanging="360"/>
      </w:pPr>
    </w:lvl>
    <w:lvl w:ilvl="1" w:tplc="D06688B6">
      <w:start w:val="1"/>
      <w:numFmt w:val="bullet"/>
      <w:lvlText w:val="○"/>
      <w:lvlJc w:val="left"/>
      <w:pPr>
        <w:ind w:left="1440" w:hanging="360"/>
      </w:pPr>
    </w:lvl>
    <w:lvl w:ilvl="2" w:tplc="41D6014A">
      <w:start w:val="1"/>
      <w:numFmt w:val="bullet"/>
      <w:lvlText w:val="■"/>
      <w:lvlJc w:val="left"/>
      <w:pPr>
        <w:ind w:left="2160" w:hanging="360"/>
      </w:pPr>
    </w:lvl>
    <w:lvl w:ilvl="3" w:tplc="B344DB82">
      <w:start w:val="1"/>
      <w:numFmt w:val="bullet"/>
      <w:lvlText w:val="●"/>
      <w:lvlJc w:val="left"/>
      <w:pPr>
        <w:ind w:left="2880" w:hanging="360"/>
      </w:pPr>
    </w:lvl>
    <w:lvl w:ilvl="4" w:tplc="9982ADE8">
      <w:start w:val="1"/>
      <w:numFmt w:val="bullet"/>
      <w:lvlText w:val="○"/>
      <w:lvlJc w:val="left"/>
      <w:pPr>
        <w:ind w:left="3600" w:hanging="360"/>
      </w:pPr>
    </w:lvl>
    <w:lvl w:ilvl="5" w:tplc="2D4873B2">
      <w:start w:val="1"/>
      <w:numFmt w:val="bullet"/>
      <w:lvlText w:val="■"/>
      <w:lvlJc w:val="left"/>
      <w:pPr>
        <w:ind w:left="4320" w:hanging="360"/>
      </w:pPr>
    </w:lvl>
    <w:lvl w:ilvl="6" w:tplc="D8F01AEE">
      <w:start w:val="1"/>
      <w:numFmt w:val="bullet"/>
      <w:lvlText w:val="●"/>
      <w:lvlJc w:val="left"/>
      <w:pPr>
        <w:ind w:left="5040" w:hanging="360"/>
      </w:pPr>
    </w:lvl>
    <w:lvl w:ilvl="7" w:tplc="8E886540">
      <w:start w:val="1"/>
      <w:numFmt w:val="bullet"/>
      <w:lvlText w:val="●"/>
      <w:lvlJc w:val="left"/>
      <w:pPr>
        <w:ind w:left="5760" w:hanging="360"/>
      </w:pPr>
    </w:lvl>
    <w:lvl w:ilvl="8" w:tplc="ADD2E2F0">
      <w:start w:val="1"/>
      <w:numFmt w:val="bullet"/>
      <w:lvlText w:val="●"/>
      <w:lvlJc w:val="left"/>
      <w:pPr>
        <w:ind w:left="6480" w:hanging="360"/>
      </w:pPr>
    </w:lvl>
  </w:abstractNum>
  <w:num w:numId="1" w16cid:durableId="14066825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9D5"/>
    <w:rsid w:val="000A6C37"/>
    <w:rsid w:val="000F25F3"/>
    <w:rsid w:val="00306526"/>
    <w:rsid w:val="00384934"/>
    <w:rsid w:val="003E5505"/>
    <w:rsid w:val="004054C9"/>
    <w:rsid w:val="00436785"/>
    <w:rsid w:val="004754E0"/>
    <w:rsid w:val="004929D5"/>
    <w:rsid w:val="00496E0B"/>
    <w:rsid w:val="004C6059"/>
    <w:rsid w:val="0051538E"/>
    <w:rsid w:val="00580D0A"/>
    <w:rsid w:val="005A5729"/>
    <w:rsid w:val="008900E0"/>
    <w:rsid w:val="008A450A"/>
    <w:rsid w:val="00A525B9"/>
    <w:rsid w:val="00A83AA5"/>
    <w:rsid w:val="00BB1945"/>
    <w:rsid w:val="00BB4221"/>
    <w:rsid w:val="00CF6BBC"/>
    <w:rsid w:val="00D55930"/>
    <w:rsid w:val="00E01E66"/>
    <w:rsid w:val="00E36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C7D6"/>
  <w15:docId w15:val="{1EAF7120-821C-45C3-BC6B-4426A386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rsid w:val="00E36049"/>
    <w:pPr>
      <w:spacing w:after="40"/>
      <w:jc w:val="center"/>
      <w:outlineLvl w:val="0"/>
    </w:pPr>
    <w:rPr>
      <w:b/>
      <w:bCs/>
      <w:sz w:val="24"/>
      <w:szCs w:val="24"/>
    </w:rPr>
  </w:style>
  <w:style w:type="paragraph" w:styleId="Heading2">
    <w:name w:val="heading 2"/>
    <w:uiPriority w:val="9"/>
    <w:unhideWhenUsed/>
    <w:qFormat/>
    <w:pPr>
      <w:keepNext/>
      <w:spacing w:before="240" w:after="120"/>
      <w:outlineLvl w:val="1"/>
    </w:pPr>
    <w:rPr>
      <w:b/>
      <w:bCs/>
      <w:color w:val="1F3864"/>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55930"/>
    <w:pPr>
      <w:tabs>
        <w:tab w:val="center" w:pos="4680"/>
        <w:tab w:val="right" w:pos="9360"/>
      </w:tabs>
    </w:pPr>
  </w:style>
  <w:style w:type="character" w:customStyle="1" w:styleId="HeaderChar">
    <w:name w:val="Header Char"/>
    <w:basedOn w:val="DefaultParagraphFont"/>
    <w:link w:val="Header"/>
    <w:uiPriority w:val="99"/>
    <w:rsid w:val="00D55930"/>
  </w:style>
  <w:style w:type="paragraph" w:styleId="Footer">
    <w:name w:val="footer"/>
    <w:basedOn w:val="Normal"/>
    <w:link w:val="FooterChar"/>
    <w:uiPriority w:val="99"/>
    <w:unhideWhenUsed/>
    <w:rsid w:val="00D55930"/>
    <w:pPr>
      <w:tabs>
        <w:tab w:val="center" w:pos="4680"/>
        <w:tab w:val="right" w:pos="9360"/>
      </w:tabs>
    </w:pPr>
  </w:style>
  <w:style w:type="character" w:customStyle="1" w:styleId="FooterChar">
    <w:name w:val="Footer Char"/>
    <w:basedOn w:val="DefaultParagraphFont"/>
    <w:link w:val="Footer"/>
    <w:uiPriority w:val="99"/>
    <w:rsid w:val="00D55930"/>
  </w:style>
  <w:style w:type="character" w:styleId="UnresolvedMention">
    <w:name w:val="Unresolved Mention"/>
    <w:basedOn w:val="DefaultParagraphFont"/>
    <w:uiPriority w:val="99"/>
    <w:semiHidden/>
    <w:unhideWhenUsed/>
    <w:rsid w:val="00515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rp.sec.state.ma.us/CorpWeb/CorpSearch/CorpSearchRedirector.aspx?Action=PDF&amp;Path=CORP_DRIVE1/2002/0605/000028953/0020/200215551470_1.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d969c7e-6ea6-44ff-8b3e-dccfa82ac17c" xsi:nil="true"/>
    <lcf76f155ced4ddcb4097134ff3c332f xmlns="f0ff4d37-5f82-41ac-b13d-90b4efc16f5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240BACFF736943A481DA2F5BEBB1AE" ma:contentTypeVersion="13" ma:contentTypeDescription="Create a new document." ma:contentTypeScope="" ma:versionID="2d2420561c3c5c036569bd45f7d30502">
  <xsd:schema xmlns:xsd="http://www.w3.org/2001/XMLSchema" xmlns:xs="http://www.w3.org/2001/XMLSchema" xmlns:p="http://schemas.microsoft.com/office/2006/metadata/properties" xmlns:ns1="http://schemas.microsoft.com/sharepoint/v3" xmlns:ns2="f0ff4d37-5f82-41ac-b13d-90b4efc16f54" xmlns:ns3="ad969c7e-6ea6-44ff-8b3e-dccfa82ac17c" targetNamespace="http://schemas.microsoft.com/office/2006/metadata/properties" ma:root="true" ma:fieldsID="91bfa6365524746f63af3a9ac252bfd1" ns1:_="" ns2:_="" ns3:_="">
    <xsd:import namespace="http://schemas.microsoft.com/sharepoint/v3"/>
    <xsd:import namespace="f0ff4d37-5f82-41ac-b13d-90b4efc16f54"/>
    <xsd:import namespace="ad969c7e-6ea6-44ff-8b3e-dccfa82ac1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ff4d37-5f82-41ac-b13d-90b4efc16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17f98c-400e-43c4-8b98-6686f38b1e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69c7e-6ea6-44ff-8b3e-dccfa82ac1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61f696-9772-40d8-9e9a-b13d3b381de9}" ma:internalName="TaxCatchAll" ma:showField="CatchAllData" ma:web="ad969c7e-6ea6-44ff-8b3e-dccfa82ac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37A07-0EAE-4241-82A8-CC69C4BE9A0D}">
  <ds:schemaRefs>
    <ds:schemaRef ds:uri="http://schemas.microsoft.com/office/2006/metadata/properties"/>
    <ds:schemaRef ds:uri="http://schemas.microsoft.com/office/infopath/2007/PartnerControls"/>
    <ds:schemaRef ds:uri="http://schemas.microsoft.com/sharepoint/v3"/>
    <ds:schemaRef ds:uri="ad969c7e-6ea6-44ff-8b3e-dccfa82ac17c"/>
    <ds:schemaRef ds:uri="f0ff4d37-5f82-41ac-b13d-90b4efc16f54"/>
  </ds:schemaRefs>
</ds:datastoreItem>
</file>

<file path=customXml/itemProps2.xml><?xml version="1.0" encoding="utf-8"?>
<ds:datastoreItem xmlns:ds="http://schemas.openxmlformats.org/officeDocument/2006/customXml" ds:itemID="{ED99F03F-4FAF-4420-A56F-1E84C5AEE872}">
  <ds:schemaRefs>
    <ds:schemaRef ds:uri="http://schemas.microsoft.com/sharepoint/v3/contenttype/forms"/>
  </ds:schemaRefs>
</ds:datastoreItem>
</file>

<file path=customXml/itemProps3.xml><?xml version="1.0" encoding="utf-8"?>
<ds:datastoreItem xmlns:ds="http://schemas.openxmlformats.org/officeDocument/2006/customXml" ds:itemID="{76342C21-3A44-4C98-8CF6-0534B3A6C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ff4d37-5f82-41ac-b13d-90b4efc16f54"/>
    <ds:schemaRef ds:uri="ad969c7e-6ea6-44ff-8b3e-dccfa82ac1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3946</TotalTime>
  <Pages>6</Pages>
  <Words>1430</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Summary of Community Engagement — HFCCA DON No. HFCCA-26042113-RE</vt:lpstr>
    </vt:vector>
  </TitlesOfParts>
  <Company>Commonwealth of Massachusetts</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Exhibits 2</dc:title>
  <dc:creator>Hampden &amp; Franklin County Cardiovascular Associates, P.C.</dc:creator>
  <dc:description>Factor 1(c) community engagement summary for the Proposed Cardiac PET/CT Determination of Need application.</dc:description>
  <cp:lastModifiedBy>Marks, Brett (DPH)</cp:lastModifiedBy>
  <cp:revision>22</cp:revision>
  <dcterms:created xsi:type="dcterms:W3CDTF">2026-06-18T19:32:00Z</dcterms:created>
  <dcterms:modified xsi:type="dcterms:W3CDTF">2026-08-24T11:23:00Z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0x010100CE240BACFF736943A481DA2F5BEBB1AE</vt:lpwstr>
  </property>
</Properties>
</file>