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E103" w14:textId="77777777" w:rsidR="00F2416C" w:rsidRDefault="00F2416C" w:rsidP="00F2416C">
      <w:pPr>
        <w:ind w:left="1530" w:right="630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23CA310B" w14:textId="77777777" w:rsidR="00F2416C" w:rsidRDefault="00F2416C" w:rsidP="00F2416C">
      <w:pPr>
        <w:pStyle w:val="ExecOffice"/>
        <w:framePr w:w="0" w:hSpace="0" w:wrap="auto" w:vAnchor="margin" w:hAnchor="text" w:xAlign="left" w:yAlign="inline"/>
        <w:ind w:left="1530" w:right="630"/>
      </w:pPr>
      <w:r>
        <w:t>Executive Office of Health and Human Services</w:t>
      </w:r>
    </w:p>
    <w:p w14:paraId="1EC83DA1" w14:textId="77777777" w:rsidR="00F2416C" w:rsidRDefault="00F2416C" w:rsidP="00F2416C">
      <w:pPr>
        <w:pStyle w:val="ExecOffice"/>
        <w:framePr w:w="0" w:hSpace="0" w:wrap="auto" w:vAnchor="margin" w:hAnchor="text" w:xAlign="left" w:yAlign="inline"/>
        <w:ind w:left="1530" w:right="630"/>
      </w:pPr>
      <w:r>
        <w:t>Department of Public Health</w:t>
      </w:r>
    </w:p>
    <w:p w14:paraId="02F0F9AC" w14:textId="77777777" w:rsidR="00F2416C" w:rsidRPr="00951305" w:rsidRDefault="00F2416C" w:rsidP="00F2416C">
      <w:pPr>
        <w:pStyle w:val="ExecOffice"/>
        <w:framePr w:w="0" w:hSpace="0" w:wrap="auto" w:vAnchor="margin" w:hAnchor="text" w:xAlign="left" w:yAlign="inline"/>
        <w:ind w:left="1530" w:right="630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71A6E717" w14:textId="77777777" w:rsidR="00F2416C" w:rsidRPr="0017749A" w:rsidRDefault="00F2416C" w:rsidP="00F2416C">
      <w:pPr>
        <w:pStyle w:val="ExecOffice"/>
        <w:framePr w:w="0" w:hSpace="0" w:wrap="auto" w:vAnchor="margin" w:hAnchor="text" w:xAlign="left" w:yAlign="inline"/>
        <w:ind w:left="1530" w:right="630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171883EF" w14:textId="77777777" w:rsidR="009629F8" w:rsidRPr="009629F8" w:rsidRDefault="009629F8" w:rsidP="004926AE">
      <w:pPr>
        <w:rPr>
          <w:rFonts w:ascii="Calibri" w:hAnsi="Calibri" w:cs="Calibri"/>
          <w:b/>
          <w:szCs w:val="24"/>
        </w:rPr>
      </w:pPr>
    </w:p>
    <w:p w14:paraId="2024CF92" w14:textId="00BABE05" w:rsidR="004926AE" w:rsidRPr="004926AE" w:rsidRDefault="004926AE" w:rsidP="009629F8">
      <w:pPr>
        <w:jc w:val="center"/>
        <w:rPr>
          <w:rFonts w:ascii="Calibri" w:hAnsi="Calibri" w:cs="Calibri"/>
          <w:b/>
          <w:szCs w:val="24"/>
        </w:rPr>
      </w:pPr>
      <w:r w:rsidRPr="004926AE">
        <w:rPr>
          <w:rFonts w:ascii="Calibri" w:hAnsi="Calibri" w:cs="Calibri"/>
          <w:b/>
          <w:szCs w:val="24"/>
        </w:rPr>
        <w:t>MEMORANDUM</w:t>
      </w:r>
    </w:p>
    <w:p w14:paraId="3F3BD8D3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75F9E6BF" w14:textId="619834F1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>To</w:t>
      </w:r>
      <w:proofErr w:type="gramStart"/>
      <w:r w:rsidRPr="004926AE">
        <w:rPr>
          <w:rFonts w:ascii="Calibri" w:hAnsi="Calibri" w:cs="Calibri"/>
          <w:szCs w:val="24"/>
        </w:rPr>
        <w:t>:</w:t>
      </w:r>
      <w:r w:rsidRPr="004926AE">
        <w:rPr>
          <w:rFonts w:ascii="Calibri" w:hAnsi="Calibri" w:cs="Calibri"/>
          <w:szCs w:val="24"/>
        </w:rPr>
        <w:tab/>
      </w:r>
      <w:r w:rsidRPr="004926AE">
        <w:rPr>
          <w:rFonts w:ascii="Calibri" w:hAnsi="Calibri" w:cs="Calibri"/>
          <w:szCs w:val="24"/>
        </w:rPr>
        <w:tab/>
        <w:t>Interested</w:t>
      </w:r>
      <w:proofErr w:type="gramEnd"/>
      <w:r w:rsidRPr="004926AE">
        <w:rPr>
          <w:rFonts w:ascii="Calibri" w:hAnsi="Calibri" w:cs="Calibri"/>
          <w:szCs w:val="24"/>
        </w:rPr>
        <w:t xml:space="preserve"> Parties</w:t>
      </w:r>
    </w:p>
    <w:p w14:paraId="0F163443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61DFA004" w14:textId="01DF2895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>From</w:t>
      </w:r>
      <w:proofErr w:type="gramStart"/>
      <w:r w:rsidRPr="004926AE">
        <w:rPr>
          <w:rFonts w:ascii="Calibri" w:hAnsi="Calibri" w:cs="Calibri"/>
          <w:szCs w:val="24"/>
        </w:rPr>
        <w:t>:</w:t>
      </w:r>
      <w:r w:rsidRPr="004926AE">
        <w:rPr>
          <w:rFonts w:ascii="Calibri" w:hAnsi="Calibri" w:cs="Calibri"/>
          <w:szCs w:val="24"/>
        </w:rPr>
        <w:tab/>
        <w:t xml:space="preserve"> </w:t>
      </w:r>
      <w:r w:rsidR="00C37194">
        <w:rPr>
          <w:rFonts w:ascii="Calibri" w:hAnsi="Calibri" w:cs="Calibri"/>
          <w:szCs w:val="24"/>
        </w:rPr>
        <w:tab/>
      </w:r>
      <w:proofErr w:type="gramEnd"/>
      <w:r w:rsidR="00C37194">
        <w:rPr>
          <w:rFonts w:ascii="Calibri" w:hAnsi="Calibri" w:cs="Calibri"/>
          <w:szCs w:val="24"/>
        </w:rPr>
        <w:t>Teryl Smith</w:t>
      </w:r>
      <w:r w:rsidR="0039513A">
        <w:rPr>
          <w:rFonts w:ascii="Calibri" w:hAnsi="Calibri" w:cs="Calibri"/>
          <w:szCs w:val="24"/>
        </w:rPr>
        <w:t>, Bureau of Health Care Safety and Quality</w:t>
      </w:r>
    </w:p>
    <w:p w14:paraId="5B0AA3B3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ab/>
      </w:r>
    </w:p>
    <w:p w14:paraId="4236F999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>Subject:</w:t>
      </w:r>
      <w:r w:rsidRPr="004926AE">
        <w:rPr>
          <w:rFonts w:ascii="Calibri" w:hAnsi="Calibri" w:cs="Calibri"/>
          <w:szCs w:val="24"/>
        </w:rPr>
        <w:tab/>
        <w:t>Annual Adjustments to Determination of Need (DoN) Expenditure Minimums</w:t>
      </w:r>
    </w:p>
    <w:p w14:paraId="521227D1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1D8E5079" w14:textId="0327134D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>Date</w:t>
      </w:r>
      <w:proofErr w:type="gramStart"/>
      <w:r w:rsidRPr="004926AE">
        <w:rPr>
          <w:rFonts w:ascii="Calibri" w:hAnsi="Calibri" w:cs="Calibri"/>
          <w:szCs w:val="24"/>
        </w:rPr>
        <w:t>:</w:t>
      </w:r>
      <w:r w:rsidRPr="004926AE">
        <w:rPr>
          <w:rFonts w:ascii="Calibri" w:hAnsi="Calibri" w:cs="Calibri"/>
          <w:szCs w:val="24"/>
        </w:rPr>
        <w:tab/>
      </w:r>
      <w:r w:rsidRPr="004926AE">
        <w:rPr>
          <w:rFonts w:ascii="Calibri" w:hAnsi="Calibri" w:cs="Calibri"/>
          <w:szCs w:val="24"/>
        </w:rPr>
        <w:tab/>
        <w:t>November</w:t>
      </w:r>
      <w:proofErr w:type="gramEnd"/>
      <w:r w:rsidRPr="004926AE">
        <w:rPr>
          <w:rFonts w:ascii="Calibri" w:hAnsi="Calibri" w:cs="Calibri"/>
          <w:szCs w:val="24"/>
        </w:rPr>
        <w:t xml:space="preserve"> </w:t>
      </w:r>
      <w:r w:rsidRPr="009629F8">
        <w:rPr>
          <w:rFonts w:ascii="Calibri" w:hAnsi="Calibri" w:cs="Calibri"/>
          <w:szCs w:val="24"/>
        </w:rPr>
        <w:t>18</w:t>
      </w:r>
      <w:r w:rsidRPr="004926AE">
        <w:rPr>
          <w:rFonts w:ascii="Calibri" w:hAnsi="Calibri" w:cs="Calibri"/>
          <w:szCs w:val="24"/>
        </w:rPr>
        <w:t>, 202</w:t>
      </w:r>
      <w:r w:rsidRPr="009629F8">
        <w:rPr>
          <w:rFonts w:ascii="Calibri" w:hAnsi="Calibri" w:cs="Calibri"/>
          <w:szCs w:val="24"/>
        </w:rPr>
        <w:t>5</w:t>
      </w:r>
    </w:p>
    <w:p w14:paraId="01C6A1F4" w14:textId="50402586" w:rsidR="004926AE" w:rsidRDefault="00E030D4" w:rsidP="004926A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</w:t>
      </w:r>
    </w:p>
    <w:p w14:paraId="54806750" w14:textId="77777777" w:rsidR="00E030D4" w:rsidRPr="004926AE" w:rsidRDefault="00E030D4" w:rsidP="004926AE">
      <w:pPr>
        <w:rPr>
          <w:rFonts w:ascii="Calibri" w:hAnsi="Calibri" w:cs="Calibri"/>
          <w:szCs w:val="24"/>
        </w:rPr>
      </w:pPr>
    </w:p>
    <w:p w14:paraId="3C3FBC79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 xml:space="preserve">Each year, pursuant to M.G.L. c.111, § 25B½, the DoN Program issues an informational bulletin on annual adjustments to the DoN expenditure minimums to adjust the Substantial Capital Expenditure dollar amount for inflation.  </w:t>
      </w:r>
    </w:p>
    <w:p w14:paraId="742E3597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2BCAC536" w14:textId="300E88FB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 xml:space="preserve">Section 25B½ specifies the use of an inflation index established by the U.S. Department of Health and Human Services.  In place of a federal index such as the Consumer Price Index, the DoN Program has historically performed annual adjustments to DoN expenditure minimums using Marshall &amp; Swift indices for capital expenditures involving construction and equipment. These indices are the basis for the adjustment of expenditure minimums for the period from October 1, </w:t>
      </w:r>
      <w:proofErr w:type="gramStart"/>
      <w:r w:rsidRPr="004926AE">
        <w:rPr>
          <w:rFonts w:ascii="Calibri" w:hAnsi="Calibri" w:cs="Calibri"/>
          <w:szCs w:val="24"/>
        </w:rPr>
        <w:t>202</w:t>
      </w:r>
      <w:r w:rsidRPr="009629F8">
        <w:rPr>
          <w:rFonts w:ascii="Calibri" w:hAnsi="Calibri" w:cs="Calibri"/>
          <w:szCs w:val="24"/>
        </w:rPr>
        <w:t>5</w:t>
      </w:r>
      <w:proofErr w:type="gramEnd"/>
      <w:r w:rsidRPr="004926AE">
        <w:rPr>
          <w:rFonts w:ascii="Calibri" w:hAnsi="Calibri" w:cs="Calibri"/>
          <w:szCs w:val="24"/>
        </w:rPr>
        <w:t xml:space="preserve"> through September 30, 202</w:t>
      </w:r>
      <w:r w:rsidRPr="009629F8">
        <w:rPr>
          <w:rFonts w:ascii="Calibri" w:hAnsi="Calibri" w:cs="Calibri"/>
          <w:szCs w:val="24"/>
        </w:rPr>
        <w:t>6</w:t>
      </w:r>
      <w:r w:rsidRPr="004926AE">
        <w:rPr>
          <w:rFonts w:ascii="Calibri" w:hAnsi="Calibri" w:cs="Calibri"/>
          <w:szCs w:val="24"/>
        </w:rPr>
        <w:t>.</w:t>
      </w:r>
    </w:p>
    <w:p w14:paraId="1CFC7D10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1D569D7D" w14:textId="667C2AC2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>Effective October 1, 202</w:t>
      </w:r>
      <w:r w:rsidRPr="009629F8">
        <w:rPr>
          <w:rFonts w:ascii="Calibri" w:hAnsi="Calibri" w:cs="Calibri"/>
          <w:szCs w:val="24"/>
        </w:rPr>
        <w:t>5</w:t>
      </w:r>
      <w:r w:rsidRPr="004926AE">
        <w:rPr>
          <w:rFonts w:ascii="Calibri" w:hAnsi="Calibri" w:cs="Calibri"/>
          <w:szCs w:val="24"/>
        </w:rPr>
        <w:t>, DoN expenditure minimums are adjusted as shown below.  The adjustment factors used to update the expenditure minimums are provided in Attachment 1.</w:t>
      </w:r>
    </w:p>
    <w:p w14:paraId="1EE4939D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41FFA149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 xml:space="preserve">Please direct any questions or comments about this memorandum to the Determination of Need Program at </w:t>
      </w:r>
      <w:hyperlink r:id="rId8" w:history="1">
        <w:r w:rsidRPr="004926AE">
          <w:rPr>
            <w:rStyle w:val="Hyperlink"/>
            <w:rFonts w:ascii="Calibri" w:hAnsi="Calibri" w:cs="Calibri"/>
            <w:szCs w:val="24"/>
          </w:rPr>
          <w:t>dph.don@state.ma.us</w:t>
        </w:r>
      </w:hyperlink>
      <w:r w:rsidRPr="004926AE">
        <w:rPr>
          <w:rFonts w:ascii="Calibri" w:hAnsi="Calibri" w:cs="Calibri"/>
          <w:szCs w:val="24"/>
        </w:rPr>
        <w:t xml:space="preserve">.  </w:t>
      </w:r>
    </w:p>
    <w:p w14:paraId="06DB50A7" w14:textId="77777777" w:rsidR="004926AE" w:rsidRPr="004926AE" w:rsidRDefault="004926AE" w:rsidP="004926AE">
      <w:pPr>
        <w:rPr>
          <w:rFonts w:ascii="Calibri" w:hAnsi="Calibri" w:cs="Calibri"/>
          <w:b/>
          <w:bCs/>
          <w:szCs w:val="24"/>
          <w:u w:val="single"/>
        </w:rPr>
      </w:pPr>
    </w:p>
    <w:p w14:paraId="26B1D60F" w14:textId="77777777" w:rsidR="004926AE" w:rsidRPr="004926AE" w:rsidRDefault="004926AE" w:rsidP="004926AE">
      <w:pPr>
        <w:rPr>
          <w:rFonts w:ascii="Calibri" w:hAnsi="Calibri" w:cs="Calibri"/>
          <w:b/>
          <w:bCs/>
          <w:szCs w:val="24"/>
          <w:u w:val="single"/>
        </w:rPr>
      </w:pPr>
    </w:p>
    <w:p w14:paraId="0F6DCA8E" w14:textId="77777777" w:rsidR="004926AE" w:rsidRPr="004926AE" w:rsidRDefault="004926AE" w:rsidP="004926AE">
      <w:pPr>
        <w:rPr>
          <w:rFonts w:ascii="Calibri" w:hAnsi="Calibri" w:cs="Calibri"/>
          <w:b/>
          <w:bCs/>
          <w:szCs w:val="24"/>
          <w:u w:val="single"/>
        </w:rPr>
      </w:pPr>
      <w:r w:rsidRPr="004926AE">
        <w:rPr>
          <w:rFonts w:ascii="Calibri" w:hAnsi="Calibri" w:cs="Calibri"/>
          <w:b/>
          <w:bCs/>
          <w:szCs w:val="24"/>
          <w:u w:val="single"/>
        </w:rPr>
        <w:br w:type="page"/>
      </w:r>
    </w:p>
    <w:p w14:paraId="0200598B" w14:textId="77777777" w:rsidR="004926AE" w:rsidRPr="004926AE" w:rsidRDefault="004926AE" w:rsidP="004926AE">
      <w:pPr>
        <w:rPr>
          <w:rFonts w:ascii="Calibri" w:hAnsi="Calibri" w:cs="Calibri"/>
          <w:b/>
          <w:bCs/>
          <w:szCs w:val="24"/>
          <w:u w:val="single"/>
        </w:rPr>
      </w:pPr>
      <w:r w:rsidRPr="004926AE">
        <w:rPr>
          <w:rFonts w:ascii="Calibri" w:hAnsi="Calibri" w:cs="Calibri"/>
          <w:b/>
          <w:bCs/>
          <w:szCs w:val="24"/>
          <w:u w:val="single"/>
        </w:rPr>
        <w:lastRenderedPageBreak/>
        <w:t>Minimum Capital Expenditure Requiring Determination of Need</w:t>
      </w:r>
    </w:p>
    <w:p w14:paraId="6277E690" w14:textId="77777777" w:rsidR="004926AE" w:rsidRPr="004926AE" w:rsidRDefault="004926AE" w:rsidP="004926AE">
      <w:pPr>
        <w:rPr>
          <w:rFonts w:ascii="Calibri" w:hAnsi="Calibri" w:cs="Calibri"/>
          <w:b/>
          <w:bCs/>
          <w:szCs w:val="24"/>
          <w:u w:val="single"/>
        </w:rPr>
      </w:pPr>
    </w:p>
    <w:tbl>
      <w:tblPr>
        <w:tblW w:w="8545" w:type="dxa"/>
        <w:jc w:val="center"/>
        <w:tblLook w:val="04A0" w:firstRow="1" w:lastRow="0" w:firstColumn="1" w:lastColumn="0" w:noHBand="0" w:noVBand="1"/>
      </w:tblPr>
      <w:tblGrid>
        <w:gridCol w:w="4525"/>
        <w:gridCol w:w="2040"/>
        <w:gridCol w:w="1980"/>
      </w:tblGrid>
      <w:tr w:rsidR="004926AE" w:rsidRPr="004926AE" w14:paraId="1E7E1CCE" w14:textId="77777777" w:rsidTr="005539F5">
        <w:trPr>
          <w:cantSplit/>
          <w:trHeight w:val="1232"/>
          <w:tblHeader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4FD94" w14:textId="77777777" w:rsidR="004926AE" w:rsidRPr="004926AE" w:rsidRDefault="004926A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>Project Type</w:t>
            </w:r>
          </w:p>
          <w:p w14:paraId="0210EA64" w14:textId="77777777" w:rsidR="004926AE" w:rsidRPr="004926AE" w:rsidRDefault="004926AE" w:rsidP="004926AE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A6B7" w14:textId="5D4F5CCD" w:rsidR="004926AE" w:rsidRPr="004926AE" w:rsidRDefault="004926A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>Through September 30, 202</w:t>
            </w:r>
            <w:r w:rsidRPr="009629F8">
              <w:rPr>
                <w:rFonts w:ascii="Calibri" w:hAnsi="Calibri" w:cs="Calibri"/>
                <w:b/>
                <w:bCs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A6D" w14:textId="77777777" w:rsidR="004926AE" w:rsidRDefault="004926AE" w:rsidP="00D4794E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 xml:space="preserve">Effective October 1, </w:t>
            </w:r>
            <w:r w:rsidRPr="004926AE">
              <w:rPr>
                <w:rFonts w:ascii="Calibri" w:hAnsi="Calibri" w:cs="Calibri"/>
                <w:b/>
                <w:szCs w:val="24"/>
              </w:rPr>
              <w:t>202</w:t>
            </w:r>
            <w:r w:rsidRPr="009629F8">
              <w:rPr>
                <w:rFonts w:ascii="Calibri" w:hAnsi="Calibri" w:cs="Calibri"/>
                <w:b/>
                <w:szCs w:val="24"/>
              </w:rPr>
              <w:t>5</w:t>
            </w:r>
          </w:p>
          <w:p w14:paraId="409490A7" w14:textId="6F7F47B2" w:rsidR="00D4794E" w:rsidRPr="004926AE" w:rsidRDefault="00D4794E" w:rsidP="00D4794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(Through September 30, 2026)</w:t>
            </w:r>
          </w:p>
        </w:tc>
      </w:tr>
      <w:tr w:rsidR="00D4794E" w:rsidRPr="004926AE" w14:paraId="7CE0F4C8" w14:textId="77777777" w:rsidTr="00451FC5">
        <w:trPr>
          <w:cantSplit/>
          <w:trHeight w:val="57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BEE9" w14:textId="77777777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For the purchase of medical, diagnostic, or therapeutic equipment acquired for use in </w:t>
            </w:r>
            <w:r w:rsidRPr="004926AE">
              <w:rPr>
                <w:rFonts w:ascii="Calibri" w:hAnsi="Calibri" w:cs="Calibri"/>
                <w:b/>
                <w:szCs w:val="24"/>
              </w:rPr>
              <w:t>a location other than a health care facility</w:t>
            </w:r>
            <w:r w:rsidRPr="004926AE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D3B3" w14:textId="6AC70B2B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$394,489.97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58D0" w14:textId="34468C8E" w:rsidR="00D4794E" w:rsidRPr="004926AE" w:rsidRDefault="00D4794E" w:rsidP="00D4794E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$409,845.49</w:t>
            </w:r>
          </w:p>
        </w:tc>
      </w:tr>
      <w:tr w:rsidR="00D4794E" w:rsidRPr="004926AE" w14:paraId="165D4B3F" w14:textId="77777777" w:rsidTr="00451FC5">
        <w:trPr>
          <w:cantSplit/>
          <w:trHeight w:val="57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8F6" w14:textId="77777777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For expenditures for and acquisitions </w:t>
            </w:r>
            <w:proofErr w:type="gramStart"/>
            <w:r w:rsidRPr="004926AE">
              <w:rPr>
                <w:rFonts w:ascii="Calibri" w:hAnsi="Calibri" w:cs="Calibri"/>
                <w:szCs w:val="24"/>
              </w:rPr>
              <w:t>of,</w:t>
            </w:r>
            <w:proofErr w:type="gramEnd"/>
            <w:r w:rsidRPr="004926AE">
              <w:rPr>
                <w:rFonts w:ascii="Calibri" w:hAnsi="Calibri" w:cs="Calibri"/>
                <w:szCs w:val="24"/>
              </w:rPr>
              <w:t xml:space="preserve"> medical, diagnostic or therapeutic equipment by or for </w:t>
            </w:r>
            <w:r w:rsidRPr="004926AE">
              <w:rPr>
                <w:rFonts w:ascii="Calibri" w:hAnsi="Calibri" w:cs="Calibri"/>
                <w:b/>
                <w:szCs w:val="24"/>
              </w:rPr>
              <w:t>health care facilities, other than hospitals.</w:t>
            </w:r>
            <w:r w:rsidRPr="004926AE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FC66" w14:textId="71046761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$1,420,629.31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7F2A" w14:textId="118B0106" w:rsidR="00D4794E" w:rsidRPr="004926AE" w:rsidRDefault="00D4794E" w:rsidP="00D4794E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$1,475,927.31</w:t>
            </w:r>
          </w:p>
        </w:tc>
      </w:tr>
      <w:tr w:rsidR="00D4794E" w:rsidRPr="004926AE" w14:paraId="68818F9B" w14:textId="77777777" w:rsidTr="00451FC5">
        <w:trPr>
          <w:cantSplit/>
          <w:trHeight w:val="84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7353" w14:textId="77777777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For all other expenditures and acquisitions by or for </w:t>
            </w:r>
            <w:r w:rsidRPr="004926AE">
              <w:rPr>
                <w:rFonts w:ascii="Calibri" w:hAnsi="Calibri" w:cs="Calibri"/>
                <w:b/>
                <w:szCs w:val="24"/>
              </w:rPr>
              <w:t>health care facilities, other than hospitals</w:t>
            </w:r>
            <w:r w:rsidRPr="004926AE">
              <w:rPr>
                <w:rFonts w:ascii="Calibri" w:hAnsi="Calibri" w:cs="Calibri"/>
                <w:szCs w:val="24"/>
              </w:rPr>
              <w:t xml:space="preserve"> (</w:t>
            </w:r>
            <w:r w:rsidRPr="004926AE">
              <w:rPr>
                <w:rFonts w:ascii="Calibri" w:hAnsi="Calibri" w:cs="Calibri"/>
                <w:szCs w:val="24"/>
                <w:u w:val="single"/>
              </w:rPr>
              <w:t>except</w:t>
            </w:r>
            <w:r w:rsidRPr="004926AE">
              <w:rPr>
                <w:rFonts w:ascii="Calibri" w:hAnsi="Calibri" w:cs="Calibri"/>
                <w:szCs w:val="24"/>
              </w:rPr>
              <w:t xml:space="preserve"> expenditures or acquisitions to replace previously approved DoN-required Equipment or DoN-required Services, or replacement of medical, diagnostic, or therapeutic equipment that was exempt from DoN review and approval).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FCEA" w14:textId="50FEF0B2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$2,841,255.57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549B" w14:textId="1CB30A10" w:rsidR="00D4794E" w:rsidRPr="004926AE" w:rsidRDefault="00D4794E" w:rsidP="00D4794E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$2,951,851.45</w:t>
            </w:r>
          </w:p>
        </w:tc>
      </w:tr>
      <w:tr w:rsidR="00D4794E" w:rsidRPr="004926AE" w14:paraId="4A78E7A8" w14:textId="77777777" w:rsidTr="00451FC5">
        <w:trPr>
          <w:cantSplit/>
          <w:trHeight w:val="89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0A38" w14:textId="77777777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For expenditures and acquisitions made by or for </w:t>
            </w:r>
            <w:r w:rsidRPr="004926AE">
              <w:rPr>
                <w:rFonts w:ascii="Calibri" w:hAnsi="Calibri" w:cs="Calibri"/>
                <w:b/>
                <w:szCs w:val="24"/>
              </w:rPr>
              <w:t>hospitals and comprehensive cancer centers</w:t>
            </w:r>
            <w:r w:rsidRPr="004926AE">
              <w:rPr>
                <w:rFonts w:ascii="Calibri" w:hAnsi="Calibri" w:cs="Calibri"/>
                <w:szCs w:val="24"/>
              </w:rPr>
              <w:t xml:space="preserve"> (</w:t>
            </w:r>
            <w:r w:rsidRPr="004926AE">
              <w:rPr>
                <w:rFonts w:ascii="Calibri" w:hAnsi="Calibri" w:cs="Calibri"/>
                <w:szCs w:val="24"/>
                <w:u w:val="single"/>
              </w:rPr>
              <w:t>except</w:t>
            </w:r>
            <w:r w:rsidRPr="004926AE">
              <w:rPr>
                <w:rFonts w:ascii="Calibri" w:hAnsi="Calibri" w:cs="Calibri"/>
                <w:szCs w:val="24"/>
              </w:rPr>
              <w:t xml:space="preserve"> that major movable equipment not otherwise defined by the department as DoN-required Equipment or DoN-required Services shall not require a DoN and shall not be included in the calculation of the expenditure minimum).  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E92D" w14:textId="5F64AB43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$26,632,243.89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2D3A" w14:textId="1B95DB36" w:rsidR="00D4794E" w:rsidRPr="004926AE" w:rsidRDefault="00D4794E" w:rsidP="00D4794E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$27,668,903.99</w:t>
            </w:r>
          </w:p>
        </w:tc>
      </w:tr>
      <w:tr w:rsidR="00D4794E" w:rsidRPr="004926AE" w14:paraId="25C32F5F" w14:textId="77777777" w:rsidTr="00451FC5">
        <w:trPr>
          <w:cantSplit/>
          <w:trHeight w:val="719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CDA" w14:textId="77777777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For expenditures and acquisitions concerned solely with </w:t>
            </w:r>
            <w:r w:rsidRPr="004926AE">
              <w:rPr>
                <w:rFonts w:ascii="Calibri" w:hAnsi="Calibri" w:cs="Calibri"/>
                <w:b/>
                <w:szCs w:val="24"/>
              </w:rPr>
              <w:t>outpatient services other than ambulatory surgery</w:t>
            </w:r>
            <w:r w:rsidRPr="004926AE">
              <w:rPr>
                <w:rFonts w:ascii="Calibri" w:hAnsi="Calibri" w:cs="Calibri"/>
                <w:szCs w:val="24"/>
              </w:rPr>
              <w:t xml:space="preserve"> and not otherwise defined by the department as DoN-required Equipment or DoN-required Services.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325A" w14:textId="340B17EF" w:rsidR="00D4794E" w:rsidRPr="004926AE" w:rsidRDefault="00D4794E" w:rsidP="00D4794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$43,438,134.73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614B" w14:textId="5F076076" w:rsidR="00D4794E" w:rsidRPr="004926AE" w:rsidRDefault="00D4794E" w:rsidP="00D4794E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$45,128,964.12</w:t>
            </w:r>
          </w:p>
        </w:tc>
      </w:tr>
    </w:tbl>
    <w:p w14:paraId="4BFD2109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48E921B9" w14:textId="77777777" w:rsidR="004926AE" w:rsidRPr="004926AE" w:rsidRDefault="004926AE" w:rsidP="004926AE">
      <w:pPr>
        <w:rPr>
          <w:rFonts w:ascii="Calibri" w:hAnsi="Calibri" w:cs="Calibri"/>
          <w:b/>
          <w:bCs/>
          <w:szCs w:val="24"/>
        </w:rPr>
      </w:pPr>
      <w:r w:rsidRPr="004926AE">
        <w:rPr>
          <w:rFonts w:ascii="Calibri" w:hAnsi="Calibri" w:cs="Calibri"/>
          <w:b/>
          <w:bCs/>
          <w:szCs w:val="24"/>
        </w:rPr>
        <w:br w:type="page"/>
      </w:r>
    </w:p>
    <w:p w14:paraId="32BF8CAD" w14:textId="77777777" w:rsidR="004926AE" w:rsidRPr="004926AE" w:rsidRDefault="004926AE" w:rsidP="00750DBA">
      <w:pPr>
        <w:jc w:val="center"/>
        <w:rPr>
          <w:rFonts w:ascii="Calibri" w:hAnsi="Calibri" w:cs="Calibri"/>
          <w:b/>
          <w:szCs w:val="24"/>
        </w:rPr>
      </w:pPr>
      <w:r w:rsidRPr="004926AE">
        <w:rPr>
          <w:rFonts w:ascii="Calibri" w:hAnsi="Calibri" w:cs="Calibri"/>
          <w:b/>
          <w:szCs w:val="24"/>
        </w:rPr>
        <w:lastRenderedPageBreak/>
        <w:t>Attachment 1</w:t>
      </w:r>
    </w:p>
    <w:p w14:paraId="798493D9" w14:textId="77777777" w:rsidR="004926AE" w:rsidRPr="004926AE" w:rsidRDefault="004926AE" w:rsidP="004926AE">
      <w:pPr>
        <w:rPr>
          <w:rFonts w:ascii="Calibri" w:hAnsi="Calibri" w:cs="Calibri"/>
          <w:b/>
          <w:szCs w:val="24"/>
        </w:rPr>
      </w:pPr>
    </w:p>
    <w:p w14:paraId="6E28E537" w14:textId="4949D350" w:rsidR="004926AE" w:rsidRPr="004926AE" w:rsidRDefault="004926AE" w:rsidP="00750DBA">
      <w:pPr>
        <w:jc w:val="center"/>
        <w:rPr>
          <w:rFonts w:ascii="Calibri" w:hAnsi="Calibri" w:cs="Calibri"/>
          <w:b/>
          <w:szCs w:val="24"/>
        </w:rPr>
      </w:pPr>
      <w:r w:rsidRPr="004926AE">
        <w:rPr>
          <w:rFonts w:ascii="Calibri" w:hAnsi="Calibri" w:cs="Calibri"/>
          <w:b/>
          <w:szCs w:val="24"/>
        </w:rPr>
        <w:t xml:space="preserve">Annual Inflation Factors Applied </w:t>
      </w:r>
      <w:proofErr w:type="gramStart"/>
      <w:r w:rsidRPr="004926AE">
        <w:rPr>
          <w:rFonts w:ascii="Calibri" w:hAnsi="Calibri" w:cs="Calibri"/>
          <w:b/>
          <w:szCs w:val="24"/>
        </w:rPr>
        <w:t>To</w:t>
      </w:r>
      <w:proofErr w:type="gramEnd"/>
      <w:r w:rsidRPr="004926AE">
        <w:rPr>
          <w:rFonts w:ascii="Calibri" w:hAnsi="Calibri" w:cs="Calibri"/>
          <w:b/>
          <w:szCs w:val="24"/>
        </w:rPr>
        <w:t xml:space="preserve"> Adjust </w:t>
      </w:r>
      <w:proofErr w:type="spellStart"/>
      <w:r w:rsidRPr="004926AE">
        <w:rPr>
          <w:rFonts w:ascii="Calibri" w:hAnsi="Calibri" w:cs="Calibri"/>
          <w:b/>
          <w:szCs w:val="24"/>
        </w:rPr>
        <w:t>DoN</w:t>
      </w:r>
      <w:proofErr w:type="spellEnd"/>
    </w:p>
    <w:p w14:paraId="31EE52B6" w14:textId="77777777" w:rsidR="004926AE" w:rsidRPr="004926AE" w:rsidRDefault="004926AE" w:rsidP="00750DBA">
      <w:pPr>
        <w:jc w:val="center"/>
        <w:rPr>
          <w:rFonts w:ascii="Calibri" w:hAnsi="Calibri" w:cs="Calibri"/>
          <w:b/>
          <w:szCs w:val="24"/>
        </w:rPr>
      </w:pPr>
      <w:r w:rsidRPr="004926AE">
        <w:rPr>
          <w:rFonts w:ascii="Calibri" w:hAnsi="Calibri" w:cs="Calibri"/>
          <w:b/>
          <w:szCs w:val="24"/>
        </w:rPr>
        <w:t>Expenditure Minimums</w:t>
      </w:r>
    </w:p>
    <w:p w14:paraId="1EE7E0F8" w14:textId="77777777" w:rsidR="004926AE" w:rsidRPr="004926AE" w:rsidRDefault="004926AE" w:rsidP="004926AE">
      <w:pPr>
        <w:rPr>
          <w:rFonts w:ascii="Calibri" w:hAnsi="Calibri" w:cs="Calibri"/>
          <w:b/>
          <w:szCs w:val="24"/>
        </w:rPr>
      </w:pPr>
    </w:p>
    <w:p w14:paraId="40AE3D32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tbl>
      <w:tblPr>
        <w:tblW w:w="4579" w:type="dxa"/>
        <w:jc w:val="center"/>
        <w:tblLook w:val="04A0" w:firstRow="1" w:lastRow="0" w:firstColumn="1" w:lastColumn="0" w:noHBand="0" w:noVBand="1"/>
      </w:tblPr>
      <w:tblGrid>
        <w:gridCol w:w="2059"/>
        <w:gridCol w:w="1260"/>
        <w:gridCol w:w="1260"/>
      </w:tblGrid>
      <w:tr w:rsidR="004926AE" w:rsidRPr="004926AE" w14:paraId="13761C0D" w14:textId="77777777" w:rsidTr="005539F5">
        <w:trPr>
          <w:cantSplit/>
          <w:trHeight w:val="422"/>
          <w:tblHeader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7C5B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9D0D" w14:textId="6770D99F" w:rsidR="004926AE" w:rsidRPr="004926AE" w:rsidRDefault="004926AE" w:rsidP="004926AE">
            <w:pPr>
              <w:rPr>
                <w:rFonts w:ascii="Calibri" w:hAnsi="Calibri" w:cs="Calibri"/>
                <w:b/>
                <w:szCs w:val="24"/>
              </w:rPr>
            </w:pPr>
            <w:r w:rsidRPr="009629F8">
              <w:rPr>
                <w:rFonts w:ascii="Calibri" w:hAnsi="Calibri" w:cs="Calibri"/>
                <w:b/>
                <w:szCs w:val="24"/>
              </w:rPr>
              <w:t>O</w:t>
            </w:r>
            <w:r w:rsidRPr="004926AE">
              <w:rPr>
                <w:rFonts w:ascii="Calibri" w:hAnsi="Calibri" w:cs="Calibri"/>
                <w:b/>
                <w:szCs w:val="24"/>
              </w:rPr>
              <w:t>ct-2</w:t>
            </w:r>
            <w:r w:rsidRPr="009629F8">
              <w:rPr>
                <w:rFonts w:ascii="Calibri" w:hAnsi="Calibri" w:cs="Calibri"/>
                <w:b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EE70" w14:textId="15DF5B3B" w:rsidR="004926AE" w:rsidRPr="004926AE" w:rsidRDefault="004926A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>Oct</w:t>
            </w:r>
            <w:r w:rsidRPr="009629F8">
              <w:rPr>
                <w:rFonts w:ascii="Calibri" w:hAnsi="Calibri" w:cs="Calibri"/>
                <w:b/>
                <w:bCs/>
                <w:szCs w:val="24"/>
              </w:rPr>
              <w:t>-25</w:t>
            </w:r>
          </w:p>
        </w:tc>
      </w:tr>
      <w:tr w:rsidR="004926AE" w:rsidRPr="004926AE" w14:paraId="3B843055" w14:textId="77777777" w:rsidTr="005539F5">
        <w:trPr>
          <w:cantSplit/>
          <w:trHeight w:val="73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DEA3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Basis for Eastern Region Index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EABA" w14:textId="65FCF38F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4846.8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E7C5" w14:textId="7462DDE8" w:rsidR="004926AE" w:rsidRPr="004926AE" w:rsidRDefault="00D4794E" w:rsidP="004926AE">
            <w:pPr>
              <w:rPr>
                <w:rFonts w:ascii="Calibri" w:hAnsi="Calibri" w:cs="Calibri"/>
                <w:szCs w:val="24"/>
              </w:rPr>
            </w:pPr>
            <w:r w:rsidRPr="00D4794E">
              <w:rPr>
                <w:rFonts w:ascii="Calibri" w:hAnsi="Calibri" w:cs="Calibri"/>
                <w:szCs w:val="24"/>
              </w:rPr>
              <w:t>4990.9</w:t>
            </w:r>
          </w:p>
        </w:tc>
      </w:tr>
      <w:tr w:rsidR="004926AE" w:rsidRPr="004926AE" w14:paraId="2FA02132" w14:textId="77777777" w:rsidTr="005539F5">
        <w:trPr>
          <w:cantSplit/>
          <w:trHeight w:val="7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675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Massachusetts Multiplier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CE94" w14:textId="34189289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1.12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E912" w14:textId="28CE4A23" w:rsidR="004926AE" w:rsidRPr="004926AE" w:rsidRDefault="00D4794E" w:rsidP="004926A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1.13</w:t>
            </w:r>
          </w:p>
        </w:tc>
      </w:tr>
    </w:tbl>
    <w:p w14:paraId="2D2643D9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300596A7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61714EB2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52E4EE2F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33927404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  <w:r w:rsidRPr="004926AE">
        <w:rPr>
          <w:rFonts w:ascii="Calibri" w:hAnsi="Calibri" w:cs="Calibri"/>
          <w:szCs w:val="24"/>
        </w:rPr>
        <w:tab/>
      </w:r>
    </w:p>
    <w:tbl>
      <w:tblPr>
        <w:tblW w:w="6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45"/>
        <w:gridCol w:w="395"/>
        <w:gridCol w:w="642"/>
        <w:gridCol w:w="444"/>
        <w:gridCol w:w="3420"/>
      </w:tblGrid>
      <w:tr w:rsidR="004926AE" w:rsidRPr="004926AE" w14:paraId="678321D7" w14:textId="77777777" w:rsidTr="00750DBA">
        <w:trPr>
          <w:trHeight w:val="290"/>
          <w:jc w:val="center"/>
        </w:trPr>
        <w:tc>
          <w:tcPr>
            <w:tcW w:w="855" w:type="dxa"/>
            <w:noWrap/>
            <w:vAlign w:val="bottom"/>
            <w:hideMark/>
          </w:tcPr>
          <w:p w14:paraId="1479895C" w14:textId="28840A18" w:rsidR="004926AE" w:rsidRPr="004926AE" w:rsidRDefault="004926A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>202</w:t>
            </w:r>
            <w:r w:rsidRPr="009629F8">
              <w:rPr>
                <w:rFonts w:ascii="Calibri" w:hAnsi="Calibri" w:cs="Calibri"/>
                <w:b/>
                <w:bCs/>
                <w:szCs w:val="24"/>
              </w:rPr>
              <w:t>5</w:t>
            </w:r>
          </w:p>
        </w:tc>
        <w:tc>
          <w:tcPr>
            <w:tcW w:w="945" w:type="dxa"/>
            <w:noWrap/>
            <w:vAlign w:val="bottom"/>
          </w:tcPr>
          <w:p w14:paraId="159741FA" w14:textId="18332C5A" w:rsidR="004926AE" w:rsidRPr="00D4794E" w:rsidRDefault="00D4794E" w:rsidP="004926AE">
            <w:pPr>
              <w:rPr>
                <w:rFonts w:ascii="Calibri" w:hAnsi="Calibri" w:cs="Calibri"/>
                <w:szCs w:val="24"/>
                <w:u w:val="single"/>
              </w:rPr>
            </w:pPr>
            <w:r w:rsidRPr="00D4794E">
              <w:rPr>
                <w:rFonts w:ascii="Calibri" w:hAnsi="Calibri" w:cs="Calibri"/>
                <w:szCs w:val="24"/>
                <w:u w:val="single"/>
              </w:rPr>
              <w:t>4990.9</w:t>
            </w:r>
            <w:r w:rsidRPr="00D4794E">
              <w:rPr>
                <w:rFonts w:ascii="Calibri" w:hAnsi="Calibri" w:cs="Calibri"/>
                <w:szCs w:val="24"/>
                <w:u w:val="single"/>
              </w:rPr>
              <w:tab/>
            </w:r>
          </w:p>
        </w:tc>
        <w:tc>
          <w:tcPr>
            <w:tcW w:w="360" w:type="dxa"/>
            <w:noWrap/>
            <w:vAlign w:val="bottom"/>
          </w:tcPr>
          <w:p w14:paraId="66CAC618" w14:textId="06C12A7A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36" w:type="dxa"/>
            <w:noWrap/>
            <w:vAlign w:val="bottom"/>
          </w:tcPr>
          <w:p w14:paraId="0C1E825B" w14:textId="2CBEE1C1" w:rsidR="004926AE" w:rsidRPr="00D4794E" w:rsidRDefault="00D4794E" w:rsidP="004926AE">
            <w:pPr>
              <w:rPr>
                <w:rFonts w:ascii="Calibri" w:hAnsi="Calibri" w:cs="Calibri"/>
                <w:szCs w:val="24"/>
                <w:u w:val="single"/>
              </w:rPr>
            </w:pPr>
            <w:r w:rsidRPr="00D4794E">
              <w:rPr>
                <w:rFonts w:ascii="Calibri" w:hAnsi="Calibri" w:cs="Calibri"/>
                <w:szCs w:val="24"/>
                <w:u w:val="single"/>
              </w:rPr>
              <w:t>1.13</w:t>
            </w:r>
          </w:p>
        </w:tc>
        <w:tc>
          <w:tcPr>
            <w:tcW w:w="444" w:type="dxa"/>
            <w:noWrap/>
            <w:vAlign w:val="bottom"/>
            <w:hideMark/>
          </w:tcPr>
          <w:p w14:paraId="097B854C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=</w:t>
            </w:r>
          </w:p>
        </w:tc>
        <w:tc>
          <w:tcPr>
            <w:tcW w:w="3420" w:type="dxa"/>
            <w:noWrap/>
            <w:vAlign w:val="bottom"/>
            <w:hideMark/>
          </w:tcPr>
          <w:p w14:paraId="62B57CD7" w14:textId="37DB1572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Inflation Index Applied</w:t>
            </w:r>
            <w:r w:rsidR="00D4794E">
              <w:rPr>
                <w:rFonts w:ascii="Calibri" w:hAnsi="Calibri" w:cs="Calibri"/>
                <w:szCs w:val="24"/>
              </w:rPr>
              <w:t xml:space="preserve"> to 2025</w:t>
            </w:r>
          </w:p>
        </w:tc>
      </w:tr>
      <w:tr w:rsidR="004926AE" w:rsidRPr="004926AE" w14:paraId="3664DA4D" w14:textId="77777777" w:rsidTr="00750DBA">
        <w:trPr>
          <w:trHeight w:val="290"/>
          <w:jc w:val="center"/>
        </w:trPr>
        <w:tc>
          <w:tcPr>
            <w:tcW w:w="855" w:type="dxa"/>
            <w:noWrap/>
            <w:vAlign w:val="bottom"/>
            <w:hideMark/>
          </w:tcPr>
          <w:p w14:paraId="2CB617DD" w14:textId="77777777" w:rsidR="004926AE" w:rsidRPr="004926AE" w:rsidRDefault="004926A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945" w:type="dxa"/>
            <w:noWrap/>
            <w:vAlign w:val="bottom"/>
            <w:hideMark/>
          </w:tcPr>
          <w:p w14:paraId="60BE3C32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0" w:type="dxa"/>
            <w:noWrap/>
            <w:vAlign w:val="bottom"/>
            <w:hideMark/>
          </w:tcPr>
          <w:p w14:paraId="7D182BDE" w14:textId="7E393802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 </w:t>
            </w:r>
            <w:r w:rsidR="00D4794E">
              <w:rPr>
                <w:rFonts w:ascii="Calibri" w:hAnsi="Calibri" w:cs="Calibri"/>
                <w:szCs w:val="24"/>
              </w:rPr>
              <w:t>X</w:t>
            </w:r>
          </w:p>
        </w:tc>
        <w:tc>
          <w:tcPr>
            <w:tcW w:w="636" w:type="dxa"/>
            <w:noWrap/>
            <w:vAlign w:val="bottom"/>
            <w:hideMark/>
          </w:tcPr>
          <w:p w14:paraId="2357DE75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44" w:type="dxa"/>
            <w:noWrap/>
            <w:vAlign w:val="bottom"/>
            <w:hideMark/>
          </w:tcPr>
          <w:p w14:paraId="7CFDFD40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420" w:type="dxa"/>
            <w:noWrap/>
            <w:vAlign w:val="bottom"/>
            <w:hideMark/>
          </w:tcPr>
          <w:p w14:paraId="36E97CC8" w14:textId="6AD2762D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Expenditure Minimums</w:t>
            </w:r>
          </w:p>
        </w:tc>
      </w:tr>
      <w:tr w:rsidR="004926AE" w:rsidRPr="004926AE" w14:paraId="1BF1CB35" w14:textId="77777777" w:rsidTr="00750DBA">
        <w:trPr>
          <w:trHeight w:val="290"/>
          <w:jc w:val="center"/>
        </w:trPr>
        <w:tc>
          <w:tcPr>
            <w:tcW w:w="855" w:type="dxa"/>
            <w:noWrap/>
            <w:vAlign w:val="bottom"/>
            <w:hideMark/>
          </w:tcPr>
          <w:p w14:paraId="5617870D" w14:textId="1EC2A9E7" w:rsidR="004926AE" w:rsidRPr="004926AE" w:rsidRDefault="004926A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4926AE">
              <w:rPr>
                <w:rFonts w:ascii="Calibri" w:hAnsi="Calibri" w:cs="Calibri"/>
                <w:b/>
                <w:bCs/>
                <w:szCs w:val="24"/>
              </w:rPr>
              <w:t>202</w:t>
            </w:r>
            <w:r w:rsidRPr="009629F8">
              <w:rPr>
                <w:rFonts w:ascii="Calibri" w:hAnsi="Calibri" w:cs="Calibri"/>
                <w:b/>
                <w:bCs/>
                <w:szCs w:val="24"/>
              </w:rPr>
              <w:t>4</w:t>
            </w:r>
          </w:p>
        </w:tc>
        <w:tc>
          <w:tcPr>
            <w:tcW w:w="945" w:type="dxa"/>
            <w:noWrap/>
            <w:vAlign w:val="bottom"/>
          </w:tcPr>
          <w:p w14:paraId="5FA4D7B6" w14:textId="50921DD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4846.8</w:t>
            </w:r>
          </w:p>
        </w:tc>
        <w:tc>
          <w:tcPr>
            <w:tcW w:w="360" w:type="dxa"/>
            <w:noWrap/>
            <w:vAlign w:val="bottom"/>
          </w:tcPr>
          <w:p w14:paraId="51F440BA" w14:textId="74269138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36" w:type="dxa"/>
            <w:noWrap/>
            <w:vAlign w:val="bottom"/>
          </w:tcPr>
          <w:p w14:paraId="2263F0B8" w14:textId="73FDDC21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1.12</w:t>
            </w:r>
          </w:p>
        </w:tc>
        <w:tc>
          <w:tcPr>
            <w:tcW w:w="444" w:type="dxa"/>
            <w:noWrap/>
            <w:vAlign w:val="bottom"/>
            <w:hideMark/>
          </w:tcPr>
          <w:p w14:paraId="6F1691D1" w14:textId="77777777" w:rsidR="004926AE" w:rsidRPr="004926AE" w:rsidRDefault="004926AE" w:rsidP="004926AE">
            <w:pPr>
              <w:rPr>
                <w:rFonts w:ascii="Calibri" w:hAnsi="Calibri" w:cs="Calibri"/>
                <w:szCs w:val="24"/>
              </w:rPr>
            </w:pPr>
            <w:r w:rsidRPr="004926A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420" w:type="dxa"/>
            <w:noWrap/>
            <w:vAlign w:val="bottom"/>
            <w:hideMark/>
          </w:tcPr>
          <w:p w14:paraId="4FE4E9FF" w14:textId="1C4D5F44" w:rsidR="004926AE" w:rsidRPr="004926AE" w:rsidRDefault="00D4794E" w:rsidP="004926A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4794E">
              <w:rPr>
                <w:rFonts w:ascii="Calibri" w:hAnsi="Calibri" w:cs="Calibri"/>
                <w:b/>
                <w:bCs/>
                <w:szCs w:val="24"/>
              </w:rPr>
              <w:t>1.038925</w:t>
            </w:r>
          </w:p>
        </w:tc>
      </w:tr>
    </w:tbl>
    <w:p w14:paraId="260D757D" w14:textId="77777777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6D610FF4" w14:textId="68895300" w:rsidR="004926AE" w:rsidRPr="004926AE" w:rsidRDefault="004926AE" w:rsidP="004926AE">
      <w:pPr>
        <w:rPr>
          <w:rFonts w:ascii="Calibri" w:hAnsi="Calibri" w:cs="Calibri"/>
          <w:szCs w:val="24"/>
        </w:rPr>
      </w:pP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C720A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9513A"/>
    <w:rsid w:val="003A7AFC"/>
    <w:rsid w:val="003C60EF"/>
    <w:rsid w:val="00451FC5"/>
    <w:rsid w:val="0045730B"/>
    <w:rsid w:val="004813AC"/>
    <w:rsid w:val="004926AE"/>
    <w:rsid w:val="004B37A0"/>
    <w:rsid w:val="004B5CFB"/>
    <w:rsid w:val="004D6B39"/>
    <w:rsid w:val="004E0C3F"/>
    <w:rsid w:val="00512956"/>
    <w:rsid w:val="00530145"/>
    <w:rsid w:val="005448AA"/>
    <w:rsid w:val="005539F5"/>
    <w:rsid w:val="00572A6E"/>
    <w:rsid w:val="0058476B"/>
    <w:rsid w:val="005D48A3"/>
    <w:rsid w:val="005F30F7"/>
    <w:rsid w:val="006D06D9"/>
    <w:rsid w:val="006D77A6"/>
    <w:rsid w:val="00702109"/>
    <w:rsid w:val="007210FB"/>
    <w:rsid w:val="0072610D"/>
    <w:rsid w:val="007359C3"/>
    <w:rsid w:val="00750DBA"/>
    <w:rsid w:val="00757006"/>
    <w:rsid w:val="00771FEB"/>
    <w:rsid w:val="007B3F4B"/>
    <w:rsid w:val="007B7347"/>
    <w:rsid w:val="007D10F3"/>
    <w:rsid w:val="007D1BCE"/>
    <w:rsid w:val="007D1D51"/>
    <w:rsid w:val="007E06B4"/>
    <w:rsid w:val="007F3CDB"/>
    <w:rsid w:val="00802852"/>
    <w:rsid w:val="00812238"/>
    <w:rsid w:val="00850407"/>
    <w:rsid w:val="0088305B"/>
    <w:rsid w:val="00951305"/>
    <w:rsid w:val="009629F8"/>
    <w:rsid w:val="00972E5C"/>
    <w:rsid w:val="009730E5"/>
    <w:rsid w:val="009908FF"/>
    <w:rsid w:val="00995505"/>
    <w:rsid w:val="009C4428"/>
    <w:rsid w:val="009D48CD"/>
    <w:rsid w:val="00A5547C"/>
    <w:rsid w:val="00A65101"/>
    <w:rsid w:val="00AB12E2"/>
    <w:rsid w:val="00B403BF"/>
    <w:rsid w:val="00B608D9"/>
    <w:rsid w:val="00B84101"/>
    <w:rsid w:val="00B912EF"/>
    <w:rsid w:val="00BA15C5"/>
    <w:rsid w:val="00BA4055"/>
    <w:rsid w:val="00BA7FB6"/>
    <w:rsid w:val="00BD1061"/>
    <w:rsid w:val="00C20BFE"/>
    <w:rsid w:val="00C37194"/>
    <w:rsid w:val="00C46D29"/>
    <w:rsid w:val="00CC1778"/>
    <w:rsid w:val="00CE575B"/>
    <w:rsid w:val="00CF3DE8"/>
    <w:rsid w:val="00D0493F"/>
    <w:rsid w:val="00D10DDE"/>
    <w:rsid w:val="00D4794E"/>
    <w:rsid w:val="00D56F91"/>
    <w:rsid w:val="00D76119"/>
    <w:rsid w:val="00D8671C"/>
    <w:rsid w:val="00D91390"/>
    <w:rsid w:val="00DA57C3"/>
    <w:rsid w:val="00DC3855"/>
    <w:rsid w:val="00E030D4"/>
    <w:rsid w:val="00E07E31"/>
    <w:rsid w:val="00E15600"/>
    <w:rsid w:val="00E242A8"/>
    <w:rsid w:val="00E274B8"/>
    <w:rsid w:val="00E72707"/>
    <w:rsid w:val="00E814A1"/>
    <w:rsid w:val="00E92038"/>
    <w:rsid w:val="00EA33B3"/>
    <w:rsid w:val="00EE3732"/>
    <w:rsid w:val="00EF0780"/>
    <w:rsid w:val="00EF104D"/>
    <w:rsid w:val="00F0586E"/>
    <w:rsid w:val="00F2416C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Marks, Brett (DPH)</cp:lastModifiedBy>
  <cp:revision>5</cp:revision>
  <cp:lastPrinted>2015-01-29T14:50:00Z</cp:lastPrinted>
  <dcterms:created xsi:type="dcterms:W3CDTF">2025-11-25T16:06:00Z</dcterms:created>
  <dcterms:modified xsi:type="dcterms:W3CDTF">2025-11-28T17:11:00Z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