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097"/>
        <w:gridCol w:w="6048"/>
      </w:tblGrid>
      <w:tr w:rsidR="007D6522" w:rsidRPr="00C54786" w14:paraId="24A3B734" w14:textId="77777777" w:rsidTr="13DE4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6575E998" w:rsidR="007D6522" w:rsidRPr="00FA6C52" w:rsidRDefault="0035365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M</w:t>
            </w:r>
            <w:r w:rsidR="009531BE">
              <w:rPr>
                <w:color w:val="FFFFFF" w:themeColor="background1"/>
              </w:rPr>
              <w:t>BHV-</w:t>
            </w:r>
            <w:r>
              <w:rPr>
                <w:color w:val="FFFFFF" w:themeColor="background1"/>
              </w:rPr>
              <w:t>QEIP</w:t>
            </w:r>
          </w:p>
        </w:tc>
      </w:tr>
      <w:tr w:rsidR="00AF2F7D" w:rsidRPr="00C54786" w14:paraId="730F2855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57A7F352" w:rsidR="009B4F17" w:rsidRPr="00FB2619" w:rsidRDefault="00322A0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38B4034A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</w:t>
            </w:r>
            <w:r w:rsidR="00EC77FE">
              <w:rPr>
                <w:b/>
                <w:bCs w:val="0"/>
                <w:color w:val="FFFFFF" w:themeColor="background1"/>
                <w:sz w:val="24"/>
                <w:szCs w:val="24"/>
              </w:rPr>
              <w:t>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6F13B5FF" w:rsidR="009B4F17" w:rsidRPr="00FB2619" w:rsidRDefault="00EF7D83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Achievement of </w:t>
            </w:r>
            <w:r w:rsidR="003E63E0">
              <w:rPr>
                <w:color w:val="FFFFFF" w:themeColor="background1"/>
                <w:sz w:val="24"/>
                <w:szCs w:val="24"/>
              </w:rPr>
              <w:t>External Standards for Health Equity</w:t>
            </w:r>
          </w:p>
        </w:tc>
      </w:tr>
      <w:tr w:rsidR="00AF2F7D" w:rsidRPr="00C54786" w14:paraId="08E98CCD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64435552" w:rsidR="009B4F17" w:rsidRPr="00FB2619" w:rsidRDefault="00EF7D83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External Standards for Health Equity</w:t>
            </w:r>
            <w:r w:rsidR="003E63E0">
              <w:rPr>
                <w:color w:val="FFFFFF" w:themeColor="background1"/>
                <w:sz w:val="24"/>
                <w:szCs w:val="24"/>
              </w:rPr>
              <w:t xml:space="preserve"> Report</w:t>
            </w:r>
          </w:p>
        </w:tc>
      </w:tr>
      <w:tr w:rsidR="00AF2F7D" w:rsidRPr="00C54786" w14:paraId="27C85E90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16CA4D5D" w:rsidR="009B4F17" w:rsidRPr="00FB2619" w:rsidRDefault="003E63E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3313AA53" w:rsidR="009B4F17" w:rsidRPr="00FB2619" w:rsidRDefault="00322A0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January</w:t>
            </w:r>
            <w:r w:rsidR="003E63E0">
              <w:rPr>
                <w:color w:val="FFFFFF" w:themeColor="background1"/>
                <w:sz w:val="24"/>
                <w:szCs w:val="24"/>
              </w:rPr>
              <w:t xml:space="preserve"> 31, 202</w:t>
            </w:r>
            <w:r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1E10F819" w:rsidR="008F5EE6" w:rsidRPr="00FA6C52" w:rsidRDefault="00FB261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FB2619">
              <w:rPr>
                <w:color w:val="FFFFFF" w:themeColor="background1"/>
              </w:rPr>
              <w:t>Entity</w:t>
            </w:r>
            <w:r w:rsidR="008F5EE6" w:rsidRPr="00FB2619">
              <w:rPr>
                <w:color w:val="FFFFFF" w:themeColor="background1"/>
              </w:rPr>
              <w:t>Abbreviation_</w:t>
            </w:r>
            <w:r w:rsidR="00EF7D83">
              <w:rPr>
                <w:color w:val="FFFFFF" w:themeColor="background1"/>
              </w:rPr>
              <w:t>ExternalStandards</w:t>
            </w:r>
            <w:r w:rsidR="003362C6">
              <w:rPr>
                <w:color w:val="FFFFFF" w:themeColor="background1"/>
              </w:rPr>
              <w:t>Report</w:t>
            </w:r>
            <w:r w:rsidR="008F5EE6" w:rsidRPr="00FB2619">
              <w:rPr>
                <w:color w:val="FFFFFF" w:themeColor="background1"/>
              </w:rPr>
              <w:t>_YYYYMMDD</w:t>
            </w:r>
          </w:p>
        </w:tc>
      </w:tr>
      <w:tr w:rsidR="008F5EE6" w:rsidRPr="00C54786" w14:paraId="5B5EE7E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5E7FB37B" w:rsidR="008F5EE6" w:rsidRPr="00FA6C52" w:rsidRDefault="00467C26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3</w:t>
            </w:r>
            <w:r w:rsidR="008F5EE6" w:rsidRPr="00FB2619">
              <w:rPr>
                <w:color w:val="FFFFFF" w:themeColor="background1"/>
              </w:rPr>
              <w:t xml:space="preserve">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B51E686" w:rsidR="002238A4" w:rsidRDefault="00F4083A" w:rsidP="13DE4B63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679E3486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105527749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3F6B5E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247B1AC6" w14:textId="069BEFDE" w:rsidR="00A33E01" w:rsidRDefault="00A33E01" w:rsidP="008B7CEF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A33E01">
        <w:rPr>
          <w:rFonts w:eastAsia="Times New Roman" w:cstheme="minorHAnsi"/>
          <w:color w:val="000000" w:themeColor="text1"/>
        </w:rPr>
        <w:t xml:space="preserve">This measure assesses </w:t>
      </w:r>
      <w:r>
        <w:rPr>
          <w:rFonts w:eastAsia="Times New Roman" w:cstheme="minorHAnsi"/>
          <w:color w:val="000000" w:themeColor="text1"/>
        </w:rPr>
        <w:t>the MBHV’s</w:t>
      </w:r>
      <w:r w:rsidRPr="00A33E01">
        <w:rPr>
          <w:rFonts w:eastAsia="Times New Roman" w:cstheme="minorHAnsi"/>
          <w:color w:val="000000" w:themeColor="text1"/>
        </w:rPr>
        <w:t xml:space="preserve"> progress towards and/or achievement of external standards related to health equity established by </w:t>
      </w:r>
      <w:r w:rsidR="00E805BE">
        <w:rPr>
          <w:rFonts w:eastAsia="Times New Roman" w:cstheme="minorHAnsi"/>
          <w:color w:val="000000" w:themeColor="text1"/>
        </w:rPr>
        <w:t>the National Committee for Quality Assurance (NCQA).</w:t>
      </w:r>
    </w:p>
    <w:p w14:paraId="14272FFB" w14:textId="7C38A767" w:rsidR="008B7CEF" w:rsidRPr="00DC1CE9" w:rsidRDefault="008B7CEF" w:rsidP="008B7CEF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DC1CE9">
        <w:rPr>
          <w:rFonts w:eastAsia="Times New Roman" w:cstheme="minorHAnsi"/>
          <w:color w:val="000000" w:themeColor="text1"/>
        </w:rPr>
        <w:t>NCQA’s Health Equity Standards are intended to serve as a foundation for</w:t>
      </w:r>
      <w:r w:rsidR="00A838AE" w:rsidRPr="00DC1CE9">
        <w:rPr>
          <w:rFonts w:eastAsia="Times New Roman" w:cstheme="minorHAnsi"/>
          <w:color w:val="000000" w:themeColor="text1"/>
        </w:rPr>
        <w:t xml:space="preserve"> </w:t>
      </w:r>
      <w:r w:rsidR="00C96E1F">
        <w:rPr>
          <w:rFonts w:eastAsia="Times New Roman" w:cstheme="minorHAnsi"/>
          <w:color w:val="000000" w:themeColor="text1"/>
        </w:rPr>
        <w:t>the MBHV</w:t>
      </w:r>
      <w:r w:rsidRPr="00DC1CE9">
        <w:rPr>
          <w:rFonts w:eastAsia="Times New Roman" w:cstheme="minorHAnsi"/>
          <w:color w:val="000000" w:themeColor="text1"/>
        </w:rPr>
        <w:t xml:space="preserve"> to address health care disparities. These Health Equity Standards build on the equity-focused Health Plan Accreditation standards to recognize organizations that go above and beyond to provide high quality and equitable care.  </w:t>
      </w:r>
    </w:p>
    <w:p w14:paraId="40AEE268" w14:textId="3BD82F91" w:rsidR="008C7869" w:rsidRPr="00C96E1F" w:rsidRDefault="00895C2D" w:rsidP="00530002">
      <w:pPr>
        <w:pStyle w:val="Body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This measure incentivizes MBHV to demonstrate achievement of the NC</w:t>
      </w:r>
      <w:r w:rsidR="00F903D1">
        <w:rPr>
          <w:rFonts w:asciiTheme="minorHAnsi" w:hAnsiTheme="minorHAnsi" w:cstheme="minorHAnsi"/>
          <w:color w:val="000000" w:themeColor="text1"/>
          <w:sz w:val="22"/>
          <w:szCs w:val="22"/>
        </w:rPr>
        <w:t>Q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Health Equity Accreditation by the end of Performance Year (PY) 3 (2025). </w:t>
      </w: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9D3A5F" w:rsidRPr="009D3A5F" w14:paraId="06F9A89D" w14:textId="77777777" w:rsidTr="0004303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6249EDD1" w14:paraId="0E0E4ED9" w14:textId="77777777" w:rsidTr="6249EDD1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ABA922A" w14:textId="77777777" w:rsidR="6249EDD1" w:rsidRDefault="6249EDD1" w:rsidP="6249EDD1">
            <w:pPr>
              <w:pStyle w:val="MH-ChartContentText"/>
            </w:pPr>
            <w:r>
              <w:t>Point of Contact Name:</w:t>
            </w:r>
          </w:p>
        </w:tc>
        <w:tc>
          <w:tcPr>
            <w:tcW w:w="6390" w:type="dxa"/>
          </w:tcPr>
          <w:p w14:paraId="23D120B7" w14:textId="77777777" w:rsidR="6249EDD1" w:rsidRDefault="6249EDD1" w:rsidP="6249EDD1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6249EDD1" w14:paraId="17B220DB" w14:textId="77777777" w:rsidTr="6249EDD1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1C55257" w14:textId="5CF47DD5" w:rsidR="1903EC19" w:rsidRDefault="1903EC19" w:rsidP="6249EDD1">
            <w:pPr>
              <w:pStyle w:val="MH-ChartContentText"/>
            </w:pPr>
            <w:r>
              <w:t>Point of Contact Title:</w:t>
            </w:r>
          </w:p>
        </w:tc>
        <w:tc>
          <w:tcPr>
            <w:tcW w:w="6390" w:type="dxa"/>
          </w:tcPr>
          <w:p w14:paraId="6596088A" w14:textId="6260EB56" w:rsidR="1903EC19" w:rsidRDefault="1903EC19" w:rsidP="6249EDD1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6249EDD1" w14:paraId="0171B0FD" w14:textId="77777777" w:rsidTr="6249EDD1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AA95CAE" w14:textId="77777777" w:rsidR="6249EDD1" w:rsidRDefault="6249EDD1" w:rsidP="6249EDD1">
            <w:pPr>
              <w:pStyle w:val="MH-ChartContentText"/>
            </w:pPr>
            <w:r>
              <w:t>Organization Name:</w:t>
            </w:r>
          </w:p>
        </w:tc>
        <w:tc>
          <w:tcPr>
            <w:tcW w:w="6390" w:type="dxa"/>
          </w:tcPr>
          <w:p w14:paraId="709C682A" w14:textId="77777777" w:rsidR="6249EDD1" w:rsidRDefault="6249EDD1" w:rsidP="6249EDD1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</w:tbl>
    <w:p w14:paraId="4ABDDE69" w14:textId="20C93AA7" w:rsidR="00240F61" w:rsidRPr="00240F61" w:rsidRDefault="00240F61" w:rsidP="00E334C3">
      <w:pPr>
        <w:pStyle w:val="Heading3"/>
      </w:pPr>
      <w:r>
        <w:t>Introduction</w:t>
      </w:r>
    </w:p>
    <w:p w14:paraId="54C899F2" w14:textId="749CA05C" w:rsidR="00E14552" w:rsidRDefault="002D5E0B" w:rsidP="00E14552">
      <w:pPr>
        <w:spacing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By the end of PY3</w:t>
      </w:r>
      <w:r w:rsidR="00C9641A">
        <w:rPr>
          <w:rFonts w:eastAsia="Times New Roman" w:cstheme="minorHAnsi"/>
          <w:bCs/>
        </w:rPr>
        <w:t xml:space="preserve"> of the M</w:t>
      </w:r>
      <w:r w:rsidR="00C96E1F">
        <w:rPr>
          <w:rFonts w:eastAsia="Times New Roman" w:cstheme="minorHAnsi"/>
          <w:bCs/>
        </w:rPr>
        <w:t>BHV-</w:t>
      </w:r>
      <w:r w:rsidR="00C9641A">
        <w:rPr>
          <w:rFonts w:eastAsia="Times New Roman" w:cstheme="minorHAnsi"/>
          <w:bCs/>
        </w:rPr>
        <w:t>QEIP</w:t>
      </w:r>
      <w:r w:rsidR="00BB1CFD">
        <w:rPr>
          <w:rFonts w:eastAsia="Times New Roman" w:cstheme="minorHAnsi"/>
          <w:bCs/>
        </w:rPr>
        <w:t xml:space="preserve">, </w:t>
      </w:r>
      <w:r w:rsidR="00141D9E">
        <w:rPr>
          <w:rFonts w:eastAsia="Times New Roman" w:cstheme="minorHAnsi"/>
          <w:bCs/>
        </w:rPr>
        <w:t xml:space="preserve">the </w:t>
      </w:r>
      <w:r w:rsidR="00C96E1F">
        <w:rPr>
          <w:rFonts w:eastAsia="Times New Roman" w:cstheme="minorHAnsi"/>
          <w:bCs/>
        </w:rPr>
        <w:t>MBHV is</w:t>
      </w:r>
      <w:r w:rsidR="00C9641A">
        <w:rPr>
          <w:rFonts w:eastAsia="Times New Roman" w:cstheme="minorHAnsi"/>
          <w:bCs/>
        </w:rPr>
        <w:t xml:space="preserve"> required to </w:t>
      </w:r>
      <w:r w:rsidR="00C96E1F">
        <w:rPr>
          <w:rFonts w:eastAsia="Times New Roman" w:cstheme="minorHAnsi"/>
          <w:bCs/>
        </w:rPr>
        <w:t>achieve</w:t>
      </w:r>
      <w:r w:rsidR="00527A16" w:rsidRPr="00527A16">
        <w:rPr>
          <w:rFonts w:eastAsia="Times New Roman" w:cstheme="minorHAnsi"/>
          <w:bCs/>
        </w:rPr>
        <w:t xml:space="preserve"> </w:t>
      </w:r>
      <w:r w:rsidR="00AF76A3">
        <w:rPr>
          <w:rFonts w:eastAsia="Times New Roman" w:cstheme="minorHAnsi"/>
          <w:bCs/>
        </w:rPr>
        <w:t xml:space="preserve">certification </w:t>
      </w:r>
      <w:r>
        <w:rPr>
          <w:rFonts w:eastAsia="Times New Roman" w:cstheme="minorHAnsi"/>
          <w:bCs/>
        </w:rPr>
        <w:t xml:space="preserve">of </w:t>
      </w:r>
      <w:r w:rsidR="00527A16" w:rsidRPr="00527A16">
        <w:rPr>
          <w:rFonts w:eastAsia="Times New Roman" w:cstheme="minorHAnsi"/>
          <w:bCs/>
        </w:rPr>
        <w:t>N</w:t>
      </w:r>
      <w:r>
        <w:rPr>
          <w:rFonts w:eastAsia="Times New Roman" w:cstheme="minorHAnsi"/>
          <w:bCs/>
        </w:rPr>
        <w:t>C</w:t>
      </w:r>
      <w:r w:rsidR="00527A16" w:rsidRPr="00527A16">
        <w:rPr>
          <w:rFonts w:eastAsia="Times New Roman" w:cstheme="minorHAnsi"/>
          <w:bCs/>
        </w:rPr>
        <w:t>QA</w:t>
      </w:r>
      <w:r>
        <w:rPr>
          <w:rFonts w:eastAsia="Times New Roman" w:cstheme="minorHAnsi"/>
          <w:bCs/>
        </w:rPr>
        <w:t>’s</w:t>
      </w:r>
      <w:r w:rsidR="00527A16" w:rsidRPr="00527A16">
        <w:rPr>
          <w:rFonts w:eastAsia="Times New Roman" w:cstheme="minorHAnsi"/>
          <w:bCs/>
        </w:rPr>
        <w:t xml:space="preserve"> Health Equity Accreditation</w:t>
      </w:r>
      <w:r w:rsidR="009006C2">
        <w:rPr>
          <w:rFonts w:eastAsia="Times New Roman" w:cstheme="minorHAnsi"/>
          <w:bCs/>
        </w:rPr>
        <w:t>, as demonstrated through this report.</w:t>
      </w:r>
    </w:p>
    <w:p w14:paraId="2AE2A1D0" w14:textId="47DE4BAC" w:rsidR="00A06AAD" w:rsidRDefault="00A06AAD" w:rsidP="00E14552">
      <w:pPr>
        <w:spacing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There are two sections to this report:</w:t>
      </w:r>
    </w:p>
    <w:p w14:paraId="31AFBD02" w14:textId="5506F97B" w:rsidR="00A06AAD" w:rsidRPr="00837D8E" w:rsidRDefault="00A06AAD" w:rsidP="00837D8E">
      <w:pPr>
        <w:pStyle w:val="ListParagraph"/>
        <w:numPr>
          <w:ilvl w:val="0"/>
          <w:numId w:val="28"/>
        </w:numPr>
        <w:spacing w:after="120" w:line="240" w:lineRule="auto"/>
        <w:rPr>
          <w:rFonts w:eastAsia="Times New Roman" w:cstheme="minorHAnsi"/>
          <w:bCs/>
        </w:rPr>
      </w:pPr>
      <w:r w:rsidRPr="00837D8E">
        <w:rPr>
          <w:rFonts w:eastAsia="Times New Roman" w:cstheme="minorHAnsi"/>
          <w:b/>
        </w:rPr>
        <w:t>Section 1.</w:t>
      </w:r>
      <w:r w:rsidRPr="00837D8E">
        <w:rPr>
          <w:rFonts w:eastAsia="Times New Roman" w:cstheme="minorHAnsi"/>
          <w:bCs/>
        </w:rPr>
        <w:t xml:space="preserve"> Documentation of Achievement of NCQA Health Equity Accreditation</w:t>
      </w:r>
      <w:r w:rsidR="00837D8E" w:rsidRPr="00837D8E">
        <w:rPr>
          <w:rFonts w:eastAsia="Times New Roman" w:cstheme="minorHAnsi"/>
          <w:bCs/>
        </w:rPr>
        <w:t xml:space="preserve"> by PY3</w:t>
      </w:r>
    </w:p>
    <w:p w14:paraId="47E18716" w14:textId="5FA7BD53" w:rsidR="00837D8E" w:rsidRPr="00837D8E" w:rsidRDefault="00837D8E" w:rsidP="00837D8E">
      <w:pPr>
        <w:pStyle w:val="ListParagraph"/>
        <w:numPr>
          <w:ilvl w:val="0"/>
          <w:numId w:val="28"/>
        </w:numPr>
        <w:spacing w:after="120" w:line="240" w:lineRule="auto"/>
        <w:rPr>
          <w:rFonts w:eastAsia="Times New Roman" w:cstheme="minorHAnsi"/>
          <w:bCs/>
        </w:rPr>
      </w:pPr>
      <w:r w:rsidRPr="00837D8E">
        <w:rPr>
          <w:rFonts w:eastAsia="Times New Roman" w:cstheme="minorHAnsi"/>
          <w:b/>
        </w:rPr>
        <w:t>Section 2.</w:t>
      </w:r>
      <w:r w:rsidRPr="00837D8E">
        <w:rPr>
          <w:rFonts w:eastAsia="Times New Roman" w:cstheme="minorHAnsi"/>
          <w:bCs/>
        </w:rPr>
        <w:t xml:space="preserve"> Progress </w:t>
      </w:r>
      <w:r w:rsidR="006D3CD1">
        <w:rPr>
          <w:rFonts w:eastAsia="Times New Roman" w:cstheme="minorHAnsi"/>
          <w:bCs/>
        </w:rPr>
        <w:t>To</w:t>
      </w:r>
      <w:r w:rsidRPr="00837D8E">
        <w:rPr>
          <w:rFonts w:eastAsia="Times New Roman" w:cstheme="minorHAnsi"/>
          <w:bCs/>
        </w:rPr>
        <w:t>wards NC</w:t>
      </w:r>
      <w:r>
        <w:rPr>
          <w:rFonts w:eastAsia="Times New Roman" w:cstheme="minorHAnsi"/>
          <w:bCs/>
        </w:rPr>
        <w:t>Q</w:t>
      </w:r>
      <w:r w:rsidRPr="00837D8E">
        <w:rPr>
          <w:rFonts w:eastAsia="Times New Roman" w:cstheme="minorHAnsi"/>
          <w:bCs/>
        </w:rPr>
        <w:t>A Health Equity Accreditation</w:t>
      </w:r>
    </w:p>
    <w:p w14:paraId="6C0FC4F2" w14:textId="6CABC6E1" w:rsidR="00A06AAD" w:rsidRDefault="00A06AAD" w:rsidP="00E14552">
      <w:pPr>
        <w:spacing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Please complete </w:t>
      </w:r>
      <w:r w:rsidRPr="00A1583E">
        <w:rPr>
          <w:rFonts w:eastAsia="Times New Roman" w:cstheme="minorHAnsi"/>
          <w:b/>
          <w:u w:val="single"/>
        </w:rPr>
        <w:t>EITHER</w:t>
      </w:r>
      <w:r w:rsidRPr="00A1583E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Cs/>
        </w:rPr>
        <w:t xml:space="preserve">Section 1 </w:t>
      </w:r>
      <w:r w:rsidR="00837D8E" w:rsidRPr="00A1583E">
        <w:rPr>
          <w:rFonts w:eastAsia="Times New Roman" w:cstheme="minorHAnsi"/>
          <w:b/>
          <w:u w:val="single"/>
        </w:rPr>
        <w:t>OR</w:t>
      </w:r>
      <w:r w:rsidR="00837D8E">
        <w:rPr>
          <w:rFonts w:eastAsia="Times New Roman" w:cstheme="minorHAnsi"/>
          <w:bCs/>
        </w:rPr>
        <w:t xml:space="preserve"> Section 2. Do not complete both.</w:t>
      </w:r>
    </w:p>
    <w:p w14:paraId="24DD159D" w14:textId="6DA73BD1" w:rsidR="00E6382E" w:rsidRDefault="00837D8E" w:rsidP="00E14552">
      <w:pPr>
        <w:pStyle w:val="Heading3"/>
      </w:pPr>
      <w:r>
        <w:t xml:space="preserve">Section 1. </w:t>
      </w:r>
      <w:r w:rsidR="00C87E68">
        <w:t xml:space="preserve">Documentation of Achievement of </w:t>
      </w:r>
      <w:r w:rsidR="00FF70C6">
        <w:t xml:space="preserve">NCQA </w:t>
      </w:r>
      <w:r w:rsidR="002922C6">
        <w:t>Health Equity Accreditation</w:t>
      </w:r>
      <w:r>
        <w:t xml:space="preserve"> by PY3</w:t>
      </w:r>
    </w:p>
    <w:p w14:paraId="3CA4ADEC" w14:textId="55703440" w:rsidR="00837D8E" w:rsidRDefault="00837D8E" w:rsidP="00837D8E">
      <w:r>
        <w:t>If the MBHV has achieved NCQA Health Equity Accreditation by the end of Performance Year 3 (2025), complete this section 1.</w:t>
      </w:r>
    </w:p>
    <w:p w14:paraId="3CA250F9" w14:textId="45DA93F2" w:rsidR="00B110E7" w:rsidRDefault="00B110E7" w:rsidP="00712B91">
      <w:pPr>
        <w:pStyle w:val="ListParagraph"/>
        <w:numPr>
          <w:ilvl w:val="0"/>
          <w:numId w:val="27"/>
        </w:numPr>
      </w:pPr>
      <w:r>
        <w:t>Please provide a screenshot of the formal</w:t>
      </w:r>
      <w:r w:rsidR="00B967FE">
        <w:t xml:space="preserve">/official </w:t>
      </w:r>
      <w:r>
        <w:t xml:space="preserve">certificate of achievement </w:t>
      </w:r>
      <w:r w:rsidR="006D3CD1">
        <w:t xml:space="preserve">of the NCQA Health Equity Accreditation </w:t>
      </w:r>
      <w:r>
        <w:t>below. Alternatively, you may upload the certificate from NC</w:t>
      </w:r>
      <w:r w:rsidR="00C87E68">
        <w:t>Q</w:t>
      </w:r>
      <w:r>
        <w:t>A alongside this reporting template in OnBase.</w:t>
      </w:r>
    </w:p>
    <w:p w14:paraId="728208CF" w14:textId="4E6064A4" w:rsidR="00837D8E" w:rsidRDefault="00837D8E" w:rsidP="00837D8E">
      <w:pPr>
        <w:pStyle w:val="Heading3"/>
      </w:pPr>
      <w:r>
        <w:lastRenderedPageBreak/>
        <w:t>Section 2. Progress Towards NCQA Health Equity Accreditation</w:t>
      </w:r>
    </w:p>
    <w:p w14:paraId="5EFDEB3D" w14:textId="41A77ACB" w:rsidR="00712B91" w:rsidRPr="00B110E7" w:rsidRDefault="00712B91" w:rsidP="00837D8E">
      <w:r>
        <w:t>If the MBHV has not yet achieved NCQA’s Health Equity Accreditation</w:t>
      </w:r>
      <w:r w:rsidR="00837D8E">
        <w:t>, complete this section 2</w:t>
      </w:r>
      <w:r w:rsidR="00E007D5">
        <w:t xml:space="preserve">. </w:t>
      </w:r>
      <w:r w:rsidR="00D678C8">
        <w:t>The following questions are related to MBHV’s progress towards achieving accreditation.</w:t>
      </w:r>
    </w:p>
    <w:p w14:paraId="0EDF108F" w14:textId="3BC2BE38" w:rsidR="005E70DD" w:rsidRPr="00453765" w:rsidRDefault="005E70DD" w:rsidP="00453765">
      <w:pPr>
        <w:pStyle w:val="ListParagraph"/>
        <w:numPr>
          <w:ilvl w:val="0"/>
          <w:numId w:val="27"/>
        </w:numPr>
        <w:spacing w:before="0" w:after="0" w:line="259" w:lineRule="auto"/>
        <w:rPr>
          <w:rFonts w:eastAsia="Times New Roman" w:cstheme="minorHAnsi"/>
          <w:b/>
        </w:rPr>
      </w:pPr>
      <w:r>
        <w:rPr>
          <w:rFonts w:eastAsia="Times New Roman"/>
        </w:rPr>
        <w:t>List the</w:t>
      </w:r>
      <w:r w:rsidRPr="003F1400">
        <w:rPr>
          <w:rFonts w:eastAsia="Times New Roman"/>
        </w:rPr>
        <w:t xml:space="preserve"> NCQA Health Equity Standards achieved to date (may be from the </w:t>
      </w:r>
      <w:r>
        <w:rPr>
          <w:rFonts w:eastAsia="Times New Roman"/>
        </w:rPr>
        <w:t>MBHV’s</w:t>
      </w:r>
      <w:r w:rsidRPr="003F1400">
        <w:rPr>
          <w:rFonts w:eastAsia="Times New Roman"/>
        </w:rPr>
        <w:t xml:space="preserve"> own assessment of standards achieved)</w:t>
      </w:r>
      <w:r>
        <w:rPr>
          <w:rFonts w:eastAsia="Times New Roman"/>
        </w:rPr>
        <w:t>:</w:t>
      </w:r>
    </w:p>
    <w:p w14:paraId="1E8AF759" w14:textId="77777777" w:rsidR="005E70DD" w:rsidRDefault="005E70DD" w:rsidP="005E70DD">
      <w:pPr>
        <w:pStyle w:val="ListParagraph"/>
        <w:spacing w:before="0" w:after="0" w:line="259" w:lineRule="auto"/>
        <w:ind w:left="1080"/>
        <w:rPr>
          <w:rFonts w:eastAsia="Times New Roman"/>
        </w:rPr>
      </w:pPr>
      <w:r w:rsidRPr="00414D2F">
        <w:rPr>
          <w:rFonts w:eastAsia="Times New Roman"/>
          <w:u w:val="single"/>
        </w:rPr>
        <w:t>Response</w:t>
      </w:r>
      <w:r>
        <w:rPr>
          <w:rFonts w:eastAsia="Times New Roman"/>
        </w:rPr>
        <w:t>:</w:t>
      </w:r>
    </w:p>
    <w:p w14:paraId="543FCA0D" w14:textId="77777777" w:rsidR="005E70DD" w:rsidRPr="003F1400" w:rsidRDefault="005E70DD" w:rsidP="005E70DD">
      <w:pPr>
        <w:pStyle w:val="ListParagraph"/>
        <w:spacing w:before="0" w:after="0" w:line="259" w:lineRule="auto"/>
        <w:ind w:left="1080"/>
        <w:rPr>
          <w:rFonts w:eastAsia="Times New Roman" w:cstheme="minorHAnsi"/>
          <w:b/>
        </w:rPr>
      </w:pPr>
    </w:p>
    <w:p w14:paraId="18E4DAC0" w14:textId="0D3C7D60" w:rsidR="005E70DD" w:rsidRPr="00453765" w:rsidRDefault="005E70DD" w:rsidP="005E70DD">
      <w:pPr>
        <w:pStyle w:val="ListParagraph"/>
        <w:numPr>
          <w:ilvl w:val="0"/>
          <w:numId w:val="27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/>
        </w:rPr>
        <w:t xml:space="preserve">List </w:t>
      </w:r>
      <w:r>
        <w:rPr>
          <w:rFonts w:eastAsia="Times New Roman"/>
        </w:rPr>
        <w:t>the</w:t>
      </w:r>
      <w:r w:rsidRPr="002713D3">
        <w:rPr>
          <w:rFonts w:eastAsia="Times New Roman"/>
        </w:rPr>
        <w:t xml:space="preserve"> NCQA Health Equity Standards in progress (may be from the </w:t>
      </w:r>
      <w:r>
        <w:rPr>
          <w:rFonts w:eastAsia="Times New Roman"/>
        </w:rPr>
        <w:t>MBHV’s</w:t>
      </w:r>
      <w:r w:rsidRPr="002713D3">
        <w:rPr>
          <w:rFonts w:eastAsia="Times New Roman"/>
        </w:rPr>
        <w:t xml:space="preserve"> own assessment of standards in progress)</w:t>
      </w:r>
      <w:r>
        <w:rPr>
          <w:rFonts w:eastAsia="Times New Roman"/>
        </w:rPr>
        <w:t>:</w:t>
      </w:r>
    </w:p>
    <w:p w14:paraId="1EA8B9D7" w14:textId="77777777" w:rsidR="005E70DD" w:rsidRDefault="005E70DD" w:rsidP="005E70DD">
      <w:pPr>
        <w:spacing w:before="0" w:after="0" w:line="259" w:lineRule="auto"/>
        <w:ind w:left="1080"/>
        <w:rPr>
          <w:rFonts w:eastAsia="Times New Roman" w:cstheme="minorHAnsi"/>
          <w:bCs/>
        </w:rPr>
      </w:pPr>
      <w:r w:rsidRPr="00414D2F">
        <w:rPr>
          <w:rFonts w:eastAsia="Times New Roman" w:cstheme="minorHAnsi"/>
          <w:bCs/>
          <w:u w:val="single"/>
        </w:rPr>
        <w:t>Response</w:t>
      </w:r>
      <w:r>
        <w:rPr>
          <w:rFonts w:eastAsia="Times New Roman" w:cstheme="minorHAnsi"/>
          <w:bCs/>
        </w:rPr>
        <w:t>:</w:t>
      </w:r>
    </w:p>
    <w:p w14:paraId="49EE2886" w14:textId="77777777" w:rsidR="005E70DD" w:rsidRPr="00414D2F" w:rsidRDefault="005E70DD" w:rsidP="005E70DD">
      <w:pPr>
        <w:spacing w:before="0" w:after="0" w:line="259" w:lineRule="auto"/>
        <w:ind w:left="1080"/>
        <w:rPr>
          <w:rFonts w:eastAsia="Times New Roman" w:cstheme="minorHAnsi"/>
          <w:bCs/>
        </w:rPr>
      </w:pPr>
    </w:p>
    <w:p w14:paraId="112CFB47" w14:textId="63CB5F3F" w:rsidR="005E70DD" w:rsidRPr="00453765" w:rsidRDefault="005E70DD" w:rsidP="00453765">
      <w:pPr>
        <w:pStyle w:val="ListParagraph"/>
        <w:numPr>
          <w:ilvl w:val="0"/>
          <w:numId w:val="27"/>
        </w:numPr>
        <w:spacing w:before="0" w:after="0" w:line="259" w:lineRule="auto"/>
        <w:rPr>
          <w:rFonts w:eastAsia="Times New Roman" w:cstheme="minorHAnsi"/>
          <w:b/>
        </w:rPr>
      </w:pPr>
      <w:r>
        <w:rPr>
          <w:rFonts w:eastAsia="Times New Roman"/>
        </w:rPr>
        <w:t>Describe</w:t>
      </w:r>
      <w:r w:rsidRPr="002713D3">
        <w:rPr>
          <w:rFonts w:eastAsia="Times New Roman"/>
        </w:rPr>
        <w:t xml:space="preserve"> any efforts undertaken in PY</w:t>
      </w:r>
      <w:r w:rsidR="00453765">
        <w:rPr>
          <w:rFonts w:eastAsia="Times New Roman"/>
        </w:rPr>
        <w:t>3</w:t>
      </w:r>
      <w:r w:rsidRPr="002713D3">
        <w:rPr>
          <w:rFonts w:eastAsia="Times New Roman"/>
        </w:rPr>
        <w:t xml:space="preserve"> (CY202</w:t>
      </w:r>
      <w:r w:rsidR="00453765">
        <w:rPr>
          <w:rFonts w:eastAsia="Times New Roman"/>
        </w:rPr>
        <w:t>5</w:t>
      </w:r>
      <w:r w:rsidRPr="002713D3">
        <w:rPr>
          <w:rFonts w:eastAsia="Times New Roman"/>
        </w:rPr>
        <w:t>) to make progress towards achieving NCQA Health Equity Accreditation</w:t>
      </w:r>
      <w:r w:rsidR="00A26CE6">
        <w:rPr>
          <w:rFonts w:eastAsia="Times New Roman"/>
        </w:rPr>
        <w:t>.</w:t>
      </w:r>
    </w:p>
    <w:p w14:paraId="05B07C02" w14:textId="77777777" w:rsidR="005E70DD" w:rsidRDefault="005E70DD" w:rsidP="005E70DD">
      <w:pPr>
        <w:pStyle w:val="ListParagraph"/>
        <w:spacing w:before="0" w:after="0" w:line="259" w:lineRule="auto"/>
        <w:ind w:left="1080"/>
        <w:rPr>
          <w:rFonts w:eastAsia="Times New Roman"/>
        </w:rPr>
      </w:pPr>
      <w:r w:rsidRPr="00414D2F">
        <w:rPr>
          <w:rFonts w:eastAsia="Times New Roman"/>
          <w:u w:val="single"/>
        </w:rPr>
        <w:t>Response</w:t>
      </w:r>
      <w:r>
        <w:rPr>
          <w:rFonts w:eastAsia="Times New Roman"/>
        </w:rPr>
        <w:t>:</w:t>
      </w:r>
    </w:p>
    <w:p w14:paraId="5E920874" w14:textId="77777777" w:rsidR="005E70DD" w:rsidRPr="002713D3" w:rsidRDefault="005E70DD" w:rsidP="005E70DD">
      <w:pPr>
        <w:pStyle w:val="ListParagraph"/>
        <w:spacing w:before="0" w:after="0" w:line="259" w:lineRule="auto"/>
        <w:ind w:left="1080"/>
        <w:rPr>
          <w:rFonts w:eastAsia="Times New Roman" w:cstheme="minorHAnsi"/>
          <w:b/>
        </w:rPr>
      </w:pPr>
    </w:p>
    <w:p w14:paraId="7E8DD72A" w14:textId="54C05741" w:rsidR="005E70DD" w:rsidRPr="00453765" w:rsidRDefault="005E70DD" w:rsidP="00453765">
      <w:pPr>
        <w:pStyle w:val="ListParagraph"/>
        <w:numPr>
          <w:ilvl w:val="0"/>
          <w:numId w:val="27"/>
        </w:numPr>
        <w:spacing w:before="0" w:after="0" w:line="259" w:lineRule="auto"/>
        <w:rPr>
          <w:rFonts w:eastAsia="Times New Roman" w:cstheme="minorHAnsi"/>
          <w:b/>
        </w:rPr>
      </w:pPr>
      <w:r>
        <w:rPr>
          <w:rFonts w:eastAsia="Times New Roman"/>
        </w:rPr>
        <w:t>Describe</w:t>
      </w:r>
      <w:r w:rsidRPr="002713D3">
        <w:rPr>
          <w:rFonts w:eastAsia="Times New Roman"/>
        </w:rPr>
        <w:t xml:space="preserve"> any anticipated efforts, resources, etc. needed to achieve Accreditation by the end of PY</w:t>
      </w:r>
      <w:r w:rsidR="00453765">
        <w:rPr>
          <w:rFonts w:eastAsia="Times New Roman"/>
        </w:rPr>
        <w:t>4 (2026)</w:t>
      </w:r>
      <w:r w:rsidRPr="002713D3">
        <w:rPr>
          <w:rFonts w:eastAsia="Times New Roman"/>
        </w:rPr>
        <w:t>.</w:t>
      </w:r>
    </w:p>
    <w:p w14:paraId="22846E7B" w14:textId="77777777" w:rsidR="005E70DD" w:rsidRPr="002713D3" w:rsidRDefault="005E70DD" w:rsidP="005E70DD">
      <w:pPr>
        <w:pStyle w:val="ListParagraph"/>
        <w:spacing w:before="0" w:after="0" w:line="259" w:lineRule="auto"/>
        <w:ind w:left="1080"/>
        <w:rPr>
          <w:rFonts w:eastAsia="Times New Roman" w:cstheme="minorHAnsi"/>
          <w:b/>
        </w:rPr>
      </w:pPr>
      <w:r w:rsidRPr="00414D2F">
        <w:rPr>
          <w:rFonts w:eastAsia="Times New Roman"/>
          <w:u w:val="single"/>
        </w:rPr>
        <w:t>Response</w:t>
      </w:r>
      <w:r>
        <w:rPr>
          <w:rFonts w:eastAsia="Times New Roman"/>
        </w:rPr>
        <w:t>:</w:t>
      </w:r>
    </w:p>
    <w:p w14:paraId="69AE70E0" w14:textId="02DE341F" w:rsidR="007F5DCA" w:rsidRDefault="007F5DCA" w:rsidP="00DD0E07">
      <w:pPr>
        <w:pStyle w:val="ListNumber"/>
        <w:numPr>
          <w:ilvl w:val="0"/>
          <w:numId w:val="0"/>
        </w:numPr>
        <w:spacing w:before="0" w:after="120"/>
        <w:contextualSpacing/>
      </w:pPr>
    </w:p>
    <w:sectPr w:rsidR="007F5DCA" w:rsidSect="000E2EA9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EAA6" w14:textId="77777777" w:rsidR="001A17AB" w:rsidRDefault="001A17AB" w:rsidP="00240F61">
      <w:pPr>
        <w:spacing w:before="0" w:after="0" w:line="240" w:lineRule="auto"/>
      </w:pPr>
      <w:r>
        <w:separator/>
      </w:r>
    </w:p>
  </w:endnote>
  <w:endnote w:type="continuationSeparator" w:id="0">
    <w:p w14:paraId="4DF2D7AC" w14:textId="77777777" w:rsidR="001A17AB" w:rsidRDefault="001A17AB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1758C712" w14:textId="77777777" w:rsidR="001A17AB" w:rsidRDefault="001A17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4A6A6148" w:rsidR="00240F61" w:rsidRPr="003F61F7" w:rsidRDefault="00EB09E5" w:rsidP="009531BE">
    <w:pPr>
      <w:pStyle w:val="Footer"/>
      <w:tabs>
        <w:tab w:val="left" w:pos="4070"/>
      </w:tabs>
      <w:spacing w:before="0" w:after="0"/>
      <w:jc w:val="left"/>
    </w:pPr>
    <w:r>
      <w:tab/>
    </w:r>
    <w:r>
      <w:tab/>
    </w: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B10BD20" w:rsidR="00835064" w:rsidRDefault="00F4083A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2566FD50">
                  <wp:extent cx="7772400" cy="182880"/>
                  <wp:effectExtent l="0" t="3810" r="0" b="3810"/>
                  <wp:docPr id="912465003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81587625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475315756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883845206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77754251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14="http://schemas.microsoft.com/office/drawing/2010/main" xmlns:adec="http://schemas.microsoft.com/office/drawing/2017/decorative" xmlns:a="http://schemas.openxmlformats.org/drawingml/2006/main">
              <w:pict>
                <v:group id="Group 237698529" style="width:612pt;height:14.4pt;mso-position-horizontal-relative:char;mso-position-vertical-relative:line" alt="&quot;&quot;" coordsize="114005,4364" o:spid="_x0000_s1026" w14:anchorId="09CBB2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46E8E54D" w:rsidR="00240F61" w:rsidRDefault="009A1A91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M</w:t>
        </w:r>
        <w:r w:rsidR="009531BE">
          <w:t>HBV-</w:t>
        </w:r>
        <w:r>
          <w:t>QEIP</w:t>
        </w:r>
        <w:r w:rsidR="006E1992">
          <w:t xml:space="preserve">: </w:t>
        </w:r>
        <w:r>
          <w:t>PY</w:t>
        </w:r>
        <w:r w:rsidR="00322A0D">
          <w:t>3</w:t>
        </w:r>
        <w:r>
          <w:t xml:space="preserve"> </w:t>
        </w:r>
        <w:r w:rsidR="00EB09E5">
          <w:t>External Standards for Health Equity</w:t>
        </w:r>
        <w:r>
          <w:t xml:space="preserve"> Report</w:t>
        </w:r>
        <w:r w:rsidR="00240F61" w:rsidRPr="003F61F7">
          <w:t xml:space="preserve"> – </w:t>
        </w:r>
        <w:r>
          <w:t xml:space="preserve">Due </w:t>
        </w:r>
        <w:r w:rsidR="00322A0D">
          <w:t>January</w:t>
        </w:r>
        <w:r>
          <w:t xml:space="preserve"> 31, 202</w:t>
        </w:r>
        <w:r w:rsidR="00322A0D">
          <w:t>6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3A76" w14:textId="77777777" w:rsidR="001A17AB" w:rsidRDefault="001A17AB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EAB1A43" w14:textId="77777777" w:rsidR="001A17AB" w:rsidRDefault="001A17AB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221F92E8" w14:textId="77777777" w:rsidR="001A17AB" w:rsidRDefault="001A17A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92CC1A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6118A8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2B6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D85"/>
    <w:multiLevelType w:val="hybridMultilevel"/>
    <w:tmpl w:val="95BA9BE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8057E2B"/>
    <w:multiLevelType w:val="hybridMultilevel"/>
    <w:tmpl w:val="29AC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03CE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42514"/>
    <w:multiLevelType w:val="hybridMultilevel"/>
    <w:tmpl w:val="94424506"/>
    <w:lvl w:ilvl="0" w:tplc="45B4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C5A2A"/>
    <w:multiLevelType w:val="hybridMultilevel"/>
    <w:tmpl w:val="8BF4811A"/>
    <w:lvl w:ilvl="0" w:tplc="550C1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F7B0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FD1142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53BAA"/>
    <w:multiLevelType w:val="hybridMultilevel"/>
    <w:tmpl w:val="537C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C543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275F1D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5"/>
  </w:num>
  <w:num w:numId="8" w16cid:durableId="1515455133">
    <w:abstractNumId w:val="20"/>
  </w:num>
  <w:num w:numId="9" w16cid:durableId="499809990">
    <w:abstractNumId w:val="15"/>
  </w:num>
  <w:num w:numId="10" w16cid:durableId="1128818273">
    <w:abstractNumId w:val="12"/>
  </w:num>
  <w:num w:numId="11" w16cid:durableId="1408457815">
    <w:abstractNumId w:val="17"/>
  </w:num>
  <w:num w:numId="12" w16cid:durableId="1533494201">
    <w:abstractNumId w:val="1"/>
  </w:num>
  <w:num w:numId="13" w16cid:durableId="265891810">
    <w:abstractNumId w:val="4"/>
  </w:num>
  <w:num w:numId="14" w16cid:durableId="712461963">
    <w:abstractNumId w:val="1"/>
  </w:num>
  <w:num w:numId="15" w16cid:durableId="496922652">
    <w:abstractNumId w:val="10"/>
  </w:num>
  <w:num w:numId="16" w16cid:durableId="512770084">
    <w:abstractNumId w:val="2"/>
  </w:num>
  <w:num w:numId="17" w16cid:durableId="1660618959">
    <w:abstractNumId w:val="9"/>
  </w:num>
  <w:num w:numId="18" w16cid:durableId="1310282342">
    <w:abstractNumId w:val="13"/>
  </w:num>
  <w:num w:numId="19" w16cid:durableId="1456097951">
    <w:abstractNumId w:val="14"/>
  </w:num>
  <w:num w:numId="20" w16cid:durableId="1432504334">
    <w:abstractNumId w:val="18"/>
  </w:num>
  <w:num w:numId="21" w16cid:durableId="770586126">
    <w:abstractNumId w:val="3"/>
  </w:num>
  <w:num w:numId="22" w16cid:durableId="585530807">
    <w:abstractNumId w:val="19"/>
  </w:num>
  <w:num w:numId="23" w16cid:durableId="677200516">
    <w:abstractNumId w:val="8"/>
  </w:num>
  <w:num w:numId="24" w16cid:durableId="1058669481">
    <w:abstractNumId w:val="7"/>
  </w:num>
  <w:num w:numId="25" w16cid:durableId="680477500">
    <w:abstractNumId w:val="1"/>
  </w:num>
  <w:num w:numId="26" w16cid:durableId="119153974">
    <w:abstractNumId w:val="1"/>
  </w:num>
  <w:num w:numId="27" w16cid:durableId="1148672597">
    <w:abstractNumId w:val="11"/>
  </w:num>
  <w:num w:numId="28" w16cid:durableId="659890220">
    <w:abstractNumId w:val="16"/>
  </w:num>
  <w:num w:numId="29" w16cid:durableId="1282301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26A4"/>
    <w:rsid w:val="0000301B"/>
    <w:rsid w:val="0000449F"/>
    <w:rsid w:val="00005B75"/>
    <w:rsid w:val="00005E26"/>
    <w:rsid w:val="0000608E"/>
    <w:rsid w:val="00011595"/>
    <w:rsid w:val="00012D2E"/>
    <w:rsid w:val="00013846"/>
    <w:rsid w:val="00023E3F"/>
    <w:rsid w:val="0003354F"/>
    <w:rsid w:val="0003458A"/>
    <w:rsid w:val="000408FE"/>
    <w:rsid w:val="000409A4"/>
    <w:rsid w:val="0004104B"/>
    <w:rsid w:val="00041679"/>
    <w:rsid w:val="0004303D"/>
    <w:rsid w:val="00044CF2"/>
    <w:rsid w:val="00046EC2"/>
    <w:rsid w:val="0005626E"/>
    <w:rsid w:val="000648A8"/>
    <w:rsid w:val="000734E4"/>
    <w:rsid w:val="00074384"/>
    <w:rsid w:val="00077A0B"/>
    <w:rsid w:val="000809B4"/>
    <w:rsid w:val="00082B0C"/>
    <w:rsid w:val="00090C9A"/>
    <w:rsid w:val="000941E8"/>
    <w:rsid w:val="000A421D"/>
    <w:rsid w:val="000B1475"/>
    <w:rsid w:val="000B2F96"/>
    <w:rsid w:val="000B60EF"/>
    <w:rsid w:val="000C224B"/>
    <w:rsid w:val="000C4A30"/>
    <w:rsid w:val="000C6A20"/>
    <w:rsid w:val="000D0BC6"/>
    <w:rsid w:val="000D1834"/>
    <w:rsid w:val="000E2EA9"/>
    <w:rsid w:val="000F2B6A"/>
    <w:rsid w:val="000F3D6C"/>
    <w:rsid w:val="000F3F75"/>
    <w:rsid w:val="000F451E"/>
    <w:rsid w:val="00111EF2"/>
    <w:rsid w:val="00132EE9"/>
    <w:rsid w:val="00133048"/>
    <w:rsid w:val="0014054C"/>
    <w:rsid w:val="00141D9E"/>
    <w:rsid w:val="0015014F"/>
    <w:rsid w:val="00151B86"/>
    <w:rsid w:val="00164ED5"/>
    <w:rsid w:val="001654FD"/>
    <w:rsid w:val="0017028E"/>
    <w:rsid w:val="00172C46"/>
    <w:rsid w:val="00174975"/>
    <w:rsid w:val="001879B3"/>
    <w:rsid w:val="00187AC5"/>
    <w:rsid w:val="00191FCD"/>
    <w:rsid w:val="00192ED8"/>
    <w:rsid w:val="001A17AB"/>
    <w:rsid w:val="001A2FCD"/>
    <w:rsid w:val="001B4969"/>
    <w:rsid w:val="001B7467"/>
    <w:rsid w:val="001C1EDC"/>
    <w:rsid w:val="001C2C6A"/>
    <w:rsid w:val="001C7863"/>
    <w:rsid w:val="001D0EDB"/>
    <w:rsid w:val="001D4379"/>
    <w:rsid w:val="001D5403"/>
    <w:rsid w:val="001E2439"/>
    <w:rsid w:val="001F2587"/>
    <w:rsid w:val="001F2DCC"/>
    <w:rsid w:val="001F7654"/>
    <w:rsid w:val="00200EBB"/>
    <w:rsid w:val="0020461F"/>
    <w:rsid w:val="00207E99"/>
    <w:rsid w:val="002210CB"/>
    <w:rsid w:val="002238A4"/>
    <w:rsid w:val="00230490"/>
    <w:rsid w:val="00234457"/>
    <w:rsid w:val="002354FC"/>
    <w:rsid w:val="00240F61"/>
    <w:rsid w:val="00245BE9"/>
    <w:rsid w:val="002520BF"/>
    <w:rsid w:val="00255FF0"/>
    <w:rsid w:val="002628FA"/>
    <w:rsid w:val="00265648"/>
    <w:rsid w:val="002673E3"/>
    <w:rsid w:val="00275248"/>
    <w:rsid w:val="002852D2"/>
    <w:rsid w:val="002859AB"/>
    <w:rsid w:val="00285F43"/>
    <w:rsid w:val="002919BE"/>
    <w:rsid w:val="002922C6"/>
    <w:rsid w:val="00296C6C"/>
    <w:rsid w:val="002A6C3B"/>
    <w:rsid w:val="002B26E8"/>
    <w:rsid w:val="002C560E"/>
    <w:rsid w:val="002D5E0B"/>
    <w:rsid w:val="002E4278"/>
    <w:rsid w:val="002F3029"/>
    <w:rsid w:val="002F3DFB"/>
    <w:rsid w:val="003011EC"/>
    <w:rsid w:val="003012C9"/>
    <w:rsid w:val="00302123"/>
    <w:rsid w:val="00302911"/>
    <w:rsid w:val="003053F8"/>
    <w:rsid w:val="0031136F"/>
    <w:rsid w:val="00315C9A"/>
    <w:rsid w:val="003167AA"/>
    <w:rsid w:val="00322A0D"/>
    <w:rsid w:val="0032469E"/>
    <w:rsid w:val="003362C6"/>
    <w:rsid w:val="00336B15"/>
    <w:rsid w:val="00337791"/>
    <w:rsid w:val="0034318B"/>
    <w:rsid w:val="00353655"/>
    <w:rsid w:val="00356223"/>
    <w:rsid w:val="0036122F"/>
    <w:rsid w:val="00367FD9"/>
    <w:rsid w:val="00374B3F"/>
    <w:rsid w:val="0038051D"/>
    <w:rsid w:val="003823AE"/>
    <w:rsid w:val="00384112"/>
    <w:rsid w:val="003841C6"/>
    <w:rsid w:val="00387382"/>
    <w:rsid w:val="00391EE0"/>
    <w:rsid w:val="0039409B"/>
    <w:rsid w:val="003A604A"/>
    <w:rsid w:val="003B26D2"/>
    <w:rsid w:val="003B5051"/>
    <w:rsid w:val="003C5285"/>
    <w:rsid w:val="003E2151"/>
    <w:rsid w:val="003E63E0"/>
    <w:rsid w:val="003F2AEF"/>
    <w:rsid w:val="003F314C"/>
    <w:rsid w:val="0040477D"/>
    <w:rsid w:val="004136B1"/>
    <w:rsid w:val="0041489D"/>
    <w:rsid w:val="00423E9D"/>
    <w:rsid w:val="0043283E"/>
    <w:rsid w:val="00437D74"/>
    <w:rsid w:val="0044107B"/>
    <w:rsid w:val="00453765"/>
    <w:rsid w:val="00463674"/>
    <w:rsid w:val="00463CD8"/>
    <w:rsid w:val="00464D43"/>
    <w:rsid w:val="00467C26"/>
    <w:rsid w:val="00472E33"/>
    <w:rsid w:val="00472ED6"/>
    <w:rsid w:val="00475561"/>
    <w:rsid w:val="00481996"/>
    <w:rsid w:val="004825B3"/>
    <w:rsid w:val="0049411F"/>
    <w:rsid w:val="004B103D"/>
    <w:rsid w:val="004B16DD"/>
    <w:rsid w:val="004B706B"/>
    <w:rsid w:val="004C5AFA"/>
    <w:rsid w:val="004D54C4"/>
    <w:rsid w:val="004F0CEC"/>
    <w:rsid w:val="004F3A09"/>
    <w:rsid w:val="00527915"/>
    <w:rsid w:val="00527A16"/>
    <w:rsid w:val="00530002"/>
    <w:rsid w:val="00534366"/>
    <w:rsid w:val="00535CB3"/>
    <w:rsid w:val="00543DB6"/>
    <w:rsid w:val="00546BD2"/>
    <w:rsid w:val="00550088"/>
    <w:rsid w:val="0055010F"/>
    <w:rsid w:val="0055383C"/>
    <w:rsid w:val="00555C77"/>
    <w:rsid w:val="00562B0F"/>
    <w:rsid w:val="0057254F"/>
    <w:rsid w:val="0057472F"/>
    <w:rsid w:val="005908E6"/>
    <w:rsid w:val="005921C5"/>
    <w:rsid w:val="00593126"/>
    <w:rsid w:val="00593147"/>
    <w:rsid w:val="005A6F76"/>
    <w:rsid w:val="005A7B2C"/>
    <w:rsid w:val="005B3C3A"/>
    <w:rsid w:val="005B5457"/>
    <w:rsid w:val="005B5FD8"/>
    <w:rsid w:val="005C60C6"/>
    <w:rsid w:val="005E6BDE"/>
    <w:rsid w:val="005E70DD"/>
    <w:rsid w:val="00610476"/>
    <w:rsid w:val="00610905"/>
    <w:rsid w:val="00611E97"/>
    <w:rsid w:val="0061435F"/>
    <w:rsid w:val="00623033"/>
    <w:rsid w:val="00632FF7"/>
    <w:rsid w:val="0065620B"/>
    <w:rsid w:val="006652EF"/>
    <w:rsid w:val="00667DC0"/>
    <w:rsid w:val="0067154E"/>
    <w:rsid w:val="0067303B"/>
    <w:rsid w:val="006738C7"/>
    <w:rsid w:val="00676574"/>
    <w:rsid w:val="006869B1"/>
    <w:rsid w:val="006925EC"/>
    <w:rsid w:val="006A6A5A"/>
    <w:rsid w:val="006C0185"/>
    <w:rsid w:val="006C09BD"/>
    <w:rsid w:val="006C43F7"/>
    <w:rsid w:val="006C7185"/>
    <w:rsid w:val="006D0E3B"/>
    <w:rsid w:val="006D3CD1"/>
    <w:rsid w:val="006D5C8E"/>
    <w:rsid w:val="006E1992"/>
    <w:rsid w:val="006E47BD"/>
    <w:rsid w:val="006F4333"/>
    <w:rsid w:val="006F4801"/>
    <w:rsid w:val="00700932"/>
    <w:rsid w:val="0070302D"/>
    <w:rsid w:val="007030B3"/>
    <w:rsid w:val="007073E3"/>
    <w:rsid w:val="00707BD0"/>
    <w:rsid w:val="00712B91"/>
    <w:rsid w:val="00716F99"/>
    <w:rsid w:val="0072131A"/>
    <w:rsid w:val="00726183"/>
    <w:rsid w:val="00734F47"/>
    <w:rsid w:val="00743A69"/>
    <w:rsid w:val="00746BCD"/>
    <w:rsid w:val="00755B62"/>
    <w:rsid w:val="00761328"/>
    <w:rsid w:val="00762856"/>
    <w:rsid w:val="007A1754"/>
    <w:rsid w:val="007A56CA"/>
    <w:rsid w:val="007A6DAF"/>
    <w:rsid w:val="007B165C"/>
    <w:rsid w:val="007B1F86"/>
    <w:rsid w:val="007B3531"/>
    <w:rsid w:val="007B3EAE"/>
    <w:rsid w:val="007B4C32"/>
    <w:rsid w:val="007C0ABB"/>
    <w:rsid w:val="007D635D"/>
    <w:rsid w:val="007D6522"/>
    <w:rsid w:val="007D7093"/>
    <w:rsid w:val="007E06B3"/>
    <w:rsid w:val="007E721B"/>
    <w:rsid w:val="007F2B30"/>
    <w:rsid w:val="007F5DCA"/>
    <w:rsid w:val="008049CA"/>
    <w:rsid w:val="00811E5F"/>
    <w:rsid w:val="00813617"/>
    <w:rsid w:val="00814D63"/>
    <w:rsid w:val="00817097"/>
    <w:rsid w:val="0082269B"/>
    <w:rsid w:val="008271C4"/>
    <w:rsid w:val="00834EB7"/>
    <w:rsid w:val="00835064"/>
    <w:rsid w:val="00836C7F"/>
    <w:rsid w:val="00837A50"/>
    <w:rsid w:val="00837D8E"/>
    <w:rsid w:val="008557AA"/>
    <w:rsid w:val="00860945"/>
    <w:rsid w:val="00864964"/>
    <w:rsid w:val="00881308"/>
    <w:rsid w:val="00893C35"/>
    <w:rsid w:val="00895A25"/>
    <w:rsid w:val="00895C2D"/>
    <w:rsid w:val="00896F3C"/>
    <w:rsid w:val="008A3304"/>
    <w:rsid w:val="008A6341"/>
    <w:rsid w:val="008B10C4"/>
    <w:rsid w:val="008B1939"/>
    <w:rsid w:val="008B7CEF"/>
    <w:rsid w:val="008C334C"/>
    <w:rsid w:val="008C7869"/>
    <w:rsid w:val="008D5267"/>
    <w:rsid w:val="008E43C3"/>
    <w:rsid w:val="008F1262"/>
    <w:rsid w:val="008F21E8"/>
    <w:rsid w:val="008F22C0"/>
    <w:rsid w:val="008F5EE6"/>
    <w:rsid w:val="009006C2"/>
    <w:rsid w:val="00904920"/>
    <w:rsid w:val="00905EC5"/>
    <w:rsid w:val="009075DF"/>
    <w:rsid w:val="00907B9C"/>
    <w:rsid w:val="009139A2"/>
    <w:rsid w:val="00916DE4"/>
    <w:rsid w:val="00925DF8"/>
    <w:rsid w:val="00926131"/>
    <w:rsid w:val="00934215"/>
    <w:rsid w:val="009354E3"/>
    <w:rsid w:val="0094162B"/>
    <w:rsid w:val="00946229"/>
    <w:rsid w:val="00947A3A"/>
    <w:rsid w:val="00950FAC"/>
    <w:rsid w:val="009531BE"/>
    <w:rsid w:val="00963979"/>
    <w:rsid w:val="00972FF0"/>
    <w:rsid w:val="00980067"/>
    <w:rsid w:val="00986074"/>
    <w:rsid w:val="009863FB"/>
    <w:rsid w:val="009936E7"/>
    <w:rsid w:val="00995D9F"/>
    <w:rsid w:val="00995F42"/>
    <w:rsid w:val="009A1A91"/>
    <w:rsid w:val="009A246F"/>
    <w:rsid w:val="009B04CB"/>
    <w:rsid w:val="009B2029"/>
    <w:rsid w:val="009B2CC0"/>
    <w:rsid w:val="009B4F17"/>
    <w:rsid w:val="009B7500"/>
    <w:rsid w:val="009B7BF7"/>
    <w:rsid w:val="009C2173"/>
    <w:rsid w:val="009C43F8"/>
    <w:rsid w:val="009C5CFF"/>
    <w:rsid w:val="009C7579"/>
    <w:rsid w:val="009D3A5F"/>
    <w:rsid w:val="009E0327"/>
    <w:rsid w:val="009E0D11"/>
    <w:rsid w:val="009E3E82"/>
    <w:rsid w:val="009F468A"/>
    <w:rsid w:val="009F54CC"/>
    <w:rsid w:val="009F7D4D"/>
    <w:rsid w:val="00A00E6A"/>
    <w:rsid w:val="00A02C79"/>
    <w:rsid w:val="00A06AAD"/>
    <w:rsid w:val="00A10FDA"/>
    <w:rsid w:val="00A13608"/>
    <w:rsid w:val="00A1583E"/>
    <w:rsid w:val="00A2635C"/>
    <w:rsid w:val="00A26CE6"/>
    <w:rsid w:val="00A33E01"/>
    <w:rsid w:val="00A36AF9"/>
    <w:rsid w:val="00A42582"/>
    <w:rsid w:val="00A50A04"/>
    <w:rsid w:val="00A70975"/>
    <w:rsid w:val="00A70D46"/>
    <w:rsid w:val="00A7555B"/>
    <w:rsid w:val="00A838AE"/>
    <w:rsid w:val="00A96244"/>
    <w:rsid w:val="00AA150C"/>
    <w:rsid w:val="00AA1C6C"/>
    <w:rsid w:val="00AA2EAD"/>
    <w:rsid w:val="00AA71A5"/>
    <w:rsid w:val="00AB0E81"/>
    <w:rsid w:val="00AB5B75"/>
    <w:rsid w:val="00AB73BE"/>
    <w:rsid w:val="00AC4D51"/>
    <w:rsid w:val="00AC5385"/>
    <w:rsid w:val="00AD23B0"/>
    <w:rsid w:val="00AD5220"/>
    <w:rsid w:val="00AD64E2"/>
    <w:rsid w:val="00AD697E"/>
    <w:rsid w:val="00AD6A24"/>
    <w:rsid w:val="00AE5A23"/>
    <w:rsid w:val="00AF07EF"/>
    <w:rsid w:val="00AF21DD"/>
    <w:rsid w:val="00AF2F7D"/>
    <w:rsid w:val="00AF3437"/>
    <w:rsid w:val="00AF62BA"/>
    <w:rsid w:val="00AF76A3"/>
    <w:rsid w:val="00B02A6D"/>
    <w:rsid w:val="00B03319"/>
    <w:rsid w:val="00B04D55"/>
    <w:rsid w:val="00B110E7"/>
    <w:rsid w:val="00B15B0F"/>
    <w:rsid w:val="00B24B63"/>
    <w:rsid w:val="00B305DC"/>
    <w:rsid w:val="00B31A7F"/>
    <w:rsid w:val="00B33230"/>
    <w:rsid w:val="00B34D2E"/>
    <w:rsid w:val="00B35AD8"/>
    <w:rsid w:val="00B35AFC"/>
    <w:rsid w:val="00B37427"/>
    <w:rsid w:val="00B42812"/>
    <w:rsid w:val="00B44386"/>
    <w:rsid w:val="00B520B3"/>
    <w:rsid w:val="00B554E5"/>
    <w:rsid w:val="00B565FC"/>
    <w:rsid w:val="00B62C67"/>
    <w:rsid w:val="00B6570C"/>
    <w:rsid w:val="00B67D57"/>
    <w:rsid w:val="00B704D6"/>
    <w:rsid w:val="00B74301"/>
    <w:rsid w:val="00B8000D"/>
    <w:rsid w:val="00B8259C"/>
    <w:rsid w:val="00B93229"/>
    <w:rsid w:val="00B93AD2"/>
    <w:rsid w:val="00B967FE"/>
    <w:rsid w:val="00BA45A3"/>
    <w:rsid w:val="00BA5EAB"/>
    <w:rsid w:val="00BB1CFD"/>
    <w:rsid w:val="00BB38B0"/>
    <w:rsid w:val="00BC2A9F"/>
    <w:rsid w:val="00BC2B6A"/>
    <w:rsid w:val="00BC2C49"/>
    <w:rsid w:val="00BC3C72"/>
    <w:rsid w:val="00BC5B71"/>
    <w:rsid w:val="00BC6FD3"/>
    <w:rsid w:val="00BD0BAB"/>
    <w:rsid w:val="00BD10B9"/>
    <w:rsid w:val="00BD7B85"/>
    <w:rsid w:val="00BF13B1"/>
    <w:rsid w:val="00BF3247"/>
    <w:rsid w:val="00C14448"/>
    <w:rsid w:val="00C20585"/>
    <w:rsid w:val="00C2177F"/>
    <w:rsid w:val="00C223B7"/>
    <w:rsid w:val="00C36989"/>
    <w:rsid w:val="00C377C7"/>
    <w:rsid w:val="00C41257"/>
    <w:rsid w:val="00C42D94"/>
    <w:rsid w:val="00C510D3"/>
    <w:rsid w:val="00C63599"/>
    <w:rsid w:val="00C64FA5"/>
    <w:rsid w:val="00C75704"/>
    <w:rsid w:val="00C806A3"/>
    <w:rsid w:val="00C87E4E"/>
    <w:rsid w:val="00C87E68"/>
    <w:rsid w:val="00C949D2"/>
    <w:rsid w:val="00C9641A"/>
    <w:rsid w:val="00C96E1F"/>
    <w:rsid w:val="00CB0B52"/>
    <w:rsid w:val="00CB643F"/>
    <w:rsid w:val="00CB7127"/>
    <w:rsid w:val="00CD1707"/>
    <w:rsid w:val="00CD1A4E"/>
    <w:rsid w:val="00CD5C1E"/>
    <w:rsid w:val="00CF381A"/>
    <w:rsid w:val="00CF58A7"/>
    <w:rsid w:val="00D049FF"/>
    <w:rsid w:val="00D11ED4"/>
    <w:rsid w:val="00D14CB9"/>
    <w:rsid w:val="00D1542A"/>
    <w:rsid w:val="00D20E4E"/>
    <w:rsid w:val="00D215CC"/>
    <w:rsid w:val="00D2757E"/>
    <w:rsid w:val="00D27598"/>
    <w:rsid w:val="00D4552A"/>
    <w:rsid w:val="00D678C8"/>
    <w:rsid w:val="00D7016E"/>
    <w:rsid w:val="00D7719F"/>
    <w:rsid w:val="00D7781A"/>
    <w:rsid w:val="00D77F77"/>
    <w:rsid w:val="00D9409B"/>
    <w:rsid w:val="00DA1C0B"/>
    <w:rsid w:val="00DA31F9"/>
    <w:rsid w:val="00DB15B9"/>
    <w:rsid w:val="00DB1E65"/>
    <w:rsid w:val="00DC1921"/>
    <w:rsid w:val="00DC1CE9"/>
    <w:rsid w:val="00DC2F3E"/>
    <w:rsid w:val="00DD0E07"/>
    <w:rsid w:val="00DF1335"/>
    <w:rsid w:val="00DF43E0"/>
    <w:rsid w:val="00E007D5"/>
    <w:rsid w:val="00E04C25"/>
    <w:rsid w:val="00E14552"/>
    <w:rsid w:val="00E23EDB"/>
    <w:rsid w:val="00E24AD1"/>
    <w:rsid w:val="00E273D3"/>
    <w:rsid w:val="00E27C86"/>
    <w:rsid w:val="00E31EEF"/>
    <w:rsid w:val="00E33238"/>
    <w:rsid w:val="00E334C3"/>
    <w:rsid w:val="00E40D60"/>
    <w:rsid w:val="00E44379"/>
    <w:rsid w:val="00E461A7"/>
    <w:rsid w:val="00E4716E"/>
    <w:rsid w:val="00E47A73"/>
    <w:rsid w:val="00E51431"/>
    <w:rsid w:val="00E53D73"/>
    <w:rsid w:val="00E61B3F"/>
    <w:rsid w:val="00E6382E"/>
    <w:rsid w:val="00E805BE"/>
    <w:rsid w:val="00E818C5"/>
    <w:rsid w:val="00E903A3"/>
    <w:rsid w:val="00E935AB"/>
    <w:rsid w:val="00E93DF7"/>
    <w:rsid w:val="00E95882"/>
    <w:rsid w:val="00EA0BEE"/>
    <w:rsid w:val="00EA14F2"/>
    <w:rsid w:val="00EA45D7"/>
    <w:rsid w:val="00EB09E5"/>
    <w:rsid w:val="00EB2EB3"/>
    <w:rsid w:val="00EB5830"/>
    <w:rsid w:val="00EB754B"/>
    <w:rsid w:val="00EB7993"/>
    <w:rsid w:val="00EC46AA"/>
    <w:rsid w:val="00EC77FE"/>
    <w:rsid w:val="00ED2DEE"/>
    <w:rsid w:val="00EE2DC7"/>
    <w:rsid w:val="00EE6F05"/>
    <w:rsid w:val="00EF1B4D"/>
    <w:rsid w:val="00EF7D83"/>
    <w:rsid w:val="00F00742"/>
    <w:rsid w:val="00F0419E"/>
    <w:rsid w:val="00F11A87"/>
    <w:rsid w:val="00F159AA"/>
    <w:rsid w:val="00F337B3"/>
    <w:rsid w:val="00F368EB"/>
    <w:rsid w:val="00F3720E"/>
    <w:rsid w:val="00F4083A"/>
    <w:rsid w:val="00F46C41"/>
    <w:rsid w:val="00F47B0E"/>
    <w:rsid w:val="00F47FA3"/>
    <w:rsid w:val="00F537F0"/>
    <w:rsid w:val="00F54AA4"/>
    <w:rsid w:val="00F57DA2"/>
    <w:rsid w:val="00F667AC"/>
    <w:rsid w:val="00F74080"/>
    <w:rsid w:val="00F7651E"/>
    <w:rsid w:val="00F76E81"/>
    <w:rsid w:val="00F77E3E"/>
    <w:rsid w:val="00F80DFC"/>
    <w:rsid w:val="00F903D1"/>
    <w:rsid w:val="00F956E1"/>
    <w:rsid w:val="00F97C11"/>
    <w:rsid w:val="00FA017A"/>
    <w:rsid w:val="00FA1068"/>
    <w:rsid w:val="00FA354F"/>
    <w:rsid w:val="00FA6C52"/>
    <w:rsid w:val="00FB2619"/>
    <w:rsid w:val="00FB380C"/>
    <w:rsid w:val="00FC0616"/>
    <w:rsid w:val="00FC1991"/>
    <w:rsid w:val="00FC1B0E"/>
    <w:rsid w:val="00FC3162"/>
    <w:rsid w:val="00FC5D8B"/>
    <w:rsid w:val="00FE00F1"/>
    <w:rsid w:val="00FE6896"/>
    <w:rsid w:val="00FF0967"/>
    <w:rsid w:val="00FF1C12"/>
    <w:rsid w:val="00FF3E9B"/>
    <w:rsid w:val="00FF70C6"/>
    <w:rsid w:val="06A132A2"/>
    <w:rsid w:val="07100713"/>
    <w:rsid w:val="077FBEAF"/>
    <w:rsid w:val="0B6C01A4"/>
    <w:rsid w:val="0FCD69A3"/>
    <w:rsid w:val="13DE4B63"/>
    <w:rsid w:val="1807C92A"/>
    <w:rsid w:val="1903EC19"/>
    <w:rsid w:val="22175F55"/>
    <w:rsid w:val="2D1152FA"/>
    <w:rsid w:val="2EAA3ED9"/>
    <w:rsid w:val="35A8D2FB"/>
    <w:rsid w:val="426C30B7"/>
    <w:rsid w:val="545A1792"/>
    <w:rsid w:val="5DD9FABF"/>
    <w:rsid w:val="6249EDD1"/>
    <w:rsid w:val="65B9DB0F"/>
    <w:rsid w:val="6821F645"/>
    <w:rsid w:val="75C5DCFD"/>
    <w:rsid w:val="75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861066C2-610F-40AD-A21B-652FBB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E06B3"/>
    <w:pPr>
      <w:ind w:left="720"/>
      <w:contextualSpacing/>
    </w:pPr>
  </w:style>
  <w:style w:type="paragraph" w:customStyle="1" w:styleId="Body">
    <w:name w:val="Body"/>
    <w:basedOn w:val="Normal"/>
    <w:link w:val="BodyChar1"/>
    <w:qFormat/>
    <w:rsid w:val="008B7CEF"/>
    <w:pPr>
      <w:spacing w:before="180" w:after="0" w:line="259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Char1">
    <w:name w:val="Body Char1"/>
    <w:basedOn w:val="DefaultParagraphFont"/>
    <w:link w:val="Body"/>
    <w:rsid w:val="008B7CEF"/>
    <w:rPr>
      <w:rFonts w:ascii="Arial" w:eastAsia="Times New Roman" w:hAnsi="Arial" w:cs="Times New Roman"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F07EF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0DD"/>
    <w:rPr>
      <w:rFonts w:eastAsia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F95EAC-160A-453E-92B4-31ED475A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0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38</cp:revision>
  <dcterms:created xsi:type="dcterms:W3CDTF">2025-06-16T17:38:00Z</dcterms:created>
  <dcterms:modified xsi:type="dcterms:W3CDTF">2025-12-17T15:37:00Z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