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2A" w:rsidRPr="004F462A" w:rsidRDefault="004F462A" w:rsidP="004F462A">
      <w:pPr>
        <w:jc w:val="center"/>
        <w:rPr>
          <w:rFonts w:ascii="Verdana" w:eastAsia="Times New Roman" w:hAnsi="Verdana"/>
          <w:b/>
          <w:sz w:val="28"/>
          <w:szCs w:val="28"/>
        </w:rPr>
      </w:pPr>
      <w:bookmarkStart w:id="0" w:name="_GoBack"/>
      <w:r>
        <w:rPr>
          <w:rFonts w:eastAsia="Times New Roman"/>
          <w:noProof/>
          <w:sz w:val="24"/>
          <w:szCs w:val="24"/>
        </w:rPr>
        <w:drawing>
          <wp:inline distT="0" distB="0" distL="0" distR="0" wp14:anchorId="44676639" wp14:editId="4DC967FC">
            <wp:extent cx="2667000" cy="914400"/>
            <wp:effectExtent l="0" t="0" r="0" b="0"/>
            <wp:docPr id="1" name="Picture 1" descr="2011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1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62A" w:rsidRPr="004F462A" w:rsidRDefault="004F462A" w:rsidP="004F462A">
      <w:pPr>
        <w:rPr>
          <w:rFonts w:ascii="Calibri" w:eastAsia="Times New Roman" w:hAnsi="Calibri"/>
          <w:b/>
          <w:color w:val="000080"/>
          <w:sz w:val="24"/>
          <w:szCs w:val="24"/>
        </w:rPr>
      </w:pPr>
    </w:p>
    <w:p w:rsidR="004F462A" w:rsidRPr="004F462A" w:rsidRDefault="004F462A" w:rsidP="004F462A">
      <w:pPr>
        <w:jc w:val="center"/>
        <w:rPr>
          <w:rFonts w:ascii="Calibri" w:eastAsia="Times New Roman" w:hAnsi="Calibri"/>
          <w:b/>
          <w:color w:val="C00000"/>
          <w:sz w:val="56"/>
          <w:szCs w:val="56"/>
        </w:rPr>
      </w:pPr>
      <w:r w:rsidRPr="004F462A">
        <w:rPr>
          <w:rFonts w:ascii="Calibri" w:eastAsia="Times New Roman" w:hAnsi="Calibri"/>
          <w:b/>
          <w:color w:val="C00000"/>
          <w:sz w:val="56"/>
          <w:szCs w:val="56"/>
        </w:rPr>
        <w:t>Legal Update</w:t>
      </w:r>
    </w:p>
    <w:p w:rsidR="004F462A" w:rsidRPr="004F462A" w:rsidRDefault="00AC40CF" w:rsidP="004F462A">
      <w:pPr>
        <w:jc w:val="center"/>
        <w:rPr>
          <w:rFonts w:ascii="Calibri" w:eastAsia="Times New Roman" w:hAnsi="Calibri"/>
          <w:b/>
          <w:color w:val="000080"/>
          <w:sz w:val="24"/>
          <w:szCs w:val="24"/>
        </w:rPr>
      </w:pPr>
      <w:r>
        <w:rPr>
          <w:rFonts w:ascii="Calibri" w:eastAsia="Times New Roman" w:hAnsi="Calibri"/>
          <w:b/>
          <w:color w:val="000080"/>
          <w:sz w:val="24"/>
          <w:szCs w:val="24"/>
        </w:rPr>
        <w:t>August 17, 2018</w:t>
      </w:r>
    </w:p>
    <w:p w:rsidR="004F462A" w:rsidRPr="004F462A" w:rsidRDefault="004F462A" w:rsidP="004F462A">
      <w:pPr>
        <w:jc w:val="center"/>
        <w:rPr>
          <w:rFonts w:ascii="Calibri" w:eastAsia="Times New Roman" w:hAnsi="Calibri"/>
          <w:b/>
          <w:color w:val="000080"/>
          <w:sz w:val="24"/>
          <w:szCs w:val="24"/>
        </w:rPr>
      </w:pPr>
    </w:p>
    <w:p w:rsidR="00D12605" w:rsidRPr="00D12605" w:rsidRDefault="00897A4F" w:rsidP="00D12605">
      <w:pPr>
        <w:jc w:val="center"/>
        <w:rPr>
          <w:rFonts w:ascii="Calibri" w:eastAsia="Times New Roman" w:hAnsi="Calibri"/>
          <w:b/>
          <w:color w:val="000080"/>
          <w:sz w:val="28"/>
          <w:szCs w:val="28"/>
          <w:u w:val="single"/>
        </w:rPr>
      </w:pPr>
      <w:r>
        <w:rPr>
          <w:rFonts w:ascii="Calibri" w:eastAsia="Times New Roman" w:hAnsi="Calibri"/>
          <w:b/>
          <w:color w:val="000080"/>
          <w:sz w:val="28"/>
          <w:szCs w:val="28"/>
          <w:u w:val="single"/>
          <w:lang w:val="en"/>
        </w:rPr>
        <w:t>Extreme Risk Protection Orders</w:t>
      </w:r>
      <w:r w:rsidR="004E4815">
        <w:rPr>
          <w:rFonts w:ascii="Calibri" w:eastAsia="Times New Roman" w:hAnsi="Calibri"/>
          <w:b/>
          <w:color w:val="000080"/>
          <w:sz w:val="28"/>
          <w:szCs w:val="28"/>
          <w:u w:val="single"/>
          <w:lang w:val="en"/>
        </w:rPr>
        <w:t xml:space="preserve"> – “Red Flag Law”</w:t>
      </w:r>
    </w:p>
    <w:p w:rsidR="00E02AB3" w:rsidRPr="005A0279" w:rsidRDefault="00E02AB3" w:rsidP="00E02AB3">
      <w:pPr>
        <w:rPr>
          <w:rFonts w:asciiTheme="minorHAnsi" w:hAnsiTheme="minorHAnsi" w:cs="Arial"/>
          <w:sz w:val="48"/>
          <w:szCs w:val="48"/>
        </w:rPr>
      </w:pPr>
    </w:p>
    <w:p w:rsidR="00E02AB3" w:rsidRPr="00104C78" w:rsidRDefault="00E02AB3" w:rsidP="00E02AB3">
      <w:pPr>
        <w:rPr>
          <w:rFonts w:asciiTheme="minorHAnsi" w:hAnsiTheme="minorHAnsi" w:cs="Arial"/>
          <w:b/>
          <w:color w:val="000086"/>
          <w:sz w:val="28"/>
          <w:szCs w:val="28"/>
        </w:rPr>
      </w:pPr>
      <w:r w:rsidRPr="00D12605">
        <w:rPr>
          <w:rFonts w:asciiTheme="minorHAnsi" w:hAnsiTheme="minorHAnsi" w:cs="Arial"/>
          <w:b/>
          <w:color w:val="C00000"/>
          <w:sz w:val="36"/>
          <w:szCs w:val="36"/>
          <w:u w:val="single"/>
        </w:rPr>
        <w:t>Effective Date:</w:t>
      </w:r>
      <w:r w:rsidRPr="005A0279">
        <w:rPr>
          <w:rFonts w:asciiTheme="minorHAnsi" w:hAnsiTheme="minorHAnsi" w:cs="Arial"/>
          <w:color w:val="000086"/>
          <w:sz w:val="24"/>
          <w:szCs w:val="24"/>
        </w:rPr>
        <w:tab/>
      </w:r>
      <w:r w:rsidR="00E1473D">
        <w:rPr>
          <w:rFonts w:asciiTheme="minorHAnsi" w:hAnsiTheme="minorHAnsi" w:cs="Arial"/>
          <w:b/>
          <w:color w:val="000086"/>
          <w:sz w:val="28"/>
          <w:szCs w:val="28"/>
        </w:rPr>
        <w:t>Aug</w:t>
      </w:r>
      <w:r w:rsidR="00897A4F">
        <w:rPr>
          <w:rFonts w:asciiTheme="minorHAnsi" w:hAnsiTheme="minorHAnsi" w:cs="Arial"/>
          <w:b/>
          <w:color w:val="000086"/>
          <w:sz w:val="28"/>
          <w:szCs w:val="28"/>
        </w:rPr>
        <w:t>u</w:t>
      </w:r>
      <w:r w:rsidR="00E1473D">
        <w:rPr>
          <w:rFonts w:asciiTheme="minorHAnsi" w:hAnsiTheme="minorHAnsi" w:cs="Arial"/>
          <w:b/>
          <w:color w:val="000086"/>
          <w:sz w:val="28"/>
          <w:szCs w:val="28"/>
        </w:rPr>
        <w:t>st 17</w:t>
      </w:r>
      <w:r w:rsidR="00AC40CF">
        <w:rPr>
          <w:rFonts w:asciiTheme="minorHAnsi" w:hAnsiTheme="minorHAnsi" w:cs="Arial"/>
          <w:b/>
          <w:color w:val="000086"/>
          <w:sz w:val="28"/>
          <w:szCs w:val="28"/>
        </w:rPr>
        <w:t>, 2018</w:t>
      </w:r>
    </w:p>
    <w:p w:rsidR="004E4815" w:rsidRDefault="004E4815" w:rsidP="004E4815">
      <w:pPr>
        <w:rPr>
          <w:rFonts w:asciiTheme="minorHAnsi" w:hAnsiTheme="minorHAnsi" w:cs="Arial"/>
          <w:bCs/>
          <w:color w:val="000086"/>
          <w:sz w:val="24"/>
          <w:szCs w:val="24"/>
        </w:rPr>
      </w:pPr>
    </w:p>
    <w:p w:rsidR="004E4815" w:rsidRPr="003E77AB" w:rsidRDefault="004E4815" w:rsidP="00897A4F">
      <w:pPr>
        <w:rPr>
          <w:rFonts w:asciiTheme="minorHAnsi" w:hAnsiTheme="minorHAnsi" w:cs="Arial"/>
          <w:b/>
          <w:bCs/>
          <w:color w:val="000086"/>
          <w:sz w:val="24"/>
          <w:szCs w:val="24"/>
        </w:rPr>
      </w:pPr>
      <w:r>
        <w:rPr>
          <w:rFonts w:asciiTheme="minorHAnsi" w:hAnsiTheme="minorHAnsi" w:cs="Arial"/>
          <w:bCs/>
          <w:color w:val="000086"/>
          <w:sz w:val="24"/>
          <w:szCs w:val="24"/>
        </w:rPr>
        <w:t>On July 3, 2018, Governor Baker signed</w:t>
      </w:r>
      <w:r w:rsidR="003E77AB">
        <w:rPr>
          <w:rFonts w:asciiTheme="minorHAnsi" w:hAnsiTheme="minorHAnsi" w:cs="Arial"/>
          <w:bCs/>
          <w:color w:val="000086"/>
          <w:sz w:val="24"/>
          <w:szCs w:val="24"/>
        </w:rPr>
        <w:t xml:space="preserve"> the Red Flag Law </w:t>
      </w:r>
      <w:r>
        <w:rPr>
          <w:rFonts w:asciiTheme="minorHAnsi" w:hAnsiTheme="minorHAnsi" w:cs="Arial"/>
          <w:bCs/>
          <w:color w:val="000086"/>
          <w:sz w:val="24"/>
          <w:szCs w:val="24"/>
        </w:rPr>
        <w:t>which provides</w:t>
      </w:r>
      <w:r w:rsidRPr="004E4815">
        <w:rPr>
          <w:rFonts w:asciiTheme="minorHAnsi" w:hAnsiTheme="minorHAnsi" w:cs="Arial"/>
          <w:bCs/>
          <w:color w:val="000086"/>
          <w:sz w:val="24"/>
          <w:szCs w:val="24"/>
        </w:rPr>
        <w:t xml:space="preserve"> a process for</w:t>
      </w:r>
      <w:r>
        <w:rPr>
          <w:rFonts w:asciiTheme="minorHAnsi" w:hAnsiTheme="minorHAnsi" w:cs="Arial"/>
          <w:bCs/>
          <w:color w:val="000086"/>
          <w:sz w:val="24"/>
          <w:szCs w:val="24"/>
        </w:rPr>
        <w:t xml:space="preserve"> law enforcement or </w:t>
      </w:r>
      <w:r w:rsidRPr="004E4815">
        <w:rPr>
          <w:rFonts w:asciiTheme="minorHAnsi" w:hAnsiTheme="minorHAnsi" w:cs="Arial"/>
          <w:bCs/>
          <w:color w:val="000086"/>
          <w:sz w:val="24"/>
          <w:szCs w:val="24"/>
        </w:rPr>
        <w:t xml:space="preserve">family and household members to petition the court to temporarily take weapons from people who pose a risk to themselves or others. </w:t>
      </w:r>
      <w:r>
        <w:rPr>
          <w:rFonts w:asciiTheme="minorHAnsi" w:hAnsiTheme="minorHAnsi" w:cs="Arial"/>
          <w:bCs/>
          <w:color w:val="000086"/>
          <w:sz w:val="24"/>
          <w:szCs w:val="24"/>
        </w:rPr>
        <w:t>These orders are called Extreme Risk Protection Orders</w:t>
      </w:r>
      <w:r w:rsidR="003E77AB">
        <w:rPr>
          <w:rFonts w:asciiTheme="minorHAnsi" w:hAnsiTheme="minorHAnsi" w:cs="Arial"/>
          <w:bCs/>
          <w:color w:val="000086"/>
          <w:sz w:val="24"/>
          <w:szCs w:val="24"/>
        </w:rPr>
        <w:t xml:space="preserve"> and can be found in </w:t>
      </w:r>
      <w:r w:rsidR="003E77AB">
        <w:rPr>
          <w:rFonts w:asciiTheme="minorHAnsi" w:hAnsiTheme="minorHAnsi" w:cs="Arial"/>
          <w:bCs/>
          <w:color w:val="000086"/>
          <w:sz w:val="24"/>
          <w:szCs w:val="24"/>
        </w:rPr>
        <w:t xml:space="preserve">G.L. c. 140, </w:t>
      </w:r>
      <w:r w:rsidR="003E77AB">
        <w:rPr>
          <w:rFonts w:asciiTheme="minorHAnsi" w:hAnsiTheme="minorHAnsi" w:cstheme="minorHAnsi"/>
          <w:bCs/>
          <w:color w:val="000086"/>
          <w:sz w:val="24"/>
          <w:szCs w:val="24"/>
        </w:rPr>
        <w:t>§</w:t>
      </w:r>
      <w:r w:rsidR="003E77AB">
        <w:rPr>
          <w:rFonts w:asciiTheme="minorHAnsi" w:hAnsiTheme="minorHAnsi" w:cs="Arial"/>
          <w:bCs/>
          <w:color w:val="000086"/>
          <w:sz w:val="24"/>
          <w:szCs w:val="24"/>
        </w:rPr>
        <w:t xml:space="preserve"> 131R-131Z</w:t>
      </w:r>
      <w:r>
        <w:rPr>
          <w:rFonts w:asciiTheme="minorHAnsi" w:hAnsiTheme="minorHAnsi" w:cs="Arial"/>
          <w:bCs/>
          <w:color w:val="000086"/>
          <w:sz w:val="24"/>
          <w:szCs w:val="24"/>
        </w:rPr>
        <w:t xml:space="preserve">.  </w:t>
      </w:r>
      <w:r w:rsidRPr="003E77AB">
        <w:rPr>
          <w:rFonts w:asciiTheme="minorHAnsi" w:hAnsiTheme="minorHAnsi" w:cs="Arial"/>
          <w:b/>
          <w:bCs/>
          <w:color w:val="000086"/>
          <w:sz w:val="24"/>
          <w:szCs w:val="24"/>
        </w:rPr>
        <w:t>See attached.</w:t>
      </w:r>
    </w:p>
    <w:p w:rsidR="004E4815" w:rsidRDefault="004E4815" w:rsidP="00897A4F">
      <w:pPr>
        <w:rPr>
          <w:rFonts w:asciiTheme="minorHAnsi" w:hAnsiTheme="minorHAnsi" w:cs="Arial"/>
          <w:bCs/>
          <w:color w:val="000086"/>
          <w:sz w:val="24"/>
          <w:szCs w:val="24"/>
        </w:rPr>
      </w:pPr>
    </w:p>
    <w:p w:rsidR="00D9016A" w:rsidRPr="00D9016A" w:rsidRDefault="00D9016A" w:rsidP="00897A4F">
      <w:pPr>
        <w:rPr>
          <w:rFonts w:asciiTheme="minorHAnsi" w:hAnsiTheme="minorHAnsi" w:cs="Arial"/>
          <w:b/>
          <w:bCs/>
          <w:color w:val="000086"/>
          <w:sz w:val="28"/>
          <w:szCs w:val="28"/>
          <w:u w:val="single"/>
        </w:rPr>
      </w:pPr>
      <w:r w:rsidRPr="00D9016A">
        <w:rPr>
          <w:rFonts w:asciiTheme="minorHAnsi" w:hAnsiTheme="minorHAnsi" w:cs="Arial"/>
          <w:b/>
          <w:bCs/>
          <w:color w:val="000086"/>
          <w:sz w:val="28"/>
          <w:szCs w:val="28"/>
          <w:u w:val="single"/>
        </w:rPr>
        <w:t>New Crimes</w:t>
      </w:r>
      <w:r w:rsidR="004E4815">
        <w:rPr>
          <w:rFonts w:asciiTheme="minorHAnsi" w:hAnsiTheme="minorHAnsi" w:cs="Arial"/>
          <w:b/>
          <w:bCs/>
          <w:color w:val="000086"/>
          <w:sz w:val="28"/>
          <w:szCs w:val="28"/>
          <w:u w:val="single"/>
        </w:rPr>
        <w:t xml:space="preserve"> Established</w:t>
      </w:r>
      <w:r w:rsidRPr="00D9016A">
        <w:rPr>
          <w:rFonts w:asciiTheme="minorHAnsi" w:hAnsiTheme="minorHAnsi" w:cs="Arial"/>
          <w:b/>
          <w:bCs/>
          <w:color w:val="000086"/>
          <w:sz w:val="28"/>
          <w:szCs w:val="28"/>
          <w:u w:val="single"/>
        </w:rPr>
        <w:t>:</w:t>
      </w:r>
    </w:p>
    <w:p w:rsidR="00897A4F" w:rsidRPr="00897A4F" w:rsidRDefault="00897A4F" w:rsidP="00897A4F">
      <w:pPr>
        <w:rPr>
          <w:rFonts w:asciiTheme="minorHAnsi" w:hAnsiTheme="minorHAnsi" w:cs="Arial"/>
          <w:color w:val="000086"/>
          <w:sz w:val="24"/>
          <w:szCs w:val="24"/>
        </w:rPr>
      </w:pPr>
      <w:r w:rsidRPr="00897A4F">
        <w:rPr>
          <w:rFonts w:asciiTheme="minorHAnsi" w:hAnsiTheme="minorHAnsi" w:cs="Arial"/>
          <w:b/>
          <w:color w:val="000086"/>
          <w:sz w:val="24"/>
          <w:szCs w:val="24"/>
        </w:rPr>
        <w:t xml:space="preserve">Violation of an Extreme Risk Protection Order (G.L. c. 140, § 131S(f)) 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-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A Respondent subject to an Extreme Risk Protection Order who either fails to surrender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their license to carry firearms, firearm identification card, firearms, rifles, shotguns,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machine guns, stun guns or ammunition in their control, ownership or possession to their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local licensing authority or possesses, accesses or controls any of these items while an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Extreme Risk Protection Order is in effect shall be punished by a fine of not more than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$5,000 and/or by imprisonment in the house of correction for not more than 2½ years.</w:t>
      </w:r>
    </w:p>
    <w:p w:rsidR="00897A4F" w:rsidRDefault="00897A4F" w:rsidP="00897A4F">
      <w:pPr>
        <w:rPr>
          <w:rFonts w:asciiTheme="minorHAnsi" w:hAnsiTheme="minorHAnsi" w:cs="Arial"/>
          <w:color w:val="000086"/>
          <w:sz w:val="24"/>
          <w:szCs w:val="24"/>
        </w:rPr>
      </w:pPr>
    </w:p>
    <w:p w:rsidR="00897A4F" w:rsidRPr="00897A4F" w:rsidRDefault="00897A4F" w:rsidP="00897A4F">
      <w:pPr>
        <w:rPr>
          <w:rFonts w:asciiTheme="minorHAnsi" w:hAnsiTheme="minorHAnsi" w:cs="Arial"/>
          <w:b/>
          <w:color w:val="000086"/>
          <w:sz w:val="24"/>
          <w:szCs w:val="24"/>
        </w:rPr>
      </w:pPr>
      <w:r w:rsidRPr="00897A4F">
        <w:rPr>
          <w:rFonts w:asciiTheme="minorHAnsi" w:hAnsiTheme="minorHAnsi" w:cs="Arial"/>
          <w:b/>
          <w:color w:val="000086"/>
          <w:sz w:val="24"/>
          <w:szCs w:val="24"/>
        </w:rPr>
        <w:t>Improper Storage of Items Surrendered pursuant to an Extreme Risk Protection Order</w:t>
      </w:r>
    </w:p>
    <w:p w:rsidR="00897A4F" w:rsidRPr="00897A4F" w:rsidRDefault="00897A4F" w:rsidP="00897A4F">
      <w:pPr>
        <w:rPr>
          <w:rFonts w:asciiTheme="minorHAnsi" w:hAnsiTheme="minorHAnsi" w:cs="Arial"/>
          <w:color w:val="000086"/>
          <w:sz w:val="24"/>
          <w:szCs w:val="24"/>
        </w:rPr>
      </w:pPr>
      <w:r w:rsidRPr="00897A4F">
        <w:rPr>
          <w:rFonts w:asciiTheme="minorHAnsi" w:hAnsiTheme="minorHAnsi" w:cs="Arial"/>
          <w:b/>
          <w:color w:val="000086"/>
          <w:sz w:val="24"/>
          <w:szCs w:val="24"/>
        </w:rPr>
        <w:t xml:space="preserve">(G.L. c. 140, § </w:t>
      </w:r>
      <w:r w:rsidR="007E033D" w:rsidRPr="00897A4F">
        <w:rPr>
          <w:rFonts w:asciiTheme="minorHAnsi" w:hAnsiTheme="minorHAnsi" w:cs="Arial"/>
          <w:b/>
          <w:color w:val="000086"/>
          <w:sz w:val="24"/>
          <w:szCs w:val="24"/>
        </w:rPr>
        <w:t>131S (</w:t>
      </w:r>
      <w:r w:rsidRPr="00897A4F">
        <w:rPr>
          <w:rFonts w:asciiTheme="minorHAnsi" w:hAnsiTheme="minorHAnsi" w:cs="Arial"/>
          <w:b/>
          <w:color w:val="000086"/>
          <w:sz w:val="24"/>
          <w:szCs w:val="24"/>
        </w:rPr>
        <w:t>h))</w:t>
      </w:r>
      <w:r>
        <w:rPr>
          <w:rFonts w:asciiTheme="minorHAnsi" w:hAnsiTheme="minorHAnsi" w:cs="Arial"/>
          <w:b/>
          <w:color w:val="000086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-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A lawful owner, other than the Respondent, to which items surrendered pursuant to an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Extreme Risk Protection Order have been returned, and who does not store the items in a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manner preventing the Respondent’s access shall be punished by a fine of not more than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$5,000 and/or by imprisonment in the house of correction for not more than 2½ years.</w:t>
      </w:r>
    </w:p>
    <w:p w:rsidR="00897A4F" w:rsidRDefault="00897A4F" w:rsidP="00897A4F">
      <w:pPr>
        <w:rPr>
          <w:rFonts w:asciiTheme="minorHAnsi" w:hAnsiTheme="minorHAnsi" w:cs="Arial"/>
          <w:color w:val="000086"/>
          <w:sz w:val="24"/>
          <w:szCs w:val="24"/>
        </w:rPr>
      </w:pPr>
    </w:p>
    <w:p w:rsidR="007248C4" w:rsidRPr="00897A4F" w:rsidRDefault="00897A4F" w:rsidP="006715F9">
      <w:pPr>
        <w:rPr>
          <w:rFonts w:asciiTheme="minorHAnsi" w:hAnsiTheme="minorHAnsi" w:cs="Arial"/>
          <w:color w:val="000086"/>
          <w:sz w:val="24"/>
          <w:szCs w:val="24"/>
        </w:rPr>
      </w:pPr>
      <w:r w:rsidRPr="00897A4F">
        <w:rPr>
          <w:rFonts w:asciiTheme="minorHAnsi" w:hAnsiTheme="minorHAnsi" w:cs="Arial"/>
          <w:b/>
          <w:color w:val="000086"/>
          <w:sz w:val="24"/>
          <w:szCs w:val="24"/>
        </w:rPr>
        <w:t>Filing False Petition (G.L. c. 140, § 131V)</w:t>
      </w:r>
      <w:r>
        <w:rPr>
          <w:rFonts w:asciiTheme="minorHAnsi" w:hAnsiTheme="minorHAnsi" w:cs="Arial"/>
          <w:b/>
          <w:color w:val="000086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-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Any person who files a petition for an Extreme Risk Protection Order, knowing the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information in the petition to be materially false or with an intent to harass the</w:t>
      </w:r>
      <w:r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Pr="00897A4F">
        <w:rPr>
          <w:rFonts w:asciiTheme="minorHAnsi" w:hAnsiTheme="minorHAnsi" w:cs="Arial"/>
          <w:color w:val="000086"/>
          <w:sz w:val="24"/>
          <w:szCs w:val="24"/>
        </w:rPr>
        <w:t>Respondent, shall be punis</w:t>
      </w:r>
      <w:r w:rsidR="006715F9">
        <w:rPr>
          <w:rFonts w:asciiTheme="minorHAnsi" w:hAnsiTheme="minorHAnsi" w:cs="Arial"/>
          <w:color w:val="000086"/>
          <w:sz w:val="24"/>
          <w:szCs w:val="24"/>
        </w:rPr>
        <w:t xml:space="preserve">hed by a fine of not more than </w:t>
      </w:r>
      <w:r w:rsidR="006715F9" w:rsidRPr="006715F9">
        <w:rPr>
          <w:rFonts w:asciiTheme="minorHAnsi" w:hAnsiTheme="minorHAnsi" w:cs="Arial"/>
          <w:color w:val="000086"/>
          <w:sz w:val="24"/>
          <w:szCs w:val="24"/>
        </w:rPr>
        <w:t>$5,000 and/or by imprisonment</w:t>
      </w:r>
      <w:r w:rsidR="00D9016A">
        <w:rPr>
          <w:rFonts w:asciiTheme="minorHAnsi" w:hAnsiTheme="minorHAnsi" w:cs="Arial"/>
          <w:color w:val="000086"/>
          <w:sz w:val="24"/>
          <w:szCs w:val="24"/>
        </w:rPr>
        <w:t xml:space="preserve"> </w:t>
      </w:r>
      <w:r w:rsidR="006715F9" w:rsidRPr="006715F9">
        <w:rPr>
          <w:rFonts w:asciiTheme="minorHAnsi" w:hAnsiTheme="minorHAnsi" w:cs="Arial"/>
          <w:color w:val="000086"/>
          <w:sz w:val="24"/>
          <w:szCs w:val="24"/>
        </w:rPr>
        <w:t>in the house of correction for not more than 2½ years.</w:t>
      </w:r>
    </w:p>
    <w:p w:rsidR="007248C4" w:rsidRDefault="007248C4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</w:p>
    <w:p w:rsidR="004E4815" w:rsidRDefault="004E4815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  <w:r>
        <w:rPr>
          <w:rFonts w:asciiTheme="minorHAnsi" w:hAnsiTheme="minorHAnsi" w:cs="Arial"/>
          <w:b/>
          <w:color w:val="000086"/>
          <w:sz w:val="24"/>
          <w:szCs w:val="24"/>
          <w:u w:val="single"/>
        </w:rPr>
        <w:t>Attached:</w:t>
      </w:r>
    </w:p>
    <w:p w:rsidR="004E4815" w:rsidRDefault="004E4815" w:rsidP="004E4815">
      <w:pPr>
        <w:pStyle w:val="ListParagraph"/>
        <w:numPr>
          <w:ilvl w:val="0"/>
          <w:numId w:val="6"/>
        </w:numPr>
        <w:rPr>
          <w:rFonts w:asciiTheme="minorHAnsi" w:hAnsiTheme="minorHAnsi" w:cs="Arial"/>
          <w:color w:val="000086"/>
          <w:sz w:val="24"/>
          <w:szCs w:val="24"/>
        </w:rPr>
      </w:pPr>
      <w:r>
        <w:rPr>
          <w:rFonts w:asciiTheme="minorHAnsi" w:hAnsiTheme="minorHAnsi" w:cs="Arial"/>
          <w:color w:val="000086"/>
          <w:sz w:val="24"/>
          <w:szCs w:val="24"/>
        </w:rPr>
        <w:t xml:space="preserve"> Text of the Red Flag Law</w:t>
      </w:r>
    </w:p>
    <w:p w:rsidR="004E4815" w:rsidRDefault="004E4815" w:rsidP="004E4815">
      <w:pPr>
        <w:pStyle w:val="ListParagraph"/>
        <w:numPr>
          <w:ilvl w:val="0"/>
          <w:numId w:val="6"/>
        </w:numPr>
        <w:rPr>
          <w:rFonts w:asciiTheme="minorHAnsi" w:hAnsiTheme="minorHAnsi" w:cs="Arial"/>
          <w:color w:val="000086"/>
          <w:sz w:val="24"/>
          <w:szCs w:val="24"/>
        </w:rPr>
      </w:pPr>
      <w:r>
        <w:rPr>
          <w:rFonts w:asciiTheme="minorHAnsi" w:hAnsiTheme="minorHAnsi" w:cs="Arial"/>
          <w:color w:val="000086"/>
          <w:sz w:val="24"/>
          <w:szCs w:val="24"/>
        </w:rPr>
        <w:lastRenderedPageBreak/>
        <w:t>The Trial Court’s Extreme Risk Protection Order Guidelines.</w:t>
      </w:r>
    </w:p>
    <w:p w:rsidR="004E4815" w:rsidRPr="004E4815" w:rsidRDefault="004E4815" w:rsidP="004E4815">
      <w:pPr>
        <w:pStyle w:val="ListParagraph"/>
        <w:numPr>
          <w:ilvl w:val="0"/>
          <w:numId w:val="6"/>
        </w:numPr>
        <w:rPr>
          <w:rFonts w:asciiTheme="minorHAnsi" w:hAnsiTheme="minorHAnsi" w:cs="Arial"/>
          <w:color w:val="000086"/>
          <w:sz w:val="24"/>
          <w:szCs w:val="24"/>
        </w:rPr>
      </w:pPr>
      <w:r>
        <w:rPr>
          <w:rFonts w:asciiTheme="minorHAnsi" w:hAnsiTheme="minorHAnsi" w:cs="Arial"/>
          <w:color w:val="000086"/>
          <w:sz w:val="24"/>
          <w:szCs w:val="24"/>
        </w:rPr>
        <w:t>The Trial Court’s Extreme Risk Protection Order Brochure for Potential Petitioners.</w:t>
      </w:r>
    </w:p>
    <w:p w:rsidR="007248C4" w:rsidRDefault="007248C4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</w:p>
    <w:p w:rsidR="007248C4" w:rsidRDefault="007248C4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</w:p>
    <w:p w:rsidR="007248C4" w:rsidRDefault="007248C4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</w:p>
    <w:p w:rsidR="007248C4" w:rsidRDefault="007248C4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</w:p>
    <w:p w:rsidR="007248C4" w:rsidRDefault="007248C4" w:rsidP="001D46C2">
      <w:pPr>
        <w:rPr>
          <w:rFonts w:asciiTheme="minorHAnsi" w:hAnsiTheme="minorHAnsi" w:cs="Arial"/>
          <w:b/>
          <w:color w:val="000086"/>
          <w:sz w:val="24"/>
          <w:szCs w:val="24"/>
          <w:u w:val="single"/>
        </w:rPr>
      </w:pPr>
    </w:p>
    <w:bookmarkEnd w:id="0"/>
    <w:p w:rsidR="007248C4" w:rsidRPr="007248C4" w:rsidRDefault="007248C4" w:rsidP="001D46C2">
      <w:pPr>
        <w:rPr>
          <w:rFonts w:asciiTheme="minorHAnsi" w:hAnsiTheme="minorHAnsi" w:cs="Arial"/>
          <w:color w:val="000086"/>
          <w:sz w:val="24"/>
          <w:szCs w:val="24"/>
        </w:rPr>
      </w:pPr>
    </w:p>
    <w:sectPr w:rsidR="007248C4" w:rsidRPr="007248C4" w:rsidSect="00CA3CE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C2" w:rsidRDefault="001D46C2" w:rsidP="000B7C41">
      <w:r>
        <w:separator/>
      </w:r>
    </w:p>
  </w:endnote>
  <w:endnote w:type="continuationSeparator" w:id="0">
    <w:p w:rsidR="001D46C2" w:rsidRDefault="001D46C2" w:rsidP="000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535079"/>
      <w:docPartObj>
        <w:docPartGallery w:val="Page Numbers (Bottom of Page)"/>
        <w:docPartUnique/>
      </w:docPartObj>
    </w:sdtPr>
    <w:sdtEndPr/>
    <w:sdtContent>
      <w:p w:rsidR="001626A0" w:rsidRDefault="005C1E0E">
        <w:pPr>
          <w:pStyle w:val="Footer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275" w:rsidRPr="00AE0275">
          <w:rPr>
            <w:rFonts w:asciiTheme="majorHAnsi" w:hAnsiTheme="majorHAnsi"/>
            <w:noProof/>
            <w:color w:val="4F81BD" w:themeColor="accent1"/>
            <w:sz w:val="40"/>
            <w:szCs w:val="40"/>
          </w:rPr>
          <w:t>1</w:t>
        </w:r>
        <w:r>
          <w:rPr>
            <w:rFonts w:asciiTheme="majorHAnsi" w:hAnsiTheme="majorHAnsi"/>
            <w:noProof/>
            <w:color w:val="4F81BD" w:themeColor="accent1"/>
            <w:sz w:val="40"/>
            <w:szCs w:val="40"/>
          </w:rPr>
          <w:fldChar w:fldCharType="end"/>
        </w:r>
      </w:p>
    </w:sdtContent>
  </w:sdt>
  <w:p w:rsidR="001D46C2" w:rsidRDefault="001D4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C2" w:rsidRDefault="001D46C2" w:rsidP="000B7C41">
      <w:r>
        <w:separator/>
      </w:r>
    </w:p>
  </w:footnote>
  <w:footnote w:type="continuationSeparator" w:id="0">
    <w:p w:rsidR="001D46C2" w:rsidRDefault="001D46C2" w:rsidP="000B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8F6"/>
    <w:multiLevelType w:val="hybridMultilevel"/>
    <w:tmpl w:val="EF34222A"/>
    <w:lvl w:ilvl="0" w:tplc="00F2A5E0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2F4BA1"/>
    <w:multiLevelType w:val="hybridMultilevel"/>
    <w:tmpl w:val="51A49B7C"/>
    <w:lvl w:ilvl="0" w:tplc="30883930">
      <w:start w:val="1"/>
      <w:numFmt w:val="decimal"/>
      <w:lvlText w:val="(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301B8"/>
    <w:multiLevelType w:val="hybridMultilevel"/>
    <w:tmpl w:val="0950B3D4"/>
    <w:lvl w:ilvl="0" w:tplc="67F6B840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8C51B3"/>
    <w:multiLevelType w:val="hybridMultilevel"/>
    <w:tmpl w:val="A3989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E6990"/>
    <w:multiLevelType w:val="hybridMultilevel"/>
    <w:tmpl w:val="AB125C26"/>
    <w:lvl w:ilvl="0" w:tplc="ABE03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C0434"/>
    <w:multiLevelType w:val="hybridMultilevel"/>
    <w:tmpl w:val="3D82252A"/>
    <w:lvl w:ilvl="0" w:tplc="341CA61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B3"/>
    <w:rsid w:val="00056DF1"/>
    <w:rsid w:val="000913EA"/>
    <w:rsid w:val="000B7C41"/>
    <w:rsid w:val="00104C78"/>
    <w:rsid w:val="00133B99"/>
    <w:rsid w:val="001626A0"/>
    <w:rsid w:val="001D46C2"/>
    <w:rsid w:val="00272285"/>
    <w:rsid w:val="0029607C"/>
    <w:rsid w:val="002A350A"/>
    <w:rsid w:val="002E53D3"/>
    <w:rsid w:val="0033417F"/>
    <w:rsid w:val="003D3A88"/>
    <w:rsid w:val="003E77AB"/>
    <w:rsid w:val="00442949"/>
    <w:rsid w:val="004E4815"/>
    <w:rsid w:val="004F1050"/>
    <w:rsid w:val="004F462A"/>
    <w:rsid w:val="005563FF"/>
    <w:rsid w:val="005A0279"/>
    <w:rsid w:val="005C1E0E"/>
    <w:rsid w:val="006534E1"/>
    <w:rsid w:val="006715F9"/>
    <w:rsid w:val="006A241D"/>
    <w:rsid w:val="007248C4"/>
    <w:rsid w:val="00780786"/>
    <w:rsid w:val="007E033D"/>
    <w:rsid w:val="00820706"/>
    <w:rsid w:val="008451E4"/>
    <w:rsid w:val="00897A4F"/>
    <w:rsid w:val="008A4E64"/>
    <w:rsid w:val="0092315C"/>
    <w:rsid w:val="00A1792C"/>
    <w:rsid w:val="00A21DBF"/>
    <w:rsid w:val="00A50835"/>
    <w:rsid w:val="00A57920"/>
    <w:rsid w:val="00A84F1A"/>
    <w:rsid w:val="00A861DE"/>
    <w:rsid w:val="00AC40CF"/>
    <w:rsid w:val="00AE0275"/>
    <w:rsid w:val="00AF06FE"/>
    <w:rsid w:val="00B774D0"/>
    <w:rsid w:val="00BB5121"/>
    <w:rsid w:val="00C34C77"/>
    <w:rsid w:val="00CA3CE7"/>
    <w:rsid w:val="00CB3D1A"/>
    <w:rsid w:val="00CC06FE"/>
    <w:rsid w:val="00CD13AD"/>
    <w:rsid w:val="00D07C76"/>
    <w:rsid w:val="00D12605"/>
    <w:rsid w:val="00D9016A"/>
    <w:rsid w:val="00DA2536"/>
    <w:rsid w:val="00DE2B7B"/>
    <w:rsid w:val="00E02AB3"/>
    <w:rsid w:val="00E1473D"/>
    <w:rsid w:val="00F3501A"/>
    <w:rsid w:val="00FB48A1"/>
    <w:rsid w:val="00FD679E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B3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C4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C41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06FE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6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6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4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46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0279"/>
    <w:rPr>
      <w:i/>
      <w:iCs/>
    </w:rPr>
  </w:style>
  <w:style w:type="character" w:styleId="Strong">
    <w:name w:val="Strong"/>
    <w:basedOn w:val="DefaultParagraphFont"/>
    <w:uiPriority w:val="22"/>
    <w:qFormat/>
    <w:rsid w:val="005A0279"/>
    <w:rPr>
      <w:b/>
      <w:bCs/>
    </w:rPr>
  </w:style>
  <w:style w:type="character" w:customStyle="1" w:styleId="hierarchydescription2">
    <w:name w:val="hierarchydescription2"/>
    <w:basedOn w:val="DefaultParagraphFont"/>
    <w:rsid w:val="00D12605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4E48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B3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C4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C41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06FE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6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6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4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46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0279"/>
    <w:rPr>
      <w:i/>
      <w:iCs/>
    </w:rPr>
  </w:style>
  <w:style w:type="character" w:styleId="Strong">
    <w:name w:val="Strong"/>
    <w:basedOn w:val="DefaultParagraphFont"/>
    <w:uiPriority w:val="22"/>
    <w:qFormat/>
    <w:rsid w:val="005A0279"/>
    <w:rPr>
      <w:b/>
      <w:bCs/>
    </w:rPr>
  </w:style>
  <w:style w:type="character" w:customStyle="1" w:styleId="hierarchydescription2">
    <w:name w:val="hierarchydescription2"/>
    <w:basedOn w:val="DefaultParagraphFont"/>
    <w:rsid w:val="00D12605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4E4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56092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7824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20A6-EB8A-4F42-9E3F-558183A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daa-domainadmintp</dc:creator>
  <cp:lastModifiedBy>Nardone, Andrea (DAA)</cp:lastModifiedBy>
  <cp:revision>3</cp:revision>
  <cp:lastPrinted>2018-08-17T17:02:00Z</cp:lastPrinted>
  <dcterms:created xsi:type="dcterms:W3CDTF">2018-08-17T17:01:00Z</dcterms:created>
  <dcterms:modified xsi:type="dcterms:W3CDTF">2018-08-17T17:05:00Z</dcterms:modified>
</cp:coreProperties>
</file>