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header1.xml" ContentType="application/vnd.openxmlformats-officedocument.wordprocessingml.header+xml"/>
  <Override PartName="/word/webSettings.xml" ContentType="application/vnd.openxmlformats-officedocument.wordprocessingml.webSettings+xml"/>
  <Override PartName="/word/fontTable.xml" ContentType="application/vnd.openxmlformats-officedocument.wordprocessingml.fontTable+xml"/>
  <Default Extension="png" ContentType="image/png"/>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6C5" w:rsidRDefault="007F37B3">
      <w:pPr>
        <w:pStyle w:val="BodyText"/>
        <w:rPr>
          <w:rFonts w:ascii="Times New Roman"/>
          <w:sz w:val="20"/>
        </w:rPr>
      </w:pPr>
      <w:bookmarkStart w:id="0" w:name="_GoBack"/>
      <w:bookmarkEnd w:id="0"/>
      <w:r>
        <w:pict>
          <v:group id="_x0000_s1030" style="position:absolute;margin-left:22.45pt;margin-top:22.75pt;width:51.9pt;height:61pt;z-index:-252390400;mso-position-horizontal-relative:page;mso-position-vertical-relative:page" coordorigin="449,455" coordsize="1038,1220">
            <v:shape id="_x0000_s1032" style="position:absolute;left:1035;top:625;width:73;height:250" coordorigin="1035,625" coordsize="73,250" path="m1035,625r43,238l1108,875,1060,649r-5,-18l1035,625xe" fillcolor="#221f1f" stroked="f">
              <v:path arrowok="t"/>
            </v:shape>
            <v:shape id="_x0000_s1031" style="position:absolute;left:449;top:455;width:1038;height:1220" coordorigin="449,455" coordsize="1038,1220" o:spt="100" adj="0,,0" path="m950,601r-19,2l916,605r-12,6l895,613r-9,6l883,631,856,793r-3,26l852,831r2,24l858,879r8,22l877,919r-6,36l695,1053r-29,14l651,1079r-6,18l645,1175r-1,170l644,1375r-1,22l648,1417r16,22l696,1471r254,204l988,1645r-38,l889,1597r16,-26l925,1559r18,-4l950,1553r77,l950,1529,788,1399r-21,-26l758,1353r-3,-14l755,1181r5,-6l1065,1175r3,-42l1084,1065r-134,l889,1017r7,-44l901,943r110,l1011,937r-61,l936,935r-13,-4l912,923r-8,-8l892,899,882,879r-6,-24l874,831r,-14l876,803r3,-12l883,781r32,-6l950,771r76,l1026,689r-4,-28l1017,631r-3,-12l1005,613r-10,-2l984,605r-15,-2l950,601xm1031,1555r,26l950,1645r38,l1068,1581r-15,-20l1031,1555xm1027,1553r-77,l1031,1581r,-26l1027,1553xm1255,1353r-24,l1231,1373r1,18l1228,1409r-15,18l1183,1457r-111,90l1087,1565r116,-94l1235,1431r15,-30l1255,1379r,-26xm1065,1175r-292,l779,1181r,152l778,1341r,4l781,1353r27,30l950,1499r122,-100l1142,1379r-93,l1041,1375r-7,-8l1028,1353r-3,-10l1024,1339r,-8l1025,1329r66,l1155,1311r-89,l1064,1281r-1,-68l1065,1175xm1292,1107r,206l1275,1319r-2,2l1153,1353r-88,22l1060,1379r82,l1231,1353r24,l1255,1349r27,-8l1289,1339r12,-8l1311,1315r5,-24l1316,1189r-6,-44l1296,1113r-4,-6xm1091,1329r-65,l1031,1331r21,6l1054,1339r3,l1060,1337r31,-8xm1250,1175r-14,l1231,1181r,70l1226,1263r-2,l1200,1271r-91,26l1066,1311r89,l1198,1297r35,-12l1245,1277r6,-14l1254,1251r1,-8l1255,1181r-5,-6xm968,455r-76,6l818,477r-69,26l686,539r-58,42l577,633r-44,58l498,755r-27,68l455,897r-6,76l455,1049r15,70l495,1185r33,64l579,1249r-37,-62l515,1121r-17,-72l492,973r6,-76l516,823r29,-68l584,693r47,-56l687,591r62,-40l818,521r73,-18l968,499r208,l1118,477r-73,-16l968,455xm1176,499r-208,l1045,503r74,18l1187,551r62,40l1305,637r48,56l1391,755r29,68l1438,897r6,76l1438,1049r-17,72l1394,1187r-37,62l1408,1249r34,-64l1466,1119r16,-70l1487,973r-5,-76l1465,823r-26,-68l1404,691r-44,-58l1309,581r-58,-42l1187,503r-11,-4xm1215,1051r-27,l1186,1061r8,6l1253,1101r12,10l1277,1127r11,26l1292,1189r,-82l1280,1091r-11,-8l1215,1051xm1026,689r,142l1024,855r-7,24l1011,891r,126l950,1065r134,l1041,1017r-6,-32l1113,985r-1,-8l1087,977r-58,-22l1023,919r11,-18l1041,879r5,-24l1048,831r-5,-38l1040,771r-8,-46l1026,689xm1113,985r-78,l1094,1007r11,22l1121,1043r19,12l1161,1059r10,l1179,1055r9,-4l1212,1051r,-16l1161,1035r-20,-6l1125,1015r-10,-22l1113,985xm1211,901r,68l1207,993r-11,22l1180,1029r-19,6l1212,1035r,-2l1222,1021r7,-18l1233,987r2,-18l1229,931r-16,-28l1211,901xm1011,943r-12,l1003,969r3,22l1011,1017r,-74xm1161,875r-29,8l1108,903r-16,28l1087,967r,10l1112,977r-1,-8l1115,941r10,-20l1141,905r20,-4l1210,901r-20,-18l1161,875xm1211,901r-50,l1180,905r16,16l1207,941r4,28l1211,901xm999,943r-98,l912,951r11,6l936,961r28,l977,957r11,-6l999,943xm1011,891r-3,8l996,915r-8,8l977,931r-13,4l950,937r61,l1011,891xm1026,771r-76,l984,775r33,6l1021,791r3,12l1026,817r,-46xe" fillcolor="#892233" stroked="f">
              <v:stroke joinstyle="round"/>
              <v:formulas/>
              <v:path arrowok="t" o:connecttype="segments"/>
            </v:shape>
            <w10:wrap anchorx="page" anchory="page"/>
          </v:group>
        </w:pict>
      </w:r>
    </w:p>
    <w:p w:rsidR="002A36C5" w:rsidRDefault="002A36C5">
      <w:pPr>
        <w:pStyle w:val="BodyText"/>
        <w:rPr>
          <w:rFonts w:ascii="Times New Roman"/>
          <w:sz w:val="20"/>
        </w:rPr>
      </w:pPr>
    </w:p>
    <w:p w:rsidR="002A36C5" w:rsidRDefault="002A36C5">
      <w:pPr>
        <w:pStyle w:val="BodyText"/>
        <w:rPr>
          <w:rFonts w:ascii="Times New Roman"/>
          <w:sz w:val="20"/>
        </w:rPr>
      </w:pPr>
    </w:p>
    <w:p w:rsidR="002A36C5" w:rsidRDefault="002A36C5">
      <w:pPr>
        <w:pStyle w:val="BodyText"/>
        <w:spacing w:before="4"/>
        <w:rPr>
          <w:rFonts w:ascii="Times New Roman"/>
          <w:sz w:val="20"/>
        </w:rPr>
      </w:pPr>
    </w:p>
    <w:p w:rsidR="002A36C5" w:rsidRDefault="007F37B3">
      <w:pPr>
        <w:spacing w:line="247" w:lineRule="auto"/>
        <w:ind w:left="7602" w:right="399"/>
        <w:rPr>
          <w:b/>
          <w:sz w:val="20"/>
        </w:rPr>
      </w:pPr>
      <w:r>
        <w:pict>
          <v:group id="_x0000_s1026" style="position:absolute;left:0;text-align:left;margin-left:82.3pt;margin-top:2.1pt;width:121.5pt;height:22.95pt;z-index:251658240;mso-position-horizontal-relative:page" coordorigin="1646,42" coordsize="2430,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646;top:41;width:2205;height:459">
              <v:imagedata r:id="rId7" o:title=""/>
            </v:shape>
            <v:shape id="_x0000_s1028" type="#_x0000_t75" style="position:absolute;left:3879;top:45;width:197;height:190">
              <v:imagedata r:id="rId8" o:title=""/>
            </v:shape>
            <v:shape id="_x0000_s1027" style="position:absolute;left:2925;top:320;width:82;height:83" coordorigin="2925,321" coordsize="82,83" o:spt="100" adj="0,,0" path="m2973,321r-14,l2952,322r-6,4l2939,329r-5,5l2931,341r-4,7l2925,354r,15l2927,376r7,13l2939,394r7,4l2952,401r7,2l2973,403r7,-2l2986,398r5,-3l2960,395r-5,-1l2950,391r-5,-3l2940,384r-2,-6l2935,373r-2,-5l2933,355r2,-4l2935,350r3,-5l2941,340r4,-4l2950,333r5,-3l2960,329r31,l2986,326r-6,-4l2973,321xm2991,329r-19,l2977,330r5,3l2987,336r4,4l2994,345r3,5l2997,351r2,4l2999,368r-2,5l2995,378r-3,6l2988,388r-6,3l2977,394r-5,1l2991,395r2,-1l2998,389r7,-13l3007,369r,-15l3005,348r-4,-7l2998,334r-5,-5l2991,329xm2970,340r-22,l2948,384r8,l2956,366r18,l2973,366r-1,-1l2971,365r4,-1l2978,363r3,-4l2956,359r,-12l2982,347r-1,-1l2980,344r-1,-1l2977,342r-2,-1l2973,340r-3,xm2974,366r-13,l2963,367r3,2l2968,372r6,12l2985,384r-5,-9l2977,370r,l2976,368r-1,-1l2974,366r,xm2982,347r-17,l2968,347r1,1l2971,348r1,1l2973,351r,1l2973,355r,l2972,356r,1l2971,358r-3,1l2965,359r16,l2982,358r1,-2l2983,350r-1,-2l2982,348r,-1xe" fillcolor="#221f1f" stroked="f">
              <v:stroke joinstyle="round"/>
              <v:formulas/>
              <v:path arrowok="t" o:connecttype="segments"/>
            </v:shape>
            <w10:wrap anchorx="page"/>
          </v:group>
        </w:pict>
      </w:r>
      <w:r>
        <w:rPr>
          <w:b/>
          <w:color w:val="57585B"/>
          <w:sz w:val="20"/>
        </w:rPr>
        <w:t>Springfield, MA Pediatric Specialty Care</w:t>
      </w:r>
    </w:p>
    <w:p w:rsidR="002A36C5" w:rsidRDefault="002A36C5">
      <w:pPr>
        <w:pStyle w:val="BodyText"/>
        <w:rPr>
          <w:b/>
          <w:sz w:val="20"/>
        </w:rPr>
      </w:pPr>
    </w:p>
    <w:p w:rsidR="002A36C5" w:rsidRDefault="002A36C5">
      <w:pPr>
        <w:pStyle w:val="BodyText"/>
        <w:spacing w:before="4"/>
        <w:rPr>
          <w:b/>
          <w:sz w:val="16"/>
        </w:rPr>
      </w:pPr>
    </w:p>
    <w:p w:rsidR="002A36C5" w:rsidRDefault="007F37B3">
      <w:pPr>
        <w:pStyle w:val="BodyText"/>
        <w:spacing w:before="94"/>
        <w:ind w:left="5141"/>
      </w:pPr>
      <w:r>
        <w:t>February 16, 2021</w:t>
      </w:r>
    </w:p>
    <w:p w:rsidR="002A36C5" w:rsidRDefault="002A36C5">
      <w:pPr>
        <w:pStyle w:val="BodyText"/>
        <w:spacing w:before="10"/>
        <w:rPr>
          <w:sz w:val="13"/>
        </w:rPr>
      </w:pPr>
    </w:p>
    <w:p w:rsidR="002A36C5" w:rsidRDefault="007F37B3">
      <w:pPr>
        <w:pStyle w:val="BodyText"/>
        <w:spacing w:before="94"/>
        <w:ind w:left="100"/>
      </w:pPr>
      <w:r>
        <w:t>BY EMAIL ONLY:</w:t>
      </w:r>
    </w:p>
    <w:p w:rsidR="002A36C5" w:rsidRDefault="002A36C5">
      <w:pPr>
        <w:pStyle w:val="BodyText"/>
      </w:pPr>
    </w:p>
    <w:p w:rsidR="002A36C5" w:rsidRDefault="007F37B3">
      <w:pPr>
        <w:pStyle w:val="BodyText"/>
        <w:ind w:left="100"/>
      </w:pPr>
      <w:hyperlink r:id="rId9">
        <w:r>
          <w:rPr>
            <w:color w:val="0000FF"/>
            <w:u w:val="single" w:color="0000FF"/>
          </w:rPr>
          <w:t>sherman.lohnes@state.ma.us</w:t>
        </w:r>
      </w:hyperlink>
    </w:p>
    <w:p w:rsidR="002A36C5" w:rsidRDefault="002A36C5">
      <w:pPr>
        <w:pStyle w:val="BodyText"/>
        <w:spacing w:before="8"/>
        <w:rPr>
          <w:sz w:val="13"/>
        </w:rPr>
      </w:pPr>
    </w:p>
    <w:p w:rsidR="002A36C5" w:rsidRDefault="007F37B3">
      <w:pPr>
        <w:pStyle w:val="BodyText"/>
        <w:spacing w:before="94"/>
        <w:ind w:left="100"/>
      </w:pPr>
      <w:r>
        <w:t>Sherman Lohnes</w:t>
      </w:r>
    </w:p>
    <w:p w:rsidR="002A36C5" w:rsidRDefault="007F37B3">
      <w:pPr>
        <w:pStyle w:val="BodyText"/>
        <w:spacing w:before="1"/>
        <w:ind w:left="100" w:right="3346"/>
      </w:pPr>
      <w:r>
        <w:t>Director, Division of Health Care Facility Licensure &amp; Certification Massachusetts Department of Public Health</w:t>
      </w:r>
    </w:p>
    <w:p w:rsidR="002A36C5" w:rsidRDefault="007F37B3">
      <w:pPr>
        <w:pStyle w:val="BodyText"/>
        <w:spacing w:before="1" w:line="252" w:lineRule="exact"/>
        <w:ind w:left="100"/>
      </w:pPr>
      <w:r>
        <w:t>67 Forest Street</w:t>
      </w:r>
    </w:p>
    <w:p w:rsidR="002A36C5" w:rsidRDefault="007F37B3">
      <w:pPr>
        <w:pStyle w:val="BodyText"/>
        <w:spacing w:line="252" w:lineRule="exact"/>
        <w:ind w:left="100"/>
      </w:pPr>
      <w:r>
        <w:t>Marlborough, MA 01752</w:t>
      </w:r>
    </w:p>
    <w:p w:rsidR="002A36C5" w:rsidRDefault="002A36C5">
      <w:pPr>
        <w:pStyle w:val="BodyText"/>
        <w:spacing w:before="10"/>
        <w:rPr>
          <w:sz w:val="21"/>
        </w:rPr>
      </w:pPr>
    </w:p>
    <w:p w:rsidR="002A36C5" w:rsidRDefault="007F37B3">
      <w:pPr>
        <w:spacing w:line="252" w:lineRule="exact"/>
        <w:ind w:left="100"/>
        <w:rPr>
          <w:b/>
        </w:rPr>
      </w:pPr>
      <w:r>
        <w:rPr>
          <w:b/>
        </w:rPr>
        <w:t>Re: Essential Services Finding</w:t>
      </w:r>
    </w:p>
    <w:p w:rsidR="002A36C5" w:rsidRDefault="007F37B3">
      <w:pPr>
        <w:pStyle w:val="BodyText"/>
        <w:spacing w:line="252" w:lineRule="exact"/>
        <w:ind w:left="100"/>
      </w:pPr>
      <w:r>
        <w:rPr>
          <w:b/>
        </w:rPr>
        <w:t xml:space="preserve">Facility: </w:t>
      </w:r>
      <w:r>
        <w:t>Shriners Hospital for Children - Springfield</w:t>
      </w:r>
    </w:p>
    <w:p w:rsidR="002A36C5" w:rsidRDefault="007F37B3">
      <w:pPr>
        <w:pStyle w:val="BodyText"/>
        <w:spacing w:before="1" w:line="252" w:lineRule="exact"/>
        <w:ind w:left="100"/>
      </w:pPr>
      <w:r>
        <w:rPr>
          <w:b/>
        </w:rPr>
        <w:t xml:space="preserve">Services: </w:t>
      </w:r>
      <w:r>
        <w:t>20 Bed Pediatric Inpatient Acute Rehabilitation Service</w:t>
      </w:r>
    </w:p>
    <w:p w:rsidR="002A36C5" w:rsidRDefault="007F37B3">
      <w:pPr>
        <w:spacing w:line="252" w:lineRule="exact"/>
        <w:ind w:left="100"/>
      </w:pPr>
      <w:r>
        <w:rPr>
          <w:b/>
        </w:rPr>
        <w:t>Ref. #:</w:t>
      </w:r>
      <w:r>
        <w:rPr>
          <w:b/>
          <w:spacing w:val="-5"/>
        </w:rPr>
        <w:t xml:space="preserve"> </w:t>
      </w:r>
      <w:r>
        <w:t>2152-019</w:t>
      </w:r>
    </w:p>
    <w:p w:rsidR="002A36C5" w:rsidRDefault="002A36C5">
      <w:pPr>
        <w:pStyle w:val="BodyText"/>
        <w:spacing w:before="3"/>
      </w:pPr>
    </w:p>
    <w:p w:rsidR="002A36C5" w:rsidRDefault="007F37B3">
      <w:pPr>
        <w:pStyle w:val="BodyText"/>
        <w:ind w:left="100"/>
      </w:pPr>
      <w:r>
        <w:t>Dear Mr.</w:t>
      </w:r>
      <w:r>
        <w:rPr>
          <w:spacing w:val="-4"/>
        </w:rPr>
        <w:t xml:space="preserve"> </w:t>
      </w:r>
      <w:r>
        <w:t>Lohnes:</w:t>
      </w:r>
    </w:p>
    <w:p w:rsidR="002A36C5" w:rsidRDefault="002A36C5">
      <w:pPr>
        <w:pStyle w:val="BodyText"/>
      </w:pPr>
    </w:p>
    <w:p w:rsidR="002A36C5" w:rsidRDefault="007F37B3">
      <w:pPr>
        <w:pStyle w:val="BodyText"/>
        <w:spacing w:before="1"/>
        <w:ind w:left="100" w:right="349"/>
      </w:pPr>
      <w:r>
        <w:t>On January 21, 2021, the Department of Public Health (the "Department") held a public hearing in response to a notification on behalf of Shriners Hospital for Child</w:t>
      </w:r>
      <w:r>
        <w:t>ren – Springfield (the “Hospital”) regarding the Hospital’s proposed plans to discontinue operation of its 20 bed Pediatric Inpatient Acute Rehabilitation Service (the “Service”), effective March 22, 2021. By letter dated February 1, 2021 (the “Letter”), t</w:t>
      </w:r>
      <w:r>
        <w:t>he Department notified the Hospital that it found the Service necessary for preserving access and health status within the Hospital’s service area. As such, the Hospital is required to prepare a plan that details how access to pediatric inpatient acute reh</w:t>
      </w:r>
      <w:r>
        <w:t>abilitation services will be maintained for the residents of the service area, pursuant to 105 CMR 130.122(F).</w:t>
      </w:r>
    </w:p>
    <w:p w:rsidR="002A36C5" w:rsidRDefault="002A36C5">
      <w:pPr>
        <w:pStyle w:val="BodyText"/>
      </w:pPr>
    </w:p>
    <w:p w:rsidR="002A36C5" w:rsidRDefault="007F37B3">
      <w:pPr>
        <w:pStyle w:val="BodyText"/>
        <w:ind w:left="100" w:right="447"/>
      </w:pPr>
      <w:r>
        <w:t>Accordingly, this letter details how access to pediatric inpatient acute rehabilitation services will be maintained for the residents of the Hos</w:t>
      </w:r>
      <w:r>
        <w:t>pital’s service area. The Hospital’s plan includes the elements specified in the Letter as set forth below.</w:t>
      </w:r>
    </w:p>
    <w:p w:rsidR="002A36C5" w:rsidRDefault="002A36C5">
      <w:pPr>
        <w:pStyle w:val="BodyText"/>
        <w:spacing w:before="10"/>
        <w:rPr>
          <w:sz w:val="21"/>
        </w:rPr>
      </w:pPr>
    </w:p>
    <w:p w:rsidR="002A36C5" w:rsidRDefault="007F37B3">
      <w:pPr>
        <w:pStyle w:val="ListParagraph"/>
        <w:numPr>
          <w:ilvl w:val="0"/>
          <w:numId w:val="2"/>
        </w:numPr>
        <w:tabs>
          <w:tab w:val="left" w:pos="461"/>
        </w:tabs>
      </w:pPr>
      <w:r>
        <w:t xml:space="preserve">The Hospital opened the Service on July 9, 2018 and has proposed to permanently close the Service effective March 22, 2021 due to low utilization. </w:t>
      </w:r>
      <w:r>
        <w:t>From July 2018 through March 2020, 65 children were discharged from the program and the average daily census (“ADC”) was 1.61. The health and safety of our patients, families, employees, staff and volunteers always comes first. Accordingly, the Hospital ha</w:t>
      </w:r>
      <w:r>
        <w:t>s been measured and cautious in our delivery of services, as the COVID-19 pandemic has continued to evolve. Due to their age and physical challenges, many of our Service patients are especially vulnerable to complications from COVID-19. The Service is an i</w:t>
      </w:r>
      <w:r>
        <w:t>ntensive program including a minimum of three hours of rehabilitation contact hours per day. Given our patients, and the intensity of the program, the Hospital determined that it would temporarily refrain from accepting Service patients starting in March 2</w:t>
      </w:r>
      <w:r>
        <w:t>020.  For the reasons set forth above (as detailed in the Hospital’s notice dated December 21, 2020, submitted pursuant to 105 CMR 130.122(B)), given the proposed plans to discontinue operation of the Service, the Hospital has not reopened the Service. Acc</w:t>
      </w:r>
      <w:r>
        <w:t>ordingly, the Service has no current</w:t>
      </w:r>
      <w:r>
        <w:rPr>
          <w:spacing w:val="-3"/>
        </w:rPr>
        <w:t xml:space="preserve"> </w:t>
      </w:r>
      <w:r>
        <w:t>patients.</w:t>
      </w:r>
    </w:p>
    <w:p w:rsidR="002A36C5" w:rsidRDefault="002A36C5">
      <w:pPr>
        <w:sectPr w:rsidR="002A36C5" w:rsidSect="007F37B3">
          <w:type w:val="continuous"/>
          <w:pgSz w:w="12240" w:h="15840"/>
          <w:pgMar w:top="460" w:right="1100" w:bottom="280" w:left="1340" w:header="220" w:footer="280" w:gutter="0"/>
          <w:cols w:space="720"/>
          <w:docGrid w:linePitch="299"/>
        </w:sectPr>
      </w:pPr>
    </w:p>
    <w:p w:rsidR="002A36C5" w:rsidRDefault="002A36C5">
      <w:pPr>
        <w:pStyle w:val="BodyText"/>
        <w:rPr>
          <w:sz w:val="20"/>
        </w:rPr>
      </w:pPr>
    </w:p>
    <w:p w:rsidR="002A36C5" w:rsidRDefault="002A36C5">
      <w:pPr>
        <w:pStyle w:val="BodyText"/>
        <w:rPr>
          <w:sz w:val="20"/>
        </w:rPr>
      </w:pPr>
    </w:p>
    <w:p w:rsidR="002A36C5" w:rsidRDefault="002A36C5">
      <w:pPr>
        <w:pStyle w:val="BodyText"/>
        <w:spacing w:before="11"/>
        <w:rPr>
          <w:sz w:val="17"/>
        </w:rPr>
      </w:pPr>
    </w:p>
    <w:p w:rsidR="002A36C5" w:rsidRDefault="007F37B3">
      <w:pPr>
        <w:pStyle w:val="ListParagraph"/>
        <w:numPr>
          <w:ilvl w:val="0"/>
          <w:numId w:val="2"/>
        </w:numPr>
        <w:tabs>
          <w:tab w:val="left" w:pos="461"/>
        </w:tabs>
        <w:spacing w:before="93"/>
        <w:ind w:right="963"/>
      </w:pPr>
      <w:r>
        <w:t>The Hospital provided care through the Service to patients from Massachusetts, Connecticut, Maine, Vermont, New Hampshire, and eastern New York. The number</w:t>
      </w:r>
      <w:r>
        <w:rPr>
          <w:spacing w:val="-21"/>
        </w:rPr>
        <w:t xml:space="preserve"> </w:t>
      </w:r>
      <w:r>
        <w:t>of discharges from the Service by state is shown in the table</w:t>
      </w:r>
      <w:r>
        <w:rPr>
          <w:spacing w:val="-9"/>
        </w:rPr>
        <w:t xml:space="preserve"> </w:t>
      </w:r>
      <w:r>
        <w:t>below:</w:t>
      </w:r>
    </w:p>
    <w:p w:rsidR="002A36C5" w:rsidRDefault="002A36C5">
      <w:pPr>
        <w:pStyle w:val="BodyText"/>
        <w:spacing w:before="1"/>
      </w:pPr>
    </w:p>
    <w:tbl>
      <w:tblPr>
        <w:tblW w:w="0" w:type="auto"/>
        <w:tblInd w:w="2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1457"/>
      </w:tblGrid>
      <w:tr w:rsidR="002A36C5">
        <w:trPr>
          <w:trHeight w:val="460"/>
        </w:trPr>
        <w:tc>
          <w:tcPr>
            <w:tcW w:w="2530" w:type="dxa"/>
            <w:shd w:val="clear" w:color="auto" w:fill="D9D9D9"/>
          </w:tcPr>
          <w:p w:rsidR="002A36C5" w:rsidRDefault="007F37B3">
            <w:pPr>
              <w:pStyle w:val="TableParagraph"/>
              <w:spacing w:before="112"/>
              <w:ind w:left="998" w:right="992"/>
              <w:jc w:val="center"/>
              <w:rPr>
                <w:b/>
                <w:sz w:val="20"/>
              </w:rPr>
            </w:pPr>
            <w:r>
              <w:rPr>
                <w:b/>
                <w:sz w:val="20"/>
              </w:rPr>
              <w:t>State</w:t>
            </w:r>
          </w:p>
        </w:tc>
        <w:tc>
          <w:tcPr>
            <w:tcW w:w="1457" w:type="dxa"/>
            <w:shd w:val="clear" w:color="auto" w:fill="D9D9D9"/>
          </w:tcPr>
          <w:p w:rsidR="002A36C5" w:rsidRDefault="007F37B3">
            <w:pPr>
              <w:pStyle w:val="TableParagraph"/>
              <w:spacing w:before="112"/>
              <w:ind w:left="169" w:right="158"/>
              <w:jc w:val="center"/>
              <w:rPr>
                <w:b/>
                <w:sz w:val="20"/>
              </w:rPr>
            </w:pPr>
            <w:r>
              <w:rPr>
                <w:b/>
                <w:sz w:val="20"/>
              </w:rPr>
              <w:t>Discharges</w:t>
            </w:r>
          </w:p>
        </w:tc>
      </w:tr>
      <w:tr w:rsidR="002A36C5">
        <w:trPr>
          <w:trHeight w:val="230"/>
        </w:trPr>
        <w:tc>
          <w:tcPr>
            <w:tcW w:w="2530" w:type="dxa"/>
          </w:tcPr>
          <w:p w:rsidR="002A36C5" w:rsidRDefault="007F37B3">
            <w:pPr>
              <w:pStyle w:val="TableParagraph"/>
              <w:spacing w:line="210" w:lineRule="exact"/>
              <w:ind w:left="107"/>
              <w:rPr>
                <w:sz w:val="20"/>
              </w:rPr>
            </w:pPr>
            <w:r>
              <w:rPr>
                <w:sz w:val="20"/>
              </w:rPr>
              <w:t>Massachusetts</w:t>
            </w:r>
          </w:p>
        </w:tc>
        <w:tc>
          <w:tcPr>
            <w:tcW w:w="1457" w:type="dxa"/>
          </w:tcPr>
          <w:p w:rsidR="002A36C5" w:rsidRDefault="007F37B3">
            <w:pPr>
              <w:pStyle w:val="TableParagraph"/>
              <w:spacing w:line="210" w:lineRule="exact"/>
              <w:ind w:left="169" w:right="158"/>
              <w:jc w:val="center"/>
              <w:rPr>
                <w:sz w:val="20"/>
              </w:rPr>
            </w:pPr>
            <w:r>
              <w:rPr>
                <w:sz w:val="20"/>
              </w:rPr>
              <w:t>39</w:t>
            </w:r>
          </w:p>
        </w:tc>
      </w:tr>
      <w:tr w:rsidR="002A36C5">
        <w:trPr>
          <w:trHeight w:val="230"/>
        </w:trPr>
        <w:tc>
          <w:tcPr>
            <w:tcW w:w="2530" w:type="dxa"/>
          </w:tcPr>
          <w:p w:rsidR="002A36C5" w:rsidRDefault="007F37B3">
            <w:pPr>
              <w:pStyle w:val="TableParagraph"/>
              <w:spacing w:line="210" w:lineRule="exact"/>
              <w:ind w:left="107"/>
              <w:rPr>
                <w:sz w:val="20"/>
              </w:rPr>
            </w:pPr>
            <w:r>
              <w:rPr>
                <w:sz w:val="20"/>
              </w:rPr>
              <w:t>New York</w:t>
            </w:r>
          </w:p>
        </w:tc>
        <w:tc>
          <w:tcPr>
            <w:tcW w:w="1457" w:type="dxa"/>
          </w:tcPr>
          <w:p w:rsidR="002A36C5" w:rsidRDefault="007F37B3">
            <w:pPr>
              <w:pStyle w:val="TableParagraph"/>
              <w:spacing w:line="210" w:lineRule="exact"/>
              <w:ind w:left="12"/>
              <w:jc w:val="center"/>
              <w:rPr>
                <w:sz w:val="20"/>
              </w:rPr>
            </w:pPr>
            <w:r>
              <w:rPr>
                <w:w w:val="99"/>
                <w:sz w:val="20"/>
              </w:rPr>
              <w:t>9</w:t>
            </w:r>
          </w:p>
        </w:tc>
      </w:tr>
      <w:tr w:rsidR="002A36C5">
        <w:trPr>
          <w:trHeight w:val="230"/>
        </w:trPr>
        <w:tc>
          <w:tcPr>
            <w:tcW w:w="2530" w:type="dxa"/>
          </w:tcPr>
          <w:p w:rsidR="002A36C5" w:rsidRDefault="007F37B3">
            <w:pPr>
              <w:pStyle w:val="TableParagraph"/>
              <w:spacing w:line="210" w:lineRule="exact"/>
              <w:ind w:left="107"/>
              <w:rPr>
                <w:sz w:val="20"/>
              </w:rPr>
            </w:pPr>
            <w:r>
              <w:rPr>
                <w:sz w:val="20"/>
              </w:rPr>
              <w:t>New Hampshire</w:t>
            </w:r>
          </w:p>
        </w:tc>
        <w:tc>
          <w:tcPr>
            <w:tcW w:w="1457" w:type="dxa"/>
          </w:tcPr>
          <w:p w:rsidR="002A36C5" w:rsidRDefault="007F37B3">
            <w:pPr>
              <w:pStyle w:val="TableParagraph"/>
              <w:spacing w:line="210" w:lineRule="exact"/>
              <w:ind w:left="12"/>
              <w:jc w:val="center"/>
              <w:rPr>
                <w:sz w:val="20"/>
              </w:rPr>
            </w:pPr>
            <w:r>
              <w:rPr>
                <w:w w:val="99"/>
                <w:sz w:val="20"/>
              </w:rPr>
              <w:t>6</w:t>
            </w:r>
          </w:p>
        </w:tc>
      </w:tr>
      <w:tr w:rsidR="002A36C5">
        <w:trPr>
          <w:trHeight w:val="230"/>
        </w:trPr>
        <w:tc>
          <w:tcPr>
            <w:tcW w:w="2530" w:type="dxa"/>
          </w:tcPr>
          <w:p w:rsidR="002A36C5" w:rsidRDefault="007F37B3">
            <w:pPr>
              <w:pStyle w:val="TableParagraph"/>
              <w:spacing w:line="210" w:lineRule="exact"/>
              <w:ind w:left="107"/>
              <w:rPr>
                <w:sz w:val="20"/>
              </w:rPr>
            </w:pPr>
            <w:r>
              <w:rPr>
                <w:sz w:val="20"/>
              </w:rPr>
              <w:t>Connecticut</w:t>
            </w:r>
          </w:p>
        </w:tc>
        <w:tc>
          <w:tcPr>
            <w:tcW w:w="1457" w:type="dxa"/>
          </w:tcPr>
          <w:p w:rsidR="002A36C5" w:rsidRDefault="007F37B3">
            <w:pPr>
              <w:pStyle w:val="TableParagraph"/>
              <w:spacing w:line="210" w:lineRule="exact"/>
              <w:ind w:left="12"/>
              <w:jc w:val="center"/>
              <w:rPr>
                <w:sz w:val="20"/>
              </w:rPr>
            </w:pPr>
            <w:r>
              <w:rPr>
                <w:w w:val="99"/>
                <w:sz w:val="20"/>
              </w:rPr>
              <w:t>5</w:t>
            </w:r>
          </w:p>
        </w:tc>
      </w:tr>
      <w:tr w:rsidR="002A36C5">
        <w:trPr>
          <w:trHeight w:val="230"/>
        </w:trPr>
        <w:tc>
          <w:tcPr>
            <w:tcW w:w="2530" w:type="dxa"/>
          </w:tcPr>
          <w:p w:rsidR="002A36C5" w:rsidRDefault="007F37B3">
            <w:pPr>
              <w:pStyle w:val="TableParagraph"/>
              <w:spacing w:line="210" w:lineRule="exact"/>
              <w:ind w:left="107"/>
              <w:rPr>
                <w:sz w:val="20"/>
              </w:rPr>
            </w:pPr>
            <w:r>
              <w:rPr>
                <w:sz w:val="20"/>
              </w:rPr>
              <w:t>Vermont</w:t>
            </w:r>
          </w:p>
        </w:tc>
        <w:tc>
          <w:tcPr>
            <w:tcW w:w="1457" w:type="dxa"/>
          </w:tcPr>
          <w:p w:rsidR="002A36C5" w:rsidRDefault="007F37B3">
            <w:pPr>
              <w:pStyle w:val="TableParagraph"/>
              <w:spacing w:line="210" w:lineRule="exact"/>
              <w:ind w:left="12"/>
              <w:jc w:val="center"/>
              <w:rPr>
                <w:sz w:val="20"/>
              </w:rPr>
            </w:pPr>
            <w:r>
              <w:rPr>
                <w:w w:val="99"/>
                <w:sz w:val="20"/>
              </w:rPr>
              <w:t>4</w:t>
            </w:r>
          </w:p>
        </w:tc>
      </w:tr>
      <w:tr w:rsidR="002A36C5">
        <w:trPr>
          <w:trHeight w:val="230"/>
        </w:trPr>
        <w:tc>
          <w:tcPr>
            <w:tcW w:w="2530" w:type="dxa"/>
          </w:tcPr>
          <w:p w:rsidR="002A36C5" w:rsidRDefault="007F37B3">
            <w:pPr>
              <w:pStyle w:val="TableParagraph"/>
              <w:spacing w:line="210" w:lineRule="exact"/>
              <w:ind w:left="107"/>
              <w:rPr>
                <w:sz w:val="20"/>
              </w:rPr>
            </w:pPr>
            <w:r>
              <w:rPr>
                <w:sz w:val="20"/>
              </w:rPr>
              <w:t>Maine</w:t>
            </w:r>
          </w:p>
        </w:tc>
        <w:tc>
          <w:tcPr>
            <w:tcW w:w="1457" w:type="dxa"/>
          </w:tcPr>
          <w:p w:rsidR="002A36C5" w:rsidRDefault="007F37B3">
            <w:pPr>
              <w:pStyle w:val="TableParagraph"/>
              <w:spacing w:line="210" w:lineRule="exact"/>
              <w:ind w:left="12"/>
              <w:jc w:val="center"/>
              <w:rPr>
                <w:sz w:val="20"/>
              </w:rPr>
            </w:pPr>
            <w:r>
              <w:rPr>
                <w:w w:val="99"/>
                <w:sz w:val="20"/>
              </w:rPr>
              <w:t>1</w:t>
            </w:r>
          </w:p>
        </w:tc>
      </w:tr>
      <w:tr w:rsidR="002A36C5">
        <w:trPr>
          <w:trHeight w:val="230"/>
        </w:trPr>
        <w:tc>
          <w:tcPr>
            <w:tcW w:w="2530" w:type="dxa"/>
          </w:tcPr>
          <w:p w:rsidR="002A36C5" w:rsidRDefault="007F37B3">
            <w:pPr>
              <w:pStyle w:val="TableParagraph"/>
              <w:spacing w:line="210" w:lineRule="exact"/>
              <w:ind w:left="107"/>
              <w:rPr>
                <w:sz w:val="20"/>
              </w:rPr>
            </w:pPr>
            <w:r>
              <w:rPr>
                <w:sz w:val="20"/>
              </w:rPr>
              <w:t>Non-USA</w:t>
            </w:r>
          </w:p>
        </w:tc>
        <w:tc>
          <w:tcPr>
            <w:tcW w:w="1457" w:type="dxa"/>
          </w:tcPr>
          <w:p w:rsidR="002A36C5" w:rsidRDefault="007F37B3">
            <w:pPr>
              <w:pStyle w:val="TableParagraph"/>
              <w:spacing w:line="210" w:lineRule="exact"/>
              <w:ind w:left="12"/>
              <w:jc w:val="center"/>
              <w:rPr>
                <w:sz w:val="20"/>
              </w:rPr>
            </w:pPr>
            <w:r>
              <w:rPr>
                <w:w w:val="99"/>
                <w:sz w:val="20"/>
              </w:rPr>
              <w:t>1</w:t>
            </w:r>
          </w:p>
        </w:tc>
      </w:tr>
      <w:tr w:rsidR="002A36C5">
        <w:trPr>
          <w:trHeight w:val="230"/>
        </w:trPr>
        <w:tc>
          <w:tcPr>
            <w:tcW w:w="2530" w:type="dxa"/>
          </w:tcPr>
          <w:p w:rsidR="002A36C5" w:rsidRDefault="007F37B3">
            <w:pPr>
              <w:pStyle w:val="TableParagraph"/>
              <w:spacing w:line="211" w:lineRule="exact"/>
              <w:ind w:left="107"/>
              <w:rPr>
                <w:b/>
                <w:sz w:val="20"/>
              </w:rPr>
            </w:pPr>
            <w:r>
              <w:rPr>
                <w:b/>
                <w:sz w:val="20"/>
              </w:rPr>
              <w:t>Total Discharges</w:t>
            </w:r>
          </w:p>
        </w:tc>
        <w:tc>
          <w:tcPr>
            <w:tcW w:w="1457" w:type="dxa"/>
          </w:tcPr>
          <w:p w:rsidR="002A36C5" w:rsidRDefault="007F37B3">
            <w:pPr>
              <w:pStyle w:val="TableParagraph"/>
              <w:spacing w:line="211" w:lineRule="exact"/>
              <w:ind w:left="169" w:right="158"/>
              <w:jc w:val="center"/>
              <w:rPr>
                <w:b/>
                <w:sz w:val="20"/>
              </w:rPr>
            </w:pPr>
            <w:r>
              <w:rPr>
                <w:b/>
                <w:sz w:val="20"/>
              </w:rPr>
              <w:t>65</w:t>
            </w:r>
          </w:p>
        </w:tc>
      </w:tr>
    </w:tbl>
    <w:p w:rsidR="002A36C5" w:rsidRDefault="002A36C5">
      <w:pPr>
        <w:pStyle w:val="BodyText"/>
        <w:spacing w:before="10"/>
        <w:rPr>
          <w:sz w:val="21"/>
        </w:rPr>
      </w:pPr>
    </w:p>
    <w:p w:rsidR="002A36C5" w:rsidRDefault="007F37B3">
      <w:pPr>
        <w:pStyle w:val="BodyText"/>
        <w:ind w:left="460" w:right="600"/>
      </w:pPr>
      <w:r>
        <w:t>Within these regions, there are alternative delivery sites with adequate space, skill, and resources to handle the increased patient volumes from patients who would be eligible for admission to the Service (“Patients”). Information regarding alternative de</w:t>
      </w:r>
      <w:r>
        <w:t>livery sites was obtained using publicly available information, including hospital websites.</w:t>
      </w:r>
    </w:p>
    <w:p w:rsidR="002A36C5" w:rsidRDefault="002A36C5">
      <w:pPr>
        <w:pStyle w:val="BodyText"/>
      </w:pPr>
    </w:p>
    <w:p w:rsidR="002A36C5" w:rsidRDefault="007F37B3">
      <w:pPr>
        <w:pStyle w:val="BodyText"/>
        <w:ind w:left="460" w:right="447"/>
      </w:pPr>
      <w:r>
        <w:t>In western Massachusetts, Mercy Rehabilitation at Mercy Medical Center, located in Springfield, a short distance from Shriners Hospitals for Children, has a dedic</w:t>
      </w:r>
      <w:r>
        <w:t xml:space="preserve">ated Inpatient Rehabilitation Service with adequate capacity, skill, and resources </w:t>
      </w:r>
      <w:r>
        <w:rPr>
          <w:spacing w:val="2"/>
        </w:rPr>
        <w:t xml:space="preserve">to </w:t>
      </w:r>
      <w:r>
        <w:t>accept patients with complex medical conditions starting at age 13. This program is accredited by the Commission for the Accreditation of Rehabilitation Facilities (CARF)</w:t>
      </w:r>
      <w:r>
        <w:t>, supporting the</w:t>
      </w:r>
      <w:r>
        <w:rPr>
          <w:spacing w:val="-29"/>
        </w:rPr>
        <w:t xml:space="preserve"> </w:t>
      </w:r>
      <w:r>
        <w:t>highest quality of care in this type of service. Additionally, Encompass Health Rehabilitation Hospital, located in Ludlow, accepts patients 16 and older with complex medical conditions requiring the same type of physical, occupational, an</w:t>
      </w:r>
      <w:r>
        <w:t>d speech therapy provided at Shriners Hospitals for Children. The program at Encompass is accredited by the Joint Commission with their Gold Seal of approval for stroke, spinal cord and brain injury rehabilitation. Age- appropriate Patients from western Ma</w:t>
      </w:r>
      <w:r>
        <w:t>ssachusetts and beyond could be served at these alternative</w:t>
      </w:r>
      <w:r>
        <w:rPr>
          <w:spacing w:val="-1"/>
        </w:rPr>
        <w:t xml:space="preserve"> </w:t>
      </w:r>
      <w:r>
        <w:t>sites.</w:t>
      </w:r>
    </w:p>
    <w:p w:rsidR="002A36C5" w:rsidRDefault="002A36C5">
      <w:pPr>
        <w:pStyle w:val="BodyText"/>
      </w:pPr>
    </w:p>
    <w:p w:rsidR="002A36C5" w:rsidRDefault="007F37B3">
      <w:pPr>
        <w:pStyle w:val="BodyText"/>
        <w:ind w:left="460" w:right="417"/>
      </w:pPr>
      <w:r>
        <w:t>In eastern Massachusetts, Spaulding Rehabilitation Hospital, located in Boston, accepts patients from birth to adult with complex medical conditions including those with tracheostomies. This program is accredited by CARF and is consistently ranked as one o</w:t>
      </w:r>
      <w:r>
        <w:t>f the top rehabilitation hospitals in the country.. Additionally, Franciscan Children’s, located in Brighton and accepts patients from birth to 18 years with complex medical conditions, including those who are the most medically unstable on mechanical vent</w:t>
      </w:r>
      <w:r>
        <w:t>ilators. These two programs are the preferred destination for most pediatric inpatient rehabilitation referrals in Massachusetts because of the longevity and strength of their programs and national reputation for pediatric inpatient rehabilitation services</w:t>
      </w:r>
      <w:r>
        <w:t>. Patients from Maine, Vermont, New Hampshire, as well as those from western Massachusetts, could be served at these alternative</w:t>
      </w:r>
      <w:r>
        <w:rPr>
          <w:spacing w:val="-1"/>
        </w:rPr>
        <w:t xml:space="preserve"> </w:t>
      </w:r>
      <w:r>
        <w:t>sites.</w:t>
      </w:r>
    </w:p>
    <w:p w:rsidR="002A36C5" w:rsidRDefault="002A36C5">
      <w:pPr>
        <w:pStyle w:val="BodyText"/>
        <w:spacing w:before="1"/>
      </w:pPr>
    </w:p>
    <w:p w:rsidR="002A36C5" w:rsidRDefault="007F37B3">
      <w:pPr>
        <w:pStyle w:val="BodyText"/>
        <w:ind w:left="460" w:right="344"/>
      </w:pPr>
      <w:r>
        <w:t xml:space="preserve">In Connecticut, the Hospital for Special Care, located in New Britain, accepts patients starting at age 16 who require </w:t>
      </w:r>
      <w:r>
        <w:t>complex medical care, including those with brain injury, spinal cord injury, neuromuscular needs, wound care needs, tracheostomy, and requiring mechanical ventilation. Additionally, Gaylord Specialty Rehabilitation Hospital, located in Wallingford, is anot</w:t>
      </w:r>
      <w:r>
        <w:t>her CARF-accredited facility that accepts patients age 16 and older with</w:t>
      </w:r>
    </w:p>
    <w:p w:rsidR="002A36C5" w:rsidRDefault="002A36C5">
      <w:pPr>
        <w:sectPr w:rsidR="002A36C5">
          <w:headerReference w:type="default" r:id="rId10"/>
          <w:pgSz w:w="12240" w:h="15840"/>
          <w:pgMar w:top="960" w:right="1100" w:bottom="280" w:left="1340" w:header="724" w:footer="0" w:gutter="0"/>
          <w:pgNumType w:start="2"/>
          <w:cols w:space="720"/>
        </w:sectPr>
      </w:pPr>
    </w:p>
    <w:p w:rsidR="002A36C5" w:rsidRDefault="002A36C5">
      <w:pPr>
        <w:pStyle w:val="BodyText"/>
        <w:rPr>
          <w:sz w:val="20"/>
        </w:rPr>
      </w:pPr>
    </w:p>
    <w:p w:rsidR="002A36C5" w:rsidRDefault="002A36C5">
      <w:pPr>
        <w:pStyle w:val="BodyText"/>
        <w:spacing w:before="9"/>
        <w:rPr>
          <w:sz w:val="15"/>
        </w:rPr>
      </w:pPr>
    </w:p>
    <w:p w:rsidR="002A36C5" w:rsidRDefault="007F37B3">
      <w:pPr>
        <w:pStyle w:val="BodyText"/>
        <w:spacing w:before="94"/>
        <w:ind w:left="460" w:right="399"/>
      </w:pPr>
      <w:r>
        <w:t>complex medical conditions. Age-appropriate Patients from Connecticut and western Massachusetts could be served by these alternative sites.</w:t>
      </w:r>
    </w:p>
    <w:p w:rsidR="002A36C5" w:rsidRDefault="002A36C5">
      <w:pPr>
        <w:pStyle w:val="BodyText"/>
        <w:spacing w:before="11"/>
        <w:rPr>
          <w:sz w:val="21"/>
        </w:rPr>
      </w:pPr>
    </w:p>
    <w:p w:rsidR="002A36C5" w:rsidRDefault="007F37B3">
      <w:pPr>
        <w:pStyle w:val="BodyText"/>
        <w:ind w:left="460" w:right="380"/>
      </w:pPr>
      <w:r>
        <w:t xml:space="preserve">Finally, in New York, Sunnyview Rehabilitation Hospital, located in Schenectady, accepts patients from birth to 18 </w:t>
      </w:r>
      <w:r>
        <w:t>years and provides inpatient rehabilitation care for complex medical conditions including orthopaedic, neuromuscular, brain injuries and spinal cord injuries.</w:t>
      </w:r>
    </w:p>
    <w:p w:rsidR="002A36C5" w:rsidRDefault="007F37B3">
      <w:pPr>
        <w:pStyle w:val="BodyText"/>
        <w:spacing w:before="2"/>
        <w:ind w:left="460"/>
      </w:pPr>
      <w:r>
        <w:t>Patients from New York could be served by this alternative site.</w:t>
      </w:r>
    </w:p>
    <w:p w:rsidR="002A36C5" w:rsidRDefault="002A36C5">
      <w:pPr>
        <w:pStyle w:val="BodyText"/>
        <w:spacing w:before="9"/>
        <w:rPr>
          <w:sz w:val="21"/>
        </w:rPr>
      </w:pPr>
    </w:p>
    <w:p w:rsidR="002A36C5" w:rsidRDefault="007F37B3">
      <w:pPr>
        <w:pStyle w:val="BodyText"/>
        <w:ind w:left="460" w:right="355"/>
      </w:pPr>
      <w:r>
        <w:t>All of these alternative sites are specifically licensed to provide inpatient rehabilitation services that include at least 3 hours of physical, occupational and speech therapy at least 5 days each week and have adequate space, skill, and resources to care</w:t>
      </w:r>
      <w:r>
        <w:t xml:space="preserve"> for Patients.</w:t>
      </w:r>
    </w:p>
    <w:p w:rsidR="002A36C5" w:rsidRDefault="007F37B3">
      <w:pPr>
        <w:pStyle w:val="BodyText"/>
        <w:spacing w:before="2"/>
        <w:ind w:left="460" w:right="404"/>
      </w:pPr>
      <w:r>
        <w:t xml:space="preserve">Because of the low number of Patients from any one region, and the low utilization of the Service, there would be no material impact on capacity at any of the alternative hospitals. Other specific information requested regarding alternative </w:t>
      </w:r>
      <w:r>
        <w:t>sites (utilization, medical diagnosis, space) is not publically available, but the Hospital presumes that each alternative site is capable of providing the service for which it is licensed in accordance with applicable requirements.</w:t>
      </w:r>
    </w:p>
    <w:p w:rsidR="002A36C5" w:rsidRDefault="002A36C5">
      <w:pPr>
        <w:pStyle w:val="BodyText"/>
        <w:spacing w:before="1"/>
      </w:pPr>
    </w:p>
    <w:p w:rsidR="002A36C5" w:rsidRDefault="007F37B3">
      <w:pPr>
        <w:pStyle w:val="ListParagraph"/>
        <w:numPr>
          <w:ilvl w:val="0"/>
          <w:numId w:val="2"/>
        </w:numPr>
        <w:tabs>
          <w:tab w:val="left" w:pos="461"/>
        </w:tabs>
        <w:ind w:right="615"/>
      </w:pPr>
      <w:r>
        <w:t xml:space="preserve">The table below shows </w:t>
      </w:r>
      <w:r>
        <w:t>travel times from discharging acute care hospitals to Shriners Hospitals for Children – Springfield, and from discharging acute care hospitals to potential alternative service delivery sites for both peak and non-peak travel times. All travel times (hours:</w:t>
      </w:r>
      <w:r>
        <w:t xml:space="preserve"> minutes) were calculated using Google</w:t>
      </w:r>
      <w:r>
        <w:rPr>
          <w:spacing w:val="-2"/>
        </w:rPr>
        <w:t xml:space="preserve"> </w:t>
      </w:r>
      <w:r>
        <w:t>Maps.</w:t>
      </w:r>
    </w:p>
    <w:p w:rsidR="002A36C5" w:rsidRDefault="002A36C5">
      <w:pPr>
        <w:pStyle w:val="BodyText"/>
        <w:spacing w:before="2"/>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078"/>
        <w:gridCol w:w="933"/>
        <w:gridCol w:w="3555"/>
        <w:gridCol w:w="1029"/>
        <w:gridCol w:w="969"/>
      </w:tblGrid>
      <w:tr w:rsidR="002A36C5">
        <w:trPr>
          <w:trHeight w:val="757"/>
        </w:trPr>
        <w:tc>
          <w:tcPr>
            <w:tcW w:w="1519" w:type="dxa"/>
            <w:vMerge w:val="restart"/>
            <w:shd w:val="clear" w:color="auto" w:fill="D9D9D9"/>
          </w:tcPr>
          <w:p w:rsidR="002A36C5" w:rsidRDefault="002A36C5">
            <w:pPr>
              <w:pStyle w:val="TableParagraph"/>
              <w:spacing w:before="10"/>
              <w:rPr>
                <w:sz w:val="21"/>
              </w:rPr>
            </w:pPr>
          </w:p>
          <w:p w:rsidR="002A36C5" w:rsidRDefault="007F37B3">
            <w:pPr>
              <w:pStyle w:val="TableParagraph"/>
              <w:ind w:left="122" w:right="109"/>
              <w:jc w:val="center"/>
              <w:rPr>
                <w:b/>
              </w:rPr>
            </w:pPr>
            <w:r>
              <w:rPr>
                <w:b/>
              </w:rPr>
              <w:t>Discharging Acute Care Hospital</w:t>
            </w:r>
          </w:p>
        </w:tc>
        <w:tc>
          <w:tcPr>
            <w:tcW w:w="2011" w:type="dxa"/>
            <w:gridSpan w:val="2"/>
            <w:shd w:val="clear" w:color="auto" w:fill="D9D9D9"/>
          </w:tcPr>
          <w:p w:rsidR="002A36C5" w:rsidRDefault="007F37B3">
            <w:pPr>
              <w:pStyle w:val="TableParagraph"/>
              <w:ind w:left="259" w:right="244"/>
              <w:jc w:val="center"/>
              <w:rPr>
                <w:b/>
              </w:rPr>
            </w:pPr>
            <w:r>
              <w:rPr>
                <w:b/>
              </w:rPr>
              <w:t>Travel Time to Shriners</w:t>
            </w:r>
          </w:p>
          <w:p w:rsidR="002A36C5" w:rsidRDefault="007F37B3">
            <w:pPr>
              <w:pStyle w:val="TableParagraph"/>
              <w:spacing w:line="237" w:lineRule="exact"/>
              <w:ind w:left="254" w:right="244"/>
              <w:jc w:val="center"/>
              <w:rPr>
                <w:b/>
              </w:rPr>
            </w:pPr>
            <w:r>
              <w:rPr>
                <w:b/>
              </w:rPr>
              <w:t>Springfield</w:t>
            </w:r>
          </w:p>
        </w:tc>
        <w:tc>
          <w:tcPr>
            <w:tcW w:w="3555" w:type="dxa"/>
            <w:vMerge w:val="restart"/>
            <w:shd w:val="clear" w:color="auto" w:fill="D9D9D9"/>
          </w:tcPr>
          <w:p w:rsidR="002A36C5" w:rsidRDefault="002A36C5">
            <w:pPr>
              <w:pStyle w:val="TableParagraph"/>
              <w:rPr>
                <w:sz w:val="24"/>
              </w:rPr>
            </w:pPr>
          </w:p>
          <w:p w:rsidR="002A36C5" w:rsidRDefault="002A36C5">
            <w:pPr>
              <w:pStyle w:val="TableParagraph"/>
              <w:rPr>
                <w:sz w:val="20"/>
              </w:rPr>
            </w:pPr>
          </w:p>
          <w:p w:rsidR="002A36C5" w:rsidRDefault="007F37B3">
            <w:pPr>
              <w:pStyle w:val="TableParagraph"/>
              <w:ind w:left="977"/>
              <w:rPr>
                <w:b/>
              </w:rPr>
            </w:pPr>
            <w:r>
              <w:rPr>
                <w:b/>
              </w:rPr>
              <w:t>Alternative Site</w:t>
            </w:r>
          </w:p>
        </w:tc>
        <w:tc>
          <w:tcPr>
            <w:tcW w:w="1029" w:type="dxa"/>
            <w:vMerge w:val="restart"/>
            <w:shd w:val="clear" w:color="auto" w:fill="D9D9D9"/>
          </w:tcPr>
          <w:p w:rsidR="002A36C5" w:rsidRDefault="007F37B3">
            <w:pPr>
              <w:pStyle w:val="TableParagraph"/>
              <w:spacing w:before="127"/>
              <w:ind w:left="190" w:right="179" w:firstLine="2"/>
              <w:jc w:val="center"/>
              <w:rPr>
                <w:b/>
              </w:rPr>
            </w:pPr>
            <w:r>
              <w:rPr>
                <w:b/>
              </w:rPr>
              <w:t>Non- Peak Travel Time</w:t>
            </w:r>
          </w:p>
        </w:tc>
        <w:tc>
          <w:tcPr>
            <w:tcW w:w="969" w:type="dxa"/>
            <w:vMerge w:val="restart"/>
            <w:shd w:val="clear" w:color="auto" w:fill="D9D9D9"/>
          </w:tcPr>
          <w:p w:rsidR="002A36C5" w:rsidRDefault="002A36C5">
            <w:pPr>
              <w:pStyle w:val="TableParagraph"/>
              <w:spacing w:before="10"/>
              <w:rPr>
                <w:sz w:val="21"/>
              </w:rPr>
            </w:pPr>
          </w:p>
          <w:p w:rsidR="002A36C5" w:rsidRDefault="007F37B3">
            <w:pPr>
              <w:pStyle w:val="TableParagraph"/>
              <w:ind w:left="162" w:right="146" w:firstLine="1"/>
              <w:jc w:val="center"/>
              <w:rPr>
                <w:b/>
              </w:rPr>
            </w:pPr>
            <w:r>
              <w:rPr>
                <w:b/>
              </w:rPr>
              <w:t>Peak Travel Time</w:t>
            </w:r>
          </w:p>
        </w:tc>
      </w:tr>
      <w:tr w:rsidR="002A36C5">
        <w:trPr>
          <w:trHeight w:val="506"/>
        </w:trPr>
        <w:tc>
          <w:tcPr>
            <w:tcW w:w="1519" w:type="dxa"/>
            <w:vMerge/>
            <w:tcBorders>
              <w:top w:val="nil"/>
            </w:tcBorders>
            <w:shd w:val="clear" w:color="auto" w:fill="D9D9D9"/>
          </w:tcPr>
          <w:p w:rsidR="002A36C5" w:rsidRDefault="002A36C5">
            <w:pPr>
              <w:rPr>
                <w:sz w:val="2"/>
                <w:szCs w:val="2"/>
              </w:rPr>
            </w:pPr>
          </w:p>
        </w:tc>
        <w:tc>
          <w:tcPr>
            <w:tcW w:w="1078" w:type="dxa"/>
            <w:shd w:val="clear" w:color="auto" w:fill="D9D9D9"/>
          </w:tcPr>
          <w:p w:rsidR="002A36C5" w:rsidRDefault="007F37B3">
            <w:pPr>
              <w:pStyle w:val="TableParagraph"/>
              <w:spacing w:line="248" w:lineRule="exact"/>
              <w:ind w:left="286"/>
              <w:rPr>
                <w:b/>
              </w:rPr>
            </w:pPr>
            <w:r>
              <w:rPr>
                <w:b/>
              </w:rPr>
              <w:t>Non-</w:t>
            </w:r>
          </w:p>
          <w:p w:rsidR="002A36C5" w:rsidRDefault="007F37B3">
            <w:pPr>
              <w:pStyle w:val="TableParagraph"/>
              <w:spacing w:before="2" w:line="237" w:lineRule="exact"/>
              <w:ind w:left="281"/>
              <w:rPr>
                <w:b/>
              </w:rPr>
            </w:pPr>
            <w:r>
              <w:rPr>
                <w:b/>
              </w:rPr>
              <w:t>Peak</w:t>
            </w:r>
          </w:p>
        </w:tc>
        <w:tc>
          <w:tcPr>
            <w:tcW w:w="933" w:type="dxa"/>
            <w:shd w:val="clear" w:color="auto" w:fill="D9D9D9"/>
          </w:tcPr>
          <w:p w:rsidR="002A36C5" w:rsidRDefault="007F37B3">
            <w:pPr>
              <w:pStyle w:val="TableParagraph"/>
              <w:spacing w:before="122"/>
              <w:ind w:left="211"/>
              <w:rPr>
                <w:b/>
              </w:rPr>
            </w:pPr>
            <w:r>
              <w:rPr>
                <w:b/>
              </w:rPr>
              <w:t>Peak</w:t>
            </w:r>
          </w:p>
        </w:tc>
        <w:tc>
          <w:tcPr>
            <w:tcW w:w="3555" w:type="dxa"/>
            <w:vMerge/>
            <w:tcBorders>
              <w:top w:val="nil"/>
            </w:tcBorders>
            <w:shd w:val="clear" w:color="auto" w:fill="D9D9D9"/>
          </w:tcPr>
          <w:p w:rsidR="002A36C5" w:rsidRDefault="002A36C5">
            <w:pPr>
              <w:rPr>
                <w:sz w:val="2"/>
                <w:szCs w:val="2"/>
              </w:rPr>
            </w:pPr>
          </w:p>
        </w:tc>
        <w:tc>
          <w:tcPr>
            <w:tcW w:w="1029" w:type="dxa"/>
            <w:vMerge/>
            <w:tcBorders>
              <w:top w:val="nil"/>
            </w:tcBorders>
            <w:shd w:val="clear" w:color="auto" w:fill="D9D9D9"/>
          </w:tcPr>
          <w:p w:rsidR="002A36C5" w:rsidRDefault="002A36C5">
            <w:pPr>
              <w:rPr>
                <w:sz w:val="2"/>
                <w:szCs w:val="2"/>
              </w:rPr>
            </w:pPr>
          </w:p>
        </w:tc>
        <w:tc>
          <w:tcPr>
            <w:tcW w:w="969" w:type="dxa"/>
            <w:vMerge/>
            <w:tcBorders>
              <w:top w:val="nil"/>
            </w:tcBorders>
            <w:shd w:val="clear" w:color="auto" w:fill="D9D9D9"/>
          </w:tcPr>
          <w:p w:rsidR="002A36C5" w:rsidRDefault="002A36C5">
            <w:pPr>
              <w:rPr>
                <w:sz w:val="2"/>
                <w:szCs w:val="2"/>
              </w:rPr>
            </w:pPr>
          </w:p>
        </w:tc>
      </w:tr>
      <w:tr w:rsidR="002A36C5">
        <w:trPr>
          <w:trHeight w:val="253"/>
        </w:trPr>
        <w:tc>
          <w:tcPr>
            <w:tcW w:w="1519" w:type="dxa"/>
            <w:vMerge w:val="restart"/>
          </w:tcPr>
          <w:p w:rsidR="002A36C5" w:rsidRDefault="002A36C5">
            <w:pPr>
              <w:pStyle w:val="TableParagraph"/>
              <w:spacing w:before="7"/>
              <w:rPr>
                <w:sz w:val="34"/>
              </w:rPr>
            </w:pPr>
          </w:p>
          <w:p w:rsidR="002A36C5" w:rsidRDefault="007F37B3">
            <w:pPr>
              <w:pStyle w:val="TableParagraph"/>
              <w:ind w:left="105" w:right="161"/>
            </w:pPr>
            <w:r>
              <w:t>Shriners Hospitals for Children</w:t>
            </w:r>
          </w:p>
        </w:tc>
        <w:tc>
          <w:tcPr>
            <w:tcW w:w="1078" w:type="dxa"/>
            <w:vMerge w:val="restart"/>
          </w:tcPr>
          <w:p w:rsidR="002A36C5" w:rsidRDefault="002A36C5">
            <w:pPr>
              <w:pStyle w:val="TableParagraph"/>
              <w:rPr>
                <w:sz w:val="24"/>
              </w:rPr>
            </w:pPr>
          </w:p>
          <w:p w:rsidR="002A36C5" w:rsidRDefault="002A36C5">
            <w:pPr>
              <w:pStyle w:val="TableParagraph"/>
              <w:spacing w:before="6"/>
              <w:rPr>
                <w:sz w:val="32"/>
              </w:rPr>
            </w:pPr>
          </w:p>
          <w:p w:rsidR="002A36C5" w:rsidRDefault="007F37B3">
            <w:pPr>
              <w:pStyle w:val="TableParagraph"/>
              <w:ind w:left="364" w:right="357"/>
              <w:jc w:val="center"/>
            </w:pPr>
            <w:r>
              <w:t>n/a</w:t>
            </w:r>
          </w:p>
        </w:tc>
        <w:tc>
          <w:tcPr>
            <w:tcW w:w="933" w:type="dxa"/>
            <w:vMerge w:val="restart"/>
          </w:tcPr>
          <w:p w:rsidR="002A36C5" w:rsidRDefault="002A36C5">
            <w:pPr>
              <w:pStyle w:val="TableParagraph"/>
              <w:rPr>
                <w:sz w:val="24"/>
              </w:rPr>
            </w:pPr>
          </w:p>
          <w:p w:rsidR="002A36C5" w:rsidRDefault="002A36C5">
            <w:pPr>
              <w:pStyle w:val="TableParagraph"/>
              <w:spacing w:before="6"/>
              <w:rPr>
                <w:sz w:val="32"/>
              </w:rPr>
            </w:pPr>
          </w:p>
          <w:p w:rsidR="002A36C5" w:rsidRDefault="007F37B3">
            <w:pPr>
              <w:pStyle w:val="TableParagraph"/>
              <w:ind w:left="314"/>
            </w:pPr>
            <w:r>
              <w:t>n/a</w:t>
            </w:r>
          </w:p>
        </w:tc>
        <w:tc>
          <w:tcPr>
            <w:tcW w:w="3555" w:type="dxa"/>
          </w:tcPr>
          <w:p w:rsidR="002A36C5" w:rsidRDefault="007F37B3">
            <w:pPr>
              <w:pStyle w:val="TableParagraph"/>
              <w:spacing w:line="234" w:lineRule="exact"/>
              <w:ind w:left="108"/>
            </w:pPr>
            <w:r>
              <w:t>Mercy Rehabilitation</w:t>
            </w:r>
          </w:p>
        </w:tc>
        <w:tc>
          <w:tcPr>
            <w:tcW w:w="1029" w:type="dxa"/>
          </w:tcPr>
          <w:p w:rsidR="002A36C5" w:rsidRDefault="007F37B3">
            <w:pPr>
              <w:pStyle w:val="TableParagraph"/>
              <w:spacing w:line="234" w:lineRule="exact"/>
              <w:ind w:left="281" w:right="269"/>
              <w:jc w:val="center"/>
            </w:pPr>
            <w:r>
              <w:t>0:10</w:t>
            </w:r>
          </w:p>
        </w:tc>
        <w:tc>
          <w:tcPr>
            <w:tcW w:w="969" w:type="dxa"/>
          </w:tcPr>
          <w:p w:rsidR="002A36C5" w:rsidRDefault="007F37B3">
            <w:pPr>
              <w:pStyle w:val="TableParagraph"/>
              <w:spacing w:line="234" w:lineRule="exact"/>
              <w:ind w:left="251" w:right="234"/>
              <w:jc w:val="center"/>
            </w:pPr>
            <w:r>
              <w:t>0:10</w:t>
            </w:r>
          </w:p>
        </w:tc>
      </w:tr>
      <w:tr w:rsidR="002A36C5">
        <w:trPr>
          <w:trHeight w:val="506"/>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7F37B3">
            <w:pPr>
              <w:pStyle w:val="TableParagraph"/>
              <w:spacing w:before="2" w:line="252" w:lineRule="exact"/>
              <w:ind w:left="108" w:right="176"/>
            </w:pPr>
            <w:r>
              <w:t>Encompass Health Rehabilitation Hospital</w:t>
            </w:r>
          </w:p>
        </w:tc>
        <w:tc>
          <w:tcPr>
            <w:tcW w:w="1029" w:type="dxa"/>
          </w:tcPr>
          <w:p w:rsidR="002A36C5" w:rsidRDefault="007F37B3">
            <w:pPr>
              <w:pStyle w:val="TableParagraph"/>
              <w:spacing w:before="122"/>
              <w:ind w:left="281" w:right="269"/>
              <w:jc w:val="center"/>
            </w:pPr>
            <w:r>
              <w:t>0:16</w:t>
            </w:r>
          </w:p>
        </w:tc>
        <w:tc>
          <w:tcPr>
            <w:tcW w:w="969" w:type="dxa"/>
          </w:tcPr>
          <w:p w:rsidR="002A36C5" w:rsidRDefault="007F37B3">
            <w:pPr>
              <w:pStyle w:val="TableParagraph"/>
              <w:spacing w:before="122"/>
              <w:ind w:left="251" w:right="234"/>
              <w:jc w:val="center"/>
            </w:pPr>
            <w:r>
              <w:t>0:24</w:t>
            </w:r>
          </w:p>
        </w:tc>
      </w:tr>
      <w:tr w:rsidR="002A36C5">
        <w:trPr>
          <w:trHeight w:val="251"/>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7F37B3">
            <w:pPr>
              <w:pStyle w:val="TableParagraph"/>
              <w:spacing w:line="232" w:lineRule="exact"/>
              <w:ind w:left="108"/>
            </w:pPr>
            <w:r>
              <w:t>Hospital for Special Care</w:t>
            </w:r>
          </w:p>
        </w:tc>
        <w:tc>
          <w:tcPr>
            <w:tcW w:w="1029" w:type="dxa"/>
          </w:tcPr>
          <w:p w:rsidR="002A36C5" w:rsidRDefault="007F37B3">
            <w:pPr>
              <w:pStyle w:val="TableParagraph"/>
              <w:spacing w:line="232" w:lineRule="exact"/>
              <w:ind w:left="281" w:right="269"/>
              <w:jc w:val="center"/>
            </w:pPr>
            <w:r>
              <w:t>0:40</w:t>
            </w:r>
          </w:p>
        </w:tc>
        <w:tc>
          <w:tcPr>
            <w:tcW w:w="969" w:type="dxa"/>
          </w:tcPr>
          <w:p w:rsidR="002A36C5" w:rsidRDefault="007F37B3">
            <w:pPr>
              <w:pStyle w:val="TableParagraph"/>
              <w:spacing w:line="232" w:lineRule="exact"/>
              <w:ind w:left="251" w:right="234"/>
              <w:jc w:val="center"/>
            </w:pPr>
            <w:r>
              <w:t>1:00</w:t>
            </w:r>
          </w:p>
        </w:tc>
      </w:tr>
      <w:tr w:rsidR="002A36C5">
        <w:trPr>
          <w:trHeight w:val="254"/>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7F37B3">
            <w:pPr>
              <w:pStyle w:val="TableParagraph"/>
              <w:spacing w:line="234" w:lineRule="exact"/>
              <w:ind w:left="108"/>
            </w:pPr>
            <w:r>
              <w:t>Franciscan Children's</w:t>
            </w:r>
          </w:p>
        </w:tc>
        <w:tc>
          <w:tcPr>
            <w:tcW w:w="1029" w:type="dxa"/>
          </w:tcPr>
          <w:p w:rsidR="002A36C5" w:rsidRDefault="007F37B3">
            <w:pPr>
              <w:pStyle w:val="TableParagraph"/>
              <w:spacing w:line="234" w:lineRule="exact"/>
              <w:ind w:left="281" w:right="269"/>
              <w:jc w:val="center"/>
            </w:pPr>
            <w:r>
              <w:t>1:20</w:t>
            </w:r>
          </w:p>
        </w:tc>
        <w:tc>
          <w:tcPr>
            <w:tcW w:w="969" w:type="dxa"/>
          </w:tcPr>
          <w:p w:rsidR="002A36C5" w:rsidRDefault="007F37B3">
            <w:pPr>
              <w:pStyle w:val="TableParagraph"/>
              <w:spacing w:line="234" w:lineRule="exact"/>
              <w:ind w:left="248" w:right="236"/>
              <w:jc w:val="center"/>
            </w:pPr>
            <w:r>
              <w:t>1:50</w:t>
            </w:r>
          </w:p>
        </w:tc>
      </w:tr>
      <w:tr w:rsidR="002A36C5">
        <w:trPr>
          <w:trHeight w:val="251"/>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7F37B3">
            <w:pPr>
              <w:pStyle w:val="TableParagraph"/>
              <w:spacing w:line="232" w:lineRule="exact"/>
              <w:ind w:left="108"/>
            </w:pPr>
            <w:r>
              <w:t>Spaulding Rehabilitation Hospital</w:t>
            </w:r>
          </w:p>
        </w:tc>
        <w:tc>
          <w:tcPr>
            <w:tcW w:w="1029" w:type="dxa"/>
          </w:tcPr>
          <w:p w:rsidR="002A36C5" w:rsidRDefault="007F37B3">
            <w:pPr>
              <w:pStyle w:val="TableParagraph"/>
              <w:spacing w:line="232" w:lineRule="exact"/>
              <w:ind w:left="281" w:right="269"/>
              <w:jc w:val="center"/>
            </w:pPr>
            <w:r>
              <w:t>1:25</w:t>
            </w:r>
          </w:p>
        </w:tc>
        <w:tc>
          <w:tcPr>
            <w:tcW w:w="969" w:type="dxa"/>
          </w:tcPr>
          <w:p w:rsidR="002A36C5" w:rsidRDefault="007F37B3">
            <w:pPr>
              <w:pStyle w:val="TableParagraph"/>
              <w:spacing w:line="232" w:lineRule="exact"/>
              <w:ind w:left="251" w:right="234"/>
              <w:jc w:val="center"/>
            </w:pPr>
            <w:r>
              <w:t>2:00</w:t>
            </w:r>
          </w:p>
        </w:tc>
      </w:tr>
      <w:tr w:rsidR="002A36C5">
        <w:trPr>
          <w:trHeight w:val="254"/>
        </w:trPr>
        <w:tc>
          <w:tcPr>
            <w:tcW w:w="1519" w:type="dxa"/>
            <w:vMerge w:val="restart"/>
          </w:tcPr>
          <w:p w:rsidR="002A36C5" w:rsidRDefault="002A36C5">
            <w:pPr>
              <w:pStyle w:val="TableParagraph"/>
              <w:spacing w:before="7"/>
              <w:rPr>
                <w:sz w:val="34"/>
              </w:rPr>
            </w:pPr>
          </w:p>
          <w:p w:rsidR="002A36C5" w:rsidRDefault="007F37B3">
            <w:pPr>
              <w:pStyle w:val="TableParagraph"/>
              <w:ind w:left="105" w:right="405"/>
            </w:pPr>
            <w:r>
              <w:t>Baystate Children’s Hospital</w:t>
            </w:r>
          </w:p>
        </w:tc>
        <w:tc>
          <w:tcPr>
            <w:tcW w:w="1078" w:type="dxa"/>
            <w:vMerge w:val="restart"/>
          </w:tcPr>
          <w:p w:rsidR="002A36C5" w:rsidRDefault="002A36C5">
            <w:pPr>
              <w:pStyle w:val="TableParagraph"/>
              <w:rPr>
                <w:sz w:val="24"/>
              </w:rPr>
            </w:pPr>
          </w:p>
          <w:p w:rsidR="002A36C5" w:rsidRDefault="002A36C5">
            <w:pPr>
              <w:pStyle w:val="TableParagraph"/>
              <w:spacing w:before="6"/>
              <w:rPr>
                <w:sz w:val="32"/>
              </w:rPr>
            </w:pPr>
          </w:p>
          <w:p w:rsidR="002A36C5" w:rsidRDefault="007F37B3">
            <w:pPr>
              <w:pStyle w:val="TableParagraph"/>
              <w:ind w:left="324"/>
            </w:pPr>
            <w:r>
              <w:t>0:05</w:t>
            </w:r>
          </w:p>
        </w:tc>
        <w:tc>
          <w:tcPr>
            <w:tcW w:w="933" w:type="dxa"/>
            <w:vMerge w:val="restart"/>
          </w:tcPr>
          <w:p w:rsidR="002A36C5" w:rsidRDefault="002A36C5">
            <w:pPr>
              <w:pStyle w:val="TableParagraph"/>
              <w:rPr>
                <w:sz w:val="24"/>
              </w:rPr>
            </w:pPr>
          </w:p>
          <w:p w:rsidR="002A36C5" w:rsidRDefault="002A36C5">
            <w:pPr>
              <w:pStyle w:val="TableParagraph"/>
              <w:spacing w:before="6"/>
              <w:rPr>
                <w:sz w:val="32"/>
              </w:rPr>
            </w:pPr>
          </w:p>
          <w:p w:rsidR="002A36C5" w:rsidRDefault="007F37B3">
            <w:pPr>
              <w:pStyle w:val="TableParagraph"/>
              <w:ind w:left="254"/>
            </w:pPr>
            <w:r>
              <w:t>0:05</w:t>
            </w:r>
          </w:p>
        </w:tc>
        <w:tc>
          <w:tcPr>
            <w:tcW w:w="3555" w:type="dxa"/>
          </w:tcPr>
          <w:p w:rsidR="002A36C5" w:rsidRDefault="007F37B3">
            <w:pPr>
              <w:pStyle w:val="TableParagraph"/>
              <w:spacing w:line="234" w:lineRule="exact"/>
              <w:ind w:left="108"/>
            </w:pPr>
            <w:r>
              <w:t>Mercy Rehabilitation</w:t>
            </w:r>
          </w:p>
        </w:tc>
        <w:tc>
          <w:tcPr>
            <w:tcW w:w="1029" w:type="dxa"/>
          </w:tcPr>
          <w:p w:rsidR="002A36C5" w:rsidRDefault="007F37B3">
            <w:pPr>
              <w:pStyle w:val="TableParagraph"/>
              <w:spacing w:line="234" w:lineRule="exact"/>
              <w:ind w:left="281" w:right="269"/>
              <w:jc w:val="center"/>
            </w:pPr>
            <w:r>
              <w:t>0:05</w:t>
            </w:r>
          </w:p>
        </w:tc>
        <w:tc>
          <w:tcPr>
            <w:tcW w:w="969" w:type="dxa"/>
          </w:tcPr>
          <w:p w:rsidR="002A36C5" w:rsidRDefault="007F37B3">
            <w:pPr>
              <w:pStyle w:val="TableParagraph"/>
              <w:spacing w:line="234" w:lineRule="exact"/>
              <w:ind w:left="251" w:right="234"/>
              <w:jc w:val="center"/>
            </w:pPr>
            <w:r>
              <w:t>0:05</w:t>
            </w:r>
          </w:p>
        </w:tc>
      </w:tr>
      <w:tr w:rsidR="002A36C5">
        <w:trPr>
          <w:trHeight w:val="506"/>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7F37B3">
            <w:pPr>
              <w:pStyle w:val="TableParagraph"/>
              <w:spacing w:before="2" w:line="252" w:lineRule="exact"/>
              <w:ind w:left="108" w:right="176"/>
            </w:pPr>
            <w:r>
              <w:t>Encompass Health Rehabilitation Hospital</w:t>
            </w:r>
          </w:p>
        </w:tc>
        <w:tc>
          <w:tcPr>
            <w:tcW w:w="1029" w:type="dxa"/>
          </w:tcPr>
          <w:p w:rsidR="002A36C5" w:rsidRDefault="007F37B3">
            <w:pPr>
              <w:pStyle w:val="TableParagraph"/>
              <w:spacing w:before="124"/>
              <w:ind w:left="281" w:right="269"/>
              <w:jc w:val="center"/>
            </w:pPr>
            <w:r>
              <w:t>0:18</w:t>
            </w:r>
          </w:p>
        </w:tc>
        <w:tc>
          <w:tcPr>
            <w:tcW w:w="969" w:type="dxa"/>
          </w:tcPr>
          <w:p w:rsidR="002A36C5" w:rsidRDefault="007F37B3">
            <w:pPr>
              <w:pStyle w:val="TableParagraph"/>
              <w:spacing w:before="124"/>
              <w:ind w:left="248" w:right="236"/>
              <w:jc w:val="center"/>
            </w:pPr>
            <w:r>
              <w:t>0:26</w:t>
            </w:r>
          </w:p>
        </w:tc>
      </w:tr>
      <w:tr w:rsidR="002A36C5">
        <w:trPr>
          <w:trHeight w:val="251"/>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7F37B3">
            <w:pPr>
              <w:pStyle w:val="TableParagraph"/>
              <w:spacing w:line="232" w:lineRule="exact"/>
              <w:ind w:left="108"/>
            </w:pPr>
            <w:r>
              <w:t>Hospital for Special Care</w:t>
            </w:r>
          </w:p>
        </w:tc>
        <w:tc>
          <w:tcPr>
            <w:tcW w:w="1029" w:type="dxa"/>
          </w:tcPr>
          <w:p w:rsidR="002A36C5" w:rsidRDefault="007F37B3">
            <w:pPr>
              <w:pStyle w:val="TableParagraph"/>
              <w:spacing w:line="232" w:lineRule="exact"/>
              <w:ind w:left="281" w:right="269"/>
              <w:jc w:val="center"/>
            </w:pPr>
            <w:r>
              <w:t>0:40</w:t>
            </w:r>
          </w:p>
        </w:tc>
        <w:tc>
          <w:tcPr>
            <w:tcW w:w="969" w:type="dxa"/>
          </w:tcPr>
          <w:p w:rsidR="002A36C5" w:rsidRDefault="007F37B3">
            <w:pPr>
              <w:pStyle w:val="TableParagraph"/>
              <w:spacing w:line="232" w:lineRule="exact"/>
              <w:ind w:left="251" w:right="234"/>
              <w:jc w:val="center"/>
            </w:pPr>
            <w:r>
              <w:t>1:00</w:t>
            </w:r>
          </w:p>
        </w:tc>
      </w:tr>
      <w:tr w:rsidR="002A36C5">
        <w:trPr>
          <w:trHeight w:val="253"/>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7F37B3">
            <w:pPr>
              <w:pStyle w:val="TableParagraph"/>
              <w:spacing w:line="234" w:lineRule="exact"/>
              <w:ind w:left="108"/>
            </w:pPr>
            <w:r>
              <w:t>Franciscan Children's</w:t>
            </w:r>
          </w:p>
        </w:tc>
        <w:tc>
          <w:tcPr>
            <w:tcW w:w="1029" w:type="dxa"/>
          </w:tcPr>
          <w:p w:rsidR="002A36C5" w:rsidRDefault="007F37B3">
            <w:pPr>
              <w:pStyle w:val="TableParagraph"/>
              <w:spacing w:line="234" w:lineRule="exact"/>
              <w:ind w:left="281" w:right="269"/>
              <w:jc w:val="center"/>
            </w:pPr>
            <w:r>
              <w:t>1:20</w:t>
            </w:r>
          </w:p>
        </w:tc>
        <w:tc>
          <w:tcPr>
            <w:tcW w:w="969" w:type="dxa"/>
          </w:tcPr>
          <w:p w:rsidR="002A36C5" w:rsidRDefault="007F37B3">
            <w:pPr>
              <w:pStyle w:val="TableParagraph"/>
              <w:spacing w:line="234" w:lineRule="exact"/>
              <w:ind w:left="251" w:right="234"/>
              <w:jc w:val="center"/>
            </w:pPr>
            <w:r>
              <w:t>1:50</w:t>
            </w:r>
          </w:p>
        </w:tc>
      </w:tr>
      <w:tr w:rsidR="002A36C5">
        <w:trPr>
          <w:trHeight w:val="253"/>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7F37B3">
            <w:pPr>
              <w:pStyle w:val="TableParagraph"/>
              <w:spacing w:line="234" w:lineRule="exact"/>
              <w:ind w:left="108"/>
            </w:pPr>
            <w:r>
              <w:t>Spaulding Rehabilitation Hospital</w:t>
            </w:r>
          </w:p>
        </w:tc>
        <w:tc>
          <w:tcPr>
            <w:tcW w:w="1029" w:type="dxa"/>
          </w:tcPr>
          <w:p w:rsidR="002A36C5" w:rsidRDefault="007F37B3">
            <w:pPr>
              <w:pStyle w:val="TableParagraph"/>
              <w:spacing w:line="234" w:lineRule="exact"/>
              <w:ind w:left="281" w:right="269"/>
              <w:jc w:val="center"/>
            </w:pPr>
            <w:r>
              <w:t>1:25</w:t>
            </w:r>
          </w:p>
        </w:tc>
        <w:tc>
          <w:tcPr>
            <w:tcW w:w="969" w:type="dxa"/>
          </w:tcPr>
          <w:p w:rsidR="002A36C5" w:rsidRDefault="007F37B3">
            <w:pPr>
              <w:pStyle w:val="TableParagraph"/>
              <w:spacing w:line="234" w:lineRule="exact"/>
              <w:ind w:left="251" w:right="234"/>
              <w:jc w:val="center"/>
            </w:pPr>
            <w:r>
              <w:t>2:00</w:t>
            </w:r>
          </w:p>
        </w:tc>
      </w:tr>
      <w:tr w:rsidR="002A36C5">
        <w:trPr>
          <w:trHeight w:val="324"/>
        </w:trPr>
        <w:tc>
          <w:tcPr>
            <w:tcW w:w="1519" w:type="dxa"/>
            <w:vMerge w:val="restart"/>
          </w:tcPr>
          <w:p w:rsidR="002A36C5" w:rsidRDefault="007F37B3">
            <w:pPr>
              <w:pStyle w:val="TableParagraph"/>
              <w:ind w:left="105" w:right="405"/>
            </w:pPr>
            <w:r>
              <w:t>Boston Children’s</w:t>
            </w:r>
          </w:p>
          <w:p w:rsidR="002A36C5" w:rsidRDefault="007F37B3">
            <w:pPr>
              <w:pStyle w:val="TableParagraph"/>
              <w:spacing w:line="234" w:lineRule="exact"/>
              <w:ind w:left="105"/>
            </w:pPr>
            <w:r>
              <w:t>Hospital</w:t>
            </w:r>
          </w:p>
        </w:tc>
        <w:tc>
          <w:tcPr>
            <w:tcW w:w="1078" w:type="dxa"/>
            <w:vMerge w:val="restart"/>
          </w:tcPr>
          <w:p w:rsidR="002A36C5" w:rsidRDefault="002A36C5">
            <w:pPr>
              <w:pStyle w:val="TableParagraph"/>
              <w:spacing w:before="8"/>
              <w:rPr>
                <w:sz w:val="21"/>
              </w:rPr>
            </w:pPr>
          </w:p>
          <w:p w:rsidR="002A36C5" w:rsidRDefault="007F37B3">
            <w:pPr>
              <w:pStyle w:val="TableParagraph"/>
              <w:ind w:left="324"/>
            </w:pPr>
            <w:r>
              <w:t>1:20</w:t>
            </w:r>
          </w:p>
        </w:tc>
        <w:tc>
          <w:tcPr>
            <w:tcW w:w="933" w:type="dxa"/>
            <w:vMerge w:val="restart"/>
          </w:tcPr>
          <w:p w:rsidR="002A36C5" w:rsidRDefault="002A36C5">
            <w:pPr>
              <w:pStyle w:val="TableParagraph"/>
              <w:spacing w:before="8"/>
              <w:rPr>
                <w:sz w:val="21"/>
              </w:rPr>
            </w:pPr>
          </w:p>
          <w:p w:rsidR="002A36C5" w:rsidRDefault="007F37B3">
            <w:pPr>
              <w:pStyle w:val="TableParagraph"/>
              <w:ind w:left="254"/>
            </w:pPr>
            <w:r>
              <w:t>2:00</w:t>
            </w:r>
          </w:p>
        </w:tc>
        <w:tc>
          <w:tcPr>
            <w:tcW w:w="3555" w:type="dxa"/>
          </w:tcPr>
          <w:p w:rsidR="002A36C5" w:rsidRDefault="007F37B3">
            <w:pPr>
              <w:pStyle w:val="TableParagraph"/>
              <w:spacing w:before="34"/>
              <w:ind w:left="108"/>
            </w:pPr>
            <w:r>
              <w:t>Franciscan Children's</w:t>
            </w:r>
          </w:p>
        </w:tc>
        <w:tc>
          <w:tcPr>
            <w:tcW w:w="1029" w:type="dxa"/>
          </w:tcPr>
          <w:p w:rsidR="002A36C5" w:rsidRDefault="007F37B3">
            <w:pPr>
              <w:pStyle w:val="TableParagraph"/>
              <w:spacing w:before="34"/>
              <w:ind w:left="281" w:right="269"/>
              <w:jc w:val="center"/>
            </w:pPr>
            <w:r>
              <w:t>0:10</w:t>
            </w:r>
          </w:p>
        </w:tc>
        <w:tc>
          <w:tcPr>
            <w:tcW w:w="969" w:type="dxa"/>
          </w:tcPr>
          <w:p w:rsidR="002A36C5" w:rsidRDefault="007F37B3">
            <w:pPr>
              <w:pStyle w:val="TableParagraph"/>
              <w:spacing w:before="34"/>
              <w:ind w:left="251" w:right="234"/>
              <w:jc w:val="center"/>
            </w:pPr>
            <w:r>
              <w:t>0:24</w:t>
            </w:r>
          </w:p>
        </w:tc>
      </w:tr>
      <w:tr w:rsidR="002A36C5">
        <w:trPr>
          <w:trHeight w:val="424"/>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7F37B3">
            <w:pPr>
              <w:pStyle w:val="TableParagraph"/>
              <w:spacing w:before="84"/>
              <w:ind w:left="108"/>
            </w:pPr>
            <w:r>
              <w:t>Spaulding Rehabilitation Hospital</w:t>
            </w:r>
          </w:p>
        </w:tc>
        <w:tc>
          <w:tcPr>
            <w:tcW w:w="1029" w:type="dxa"/>
          </w:tcPr>
          <w:p w:rsidR="002A36C5" w:rsidRDefault="007F37B3">
            <w:pPr>
              <w:pStyle w:val="TableParagraph"/>
              <w:spacing w:before="84"/>
              <w:ind w:left="281" w:right="269"/>
              <w:jc w:val="center"/>
            </w:pPr>
            <w:r>
              <w:t>0:16</w:t>
            </w:r>
          </w:p>
        </w:tc>
        <w:tc>
          <w:tcPr>
            <w:tcW w:w="969" w:type="dxa"/>
          </w:tcPr>
          <w:p w:rsidR="002A36C5" w:rsidRDefault="007F37B3">
            <w:pPr>
              <w:pStyle w:val="TableParagraph"/>
              <w:spacing w:before="84"/>
              <w:ind w:left="251" w:right="234"/>
              <w:jc w:val="center"/>
            </w:pPr>
            <w:r>
              <w:t>0:35</w:t>
            </w:r>
          </w:p>
        </w:tc>
      </w:tr>
      <w:tr w:rsidR="002A36C5">
        <w:trPr>
          <w:trHeight w:val="441"/>
        </w:trPr>
        <w:tc>
          <w:tcPr>
            <w:tcW w:w="1519" w:type="dxa"/>
            <w:vMerge w:val="restart"/>
          </w:tcPr>
          <w:p w:rsidR="002A36C5" w:rsidRDefault="007F37B3">
            <w:pPr>
              <w:pStyle w:val="TableParagraph"/>
              <w:ind w:left="105" w:right="479"/>
            </w:pPr>
            <w:r>
              <w:t>UMass Memorial</w:t>
            </w:r>
          </w:p>
          <w:p w:rsidR="002A36C5" w:rsidRDefault="007F37B3">
            <w:pPr>
              <w:pStyle w:val="TableParagraph"/>
              <w:spacing w:before="2" w:line="252" w:lineRule="exact"/>
              <w:ind w:left="105" w:right="625"/>
            </w:pPr>
            <w:r>
              <w:t>Medical Center</w:t>
            </w:r>
          </w:p>
        </w:tc>
        <w:tc>
          <w:tcPr>
            <w:tcW w:w="1078" w:type="dxa"/>
            <w:vMerge w:val="restart"/>
          </w:tcPr>
          <w:p w:rsidR="002A36C5" w:rsidRDefault="002A36C5">
            <w:pPr>
              <w:pStyle w:val="TableParagraph"/>
              <w:spacing w:before="8"/>
              <w:rPr>
                <w:sz w:val="32"/>
              </w:rPr>
            </w:pPr>
          </w:p>
          <w:p w:rsidR="002A36C5" w:rsidRDefault="007F37B3">
            <w:pPr>
              <w:pStyle w:val="TableParagraph"/>
              <w:ind w:left="322"/>
            </w:pPr>
            <w:r>
              <w:t>0:50</w:t>
            </w:r>
          </w:p>
        </w:tc>
        <w:tc>
          <w:tcPr>
            <w:tcW w:w="933" w:type="dxa"/>
            <w:vMerge w:val="restart"/>
          </w:tcPr>
          <w:p w:rsidR="002A36C5" w:rsidRDefault="002A36C5">
            <w:pPr>
              <w:pStyle w:val="TableParagraph"/>
              <w:spacing w:before="8"/>
              <w:rPr>
                <w:sz w:val="32"/>
              </w:rPr>
            </w:pPr>
          </w:p>
          <w:p w:rsidR="002A36C5" w:rsidRDefault="007F37B3">
            <w:pPr>
              <w:pStyle w:val="TableParagraph"/>
              <w:ind w:left="252"/>
            </w:pPr>
            <w:r>
              <w:t>1:05</w:t>
            </w:r>
          </w:p>
        </w:tc>
        <w:tc>
          <w:tcPr>
            <w:tcW w:w="3555" w:type="dxa"/>
          </w:tcPr>
          <w:p w:rsidR="002A36C5" w:rsidRDefault="007F37B3">
            <w:pPr>
              <w:pStyle w:val="TableParagraph"/>
              <w:spacing w:before="91"/>
              <w:ind w:left="108"/>
            </w:pPr>
            <w:r>
              <w:t>Franciscan Children's</w:t>
            </w:r>
          </w:p>
        </w:tc>
        <w:tc>
          <w:tcPr>
            <w:tcW w:w="1029" w:type="dxa"/>
          </w:tcPr>
          <w:p w:rsidR="002A36C5" w:rsidRDefault="007F37B3">
            <w:pPr>
              <w:pStyle w:val="TableParagraph"/>
              <w:spacing w:before="91"/>
              <w:ind w:left="281" w:right="269"/>
              <w:jc w:val="center"/>
            </w:pPr>
            <w:r>
              <w:t>0:45</w:t>
            </w:r>
          </w:p>
        </w:tc>
        <w:tc>
          <w:tcPr>
            <w:tcW w:w="969" w:type="dxa"/>
          </w:tcPr>
          <w:p w:rsidR="002A36C5" w:rsidRDefault="007F37B3">
            <w:pPr>
              <w:pStyle w:val="TableParagraph"/>
              <w:spacing w:before="91"/>
              <w:ind w:left="251" w:right="234"/>
              <w:jc w:val="center"/>
            </w:pPr>
            <w:r>
              <w:t>1:35</w:t>
            </w:r>
          </w:p>
        </w:tc>
      </w:tr>
      <w:tr w:rsidR="002A36C5">
        <w:trPr>
          <w:trHeight w:val="561"/>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7F37B3">
            <w:pPr>
              <w:pStyle w:val="TableParagraph"/>
              <w:spacing w:before="151"/>
              <w:ind w:left="108"/>
            </w:pPr>
            <w:r>
              <w:t>Spaulding Rehabilitation Hospital</w:t>
            </w:r>
          </w:p>
        </w:tc>
        <w:tc>
          <w:tcPr>
            <w:tcW w:w="1029" w:type="dxa"/>
          </w:tcPr>
          <w:p w:rsidR="002A36C5" w:rsidRDefault="007F37B3">
            <w:pPr>
              <w:pStyle w:val="TableParagraph"/>
              <w:spacing w:before="151"/>
              <w:ind w:left="281" w:right="269"/>
              <w:jc w:val="center"/>
            </w:pPr>
            <w:r>
              <w:t>0:50</w:t>
            </w:r>
          </w:p>
        </w:tc>
        <w:tc>
          <w:tcPr>
            <w:tcW w:w="969" w:type="dxa"/>
          </w:tcPr>
          <w:p w:rsidR="002A36C5" w:rsidRDefault="007F37B3">
            <w:pPr>
              <w:pStyle w:val="TableParagraph"/>
              <w:spacing w:before="151"/>
              <w:ind w:left="251" w:right="234"/>
              <w:jc w:val="center"/>
            </w:pPr>
            <w:r>
              <w:t>1:10</w:t>
            </w:r>
          </w:p>
        </w:tc>
      </w:tr>
      <w:tr w:rsidR="002A36C5">
        <w:trPr>
          <w:trHeight w:val="251"/>
        </w:trPr>
        <w:tc>
          <w:tcPr>
            <w:tcW w:w="1519" w:type="dxa"/>
            <w:vMerge w:val="restart"/>
          </w:tcPr>
          <w:p w:rsidR="002A36C5" w:rsidRDefault="007F37B3">
            <w:pPr>
              <w:pStyle w:val="TableParagraph"/>
              <w:ind w:left="105" w:right="222"/>
            </w:pPr>
            <w:r>
              <w:t>Connecticut Children’s Medical</w:t>
            </w:r>
          </w:p>
          <w:p w:rsidR="002A36C5" w:rsidRDefault="007F37B3">
            <w:pPr>
              <w:pStyle w:val="TableParagraph"/>
              <w:spacing w:line="236" w:lineRule="exact"/>
              <w:ind w:left="105"/>
            </w:pPr>
            <w:r>
              <w:t>Center</w:t>
            </w:r>
          </w:p>
        </w:tc>
        <w:tc>
          <w:tcPr>
            <w:tcW w:w="1078" w:type="dxa"/>
            <w:vMerge w:val="restart"/>
          </w:tcPr>
          <w:p w:rsidR="002A36C5" w:rsidRDefault="002A36C5">
            <w:pPr>
              <w:pStyle w:val="TableParagraph"/>
              <w:spacing w:before="8"/>
              <w:rPr>
                <w:sz w:val="32"/>
              </w:rPr>
            </w:pPr>
          </w:p>
          <w:p w:rsidR="002A36C5" w:rsidRDefault="007F37B3">
            <w:pPr>
              <w:pStyle w:val="TableParagraph"/>
              <w:ind w:left="324"/>
            </w:pPr>
            <w:r>
              <w:t>0:30</w:t>
            </w:r>
          </w:p>
        </w:tc>
        <w:tc>
          <w:tcPr>
            <w:tcW w:w="933" w:type="dxa"/>
            <w:vMerge w:val="restart"/>
          </w:tcPr>
          <w:p w:rsidR="002A36C5" w:rsidRDefault="002A36C5">
            <w:pPr>
              <w:pStyle w:val="TableParagraph"/>
              <w:spacing w:before="8"/>
              <w:rPr>
                <w:sz w:val="32"/>
              </w:rPr>
            </w:pPr>
          </w:p>
          <w:p w:rsidR="002A36C5" w:rsidRDefault="007F37B3">
            <w:pPr>
              <w:pStyle w:val="TableParagraph"/>
              <w:ind w:left="254"/>
            </w:pPr>
            <w:r>
              <w:t>0:45</w:t>
            </w:r>
          </w:p>
        </w:tc>
        <w:tc>
          <w:tcPr>
            <w:tcW w:w="3555" w:type="dxa"/>
          </w:tcPr>
          <w:p w:rsidR="002A36C5" w:rsidRDefault="007F37B3">
            <w:pPr>
              <w:pStyle w:val="TableParagraph"/>
              <w:spacing w:line="232" w:lineRule="exact"/>
              <w:ind w:left="108"/>
            </w:pPr>
            <w:r>
              <w:t>Hospital for Special Care</w:t>
            </w:r>
          </w:p>
        </w:tc>
        <w:tc>
          <w:tcPr>
            <w:tcW w:w="1029" w:type="dxa"/>
          </w:tcPr>
          <w:p w:rsidR="002A36C5" w:rsidRDefault="007F37B3">
            <w:pPr>
              <w:pStyle w:val="TableParagraph"/>
              <w:spacing w:line="232" w:lineRule="exact"/>
              <w:ind w:left="281" w:right="269"/>
              <w:jc w:val="center"/>
            </w:pPr>
            <w:r>
              <w:t>0:20</w:t>
            </w:r>
          </w:p>
        </w:tc>
        <w:tc>
          <w:tcPr>
            <w:tcW w:w="969" w:type="dxa"/>
          </w:tcPr>
          <w:p w:rsidR="002A36C5" w:rsidRDefault="007F37B3">
            <w:pPr>
              <w:pStyle w:val="TableParagraph"/>
              <w:spacing w:line="232" w:lineRule="exact"/>
              <w:ind w:left="251" w:right="234"/>
              <w:jc w:val="center"/>
            </w:pPr>
            <w:r>
              <w:t>0:30</w:t>
            </w:r>
          </w:p>
        </w:tc>
      </w:tr>
      <w:tr w:rsidR="002A36C5">
        <w:trPr>
          <w:trHeight w:val="750"/>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2A36C5">
            <w:pPr>
              <w:pStyle w:val="TableParagraph"/>
              <w:spacing w:before="5"/>
              <w:rPr>
                <w:sz w:val="21"/>
              </w:rPr>
            </w:pPr>
          </w:p>
          <w:p w:rsidR="002A36C5" w:rsidRDefault="007F37B3">
            <w:pPr>
              <w:pStyle w:val="TableParagraph"/>
              <w:ind w:left="108"/>
            </w:pPr>
            <w:r>
              <w:t>Gaylord Specialty Healthcare</w:t>
            </w:r>
          </w:p>
        </w:tc>
        <w:tc>
          <w:tcPr>
            <w:tcW w:w="1029" w:type="dxa"/>
          </w:tcPr>
          <w:p w:rsidR="002A36C5" w:rsidRDefault="002A36C5">
            <w:pPr>
              <w:pStyle w:val="TableParagraph"/>
              <w:spacing w:before="5"/>
              <w:rPr>
                <w:sz w:val="21"/>
              </w:rPr>
            </w:pPr>
          </w:p>
          <w:p w:rsidR="002A36C5" w:rsidRDefault="007F37B3">
            <w:pPr>
              <w:pStyle w:val="TableParagraph"/>
              <w:ind w:left="281" w:right="269"/>
              <w:jc w:val="center"/>
            </w:pPr>
            <w:r>
              <w:t>0:30</w:t>
            </w:r>
          </w:p>
        </w:tc>
        <w:tc>
          <w:tcPr>
            <w:tcW w:w="969" w:type="dxa"/>
          </w:tcPr>
          <w:p w:rsidR="002A36C5" w:rsidRDefault="002A36C5">
            <w:pPr>
              <w:pStyle w:val="TableParagraph"/>
              <w:spacing w:before="5"/>
              <w:rPr>
                <w:sz w:val="21"/>
              </w:rPr>
            </w:pPr>
          </w:p>
          <w:p w:rsidR="002A36C5" w:rsidRDefault="007F37B3">
            <w:pPr>
              <w:pStyle w:val="TableParagraph"/>
              <w:ind w:left="251" w:right="234"/>
              <w:jc w:val="center"/>
            </w:pPr>
            <w:r>
              <w:t>0:45</w:t>
            </w:r>
          </w:p>
        </w:tc>
      </w:tr>
    </w:tbl>
    <w:p w:rsidR="002A36C5" w:rsidRDefault="002A36C5">
      <w:pPr>
        <w:jc w:val="center"/>
        <w:sectPr w:rsidR="002A36C5">
          <w:pgSz w:w="12240" w:h="15840"/>
          <w:pgMar w:top="960" w:right="1100" w:bottom="280" w:left="1340" w:header="724" w:footer="0" w:gutter="0"/>
          <w:cols w:space="720"/>
        </w:sectPr>
      </w:pPr>
    </w:p>
    <w:p w:rsidR="002A36C5" w:rsidRDefault="002A36C5">
      <w:pPr>
        <w:pStyle w:val="BodyText"/>
        <w:rPr>
          <w:sz w:val="20"/>
        </w:rPr>
      </w:pPr>
    </w:p>
    <w:p w:rsidR="002A36C5" w:rsidRDefault="002A36C5">
      <w:pPr>
        <w:pStyle w:val="BodyText"/>
        <w:spacing w:before="1"/>
        <w:rPr>
          <w:sz w:val="24"/>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078"/>
        <w:gridCol w:w="933"/>
        <w:gridCol w:w="3555"/>
        <w:gridCol w:w="1029"/>
        <w:gridCol w:w="969"/>
      </w:tblGrid>
      <w:tr w:rsidR="002A36C5">
        <w:trPr>
          <w:trHeight w:val="254"/>
        </w:trPr>
        <w:tc>
          <w:tcPr>
            <w:tcW w:w="1519" w:type="dxa"/>
            <w:vMerge w:val="restart"/>
          </w:tcPr>
          <w:p w:rsidR="002A36C5" w:rsidRDefault="007F37B3">
            <w:pPr>
              <w:pStyle w:val="TableParagraph"/>
              <w:spacing w:line="251" w:lineRule="exact"/>
              <w:ind w:left="105"/>
            </w:pPr>
            <w:r>
              <w:t>Children’s</w:t>
            </w:r>
          </w:p>
          <w:p w:rsidR="002A36C5" w:rsidRDefault="007F37B3">
            <w:pPr>
              <w:pStyle w:val="TableParagraph"/>
              <w:spacing w:before="6" w:line="252" w:lineRule="exact"/>
              <w:ind w:left="105" w:right="344"/>
            </w:pPr>
            <w:r>
              <w:t>Hospital at Dartmouth</w:t>
            </w:r>
          </w:p>
        </w:tc>
        <w:tc>
          <w:tcPr>
            <w:tcW w:w="1078" w:type="dxa"/>
            <w:vMerge w:val="restart"/>
          </w:tcPr>
          <w:p w:rsidR="002A36C5" w:rsidRDefault="002A36C5">
            <w:pPr>
              <w:pStyle w:val="TableParagraph"/>
              <w:spacing w:before="10"/>
              <w:rPr>
                <w:sz w:val="21"/>
              </w:rPr>
            </w:pPr>
          </w:p>
          <w:p w:rsidR="002A36C5" w:rsidRDefault="007F37B3">
            <w:pPr>
              <w:pStyle w:val="TableParagraph"/>
              <w:ind w:left="324"/>
            </w:pPr>
            <w:r>
              <w:t>2:00</w:t>
            </w:r>
          </w:p>
        </w:tc>
        <w:tc>
          <w:tcPr>
            <w:tcW w:w="933" w:type="dxa"/>
            <w:vMerge w:val="restart"/>
          </w:tcPr>
          <w:p w:rsidR="002A36C5" w:rsidRDefault="002A36C5">
            <w:pPr>
              <w:pStyle w:val="TableParagraph"/>
              <w:spacing w:before="10"/>
              <w:rPr>
                <w:sz w:val="21"/>
              </w:rPr>
            </w:pPr>
          </w:p>
          <w:p w:rsidR="002A36C5" w:rsidRDefault="007F37B3">
            <w:pPr>
              <w:pStyle w:val="TableParagraph"/>
              <w:ind w:left="254"/>
            </w:pPr>
            <w:r>
              <w:t>2:30</w:t>
            </w:r>
          </w:p>
        </w:tc>
        <w:tc>
          <w:tcPr>
            <w:tcW w:w="3555" w:type="dxa"/>
          </w:tcPr>
          <w:p w:rsidR="002A36C5" w:rsidRDefault="007F37B3">
            <w:pPr>
              <w:pStyle w:val="TableParagraph"/>
              <w:spacing w:line="234" w:lineRule="exact"/>
              <w:ind w:left="108"/>
            </w:pPr>
            <w:r>
              <w:t>Franciscan Children's</w:t>
            </w:r>
          </w:p>
        </w:tc>
        <w:tc>
          <w:tcPr>
            <w:tcW w:w="1029" w:type="dxa"/>
          </w:tcPr>
          <w:p w:rsidR="002A36C5" w:rsidRDefault="007F37B3">
            <w:pPr>
              <w:pStyle w:val="TableParagraph"/>
              <w:spacing w:line="234" w:lineRule="exact"/>
              <w:ind w:left="281" w:right="269"/>
              <w:jc w:val="center"/>
            </w:pPr>
            <w:r>
              <w:t>2:00</w:t>
            </w:r>
          </w:p>
        </w:tc>
        <w:tc>
          <w:tcPr>
            <w:tcW w:w="969" w:type="dxa"/>
          </w:tcPr>
          <w:p w:rsidR="002A36C5" w:rsidRDefault="007F37B3">
            <w:pPr>
              <w:pStyle w:val="TableParagraph"/>
              <w:spacing w:line="234" w:lineRule="exact"/>
              <w:ind w:left="251" w:right="234"/>
              <w:jc w:val="center"/>
            </w:pPr>
            <w:r>
              <w:t>2:40</w:t>
            </w:r>
          </w:p>
        </w:tc>
      </w:tr>
      <w:tr w:rsidR="002A36C5">
        <w:trPr>
          <w:trHeight w:val="496"/>
        </w:trPr>
        <w:tc>
          <w:tcPr>
            <w:tcW w:w="1519" w:type="dxa"/>
            <w:vMerge/>
            <w:tcBorders>
              <w:top w:val="nil"/>
            </w:tcBorders>
          </w:tcPr>
          <w:p w:rsidR="002A36C5" w:rsidRDefault="002A36C5">
            <w:pPr>
              <w:rPr>
                <w:sz w:val="2"/>
                <w:szCs w:val="2"/>
              </w:rPr>
            </w:pPr>
          </w:p>
        </w:tc>
        <w:tc>
          <w:tcPr>
            <w:tcW w:w="1078" w:type="dxa"/>
            <w:vMerge/>
            <w:tcBorders>
              <w:top w:val="nil"/>
            </w:tcBorders>
          </w:tcPr>
          <w:p w:rsidR="002A36C5" w:rsidRDefault="002A36C5">
            <w:pPr>
              <w:rPr>
                <w:sz w:val="2"/>
                <w:szCs w:val="2"/>
              </w:rPr>
            </w:pPr>
          </w:p>
        </w:tc>
        <w:tc>
          <w:tcPr>
            <w:tcW w:w="933" w:type="dxa"/>
            <w:vMerge/>
            <w:tcBorders>
              <w:top w:val="nil"/>
            </w:tcBorders>
          </w:tcPr>
          <w:p w:rsidR="002A36C5" w:rsidRDefault="002A36C5">
            <w:pPr>
              <w:rPr>
                <w:sz w:val="2"/>
                <w:szCs w:val="2"/>
              </w:rPr>
            </w:pPr>
          </w:p>
        </w:tc>
        <w:tc>
          <w:tcPr>
            <w:tcW w:w="3555" w:type="dxa"/>
          </w:tcPr>
          <w:p w:rsidR="002A36C5" w:rsidRDefault="007F37B3">
            <w:pPr>
              <w:pStyle w:val="TableParagraph"/>
              <w:spacing w:before="120"/>
              <w:ind w:left="108"/>
            </w:pPr>
            <w:r>
              <w:t>Spaulding Rehabilitation Hospital</w:t>
            </w:r>
          </w:p>
        </w:tc>
        <w:tc>
          <w:tcPr>
            <w:tcW w:w="1029" w:type="dxa"/>
          </w:tcPr>
          <w:p w:rsidR="002A36C5" w:rsidRDefault="007F37B3">
            <w:pPr>
              <w:pStyle w:val="TableParagraph"/>
              <w:spacing w:before="120"/>
              <w:ind w:left="281" w:right="269"/>
              <w:jc w:val="center"/>
            </w:pPr>
            <w:r>
              <w:t>1:50</w:t>
            </w:r>
          </w:p>
        </w:tc>
        <w:tc>
          <w:tcPr>
            <w:tcW w:w="969" w:type="dxa"/>
          </w:tcPr>
          <w:p w:rsidR="002A36C5" w:rsidRDefault="007F37B3">
            <w:pPr>
              <w:pStyle w:val="TableParagraph"/>
              <w:spacing w:before="120"/>
              <w:ind w:left="251" w:right="234"/>
              <w:jc w:val="center"/>
            </w:pPr>
            <w:r>
              <w:t>2:20</w:t>
            </w:r>
          </w:p>
        </w:tc>
      </w:tr>
      <w:tr w:rsidR="002A36C5">
        <w:trPr>
          <w:trHeight w:val="758"/>
        </w:trPr>
        <w:tc>
          <w:tcPr>
            <w:tcW w:w="1519" w:type="dxa"/>
          </w:tcPr>
          <w:p w:rsidR="002A36C5" w:rsidRDefault="007F37B3">
            <w:pPr>
              <w:pStyle w:val="TableParagraph"/>
              <w:ind w:left="105" w:right="625"/>
            </w:pPr>
            <w:r>
              <w:t>Albany Medical</w:t>
            </w:r>
          </w:p>
          <w:p w:rsidR="002A36C5" w:rsidRDefault="007F37B3">
            <w:pPr>
              <w:pStyle w:val="TableParagraph"/>
              <w:spacing w:line="234" w:lineRule="exact"/>
              <w:ind w:left="105"/>
            </w:pPr>
            <w:r>
              <w:t>Center</w:t>
            </w:r>
          </w:p>
        </w:tc>
        <w:tc>
          <w:tcPr>
            <w:tcW w:w="1078" w:type="dxa"/>
          </w:tcPr>
          <w:p w:rsidR="002A36C5" w:rsidRDefault="002A36C5">
            <w:pPr>
              <w:pStyle w:val="TableParagraph"/>
              <w:spacing w:before="7"/>
              <w:rPr>
                <w:sz w:val="21"/>
              </w:rPr>
            </w:pPr>
          </w:p>
          <w:p w:rsidR="002A36C5" w:rsidRDefault="007F37B3">
            <w:pPr>
              <w:pStyle w:val="TableParagraph"/>
              <w:spacing w:before="1"/>
              <w:ind w:left="324"/>
            </w:pPr>
            <w:r>
              <w:t>1:25</w:t>
            </w:r>
          </w:p>
        </w:tc>
        <w:tc>
          <w:tcPr>
            <w:tcW w:w="933" w:type="dxa"/>
          </w:tcPr>
          <w:p w:rsidR="002A36C5" w:rsidRDefault="002A36C5">
            <w:pPr>
              <w:pStyle w:val="TableParagraph"/>
              <w:spacing w:before="7"/>
              <w:rPr>
                <w:sz w:val="21"/>
              </w:rPr>
            </w:pPr>
          </w:p>
          <w:p w:rsidR="002A36C5" w:rsidRDefault="007F37B3">
            <w:pPr>
              <w:pStyle w:val="TableParagraph"/>
              <w:spacing w:before="1"/>
              <w:ind w:left="254"/>
            </w:pPr>
            <w:r>
              <w:t>1:50</w:t>
            </w:r>
          </w:p>
        </w:tc>
        <w:tc>
          <w:tcPr>
            <w:tcW w:w="3555" w:type="dxa"/>
          </w:tcPr>
          <w:p w:rsidR="002A36C5" w:rsidRDefault="002A36C5">
            <w:pPr>
              <w:pStyle w:val="TableParagraph"/>
              <w:spacing w:before="7"/>
              <w:rPr>
                <w:sz w:val="21"/>
              </w:rPr>
            </w:pPr>
          </w:p>
          <w:p w:rsidR="002A36C5" w:rsidRDefault="007F37B3">
            <w:pPr>
              <w:pStyle w:val="TableParagraph"/>
              <w:spacing w:before="1"/>
              <w:ind w:left="108"/>
            </w:pPr>
            <w:r>
              <w:t>Sunnyview Rehabilitation Hospital</w:t>
            </w:r>
          </w:p>
        </w:tc>
        <w:tc>
          <w:tcPr>
            <w:tcW w:w="1029" w:type="dxa"/>
          </w:tcPr>
          <w:p w:rsidR="002A36C5" w:rsidRDefault="002A36C5">
            <w:pPr>
              <w:pStyle w:val="TableParagraph"/>
              <w:spacing w:before="7"/>
              <w:rPr>
                <w:sz w:val="21"/>
              </w:rPr>
            </w:pPr>
          </w:p>
          <w:p w:rsidR="002A36C5" w:rsidRDefault="007F37B3">
            <w:pPr>
              <w:pStyle w:val="TableParagraph"/>
              <w:spacing w:before="1"/>
              <w:ind w:left="281" w:right="269"/>
              <w:jc w:val="center"/>
            </w:pPr>
            <w:r>
              <w:t>0:26</w:t>
            </w:r>
          </w:p>
        </w:tc>
        <w:tc>
          <w:tcPr>
            <w:tcW w:w="969" w:type="dxa"/>
          </w:tcPr>
          <w:p w:rsidR="002A36C5" w:rsidRDefault="002A36C5">
            <w:pPr>
              <w:pStyle w:val="TableParagraph"/>
              <w:spacing w:before="7"/>
              <w:rPr>
                <w:sz w:val="21"/>
              </w:rPr>
            </w:pPr>
          </w:p>
          <w:p w:rsidR="002A36C5" w:rsidRDefault="007F37B3">
            <w:pPr>
              <w:pStyle w:val="TableParagraph"/>
              <w:spacing w:before="1"/>
              <w:ind w:left="251" w:right="234"/>
              <w:jc w:val="center"/>
            </w:pPr>
            <w:r>
              <w:t>0:45</w:t>
            </w:r>
          </w:p>
        </w:tc>
      </w:tr>
    </w:tbl>
    <w:p w:rsidR="002A36C5" w:rsidRDefault="002A36C5">
      <w:pPr>
        <w:pStyle w:val="BodyText"/>
        <w:spacing w:before="9"/>
        <w:rPr>
          <w:sz w:val="13"/>
        </w:rPr>
      </w:pPr>
    </w:p>
    <w:p w:rsidR="002A36C5" w:rsidRDefault="007F37B3">
      <w:pPr>
        <w:pStyle w:val="ListParagraph"/>
        <w:numPr>
          <w:ilvl w:val="0"/>
          <w:numId w:val="2"/>
        </w:numPr>
        <w:tabs>
          <w:tab w:val="left" w:pos="461"/>
        </w:tabs>
        <w:spacing w:before="93"/>
        <w:ind w:right="346"/>
      </w:pPr>
      <w:r>
        <w:t>Discontinuance of the Service will not put additional burden for transportation on patients being discharged to alternate rehabilitation sites. The process of securing transportation from an acute care hospital to an inpatient rehabilitation facility for c</w:t>
      </w:r>
      <w:r>
        <w:t>ontinued care is the responsibility of the discharging facility (i.e., acute care hospital). The care management department of the associated acute hospital arranges for transportation to the rehabilitation facility by ambulance. Infrequently, a child/teen</w:t>
      </w:r>
      <w:r>
        <w:t xml:space="preserve"> living at home, who has shown medical or functional regression will be referred by their community physician for an inpatient rehabilitation admission. In such cases, transportation from home to rehabilitation facility is performed by parent/guardian. If </w:t>
      </w:r>
      <w:r>
        <w:t>a unique situation occurs where the parent/guardian cannot transport the child/teen, the care management department from the admitting facility would assist with alternate transportation</w:t>
      </w:r>
      <w:r>
        <w:rPr>
          <w:spacing w:val="-2"/>
        </w:rPr>
        <w:t xml:space="preserve"> </w:t>
      </w:r>
      <w:r>
        <w:t>arrangements.</w:t>
      </w:r>
    </w:p>
    <w:p w:rsidR="002A36C5" w:rsidRDefault="002A36C5">
      <w:pPr>
        <w:pStyle w:val="BodyText"/>
        <w:spacing w:before="10"/>
        <w:rPr>
          <w:sz w:val="21"/>
        </w:rPr>
      </w:pPr>
    </w:p>
    <w:p w:rsidR="002A36C5" w:rsidRDefault="007F37B3">
      <w:pPr>
        <w:pStyle w:val="ListParagraph"/>
        <w:numPr>
          <w:ilvl w:val="0"/>
          <w:numId w:val="2"/>
        </w:numPr>
        <w:tabs>
          <w:tab w:val="left" w:pos="461"/>
        </w:tabs>
        <w:ind w:right="472"/>
      </w:pPr>
      <w:r>
        <w:t xml:space="preserve">The Service has no current patients. For Patients who </w:t>
      </w:r>
      <w:r>
        <w:t>are within a reasonable commuting distance from the Hospital, intensive outpatient rehabilitation services remain available for patients to receive 3 hours of physical, occupational and speech therapy as needed. As before the inception of the Service, we c</w:t>
      </w:r>
      <w:r>
        <w:t>ontinue to work with acute care hospitals and</w:t>
      </w:r>
      <w:r>
        <w:rPr>
          <w:spacing w:val="-27"/>
        </w:rPr>
        <w:t xml:space="preserve"> </w:t>
      </w:r>
      <w:r>
        <w:t>other providers to raise awareness of the ongoing outpatient rehabilitation services that continue to be available at the</w:t>
      </w:r>
      <w:r>
        <w:rPr>
          <w:spacing w:val="-1"/>
        </w:rPr>
        <w:t xml:space="preserve"> </w:t>
      </w:r>
      <w:r>
        <w:t>Hospital.</w:t>
      </w:r>
    </w:p>
    <w:p w:rsidR="002A36C5" w:rsidRDefault="007F37B3">
      <w:pPr>
        <w:pStyle w:val="ListParagraph"/>
        <w:numPr>
          <w:ilvl w:val="0"/>
          <w:numId w:val="2"/>
        </w:numPr>
        <w:tabs>
          <w:tab w:val="left" w:pos="432"/>
        </w:tabs>
        <w:spacing w:before="195"/>
        <w:ind w:right="366"/>
      </w:pPr>
      <w:r>
        <w:t>Patients within the Hospital’s service area will access inpatient rehabilitati</w:t>
      </w:r>
      <w:r>
        <w:t>on services at alternative delivery sites through the assistance of care managers from discharging acute care hospitals. Given the low patient volume in the Hospital’s Service, and the distribution of originating Patients across several states, occupancy r</w:t>
      </w:r>
      <w:r>
        <w:t>ates at alternative delivery sites should be immaterial and other sites should be able to meet the needs of Patients. All of</w:t>
      </w:r>
      <w:r>
        <w:rPr>
          <w:spacing w:val="26"/>
        </w:rPr>
        <w:t xml:space="preserve"> </w:t>
      </w:r>
      <w:r>
        <w:t>the</w:t>
      </w:r>
    </w:p>
    <w:p w:rsidR="002A36C5" w:rsidRDefault="007F37B3">
      <w:pPr>
        <w:pStyle w:val="BodyText"/>
        <w:ind w:left="460"/>
      </w:pPr>
      <w:r>
        <w:t>alternative sites have adequate space, staff and expertise to meet the needs of these Patients.</w:t>
      </w:r>
    </w:p>
    <w:p w:rsidR="002A36C5" w:rsidRDefault="002A36C5">
      <w:pPr>
        <w:pStyle w:val="BodyText"/>
        <w:spacing w:before="2"/>
        <w:rPr>
          <w:sz w:val="27"/>
        </w:rPr>
      </w:pPr>
    </w:p>
    <w:p w:rsidR="002A36C5" w:rsidRDefault="007F37B3">
      <w:pPr>
        <w:pStyle w:val="BodyText"/>
        <w:ind w:left="460" w:right="393"/>
      </w:pPr>
      <w:r>
        <w:t>As part of our outpatient reha</w:t>
      </w:r>
      <w:r>
        <w:t>bilitation service, the Hospital offers pediatric intensive outpatient rehabilitation. This physiatrist-led treatment provides multidisciplinary outpatient therapies up to 3 hours per day, 5 days per week for children who do not require inpatient admission</w:t>
      </w:r>
      <w:r>
        <w:t xml:space="preserve">. Customization of intensity and frequency is available, and based upon physician assessment of unique patient’s needs. For select patients, this program is an appropriate referral directly following an acute hospital stay. The local Ronald McDonald House </w:t>
      </w:r>
      <w:r>
        <w:t>remains an option for patient and guardian housing for some patients to more conveniently participate in this program. Medical stability, mobility status and endurance will influence acceptance. All children/teens under the age of 18 may be referred, regar</w:t>
      </w:r>
      <w:r>
        <w:t>dless of ability to pay. In addition to post-acute referrals, community-based referrals are also accepted.</w:t>
      </w:r>
    </w:p>
    <w:p w:rsidR="002A36C5" w:rsidRDefault="002A36C5">
      <w:pPr>
        <w:pStyle w:val="BodyText"/>
        <w:spacing w:before="1"/>
      </w:pPr>
    </w:p>
    <w:p w:rsidR="002A36C5" w:rsidRDefault="007F37B3">
      <w:pPr>
        <w:pStyle w:val="BodyText"/>
        <w:spacing w:before="1"/>
        <w:ind w:left="100" w:right="337"/>
      </w:pPr>
      <w:r>
        <w:t>In addition to the regulatory elements listed above, the Department’s review of comments on the proposed closure included additional questions addressed below:</w:t>
      </w:r>
    </w:p>
    <w:p w:rsidR="002A36C5" w:rsidRDefault="002A36C5">
      <w:pPr>
        <w:pStyle w:val="BodyText"/>
        <w:spacing w:before="10"/>
        <w:rPr>
          <w:sz w:val="21"/>
        </w:rPr>
      </w:pPr>
    </w:p>
    <w:p w:rsidR="002A36C5" w:rsidRDefault="007F37B3">
      <w:pPr>
        <w:pStyle w:val="ListParagraph"/>
        <w:numPr>
          <w:ilvl w:val="0"/>
          <w:numId w:val="1"/>
        </w:numPr>
        <w:tabs>
          <w:tab w:val="left" w:pos="461"/>
        </w:tabs>
        <w:spacing w:before="1"/>
        <w:ind w:right="421"/>
      </w:pPr>
      <w:r>
        <w:t>As discussed above, Patients admitted to facilities for inpatient rehabilitation services are t</w:t>
      </w:r>
      <w:r>
        <w:t>ypically discharged from acute care hospitals. The care management teams at the discharging acute care hospitals work directly with the clinical liaisons from inpatient rehabilitation facilities to evaluate the needs of the patient and the availability and</w:t>
      </w:r>
      <w:r>
        <w:rPr>
          <w:spacing w:val="-30"/>
        </w:rPr>
        <w:t xml:space="preserve"> </w:t>
      </w:r>
      <w:r>
        <w:t>resources</w:t>
      </w:r>
    </w:p>
    <w:p w:rsidR="002A36C5" w:rsidRDefault="002A36C5">
      <w:pPr>
        <w:sectPr w:rsidR="002A36C5">
          <w:pgSz w:w="12240" w:h="15840"/>
          <w:pgMar w:top="960" w:right="1100" w:bottom="280" w:left="1340" w:header="724" w:footer="0" w:gutter="0"/>
          <w:cols w:space="720"/>
        </w:sectPr>
      </w:pPr>
    </w:p>
    <w:p w:rsidR="002A36C5" w:rsidRDefault="002A36C5">
      <w:pPr>
        <w:pStyle w:val="BodyText"/>
        <w:rPr>
          <w:sz w:val="20"/>
        </w:rPr>
      </w:pPr>
    </w:p>
    <w:p w:rsidR="002A36C5" w:rsidRDefault="002A36C5">
      <w:pPr>
        <w:pStyle w:val="BodyText"/>
        <w:spacing w:before="9"/>
        <w:rPr>
          <w:sz w:val="15"/>
        </w:rPr>
      </w:pPr>
    </w:p>
    <w:p w:rsidR="002A36C5" w:rsidRDefault="007F37B3">
      <w:pPr>
        <w:pStyle w:val="BodyText"/>
        <w:spacing w:before="94"/>
        <w:ind w:left="460" w:right="503"/>
      </w:pPr>
      <w:r>
        <w:t>of the program through a comprehensive discharge assessment process prior to discharge and transfer. The acute care hospital is responsible for transportation to the rehabilitation facility.</w:t>
      </w:r>
    </w:p>
    <w:p w:rsidR="002A36C5" w:rsidRDefault="002A36C5">
      <w:pPr>
        <w:pStyle w:val="BodyText"/>
        <w:spacing w:before="1"/>
      </w:pPr>
    </w:p>
    <w:p w:rsidR="002A36C5" w:rsidRDefault="007F37B3">
      <w:pPr>
        <w:pStyle w:val="BodyText"/>
        <w:ind w:left="460" w:right="772"/>
      </w:pPr>
      <w:r>
        <w:t>Given the low Service utilization rat</w:t>
      </w:r>
      <w:r>
        <w:t>es, the anticipated impact on Patients is low, and the Hospital will further minimize any impact by working to find appropriate placements for Patients, as we did prior to the opening of the Service.</w:t>
      </w:r>
    </w:p>
    <w:p w:rsidR="002A36C5" w:rsidRDefault="002A36C5">
      <w:pPr>
        <w:pStyle w:val="BodyText"/>
        <w:spacing w:before="10"/>
        <w:rPr>
          <w:sz w:val="21"/>
        </w:rPr>
      </w:pPr>
    </w:p>
    <w:p w:rsidR="002A36C5" w:rsidRDefault="007F37B3">
      <w:pPr>
        <w:pStyle w:val="BodyText"/>
        <w:ind w:left="460" w:right="343"/>
      </w:pPr>
      <w:r>
        <w:t>For acute inpatients at the Hospital who require referral to an inpatient rehabilitation facility following discharge, the Hospital’s care management team would work with the family to identify the inpatient rehabilitation facility closest to their home an</w:t>
      </w:r>
      <w:r>
        <w:t>d to assess availability and resources, consistent with patient need and choice. The Hospital would be responsible for arranging transportation to the inpatient rehabilitation facility. The Hospital maintains transfer relationships with regional acute care</w:t>
      </w:r>
      <w:r>
        <w:t xml:space="preserve"> hospitals to care for patients with high levels of medical complexity that cannot be cared for at the Hospital or at a rehabilitation</w:t>
      </w:r>
      <w:r>
        <w:rPr>
          <w:spacing w:val="-21"/>
        </w:rPr>
        <w:t xml:space="preserve"> </w:t>
      </w:r>
      <w:r>
        <w:t>facility.</w:t>
      </w:r>
    </w:p>
    <w:p w:rsidR="002A36C5" w:rsidRDefault="002A36C5">
      <w:pPr>
        <w:pStyle w:val="BodyText"/>
        <w:spacing w:before="2"/>
      </w:pPr>
    </w:p>
    <w:p w:rsidR="002A36C5" w:rsidRDefault="007F37B3">
      <w:pPr>
        <w:pStyle w:val="ListParagraph"/>
        <w:numPr>
          <w:ilvl w:val="0"/>
          <w:numId w:val="1"/>
        </w:numPr>
        <w:tabs>
          <w:tab w:val="left" w:pos="461"/>
        </w:tabs>
        <w:ind w:right="362"/>
      </w:pPr>
      <w:r>
        <w:t>From July 2018 through March 2020, the Hospital provided Inpatient Rehabilitation services to patients from Ma</w:t>
      </w:r>
      <w:r>
        <w:t>ssachusetts, Connecticut, Maine, Vermont, New Hampshire, and eastern New York. The table in response (3) above provides alternate sites in each area where adequate space, resources, and expertise are available to provide care for patients from these areas,</w:t>
      </w:r>
      <w:r>
        <w:t xml:space="preserve"> as described in response (2), above. The breakdown of discharges by state and by county within Massachusetts is shown in the table</w:t>
      </w:r>
      <w:r>
        <w:rPr>
          <w:spacing w:val="-6"/>
        </w:rPr>
        <w:t xml:space="preserve"> </w:t>
      </w:r>
      <w:r>
        <w:t>below</w:t>
      </w:r>
    </w:p>
    <w:p w:rsidR="002A36C5" w:rsidRDefault="002A36C5">
      <w:pPr>
        <w:pStyle w:val="BodyText"/>
        <w:spacing w:before="3"/>
      </w:pPr>
    </w:p>
    <w:tbl>
      <w:tblPr>
        <w:tblW w:w="0" w:type="auto"/>
        <w:tblInd w:w="2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1606"/>
        <w:gridCol w:w="1297"/>
      </w:tblGrid>
      <w:tr w:rsidR="002A36C5">
        <w:trPr>
          <w:trHeight w:val="457"/>
        </w:trPr>
        <w:tc>
          <w:tcPr>
            <w:tcW w:w="2530" w:type="dxa"/>
            <w:shd w:val="clear" w:color="auto" w:fill="D9D9D9"/>
          </w:tcPr>
          <w:p w:rsidR="002A36C5" w:rsidRDefault="007F37B3">
            <w:pPr>
              <w:pStyle w:val="TableParagraph"/>
              <w:spacing w:before="112"/>
              <w:ind w:left="998" w:right="992"/>
              <w:jc w:val="center"/>
              <w:rPr>
                <w:b/>
                <w:sz w:val="20"/>
              </w:rPr>
            </w:pPr>
            <w:r>
              <w:rPr>
                <w:b/>
                <w:sz w:val="20"/>
              </w:rPr>
              <w:t>State</w:t>
            </w:r>
          </w:p>
        </w:tc>
        <w:tc>
          <w:tcPr>
            <w:tcW w:w="1606" w:type="dxa"/>
            <w:shd w:val="clear" w:color="auto" w:fill="D9D9D9"/>
          </w:tcPr>
          <w:p w:rsidR="002A36C5" w:rsidRDefault="007F37B3">
            <w:pPr>
              <w:pStyle w:val="TableParagraph"/>
              <w:spacing w:before="112"/>
              <w:ind w:left="458"/>
              <w:rPr>
                <w:b/>
                <w:sz w:val="20"/>
              </w:rPr>
            </w:pPr>
            <w:r>
              <w:rPr>
                <w:b/>
                <w:sz w:val="20"/>
              </w:rPr>
              <w:t>County</w:t>
            </w:r>
          </w:p>
        </w:tc>
        <w:tc>
          <w:tcPr>
            <w:tcW w:w="1297" w:type="dxa"/>
            <w:shd w:val="clear" w:color="auto" w:fill="D9D9D9"/>
          </w:tcPr>
          <w:p w:rsidR="002A36C5" w:rsidRDefault="007F37B3">
            <w:pPr>
              <w:pStyle w:val="TableParagraph"/>
              <w:spacing w:before="112"/>
              <w:ind w:left="85" w:right="83"/>
              <w:jc w:val="center"/>
              <w:rPr>
                <w:b/>
                <w:sz w:val="20"/>
              </w:rPr>
            </w:pPr>
            <w:r>
              <w:rPr>
                <w:b/>
                <w:sz w:val="20"/>
              </w:rPr>
              <w:t>Discharges</w:t>
            </w:r>
          </w:p>
        </w:tc>
      </w:tr>
      <w:tr w:rsidR="002A36C5">
        <w:trPr>
          <w:trHeight w:val="230"/>
        </w:trPr>
        <w:tc>
          <w:tcPr>
            <w:tcW w:w="2530" w:type="dxa"/>
          </w:tcPr>
          <w:p w:rsidR="002A36C5" w:rsidRDefault="007F37B3">
            <w:pPr>
              <w:pStyle w:val="TableParagraph"/>
              <w:spacing w:line="210" w:lineRule="exact"/>
              <w:ind w:left="107"/>
              <w:rPr>
                <w:sz w:val="20"/>
              </w:rPr>
            </w:pPr>
            <w:r>
              <w:rPr>
                <w:sz w:val="20"/>
              </w:rPr>
              <w:t>Massachusetts</w:t>
            </w:r>
          </w:p>
        </w:tc>
        <w:tc>
          <w:tcPr>
            <w:tcW w:w="1606" w:type="dxa"/>
          </w:tcPr>
          <w:p w:rsidR="002A36C5" w:rsidRDefault="002A36C5">
            <w:pPr>
              <w:pStyle w:val="TableParagraph"/>
              <w:rPr>
                <w:rFonts w:ascii="Times New Roman"/>
                <w:sz w:val="16"/>
              </w:rPr>
            </w:pPr>
          </w:p>
        </w:tc>
        <w:tc>
          <w:tcPr>
            <w:tcW w:w="1297" w:type="dxa"/>
          </w:tcPr>
          <w:p w:rsidR="002A36C5" w:rsidRDefault="007F37B3">
            <w:pPr>
              <w:pStyle w:val="TableParagraph"/>
              <w:spacing w:line="210" w:lineRule="exact"/>
              <w:ind w:left="85" w:right="81"/>
              <w:jc w:val="center"/>
              <w:rPr>
                <w:sz w:val="20"/>
              </w:rPr>
            </w:pPr>
            <w:r>
              <w:rPr>
                <w:sz w:val="20"/>
              </w:rPr>
              <w:t>39</w:t>
            </w:r>
          </w:p>
        </w:tc>
      </w:tr>
      <w:tr w:rsidR="002A36C5">
        <w:trPr>
          <w:trHeight w:val="230"/>
        </w:trPr>
        <w:tc>
          <w:tcPr>
            <w:tcW w:w="2530" w:type="dxa"/>
          </w:tcPr>
          <w:p w:rsidR="002A36C5" w:rsidRDefault="002A36C5">
            <w:pPr>
              <w:pStyle w:val="TableParagraph"/>
              <w:rPr>
                <w:rFonts w:ascii="Times New Roman"/>
                <w:sz w:val="16"/>
              </w:rPr>
            </w:pPr>
          </w:p>
        </w:tc>
        <w:tc>
          <w:tcPr>
            <w:tcW w:w="1606" w:type="dxa"/>
          </w:tcPr>
          <w:p w:rsidR="002A36C5" w:rsidRDefault="007F37B3">
            <w:pPr>
              <w:pStyle w:val="TableParagraph"/>
              <w:spacing w:line="210" w:lineRule="exact"/>
              <w:ind w:left="107"/>
              <w:rPr>
                <w:sz w:val="20"/>
              </w:rPr>
            </w:pPr>
            <w:r>
              <w:rPr>
                <w:sz w:val="20"/>
              </w:rPr>
              <w:t>Hampden</w:t>
            </w:r>
          </w:p>
        </w:tc>
        <w:tc>
          <w:tcPr>
            <w:tcW w:w="1297" w:type="dxa"/>
          </w:tcPr>
          <w:p w:rsidR="002A36C5" w:rsidRDefault="007F37B3">
            <w:pPr>
              <w:pStyle w:val="TableParagraph"/>
              <w:spacing w:line="210" w:lineRule="exact"/>
              <w:ind w:left="85" w:right="81"/>
              <w:jc w:val="center"/>
              <w:rPr>
                <w:sz w:val="20"/>
              </w:rPr>
            </w:pPr>
            <w:r>
              <w:rPr>
                <w:sz w:val="20"/>
              </w:rPr>
              <w:t>29</w:t>
            </w:r>
          </w:p>
        </w:tc>
      </w:tr>
      <w:tr w:rsidR="002A36C5">
        <w:trPr>
          <w:trHeight w:val="230"/>
        </w:trPr>
        <w:tc>
          <w:tcPr>
            <w:tcW w:w="2530" w:type="dxa"/>
          </w:tcPr>
          <w:p w:rsidR="002A36C5" w:rsidRDefault="002A36C5">
            <w:pPr>
              <w:pStyle w:val="TableParagraph"/>
              <w:rPr>
                <w:rFonts w:ascii="Times New Roman"/>
                <w:sz w:val="16"/>
              </w:rPr>
            </w:pPr>
          </w:p>
        </w:tc>
        <w:tc>
          <w:tcPr>
            <w:tcW w:w="1606" w:type="dxa"/>
          </w:tcPr>
          <w:p w:rsidR="002A36C5" w:rsidRDefault="007F37B3">
            <w:pPr>
              <w:pStyle w:val="TableParagraph"/>
              <w:spacing w:line="210" w:lineRule="exact"/>
              <w:ind w:left="107"/>
              <w:rPr>
                <w:sz w:val="20"/>
              </w:rPr>
            </w:pPr>
            <w:r>
              <w:rPr>
                <w:sz w:val="20"/>
              </w:rPr>
              <w:t>Hampshire</w:t>
            </w:r>
          </w:p>
        </w:tc>
        <w:tc>
          <w:tcPr>
            <w:tcW w:w="1297" w:type="dxa"/>
          </w:tcPr>
          <w:p w:rsidR="002A36C5" w:rsidRDefault="007F37B3">
            <w:pPr>
              <w:pStyle w:val="TableParagraph"/>
              <w:spacing w:line="210" w:lineRule="exact"/>
              <w:ind w:left="9"/>
              <w:jc w:val="center"/>
              <w:rPr>
                <w:sz w:val="20"/>
              </w:rPr>
            </w:pPr>
            <w:r>
              <w:rPr>
                <w:w w:val="99"/>
                <w:sz w:val="20"/>
              </w:rPr>
              <w:t>4</w:t>
            </w:r>
          </w:p>
        </w:tc>
      </w:tr>
      <w:tr w:rsidR="002A36C5">
        <w:trPr>
          <w:trHeight w:val="230"/>
        </w:trPr>
        <w:tc>
          <w:tcPr>
            <w:tcW w:w="2530" w:type="dxa"/>
          </w:tcPr>
          <w:p w:rsidR="002A36C5" w:rsidRDefault="002A36C5">
            <w:pPr>
              <w:pStyle w:val="TableParagraph"/>
              <w:rPr>
                <w:rFonts w:ascii="Times New Roman"/>
                <w:sz w:val="16"/>
              </w:rPr>
            </w:pPr>
          </w:p>
        </w:tc>
        <w:tc>
          <w:tcPr>
            <w:tcW w:w="1606" w:type="dxa"/>
          </w:tcPr>
          <w:p w:rsidR="002A36C5" w:rsidRDefault="007F37B3">
            <w:pPr>
              <w:pStyle w:val="TableParagraph"/>
              <w:spacing w:line="210" w:lineRule="exact"/>
              <w:ind w:left="107"/>
              <w:rPr>
                <w:sz w:val="20"/>
              </w:rPr>
            </w:pPr>
            <w:r>
              <w:rPr>
                <w:sz w:val="20"/>
              </w:rPr>
              <w:t>Worcester</w:t>
            </w:r>
          </w:p>
        </w:tc>
        <w:tc>
          <w:tcPr>
            <w:tcW w:w="1297" w:type="dxa"/>
          </w:tcPr>
          <w:p w:rsidR="002A36C5" w:rsidRDefault="007F37B3">
            <w:pPr>
              <w:pStyle w:val="TableParagraph"/>
              <w:spacing w:line="210" w:lineRule="exact"/>
              <w:ind w:left="9"/>
              <w:jc w:val="center"/>
              <w:rPr>
                <w:sz w:val="20"/>
              </w:rPr>
            </w:pPr>
            <w:r>
              <w:rPr>
                <w:w w:val="99"/>
                <w:sz w:val="20"/>
              </w:rPr>
              <w:t>3</w:t>
            </w:r>
          </w:p>
        </w:tc>
      </w:tr>
      <w:tr w:rsidR="002A36C5">
        <w:trPr>
          <w:trHeight w:val="230"/>
        </w:trPr>
        <w:tc>
          <w:tcPr>
            <w:tcW w:w="2530" w:type="dxa"/>
          </w:tcPr>
          <w:p w:rsidR="002A36C5" w:rsidRDefault="002A36C5">
            <w:pPr>
              <w:pStyle w:val="TableParagraph"/>
              <w:rPr>
                <w:rFonts w:ascii="Times New Roman"/>
                <w:sz w:val="16"/>
              </w:rPr>
            </w:pPr>
          </w:p>
        </w:tc>
        <w:tc>
          <w:tcPr>
            <w:tcW w:w="1606" w:type="dxa"/>
          </w:tcPr>
          <w:p w:rsidR="002A36C5" w:rsidRDefault="007F37B3">
            <w:pPr>
              <w:pStyle w:val="TableParagraph"/>
              <w:spacing w:line="210" w:lineRule="exact"/>
              <w:ind w:left="107"/>
              <w:rPr>
                <w:sz w:val="20"/>
              </w:rPr>
            </w:pPr>
            <w:r>
              <w:rPr>
                <w:sz w:val="20"/>
              </w:rPr>
              <w:t>Franklin</w:t>
            </w:r>
          </w:p>
        </w:tc>
        <w:tc>
          <w:tcPr>
            <w:tcW w:w="1297" w:type="dxa"/>
          </w:tcPr>
          <w:p w:rsidR="002A36C5" w:rsidRDefault="007F37B3">
            <w:pPr>
              <w:pStyle w:val="TableParagraph"/>
              <w:spacing w:line="210" w:lineRule="exact"/>
              <w:ind w:left="9"/>
              <w:jc w:val="center"/>
              <w:rPr>
                <w:sz w:val="20"/>
              </w:rPr>
            </w:pPr>
            <w:r>
              <w:rPr>
                <w:w w:val="99"/>
                <w:sz w:val="20"/>
              </w:rPr>
              <w:t>2</w:t>
            </w:r>
          </w:p>
        </w:tc>
      </w:tr>
      <w:tr w:rsidR="002A36C5">
        <w:trPr>
          <w:trHeight w:val="230"/>
        </w:trPr>
        <w:tc>
          <w:tcPr>
            <w:tcW w:w="2530" w:type="dxa"/>
          </w:tcPr>
          <w:p w:rsidR="002A36C5" w:rsidRDefault="002A36C5">
            <w:pPr>
              <w:pStyle w:val="TableParagraph"/>
              <w:rPr>
                <w:rFonts w:ascii="Times New Roman"/>
                <w:sz w:val="16"/>
              </w:rPr>
            </w:pPr>
          </w:p>
        </w:tc>
        <w:tc>
          <w:tcPr>
            <w:tcW w:w="1606" w:type="dxa"/>
          </w:tcPr>
          <w:p w:rsidR="002A36C5" w:rsidRDefault="007F37B3">
            <w:pPr>
              <w:pStyle w:val="TableParagraph"/>
              <w:spacing w:line="210" w:lineRule="exact"/>
              <w:ind w:left="107"/>
              <w:rPr>
                <w:sz w:val="20"/>
              </w:rPr>
            </w:pPr>
            <w:r>
              <w:rPr>
                <w:sz w:val="20"/>
              </w:rPr>
              <w:t>Berkshire</w:t>
            </w:r>
          </w:p>
        </w:tc>
        <w:tc>
          <w:tcPr>
            <w:tcW w:w="1297" w:type="dxa"/>
          </w:tcPr>
          <w:p w:rsidR="002A36C5" w:rsidRDefault="007F37B3">
            <w:pPr>
              <w:pStyle w:val="TableParagraph"/>
              <w:spacing w:line="210" w:lineRule="exact"/>
              <w:ind w:left="9"/>
              <w:jc w:val="center"/>
              <w:rPr>
                <w:sz w:val="20"/>
              </w:rPr>
            </w:pPr>
            <w:r>
              <w:rPr>
                <w:w w:val="99"/>
                <w:sz w:val="20"/>
              </w:rPr>
              <w:t>1</w:t>
            </w:r>
          </w:p>
        </w:tc>
      </w:tr>
      <w:tr w:rsidR="002A36C5">
        <w:trPr>
          <w:trHeight w:val="230"/>
        </w:trPr>
        <w:tc>
          <w:tcPr>
            <w:tcW w:w="2530" w:type="dxa"/>
          </w:tcPr>
          <w:p w:rsidR="002A36C5" w:rsidRDefault="007F37B3">
            <w:pPr>
              <w:pStyle w:val="TableParagraph"/>
              <w:spacing w:line="210" w:lineRule="exact"/>
              <w:ind w:left="107"/>
              <w:rPr>
                <w:sz w:val="20"/>
              </w:rPr>
            </w:pPr>
            <w:r>
              <w:rPr>
                <w:sz w:val="20"/>
              </w:rPr>
              <w:t>New York</w:t>
            </w:r>
          </w:p>
        </w:tc>
        <w:tc>
          <w:tcPr>
            <w:tcW w:w="1606" w:type="dxa"/>
          </w:tcPr>
          <w:p w:rsidR="002A36C5" w:rsidRDefault="002A36C5">
            <w:pPr>
              <w:pStyle w:val="TableParagraph"/>
              <w:rPr>
                <w:rFonts w:ascii="Times New Roman"/>
                <w:sz w:val="16"/>
              </w:rPr>
            </w:pPr>
          </w:p>
        </w:tc>
        <w:tc>
          <w:tcPr>
            <w:tcW w:w="1297" w:type="dxa"/>
          </w:tcPr>
          <w:p w:rsidR="002A36C5" w:rsidRDefault="007F37B3">
            <w:pPr>
              <w:pStyle w:val="TableParagraph"/>
              <w:spacing w:line="210" w:lineRule="exact"/>
              <w:ind w:left="9"/>
              <w:jc w:val="center"/>
              <w:rPr>
                <w:sz w:val="20"/>
              </w:rPr>
            </w:pPr>
            <w:r>
              <w:rPr>
                <w:w w:val="99"/>
                <w:sz w:val="20"/>
              </w:rPr>
              <w:t>9</w:t>
            </w:r>
          </w:p>
        </w:tc>
      </w:tr>
      <w:tr w:rsidR="002A36C5">
        <w:trPr>
          <w:trHeight w:val="230"/>
        </w:trPr>
        <w:tc>
          <w:tcPr>
            <w:tcW w:w="2530" w:type="dxa"/>
          </w:tcPr>
          <w:p w:rsidR="002A36C5" w:rsidRDefault="007F37B3">
            <w:pPr>
              <w:pStyle w:val="TableParagraph"/>
              <w:spacing w:line="210" w:lineRule="exact"/>
              <w:ind w:left="107"/>
              <w:rPr>
                <w:sz w:val="20"/>
              </w:rPr>
            </w:pPr>
            <w:r>
              <w:rPr>
                <w:sz w:val="20"/>
              </w:rPr>
              <w:t>New Hampshire</w:t>
            </w:r>
          </w:p>
        </w:tc>
        <w:tc>
          <w:tcPr>
            <w:tcW w:w="1606" w:type="dxa"/>
          </w:tcPr>
          <w:p w:rsidR="002A36C5" w:rsidRDefault="002A36C5">
            <w:pPr>
              <w:pStyle w:val="TableParagraph"/>
              <w:rPr>
                <w:rFonts w:ascii="Times New Roman"/>
                <w:sz w:val="16"/>
              </w:rPr>
            </w:pPr>
          </w:p>
        </w:tc>
        <w:tc>
          <w:tcPr>
            <w:tcW w:w="1297" w:type="dxa"/>
          </w:tcPr>
          <w:p w:rsidR="002A36C5" w:rsidRDefault="007F37B3">
            <w:pPr>
              <w:pStyle w:val="TableParagraph"/>
              <w:spacing w:line="210" w:lineRule="exact"/>
              <w:ind w:left="9"/>
              <w:jc w:val="center"/>
              <w:rPr>
                <w:sz w:val="20"/>
              </w:rPr>
            </w:pPr>
            <w:r>
              <w:rPr>
                <w:w w:val="99"/>
                <w:sz w:val="20"/>
              </w:rPr>
              <w:t>6</w:t>
            </w:r>
          </w:p>
        </w:tc>
      </w:tr>
      <w:tr w:rsidR="002A36C5">
        <w:trPr>
          <w:trHeight w:val="230"/>
        </w:trPr>
        <w:tc>
          <w:tcPr>
            <w:tcW w:w="2530" w:type="dxa"/>
          </w:tcPr>
          <w:p w:rsidR="002A36C5" w:rsidRDefault="007F37B3">
            <w:pPr>
              <w:pStyle w:val="TableParagraph"/>
              <w:spacing w:line="210" w:lineRule="exact"/>
              <w:ind w:left="107"/>
              <w:rPr>
                <w:sz w:val="20"/>
              </w:rPr>
            </w:pPr>
            <w:r>
              <w:rPr>
                <w:sz w:val="20"/>
              </w:rPr>
              <w:t>Connecticut</w:t>
            </w:r>
          </w:p>
        </w:tc>
        <w:tc>
          <w:tcPr>
            <w:tcW w:w="1606" w:type="dxa"/>
          </w:tcPr>
          <w:p w:rsidR="002A36C5" w:rsidRDefault="002A36C5">
            <w:pPr>
              <w:pStyle w:val="TableParagraph"/>
              <w:rPr>
                <w:rFonts w:ascii="Times New Roman"/>
                <w:sz w:val="16"/>
              </w:rPr>
            </w:pPr>
          </w:p>
        </w:tc>
        <w:tc>
          <w:tcPr>
            <w:tcW w:w="1297" w:type="dxa"/>
          </w:tcPr>
          <w:p w:rsidR="002A36C5" w:rsidRDefault="007F37B3">
            <w:pPr>
              <w:pStyle w:val="TableParagraph"/>
              <w:spacing w:line="210" w:lineRule="exact"/>
              <w:ind w:left="9"/>
              <w:jc w:val="center"/>
              <w:rPr>
                <w:sz w:val="20"/>
              </w:rPr>
            </w:pPr>
            <w:r>
              <w:rPr>
                <w:w w:val="99"/>
                <w:sz w:val="20"/>
              </w:rPr>
              <w:t>5</w:t>
            </w:r>
          </w:p>
        </w:tc>
      </w:tr>
      <w:tr w:rsidR="002A36C5">
        <w:trPr>
          <w:trHeight w:val="230"/>
        </w:trPr>
        <w:tc>
          <w:tcPr>
            <w:tcW w:w="2530" w:type="dxa"/>
          </w:tcPr>
          <w:p w:rsidR="002A36C5" w:rsidRDefault="007F37B3">
            <w:pPr>
              <w:pStyle w:val="TableParagraph"/>
              <w:spacing w:line="210" w:lineRule="exact"/>
              <w:ind w:left="107"/>
              <w:rPr>
                <w:sz w:val="20"/>
              </w:rPr>
            </w:pPr>
            <w:r>
              <w:rPr>
                <w:sz w:val="20"/>
              </w:rPr>
              <w:t>Vermont</w:t>
            </w:r>
          </w:p>
        </w:tc>
        <w:tc>
          <w:tcPr>
            <w:tcW w:w="1606" w:type="dxa"/>
          </w:tcPr>
          <w:p w:rsidR="002A36C5" w:rsidRDefault="002A36C5">
            <w:pPr>
              <w:pStyle w:val="TableParagraph"/>
              <w:rPr>
                <w:rFonts w:ascii="Times New Roman"/>
                <w:sz w:val="16"/>
              </w:rPr>
            </w:pPr>
          </w:p>
        </w:tc>
        <w:tc>
          <w:tcPr>
            <w:tcW w:w="1297" w:type="dxa"/>
          </w:tcPr>
          <w:p w:rsidR="002A36C5" w:rsidRDefault="007F37B3">
            <w:pPr>
              <w:pStyle w:val="TableParagraph"/>
              <w:spacing w:line="210" w:lineRule="exact"/>
              <w:ind w:left="9"/>
              <w:jc w:val="center"/>
              <w:rPr>
                <w:sz w:val="20"/>
              </w:rPr>
            </w:pPr>
            <w:r>
              <w:rPr>
                <w:w w:val="99"/>
                <w:sz w:val="20"/>
              </w:rPr>
              <w:t>4</w:t>
            </w:r>
          </w:p>
        </w:tc>
      </w:tr>
      <w:tr w:rsidR="002A36C5">
        <w:trPr>
          <w:trHeight w:val="230"/>
        </w:trPr>
        <w:tc>
          <w:tcPr>
            <w:tcW w:w="2530" w:type="dxa"/>
          </w:tcPr>
          <w:p w:rsidR="002A36C5" w:rsidRDefault="007F37B3">
            <w:pPr>
              <w:pStyle w:val="TableParagraph"/>
              <w:spacing w:line="210" w:lineRule="exact"/>
              <w:ind w:left="107"/>
              <w:rPr>
                <w:sz w:val="20"/>
              </w:rPr>
            </w:pPr>
            <w:r>
              <w:rPr>
                <w:sz w:val="20"/>
              </w:rPr>
              <w:t>Maine</w:t>
            </w:r>
          </w:p>
        </w:tc>
        <w:tc>
          <w:tcPr>
            <w:tcW w:w="1606" w:type="dxa"/>
          </w:tcPr>
          <w:p w:rsidR="002A36C5" w:rsidRDefault="002A36C5">
            <w:pPr>
              <w:pStyle w:val="TableParagraph"/>
              <w:rPr>
                <w:rFonts w:ascii="Times New Roman"/>
                <w:sz w:val="16"/>
              </w:rPr>
            </w:pPr>
          </w:p>
        </w:tc>
        <w:tc>
          <w:tcPr>
            <w:tcW w:w="1297" w:type="dxa"/>
          </w:tcPr>
          <w:p w:rsidR="002A36C5" w:rsidRDefault="007F37B3">
            <w:pPr>
              <w:pStyle w:val="TableParagraph"/>
              <w:spacing w:line="210" w:lineRule="exact"/>
              <w:ind w:left="9"/>
              <w:jc w:val="center"/>
              <w:rPr>
                <w:sz w:val="20"/>
              </w:rPr>
            </w:pPr>
            <w:r>
              <w:rPr>
                <w:w w:val="99"/>
                <w:sz w:val="20"/>
              </w:rPr>
              <w:t>1</w:t>
            </w:r>
          </w:p>
        </w:tc>
      </w:tr>
      <w:tr w:rsidR="002A36C5">
        <w:trPr>
          <w:trHeight w:val="230"/>
        </w:trPr>
        <w:tc>
          <w:tcPr>
            <w:tcW w:w="2530" w:type="dxa"/>
          </w:tcPr>
          <w:p w:rsidR="002A36C5" w:rsidRDefault="007F37B3">
            <w:pPr>
              <w:pStyle w:val="TableParagraph"/>
              <w:spacing w:line="210" w:lineRule="exact"/>
              <w:ind w:left="107"/>
              <w:rPr>
                <w:sz w:val="20"/>
              </w:rPr>
            </w:pPr>
            <w:r>
              <w:rPr>
                <w:sz w:val="20"/>
              </w:rPr>
              <w:t>Non-USA</w:t>
            </w:r>
          </w:p>
        </w:tc>
        <w:tc>
          <w:tcPr>
            <w:tcW w:w="1606" w:type="dxa"/>
          </w:tcPr>
          <w:p w:rsidR="002A36C5" w:rsidRDefault="002A36C5">
            <w:pPr>
              <w:pStyle w:val="TableParagraph"/>
              <w:rPr>
                <w:rFonts w:ascii="Times New Roman"/>
                <w:sz w:val="16"/>
              </w:rPr>
            </w:pPr>
          </w:p>
        </w:tc>
        <w:tc>
          <w:tcPr>
            <w:tcW w:w="1297" w:type="dxa"/>
          </w:tcPr>
          <w:p w:rsidR="002A36C5" w:rsidRDefault="007F37B3">
            <w:pPr>
              <w:pStyle w:val="TableParagraph"/>
              <w:spacing w:line="210" w:lineRule="exact"/>
              <w:ind w:left="9"/>
              <w:jc w:val="center"/>
              <w:rPr>
                <w:sz w:val="20"/>
              </w:rPr>
            </w:pPr>
            <w:r>
              <w:rPr>
                <w:w w:val="99"/>
                <w:sz w:val="20"/>
              </w:rPr>
              <w:t>1</w:t>
            </w:r>
          </w:p>
        </w:tc>
      </w:tr>
      <w:tr w:rsidR="002A36C5">
        <w:trPr>
          <w:trHeight w:val="230"/>
        </w:trPr>
        <w:tc>
          <w:tcPr>
            <w:tcW w:w="2530" w:type="dxa"/>
          </w:tcPr>
          <w:p w:rsidR="002A36C5" w:rsidRDefault="007F37B3">
            <w:pPr>
              <w:pStyle w:val="TableParagraph"/>
              <w:spacing w:line="210" w:lineRule="exact"/>
              <w:ind w:left="107"/>
              <w:rPr>
                <w:sz w:val="20"/>
              </w:rPr>
            </w:pPr>
            <w:r>
              <w:rPr>
                <w:sz w:val="20"/>
              </w:rPr>
              <w:t>Total Discharges</w:t>
            </w:r>
          </w:p>
        </w:tc>
        <w:tc>
          <w:tcPr>
            <w:tcW w:w="1606" w:type="dxa"/>
          </w:tcPr>
          <w:p w:rsidR="002A36C5" w:rsidRDefault="002A36C5">
            <w:pPr>
              <w:pStyle w:val="TableParagraph"/>
              <w:rPr>
                <w:rFonts w:ascii="Times New Roman"/>
                <w:sz w:val="16"/>
              </w:rPr>
            </w:pPr>
          </w:p>
        </w:tc>
        <w:tc>
          <w:tcPr>
            <w:tcW w:w="1297" w:type="dxa"/>
          </w:tcPr>
          <w:p w:rsidR="002A36C5" w:rsidRDefault="007F37B3">
            <w:pPr>
              <w:pStyle w:val="TableParagraph"/>
              <w:spacing w:line="210" w:lineRule="exact"/>
              <w:ind w:left="85" w:right="81"/>
              <w:jc w:val="center"/>
              <w:rPr>
                <w:sz w:val="20"/>
              </w:rPr>
            </w:pPr>
            <w:r>
              <w:rPr>
                <w:sz w:val="20"/>
              </w:rPr>
              <w:t>65</w:t>
            </w:r>
          </w:p>
        </w:tc>
      </w:tr>
    </w:tbl>
    <w:p w:rsidR="002A36C5" w:rsidRDefault="002A36C5">
      <w:pPr>
        <w:pStyle w:val="BodyText"/>
        <w:spacing w:before="1"/>
      </w:pPr>
    </w:p>
    <w:p w:rsidR="002A36C5" w:rsidRDefault="007F37B3">
      <w:pPr>
        <w:pStyle w:val="ListParagraph"/>
        <w:numPr>
          <w:ilvl w:val="0"/>
          <w:numId w:val="1"/>
        </w:numPr>
        <w:tabs>
          <w:tab w:val="left" w:pos="461"/>
        </w:tabs>
        <w:spacing w:line="259" w:lineRule="auto"/>
        <w:ind w:right="411"/>
      </w:pPr>
      <w:r>
        <w:t>Since the decision was made to discontinue the Service, we have been working closely</w:t>
      </w:r>
      <w:r>
        <w:rPr>
          <w:spacing w:val="-28"/>
        </w:rPr>
        <w:t xml:space="preserve"> </w:t>
      </w:r>
      <w:r>
        <w:t>with staff impacted to find alternative positions within the Hospital. Natural turnover, through either resignations or retirements, has allowed us to “re-assign” staff to</w:t>
      </w:r>
      <w:r>
        <w:rPr>
          <w:spacing w:val="-22"/>
        </w:rPr>
        <w:t xml:space="preserve"> </w:t>
      </w:r>
      <w:r>
        <w:t>vacant</w:t>
      </w:r>
    </w:p>
    <w:p w:rsidR="002A36C5" w:rsidRDefault="007F37B3">
      <w:pPr>
        <w:pStyle w:val="BodyText"/>
        <w:spacing w:line="256" w:lineRule="auto"/>
        <w:ind w:left="460" w:right="399"/>
      </w:pPr>
      <w:r>
        <w:t>positions. This focus on “reallocation of staff” over the coming weeks is exp</w:t>
      </w:r>
      <w:r>
        <w:t>ected to minimize, though not eliminate, reductions in force.</w:t>
      </w:r>
    </w:p>
    <w:p w:rsidR="002A36C5" w:rsidRDefault="007F37B3">
      <w:pPr>
        <w:pStyle w:val="BodyText"/>
        <w:spacing w:before="161" w:line="276" w:lineRule="auto"/>
        <w:ind w:left="100" w:right="520"/>
      </w:pPr>
      <w:r>
        <w:t>Shriners Hospitals for Children - Springfield remains committed to our mission of providing the highest quality care for children with neuromusculoskeletal conditions, and other special healthca</w:t>
      </w:r>
      <w:r>
        <w:t>re needs within a compassionate, family-centered and collaborative environment, to provide for the education of physicians and other healthcare professionals, and to conduct research to discover new knowledge that improves quality of care and quality of li</w:t>
      </w:r>
      <w:r>
        <w:t>fe of children and families regardless of the ability of a patient or family to pay.</w:t>
      </w:r>
    </w:p>
    <w:p w:rsidR="002A36C5" w:rsidRDefault="002A36C5">
      <w:pPr>
        <w:spacing w:line="276" w:lineRule="auto"/>
        <w:sectPr w:rsidR="002A36C5">
          <w:pgSz w:w="12240" w:h="15840"/>
          <w:pgMar w:top="960" w:right="1100" w:bottom="280" w:left="1340" w:header="724" w:footer="0" w:gutter="0"/>
          <w:cols w:space="720"/>
        </w:sectPr>
      </w:pPr>
    </w:p>
    <w:p w:rsidR="002A36C5" w:rsidRDefault="002A36C5">
      <w:pPr>
        <w:pStyle w:val="BodyText"/>
        <w:rPr>
          <w:sz w:val="20"/>
        </w:rPr>
      </w:pPr>
    </w:p>
    <w:p w:rsidR="002A36C5" w:rsidRDefault="002A36C5">
      <w:pPr>
        <w:pStyle w:val="BodyText"/>
        <w:spacing w:before="9"/>
        <w:rPr>
          <w:sz w:val="15"/>
        </w:rPr>
      </w:pPr>
    </w:p>
    <w:p w:rsidR="002A36C5" w:rsidRDefault="007F37B3">
      <w:pPr>
        <w:pStyle w:val="BodyText"/>
        <w:spacing w:before="94" w:line="276" w:lineRule="auto"/>
        <w:ind w:left="100" w:right="643"/>
      </w:pPr>
      <w:r>
        <w:t>We welcome any questions or concerns you might have and will work with the Department of Public Health throughout the process.</w:t>
      </w:r>
    </w:p>
    <w:p w:rsidR="002A36C5" w:rsidRDefault="002A36C5">
      <w:pPr>
        <w:pStyle w:val="BodyText"/>
      </w:pPr>
    </w:p>
    <w:p w:rsidR="002A36C5" w:rsidRDefault="007F37B3">
      <w:pPr>
        <w:pStyle w:val="BodyText"/>
        <w:ind w:left="100"/>
      </w:pPr>
      <w:r>
        <w:t>Sincerely,</w:t>
      </w:r>
    </w:p>
    <w:p w:rsidR="002A36C5" w:rsidRDefault="002A36C5">
      <w:pPr>
        <w:pStyle w:val="BodyText"/>
        <w:rPr>
          <w:sz w:val="20"/>
        </w:rPr>
      </w:pPr>
    </w:p>
    <w:p w:rsidR="002A36C5" w:rsidRDefault="007F37B3">
      <w:pPr>
        <w:pStyle w:val="BodyText"/>
        <w:spacing w:before="2"/>
        <w:rPr>
          <w:sz w:val="14"/>
        </w:rPr>
      </w:pPr>
      <w:r>
        <w:rPr>
          <w:noProof/>
          <w:lang w:bidi="ar-SA"/>
        </w:rPr>
        <w:drawing>
          <wp:anchor distT="0" distB="0" distL="0" distR="0" simplePos="0" relativeHeight="2" behindDoc="0" locked="0" layoutInCell="1" allowOverlap="1">
            <wp:simplePos x="0" y="0"/>
            <wp:positionH relativeFrom="page">
              <wp:posOffset>941913</wp:posOffset>
            </wp:positionH>
            <wp:positionV relativeFrom="paragraph">
              <wp:posOffset>260631</wp:posOffset>
            </wp:positionV>
            <wp:extent cx="1323363" cy="356616"/>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1323363" cy="356616"/>
                    </a:xfrm>
                    <a:prstGeom prst="rect">
                      <a:avLst/>
                    </a:prstGeom>
                  </pic:spPr>
                </pic:pic>
              </a:graphicData>
            </a:graphic>
          </wp:anchor>
        </w:drawing>
      </w:r>
      <w:r>
        <w:rPr>
          <w:noProof/>
          <w:lang w:bidi="ar-SA"/>
        </w:rPr>
        <w:drawing>
          <wp:anchor distT="0" distB="0" distL="0" distR="0" simplePos="0" relativeHeight="3" behindDoc="0" locked="0" layoutInCell="1" allowOverlap="1">
            <wp:simplePos x="0" y="0"/>
            <wp:positionH relativeFrom="page">
              <wp:posOffset>3734330</wp:posOffset>
            </wp:positionH>
            <wp:positionV relativeFrom="paragraph">
              <wp:posOffset>128263</wp:posOffset>
            </wp:positionV>
            <wp:extent cx="1089136" cy="365759"/>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2" cstate="print"/>
                    <a:stretch>
                      <a:fillRect/>
                    </a:stretch>
                  </pic:blipFill>
                  <pic:spPr>
                    <a:xfrm>
                      <a:off x="0" y="0"/>
                      <a:ext cx="1089136" cy="365759"/>
                    </a:xfrm>
                    <a:prstGeom prst="rect">
                      <a:avLst/>
                    </a:prstGeom>
                  </pic:spPr>
                </pic:pic>
              </a:graphicData>
            </a:graphic>
          </wp:anchor>
        </w:drawing>
      </w:r>
    </w:p>
    <w:p w:rsidR="002A36C5" w:rsidRDefault="007F37B3">
      <w:pPr>
        <w:pStyle w:val="BodyText"/>
        <w:tabs>
          <w:tab w:val="left" w:pos="4421"/>
        </w:tabs>
        <w:spacing w:before="67"/>
        <w:ind w:left="100"/>
      </w:pPr>
      <w:r>
        <w:t>Edward</w:t>
      </w:r>
      <w:r>
        <w:rPr>
          <w:spacing w:val="-5"/>
        </w:rPr>
        <w:t xml:space="preserve"> </w:t>
      </w:r>
      <w:r>
        <w:rPr>
          <w:spacing w:val="3"/>
        </w:rPr>
        <w:t>W.</w:t>
      </w:r>
      <w:r>
        <w:rPr>
          <w:spacing w:val="-4"/>
        </w:rPr>
        <w:t xml:space="preserve"> </w:t>
      </w:r>
      <w:r>
        <w:t>Ge</w:t>
      </w:r>
      <w:r>
        <w:t>offrion</w:t>
      </w:r>
      <w:r>
        <w:tab/>
        <w:t>H. Lee Kirk, FACHE</w:t>
      </w:r>
    </w:p>
    <w:p w:rsidR="002A36C5" w:rsidRDefault="007F37B3">
      <w:pPr>
        <w:pStyle w:val="BodyText"/>
        <w:tabs>
          <w:tab w:val="left" w:pos="4421"/>
        </w:tabs>
        <w:spacing w:before="37"/>
        <w:ind w:left="100"/>
      </w:pPr>
      <w:r>
        <w:t>Chairman, Board</w:t>
      </w:r>
      <w:r>
        <w:rPr>
          <w:spacing w:val="-6"/>
        </w:rPr>
        <w:t xml:space="preserve"> </w:t>
      </w:r>
      <w:r>
        <w:t>of Governors</w:t>
      </w:r>
      <w:r>
        <w:tab/>
        <w:t>Hospital</w:t>
      </w:r>
      <w:r>
        <w:rPr>
          <w:spacing w:val="-1"/>
        </w:rPr>
        <w:t xml:space="preserve"> </w:t>
      </w:r>
      <w:r>
        <w:t>Administrator</w:t>
      </w:r>
    </w:p>
    <w:p w:rsidR="002A36C5" w:rsidRDefault="002A36C5">
      <w:pPr>
        <w:pStyle w:val="BodyText"/>
        <w:rPr>
          <w:sz w:val="24"/>
        </w:rPr>
      </w:pPr>
    </w:p>
    <w:p w:rsidR="002A36C5" w:rsidRDefault="002A36C5">
      <w:pPr>
        <w:pStyle w:val="BodyText"/>
        <w:rPr>
          <w:sz w:val="24"/>
        </w:rPr>
      </w:pPr>
    </w:p>
    <w:p w:rsidR="002A36C5" w:rsidRDefault="002A36C5">
      <w:pPr>
        <w:pStyle w:val="BodyText"/>
        <w:rPr>
          <w:sz w:val="24"/>
        </w:rPr>
      </w:pPr>
    </w:p>
    <w:p w:rsidR="002A36C5" w:rsidRDefault="007F37B3">
      <w:pPr>
        <w:spacing w:before="187"/>
        <w:ind w:left="215"/>
        <w:rPr>
          <w:sz w:val="20"/>
        </w:rPr>
      </w:pPr>
      <w:r>
        <w:rPr>
          <w:color w:val="57585B"/>
          <w:sz w:val="20"/>
        </w:rPr>
        <w:t>516 Carew Street</w:t>
      </w:r>
    </w:p>
    <w:p w:rsidR="002A36C5" w:rsidRDefault="007F37B3">
      <w:pPr>
        <w:spacing w:before="10"/>
        <w:ind w:left="215"/>
        <w:rPr>
          <w:sz w:val="20"/>
        </w:rPr>
      </w:pPr>
      <w:r>
        <w:rPr>
          <w:color w:val="57585B"/>
          <w:sz w:val="20"/>
        </w:rPr>
        <w:t>Springfield, MA 01104-2396</w:t>
      </w:r>
    </w:p>
    <w:p w:rsidR="002A36C5" w:rsidRDefault="007F37B3">
      <w:pPr>
        <w:spacing w:before="34"/>
        <w:ind w:left="215"/>
        <w:rPr>
          <w:sz w:val="20"/>
        </w:rPr>
      </w:pPr>
      <w:r>
        <w:rPr>
          <w:color w:val="57585B"/>
          <w:sz w:val="20"/>
        </w:rPr>
        <w:t>Tel: 413-787-2000</w:t>
      </w:r>
    </w:p>
    <w:p w:rsidR="002A36C5" w:rsidRDefault="007F37B3">
      <w:pPr>
        <w:spacing w:before="4"/>
        <w:ind w:left="215"/>
        <w:rPr>
          <w:sz w:val="18"/>
        </w:rPr>
      </w:pPr>
      <w:hyperlink r:id="rId13">
        <w:r>
          <w:rPr>
            <w:color w:val="57585B"/>
            <w:sz w:val="18"/>
          </w:rPr>
          <w:t>www.shrinershospitalsforchildren.org</w:t>
        </w:r>
      </w:hyperlink>
    </w:p>
    <w:sectPr w:rsidR="002A36C5">
      <w:pgSz w:w="12240" w:h="15840"/>
      <w:pgMar w:top="960" w:right="1100" w:bottom="280" w:left="134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F37B3">
      <w:r>
        <w:separator/>
      </w:r>
    </w:p>
  </w:endnote>
  <w:endnote w:type="continuationSeparator" w:id="0">
    <w:p w:rsidR="00000000" w:rsidRDefault="007F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F37B3">
      <w:r>
        <w:separator/>
      </w:r>
    </w:p>
  </w:footnote>
  <w:footnote w:type="continuationSeparator" w:id="0">
    <w:p w:rsidR="00000000" w:rsidRDefault="007F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C5" w:rsidRPr="007F37B3" w:rsidRDefault="007F37B3">
    <w:pPr>
      <w:pStyle w:val="BodyText"/>
      <w:spacing w:line="14" w:lineRule="auto"/>
      <w:rPr>
        <w:sz w:val="20"/>
      </w:rPr>
    </w:pPr>
    <w:r w:rsidRPr="007F37B3">
      <w:pict>
        <v:shapetype id="_x0000_t202" coordsize="21600,21600" o:spt="202" path="m,l,21600r21600,l21600,xe">
          <v:stroke joinstyle="miter"/>
          <v:path gradientshapeok="t" o:connecttype="rect"/>
        </v:shapetype>
        <v:shape id="_x0000_s2049" type="#_x0000_t202" style="position:absolute;margin-left:71pt;margin-top:35.2pt;width:39.1pt;height:14.35pt;z-index:-251658752;mso-position-horizontal-relative:page;mso-position-vertical-relative:page" filled="f" stroked="f">
          <v:textbox inset="0,0,0,0">
            <w:txbxContent>
              <w:p w:rsidR="002A36C5" w:rsidRDefault="007F37B3">
                <w:pPr>
                  <w:pStyle w:val="BodyText"/>
                  <w:spacing w:before="13"/>
                  <w:ind w:left="20"/>
                </w:pPr>
                <w:r>
                  <w:t xml:space="preserve">Page </w:t>
                </w:r>
                <w:r>
                  <w:fldChar w:fldCharType="begin"/>
                </w:r>
                <w:r>
                  <w:instrText xml:space="preserve"> PAGE </w:instrText>
                </w:r>
                <w:r>
                  <w:fldChar w:fldCharType="separate"/>
                </w:r>
                <w:r>
                  <w:rPr>
                    <w:noProof/>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93320"/>
    <w:multiLevelType w:val="hybridMultilevel"/>
    <w:tmpl w:val="1A3A7BF4"/>
    <w:lvl w:ilvl="0" w:tplc="B0D0C6DE">
      <w:start w:val="1"/>
      <w:numFmt w:val="decimal"/>
      <w:lvlText w:val="(%1)"/>
      <w:lvlJc w:val="left"/>
      <w:pPr>
        <w:ind w:left="460" w:hanging="360"/>
        <w:jc w:val="left"/>
      </w:pPr>
      <w:rPr>
        <w:rFonts w:ascii="Arial" w:eastAsia="Arial" w:hAnsi="Arial" w:cs="Arial" w:hint="default"/>
        <w:w w:val="100"/>
        <w:sz w:val="22"/>
        <w:szCs w:val="22"/>
        <w:lang w:val="en-US" w:eastAsia="en-US" w:bidi="en-US"/>
      </w:rPr>
    </w:lvl>
    <w:lvl w:ilvl="1" w:tplc="C6C62F3C">
      <w:numFmt w:val="bullet"/>
      <w:lvlText w:val="•"/>
      <w:lvlJc w:val="left"/>
      <w:pPr>
        <w:ind w:left="1394" w:hanging="360"/>
      </w:pPr>
      <w:rPr>
        <w:rFonts w:hint="default"/>
        <w:lang w:val="en-US" w:eastAsia="en-US" w:bidi="en-US"/>
      </w:rPr>
    </w:lvl>
    <w:lvl w:ilvl="2" w:tplc="631808EA">
      <w:numFmt w:val="bullet"/>
      <w:lvlText w:val="•"/>
      <w:lvlJc w:val="left"/>
      <w:pPr>
        <w:ind w:left="2328" w:hanging="360"/>
      </w:pPr>
      <w:rPr>
        <w:rFonts w:hint="default"/>
        <w:lang w:val="en-US" w:eastAsia="en-US" w:bidi="en-US"/>
      </w:rPr>
    </w:lvl>
    <w:lvl w:ilvl="3" w:tplc="7AC8B584">
      <w:numFmt w:val="bullet"/>
      <w:lvlText w:val="•"/>
      <w:lvlJc w:val="left"/>
      <w:pPr>
        <w:ind w:left="3262" w:hanging="360"/>
      </w:pPr>
      <w:rPr>
        <w:rFonts w:hint="default"/>
        <w:lang w:val="en-US" w:eastAsia="en-US" w:bidi="en-US"/>
      </w:rPr>
    </w:lvl>
    <w:lvl w:ilvl="4" w:tplc="19FE7210">
      <w:numFmt w:val="bullet"/>
      <w:lvlText w:val="•"/>
      <w:lvlJc w:val="left"/>
      <w:pPr>
        <w:ind w:left="4196" w:hanging="360"/>
      </w:pPr>
      <w:rPr>
        <w:rFonts w:hint="default"/>
        <w:lang w:val="en-US" w:eastAsia="en-US" w:bidi="en-US"/>
      </w:rPr>
    </w:lvl>
    <w:lvl w:ilvl="5" w:tplc="53EE3CAE">
      <w:numFmt w:val="bullet"/>
      <w:lvlText w:val="•"/>
      <w:lvlJc w:val="left"/>
      <w:pPr>
        <w:ind w:left="5130" w:hanging="360"/>
      </w:pPr>
      <w:rPr>
        <w:rFonts w:hint="default"/>
        <w:lang w:val="en-US" w:eastAsia="en-US" w:bidi="en-US"/>
      </w:rPr>
    </w:lvl>
    <w:lvl w:ilvl="6" w:tplc="58B8083E">
      <w:numFmt w:val="bullet"/>
      <w:lvlText w:val="•"/>
      <w:lvlJc w:val="left"/>
      <w:pPr>
        <w:ind w:left="6064" w:hanging="360"/>
      </w:pPr>
      <w:rPr>
        <w:rFonts w:hint="default"/>
        <w:lang w:val="en-US" w:eastAsia="en-US" w:bidi="en-US"/>
      </w:rPr>
    </w:lvl>
    <w:lvl w:ilvl="7" w:tplc="71F067F0">
      <w:numFmt w:val="bullet"/>
      <w:lvlText w:val="•"/>
      <w:lvlJc w:val="left"/>
      <w:pPr>
        <w:ind w:left="6998" w:hanging="360"/>
      </w:pPr>
      <w:rPr>
        <w:rFonts w:hint="default"/>
        <w:lang w:val="en-US" w:eastAsia="en-US" w:bidi="en-US"/>
      </w:rPr>
    </w:lvl>
    <w:lvl w:ilvl="8" w:tplc="E12026F6">
      <w:numFmt w:val="bullet"/>
      <w:lvlText w:val="•"/>
      <w:lvlJc w:val="left"/>
      <w:pPr>
        <w:ind w:left="7932" w:hanging="360"/>
      </w:pPr>
      <w:rPr>
        <w:rFonts w:hint="default"/>
        <w:lang w:val="en-US" w:eastAsia="en-US" w:bidi="en-US"/>
      </w:rPr>
    </w:lvl>
  </w:abstractNum>
  <w:abstractNum w:abstractNumId="1" w15:restartNumberingAfterBreak="0">
    <w:nsid w:val="7CC32B5E"/>
    <w:multiLevelType w:val="hybridMultilevel"/>
    <w:tmpl w:val="E3B64334"/>
    <w:lvl w:ilvl="0" w:tplc="AF48E2A2">
      <w:start w:val="1"/>
      <w:numFmt w:val="decimal"/>
      <w:lvlText w:val="(%1)"/>
      <w:lvlJc w:val="left"/>
      <w:pPr>
        <w:ind w:left="460" w:hanging="360"/>
        <w:jc w:val="left"/>
      </w:pPr>
      <w:rPr>
        <w:rFonts w:ascii="Arial" w:eastAsia="Arial" w:hAnsi="Arial" w:cs="Arial" w:hint="default"/>
        <w:w w:val="100"/>
        <w:sz w:val="22"/>
        <w:szCs w:val="22"/>
        <w:lang w:val="en-US" w:eastAsia="en-US" w:bidi="en-US"/>
      </w:rPr>
    </w:lvl>
    <w:lvl w:ilvl="1" w:tplc="F94221E8">
      <w:numFmt w:val="bullet"/>
      <w:lvlText w:val="•"/>
      <w:lvlJc w:val="left"/>
      <w:pPr>
        <w:ind w:left="1394" w:hanging="360"/>
      </w:pPr>
      <w:rPr>
        <w:rFonts w:hint="default"/>
        <w:lang w:val="en-US" w:eastAsia="en-US" w:bidi="en-US"/>
      </w:rPr>
    </w:lvl>
    <w:lvl w:ilvl="2" w:tplc="39700222">
      <w:numFmt w:val="bullet"/>
      <w:lvlText w:val="•"/>
      <w:lvlJc w:val="left"/>
      <w:pPr>
        <w:ind w:left="2328" w:hanging="360"/>
      </w:pPr>
      <w:rPr>
        <w:rFonts w:hint="default"/>
        <w:lang w:val="en-US" w:eastAsia="en-US" w:bidi="en-US"/>
      </w:rPr>
    </w:lvl>
    <w:lvl w:ilvl="3" w:tplc="203E2DCA">
      <w:numFmt w:val="bullet"/>
      <w:lvlText w:val="•"/>
      <w:lvlJc w:val="left"/>
      <w:pPr>
        <w:ind w:left="3262" w:hanging="360"/>
      </w:pPr>
      <w:rPr>
        <w:rFonts w:hint="default"/>
        <w:lang w:val="en-US" w:eastAsia="en-US" w:bidi="en-US"/>
      </w:rPr>
    </w:lvl>
    <w:lvl w:ilvl="4" w:tplc="2D8CAE90">
      <w:numFmt w:val="bullet"/>
      <w:lvlText w:val="•"/>
      <w:lvlJc w:val="left"/>
      <w:pPr>
        <w:ind w:left="4196" w:hanging="360"/>
      </w:pPr>
      <w:rPr>
        <w:rFonts w:hint="default"/>
        <w:lang w:val="en-US" w:eastAsia="en-US" w:bidi="en-US"/>
      </w:rPr>
    </w:lvl>
    <w:lvl w:ilvl="5" w:tplc="4D8A05B0">
      <w:numFmt w:val="bullet"/>
      <w:lvlText w:val="•"/>
      <w:lvlJc w:val="left"/>
      <w:pPr>
        <w:ind w:left="5130" w:hanging="360"/>
      </w:pPr>
      <w:rPr>
        <w:rFonts w:hint="default"/>
        <w:lang w:val="en-US" w:eastAsia="en-US" w:bidi="en-US"/>
      </w:rPr>
    </w:lvl>
    <w:lvl w:ilvl="6" w:tplc="8C9A8144">
      <w:numFmt w:val="bullet"/>
      <w:lvlText w:val="•"/>
      <w:lvlJc w:val="left"/>
      <w:pPr>
        <w:ind w:left="6064" w:hanging="360"/>
      </w:pPr>
      <w:rPr>
        <w:rFonts w:hint="default"/>
        <w:lang w:val="en-US" w:eastAsia="en-US" w:bidi="en-US"/>
      </w:rPr>
    </w:lvl>
    <w:lvl w:ilvl="7" w:tplc="7B724F42">
      <w:numFmt w:val="bullet"/>
      <w:lvlText w:val="•"/>
      <w:lvlJc w:val="left"/>
      <w:pPr>
        <w:ind w:left="6998" w:hanging="360"/>
      </w:pPr>
      <w:rPr>
        <w:rFonts w:hint="default"/>
        <w:lang w:val="en-US" w:eastAsia="en-US" w:bidi="en-US"/>
      </w:rPr>
    </w:lvl>
    <w:lvl w:ilvl="8" w:tplc="3042C46A">
      <w:numFmt w:val="bullet"/>
      <w:lvlText w:val="•"/>
      <w:lvlJc w:val="left"/>
      <w:pPr>
        <w:ind w:left="7932"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2A36C5"/>
    <w:rsid w:val="002A36C5"/>
    <w:rsid w:val="007F3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5EFEEFB-61E3-4E11-A808-E0A386A7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right="33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37B3"/>
    <w:pPr>
      <w:tabs>
        <w:tab w:val="center" w:pos="4680"/>
        <w:tab w:val="right" w:pos="9360"/>
      </w:tabs>
    </w:pPr>
  </w:style>
  <w:style w:type="character" w:customStyle="1" w:styleId="HeaderChar">
    <w:name w:val="Header Char"/>
    <w:basedOn w:val="DefaultParagraphFont"/>
    <w:link w:val="Header"/>
    <w:uiPriority w:val="99"/>
    <w:rsid w:val="007F37B3"/>
    <w:rPr>
      <w:rFonts w:ascii="Arial" w:eastAsia="Arial" w:hAnsi="Arial" w:cs="Arial"/>
      <w:lang w:bidi="en-US"/>
    </w:rPr>
  </w:style>
  <w:style w:type="paragraph" w:styleId="Footer">
    <w:name w:val="footer"/>
    <w:basedOn w:val="Normal"/>
    <w:link w:val="FooterChar"/>
    <w:uiPriority w:val="99"/>
    <w:unhideWhenUsed/>
    <w:rsid w:val="007F37B3"/>
    <w:pPr>
      <w:tabs>
        <w:tab w:val="center" w:pos="4680"/>
        <w:tab w:val="right" w:pos="9360"/>
      </w:tabs>
    </w:pPr>
  </w:style>
  <w:style w:type="character" w:customStyle="1" w:styleId="FooterChar">
    <w:name w:val="Footer Char"/>
    <w:basedOn w:val="DefaultParagraphFont"/>
    <w:link w:val="Footer"/>
    <w:uiPriority w:val="99"/>
    <w:rsid w:val="007F37B3"/>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13" Type="http://schemas.openxmlformats.org/officeDocument/2006/relationships/hyperlink" Target="http://www.shrinershospitalsforchildren.org/" TargetMode="External"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image" Target="media/image4.jpeg"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image" Target="media/image3.jpeg" />
  <Relationship Id="rId5" Type="http://schemas.openxmlformats.org/officeDocument/2006/relationships/footnotes" Target="footnotes.xml" />
  <Relationship Id="rId15" Type="http://schemas.openxmlformats.org/officeDocument/2006/relationships/theme" Target="theme/theme1.xml" />
  <Relationship Id="rId10" Type="http://schemas.openxmlformats.org/officeDocument/2006/relationships/header" Target="header1.xml" />
  <Relationship Id="rId4" Type="http://schemas.openxmlformats.org/officeDocument/2006/relationships/webSettings" Target="webSettings.xml" />
  <Relationship Id="rId9" Type="http://schemas.openxmlformats.org/officeDocument/2006/relationships/hyperlink" Target="mailto:sherman.lohnes@state.ma.us" TargetMode="Externa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6</Pages>
  <Words>2147</Words>
  <Characters>12827</Characters>
  <Application>Microsoft Office Word</Application>
  <DocSecurity>0</DocSecurity>
  <Lines>472</Lines>
  <Paragraphs>188</Paragraphs>
  <ScaleCrop>false</ScaleCrop>
  <Company/>
  <LinksUpToDate>false</LinksUpToDate>
  <CharactersWithSpaces>14784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