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26E5C" w14:textId="77777777" w:rsidR="00D04E13" w:rsidRPr="00B51CC4" w:rsidRDefault="00D04E13" w:rsidP="007867F4">
      <w:pPr>
        <w:pStyle w:val="Heading1"/>
      </w:pPr>
    </w:p>
    <w:p w14:paraId="54A16D6A" w14:textId="4433E73E" w:rsidR="0001658A" w:rsidRPr="00B51CC4" w:rsidRDefault="00B91718" w:rsidP="00F671EF">
      <w:pPr>
        <w:ind w:left="720" w:firstLine="720"/>
        <w:jc w:val="center"/>
        <w:rPr>
          <w:rFonts w:ascii="Aptos" w:hAnsi="Aptos" w:cs="Times New Roman"/>
        </w:rPr>
      </w:pPr>
      <w:r>
        <w:rPr>
          <w:rFonts w:ascii="Aptos" w:hAnsi="Aptos" w:cs="Times New Roman"/>
        </w:rPr>
        <w:t>February 19, 2026</w:t>
      </w:r>
    </w:p>
    <w:p w14:paraId="4FEF61A2" w14:textId="77777777" w:rsidR="0001658A" w:rsidRPr="00B51CC4" w:rsidRDefault="0001658A" w:rsidP="0001658A">
      <w:pPr>
        <w:jc w:val="center"/>
        <w:rPr>
          <w:rFonts w:ascii="Aptos" w:hAnsi="Aptos" w:cs="Times New Roman"/>
        </w:rPr>
      </w:pPr>
    </w:p>
    <w:p w14:paraId="2D8173CC" w14:textId="77777777" w:rsidR="0001658A" w:rsidRPr="00B51CC4" w:rsidRDefault="0001658A" w:rsidP="0001658A">
      <w:pPr>
        <w:rPr>
          <w:rFonts w:ascii="Aptos" w:hAnsi="Aptos" w:cs="Times New Roman"/>
          <w:u w:val="single"/>
        </w:rPr>
      </w:pPr>
      <w:r w:rsidRPr="00B51CC4">
        <w:rPr>
          <w:rFonts w:ascii="Aptos" w:hAnsi="Aptos" w:cs="Times New Roman"/>
          <w:u w:val="single"/>
        </w:rPr>
        <w:t>Via Email</w:t>
      </w:r>
    </w:p>
    <w:p w14:paraId="5A441AD2" w14:textId="77777777" w:rsidR="0001658A" w:rsidRPr="00B51CC4" w:rsidRDefault="0001658A" w:rsidP="0001658A">
      <w:pPr>
        <w:rPr>
          <w:rFonts w:ascii="Aptos" w:hAnsi="Aptos" w:cs="Times New Roman"/>
        </w:rPr>
      </w:pPr>
    </w:p>
    <w:p w14:paraId="01C5CF99" w14:textId="32F0639E" w:rsidR="0001658A" w:rsidRPr="00B51CC4" w:rsidRDefault="0001658A" w:rsidP="0001658A">
      <w:pPr>
        <w:rPr>
          <w:rFonts w:ascii="Aptos" w:hAnsi="Aptos" w:cs="Times New Roman"/>
        </w:rPr>
      </w:pPr>
      <w:r w:rsidRPr="00B51CC4">
        <w:rPr>
          <w:rFonts w:ascii="Aptos" w:hAnsi="Aptos" w:cs="Times New Roman"/>
        </w:rPr>
        <w:t>Stephen Davis, Director</w:t>
      </w:r>
    </w:p>
    <w:p w14:paraId="1CB9C3E0" w14:textId="77777777" w:rsidR="0001658A" w:rsidRPr="00B51CC4" w:rsidRDefault="0001658A" w:rsidP="0001658A">
      <w:pPr>
        <w:rPr>
          <w:rFonts w:ascii="Aptos" w:hAnsi="Aptos" w:cs="Times New Roman"/>
        </w:rPr>
      </w:pPr>
      <w:r w:rsidRPr="00B51CC4">
        <w:rPr>
          <w:rFonts w:ascii="Aptos" w:hAnsi="Aptos" w:cs="Times New Roman"/>
        </w:rPr>
        <w:t>Division of Health Care Facility Licensure and Certification</w:t>
      </w:r>
    </w:p>
    <w:p w14:paraId="1D9C310F" w14:textId="77777777" w:rsidR="0001658A" w:rsidRPr="00B51CC4" w:rsidRDefault="0001658A" w:rsidP="0001658A">
      <w:pPr>
        <w:rPr>
          <w:rFonts w:ascii="Aptos" w:hAnsi="Aptos" w:cs="Times New Roman"/>
        </w:rPr>
      </w:pPr>
      <w:r w:rsidRPr="00B51CC4">
        <w:rPr>
          <w:rFonts w:ascii="Aptos" w:hAnsi="Aptos" w:cs="Times New Roman"/>
        </w:rPr>
        <w:t>Massachusetts Department of Public Health</w:t>
      </w:r>
    </w:p>
    <w:p w14:paraId="0C12DE46" w14:textId="77777777" w:rsidR="0001658A" w:rsidRPr="00B51CC4" w:rsidRDefault="0001658A" w:rsidP="0001658A">
      <w:pPr>
        <w:rPr>
          <w:rFonts w:ascii="Aptos" w:hAnsi="Aptos" w:cs="Times New Roman"/>
        </w:rPr>
      </w:pPr>
      <w:r w:rsidRPr="00B51CC4">
        <w:rPr>
          <w:rFonts w:ascii="Aptos" w:hAnsi="Aptos" w:cs="Times New Roman"/>
        </w:rPr>
        <w:t>67 Forest Street</w:t>
      </w:r>
    </w:p>
    <w:p w14:paraId="4AE5E464" w14:textId="77777777" w:rsidR="0001658A" w:rsidRPr="00B51CC4" w:rsidRDefault="0001658A" w:rsidP="0001658A">
      <w:pPr>
        <w:rPr>
          <w:rFonts w:ascii="Aptos" w:hAnsi="Aptos" w:cs="Times New Roman"/>
        </w:rPr>
      </w:pPr>
      <w:r w:rsidRPr="00B51CC4">
        <w:rPr>
          <w:rFonts w:ascii="Aptos" w:hAnsi="Aptos" w:cs="Times New Roman"/>
        </w:rPr>
        <w:t>Marlborough, MA 01752</w:t>
      </w:r>
    </w:p>
    <w:p w14:paraId="7077BCAC" w14:textId="77777777" w:rsidR="0001658A" w:rsidRPr="00B51CC4" w:rsidRDefault="0001658A" w:rsidP="0001658A">
      <w:pPr>
        <w:rPr>
          <w:rFonts w:ascii="Aptos" w:hAnsi="Aptos" w:cs="Times New Roman"/>
        </w:rPr>
      </w:pPr>
    </w:p>
    <w:p w14:paraId="3C8E055A" w14:textId="6DCBC322" w:rsidR="0001658A" w:rsidRPr="00B51CC4" w:rsidRDefault="0001658A" w:rsidP="0001658A">
      <w:pPr>
        <w:ind w:left="720" w:hanging="720"/>
        <w:jc w:val="both"/>
        <w:rPr>
          <w:rFonts w:ascii="Aptos" w:hAnsi="Aptos" w:cs="Times New Roman"/>
        </w:rPr>
      </w:pPr>
      <w:r w:rsidRPr="00B51CC4">
        <w:rPr>
          <w:rFonts w:ascii="Aptos" w:hAnsi="Aptos" w:cs="Times New Roman"/>
        </w:rPr>
        <w:t>Re:</w:t>
      </w:r>
      <w:r w:rsidRPr="00B51CC4">
        <w:rPr>
          <w:rFonts w:ascii="Aptos" w:hAnsi="Aptos" w:cs="Times New Roman"/>
        </w:rPr>
        <w:tab/>
      </w:r>
      <w:r w:rsidR="00B91718">
        <w:rPr>
          <w:rFonts w:ascii="Aptos" w:hAnsi="Aptos" w:cs="Times New Roman"/>
          <w:u w:val="single"/>
        </w:rPr>
        <w:t>Brigham and Woman’s Hospital</w:t>
      </w:r>
      <w:r w:rsidR="009877DA" w:rsidRPr="00B51CC4">
        <w:rPr>
          <w:rFonts w:ascii="Aptos" w:hAnsi="Aptos" w:cs="Times New Roman"/>
          <w:u w:val="single"/>
        </w:rPr>
        <w:t xml:space="preserve"> – </w:t>
      </w:r>
      <w:r w:rsidR="00B91718">
        <w:rPr>
          <w:rFonts w:ascii="Aptos" w:hAnsi="Aptos" w:cs="Times New Roman"/>
          <w:u w:val="single"/>
        </w:rPr>
        <w:t>Inpatient Burn Service</w:t>
      </w:r>
      <w:r w:rsidR="009877DA" w:rsidRPr="00B51CC4">
        <w:rPr>
          <w:rFonts w:ascii="Aptos" w:hAnsi="Aptos" w:cs="Times New Roman"/>
          <w:u w:val="single"/>
        </w:rPr>
        <w:t xml:space="preserve"> </w:t>
      </w:r>
      <w:r w:rsidRPr="00B51CC4">
        <w:rPr>
          <w:rFonts w:ascii="Aptos" w:hAnsi="Aptos" w:cs="Times New Roman"/>
          <w:u w:val="single"/>
        </w:rPr>
        <w:t>Essential Services Finding</w:t>
      </w:r>
      <w:r w:rsidR="00E27599">
        <w:rPr>
          <w:rFonts w:ascii="Aptos" w:hAnsi="Aptos" w:cs="Times New Roman"/>
          <w:u w:val="single"/>
        </w:rPr>
        <w:t xml:space="preserve"> (2341-X53)</w:t>
      </w:r>
    </w:p>
    <w:p w14:paraId="2F7012B5" w14:textId="77777777" w:rsidR="0001658A" w:rsidRPr="00B51CC4" w:rsidRDefault="0001658A" w:rsidP="0001658A">
      <w:pPr>
        <w:jc w:val="both"/>
        <w:rPr>
          <w:rFonts w:ascii="Aptos" w:hAnsi="Aptos" w:cs="Times New Roman"/>
        </w:rPr>
      </w:pPr>
    </w:p>
    <w:p w14:paraId="798A6864" w14:textId="77777777" w:rsidR="0001658A" w:rsidRPr="00B51CC4" w:rsidRDefault="0001658A" w:rsidP="0001658A">
      <w:pPr>
        <w:rPr>
          <w:rFonts w:ascii="Aptos" w:hAnsi="Aptos" w:cs="Times New Roman"/>
        </w:rPr>
      </w:pPr>
      <w:r w:rsidRPr="00B51CC4">
        <w:rPr>
          <w:rFonts w:ascii="Aptos" w:hAnsi="Aptos" w:cs="Times New Roman"/>
        </w:rPr>
        <w:t>Dear Mr. Davis:</w:t>
      </w:r>
    </w:p>
    <w:p w14:paraId="4DD3BED6" w14:textId="77777777" w:rsidR="0001658A" w:rsidRPr="00B51CC4" w:rsidRDefault="0001658A" w:rsidP="0001658A">
      <w:pPr>
        <w:rPr>
          <w:rFonts w:ascii="Aptos" w:hAnsi="Aptos" w:cs="Times New Roman"/>
        </w:rPr>
      </w:pPr>
    </w:p>
    <w:p w14:paraId="55C5B3D6" w14:textId="28CEA83A" w:rsidR="0001658A" w:rsidRPr="004025D7" w:rsidRDefault="0001658A" w:rsidP="004025D7">
      <w:pPr>
        <w:spacing w:after="120"/>
        <w:jc w:val="both"/>
        <w:rPr>
          <w:rFonts w:ascii="Aptos" w:hAnsi="Aptos" w:cs="Times New Roman"/>
        </w:rPr>
      </w:pPr>
      <w:r w:rsidRPr="00B51CC4">
        <w:rPr>
          <w:rFonts w:ascii="Aptos" w:hAnsi="Aptos" w:cs="Times New Roman"/>
        </w:rPr>
        <w:t xml:space="preserve">We write on behalf of </w:t>
      </w:r>
      <w:r w:rsidR="00B91718">
        <w:rPr>
          <w:rFonts w:ascii="Aptos" w:hAnsi="Aptos" w:cs="Times New Roman"/>
        </w:rPr>
        <w:t>Brigham and Women’s Hospital</w:t>
      </w:r>
      <w:r w:rsidRPr="00B51CC4">
        <w:rPr>
          <w:rFonts w:ascii="Aptos" w:hAnsi="Aptos" w:cs="Times New Roman"/>
        </w:rPr>
        <w:t xml:space="preserve"> (</w:t>
      </w:r>
      <w:r w:rsidR="00434B2A" w:rsidRPr="00B51CC4">
        <w:rPr>
          <w:rFonts w:ascii="Aptos" w:hAnsi="Aptos" w:cs="Times New Roman"/>
        </w:rPr>
        <w:t>“</w:t>
      </w:r>
      <w:r w:rsidR="00B91718">
        <w:rPr>
          <w:rFonts w:ascii="Aptos" w:hAnsi="Aptos" w:cs="Times New Roman"/>
        </w:rPr>
        <w:t>BWH</w:t>
      </w:r>
      <w:r w:rsidRPr="00B51CC4">
        <w:rPr>
          <w:rFonts w:ascii="Aptos" w:hAnsi="Aptos" w:cs="Times New Roman"/>
        </w:rPr>
        <w:t xml:space="preserve">”) in response to the Department of Public Health’s (the “Department”) Essential Service Finding letter, dated </w:t>
      </w:r>
      <w:r w:rsidR="00B91718">
        <w:rPr>
          <w:rFonts w:ascii="Aptos" w:hAnsi="Aptos" w:cs="Times New Roman"/>
        </w:rPr>
        <w:t>February 4, 2026</w:t>
      </w:r>
      <w:r w:rsidRPr="00B51CC4">
        <w:rPr>
          <w:rFonts w:ascii="Aptos" w:hAnsi="Aptos" w:cs="Times New Roman"/>
        </w:rPr>
        <w:t xml:space="preserve">, concerning the closure of </w:t>
      </w:r>
      <w:r w:rsidR="00B91718">
        <w:rPr>
          <w:rFonts w:ascii="Aptos" w:hAnsi="Aptos" w:cs="Times New Roman"/>
        </w:rPr>
        <w:t xml:space="preserve">10 inpatient burn beds </w:t>
      </w:r>
      <w:r w:rsidR="001D6F90" w:rsidRPr="00B51CC4">
        <w:rPr>
          <w:rFonts w:ascii="Aptos" w:hAnsi="Aptos" w:cs="Times New Roman"/>
        </w:rPr>
        <w:t xml:space="preserve">located at </w:t>
      </w:r>
      <w:r w:rsidR="00B91718">
        <w:rPr>
          <w:rFonts w:ascii="Aptos" w:hAnsi="Aptos" w:cs="Times New Roman"/>
        </w:rPr>
        <w:t>75 Francis Street, Boston</w:t>
      </w:r>
      <w:r w:rsidR="00B51CC4" w:rsidRPr="00B51CC4">
        <w:rPr>
          <w:rFonts w:ascii="Aptos" w:hAnsi="Aptos" w:cs="Times New Roman"/>
        </w:rPr>
        <w:t>, MA 01830</w:t>
      </w:r>
      <w:r w:rsidR="001D6F90" w:rsidRPr="00B51CC4">
        <w:rPr>
          <w:rFonts w:ascii="Aptos" w:hAnsi="Aptos" w:cs="Times New Roman"/>
        </w:rPr>
        <w:t>.</w:t>
      </w:r>
      <w:r w:rsidR="001469B9">
        <w:rPr>
          <w:rFonts w:ascii="Aptos" w:hAnsi="Aptos" w:cs="Times New Roman"/>
        </w:rPr>
        <w:t xml:space="preserve"> The closure will result in consolidation of burn services historically provided at BWH and Massachusetts General Hospital (MGH) to one location- the Sumner M. Redstone Burn Center at MGH.</w:t>
      </w:r>
      <w:r w:rsidR="001D6F90" w:rsidRPr="00B51CC4">
        <w:rPr>
          <w:rFonts w:ascii="Aptos" w:hAnsi="Aptos" w:cs="Times New Roman"/>
        </w:rPr>
        <w:t xml:space="preserve"> In compliance with the regulatory requirements at 105 CMR 130.122, </w:t>
      </w:r>
      <w:r w:rsidR="001469B9">
        <w:rPr>
          <w:rFonts w:ascii="Aptos" w:hAnsi="Aptos" w:cs="Times New Roman"/>
        </w:rPr>
        <w:t>BWH</w:t>
      </w:r>
      <w:r w:rsidR="001D6F90" w:rsidRPr="00B51CC4">
        <w:rPr>
          <w:rFonts w:ascii="Aptos" w:hAnsi="Aptos" w:cs="Times New Roman"/>
        </w:rPr>
        <w:t xml:space="preserve"> offers the following plan to maintain access to </w:t>
      </w:r>
      <w:r w:rsidR="00E27599">
        <w:rPr>
          <w:rFonts w:ascii="Aptos" w:hAnsi="Aptos" w:cs="Times New Roman"/>
        </w:rPr>
        <w:t>inpatient burn</w:t>
      </w:r>
      <w:r w:rsidR="00E619D2" w:rsidRPr="00B51CC4">
        <w:rPr>
          <w:rFonts w:ascii="Aptos" w:hAnsi="Aptos" w:cs="Times New Roman"/>
        </w:rPr>
        <w:t xml:space="preserve"> </w:t>
      </w:r>
      <w:r w:rsidR="001D6F90" w:rsidRPr="00B51CC4">
        <w:rPr>
          <w:rFonts w:ascii="Aptos" w:hAnsi="Aptos" w:cs="Times New Roman"/>
        </w:rPr>
        <w:t>services</w:t>
      </w:r>
      <w:r w:rsidR="00E27599">
        <w:rPr>
          <w:rFonts w:ascii="Aptos" w:hAnsi="Aptos" w:cs="Times New Roman"/>
        </w:rPr>
        <w:t xml:space="preserve"> within the </w:t>
      </w:r>
      <w:r w:rsidR="001469B9">
        <w:rPr>
          <w:rFonts w:ascii="Aptos" w:hAnsi="Aptos" w:cs="Times New Roman"/>
        </w:rPr>
        <w:t>BWH’s</w:t>
      </w:r>
      <w:r w:rsidR="00E27599">
        <w:rPr>
          <w:rFonts w:ascii="Aptos" w:hAnsi="Aptos" w:cs="Times New Roman"/>
        </w:rPr>
        <w:t xml:space="preserve"> service area</w:t>
      </w:r>
      <w:r w:rsidR="001D6F90" w:rsidRPr="00B51CC4">
        <w:rPr>
          <w:rFonts w:ascii="Aptos" w:hAnsi="Aptos" w:cs="Times New Roman"/>
        </w:rPr>
        <w:t xml:space="preserve"> and provide</w:t>
      </w:r>
      <w:r w:rsidR="00455287" w:rsidRPr="00B51CC4">
        <w:rPr>
          <w:rFonts w:ascii="Aptos" w:hAnsi="Aptos" w:cs="Times New Roman"/>
        </w:rPr>
        <w:t>s</w:t>
      </w:r>
      <w:r w:rsidR="001D6F90" w:rsidRPr="00B51CC4">
        <w:rPr>
          <w:rFonts w:ascii="Aptos" w:hAnsi="Aptos" w:cs="Times New Roman"/>
        </w:rPr>
        <w:t xml:space="preserve"> the additional information requested in the Department’s letter.</w:t>
      </w:r>
    </w:p>
    <w:p w14:paraId="7ED6D9E2" w14:textId="374D0CC2" w:rsidR="0001658A" w:rsidRPr="004025D7" w:rsidRDefault="001D6F90" w:rsidP="004025D7">
      <w:pPr>
        <w:pStyle w:val="ListParagraph"/>
        <w:numPr>
          <w:ilvl w:val="0"/>
          <w:numId w:val="3"/>
        </w:numPr>
        <w:spacing w:after="120"/>
        <w:contextualSpacing w:val="0"/>
        <w:jc w:val="both"/>
        <w:rPr>
          <w:rFonts w:ascii="Aptos" w:hAnsi="Aptos" w:cs="Times New Roman"/>
          <w:b/>
          <w:bCs/>
        </w:rPr>
      </w:pPr>
      <w:r w:rsidRPr="00E70E63">
        <w:rPr>
          <w:rFonts w:ascii="Aptos" w:hAnsi="Aptos" w:cs="Times New Roman"/>
          <w:b/>
          <w:bCs/>
        </w:rPr>
        <w:t>Information on utilization of the services prior to proposed closure</w:t>
      </w:r>
      <w:r w:rsidR="00A2703F">
        <w:rPr>
          <w:rFonts w:ascii="Aptos" w:hAnsi="Aptos" w:cs="Times New Roman"/>
          <w:b/>
          <w:bCs/>
        </w:rPr>
        <w:t>, including patients admitted to this service’s beds and patients admitted to the Hospital with a burn diagnos</w:t>
      </w:r>
      <w:r w:rsidR="007A52B8">
        <w:rPr>
          <w:rFonts w:ascii="Aptos" w:hAnsi="Aptos" w:cs="Times New Roman"/>
          <w:b/>
          <w:bCs/>
        </w:rPr>
        <w:t>is</w:t>
      </w:r>
      <w:r w:rsidRPr="00E70E63">
        <w:rPr>
          <w:rFonts w:ascii="Aptos" w:hAnsi="Aptos" w:cs="Times New Roman"/>
          <w:b/>
          <w:bCs/>
        </w:rPr>
        <w:t>.</w:t>
      </w:r>
      <w:r w:rsidR="007A52B8">
        <w:rPr>
          <w:rStyle w:val="FootnoteReference"/>
          <w:rFonts w:ascii="Aptos" w:hAnsi="Aptos" w:cs="Times New Roman"/>
          <w:b/>
          <w:bCs/>
        </w:rPr>
        <w:footnoteReference w:id="1"/>
      </w:r>
    </w:p>
    <w:p w14:paraId="659AF30D" w14:textId="2166F4F4" w:rsidR="000B2873" w:rsidRDefault="00E619D2" w:rsidP="000B2873">
      <w:pPr>
        <w:spacing w:after="120"/>
        <w:jc w:val="both"/>
        <w:rPr>
          <w:rFonts w:ascii="Aptos" w:hAnsi="Aptos" w:cs="Times New Roman"/>
        </w:rPr>
      </w:pPr>
      <w:r w:rsidRPr="00E70E63">
        <w:rPr>
          <w:rFonts w:ascii="Aptos" w:hAnsi="Aptos" w:cs="Times New Roman"/>
        </w:rPr>
        <w:t xml:space="preserve">In follow up to the utilization data provided in </w:t>
      </w:r>
      <w:r w:rsidR="001469B9">
        <w:rPr>
          <w:rFonts w:ascii="Aptos" w:hAnsi="Aptos" w:cs="Times New Roman"/>
        </w:rPr>
        <w:t xml:space="preserve">BWH’s </w:t>
      </w:r>
      <w:r w:rsidRPr="00E70E63">
        <w:rPr>
          <w:rFonts w:ascii="Aptos" w:hAnsi="Aptos" w:cs="Times New Roman"/>
        </w:rPr>
        <w:t xml:space="preserve"> </w:t>
      </w:r>
      <w:r w:rsidR="000D0321">
        <w:rPr>
          <w:rFonts w:ascii="Aptos" w:hAnsi="Aptos" w:cs="Times New Roman"/>
        </w:rPr>
        <w:t>9</w:t>
      </w:r>
      <w:r w:rsidRPr="00E70E63">
        <w:rPr>
          <w:rFonts w:ascii="Aptos" w:hAnsi="Aptos" w:cs="Times New Roman"/>
        </w:rPr>
        <w:t xml:space="preserve">0-day </w:t>
      </w:r>
      <w:r w:rsidR="000D0321">
        <w:rPr>
          <w:rFonts w:ascii="Aptos" w:hAnsi="Aptos" w:cs="Times New Roman"/>
        </w:rPr>
        <w:t xml:space="preserve">Notice of Closure </w:t>
      </w:r>
      <w:r w:rsidRPr="00E70E63">
        <w:rPr>
          <w:rFonts w:ascii="Aptos" w:hAnsi="Aptos" w:cs="Times New Roman"/>
        </w:rPr>
        <w:t xml:space="preserve">letter dated </w:t>
      </w:r>
      <w:r w:rsidR="00A2703F">
        <w:rPr>
          <w:rFonts w:ascii="Aptos" w:hAnsi="Aptos" w:cs="Times New Roman"/>
        </w:rPr>
        <w:t>December 24, 2025</w:t>
      </w:r>
      <w:r w:rsidRPr="00E70E63">
        <w:rPr>
          <w:rFonts w:ascii="Aptos" w:hAnsi="Aptos" w:cs="Times New Roman"/>
        </w:rPr>
        <w:t>,</w:t>
      </w:r>
      <w:r w:rsidR="000D0321">
        <w:rPr>
          <w:rFonts w:ascii="Aptos" w:hAnsi="Aptos" w:cs="Times New Roman"/>
        </w:rPr>
        <w:t xml:space="preserve"> which included utilization rates for the last two fiscal years,</w:t>
      </w:r>
      <w:r w:rsidRPr="00E70E63">
        <w:rPr>
          <w:rFonts w:ascii="Aptos" w:hAnsi="Aptos" w:cs="Times New Roman"/>
        </w:rPr>
        <w:t xml:space="preserve"> please see </w:t>
      </w:r>
      <w:r w:rsidR="00E70E63">
        <w:rPr>
          <w:rFonts w:ascii="Aptos" w:hAnsi="Aptos" w:cs="Times New Roman"/>
        </w:rPr>
        <w:t xml:space="preserve">the table below for current utilization data. </w:t>
      </w:r>
      <w:r w:rsidR="000B2873">
        <w:rPr>
          <w:rFonts w:ascii="Aptos" w:hAnsi="Aptos" w:cs="Times New Roman"/>
        </w:rPr>
        <w:t>It is important to note that the 10 burn beds closing at BWH provide ICU-level care</w:t>
      </w:r>
      <w:r w:rsidR="001469B9">
        <w:rPr>
          <w:rFonts w:ascii="Aptos" w:hAnsi="Aptos" w:cs="Times New Roman"/>
        </w:rPr>
        <w:t xml:space="preserve">. The table provides the average daily census (AD) for the Burn ICU, as well as the ADC of admitted burn patients elsewhere in the hospital. </w:t>
      </w:r>
    </w:p>
    <w:p w14:paraId="7B364D67" w14:textId="77777777" w:rsidR="007A52B8" w:rsidRDefault="007A52B8" w:rsidP="000B2873">
      <w:pPr>
        <w:spacing w:after="120"/>
        <w:jc w:val="both"/>
        <w:rPr>
          <w:rFonts w:ascii="Aptos" w:hAnsi="Aptos" w:cs="Times New Roman"/>
        </w:rPr>
      </w:pPr>
    </w:p>
    <w:p w14:paraId="73E473B7" w14:textId="77777777" w:rsidR="007A52B8" w:rsidRDefault="007A52B8" w:rsidP="000B2873">
      <w:pPr>
        <w:spacing w:after="120"/>
        <w:jc w:val="both"/>
        <w:rPr>
          <w:rFonts w:ascii="Aptos" w:hAnsi="Aptos" w:cs="Times New Roman"/>
        </w:rPr>
      </w:pPr>
    </w:p>
    <w:p w14:paraId="6946BECF" w14:textId="77777777" w:rsidR="007A52B8" w:rsidRDefault="007A52B8" w:rsidP="000B2873">
      <w:pPr>
        <w:spacing w:after="120"/>
        <w:jc w:val="both"/>
        <w:rPr>
          <w:rFonts w:ascii="Aptos" w:hAnsi="Aptos" w:cs="Times New Roman"/>
        </w:rPr>
      </w:pPr>
    </w:p>
    <w:p w14:paraId="229E9A29" w14:textId="77777777" w:rsidR="007A52B8" w:rsidRDefault="007A52B8" w:rsidP="000B2873">
      <w:pPr>
        <w:spacing w:after="120"/>
        <w:jc w:val="both"/>
        <w:rPr>
          <w:rFonts w:ascii="Aptos" w:hAnsi="Aptos" w:cs="Times New Roman"/>
        </w:rPr>
      </w:pPr>
    </w:p>
    <w:tbl>
      <w:tblPr>
        <w:tblW w:w="3780" w:type="dxa"/>
        <w:jc w:val="center"/>
        <w:tblCellMar>
          <w:left w:w="0" w:type="dxa"/>
          <w:right w:w="0" w:type="dxa"/>
        </w:tblCellMar>
        <w:tblLook w:val="04A0" w:firstRow="1" w:lastRow="0" w:firstColumn="1" w:lastColumn="0" w:noHBand="0" w:noVBand="1"/>
      </w:tblPr>
      <w:tblGrid>
        <w:gridCol w:w="2430"/>
        <w:gridCol w:w="1350"/>
      </w:tblGrid>
      <w:tr w:rsidR="000B2873" w:rsidRPr="000B2873" w14:paraId="6DFFC1E9" w14:textId="77777777" w:rsidTr="000B2873">
        <w:trPr>
          <w:trHeight w:val="288"/>
          <w:jc w:val="center"/>
        </w:trPr>
        <w:tc>
          <w:tcPr>
            <w:tcW w:w="2430" w:type="dxa"/>
            <w:tcBorders>
              <w:top w:val="single" w:sz="8" w:space="0" w:color="auto"/>
              <w:left w:val="single" w:sz="8" w:space="0" w:color="auto"/>
              <w:bottom w:val="single" w:sz="8" w:space="0" w:color="auto"/>
              <w:right w:val="single" w:sz="8" w:space="0" w:color="auto"/>
            </w:tcBorders>
            <w:shd w:val="clear" w:color="auto" w:fill="8EAADB" w:themeFill="accent1" w:themeFillTint="99"/>
            <w:noWrap/>
            <w:tcMar>
              <w:top w:w="0" w:type="dxa"/>
              <w:left w:w="108" w:type="dxa"/>
              <w:bottom w:w="0" w:type="dxa"/>
              <w:right w:w="108" w:type="dxa"/>
            </w:tcMar>
            <w:vAlign w:val="bottom"/>
            <w:hideMark/>
          </w:tcPr>
          <w:p w14:paraId="7E9AEDCC" w14:textId="764B8025" w:rsidR="000B2873" w:rsidRPr="000B2873" w:rsidRDefault="000B2873" w:rsidP="000B2873">
            <w:pPr>
              <w:spacing w:after="120"/>
              <w:jc w:val="both"/>
              <w:rPr>
                <w:rFonts w:ascii="Aptos" w:hAnsi="Aptos" w:cs="Times New Roman"/>
              </w:rPr>
            </w:pPr>
            <w:r w:rsidRPr="000B2873">
              <w:rPr>
                <w:rFonts w:ascii="Aptos" w:hAnsi="Aptos" w:cs="Times New Roman"/>
              </w:rPr>
              <w:t> </w:t>
            </w:r>
            <w:r>
              <w:rPr>
                <w:rFonts w:ascii="Aptos" w:hAnsi="Aptos" w:cs="Times New Roman"/>
              </w:rPr>
              <w:t>BWH Burn Service</w:t>
            </w:r>
          </w:p>
        </w:tc>
        <w:tc>
          <w:tcPr>
            <w:tcW w:w="1350" w:type="dxa"/>
            <w:tcBorders>
              <w:top w:val="single" w:sz="8" w:space="0" w:color="auto"/>
              <w:left w:val="nil"/>
              <w:bottom w:val="single" w:sz="8" w:space="0" w:color="auto"/>
              <w:right w:val="single" w:sz="8" w:space="0" w:color="auto"/>
            </w:tcBorders>
            <w:shd w:val="clear" w:color="auto" w:fill="8EAADB" w:themeFill="accent1" w:themeFillTint="99"/>
            <w:noWrap/>
            <w:tcMar>
              <w:top w:w="0" w:type="dxa"/>
              <w:left w:w="108" w:type="dxa"/>
              <w:bottom w:w="0" w:type="dxa"/>
              <w:right w:w="108" w:type="dxa"/>
            </w:tcMar>
            <w:vAlign w:val="bottom"/>
          </w:tcPr>
          <w:p w14:paraId="18A194D6" w14:textId="58332136" w:rsidR="000B2873" w:rsidRPr="000B2873" w:rsidRDefault="000B2873" w:rsidP="000B2873">
            <w:pPr>
              <w:spacing w:after="120"/>
              <w:jc w:val="both"/>
              <w:rPr>
                <w:rFonts w:ascii="Aptos" w:hAnsi="Aptos" w:cs="Times New Roman"/>
              </w:rPr>
            </w:pPr>
            <w:r w:rsidRPr="000B2873">
              <w:rPr>
                <w:rFonts w:ascii="Aptos" w:hAnsi="Aptos" w:cs="Times New Roman"/>
              </w:rPr>
              <w:t>FY</w:t>
            </w:r>
            <w:r>
              <w:rPr>
                <w:rFonts w:ascii="Aptos" w:hAnsi="Aptos" w:cs="Times New Roman"/>
              </w:rPr>
              <w:t>TD 2026</w:t>
            </w:r>
          </w:p>
        </w:tc>
      </w:tr>
      <w:tr w:rsidR="000B2873" w:rsidRPr="000B2873" w14:paraId="60A5387F" w14:textId="77777777" w:rsidTr="000B2873">
        <w:trPr>
          <w:trHeight w:val="288"/>
          <w:jc w:val="center"/>
        </w:trPr>
        <w:tc>
          <w:tcPr>
            <w:tcW w:w="2430" w:type="dxa"/>
            <w:tcBorders>
              <w:top w:val="single" w:sz="8" w:space="0" w:color="auto"/>
              <w:left w:val="single" w:sz="8" w:space="0" w:color="auto"/>
              <w:bottom w:val="single" w:sz="8" w:space="0" w:color="auto"/>
              <w:right w:val="nil"/>
            </w:tcBorders>
            <w:noWrap/>
            <w:tcMar>
              <w:top w:w="0" w:type="dxa"/>
              <w:left w:w="108" w:type="dxa"/>
              <w:bottom w:w="0" w:type="dxa"/>
              <w:right w:w="108" w:type="dxa"/>
            </w:tcMar>
            <w:vAlign w:val="bottom"/>
            <w:hideMark/>
          </w:tcPr>
          <w:p w14:paraId="07BEFD49" w14:textId="6D212E6B" w:rsidR="000B2873" w:rsidRPr="000B2873" w:rsidRDefault="000B2873" w:rsidP="000B2873">
            <w:pPr>
              <w:spacing w:after="120"/>
              <w:jc w:val="both"/>
              <w:rPr>
                <w:rFonts w:ascii="Aptos" w:hAnsi="Aptos" w:cs="Times New Roman"/>
              </w:rPr>
            </w:pPr>
            <w:r w:rsidRPr="000B2873">
              <w:rPr>
                <w:rFonts w:ascii="Aptos" w:hAnsi="Aptos" w:cs="Times New Roman"/>
              </w:rPr>
              <w:t>Burn Patient in</w:t>
            </w:r>
            <w:r>
              <w:rPr>
                <w:rFonts w:ascii="Aptos" w:hAnsi="Aptos" w:cs="Times New Roman"/>
              </w:rPr>
              <w:t xml:space="preserve"> Any</w:t>
            </w:r>
            <w:r w:rsidRPr="000B2873">
              <w:rPr>
                <w:rFonts w:ascii="Aptos" w:hAnsi="Aptos" w:cs="Times New Roman"/>
              </w:rPr>
              <w:t xml:space="preserve"> </w:t>
            </w:r>
            <w:r>
              <w:rPr>
                <w:rFonts w:ascii="Aptos" w:hAnsi="Aptos" w:cs="Times New Roman"/>
              </w:rPr>
              <w:t>Medical/surgical Unit</w:t>
            </w:r>
          </w:p>
        </w:tc>
        <w:tc>
          <w:tcPr>
            <w:tcW w:w="135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tcPr>
          <w:p w14:paraId="450793E4" w14:textId="3A35470A" w:rsidR="000B2873" w:rsidRPr="000B2873" w:rsidRDefault="000B2873" w:rsidP="000B2873">
            <w:pPr>
              <w:spacing w:after="120"/>
              <w:jc w:val="both"/>
              <w:rPr>
                <w:rFonts w:ascii="Aptos" w:hAnsi="Aptos" w:cs="Times New Roman"/>
              </w:rPr>
            </w:pPr>
            <w:r>
              <w:rPr>
                <w:rFonts w:ascii="Aptos" w:hAnsi="Aptos" w:cs="Times New Roman"/>
              </w:rPr>
              <w:t>0.92</w:t>
            </w:r>
          </w:p>
        </w:tc>
      </w:tr>
      <w:tr w:rsidR="000B2873" w:rsidRPr="000B2873" w14:paraId="77125D01" w14:textId="77777777" w:rsidTr="000B2873">
        <w:trPr>
          <w:trHeight w:val="288"/>
          <w:jc w:val="center"/>
        </w:trPr>
        <w:tc>
          <w:tcPr>
            <w:tcW w:w="2430" w:type="dxa"/>
            <w:tcBorders>
              <w:top w:val="single" w:sz="8" w:space="0" w:color="auto"/>
              <w:left w:val="single" w:sz="8" w:space="0" w:color="auto"/>
              <w:bottom w:val="single" w:sz="8" w:space="0" w:color="auto"/>
              <w:right w:val="nil"/>
            </w:tcBorders>
            <w:noWrap/>
            <w:tcMar>
              <w:top w:w="0" w:type="dxa"/>
              <w:left w:w="108" w:type="dxa"/>
              <w:bottom w:w="0" w:type="dxa"/>
              <w:right w:w="108" w:type="dxa"/>
            </w:tcMar>
            <w:vAlign w:val="bottom"/>
            <w:hideMark/>
          </w:tcPr>
          <w:p w14:paraId="3D754344" w14:textId="16EC15CC" w:rsidR="000B2873" w:rsidRPr="000B2873" w:rsidRDefault="000B2873" w:rsidP="000B2873">
            <w:pPr>
              <w:spacing w:after="120"/>
              <w:jc w:val="both"/>
              <w:rPr>
                <w:rFonts w:ascii="Aptos" w:hAnsi="Aptos" w:cs="Times New Roman"/>
              </w:rPr>
            </w:pPr>
            <w:r w:rsidRPr="000B2873">
              <w:rPr>
                <w:rFonts w:ascii="Aptos" w:hAnsi="Aptos" w:cs="Times New Roman"/>
              </w:rPr>
              <w:t xml:space="preserve">Burn Patient in Burn </w:t>
            </w:r>
            <w:r>
              <w:rPr>
                <w:rFonts w:ascii="Aptos" w:hAnsi="Aptos" w:cs="Times New Roman"/>
              </w:rPr>
              <w:t>Designated M/S Unit</w:t>
            </w:r>
          </w:p>
        </w:tc>
        <w:tc>
          <w:tcPr>
            <w:tcW w:w="135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tcPr>
          <w:p w14:paraId="56A26D74" w14:textId="465A2A2F" w:rsidR="000B2873" w:rsidRPr="000B2873" w:rsidRDefault="000B2873" w:rsidP="000B2873">
            <w:pPr>
              <w:spacing w:after="120"/>
              <w:jc w:val="both"/>
              <w:rPr>
                <w:rFonts w:ascii="Aptos" w:hAnsi="Aptos" w:cs="Times New Roman"/>
              </w:rPr>
            </w:pPr>
            <w:r>
              <w:rPr>
                <w:rFonts w:ascii="Aptos" w:hAnsi="Aptos" w:cs="Times New Roman"/>
              </w:rPr>
              <w:t>0.90</w:t>
            </w:r>
          </w:p>
        </w:tc>
      </w:tr>
      <w:tr w:rsidR="000B2873" w:rsidRPr="000B2873" w14:paraId="06BCAECD" w14:textId="77777777" w:rsidTr="000B2873">
        <w:trPr>
          <w:trHeight w:val="288"/>
          <w:jc w:val="center"/>
        </w:trPr>
        <w:tc>
          <w:tcPr>
            <w:tcW w:w="2430" w:type="dxa"/>
            <w:tcBorders>
              <w:top w:val="single" w:sz="8" w:space="0" w:color="auto"/>
              <w:left w:val="single" w:sz="8" w:space="0" w:color="auto"/>
              <w:bottom w:val="single" w:sz="8" w:space="0" w:color="auto"/>
              <w:right w:val="nil"/>
            </w:tcBorders>
            <w:noWrap/>
            <w:tcMar>
              <w:top w:w="0" w:type="dxa"/>
              <w:left w:w="108" w:type="dxa"/>
              <w:bottom w:w="0" w:type="dxa"/>
              <w:right w:w="108" w:type="dxa"/>
            </w:tcMar>
            <w:vAlign w:val="bottom"/>
            <w:hideMark/>
          </w:tcPr>
          <w:p w14:paraId="1686EFB8" w14:textId="14909E72" w:rsidR="000B2873" w:rsidRPr="000B2873" w:rsidRDefault="000B2873" w:rsidP="000B2873">
            <w:pPr>
              <w:spacing w:after="120"/>
              <w:jc w:val="both"/>
              <w:rPr>
                <w:rFonts w:ascii="Aptos" w:hAnsi="Aptos" w:cs="Times New Roman"/>
              </w:rPr>
            </w:pPr>
            <w:r w:rsidRPr="000B2873">
              <w:rPr>
                <w:rFonts w:ascii="Aptos" w:hAnsi="Aptos" w:cs="Times New Roman"/>
              </w:rPr>
              <w:t>Burn Patient in Any ICU</w:t>
            </w:r>
            <w:r>
              <w:rPr>
                <w:rFonts w:ascii="Aptos" w:hAnsi="Aptos" w:cs="Times New Roman"/>
              </w:rPr>
              <w:t xml:space="preserve"> </w:t>
            </w:r>
          </w:p>
        </w:tc>
        <w:tc>
          <w:tcPr>
            <w:tcW w:w="135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tcPr>
          <w:p w14:paraId="51A71F2A" w14:textId="5C6A191A" w:rsidR="000B2873" w:rsidRPr="000B2873" w:rsidRDefault="000B2873" w:rsidP="000B2873">
            <w:pPr>
              <w:spacing w:after="120"/>
              <w:jc w:val="both"/>
              <w:rPr>
                <w:rFonts w:ascii="Aptos" w:hAnsi="Aptos" w:cs="Times New Roman"/>
              </w:rPr>
            </w:pPr>
            <w:r w:rsidRPr="000B2873">
              <w:rPr>
                <w:rFonts w:ascii="Aptos" w:hAnsi="Aptos" w:cs="Times New Roman"/>
              </w:rPr>
              <w:t>0.</w:t>
            </w:r>
            <w:r>
              <w:rPr>
                <w:rFonts w:ascii="Aptos" w:hAnsi="Aptos" w:cs="Times New Roman"/>
              </w:rPr>
              <w:t>89</w:t>
            </w:r>
          </w:p>
        </w:tc>
      </w:tr>
      <w:tr w:rsidR="000B2873" w:rsidRPr="000B2873" w14:paraId="31816081" w14:textId="77777777" w:rsidTr="000B2873">
        <w:trPr>
          <w:trHeight w:val="288"/>
          <w:jc w:val="center"/>
        </w:trPr>
        <w:tc>
          <w:tcPr>
            <w:tcW w:w="2430" w:type="dxa"/>
            <w:tcBorders>
              <w:top w:val="nil"/>
              <w:left w:val="single" w:sz="8" w:space="0" w:color="auto"/>
              <w:bottom w:val="single" w:sz="8" w:space="0" w:color="auto"/>
              <w:right w:val="nil"/>
            </w:tcBorders>
            <w:noWrap/>
            <w:tcMar>
              <w:top w:w="0" w:type="dxa"/>
              <w:left w:w="108" w:type="dxa"/>
              <w:bottom w:w="0" w:type="dxa"/>
              <w:right w:w="108" w:type="dxa"/>
            </w:tcMar>
            <w:vAlign w:val="bottom"/>
            <w:hideMark/>
          </w:tcPr>
          <w:p w14:paraId="0F8AA1F4" w14:textId="7D21CBB3" w:rsidR="000B2873" w:rsidRPr="000B2873" w:rsidRDefault="000B2873" w:rsidP="000B2873">
            <w:pPr>
              <w:spacing w:after="120"/>
              <w:jc w:val="both"/>
              <w:rPr>
                <w:rFonts w:ascii="Aptos" w:hAnsi="Aptos" w:cs="Times New Roman"/>
              </w:rPr>
            </w:pPr>
            <w:r w:rsidRPr="000B2873">
              <w:rPr>
                <w:rFonts w:ascii="Aptos" w:hAnsi="Aptos" w:cs="Times New Roman"/>
              </w:rPr>
              <w:t>Burn Patient in Burn Designated ICU</w:t>
            </w:r>
            <w:r>
              <w:rPr>
                <w:rFonts w:ascii="Aptos" w:hAnsi="Aptos" w:cs="Times New Roman"/>
              </w:rPr>
              <w:t xml:space="preserve"> </w:t>
            </w:r>
          </w:p>
        </w:tc>
        <w:tc>
          <w:tcPr>
            <w:tcW w:w="13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5473B8F3" w14:textId="0BA530B9" w:rsidR="000B2873" w:rsidRPr="000B2873" w:rsidRDefault="000B2873" w:rsidP="000B2873">
            <w:pPr>
              <w:spacing w:after="120"/>
              <w:jc w:val="both"/>
              <w:rPr>
                <w:rFonts w:ascii="Aptos" w:hAnsi="Aptos" w:cs="Times New Roman"/>
              </w:rPr>
            </w:pPr>
            <w:r w:rsidRPr="000B2873">
              <w:rPr>
                <w:rFonts w:ascii="Aptos" w:hAnsi="Aptos" w:cs="Times New Roman"/>
              </w:rPr>
              <w:t>0.</w:t>
            </w:r>
            <w:r>
              <w:rPr>
                <w:rFonts w:ascii="Aptos" w:hAnsi="Aptos" w:cs="Times New Roman"/>
              </w:rPr>
              <w:t>89</w:t>
            </w:r>
          </w:p>
        </w:tc>
      </w:tr>
    </w:tbl>
    <w:p w14:paraId="2A097B41" w14:textId="77777777" w:rsidR="007A52B8" w:rsidRDefault="007A52B8" w:rsidP="007A52B8">
      <w:pPr>
        <w:pStyle w:val="ListParagraph"/>
        <w:spacing w:after="120"/>
        <w:ind w:left="1080"/>
        <w:contextualSpacing w:val="0"/>
        <w:jc w:val="both"/>
        <w:rPr>
          <w:rFonts w:ascii="Aptos" w:hAnsi="Aptos" w:cs="Times New Roman"/>
          <w:b/>
          <w:bCs/>
        </w:rPr>
      </w:pPr>
    </w:p>
    <w:p w14:paraId="37D7DF0C" w14:textId="1210D008" w:rsidR="00061B1E" w:rsidRPr="004025D7" w:rsidRDefault="00C36556" w:rsidP="004025D7">
      <w:pPr>
        <w:pStyle w:val="ListParagraph"/>
        <w:numPr>
          <w:ilvl w:val="0"/>
          <w:numId w:val="3"/>
        </w:numPr>
        <w:spacing w:after="120"/>
        <w:contextualSpacing w:val="0"/>
        <w:jc w:val="both"/>
        <w:rPr>
          <w:rFonts w:ascii="Aptos" w:hAnsi="Aptos" w:cs="Times New Roman"/>
          <w:b/>
          <w:bCs/>
        </w:rPr>
      </w:pPr>
      <w:r w:rsidRPr="00AF6285">
        <w:rPr>
          <w:rFonts w:ascii="Aptos" w:hAnsi="Aptos" w:cs="Times New Roman"/>
          <w:b/>
          <w:bCs/>
        </w:rPr>
        <w:t>Information on the location and service capacity of alternative delivery sites. Include an explanation of the basis for the Hospital’s determination that the alternative delivery sites do or do not have the capacity (necessary space, resources, etc.) to handle the increased patient volume at the identified sites. To support that assertion, please provide the following specific details:</w:t>
      </w:r>
    </w:p>
    <w:p w14:paraId="354E59A6" w14:textId="628ADF64" w:rsidR="00C36556" w:rsidRDefault="00573064" w:rsidP="004025D7">
      <w:pPr>
        <w:pStyle w:val="ListParagraph"/>
        <w:keepNext/>
        <w:numPr>
          <w:ilvl w:val="0"/>
          <w:numId w:val="6"/>
        </w:numPr>
        <w:spacing w:after="120"/>
        <w:ind w:left="1886"/>
        <w:contextualSpacing w:val="0"/>
        <w:jc w:val="both"/>
        <w:rPr>
          <w:rFonts w:ascii="Aptos" w:hAnsi="Aptos" w:cs="Times New Roman"/>
          <w:b/>
          <w:bCs/>
        </w:rPr>
      </w:pPr>
      <w:r w:rsidRPr="00AF6285">
        <w:rPr>
          <w:rFonts w:ascii="Aptos" w:hAnsi="Aptos" w:cs="Times New Roman"/>
          <w:b/>
          <w:bCs/>
        </w:rPr>
        <w:t>Current utilization at these alternative site</w:t>
      </w:r>
      <w:r w:rsidR="00A2703F">
        <w:rPr>
          <w:rFonts w:ascii="Aptos" w:hAnsi="Aptos" w:cs="Times New Roman"/>
          <w:b/>
          <w:bCs/>
        </w:rPr>
        <w:t>s</w:t>
      </w:r>
      <w:r w:rsidRPr="00AF6285">
        <w:rPr>
          <w:rFonts w:ascii="Aptos" w:hAnsi="Aptos" w:cs="Times New Roman"/>
          <w:b/>
          <w:bCs/>
        </w:rPr>
        <w:t>;</w:t>
      </w:r>
    </w:p>
    <w:p w14:paraId="0CA61868" w14:textId="77777777" w:rsidR="001469B9" w:rsidRPr="004025D7" w:rsidRDefault="001469B9" w:rsidP="00C841D6">
      <w:pPr>
        <w:pStyle w:val="ListParagraph"/>
        <w:keepNext/>
        <w:ind w:left="1886"/>
        <w:contextualSpacing w:val="0"/>
        <w:jc w:val="both"/>
        <w:rPr>
          <w:rFonts w:ascii="Aptos" w:hAnsi="Aptos" w:cs="Times New Roman"/>
          <w:b/>
          <w:bCs/>
        </w:rPr>
      </w:pPr>
    </w:p>
    <w:p w14:paraId="1D5CB7C4" w14:textId="70EAA11D" w:rsidR="001E4086" w:rsidRDefault="001469B9" w:rsidP="001E4086">
      <w:pPr>
        <w:keepNext/>
        <w:spacing w:after="120"/>
        <w:jc w:val="both"/>
        <w:rPr>
          <w:rFonts w:ascii="Aptos" w:hAnsi="Aptos" w:cs="Times New Roman"/>
        </w:rPr>
      </w:pPr>
      <w:r>
        <w:rPr>
          <w:rFonts w:ascii="Aptos" w:hAnsi="Aptos" w:cs="Times New Roman"/>
        </w:rPr>
        <w:t>MGH</w:t>
      </w:r>
      <w:r w:rsidR="00A2703F">
        <w:rPr>
          <w:rFonts w:ascii="Aptos" w:hAnsi="Aptos" w:cs="Times New Roman"/>
        </w:rPr>
        <w:t xml:space="preserve"> is the only alternative site to BWH</w:t>
      </w:r>
      <w:r>
        <w:rPr>
          <w:rFonts w:ascii="Aptos" w:hAnsi="Aptos" w:cs="Times New Roman"/>
        </w:rPr>
        <w:t xml:space="preserve"> as it is the only other hospital that is certified by the American Burn Association (ABA)</w:t>
      </w:r>
      <w:r w:rsidR="00A2703F">
        <w:rPr>
          <w:rFonts w:ascii="Aptos" w:hAnsi="Aptos" w:cs="Times New Roman"/>
        </w:rPr>
        <w:t xml:space="preserve">. </w:t>
      </w:r>
      <w:r w:rsidR="000B2D85">
        <w:rPr>
          <w:rFonts w:ascii="Aptos" w:hAnsi="Aptos" w:cs="Times New Roman"/>
        </w:rPr>
        <w:t xml:space="preserve">MGH’s </w:t>
      </w:r>
      <w:r>
        <w:rPr>
          <w:rFonts w:ascii="Aptos" w:hAnsi="Aptos" w:cs="Times New Roman"/>
        </w:rPr>
        <w:t>b</w:t>
      </w:r>
      <w:r w:rsidR="000B2D85">
        <w:rPr>
          <w:rFonts w:ascii="Aptos" w:hAnsi="Aptos" w:cs="Times New Roman"/>
        </w:rPr>
        <w:t xml:space="preserve">urn ICU </w:t>
      </w:r>
      <w:r>
        <w:rPr>
          <w:rFonts w:ascii="Aptos" w:hAnsi="Aptos" w:cs="Times New Roman"/>
        </w:rPr>
        <w:t>has 10 beds.</w:t>
      </w:r>
      <w:r>
        <w:rPr>
          <w:rStyle w:val="FootnoteReference"/>
          <w:rFonts w:ascii="Aptos" w:hAnsi="Aptos" w:cs="Times New Roman"/>
        </w:rPr>
        <w:footnoteReference w:id="2"/>
      </w:r>
      <w:r>
        <w:rPr>
          <w:rFonts w:ascii="Aptos" w:hAnsi="Aptos" w:cs="Times New Roman"/>
        </w:rPr>
        <w:t xml:space="preserve"> </w:t>
      </w:r>
      <w:r w:rsidR="001E4086">
        <w:rPr>
          <w:rFonts w:ascii="Aptos" w:hAnsi="Aptos" w:cs="Times New Roman"/>
        </w:rPr>
        <w:t xml:space="preserve">The following table provides historical average daily census for both MGH and BWH for all patients admitted with a burn diagnosis to any type of bed. As demonstrated, MGH has the capacity to care for the historical BWH census. </w:t>
      </w:r>
    </w:p>
    <w:p w14:paraId="75453CE9" w14:textId="77777777" w:rsidR="001469B9" w:rsidRDefault="001469B9" w:rsidP="001E4086">
      <w:pPr>
        <w:keepNext/>
        <w:spacing w:after="120"/>
        <w:jc w:val="both"/>
        <w:rPr>
          <w:rFonts w:ascii="Aptos" w:hAnsi="Aptos" w:cs="Times New Roman"/>
        </w:rPr>
      </w:pPr>
    </w:p>
    <w:tbl>
      <w:tblPr>
        <w:tblW w:w="9760" w:type="dxa"/>
        <w:tblInd w:w="-406" w:type="dxa"/>
        <w:tblCellMar>
          <w:left w:w="0" w:type="dxa"/>
          <w:right w:w="0" w:type="dxa"/>
        </w:tblCellMar>
        <w:tblLook w:val="04A0" w:firstRow="1" w:lastRow="0" w:firstColumn="1" w:lastColumn="0" w:noHBand="0" w:noVBand="1"/>
      </w:tblPr>
      <w:tblGrid>
        <w:gridCol w:w="4000"/>
        <w:gridCol w:w="691"/>
        <w:gridCol w:w="690"/>
        <w:gridCol w:w="1499"/>
        <w:gridCol w:w="691"/>
        <w:gridCol w:w="690"/>
        <w:gridCol w:w="1499"/>
      </w:tblGrid>
      <w:tr w:rsidR="001E4086" w:rsidRPr="001E4086" w14:paraId="092400FB" w14:textId="77777777" w:rsidTr="001E4086">
        <w:trPr>
          <w:trHeight w:val="358"/>
        </w:trPr>
        <w:tc>
          <w:tcPr>
            <w:tcW w:w="40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02A3DC"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 </w:t>
            </w:r>
          </w:p>
        </w:tc>
        <w:tc>
          <w:tcPr>
            <w:tcW w:w="2880" w:type="dxa"/>
            <w:gridSpan w:val="3"/>
            <w:tcBorders>
              <w:top w:val="single" w:sz="8" w:space="0" w:color="auto"/>
              <w:left w:val="nil"/>
              <w:bottom w:val="single" w:sz="8" w:space="0" w:color="auto"/>
              <w:right w:val="single" w:sz="8" w:space="0" w:color="auto"/>
            </w:tcBorders>
            <w:shd w:val="clear" w:color="auto" w:fill="8EAADB" w:themeFill="accent1" w:themeFillTint="99"/>
            <w:noWrap/>
            <w:tcMar>
              <w:top w:w="0" w:type="dxa"/>
              <w:left w:w="108" w:type="dxa"/>
              <w:bottom w:w="0" w:type="dxa"/>
              <w:right w:w="108" w:type="dxa"/>
            </w:tcMar>
            <w:vAlign w:val="bottom"/>
            <w:hideMark/>
          </w:tcPr>
          <w:p w14:paraId="67ABB020"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FY 2025</w:t>
            </w:r>
          </w:p>
        </w:tc>
        <w:tc>
          <w:tcPr>
            <w:tcW w:w="2880" w:type="dxa"/>
            <w:gridSpan w:val="3"/>
            <w:tcBorders>
              <w:top w:val="single" w:sz="8" w:space="0" w:color="auto"/>
              <w:left w:val="nil"/>
              <w:bottom w:val="single" w:sz="8" w:space="0" w:color="auto"/>
              <w:right w:val="single" w:sz="8" w:space="0" w:color="auto"/>
            </w:tcBorders>
            <w:shd w:val="clear" w:color="auto" w:fill="8EAADB" w:themeFill="accent1" w:themeFillTint="99"/>
            <w:noWrap/>
            <w:tcMar>
              <w:top w:w="0" w:type="dxa"/>
              <w:left w:w="108" w:type="dxa"/>
              <w:bottom w:w="0" w:type="dxa"/>
              <w:right w:w="108" w:type="dxa"/>
            </w:tcMar>
            <w:vAlign w:val="bottom"/>
            <w:hideMark/>
          </w:tcPr>
          <w:p w14:paraId="4090AC05" w14:textId="32B91856"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FYTD 2026*</w:t>
            </w:r>
          </w:p>
        </w:tc>
      </w:tr>
      <w:tr w:rsidR="001E4086" w:rsidRPr="001E4086" w14:paraId="1DE24125" w14:textId="77777777" w:rsidTr="001E4086">
        <w:trPr>
          <w:trHeight w:val="288"/>
        </w:trPr>
        <w:tc>
          <w:tcPr>
            <w:tcW w:w="4000" w:type="dxa"/>
            <w:tcBorders>
              <w:top w:val="single" w:sz="8" w:space="0" w:color="auto"/>
              <w:left w:val="single" w:sz="8" w:space="0" w:color="auto"/>
              <w:bottom w:val="single" w:sz="8" w:space="0" w:color="auto"/>
              <w:right w:val="single" w:sz="8" w:space="0" w:color="auto"/>
            </w:tcBorders>
            <w:shd w:val="clear" w:color="auto" w:fill="B4C6E7" w:themeFill="accent1" w:themeFillTint="66"/>
            <w:noWrap/>
            <w:tcMar>
              <w:top w:w="0" w:type="dxa"/>
              <w:left w:w="108" w:type="dxa"/>
              <w:bottom w:w="0" w:type="dxa"/>
              <w:right w:w="108" w:type="dxa"/>
            </w:tcMar>
            <w:vAlign w:val="bottom"/>
            <w:hideMark/>
          </w:tcPr>
          <w:p w14:paraId="45464366" w14:textId="150A65F1"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 </w:t>
            </w:r>
            <w:r>
              <w:rPr>
                <w:rFonts w:ascii="Aptos" w:hAnsi="Aptos" w:cs="Times New Roman"/>
                <w:sz w:val="20"/>
                <w:szCs w:val="20"/>
              </w:rPr>
              <w:t>Location</w:t>
            </w:r>
          </w:p>
        </w:tc>
        <w:tc>
          <w:tcPr>
            <w:tcW w:w="691" w:type="dxa"/>
            <w:tcBorders>
              <w:top w:val="single" w:sz="8" w:space="0" w:color="auto"/>
              <w:left w:val="nil"/>
              <w:bottom w:val="single" w:sz="8" w:space="0" w:color="auto"/>
              <w:right w:val="single" w:sz="8" w:space="0" w:color="auto"/>
            </w:tcBorders>
            <w:shd w:val="clear" w:color="auto" w:fill="B4C6E7" w:themeFill="accent1" w:themeFillTint="66"/>
            <w:noWrap/>
            <w:tcMar>
              <w:top w:w="0" w:type="dxa"/>
              <w:left w:w="108" w:type="dxa"/>
              <w:bottom w:w="0" w:type="dxa"/>
              <w:right w:w="108" w:type="dxa"/>
            </w:tcMar>
            <w:vAlign w:val="bottom"/>
            <w:hideMark/>
          </w:tcPr>
          <w:p w14:paraId="259B3F5C"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MGH</w:t>
            </w:r>
          </w:p>
        </w:tc>
        <w:tc>
          <w:tcPr>
            <w:tcW w:w="690" w:type="dxa"/>
            <w:tcBorders>
              <w:top w:val="single" w:sz="8" w:space="0" w:color="auto"/>
              <w:left w:val="nil"/>
              <w:bottom w:val="single" w:sz="8" w:space="0" w:color="auto"/>
              <w:right w:val="single" w:sz="8" w:space="0" w:color="auto"/>
            </w:tcBorders>
            <w:shd w:val="clear" w:color="auto" w:fill="B4C6E7" w:themeFill="accent1" w:themeFillTint="66"/>
            <w:noWrap/>
            <w:tcMar>
              <w:top w:w="0" w:type="dxa"/>
              <w:left w:w="108" w:type="dxa"/>
              <w:bottom w:w="0" w:type="dxa"/>
              <w:right w:w="108" w:type="dxa"/>
            </w:tcMar>
            <w:vAlign w:val="bottom"/>
            <w:hideMark/>
          </w:tcPr>
          <w:p w14:paraId="4FDA7B05"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BWH</w:t>
            </w:r>
          </w:p>
        </w:tc>
        <w:tc>
          <w:tcPr>
            <w:tcW w:w="1499" w:type="dxa"/>
            <w:tcBorders>
              <w:top w:val="nil"/>
              <w:left w:val="nil"/>
              <w:bottom w:val="single" w:sz="8" w:space="0" w:color="auto"/>
              <w:right w:val="single" w:sz="8" w:space="0" w:color="auto"/>
            </w:tcBorders>
            <w:shd w:val="clear" w:color="auto" w:fill="B4C6E7" w:themeFill="accent1" w:themeFillTint="66"/>
            <w:noWrap/>
            <w:tcMar>
              <w:top w:w="0" w:type="dxa"/>
              <w:left w:w="108" w:type="dxa"/>
              <w:bottom w:w="0" w:type="dxa"/>
              <w:right w:w="108" w:type="dxa"/>
            </w:tcMar>
            <w:vAlign w:val="bottom"/>
            <w:hideMark/>
          </w:tcPr>
          <w:p w14:paraId="0BAE5D6A"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MGH+BWH</w:t>
            </w:r>
          </w:p>
        </w:tc>
        <w:tc>
          <w:tcPr>
            <w:tcW w:w="691" w:type="dxa"/>
            <w:tcBorders>
              <w:top w:val="nil"/>
              <w:left w:val="nil"/>
              <w:bottom w:val="single" w:sz="8" w:space="0" w:color="auto"/>
              <w:right w:val="single" w:sz="8" w:space="0" w:color="auto"/>
            </w:tcBorders>
            <w:shd w:val="clear" w:color="auto" w:fill="B4C6E7" w:themeFill="accent1" w:themeFillTint="66"/>
            <w:noWrap/>
            <w:tcMar>
              <w:top w:w="0" w:type="dxa"/>
              <w:left w:w="108" w:type="dxa"/>
              <w:bottom w:w="0" w:type="dxa"/>
              <w:right w:w="108" w:type="dxa"/>
            </w:tcMar>
            <w:vAlign w:val="bottom"/>
            <w:hideMark/>
          </w:tcPr>
          <w:p w14:paraId="3B4262E1"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MGH</w:t>
            </w:r>
          </w:p>
        </w:tc>
        <w:tc>
          <w:tcPr>
            <w:tcW w:w="690" w:type="dxa"/>
            <w:tcBorders>
              <w:top w:val="nil"/>
              <w:left w:val="nil"/>
              <w:bottom w:val="single" w:sz="8" w:space="0" w:color="auto"/>
              <w:right w:val="single" w:sz="8" w:space="0" w:color="auto"/>
            </w:tcBorders>
            <w:shd w:val="clear" w:color="auto" w:fill="B4C6E7" w:themeFill="accent1" w:themeFillTint="66"/>
            <w:noWrap/>
            <w:tcMar>
              <w:top w:w="0" w:type="dxa"/>
              <w:left w:w="108" w:type="dxa"/>
              <w:bottom w:w="0" w:type="dxa"/>
              <w:right w:w="108" w:type="dxa"/>
            </w:tcMar>
            <w:vAlign w:val="bottom"/>
            <w:hideMark/>
          </w:tcPr>
          <w:p w14:paraId="7CD8347E"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BWH</w:t>
            </w:r>
          </w:p>
        </w:tc>
        <w:tc>
          <w:tcPr>
            <w:tcW w:w="1499" w:type="dxa"/>
            <w:tcBorders>
              <w:top w:val="nil"/>
              <w:left w:val="nil"/>
              <w:bottom w:val="single" w:sz="8" w:space="0" w:color="auto"/>
              <w:right w:val="single" w:sz="8" w:space="0" w:color="auto"/>
            </w:tcBorders>
            <w:shd w:val="clear" w:color="auto" w:fill="B4C6E7" w:themeFill="accent1" w:themeFillTint="66"/>
            <w:noWrap/>
            <w:tcMar>
              <w:top w:w="0" w:type="dxa"/>
              <w:left w:w="108" w:type="dxa"/>
              <w:bottom w:w="0" w:type="dxa"/>
              <w:right w:w="108" w:type="dxa"/>
            </w:tcMar>
            <w:vAlign w:val="bottom"/>
            <w:hideMark/>
          </w:tcPr>
          <w:p w14:paraId="0D62AF0D"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MGH+BWH</w:t>
            </w:r>
          </w:p>
        </w:tc>
      </w:tr>
      <w:tr w:rsidR="001E4086" w:rsidRPr="001E4086" w14:paraId="663A8780" w14:textId="77777777" w:rsidTr="001E4086">
        <w:trPr>
          <w:trHeight w:val="288"/>
        </w:trPr>
        <w:tc>
          <w:tcPr>
            <w:tcW w:w="40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BE9DD7F" w14:textId="28265F90"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Burn Patient in Any M/S Unit</w:t>
            </w:r>
          </w:p>
        </w:tc>
        <w:tc>
          <w:tcPr>
            <w:tcW w:w="6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7CE114D"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5.23</w:t>
            </w:r>
          </w:p>
        </w:tc>
        <w:tc>
          <w:tcPr>
            <w:tcW w:w="69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77A9E99"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3.50</w:t>
            </w:r>
          </w:p>
        </w:tc>
        <w:tc>
          <w:tcPr>
            <w:tcW w:w="14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233583"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8.73</w:t>
            </w:r>
          </w:p>
        </w:tc>
        <w:tc>
          <w:tcPr>
            <w:tcW w:w="6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C8CBF0"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5.40</w:t>
            </w:r>
          </w:p>
        </w:tc>
        <w:tc>
          <w:tcPr>
            <w:tcW w:w="6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449F04"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0.92</w:t>
            </w:r>
          </w:p>
        </w:tc>
        <w:tc>
          <w:tcPr>
            <w:tcW w:w="14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95145B"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6.32</w:t>
            </w:r>
          </w:p>
        </w:tc>
      </w:tr>
      <w:tr w:rsidR="001E4086" w:rsidRPr="001E4086" w14:paraId="453BFFA8" w14:textId="77777777" w:rsidTr="001E4086">
        <w:trPr>
          <w:trHeight w:val="288"/>
        </w:trPr>
        <w:tc>
          <w:tcPr>
            <w:tcW w:w="40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E6D2C4A" w14:textId="5483F568"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Burn Patient in Burn Designated M/S Unit</w:t>
            </w:r>
          </w:p>
        </w:tc>
        <w:tc>
          <w:tcPr>
            <w:tcW w:w="6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60A895C"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4.32</w:t>
            </w:r>
          </w:p>
        </w:tc>
        <w:tc>
          <w:tcPr>
            <w:tcW w:w="69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D44827D"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3.40</w:t>
            </w:r>
          </w:p>
        </w:tc>
        <w:tc>
          <w:tcPr>
            <w:tcW w:w="14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4EB6D3"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7.72</w:t>
            </w:r>
          </w:p>
        </w:tc>
        <w:tc>
          <w:tcPr>
            <w:tcW w:w="6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C88616"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4.84</w:t>
            </w:r>
          </w:p>
        </w:tc>
        <w:tc>
          <w:tcPr>
            <w:tcW w:w="6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CCADC5"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0.90</w:t>
            </w:r>
          </w:p>
        </w:tc>
        <w:tc>
          <w:tcPr>
            <w:tcW w:w="14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3325C1"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5.73</w:t>
            </w:r>
          </w:p>
        </w:tc>
      </w:tr>
      <w:tr w:rsidR="001E4086" w:rsidRPr="001E4086" w14:paraId="536B3C6E" w14:textId="77777777" w:rsidTr="001E4086">
        <w:trPr>
          <w:trHeight w:val="288"/>
        </w:trPr>
        <w:tc>
          <w:tcPr>
            <w:tcW w:w="40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9CB9FC2"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Burn Patient in Any ICU</w:t>
            </w:r>
          </w:p>
        </w:tc>
        <w:tc>
          <w:tcPr>
            <w:tcW w:w="6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EBD4AF3"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0.62</w:t>
            </w:r>
          </w:p>
        </w:tc>
        <w:tc>
          <w:tcPr>
            <w:tcW w:w="69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EF11ACC"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0.92</w:t>
            </w:r>
          </w:p>
        </w:tc>
        <w:tc>
          <w:tcPr>
            <w:tcW w:w="14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9E121A"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1.54</w:t>
            </w:r>
          </w:p>
        </w:tc>
        <w:tc>
          <w:tcPr>
            <w:tcW w:w="6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292B04"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1.52</w:t>
            </w:r>
          </w:p>
        </w:tc>
        <w:tc>
          <w:tcPr>
            <w:tcW w:w="6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63FB72"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0.89</w:t>
            </w:r>
          </w:p>
        </w:tc>
        <w:tc>
          <w:tcPr>
            <w:tcW w:w="14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B1F75A"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2.41</w:t>
            </w:r>
          </w:p>
        </w:tc>
      </w:tr>
      <w:tr w:rsidR="001E4086" w:rsidRPr="001E4086" w14:paraId="1AD06DFF" w14:textId="77777777" w:rsidTr="001E4086">
        <w:trPr>
          <w:trHeight w:val="288"/>
        </w:trPr>
        <w:tc>
          <w:tcPr>
            <w:tcW w:w="40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3FA2C70"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Burn Patient in Burn Designated ICU</w:t>
            </w:r>
          </w:p>
        </w:tc>
        <w:tc>
          <w:tcPr>
            <w:tcW w:w="6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87AD875"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0.61</w:t>
            </w:r>
          </w:p>
        </w:tc>
        <w:tc>
          <w:tcPr>
            <w:tcW w:w="69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BCEE880"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0.92</w:t>
            </w:r>
          </w:p>
        </w:tc>
        <w:tc>
          <w:tcPr>
            <w:tcW w:w="14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BA7B33"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1.53</w:t>
            </w:r>
          </w:p>
        </w:tc>
        <w:tc>
          <w:tcPr>
            <w:tcW w:w="6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152161"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1.43</w:t>
            </w:r>
          </w:p>
        </w:tc>
        <w:tc>
          <w:tcPr>
            <w:tcW w:w="6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AE5583"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0.89</w:t>
            </w:r>
          </w:p>
        </w:tc>
        <w:tc>
          <w:tcPr>
            <w:tcW w:w="14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813632B" w14:textId="77777777" w:rsidR="001E4086" w:rsidRPr="001E4086" w:rsidRDefault="001E4086" w:rsidP="001E4086">
            <w:pPr>
              <w:keepNext/>
              <w:spacing w:after="120"/>
              <w:jc w:val="both"/>
              <w:rPr>
                <w:rFonts w:ascii="Aptos" w:hAnsi="Aptos" w:cs="Times New Roman"/>
                <w:sz w:val="20"/>
                <w:szCs w:val="20"/>
              </w:rPr>
            </w:pPr>
            <w:r w:rsidRPr="001E4086">
              <w:rPr>
                <w:rFonts w:ascii="Aptos" w:hAnsi="Aptos" w:cs="Times New Roman"/>
                <w:sz w:val="20"/>
                <w:szCs w:val="20"/>
              </w:rPr>
              <w:t>2.32</w:t>
            </w:r>
          </w:p>
        </w:tc>
      </w:tr>
    </w:tbl>
    <w:p w14:paraId="0AE3A9BF" w14:textId="71349E8B" w:rsidR="001E4086" w:rsidRDefault="001E4086" w:rsidP="001E4086">
      <w:pPr>
        <w:keepNext/>
        <w:spacing w:after="120"/>
        <w:jc w:val="both"/>
        <w:rPr>
          <w:rFonts w:ascii="Aptos" w:hAnsi="Aptos" w:cs="Times New Roman"/>
        </w:rPr>
      </w:pPr>
      <w:r>
        <w:rPr>
          <w:rFonts w:ascii="Aptos" w:hAnsi="Aptos" w:cs="Times New Roman"/>
        </w:rPr>
        <w:t>*October 1, 2025-January 31, 2026</w:t>
      </w:r>
    </w:p>
    <w:p w14:paraId="2005F39D" w14:textId="77777777" w:rsidR="001469B9" w:rsidRDefault="001469B9" w:rsidP="001469B9">
      <w:pPr>
        <w:pStyle w:val="ListParagraph"/>
        <w:spacing w:after="120"/>
        <w:ind w:left="1890"/>
        <w:contextualSpacing w:val="0"/>
        <w:jc w:val="both"/>
        <w:rPr>
          <w:rFonts w:ascii="Aptos" w:hAnsi="Aptos" w:cs="Times New Roman"/>
          <w:b/>
          <w:bCs/>
        </w:rPr>
      </w:pPr>
    </w:p>
    <w:p w14:paraId="3EBD6435" w14:textId="7907AE68" w:rsidR="00DB0AB5" w:rsidRDefault="00573064" w:rsidP="001469B9">
      <w:pPr>
        <w:pStyle w:val="ListParagraph"/>
        <w:numPr>
          <w:ilvl w:val="0"/>
          <w:numId w:val="6"/>
        </w:numPr>
        <w:spacing w:after="120"/>
        <w:contextualSpacing w:val="0"/>
        <w:jc w:val="both"/>
        <w:rPr>
          <w:rFonts w:ascii="Aptos" w:hAnsi="Aptos" w:cs="Times New Roman"/>
          <w:b/>
          <w:bCs/>
        </w:rPr>
      </w:pPr>
      <w:r w:rsidRPr="0042556F">
        <w:rPr>
          <w:rFonts w:ascii="Aptos" w:hAnsi="Aptos" w:cs="Times New Roman"/>
          <w:b/>
          <w:bCs/>
        </w:rPr>
        <w:lastRenderedPageBreak/>
        <w:t>Type of services available at the alternative sites</w:t>
      </w:r>
      <w:r w:rsidR="000B2D85">
        <w:rPr>
          <w:rFonts w:ascii="Aptos" w:hAnsi="Aptos" w:cs="Times New Roman"/>
          <w:b/>
          <w:bCs/>
        </w:rPr>
        <w:t xml:space="preserve"> as compared to the level of complex services provided by the Hospital, including: i. Summary of the specialized medical, mental health, surgical, nursing, respiratory, complex trauma, non-burn med/surg conditions, reconstructive supports and rehabilitative expertise available at each alternate site; </w:t>
      </w:r>
    </w:p>
    <w:p w14:paraId="543192B5" w14:textId="3082A851" w:rsidR="00963DFB" w:rsidRPr="00963DFB" w:rsidRDefault="00963DFB" w:rsidP="00963DFB">
      <w:pPr>
        <w:spacing w:after="120"/>
        <w:jc w:val="both"/>
        <w:rPr>
          <w:rFonts w:ascii="Aptos" w:hAnsi="Aptos" w:cs="Times New Roman"/>
        </w:rPr>
      </w:pPr>
      <w:r>
        <w:rPr>
          <w:rFonts w:ascii="Aptos" w:hAnsi="Aptos" w:cs="Times New Roman"/>
        </w:rPr>
        <w:t xml:space="preserve">The focus of the MGH burn service is to provide high intensity wound management and MGH has been doing so since the burn service was founded more than 50 years ago. The MGH burn service includes 10 ICU beds and </w:t>
      </w:r>
      <w:r w:rsidR="00540832" w:rsidRPr="00AC1D6A">
        <w:rPr>
          <w:rFonts w:ascii="Aptos" w:hAnsi="Aptos" w:cs="Times New Roman"/>
        </w:rPr>
        <w:t>7</w:t>
      </w:r>
      <w:r w:rsidR="00AC1D6A" w:rsidRPr="00AC1D6A">
        <w:rPr>
          <w:rFonts w:ascii="Aptos" w:hAnsi="Aptos" w:cs="Times New Roman"/>
        </w:rPr>
        <w:t>3</w:t>
      </w:r>
      <w:r w:rsidRPr="00AC1D6A">
        <w:rPr>
          <w:rFonts w:ascii="Aptos" w:hAnsi="Aptos" w:cs="Times New Roman"/>
        </w:rPr>
        <w:t xml:space="preserve"> </w:t>
      </w:r>
      <w:r w:rsidR="00540832" w:rsidRPr="00AC1D6A">
        <w:rPr>
          <w:rFonts w:ascii="Aptos" w:hAnsi="Aptos" w:cs="Times New Roman"/>
        </w:rPr>
        <w:t>M/S</w:t>
      </w:r>
      <w:r w:rsidRPr="00AC1D6A">
        <w:rPr>
          <w:rFonts w:ascii="Aptos" w:hAnsi="Aptos" w:cs="Times New Roman"/>
        </w:rPr>
        <w:t xml:space="preserve"> beds</w:t>
      </w:r>
      <w:r>
        <w:rPr>
          <w:rFonts w:ascii="Aptos" w:hAnsi="Aptos" w:cs="Times New Roman"/>
        </w:rPr>
        <w:t>. While not provided on the Burn Unit, ECMO is provided in the MICU or Cardiac ICU with burn staff supporting burn management.  The MGH burn service is staffed by a m</w:t>
      </w:r>
      <w:r w:rsidRPr="00963DFB">
        <w:rPr>
          <w:rFonts w:ascii="Aptos" w:hAnsi="Aptos" w:cs="Times New Roman"/>
        </w:rPr>
        <w:t xml:space="preserve">ultidisciplinary </w:t>
      </w:r>
      <w:r>
        <w:rPr>
          <w:rFonts w:ascii="Aptos" w:hAnsi="Aptos" w:cs="Times New Roman"/>
        </w:rPr>
        <w:t>t</w:t>
      </w:r>
      <w:r w:rsidRPr="00963DFB">
        <w:rPr>
          <w:rFonts w:ascii="Aptos" w:hAnsi="Aptos" w:cs="Times New Roman"/>
        </w:rPr>
        <w:t>eam</w:t>
      </w:r>
      <w:r>
        <w:rPr>
          <w:rFonts w:ascii="Aptos" w:hAnsi="Aptos" w:cs="Times New Roman"/>
        </w:rPr>
        <w:t xml:space="preserve"> of highly trained surgeons, intensivists, advanced practice providers, </w:t>
      </w:r>
      <w:r w:rsidR="001469B9">
        <w:rPr>
          <w:rFonts w:ascii="Aptos" w:hAnsi="Aptos" w:cs="Times New Roman"/>
        </w:rPr>
        <w:t>and nurses, as well as case management</w:t>
      </w:r>
      <w:r w:rsidRPr="00963DFB">
        <w:rPr>
          <w:rFonts w:ascii="Aptos" w:hAnsi="Aptos" w:cs="Times New Roman"/>
        </w:rPr>
        <w:t xml:space="preserve">, </w:t>
      </w:r>
      <w:r w:rsidR="001469B9">
        <w:rPr>
          <w:rFonts w:ascii="Aptos" w:hAnsi="Aptos" w:cs="Times New Roman"/>
        </w:rPr>
        <w:t xml:space="preserve">social work, </w:t>
      </w:r>
      <w:r w:rsidR="00B17E3B">
        <w:rPr>
          <w:rFonts w:ascii="Aptos" w:hAnsi="Aptos" w:cs="Times New Roman"/>
        </w:rPr>
        <w:t>physical</w:t>
      </w:r>
      <w:r w:rsidR="001469B9">
        <w:rPr>
          <w:rFonts w:ascii="Aptos" w:hAnsi="Aptos" w:cs="Times New Roman"/>
        </w:rPr>
        <w:t xml:space="preserve"> and occupational therapy, nutrition services, trauma psychiatry, spiritual care and a burn peer support program. </w:t>
      </w:r>
      <w:r w:rsidRPr="00963DFB">
        <w:rPr>
          <w:rFonts w:ascii="Aptos" w:hAnsi="Aptos" w:cs="Times New Roman"/>
        </w:rPr>
        <w:t xml:space="preserve">Addiction Services are also available </w:t>
      </w:r>
      <w:r w:rsidR="00B17E3B">
        <w:rPr>
          <w:rFonts w:ascii="Aptos" w:hAnsi="Aptos" w:cs="Times New Roman"/>
        </w:rPr>
        <w:t xml:space="preserve">to patients of the burn service </w:t>
      </w:r>
      <w:r w:rsidRPr="00963DFB">
        <w:rPr>
          <w:rFonts w:ascii="Aptos" w:hAnsi="Aptos" w:cs="Times New Roman"/>
        </w:rPr>
        <w:t xml:space="preserve">if needed.  </w:t>
      </w:r>
    </w:p>
    <w:p w14:paraId="7ACDA301" w14:textId="6D7894C6" w:rsidR="000B2D85" w:rsidRDefault="000B2D85" w:rsidP="001469B9">
      <w:pPr>
        <w:pStyle w:val="ListParagraph"/>
        <w:numPr>
          <w:ilvl w:val="0"/>
          <w:numId w:val="6"/>
        </w:numPr>
        <w:spacing w:after="120"/>
        <w:contextualSpacing w:val="0"/>
        <w:jc w:val="both"/>
        <w:rPr>
          <w:rFonts w:ascii="Aptos" w:hAnsi="Aptos" w:cs="Times New Roman"/>
          <w:b/>
          <w:bCs/>
        </w:rPr>
      </w:pPr>
      <w:r>
        <w:rPr>
          <w:rFonts w:ascii="Aptos" w:hAnsi="Aptos" w:cs="Times New Roman"/>
          <w:b/>
          <w:bCs/>
        </w:rPr>
        <w:t xml:space="preserve">Type of medical diagnoses accepted, including: i. Definition of each sites ability to manage varying levels of acuity, preparedness for ICU-level care, and high intensity wound management, and; </w:t>
      </w:r>
    </w:p>
    <w:p w14:paraId="47305348" w14:textId="3A4B35B3" w:rsidR="00BE1CC7" w:rsidRDefault="00BE1CC7" w:rsidP="00C0109F">
      <w:pPr>
        <w:jc w:val="both"/>
        <w:rPr>
          <w:rFonts w:ascii="Aptos" w:hAnsi="Aptos" w:cs="Times New Roman"/>
        </w:rPr>
      </w:pPr>
      <w:r>
        <w:rPr>
          <w:rFonts w:ascii="Aptos" w:hAnsi="Aptos" w:cs="Times New Roman"/>
        </w:rPr>
        <w:t>MGH accepts the same medi</w:t>
      </w:r>
      <w:r w:rsidR="00540832">
        <w:rPr>
          <w:rFonts w:ascii="Aptos" w:hAnsi="Aptos" w:cs="Times New Roman"/>
        </w:rPr>
        <w:t>c</w:t>
      </w:r>
      <w:r>
        <w:rPr>
          <w:rFonts w:ascii="Aptos" w:hAnsi="Aptos" w:cs="Times New Roman"/>
        </w:rPr>
        <w:t>al diagnoses</w:t>
      </w:r>
      <w:r w:rsidR="00B17E3B">
        <w:rPr>
          <w:rFonts w:ascii="Aptos" w:hAnsi="Aptos" w:cs="Times New Roman"/>
        </w:rPr>
        <w:t xml:space="preserve"> as BWH</w:t>
      </w:r>
      <w:r>
        <w:rPr>
          <w:rFonts w:ascii="Aptos" w:hAnsi="Aptos" w:cs="Times New Roman"/>
        </w:rPr>
        <w:t xml:space="preserve"> </w:t>
      </w:r>
      <w:r w:rsidR="00540832">
        <w:rPr>
          <w:rFonts w:ascii="Aptos" w:hAnsi="Aptos" w:cs="Times New Roman"/>
        </w:rPr>
        <w:t>and</w:t>
      </w:r>
      <w:r w:rsidR="007A52B8">
        <w:rPr>
          <w:rFonts w:ascii="Aptos" w:hAnsi="Aptos" w:cs="Times New Roman"/>
        </w:rPr>
        <w:t xml:space="preserve"> as noted </w:t>
      </w:r>
      <w:r w:rsidR="00B17E3B">
        <w:rPr>
          <w:rFonts w:ascii="Aptos" w:hAnsi="Aptos" w:cs="Times New Roman"/>
        </w:rPr>
        <w:t>throughout these responses</w:t>
      </w:r>
      <w:r w:rsidR="007A52B8">
        <w:rPr>
          <w:rFonts w:ascii="Aptos" w:hAnsi="Aptos" w:cs="Times New Roman"/>
        </w:rPr>
        <w:t>,</w:t>
      </w:r>
      <w:r>
        <w:rPr>
          <w:rFonts w:ascii="Aptos" w:hAnsi="Aptos" w:cs="Times New Roman"/>
        </w:rPr>
        <w:t xml:space="preserve"> has the same ability to manage varying levels of acuity, preparedness for ICU level care and high intensity wound management as is available at BWH. The following medical diagnoses are </w:t>
      </w:r>
      <w:r w:rsidR="00B17E3B">
        <w:rPr>
          <w:rFonts w:ascii="Aptos" w:hAnsi="Aptos" w:cs="Times New Roman"/>
        </w:rPr>
        <w:t>cared for by the MGH burn service.</w:t>
      </w:r>
    </w:p>
    <w:p w14:paraId="3FB62DD5" w14:textId="77777777" w:rsidR="00C0109F" w:rsidRDefault="00C0109F" w:rsidP="00C0109F">
      <w:pPr>
        <w:jc w:val="both"/>
        <w:rPr>
          <w:rFonts w:ascii="Aptos" w:hAnsi="Aptos" w:cs="Times New Roman"/>
        </w:rPr>
      </w:pPr>
    </w:p>
    <w:p w14:paraId="3945694A" w14:textId="3B7E6F42" w:rsidR="00BE1CC7" w:rsidRPr="00BE1CC7" w:rsidRDefault="00BE1CC7" w:rsidP="007A52B8">
      <w:pPr>
        <w:numPr>
          <w:ilvl w:val="0"/>
          <w:numId w:val="19"/>
        </w:numPr>
        <w:jc w:val="both"/>
        <w:rPr>
          <w:rFonts w:ascii="Aptos" w:hAnsi="Aptos" w:cs="Times New Roman"/>
        </w:rPr>
      </w:pPr>
      <w:r w:rsidRPr="00BE1CC7">
        <w:rPr>
          <w:rFonts w:ascii="Aptos" w:hAnsi="Aptos" w:cs="Times New Roman"/>
        </w:rPr>
        <w:t>ICD-10-CM codes T20-T32 </w:t>
      </w:r>
      <w:r w:rsidR="00540832">
        <w:rPr>
          <w:rFonts w:ascii="Aptos" w:hAnsi="Aptos" w:cs="Times New Roman"/>
        </w:rPr>
        <w:t>(equivalent to DRG 927-935) 0</w:t>
      </w:r>
      <w:r w:rsidRPr="00BE1CC7">
        <w:rPr>
          <w:rFonts w:ascii="Aptos" w:hAnsi="Aptos" w:cs="Times New Roman"/>
        </w:rPr>
        <w:t>classify burns and corrosions (chemical burns) by site, degree, and total body surface area (TBSA). This range includes burns to the head, neck, trunk, and limbs (T20-T25), internal organs (T26-T28), and multiple/unspecified regions (T30-T32). Key guidelines include coding the highest degree, specifying sites, and using T31/T32 for extent. </w:t>
      </w:r>
    </w:p>
    <w:p w14:paraId="36E4FFEB" w14:textId="77777777" w:rsidR="00BE1CC7" w:rsidRPr="00BE1CC7" w:rsidRDefault="00BE1CC7" w:rsidP="007A52B8">
      <w:pPr>
        <w:numPr>
          <w:ilvl w:val="0"/>
          <w:numId w:val="19"/>
        </w:numPr>
        <w:jc w:val="both"/>
        <w:rPr>
          <w:rFonts w:ascii="Aptos" w:hAnsi="Aptos" w:cs="Times New Roman"/>
        </w:rPr>
      </w:pPr>
      <w:r w:rsidRPr="00BE1CC7">
        <w:rPr>
          <w:rFonts w:ascii="Aptos" w:hAnsi="Aptos" w:cs="Times New Roman"/>
        </w:rPr>
        <w:t>Toxic Epidermal Necrolysis (&gt;25% skin loss)</w:t>
      </w:r>
    </w:p>
    <w:p w14:paraId="0A3AB184" w14:textId="77777777" w:rsidR="00BE1CC7" w:rsidRPr="00BE1CC7" w:rsidRDefault="00BE1CC7" w:rsidP="007A52B8">
      <w:pPr>
        <w:numPr>
          <w:ilvl w:val="0"/>
          <w:numId w:val="19"/>
        </w:numPr>
        <w:jc w:val="both"/>
        <w:rPr>
          <w:rFonts w:ascii="Aptos" w:hAnsi="Aptos" w:cs="Times New Roman"/>
        </w:rPr>
      </w:pPr>
      <w:r w:rsidRPr="00BE1CC7">
        <w:rPr>
          <w:rFonts w:ascii="Aptos" w:hAnsi="Aptos" w:cs="Times New Roman"/>
        </w:rPr>
        <w:t>Purpura fulminans</w:t>
      </w:r>
    </w:p>
    <w:p w14:paraId="08B8D1F3" w14:textId="77777777" w:rsidR="00BE1CC7" w:rsidRPr="00BE1CC7" w:rsidRDefault="00BE1CC7" w:rsidP="007A52B8">
      <w:pPr>
        <w:numPr>
          <w:ilvl w:val="0"/>
          <w:numId w:val="19"/>
        </w:numPr>
        <w:jc w:val="both"/>
        <w:rPr>
          <w:rFonts w:ascii="Aptos" w:hAnsi="Aptos" w:cs="Times New Roman"/>
        </w:rPr>
      </w:pPr>
      <w:r w:rsidRPr="00BE1CC7">
        <w:rPr>
          <w:rFonts w:ascii="Aptos" w:hAnsi="Aptos" w:cs="Times New Roman"/>
        </w:rPr>
        <w:t>NSTI (after emergent debridement)</w:t>
      </w:r>
    </w:p>
    <w:p w14:paraId="355B0536" w14:textId="77777777" w:rsidR="00BE1CC7" w:rsidRPr="00BE1CC7" w:rsidRDefault="00BE1CC7" w:rsidP="007A52B8">
      <w:pPr>
        <w:numPr>
          <w:ilvl w:val="0"/>
          <w:numId w:val="19"/>
        </w:numPr>
        <w:jc w:val="both"/>
        <w:rPr>
          <w:rFonts w:ascii="Aptos" w:hAnsi="Aptos" w:cs="Times New Roman"/>
        </w:rPr>
      </w:pPr>
      <w:r w:rsidRPr="00BE1CC7">
        <w:rPr>
          <w:rFonts w:ascii="Aptos" w:hAnsi="Aptos" w:cs="Times New Roman"/>
        </w:rPr>
        <w:t>Smoke inhalation</w:t>
      </w:r>
    </w:p>
    <w:p w14:paraId="7FE3A95A" w14:textId="77777777" w:rsidR="00BE1CC7" w:rsidRDefault="00BE1CC7" w:rsidP="007A52B8">
      <w:pPr>
        <w:numPr>
          <w:ilvl w:val="0"/>
          <w:numId w:val="19"/>
        </w:numPr>
        <w:jc w:val="both"/>
        <w:rPr>
          <w:rFonts w:ascii="Aptos" w:hAnsi="Aptos" w:cs="Times New Roman"/>
        </w:rPr>
      </w:pPr>
      <w:r w:rsidRPr="00BE1CC7">
        <w:rPr>
          <w:rFonts w:ascii="Aptos" w:hAnsi="Aptos" w:cs="Times New Roman"/>
        </w:rPr>
        <w:t>Frostbite of all severities</w:t>
      </w:r>
    </w:p>
    <w:p w14:paraId="3B5B6812" w14:textId="77777777" w:rsidR="007A52B8" w:rsidRPr="00BE1CC7" w:rsidRDefault="007A52B8" w:rsidP="007A52B8">
      <w:pPr>
        <w:ind w:left="720"/>
        <w:jc w:val="both"/>
        <w:rPr>
          <w:rFonts w:ascii="Aptos" w:hAnsi="Aptos" w:cs="Times New Roman"/>
        </w:rPr>
      </w:pPr>
    </w:p>
    <w:p w14:paraId="2F648FA4" w14:textId="5EF79C1A" w:rsidR="000B2D85" w:rsidRDefault="00BE1CC7" w:rsidP="001469B9">
      <w:pPr>
        <w:pStyle w:val="ListParagraph"/>
        <w:numPr>
          <w:ilvl w:val="0"/>
          <w:numId w:val="6"/>
        </w:numPr>
        <w:spacing w:after="120"/>
        <w:contextualSpacing w:val="0"/>
        <w:jc w:val="both"/>
        <w:rPr>
          <w:rFonts w:ascii="Aptos" w:hAnsi="Aptos" w:cs="Times New Roman"/>
          <w:b/>
          <w:bCs/>
        </w:rPr>
      </w:pPr>
      <w:r>
        <w:rPr>
          <w:rFonts w:ascii="Aptos" w:hAnsi="Aptos" w:cs="Times New Roman"/>
          <w:b/>
          <w:bCs/>
        </w:rPr>
        <w:t>Adequacy</w:t>
      </w:r>
      <w:r w:rsidR="000B2D85">
        <w:rPr>
          <w:rFonts w:ascii="Aptos" w:hAnsi="Aptos" w:cs="Times New Roman"/>
          <w:b/>
          <w:bCs/>
        </w:rPr>
        <w:t xml:space="preserve"> of space and resources at the alternative sites for conventional, contingency, crisis and catastrophic care</w:t>
      </w:r>
      <w:r>
        <w:rPr>
          <w:rStyle w:val="FootnoteReference"/>
          <w:rFonts w:ascii="Aptos" w:hAnsi="Aptos" w:cs="Times New Roman"/>
          <w:b/>
          <w:bCs/>
        </w:rPr>
        <w:footnoteReference w:id="3"/>
      </w:r>
      <w:r>
        <w:rPr>
          <w:rFonts w:ascii="Aptos" w:hAnsi="Aptos" w:cs="Times New Roman"/>
          <w:b/>
          <w:bCs/>
        </w:rPr>
        <w:t>.</w:t>
      </w:r>
    </w:p>
    <w:p w14:paraId="30C508BA" w14:textId="4BE26A2D" w:rsidR="00963DFB" w:rsidRPr="00963DFB" w:rsidRDefault="00963DFB" w:rsidP="00963DFB">
      <w:pPr>
        <w:spacing w:after="120"/>
        <w:jc w:val="both"/>
        <w:rPr>
          <w:rFonts w:ascii="Aptos" w:hAnsi="Aptos" w:cs="Times New Roman"/>
        </w:rPr>
      </w:pPr>
      <w:r>
        <w:rPr>
          <w:rFonts w:ascii="Aptos" w:hAnsi="Aptos" w:cs="Times New Roman"/>
        </w:rPr>
        <w:t>The MGH burn service includes a 10 bed ICU (7 licensed burn beds, 3 licensed ICU beds)</w:t>
      </w:r>
      <w:r w:rsidR="000B2873">
        <w:rPr>
          <w:rFonts w:ascii="Aptos" w:hAnsi="Aptos" w:cs="Times New Roman"/>
        </w:rPr>
        <w:t xml:space="preserve"> with overflow capabilities in MGH’s surgical ICUs (additional 38 beds). The MGH </w:t>
      </w:r>
      <w:r w:rsidR="00B17E3B">
        <w:rPr>
          <w:rFonts w:ascii="Aptos" w:hAnsi="Aptos" w:cs="Times New Roman"/>
        </w:rPr>
        <w:t>burn service</w:t>
      </w:r>
      <w:r w:rsidR="000B2873">
        <w:rPr>
          <w:rFonts w:ascii="Aptos" w:hAnsi="Aptos" w:cs="Times New Roman"/>
        </w:rPr>
        <w:t xml:space="preserve"> nurses receive extensive training and education with many receiving burn specific certification. The Surgical </w:t>
      </w:r>
      <w:r w:rsidR="000B2873">
        <w:rPr>
          <w:rFonts w:ascii="Aptos" w:hAnsi="Aptos" w:cs="Times New Roman"/>
        </w:rPr>
        <w:lastRenderedPageBreak/>
        <w:t xml:space="preserve">ICU nurses receive trauma education with many receiving </w:t>
      </w:r>
      <w:r w:rsidR="00B17E3B">
        <w:rPr>
          <w:rFonts w:ascii="Aptos" w:hAnsi="Aptos" w:cs="Times New Roman"/>
        </w:rPr>
        <w:t>Trauma Nursing Core Course (TNCC)</w:t>
      </w:r>
      <w:r w:rsidR="000B2873">
        <w:rPr>
          <w:rFonts w:ascii="Aptos" w:hAnsi="Aptos" w:cs="Times New Roman"/>
        </w:rPr>
        <w:t xml:space="preserve"> certification, which includes burn trauma. </w:t>
      </w:r>
    </w:p>
    <w:p w14:paraId="30F40BFC" w14:textId="223BFDE0" w:rsidR="00BE1CC7" w:rsidRPr="00B17E3B" w:rsidRDefault="00BE1CC7" w:rsidP="001469B9">
      <w:pPr>
        <w:pStyle w:val="ListParagraph"/>
        <w:numPr>
          <w:ilvl w:val="0"/>
          <w:numId w:val="6"/>
        </w:numPr>
        <w:spacing w:after="120"/>
        <w:contextualSpacing w:val="0"/>
        <w:jc w:val="both"/>
        <w:rPr>
          <w:rFonts w:ascii="Aptos" w:hAnsi="Aptos" w:cs="Times New Roman"/>
          <w:b/>
          <w:bCs/>
        </w:rPr>
      </w:pPr>
      <w:r>
        <w:rPr>
          <w:rFonts w:ascii="Aptos" w:hAnsi="Aptos" w:cs="Times New Roman"/>
          <w:b/>
          <w:bCs/>
        </w:rPr>
        <w:t xml:space="preserve">Explanation of how emergency preparedness plans for burn care under </w:t>
      </w:r>
      <w:r w:rsidRPr="00B17E3B">
        <w:rPr>
          <w:rFonts w:ascii="Aptos" w:hAnsi="Aptos" w:cs="Times New Roman"/>
          <w:b/>
          <w:bCs/>
        </w:rPr>
        <w:t xml:space="preserve">surge situations have been updated to reflect this service delivery change. </w:t>
      </w:r>
    </w:p>
    <w:p w14:paraId="4E039534" w14:textId="2BE4DC63" w:rsidR="007A52B8" w:rsidRPr="00B17E3B" w:rsidRDefault="00AC1D6A" w:rsidP="00C0109F">
      <w:pPr>
        <w:pStyle w:val="xxelementtoproof"/>
        <w:shd w:val="clear" w:color="auto" w:fill="FFFFFF"/>
        <w:spacing w:after="120"/>
        <w:jc w:val="both"/>
        <w:rPr>
          <w:sz w:val="22"/>
          <w:szCs w:val="22"/>
        </w:rPr>
      </w:pPr>
      <w:r>
        <w:rPr>
          <w:rFonts w:cs="Arial"/>
          <w:sz w:val="22"/>
          <w:szCs w:val="22"/>
        </w:rPr>
        <w:t>MGB/</w:t>
      </w:r>
      <w:r w:rsidR="007A52B8" w:rsidRPr="00B17E3B">
        <w:rPr>
          <w:rFonts w:cs="Arial"/>
          <w:sz w:val="22"/>
          <w:szCs w:val="22"/>
        </w:rPr>
        <w:t>MGH has multiple mechanisms to support burn surge capacity in disasters.  Depending on the scale and scope of the event and the number of patients requiring burn care, the following actions and resources may be utilized during an emergency: </w:t>
      </w:r>
    </w:p>
    <w:p w14:paraId="670689F4" w14:textId="1AF0B3B8" w:rsidR="007A52B8" w:rsidRPr="00B17E3B" w:rsidRDefault="007A52B8" w:rsidP="00C0109F">
      <w:pPr>
        <w:pStyle w:val="xmsonormal"/>
        <w:numPr>
          <w:ilvl w:val="0"/>
          <w:numId w:val="20"/>
        </w:numPr>
        <w:shd w:val="clear" w:color="auto" w:fill="FFFFFF"/>
        <w:jc w:val="both"/>
        <w:rPr>
          <w:sz w:val="22"/>
          <w:szCs w:val="22"/>
        </w:rPr>
      </w:pPr>
      <w:r w:rsidRPr="00B17E3B">
        <w:rPr>
          <w:rFonts w:cs="Arial"/>
          <w:sz w:val="22"/>
          <w:szCs w:val="22"/>
        </w:rPr>
        <w:t>MGH is a member of the Mass General Brigham (MGB) healthcare system.  MGB manages its inpatient beds utilizing an integrated Patient Transfer Access Center (PTAC). Through the PTAC, MGB has the ability to shift patient care delivery operations to balance clinical demands and access to resources, such as the specialized burn care expertise and resources available at MGH.  In the event of a burn surge event, the PTAC is able to redirect non-burn admissions and patient transfers that would have come to MGH otherwise to receive care at other hospitals in the MGB system</w:t>
      </w:r>
      <w:r w:rsidR="00AC1D6A">
        <w:rPr>
          <w:rFonts w:cs="Arial"/>
          <w:sz w:val="22"/>
          <w:szCs w:val="22"/>
        </w:rPr>
        <w:t>, including to BWH</w:t>
      </w:r>
      <w:r w:rsidRPr="00B17E3B">
        <w:rPr>
          <w:rFonts w:cs="Arial"/>
          <w:sz w:val="22"/>
          <w:szCs w:val="22"/>
        </w:rPr>
        <w:t>, thereby prioritizing the inpatient bed surge capacity and capabilities at MGH for burn victims.  Additionally, if needed, patients may be transferred from MGH to other MGB hospitals</w:t>
      </w:r>
      <w:r w:rsidR="00AC1D6A">
        <w:rPr>
          <w:rFonts w:cs="Arial"/>
          <w:sz w:val="22"/>
          <w:szCs w:val="22"/>
        </w:rPr>
        <w:t>, including to BWH</w:t>
      </w:r>
      <w:r w:rsidRPr="00B17E3B">
        <w:rPr>
          <w:rFonts w:cs="Arial"/>
          <w:sz w:val="22"/>
          <w:szCs w:val="22"/>
        </w:rPr>
        <w:t xml:space="preserve"> by the PTAC to help create additional inpatient burn capacity as well.</w:t>
      </w:r>
    </w:p>
    <w:p w14:paraId="55A10B7E" w14:textId="63229B1E" w:rsidR="007A52B8" w:rsidRPr="00B17E3B" w:rsidRDefault="007A52B8" w:rsidP="00C0109F">
      <w:pPr>
        <w:pStyle w:val="xmsonormal"/>
        <w:numPr>
          <w:ilvl w:val="0"/>
          <w:numId w:val="20"/>
        </w:numPr>
        <w:shd w:val="clear" w:color="auto" w:fill="FFFFFF"/>
        <w:jc w:val="both"/>
        <w:rPr>
          <w:sz w:val="22"/>
          <w:szCs w:val="22"/>
        </w:rPr>
      </w:pPr>
      <w:r w:rsidRPr="00B17E3B">
        <w:rPr>
          <w:rFonts w:cs="Arial"/>
          <w:sz w:val="22"/>
          <w:szCs w:val="22"/>
        </w:rPr>
        <w:t>MGB also hosts the ASPR-funded Region 1 Disaster Health Response System (RDHRS)</w:t>
      </w:r>
      <w:r w:rsidR="00B17E3B">
        <w:rPr>
          <w:rStyle w:val="FootnoteReference"/>
          <w:rFonts w:cs="Arial"/>
          <w:sz w:val="22"/>
          <w:szCs w:val="22"/>
        </w:rPr>
        <w:footnoteReference w:id="4"/>
      </w:r>
      <w:r w:rsidRPr="00B17E3B">
        <w:rPr>
          <w:rFonts w:cs="Arial"/>
          <w:sz w:val="22"/>
          <w:szCs w:val="22"/>
        </w:rPr>
        <w:t>, which has been in operation since 2018.  The Region 1 RDHRS has developed specific burn telemedicine capabilities that can be deployed during large-scale burn disasters with regional impact to any or all hospitals in the Region.  This system allows immediate secure, HIPAA compliant audio and/or video connections between expert burn nurses and physicians with bedside clinicians at other hospitals.  The RDHRS has worked directly with the American Burn Association (ABA) to recruit and train additional burn surgeons outside of MA to help staff this disaster capability if needed.  The RDHRS burn disaster telemedicine program has also developed resources to address the necessary licensing, credentialing, and liability considerations that accompany this work.   </w:t>
      </w:r>
    </w:p>
    <w:p w14:paraId="4942F7BB" w14:textId="13DD5F4D" w:rsidR="007A52B8" w:rsidRPr="00B17E3B" w:rsidRDefault="007A52B8" w:rsidP="00C0109F">
      <w:pPr>
        <w:pStyle w:val="xmsonormal"/>
        <w:numPr>
          <w:ilvl w:val="0"/>
          <w:numId w:val="20"/>
        </w:numPr>
        <w:shd w:val="clear" w:color="auto" w:fill="FFFFFF"/>
        <w:spacing w:after="120"/>
        <w:jc w:val="both"/>
        <w:rPr>
          <w:sz w:val="22"/>
          <w:szCs w:val="22"/>
        </w:rPr>
      </w:pPr>
      <w:r w:rsidRPr="00B17E3B">
        <w:rPr>
          <w:rFonts w:cs="Arial"/>
          <w:sz w:val="22"/>
          <w:szCs w:val="22"/>
        </w:rPr>
        <w:t>MGB</w:t>
      </w:r>
      <w:r w:rsidR="00B17E3B">
        <w:rPr>
          <w:rFonts w:cs="Arial"/>
          <w:sz w:val="22"/>
          <w:szCs w:val="22"/>
        </w:rPr>
        <w:t>, inclusive of MGH,</w:t>
      </w:r>
      <w:r w:rsidRPr="00B17E3B">
        <w:rPr>
          <w:rFonts w:cs="Arial"/>
          <w:sz w:val="22"/>
          <w:szCs w:val="22"/>
        </w:rPr>
        <w:t xml:space="preserve"> participate</w:t>
      </w:r>
      <w:r w:rsidR="00B17E3B">
        <w:rPr>
          <w:rFonts w:cs="Arial"/>
          <w:sz w:val="22"/>
          <w:szCs w:val="22"/>
        </w:rPr>
        <w:t>s</w:t>
      </w:r>
      <w:r w:rsidRPr="00B17E3B">
        <w:rPr>
          <w:rFonts w:cs="Arial"/>
          <w:sz w:val="22"/>
          <w:szCs w:val="22"/>
        </w:rPr>
        <w:t xml:space="preserve"> in the national ABA Burn Surge Network and has worked with the Northeast Burn Region and the national ABA in its disaster surge planning. In the event of a major burn surge that exceeds the local capabilities, MGB </w:t>
      </w:r>
      <w:r w:rsidR="00B17E3B">
        <w:rPr>
          <w:rFonts w:cs="Arial"/>
          <w:sz w:val="22"/>
          <w:szCs w:val="22"/>
        </w:rPr>
        <w:t>b</w:t>
      </w:r>
      <w:r w:rsidRPr="00B17E3B">
        <w:rPr>
          <w:rFonts w:cs="Arial"/>
          <w:sz w:val="22"/>
          <w:szCs w:val="22"/>
        </w:rPr>
        <w:t>urn</w:t>
      </w:r>
      <w:r w:rsidR="00B17E3B">
        <w:rPr>
          <w:rFonts w:cs="Arial"/>
          <w:sz w:val="22"/>
          <w:szCs w:val="22"/>
        </w:rPr>
        <w:t xml:space="preserve"> service</w:t>
      </w:r>
      <w:r w:rsidRPr="00B17E3B">
        <w:rPr>
          <w:rFonts w:cs="Arial"/>
          <w:sz w:val="22"/>
          <w:szCs w:val="22"/>
        </w:rPr>
        <w:t xml:space="preserve"> leaders will partner with this network and others to support the transfer of other patients </w:t>
      </w:r>
      <w:r w:rsidR="00B17E3B">
        <w:rPr>
          <w:rFonts w:cs="Arial"/>
          <w:sz w:val="22"/>
          <w:szCs w:val="22"/>
        </w:rPr>
        <w:t>who</w:t>
      </w:r>
      <w:r w:rsidRPr="00B17E3B">
        <w:rPr>
          <w:rFonts w:cs="Arial"/>
          <w:sz w:val="22"/>
          <w:szCs w:val="22"/>
        </w:rPr>
        <w:t xml:space="preserve"> </w:t>
      </w:r>
      <w:r w:rsidR="00B17E3B">
        <w:rPr>
          <w:rFonts w:cs="Arial"/>
          <w:sz w:val="22"/>
          <w:szCs w:val="22"/>
        </w:rPr>
        <w:t xml:space="preserve">require </w:t>
      </w:r>
      <w:r w:rsidRPr="00B17E3B">
        <w:rPr>
          <w:rFonts w:cs="Arial"/>
          <w:sz w:val="22"/>
          <w:szCs w:val="22"/>
        </w:rPr>
        <w:t>high-level burn care to ABA burn centers within the Northeast Burn Region or beyond if needed. </w:t>
      </w:r>
    </w:p>
    <w:p w14:paraId="483A990B" w14:textId="3C3A5B28" w:rsidR="007A52B8" w:rsidRPr="00B17E3B" w:rsidRDefault="007A52B8" w:rsidP="00C0109F">
      <w:pPr>
        <w:pStyle w:val="xmsonormal"/>
        <w:shd w:val="clear" w:color="auto" w:fill="FFFFFF"/>
        <w:jc w:val="both"/>
        <w:rPr>
          <w:sz w:val="22"/>
          <w:szCs w:val="22"/>
        </w:rPr>
      </w:pPr>
      <w:r w:rsidRPr="00B17E3B">
        <w:rPr>
          <w:rFonts w:cs="Arial"/>
          <w:sz w:val="22"/>
          <w:szCs w:val="22"/>
        </w:rPr>
        <w:t>Depending on the size, scale, and scope of the burn surge</w:t>
      </w:r>
      <w:r w:rsidR="004A23DC" w:rsidRPr="00B17E3B">
        <w:rPr>
          <w:rFonts w:cs="Arial"/>
          <w:sz w:val="22"/>
          <w:szCs w:val="22"/>
        </w:rPr>
        <w:t>,</w:t>
      </w:r>
      <w:r w:rsidRPr="00B17E3B">
        <w:rPr>
          <w:rFonts w:cs="Arial"/>
          <w:sz w:val="22"/>
          <w:szCs w:val="22"/>
        </w:rPr>
        <w:t xml:space="preserve"> one or multiple elements of the above resource may be activated, </w:t>
      </w:r>
      <w:r w:rsidR="00B17E3B">
        <w:rPr>
          <w:rFonts w:cs="Arial"/>
          <w:sz w:val="22"/>
          <w:szCs w:val="22"/>
        </w:rPr>
        <w:t>under the</w:t>
      </w:r>
      <w:r w:rsidRPr="00B17E3B">
        <w:rPr>
          <w:rFonts w:cs="Arial"/>
          <w:sz w:val="22"/>
          <w:szCs w:val="22"/>
        </w:rPr>
        <w:t xml:space="preserve"> leadership of </w:t>
      </w:r>
      <w:r w:rsidR="00B17E3B">
        <w:rPr>
          <w:rFonts w:cs="Arial"/>
          <w:sz w:val="22"/>
          <w:szCs w:val="22"/>
        </w:rPr>
        <w:t>the MGB burn service</w:t>
      </w:r>
      <w:r w:rsidRPr="00B17E3B">
        <w:rPr>
          <w:rFonts w:cs="Arial"/>
          <w:sz w:val="22"/>
          <w:szCs w:val="22"/>
        </w:rPr>
        <w:t>, system leadership and emergency management teams to ensure our staff have the resources they need and patients receive the most appropriate care. </w:t>
      </w:r>
    </w:p>
    <w:p w14:paraId="5CF09A89" w14:textId="77777777" w:rsidR="007A52B8" w:rsidRPr="00B17E3B" w:rsidRDefault="007A52B8" w:rsidP="007A52B8">
      <w:pPr>
        <w:spacing w:after="120"/>
        <w:jc w:val="both"/>
        <w:rPr>
          <w:rFonts w:ascii="Aptos" w:hAnsi="Aptos" w:cs="Times New Roman"/>
          <w:b/>
          <w:bCs/>
        </w:rPr>
      </w:pPr>
    </w:p>
    <w:p w14:paraId="5735B97A" w14:textId="2817359E" w:rsidR="00CC7A2C" w:rsidRPr="004025D7" w:rsidRDefault="00CC7A2C" w:rsidP="004025D7">
      <w:pPr>
        <w:pStyle w:val="ListParagraph"/>
        <w:numPr>
          <w:ilvl w:val="0"/>
          <w:numId w:val="3"/>
        </w:numPr>
        <w:spacing w:after="120"/>
        <w:contextualSpacing w:val="0"/>
        <w:jc w:val="both"/>
        <w:rPr>
          <w:rFonts w:ascii="Aptos" w:hAnsi="Aptos" w:cs="Times New Roman"/>
          <w:b/>
          <w:bCs/>
        </w:rPr>
      </w:pPr>
      <w:r w:rsidRPr="00380DEF">
        <w:rPr>
          <w:rFonts w:ascii="Aptos" w:hAnsi="Aptos" w:cs="Times New Roman"/>
          <w:b/>
          <w:bCs/>
        </w:rPr>
        <w:t>Travel times to alternative service delivery sites, for both peak and non-peak travel times, and an explanation as to the source for this information or what these estimates are based on.</w:t>
      </w:r>
    </w:p>
    <w:p w14:paraId="7E6A0F17" w14:textId="2BF72AEA" w:rsidR="0071267F" w:rsidRDefault="00162EF9" w:rsidP="004025D7">
      <w:pPr>
        <w:spacing w:after="120"/>
        <w:jc w:val="both"/>
        <w:rPr>
          <w:rFonts w:ascii="Aptos" w:hAnsi="Aptos" w:cs="Times New Roman"/>
        </w:rPr>
      </w:pPr>
      <w:r w:rsidRPr="00380DEF">
        <w:rPr>
          <w:rFonts w:ascii="Aptos" w:hAnsi="Aptos" w:cs="Times New Roman"/>
        </w:rPr>
        <w:t xml:space="preserve">The tables below provide drive times from </w:t>
      </w:r>
      <w:r w:rsidR="007A52B8">
        <w:rPr>
          <w:rFonts w:ascii="Aptos" w:hAnsi="Aptos" w:cs="Times New Roman"/>
        </w:rPr>
        <w:t>BWH to MGH</w:t>
      </w:r>
      <w:r w:rsidR="009E0A56">
        <w:rPr>
          <w:rFonts w:ascii="Aptos" w:hAnsi="Aptos" w:cs="Times New Roman"/>
        </w:rPr>
        <w:t>.</w:t>
      </w:r>
      <w:r w:rsidRPr="00380DEF">
        <w:rPr>
          <w:rStyle w:val="FootnoteReference"/>
          <w:rFonts w:ascii="Aptos" w:hAnsi="Aptos" w:cs="Times New Roman"/>
        </w:rPr>
        <w:footnoteReference w:id="5"/>
      </w:r>
    </w:p>
    <w:tbl>
      <w:tblPr>
        <w:tblW w:w="10170" w:type="dxa"/>
        <w:tblInd w:w="-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70"/>
        <w:gridCol w:w="1260"/>
        <w:gridCol w:w="1710"/>
        <w:gridCol w:w="1710"/>
        <w:gridCol w:w="1710"/>
        <w:gridCol w:w="1710"/>
      </w:tblGrid>
      <w:tr w:rsidR="003355A1" w14:paraId="4BE4F61C" w14:textId="77777777" w:rsidTr="00B17E3B">
        <w:trPr>
          <w:trHeight w:val="556"/>
        </w:trPr>
        <w:tc>
          <w:tcPr>
            <w:tcW w:w="2070"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tcMar>
              <w:top w:w="0" w:type="dxa"/>
              <w:left w:w="108" w:type="dxa"/>
              <w:bottom w:w="0" w:type="dxa"/>
              <w:right w:w="108" w:type="dxa"/>
            </w:tcMar>
            <w:hideMark/>
          </w:tcPr>
          <w:p w14:paraId="2FBD6685" w14:textId="77777777" w:rsidR="003355A1" w:rsidRPr="00B17E3B" w:rsidRDefault="003355A1" w:rsidP="003355A1">
            <w:pPr>
              <w:rPr>
                <w:rFonts w:ascii="Aptos" w:hAnsi="Aptos"/>
                <w:b/>
                <w:bCs/>
                <w:sz w:val="20"/>
                <w:szCs w:val="20"/>
              </w:rPr>
            </w:pPr>
            <w:r w:rsidRPr="00B17E3B">
              <w:rPr>
                <w:rFonts w:ascii="Aptos" w:hAnsi="Aptos"/>
                <w:b/>
                <w:bCs/>
                <w:sz w:val="20"/>
                <w:szCs w:val="20"/>
              </w:rPr>
              <w:t>From BWH to MGH</w:t>
            </w:r>
          </w:p>
        </w:tc>
        <w:tc>
          <w:tcPr>
            <w:tcW w:w="1260" w:type="dxa"/>
            <w:tcBorders>
              <w:top w:val="single" w:sz="4" w:space="0" w:color="auto"/>
              <w:left w:val="single" w:sz="4" w:space="0" w:color="auto"/>
              <w:bottom w:val="single" w:sz="4" w:space="0" w:color="auto"/>
              <w:right w:val="single" w:sz="4" w:space="0" w:color="auto"/>
            </w:tcBorders>
            <w:shd w:val="clear" w:color="auto" w:fill="8EAADB" w:themeFill="accent1" w:themeFillTint="99"/>
            <w:tcMar>
              <w:top w:w="0" w:type="dxa"/>
              <w:left w:w="108" w:type="dxa"/>
              <w:bottom w:w="0" w:type="dxa"/>
              <w:right w:w="108" w:type="dxa"/>
            </w:tcMar>
            <w:hideMark/>
          </w:tcPr>
          <w:p w14:paraId="1012B6C4" w14:textId="77777777" w:rsidR="003355A1" w:rsidRPr="00B17E3B" w:rsidRDefault="003355A1" w:rsidP="003355A1">
            <w:pPr>
              <w:rPr>
                <w:rFonts w:ascii="Aptos" w:hAnsi="Aptos"/>
                <w:b/>
                <w:bCs/>
                <w:sz w:val="20"/>
                <w:szCs w:val="20"/>
              </w:rPr>
            </w:pPr>
            <w:r w:rsidRPr="00B17E3B">
              <w:rPr>
                <w:rFonts w:ascii="Aptos" w:hAnsi="Aptos"/>
                <w:b/>
                <w:bCs/>
                <w:sz w:val="20"/>
                <w:szCs w:val="20"/>
              </w:rPr>
              <w:t>Mileage</w:t>
            </w:r>
          </w:p>
        </w:tc>
        <w:tc>
          <w:tcPr>
            <w:tcW w:w="1710" w:type="dxa"/>
            <w:tcBorders>
              <w:top w:val="single" w:sz="4" w:space="0" w:color="auto"/>
              <w:left w:val="single" w:sz="4" w:space="0" w:color="auto"/>
              <w:bottom w:val="single" w:sz="4" w:space="0" w:color="auto"/>
              <w:right w:val="single" w:sz="4" w:space="0" w:color="auto"/>
            </w:tcBorders>
            <w:shd w:val="clear" w:color="auto" w:fill="8EAADB" w:themeFill="accent1" w:themeFillTint="99"/>
            <w:tcMar>
              <w:top w:w="0" w:type="dxa"/>
              <w:left w:w="108" w:type="dxa"/>
              <w:bottom w:w="0" w:type="dxa"/>
              <w:right w:w="108" w:type="dxa"/>
            </w:tcMar>
            <w:hideMark/>
          </w:tcPr>
          <w:p w14:paraId="38FA2464" w14:textId="77777777" w:rsidR="003355A1" w:rsidRPr="00B17E3B" w:rsidRDefault="003355A1" w:rsidP="003355A1">
            <w:pPr>
              <w:rPr>
                <w:rFonts w:ascii="Aptos" w:hAnsi="Aptos"/>
                <w:b/>
                <w:bCs/>
                <w:sz w:val="20"/>
                <w:szCs w:val="20"/>
              </w:rPr>
            </w:pPr>
            <w:r w:rsidRPr="00B17E3B">
              <w:rPr>
                <w:rFonts w:ascii="Aptos" w:hAnsi="Aptos"/>
                <w:b/>
                <w:bCs/>
                <w:sz w:val="20"/>
                <w:szCs w:val="20"/>
              </w:rPr>
              <w:t>Peak Travel Time (8am)</w:t>
            </w:r>
          </w:p>
        </w:tc>
        <w:tc>
          <w:tcPr>
            <w:tcW w:w="1710" w:type="dxa"/>
            <w:tcBorders>
              <w:top w:val="single" w:sz="4" w:space="0" w:color="auto"/>
              <w:left w:val="single" w:sz="4" w:space="0" w:color="auto"/>
              <w:bottom w:val="single" w:sz="4" w:space="0" w:color="auto"/>
              <w:right w:val="single" w:sz="4" w:space="0" w:color="auto"/>
            </w:tcBorders>
            <w:shd w:val="clear" w:color="auto" w:fill="8EAADB" w:themeFill="accent1" w:themeFillTint="99"/>
            <w:tcMar>
              <w:top w:w="0" w:type="dxa"/>
              <w:left w:w="108" w:type="dxa"/>
              <w:bottom w:w="0" w:type="dxa"/>
              <w:right w:w="108" w:type="dxa"/>
            </w:tcMar>
            <w:hideMark/>
          </w:tcPr>
          <w:p w14:paraId="6F52EA17" w14:textId="77777777" w:rsidR="003355A1" w:rsidRPr="00B17E3B" w:rsidRDefault="003355A1" w:rsidP="003355A1">
            <w:pPr>
              <w:rPr>
                <w:rFonts w:ascii="Aptos" w:hAnsi="Aptos"/>
                <w:b/>
                <w:bCs/>
                <w:sz w:val="20"/>
                <w:szCs w:val="20"/>
              </w:rPr>
            </w:pPr>
            <w:r w:rsidRPr="00B17E3B">
              <w:rPr>
                <w:rFonts w:ascii="Aptos" w:hAnsi="Aptos"/>
                <w:b/>
                <w:bCs/>
                <w:sz w:val="20"/>
                <w:szCs w:val="20"/>
              </w:rPr>
              <w:t>Peak Travel Time (5pm)</w:t>
            </w:r>
          </w:p>
        </w:tc>
        <w:tc>
          <w:tcPr>
            <w:tcW w:w="1710" w:type="dxa"/>
            <w:tcBorders>
              <w:top w:val="single" w:sz="4" w:space="0" w:color="auto"/>
              <w:left w:val="single" w:sz="4" w:space="0" w:color="auto"/>
              <w:bottom w:val="single" w:sz="4" w:space="0" w:color="auto"/>
              <w:right w:val="single" w:sz="4" w:space="0" w:color="auto"/>
            </w:tcBorders>
            <w:shd w:val="clear" w:color="auto" w:fill="8EAADB" w:themeFill="accent1" w:themeFillTint="99"/>
            <w:tcMar>
              <w:top w:w="0" w:type="dxa"/>
              <w:left w:w="108" w:type="dxa"/>
              <w:bottom w:w="0" w:type="dxa"/>
              <w:right w:w="108" w:type="dxa"/>
            </w:tcMar>
            <w:hideMark/>
          </w:tcPr>
          <w:p w14:paraId="5AEB656C" w14:textId="77777777" w:rsidR="003355A1" w:rsidRPr="00B17E3B" w:rsidRDefault="003355A1" w:rsidP="003355A1">
            <w:pPr>
              <w:rPr>
                <w:rFonts w:ascii="Aptos" w:hAnsi="Aptos"/>
                <w:b/>
                <w:bCs/>
                <w:sz w:val="20"/>
                <w:szCs w:val="20"/>
              </w:rPr>
            </w:pPr>
            <w:r w:rsidRPr="00B17E3B">
              <w:rPr>
                <w:rFonts w:ascii="Aptos" w:hAnsi="Aptos"/>
                <w:b/>
                <w:bCs/>
                <w:sz w:val="20"/>
                <w:szCs w:val="20"/>
              </w:rPr>
              <w:t>Non-Peak Travel Time (12pm)</w:t>
            </w:r>
          </w:p>
        </w:tc>
        <w:tc>
          <w:tcPr>
            <w:tcW w:w="1710" w:type="dxa"/>
            <w:tcBorders>
              <w:top w:val="single" w:sz="4" w:space="0" w:color="auto"/>
              <w:left w:val="single" w:sz="4" w:space="0" w:color="auto"/>
              <w:bottom w:val="single" w:sz="4" w:space="0" w:color="auto"/>
              <w:right w:val="single" w:sz="4" w:space="0" w:color="auto"/>
            </w:tcBorders>
            <w:shd w:val="clear" w:color="auto" w:fill="8EAADB" w:themeFill="accent1" w:themeFillTint="99"/>
            <w:tcMar>
              <w:top w:w="0" w:type="dxa"/>
              <w:left w:w="108" w:type="dxa"/>
              <w:bottom w:w="0" w:type="dxa"/>
              <w:right w:w="108" w:type="dxa"/>
            </w:tcMar>
            <w:hideMark/>
          </w:tcPr>
          <w:p w14:paraId="139EBDD3" w14:textId="77777777" w:rsidR="003355A1" w:rsidRPr="00B17E3B" w:rsidRDefault="003355A1" w:rsidP="003355A1">
            <w:pPr>
              <w:rPr>
                <w:rFonts w:ascii="Aptos" w:hAnsi="Aptos"/>
                <w:b/>
                <w:bCs/>
                <w:sz w:val="20"/>
                <w:szCs w:val="20"/>
              </w:rPr>
            </w:pPr>
            <w:r w:rsidRPr="00B17E3B">
              <w:rPr>
                <w:rFonts w:ascii="Aptos" w:hAnsi="Aptos"/>
                <w:b/>
                <w:bCs/>
                <w:sz w:val="20"/>
                <w:szCs w:val="20"/>
              </w:rPr>
              <w:t>Non-Peak Travel Time (8pm)</w:t>
            </w:r>
          </w:p>
        </w:tc>
      </w:tr>
      <w:tr w:rsidR="003355A1" w14:paraId="4BAD07F0" w14:textId="77777777" w:rsidTr="003355A1">
        <w:trPr>
          <w:trHeight w:val="556"/>
        </w:trPr>
        <w:tc>
          <w:tcPr>
            <w:tcW w:w="2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C25B54" w14:textId="77777777" w:rsidR="003355A1" w:rsidRPr="003355A1" w:rsidRDefault="003355A1">
            <w:pPr>
              <w:rPr>
                <w:rFonts w:ascii="Aptos" w:hAnsi="Aptos"/>
                <w:sz w:val="20"/>
                <w:szCs w:val="20"/>
              </w:rPr>
            </w:pPr>
            <w:r w:rsidRPr="003355A1">
              <w:rPr>
                <w:rFonts w:ascii="Aptos" w:hAnsi="Aptos"/>
                <w:sz w:val="20"/>
                <w:szCs w:val="20"/>
              </w:rPr>
              <w:t xml:space="preserve">From </w:t>
            </w:r>
          </w:p>
          <w:p w14:paraId="2036601D" w14:textId="77777777" w:rsidR="003355A1" w:rsidRPr="003355A1" w:rsidRDefault="003355A1">
            <w:pPr>
              <w:rPr>
                <w:rFonts w:ascii="Aptos" w:hAnsi="Aptos"/>
                <w:sz w:val="20"/>
                <w:szCs w:val="20"/>
              </w:rPr>
            </w:pPr>
            <w:r w:rsidRPr="003355A1">
              <w:rPr>
                <w:rFonts w:ascii="Aptos" w:hAnsi="Aptos"/>
                <w:sz w:val="20"/>
                <w:szCs w:val="20"/>
              </w:rPr>
              <w:t xml:space="preserve">75 Francis Street to </w:t>
            </w:r>
          </w:p>
          <w:p w14:paraId="6111EDA8" w14:textId="77777777" w:rsidR="003355A1" w:rsidRPr="003355A1" w:rsidRDefault="003355A1">
            <w:pPr>
              <w:rPr>
                <w:rFonts w:ascii="Aptos" w:hAnsi="Aptos"/>
                <w:sz w:val="20"/>
                <w:szCs w:val="20"/>
              </w:rPr>
            </w:pPr>
            <w:r w:rsidRPr="003355A1">
              <w:rPr>
                <w:rFonts w:ascii="Aptos" w:hAnsi="Aptos"/>
                <w:sz w:val="20"/>
                <w:szCs w:val="20"/>
              </w:rPr>
              <w:t>55 Fruit Street</w:t>
            </w:r>
          </w:p>
        </w:tc>
        <w:tc>
          <w:tcPr>
            <w:tcW w:w="1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D73DEC" w14:textId="77777777" w:rsidR="003355A1" w:rsidRPr="003355A1" w:rsidRDefault="003355A1">
            <w:pPr>
              <w:rPr>
                <w:rFonts w:ascii="Aptos" w:hAnsi="Aptos"/>
                <w:sz w:val="20"/>
                <w:szCs w:val="20"/>
              </w:rPr>
            </w:pPr>
            <w:r w:rsidRPr="003355A1">
              <w:rPr>
                <w:rFonts w:ascii="Aptos" w:hAnsi="Aptos"/>
                <w:sz w:val="20"/>
                <w:szCs w:val="20"/>
              </w:rPr>
              <w:t>3.2 miles</w:t>
            </w:r>
          </w:p>
        </w:tc>
        <w:tc>
          <w:tcPr>
            <w:tcW w:w="1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6F2BD2" w14:textId="77777777" w:rsidR="003355A1" w:rsidRPr="003355A1" w:rsidRDefault="003355A1">
            <w:pPr>
              <w:rPr>
                <w:rFonts w:ascii="Aptos" w:hAnsi="Aptos"/>
                <w:sz w:val="20"/>
                <w:szCs w:val="20"/>
              </w:rPr>
            </w:pPr>
            <w:r w:rsidRPr="003355A1">
              <w:rPr>
                <w:rFonts w:ascii="Aptos" w:hAnsi="Aptos"/>
                <w:sz w:val="20"/>
                <w:szCs w:val="20"/>
              </w:rPr>
              <w:t>12-26 minutes</w:t>
            </w:r>
          </w:p>
        </w:tc>
        <w:tc>
          <w:tcPr>
            <w:tcW w:w="1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F1141F" w14:textId="77777777" w:rsidR="003355A1" w:rsidRPr="003355A1" w:rsidRDefault="003355A1">
            <w:pPr>
              <w:rPr>
                <w:rFonts w:ascii="Aptos" w:hAnsi="Aptos"/>
                <w:sz w:val="20"/>
                <w:szCs w:val="20"/>
              </w:rPr>
            </w:pPr>
            <w:r w:rsidRPr="003355A1">
              <w:rPr>
                <w:rFonts w:ascii="Aptos" w:hAnsi="Aptos"/>
                <w:sz w:val="20"/>
                <w:szCs w:val="20"/>
              </w:rPr>
              <w:t>18-35 minutes</w:t>
            </w:r>
          </w:p>
        </w:tc>
        <w:tc>
          <w:tcPr>
            <w:tcW w:w="1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9DB443" w14:textId="77777777" w:rsidR="003355A1" w:rsidRPr="003355A1" w:rsidRDefault="003355A1">
            <w:pPr>
              <w:rPr>
                <w:rFonts w:ascii="Aptos" w:hAnsi="Aptos"/>
                <w:sz w:val="20"/>
                <w:szCs w:val="20"/>
              </w:rPr>
            </w:pPr>
            <w:r w:rsidRPr="003355A1">
              <w:rPr>
                <w:rFonts w:ascii="Aptos" w:hAnsi="Aptos"/>
                <w:sz w:val="20"/>
                <w:szCs w:val="20"/>
              </w:rPr>
              <w:t>12-24 minutes</w:t>
            </w:r>
          </w:p>
        </w:tc>
        <w:tc>
          <w:tcPr>
            <w:tcW w:w="1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1967B9" w14:textId="77777777" w:rsidR="003355A1" w:rsidRPr="003355A1" w:rsidRDefault="003355A1">
            <w:pPr>
              <w:rPr>
                <w:rFonts w:ascii="Aptos" w:hAnsi="Aptos"/>
                <w:sz w:val="20"/>
                <w:szCs w:val="20"/>
              </w:rPr>
            </w:pPr>
            <w:r w:rsidRPr="003355A1">
              <w:rPr>
                <w:rFonts w:ascii="Aptos" w:hAnsi="Aptos"/>
                <w:sz w:val="20"/>
                <w:szCs w:val="20"/>
              </w:rPr>
              <w:t>10-20 minutes</w:t>
            </w:r>
          </w:p>
        </w:tc>
      </w:tr>
    </w:tbl>
    <w:p w14:paraId="3A09ECEE" w14:textId="77777777" w:rsidR="0071267F" w:rsidRPr="002E1A21" w:rsidRDefault="0071267F" w:rsidP="004025D7">
      <w:pPr>
        <w:spacing w:after="120"/>
        <w:jc w:val="both"/>
        <w:rPr>
          <w:rFonts w:ascii="Aptos" w:hAnsi="Aptos" w:cs="Times New Roman"/>
          <w:sz w:val="20"/>
          <w:szCs w:val="20"/>
          <w:u w:val="single"/>
        </w:rPr>
      </w:pPr>
    </w:p>
    <w:p w14:paraId="0BCA7CAB" w14:textId="507472C3" w:rsidR="004A23DC" w:rsidRDefault="007252EA" w:rsidP="004A23DC">
      <w:pPr>
        <w:pStyle w:val="ListParagraph"/>
        <w:numPr>
          <w:ilvl w:val="0"/>
          <w:numId w:val="3"/>
        </w:numPr>
        <w:spacing w:after="120"/>
        <w:contextualSpacing w:val="0"/>
        <w:jc w:val="both"/>
        <w:rPr>
          <w:rFonts w:ascii="Aptos" w:hAnsi="Aptos" w:cs="Times New Roman"/>
          <w:b/>
          <w:bCs/>
        </w:rPr>
      </w:pPr>
      <w:r w:rsidRPr="002E1A21">
        <w:rPr>
          <w:rFonts w:ascii="Aptos" w:hAnsi="Aptos" w:cs="Times New Roman"/>
          <w:b/>
          <w:bCs/>
        </w:rPr>
        <w:t>An assessment of transportation needs post discontinuance and a plan for meeting those needs.</w:t>
      </w:r>
    </w:p>
    <w:p w14:paraId="6800E469" w14:textId="0C996BC9" w:rsidR="004A23DC" w:rsidRPr="004A23DC" w:rsidRDefault="00906E0F" w:rsidP="004A23DC">
      <w:pPr>
        <w:spacing w:after="120"/>
        <w:jc w:val="both"/>
        <w:rPr>
          <w:rFonts w:ascii="Aptos" w:hAnsi="Aptos" w:cs="Times New Roman"/>
        </w:rPr>
      </w:pPr>
      <w:r>
        <w:rPr>
          <w:rFonts w:ascii="Aptos" w:hAnsi="Aptos" w:cs="Times New Roman"/>
        </w:rPr>
        <w:t xml:space="preserve">Patients requiring care in the designated burn beds at BWH arrive either by ambulance or through self-presentation to the ED. Patients who arrive by ambulance are either transported through the EMS system or transferred from another facility.  If a patient presents to the BWH ED and requires admission to the MGH Burn ICU, the MGB Patient Transfer Access Center (PTAC) will direct that the patient be transferred to MGH and transported via ambulance. It is important to note that this is the same process that occurs today at MGH where the PTAC directs patients at other facilities to the MGH Burn Unit. </w:t>
      </w:r>
    </w:p>
    <w:p w14:paraId="4AE735AA" w14:textId="0194585F" w:rsidR="00341F09" w:rsidRPr="002E1A21" w:rsidRDefault="007252EA" w:rsidP="004025D7">
      <w:pPr>
        <w:pStyle w:val="ListParagraph"/>
        <w:numPr>
          <w:ilvl w:val="0"/>
          <w:numId w:val="3"/>
        </w:numPr>
        <w:spacing w:after="120"/>
        <w:contextualSpacing w:val="0"/>
        <w:jc w:val="both"/>
        <w:rPr>
          <w:rFonts w:ascii="Aptos" w:hAnsi="Aptos" w:cs="Times New Roman"/>
          <w:b/>
          <w:bCs/>
        </w:rPr>
      </w:pPr>
      <w:r w:rsidRPr="002E1A21">
        <w:rPr>
          <w:rFonts w:ascii="Aptos" w:hAnsi="Aptos" w:cs="Times New Roman"/>
          <w:b/>
          <w:bCs/>
        </w:rPr>
        <w:t>A protocol that details mechanisms to maintain continuity of care for current patients of the discontinued service</w:t>
      </w:r>
      <w:r w:rsidR="00D51705" w:rsidRPr="002E1A21">
        <w:rPr>
          <w:rFonts w:ascii="Aptos" w:hAnsi="Aptos" w:cs="Times New Roman"/>
          <w:b/>
          <w:bCs/>
        </w:rPr>
        <w:t>.</w:t>
      </w:r>
    </w:p>
    <w:p w14:paraId="3D2E5F70" w14:textId="031F9EC0" w:rsidR="00341F09" w:rsidRDefault="00906E0F" w:rsidP="004025D7">
      <w:pPr>
        <w:spacing w:after="120"/>
        <w:jc w:val="both"/>
        <w:rPr>
          <w:rFonts w:ascii="Aptos" w:hAnsi="Aptos" w:cs="Times New Roman"/>
        </w:rPr>
      </w:pPr>
      <w:r>
        <w:rPr>
          <w:rFonts w:ascii="Aptos" w:hAnsi="Aptos" w:cs="Times New Roman"/>
        </w:rPr>
        <w:t xml:space="preserve">Any patient that is a current admission to the BWH burn beds at the time of closure will be discharged to the appropriate level of care, including transfer to the MGH </w:t>
      </w:r>
      <w:r w:rsidR="00B17E3B">
        <w:rPr>
          <w:rFonts w:ascii="Aptos" w:hAnsi="Aptos" w:cs="Times New Roman"/>
        </w:rPr>
        <w:t>b</w:t>
      </w:r>
      <w:r>
        <w:rPr>
          <w:rFonts w:ascii="Aptos" w:hAnsi="Aptos" w:cs="Times New Roman"/>
        </w:rPr>
        <w:t xml:space="preserve">urn </w:t>
      </w:r>
      <w:r w:rsidR="00B17E3B">
        <w:rPr>
          <w:rFonts w:ascii="Aptos" w:hAnsi="Aptos" w:cs="Times New Roman"/>
        </w:rPr>
        <w:t>s</w:t>
      </w:r>
      <w:r>
        <w:rPr>
          <w:rFonts w:ascii="Aptos" w:hAnsi="Aptos" w:cs="Times New Roman"/>
        </w:rPr>
        <w:t xml:space="preserve">ervice. </w:t>
      </w:r>
      <w:r w:rsidR="003355A1">
        <w:rPr>
          <w:rFonts w:ascii="Aptos" w:hAnsi="Aptos" w:cs="Times New Roman"/>
        </w:rPr>
        <w:t xml:space="preserve">Discharge planning will occur in advance of the BWH closure and will include the patient, family and caregivers. Following the closure, the same physicians that currently care for patients at BWH will be part of the MGH </w:t>
      </w:r>
      <w:r w:rsidR="00B17E3B">
        <w:rPr>
          <w:rFonts w:ascii="Aptos" w:hAnsi="Aptos" w:cs="Times New Roman"/>
        </w:rPr>
        <w:t>b</w:t>
      </w:r>
      <w:r w:rsidR="003355A1">
        <w:rPr>
          <w:rFonts w:ascii="Aptos" w:hAnsi="Aptos" w:cs="Times New Roman"/>
        </w:rPr>
        <w:t xml:space="preserve">urn </w:t>
      </w:r>
      <w:r w:rsidR="00B17E3B">
        <w:rPr>
          <w:rFonts w:ascii="Aptos" w:hAnsi="Aptos" w:cs="Times New Roman"/>
        </w:rPr>
        <w:t>s</w:t>
      </w:r>
      <w:r w:rsidR="003355A1">
        <w:rPr>
          <w:rFonts w:ascii="Aptos" w:hAnsi="Aptos" w:cs="Times New Roman"/>
        </w:rPr>
        <w:t>ervice staff, which will allow for continuity of provider.</w:t>
      </w:r>
    </w:p>
    <w:p w14:paraId="5BCA97FF" w14:textId="77777777" w:rsidR="00D51705" w:rsidRPr="00125521" w:rsidRDefault="00D51705" w:rsidP="004025D7">
      <w:pPr>
        <w:pStyle w:val="ListParagraph"/>
        <w:numPr>
          <w:ilvl w:val="0"/>
          <w:numId w:val="3"/>
        </w:numPr>
        <w:spacing w:after="120"/>
        <w:contextualSpacing w:val="0"/>
        <w:jc w:val="both"/>
        <w:rPr>
          <w:rFonts w:ascii="Aptos" w:hAnsi="Aptos" w:cs="Times New Roman"/>
          <w:b/>
          <w:bCs/>
        </w:rPr>
      </w:pPr>
      <w:r w:rsidRPr="00125521">
        <w:rPr>
          <w:rFonts w:ascii="Aptos" w:hAnsi="Aptos" w:cs="Times New Roman"/>
          <w:b/>
          <w:bCs/>
        </w:rPr>
        <w:t>A protocol that describes how patients in the Hospital’s service area will access the services at alternative delivery sites. The protocol should specifically address the following:</w:t>
      </w:r>
    </w:p>
    <w:p w14:paraId="5D77DA6A" w14:textId="781F7A11" w:rsidR="00816D81" w:rsidRPr="003355A1" w:rsidRDefault="00D51705" w:rsidP="004025D7">
      <w:pPr>
        <w:pStyle w:val="ListParagraph"/>
        <w:numPr>
          <w:ilvl w:val="0"/>
          <w:numId w:val="7"/>
        </w:numPr>
        <w:spacing w:after="120"/>
        <w:contextualSpacing w:val="0"/>
        <w:jc w:val="both"/>
        <w:rPr>
          <w:rFonts w:ascii="Aptos" w:hAnsi="Aptos" w:cs="Times New Roman"/>
        </w:rPr>
      </w:pPr>
      <w:r w:rsidRPr="00125521">
        <w:rPr>
          <w:rFonts w:ascii="Aptos" w:hAnsi="Aptos" w:cs="Times New Roman"/>
          <w:b/>
          <w:bCs/>
        </w:rPr>
        <w:t>The process that will be employed to effectively refer patients to other facilities or providers;</w:t>
      </w:r>
    </w:p>
    <w:p w14:paraId="077AB3F6" w14:textId="2F1A38DF" w:rsidR="003355A1" w:rsidRDefault="00065FBE" w:rsidP="003355A1">
      <w:pPr>
        <w:spacing w:after="120"/>
        <w:jc w:val="both"/>
        <w:rPr>
          <w:rFonts w:ascii="Aptos" w:hAnsi="Aptos" w:cs="Times New Roman"/>
        </w:rPr>
      </w:pPr>
      <w:r>
        <w:rPr>
          <w:rFonts w:ascii="Aptos" w:hAnsi="Aptos" w:cs="Times New Roman"/>
        </w:rPr>
        <w:t xml:space="preserve">Patients in the BWH service area will access the MGH Burn Service either through the EMS system or as a transfer to MGH from another hospital. </w:t>
      </w:r>
      <w:r w:rsidR="00394BCA">
        <w:rPr>
          <w:rFonts w:ascii="Aptos" w:hAnsi="Aptos" w:cs="Times New Roman"/>
        </w:rPr>
        <w:t>As it</w:t>
      </w:r>
      <w:r>
        <w:rPr>
          <w:rFonts w:ascii="Aptos" w:hAnsi="Aptos" w:cs="Times New Roman"/>
        </w:rPr>
        <w:t xml:space="preserve"> currently occurs and will </w:t>
      </w:r>
      <w:r w:rsidR="00394BCA">
        <w:rPr>
          <w:rFonts w:ascii="Aptos" w:hAnsi="Aptos" w:cs="Times New Roman"/>
        </w:rPr>
        <w:t xml:space="preserve">continue </w:t>
      </w:r>
      <w:r>
        <w:rPr>
          <w:rFonts w:ascii="Aptos" w:hAnsi="Aptos" w:cs="Times New Roman"/>
        </w:rPr>
        <w:t xml:space="preserve">following the </w:t>
      </w:r>
      <w:r>
        <w:rPr>
          <w:rFonts w:ascii="Aptos" w:hAnsi="Aptos" w:cs="Times New Roman"/>
        </w:rPr>
        <w:lastRenderedPageBreak/>
        <w:t xml:space="preserve">closure of the BWH beds, the MGB PTAC will direct and facilitate the transfer of patients from other facilities </w:t>
      </w:r>
      <w:r w:rsidR="00B17E3B">
        <w:rPr>
          <w:rFonts w:ascii="Aptos" w:hAnsi="Aptos" w:cs="Times New Roman"/>
        </w:rPr>
        <w:t xml:space="preserve">who </w:t>
      </w:r>
      <w:r>
        <w:rPr>
          <w:rFonts w:ascii="Aptos" w:hAnsi="Aptos" w:cs="Times New Roman"/>
        </w:rPr>
        <w:t xml:space="preserve">need to be admitted to MGH’s </w:t>
      </w:r>
      <w:r w:rsidR="00AC1D6A">
        <w:rPr>
          <w:rFonts w:ascii="Aptos" w:hAnsi="Aptos" w:cs="Times New Roman"/>
        </w:rPr>
        <w:t>burn service</w:t>
      </w:r>
      <w:r>
        <w:rPr>
          <w:rFonts w:ascii="Aptos" w:hAnsi="Aptos" w:cs="Times New Roman"/>
        </w:rPr>
        <w:t xml:space="preserve">. </w:t>
      </w:r>
    </w:p>
    <w:p w14:paraId="20BBACFB" w14:textId="37A04F68" w:rsidR="00816D81" w:rsidRPr="004025D7" w:rsidRDefault="00816D81" w:rsidP="004025D7">
      <w:pPr>
        <w:pStyle w:val="ListParagraph"/>
        <w:numPr>
          <w:ilvl w:val="0"/>
          <w:numId w:val="7"/>
        </w:numPr>
        <w:spacing w:after="120"/>
        <w:contextualSpacing w:val="0"/>
        <w:jc w:val="both"/>
        <w:rPr>
          <w:rFonts w:ascii="Aptos" w:hAnsi="Aptos" w:cs="Times New Roman"/>
          <w:b/>
          <w:bCs/>
        </w:rPr>
      </w:pPr>
      <w:r w:rsidRPr="00125521">
        <w:rPr>
          <w:rFonts w:ascii="Aptos" w:hAnsi="Aptos" w:cs="Times New Roman"/>
          <w:b/>
          <w:bCs/>
        </w:rPr>
        <w:t>The impact that this may have on the current occupancy rates at alternative delivery sites;</w:t>
      </w:r>
    </w:p>
    <w:p w14:paraId="0D5AB643" w14:textId="1EFAD112" w:rsidR="00816D81" w:rsidRPr="004025D7" w:rsidRDefault="00065FBE" w:rsidP="004025D7">
      <w:pPr>
        <w:spacing w:after="120"/>
        <w:jc w:val="both"/>
        <w:rPr>
          <w:rFonts w:ascii="Aptos" w:hAnsi="Aptos" w:cs="Times New Roman"/>
        </w:rPr>
      </w:pPr>
      <w:r>
        <w:rPr>
          <w:rFonts w:ascii="Aptos" w:hAnsi="Aptos" w:cs="Times New Roman"/>
        </w:rPr>
        <w:t xml:space="preserve">The MGH Burn ICU has an average daily census of 0.92 patients in 10 beds. Accordingly, MGH has capacity to care for the BWH average daily census of 0.89 burn ICU patients. </w:t>
      </w:r>
    </w:p>
    <w:p w14:paraId="138EF605" w14:textId="7FC255A7" w:rsidR="006D0D23" w:rsidRPr="004025D7" w:rsidRDefault="00816D81" w:rsidP="004025D7">
      <w:pPr>
        <w:pStyle w:val="ListParagraph"/>
        <w:numPr>
          <w:ilvl w:val="0"/>
          <w:numId w:val="7"/>
        </w:numPr>
        <w:spacing w:after="120"/>
        <w:contextualSpacing w:val="0"/>
        <w:jc w:val="both"/>
        <w:rPr>
          <w:rFonts w:ascii="Aptos" w:hAnsi="Aptos" w:cs="Times New Roman"/>
          <w:b/>
          <w:bCs/>
        </w:rPr>
      </w:pPr>
      <w:r w:rsidRPr="00125521">
        <w:rPr>
          <w:rFonts w:ascii="Aptos" w:hAnsi="Aptos" w:cs="Times New Roman"/>
          <w:b/>
          <w:bCs/>
        </w:rPr>
        <w:t>The ability of the alternative delivery sites to meet the needs of these patients; and</w:t>
      </w:r>
    </w:p>
    <w:p w14:paraId="21DC209B" w14:textId="1A750459" w:rsidR="00E01ACF" w:rsidRDefault="00394BCA" w:rsidP="00E01ACF">
      <w:pPr>
        <w:spacing w:after="120"/>
        <w:jc w:val="both"/>
        <w:rPr>
          <w:rFonts w:ascii="Aptos" w:hAnsi="Aptos" w:cs="Times New Roman"/>
        </w:rPr>
      </w:pPr>
      <w:r w:rsidRPr="00B51CC4">
        <w:rPr>
          <w:rFonts w:ascii="Aptos" w:hAnsi="Aptos" w:cs="Times New Roman"/>
        </w:rPr>
        <w:t xml:space="preserve">As discussed </w:t>
      </w:r>
      <w:r w:rsidR="00B37A05">
        <w:rPr>
          <w:rFonts w:ascii="Aptos" w:hAnsi="Aptos" w:cs="Times New Roman"/>
        </w:rPr>
        <w:t>throughout these</w:t>
      </w:r>
      <w:r w:rsidRPr="00B51CC4">
        <w:rPr>
          <w:rFonts w:ascii="Aptos" w:hAnsi="Aptos" w:cs="Times New Roman"/>
        </w:rPr>
        <w:t xml:space="preserve"> responses</w:t>
      </w:r>
      <w:r>
        <w:rPr>
          <w:rFonts w:ascii="Aptos" w:hAnsi="Aptos" w:cs="Times New Roman"/>
        </w:rPr>
        <w:t xml:space="preserve">, the current MGH Burn Service has the same capability as BWH to care for patients who historically have received inpatient burn care at BWH. </w:t>
      </w:r>
      <w:r w:rsidR="00A54433">
        <w:rPr>
          <w:rFonts w:ascii="Aptos" w:hAnsi="Aptos" w:cs="Times New Roman"/>
        </w:rPr>
        <w:t xml:space="preserve">Burn care is a highly </w:t>
      </w:r>
      <w:r w:rsidR="00E01ACF">
        <w:rPr>
          <w:rFonts w:ascii="Aptos" w:hAnsi="Aptos" w:cs="Times New Roman"/>
        </w:rPr>
        <w:t>specialized</w:t>
      </w:r>
      <w:r w:rsidR="00A54433">
        <w:rPr>
          <w:rFonts w:ascii="Aptos" w:hAnsi="Aptos" w:cs="Times New Roman"/>
        </w:rPr>
        <w:t xml:space="preserve"> service with declining case volumes </w:t>
      </w:r>
      <w:r>
        <w:rPr>
          <w:rFonts w:ascii="Aptos" w:hAnsi="Aptos" w:cs="Times New Roman"/>
        </w:rPr>
        <w:t>at BWH and MGH. National</w:t>
      </w:r>
      <w:r w:rsidR="00A54433">
        <w:rPr>
          <w:rFonts w:ascii="Aptos" w:hAnsi="Aptos" w:cs="Times New Roman"/>
        </w:rPr>
        <w:t xml:space="preserve"> certification st</w:t>
      </w:r>
      <w:r w:rsidR="00E01ACF">
        <w:rPr>
          <w:rFonts w:ascii="Aptos" w:hAnsi="Aptos" w:cs="Times New Roman"/>
        </w:rPr>
        <w:t xml:space="preserve">andards </w:t>
      </w:r>
      <w:r>
        <w:rPr>
          <w:rFonts w:ascii="Aptos" w:hAnsi="Aptos" w:cs="Times New Roman"/>
        </w:rPr>
        <w:t>favor the planned</w:t>
      </w:r>
      <w:r w:rsidR="00E01ACF">
        <w:rPr>
          <w:rFonts w:ascii="Aptos" w:hAnsi="Aptos" w:cs="Times New Roman"/>
        </w:rPr>
        <w:t xml:space="preserve"> consolidation </w:t>
      </w:r>
      <w:r w:rsidR="00B17E3B">
        <w:rPr>
          <w:rFonts w:ascii="Aptos" w:hAnsi="Aptos" w:cs="Times New Roman"/>
        </w:rPr>
        <w:t xml:space="preserve">of burn services to MGH </w:t>
      </w:r>
      <w:r w:rsidR="00E01ACF">
        <w:rPr>
          <w:rFonts w:ascii="Aptos" w:hAnsi="Aptos" w:cs="Times New Roman"/>
        </w:rPr>
        <w:t xml:space="preserve">to ensure that providers </w:t>
      </w:r>
      <w:r>
        <w:rPr>
          <w:rFonts w:ascii="Aptos" w:hAnsi="Aptos" w:cs="Times New Roman"/>
        </w:rPr>
        <w:t xml:space="preserve">care for </w:t>
      </w:r>
      <w:r w:rsidR="00E01ACF">
        <w:rPr>
          <w:rFonts w:ascii="Aptos" w:hAnsi="Aptos" w:cs="Times New Roman"/>
        </w:rPr>
        <w:t xml:space="preserve">sufficient volume to maintain competency. By consolidating care at </w:t>
      </w:r>
      <w:r w:rsidR="00E01ACF" w:rsidRPr="00A54433">
        <w:rPr>
          <w:rFonts w:ascii="Aptos" w:hAnsi="Aptos" w:cs="Times New Roman"/>
        </w:rPr>
        <w:t xml:space="preserve">Mass General Brigham’s Sumner M. Redstone Burn Center </w:t>
      </w:r>
      <w:r w:rsidR="00E01ACF">
        <w:rPr>
          <w:rFonts w:ascii="Aptos" w:hAnsi="Aptos" w:cs="Times New Roman"/>
        </w:rPr>
        <w:t xml:space="preserve">at MGH, MGB </w:t>
      </w:r>
      <w:r w:rsidR="00B17E3B">
        <w:rPr>
          <w:rFonts w:ascii="Aptos" w:hAnsi="Aptos" w:cs="Times New Roman"/>
        </w:rPr>
        <w:t>will</w:t>
      </w:r>
      <w:r w:rsidR="00E01ACF">
        <w:rPr>
          <w:rFonts w:ascii="Aptos" w:hAnsi="Aptos" w:cs="Times New Roman"/>
        </w:rPr>
        <w:t xml:space="preserve"> strengthen its burn care to elevate the quality, safety and continuity of care for patients.  </w:t>
      </w:r>
    </w:p>
    <w:p w14:paraId="4D32C3C3" w14:textId="0663D31F" w:rsidR="00816D81" w:rsidRPr="00E01ACF" w:rsidRDefault="00816D81" w:rsidP="00E01ACF">
      <w:pPr>
        <w:pStyle w:val="ListParagraph"/>
        <w:numPr>
          <w:ilvl w:val="0"/>
          <w:numId w:val="7"/>
        </w:numPr>
        <w:spacing w:after="120"/>
        <w:jc w:val="both"/>
        <w:rPr>
          <w:rFonts w:ascii="Aptos" w:hAnsi="Aptos" w:cs="Times New Roman"/>
        </w:rPr>
      </w:pPr>
      <w:r w:rsidRPr="00E01ACF">
        <w:rPr>
          <w:rFonts w:ascii="Aptos" w:hAnsi="Aptos" w:cs="Times New Roman"/>
          <w:b/>
          <w:bCs/>
        </w:rPr>
        <w:t>Other alternatives if medical needs cannot be accommodated at the proposed alternative sites.</w:t>
      </w:r>
    </w:p>
    <w:p w14:paraId="2F8CDD18" w14:textId="43482519" w:rsidR="00765109" w:rsidRDefault="00394BCA" w:rsidP="004025D7">
      <w:pPr>
        <w:spacing w:after="120"/>
        <w:jc w:val="both"/>
        <w:rPr>
          <w:rFonts w:ascii="Aptos" w:hAnsi="Aptos" w:cs="Times New Roman"/>
        </w:rPr>
      </w:pPr>
      <w:r>
        <w:rPr>
          <w:rFonts w:ascii="Aptos" w:hAnsi="Aptos" w:cs="Times New Roman"/>
        </w:rPr>
        <w:t>As previously noted in 6(b), there is significant available capacity at MGH to care for the 0.89 patients on average cared in the BWH ICU</w:t>
      </w:r>
      <w:r w:rsidR="00AC1D6A">
        <w:rPr>
          <w:rFonts w:ascii="Aptos" w:hAnsi="Aptos" w:cs="Times New Roman"/>
        </w:rPr>
        <w:t>. In addition, MGH has capacity in its 73 burn capable medical surgical beds for the 0.92 average daily census of burn patients in medical/surgical beds at BWH</w:t>
      </w:r>
      <w:r>
        <w:rPr>
          <w:rFonts w:ascii="Aptos" w:hAnsi="Aptos" w:cs="Times New Roman"/>
        </w:rPr>
        <w:t>.  Please refer to 2(e) for a detailed summary of how patients will be accommodated in the even</w:t>
      </w:r>
      <w:r w:rsidR="00B37A05">
        <w:rPr>
          <w:rFonts w:ascii="Aptos" w:hAnsi="Aptos" w:cs="Times New Roman"/>
        </w:rPr>
        <w:t>t</w:t>
      </w:r>
      <w:r>
        <w:rPr>
          <w:rFonts w:ascii="Aptos" w:hAnsi="Aptos" w:cs="Times New Roman"/>
        </w:rPr>
        <w:t xml:space="preserve"> of an emergency surge. </w:t>
      </w:r>
    </w:p>
    <w:p w14:paraId="4A0A9F9C" w14:textId="77777777" w:rsidR="00D51705" w:rsidRDefault="00D51705" w:rsidP="00D51705">
      <w:pPr>
        <w:jc w:val="both"/>
        <w:rPr>
          <w:rFonts w:ascii="Aptos" w:hAnsi="Aptos" w:cs="Times New Roman"/>
        </w:rPr>
      </w:pPr>
    </w:p>
    <w:p w14:paraId="6F0CC230" w14:textId="08F93498" w:rsidR="00540832" w:rsidRDefault="00540832" w:rsidP="00D51705">
      <w:pPr>
        <w:jc w:val="both"/>
        <w:rPr>
          <w:rFonts w:ascii="Aptos" w:hAnsi="Aptos" w:cs="Times New Roman"/>
          <w:b/>
          <w:bCs/>
        </w:rPr>
      </w:pPr>
      <w:r>
        <w:rPr>
          <w:rFonts w:ascii="Aptos" w:hAnsi="Aptos" w:cs="Times New Roman"/>
          <w:b/>
          <w:bCs/>
        </w:rPr>
        <w:t>Additional Questions</w:t>
      </w:r>
    </w:p>
    <w:p w14:paraId="4130A082" w14:textId="1237F2E1" w:rsidR="00B37A05" w:rsidRDefault="00540832" w:rsidP="00B37A05">
      <w:pPr>
        <w:pStyle w:val="ListParagraph"/>
        <w:numPr>
          <w:ilvl w:val="1"/>
          <w:numId w:val="19"/>
        </w:numPr>
        <w:jc w:val="both"/>
        <w:rPr>
          <w:rFonts w:ascii="Aptos" w:hAnsi="Aptos" w:cs="Times New Roman"/>
          <w:b/>
          <w:bCs/>
        </w:rPr>
      </w:pPr>
      <w:r>
        <w:rPr>
          <w:rFonts w:ascii="Aptos" w:hAnsi="Aptos" w:cs="Times New Roman"/>
          <w:b/>
          <w:bCs/>
        </w:rPr>
        <w:t>Competency of Staff</w:t>
      </w:r>
      <w:r w:rsidR="00394BCA">
        <w:rPr>
          <w:rFonts w:ascii="Aptos" w:hAnsi="Aptos" w:cs="Times New Roman"/>
          <w:b/>
          <w:bCs/>
        </w:rPr>
        <w:t xml:space="preserve">: </w:t>
      </w:r>
      <w:r w:rsidR="00394BCA" w:rsidRPr="00394BCA">
        <w:rPr>
          <w:rFonts w:ascii="Aptos" w:hAnsi="Aptos" w:cs="Times New Roman"/>
          <w:b/>
          <w:bCs/>
        </w:rPr>
        <w:t>During testimony presented at the virtual hearing on January 20, 2026, commenters expressed concern regarding the loss of a specially trained staff that was built over time and cannot be quickly recreated once the service has been closed. The plan which you are required to submit must address how the Hospital inten</w:t>
      </w:r>
      <w:r w:rsidR="00B37A05">
        <w:rPr>
          <w:rFonts w:ascii="Aptos" w:hAnsi="Aptos" w:cs="Times New Roman"/>
          <w:b/>
          <w:bCs/>
        </w:rPr>
        <w:t>d</w:t>
      </w:r>
      <w:r w:rsidR="00394BCA" w:rsidRPr="00394BCA">
        <w:rPr>
          <w:rFonts w:ascii="Aptos" w:hAnsi="Aptos" w:cs="Times New Roman"/>
          <w:b/>
          <w:bCs/>
        </w:rPr>
        <w:t xml:space="preserve">s to maintain staff competency once the burn unit has closed. </w:t>
      </w:r>
    </w:p>
    <w:p w14:paraId="0F69AFF1" w14:textId="77777777" w:rsidR="00B37A05" w:rsidRDefault="00B37A05" w:rsidP="00C0109F">
      <w:pPr>
        <w:jc w:val="both"/>
        <w:rPr>
          <w:rFonts w:ascii="Aptos" w:hAnsi="Aptos" w:cs="Times New Roman"/>
        </w:rPr>
      </w:pPr>
    </w:p>
    <w:p w14:paraId="4A8BCA5D" w14:textId="1912ED82" w:rsidR="00B37A05" w:rsidRPr="00B17E3B" w:rsidRDefault="00B37A05" w:rsidP="00B37A05">
      <w:pPr>
        <w:spacing w:after="120"/>
        <w:jc w:val="both"/>
        <w:rPr>
          <w:rFonts w:ascii="Aptos" w:hAnsi="Aptos" w:cs="Times New Roman"/>
        </w:rPr>
      </w:pPr>
      <w:r w:rsidRPr="00B17E3B">
        <w:rPr>
          <w:rFonts w:ascii="Aptos" w:hAnsi="Aptos" w:cs="Times New Roman"/>
        </w:rPr>
        <w:t xml:space="preserve">It is important to recognize that the MGH </w:t>
      </w:r>
      <w:r w:rsidR="00B17E3B" w:rsidRPr="00B17E3B">
        <w:rPr>
          <w:rFonts w:ascii="Aptos" w:hAnsi="Aptos" w:cs="Times New Roman"/>
        </w:rPr>
        <w:t>b</w:t>
      </w:r>
      <w:r w:rsidRPr="00B17E3B">
        <w:rPr>
          <w:rFonts w:ascii="Aptos" w:hAnsi="Aptos" w:cs="Times New Roman"/>
        </w:rPr>
        <w:t xml:space="preserve">urn </w:t>
      </w:r>
      <w:r w:rsidR="00B17E3B" w:rsidRPr="00B17E3B">
        <w:rPr>
          <w:rFonts w:ascii="Aptos" w:hAnsi="Aptos" w:cs="Times New Roman"/>
        </w:rPr>
        <w:t>s</w:t>
      </w:r>
      <w:r w:rsidRPr="00B17E3B">
        <w:rPr>
          <w:rFonts w:ascii="Aptos" w:hAnsi="Aptos" w:cs="Times New Roman"/>
        </w:rPr>
        <w:t>ervice is staffed by highly specialized trained caregivers. Staff competency and experience do not differ between MGH and BWH’s burn services. The MGH burn service is staffed by a multidisciplinary team of highly trained surgeons, intensivists, advanced practice providers and nurses. </w:t>
      </w:r>
      <w:r w:rsidRPr="00B17E3B">
        <w:rPr>
          <w:rFonts w:ascii="Aptos" w:hAnsi="Aptos"/>
          <w:kern w:val="24"/>
        </w:rPr>
        <w:t xml:space="preserve">Maintaining sufficient case volume at a single site </w:t>
      </w:r>
      <w:r w:rsidR="00B17E3B">
        <w:rPr>
          <w:rFonts w:ascii="Aptos" w:hAnsi="Aptos"/>
          <w:kern w:val="24"/>
        </w:rPr>
        <w:t xml:space="preserve">through consolidation </w:t>
      </w:r>
      <w:r w:rsidRPr="00B17E3B">
        <w:rPr>
          <w:rFonts w:ascii="Aptos" w:hAnsi="Aptos"/>
          <w:kern w:val="24"/>
        </w:rPr>
        <w:t xml:space="preserve">supports clinical excellence, preserves high-acuity skills required for national burn certification, and enables consistent application of best-practice standards across all patients. By unifying services under one sustainable model, MGB can continue advancing burn care, investing in </w:t>
      </w:r>
      <w:r w:rsidRPr="00B17E3B">
        <w:rPr>
          <w:rFonts w:ascii="Aptos" w:hAnsi="Aptos"/>
          <w:kern w:val="24"/>
        </w:rPr>
        <w:lastRenderedPageBreak/>
        <w:t>specialized staff, and supporting ongoing research and clinical excellence, ultimately benefiting patients across the region for decades to come.</w:t>
      </w:r>
    </w:p>
    <w:p w14:paraId="69E12624" w14:textId="2C8D4A47" w:rsidR="00540832" w:rsidRPr="00394BCA" w:rsidRDefault="00540832" w:rsidP="00394BCA">
      <w:pPr>
        <w:ind w:left="1080"/>
        <w:jc w:val="both"/>
        <w:rPr>
          <w:rFonts w:ascii="Aptos" w:hAnsi="Aptos" w:cs="Times New Roman"/>
          <w:b/>
          <w:bCs/>
        </w:rPr>
      </w:pPr>
    </w:p>
    <w:p w14:paraId="2F55AB03" w14:textId="6F0EFA07" w:rsidR="00394BCA" w:rsidRPr="00394BCA" w:rsidRDefault="00540832" w:rsidP="00394BCA">
      <w:pPr>
        <w:pStyle w:val="ListParagraph"/>
        <w:numPr>
          <w:ilvl w:val="1"/>
          <w:numId w:val="19"/>
        </w:numPr>
        <w:jc w:val="both"/>
        <w:rPr>
          <w:rFonts w:ascii="Aptos" w:hAnsi="Aptos" w:cs="Times New Roman"/>
          <w:b/>
          <w:bCs/>
        </w:rPr>
      </w:pPr>
      <w:r>
        <w:rPr>
          <w:rFonts w:ascii="Aptos" w:hAnsi="Aptos" w:cs="Times New Roman"/>
          <w:b/>
          <w:bCs/>
        </w:rPr>
        <w:t>Burn Surge Capacity</w:t>
      </w:r>
      <w:r w:rsidR="00394BCA">
        <w:rPr>
          <w:rFonts w:ascii="Aptos" w:hAnsi="Aptos" w:cs="Times New Roman"/>
          <w:b/>
          <w:bCs/>
        </w:rPr>
        <w:t xml:space="preserve">: </w:t>
      </w:r>
      <w:r w:rsidR="00394BCA" w:rsidRPr="00394BCA">
        <w:rPr>
          <w:rFonts w:ascii="Aptos" w:hAnsi="Aptos" w:cs="Times New Roman"/>
          <w:b/>
          <w:bCs/>
        </w:rPr>
        <w:t xml:space="preserve">During testimony presented at the virtual hearing on January 20, 2026, commenters expressed concern regarding the effect the Hospital closing its inpatient burn service will have on burn coverage in the event MGH reaches capacity during an emergency. The plan which you are required to submit must address the role Brigham and Women’s Hospital will play in such an emergency where the number of burn victims is great and MGH has reached capacity. </w:t>
      </w:r>
    </w:p>
    <w:p w14:paraId="36586E93" w14:textId="048E6916" w:rsidR="00540832" w:rsidRDefault="00540832" w:rsidP="00394BCA">
      <w:pPr>
        <w:jc w:val="both"/>
        <w:rPr>
          <w:rFonts w:ascii="Aptos" w:hAnsi="Aptos" w:cs="Times New Roman"/>
        </w:rPr>
      </w:pPr>
    </w:p>
    <w:p w14:paraId="5CBAA385" w14:textId="5B48E949" w:rsidR="00AC1D6A" w:rsidRPr="00B17E3B" w:rsidRDefault="00AC1D6A" w:rsidP="00AC1D6A">
      <w:pPr>
        <w:pStyle w:val="xmsonormal"/>
        <w:shd w:val="clear" w:color="auto" w:fill="FFFFFF"/>
        <w:jc w:val="both"/>
        <w:rPr>
          <w:sz w:val="22"/>
          <w:szCs w:val="22"/>
        </w:rPr>
      </w:pPr>
      <w:r w:rsidRPr="00B17E3B">
        <w:rPr>
          <w:rFonts w:cs="Arial"/>
          <w:sz w:val="22"/>
          <w:szCs w:val="22"/>
        </w:rPr>
        <w:t xml:space="preserve">MGH </w:t>
      </w:r>
      <w:r>
        <w:rPr>
          <w:rFonts w:cs="Arial"/>
          <w:sz w:val="22"/>
          <w:szCs w:val="22"/>
        </w:rPr>
        <w:t>and BWH are</w:t>
      </w:r>
      <w:r w:rsidRPr="00B17E3B">
        <w:rPr>
          <w:rFonts w:cs="Arial"/>
          <w:sz w:val="22"/>
          <w:szCs w:val="22"/>
        </w:rPr>
        <w:t xml:space="preserve"> member</w:t>
      </w:r>
      <w:r>
        <w:rPr>
          <w:rFonts w:cs="Arial"/>
          <w:sz w:val="22"/>
          <w:szCs w:val="22"/>
        </w:rPr>
        <w:t>s</w:t>
      </w:r>
      <w:r w:rsidRPr="00B17E3B">
        <w:rPr>
          <w:rFonts w:cs="Arial"/>
          <w:sz w:val="22"/>
          <w:szCs w:val="22"/>
        </w:rPr>
        <w:t xml:space="preserve"> of the Mass General Brigham (MGB) healthcare system.  MGB manages its inpatient beds utilizing an integrated Patient Transfer Access Center (PTAC). Through the PTAC, MGB has the ability to shift patient care delivery operations to balance clinical demands and access to resources, such as the specialized burn care expertise and resources available at MGH.  In the event of a burn surge event, the PTAC is able to redirect non-burn admissions and patient transfers that would have come to MGH otherwise to receive care at other hospitals in the MGB system</w:t>
      </w:r>
      <w:r>
        <w:rPr>
          <w:rFonts w:cs="Arial"/>
          <w:sz w:val="22"/>
          <w:szCs w:val="22"/>
        </w:rPr>
        <w:t>, including to BWH</w:t>
      </w:r>
      <w:r w:rsidRPr="00B17E3B">
        <w:rPr>
          <w:rFonts w:cs="Arial"/>
          <w:sz w:val="22"/>
          <w:szCs w:val="22"/>
        </w:rPr>
        <w:t>, thereby prioritizing the inpatient bed surge capacity and capabilities at MGH for burn victims.  Additionally, if needed, patients may be transferred from MGH to other MGB hospitals</w:t>
      </w:r>
      <w:r>
        <w:rPr>
          <w:rFonts w:cs="Arial"/>
          <w:sz w:val="22"/>
          <w:szCs w:val="22"/>
        </w:rPr>
        <w:t>, including to BWH</w:t>
      </w:r>
      <w:r w:rsidRPr="00B17E3B">
        <w:rPr>
          <w:rFonts w:cs="Arial"/>
          <w:sz w:val="22"/>
          <w:szCs w:val="22"/>
        </w:rPr>
        <w:t xml:space="preserve"> by the PTAC to help create additional inpatient burn capacity as well.</w:t>
      </w:r>
    </w:p>
    <w:p w14:paraId="1D98F97E" w14:textId="77777777" w:rsidR="0001658A" w:rsidRPr="00125521" w:rsidRDefault="0001658A" w:rsidP="0001658A">
      <w:pPr>
        <w:jc w:val="both"/>
        <w:rPr>
          <w:rFonts w:ascii="Aptos" w:hAnsi="Aptos" w:cs="Times New Roman"/>
        </w:rPr>
      </w:pPr>
    </w:p>
    <w:p w14:paraId="10A80D06" w14:textId="434AF477" w:rsidR="0001658A" w:rsidRPr="00125521" w:rsidRDefault="0001658A" w:rsidP="0001658A">
      <w:pPr>
        <w:ind w:left="4320" w:firstLine="720"/>
        <w:jc w:val="both"/>
        <w:rPr>
          <w:rFonts w:ascii="Aptos" w:hAnsi="Aptos" w:cs="Times New Roman"/>
        </w:rPr>
      </w:pPr>
      <w:r w:rsidRPr="00125521">
        <w:rPr>
          <w:rFonts w:ascii="Aptos" w:hAnsi="Aptos" w:cs="Times New Roman"/>
        </w:rPr>
        <w:t xml:space="preserve">Sincerely, </w:t>
      </w:r>
    </w:p>
    <w:p w14:paraId="4F432714" w14:textId="4A3D7243" w:rsidR="0001658A" w:rsidRPr="00125521" w:rsidRDefault="00952327" w:rsidP="0001658A">
      <w:pPr>
        <w:jc w:val="both"/>
        <w:rPr>
          <w:rFonts w:ascii="Aptos" w:hAnsi="Aptos" w:cs="Times New Roman"/>
        </w:rPr>
      </w:pPr>
      <w:r>
        <w:rPr>
          <w:noProof/>
        </w:rPr>
        <w:drawing>
          <wp:anchor distT="0" distB="0" distL="114300" distR="114300" simplePos="0" relativeHeight="251658240" behindDoc="1" locked="0" layoutInCell="1" allowOverlap="1" wp14:anchorId="08E55F9F" wp14:editId="34811FF9">
            <wp:simplePos x="0" y="0"/>
            <wp:positionH relativeFrom="column">
              <wp:posOffset>3184072</wp:posOffset>
            </wp:positionH>
            <wp:positionV relativeFrom="paragraph">
              <wp:posOffset>45176</wp:posOffset>
            </wp:positionV>
            <wp:extent cx="1771650" cy="432435"/>
            <wp:effectExtent l="0" t="0" r="0" b="5715"/>
            <wp:wrapNone/>
            <wp:docPr id="126280142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801429" name="Picture 2">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1650" cy="432435"/>
                    </a:xfrm>
                    <a:prstGeom prst="rect">
                      <a:avLst/>
                    </a:prstGeom>
                    <a:noFill/>
                    <a:ln>
                      <a:noFill/>
                    </a:ln>
                  </pic:spPr>
                </pic:pic>
              </a:graphicData>
            </a:graphic>
            <wp14:sizeRelH relativeFrom="page">
              <wp14:pctWidth>0</wp14:pctWidth>
            </wp14:sizeRelH>
            <wp14:sizeRelV relativeFrom="page">
              <wp14:pctHeight>0</wp14:pctHeight>
            </wp14:sizeRelV>
          </wp:anchor>
        </w:drawing>
      </w:r>
      <w:r w:rsidR="0001658A" w:rsidRPr="00125521">
        <w:rPr>
          <w:rFonts w:ascii="Aptos" w:hAnsi="Aptos" w:cs="Times New Roman"/>
        </w:rPr>
        <w:tab/>
      </w:r>
      <w:r w:rsidR="0001658A" w:rsidRPr="00125521">
        <w:rPr>
          <w:rFonts w:ascii="Aptos" w:hAnsi="Aptos" w:cs="Times New Roman"/>
        </w:rPr>
        <w:tab/>
      </w:r>
      <w:r w:rsidR="0001658A" w:rsidRPr="00125521">
        <w:rPr>
          <w:rFonts w:ascii="Aptos" w:hAnsi="Aptos" w:cs="Times New Roman"/>
        </w:rPr>
        <w:tab/>
      </w:r>
      <w:r w:rsidR="0001658A" w:rsidRPr="00125521">
        <w:rPr>
          <w:rFonts w:ascii="Aptos" w:hAnsi="Aptos" w:cs="Times New Roman"/>
        </w:rPr>
        <w:tab/>
      </w:r>
      <w:r w:rsidR="0001658A" w:rsidRPr="00125521">
        <w:rPr>
          <w:rFonts w:ascii="Aptos" w:hAnsi="Aptos" w:cs="Times New Roman"/>
        </w:rPr>
        <w:tab/>
      </w:r>
      <w:r w:rsidR="0001658A" w:rsidRPr="00125521">
        <w:rPr>
          <w:rFonts w:ascii="Aptos" w:hAnsi="Aptos" w:cs="Times New Roman"/>
        </w:rPr>
        <w:tab/>
      </w:r>
      <w:r w:rsidR="0001658A" w:rsidRPr="00125521">
        <w:rPr>
          <w:rFonts w:ascii="Aptos" w:hAnsi="Aptos" w:cs="Times New Roman"/>
        </w:rPr>
        <w:tab/>
      </w:r>
    </w:p>
    <w:p w14:paraId="5E3F065A" w14:textId="6678FAE1" w:rsidR="0001658A" w:rsidRPr="00125521" w:rsidRDefault="0001658A" w:rsidP="0001658A">
      <w:pPr>
        <w:jc w:val="both"/>
        <w:rPr>
          <w:rFonts w:ascii="Aptos" w:hAnsi="Aptos" w:cs="Times New Roman"/>
        </w:rPr>
      </w:pPr>
      <w:r w:rsidRPr="00125521">
        <w:rPr>
          <w:rFonts w:ascii="Aptos" w:hAnsi="Aptos" w:cs="Times New Roman"/>
        </w:rPr>
        <w:tab/>
      </w:r>
      <w:r w:rsidRPr="00125521">
        <w:rPr>
          <w:rFonts w:ascii="Aptos" w:hAnsi="Aptos" w:cs="Times New Roman"/>
        </w:rPr>
        <w:tab/>
      </w:r>
      <w:r w:rsidRPr="00125521">
        <w:rPr>
          <w:rFonts w:ascii="Aptos" w:hAnsi="Aptos" w:cs="Times New Roman"/>
        </w:rPr>
        <w:tab/>
      </w:r>
      <w:r w:rsidRPr="00125521">
        <w:rPr>
          <w:rFonts w:ascii="Aptos" w:hAnsi="Aptos" w:cs="Times New Roman"/>
        </w:rPr>
        <w:tab/>
      </w:r>
      <w:r w:rsidRPr="00125521">
        <w:rPr>
          <w:rFonts w:ascii="Aptos" w:hAnsi="Aptos" w:cs="Times New Roman"/>
        </w:rPr>
        <w:tab/>
      </w:r>
      <w:r w:rsidRPr="00125521">
        <w:rPr>
          <w:rFonts w:ascii="Aptos" w:hAnsi="Aptos" w:cs="Times New Roman"/>
        </w:rPr>
        <w:tab/>
      </w:r>
      <w:r w:rsidRPr="00125521">
        <w:rPr>
          <w:rFonts w:ascii="Aptos" w:hAnsi="Aptos" w:cs="Times New Roman"/>
        </w:rPr>
        <w:tab/>
      </w:r>
    </w:p>
    <w:p w14:paraId="3DA7EEA1" w14:textId="77777777" w:rsidR="00B310B9" w:rsidRPr="00125521" w:rsidRDefault="00B310B9" w:rsidP="0001658A">
      <w:pPr>
        <w:jc w:val="both"/>
        <w:rPr>
          <w:rFonts w:ascii="Aptos" w:hAnsi="Aptos" w:cs="Times New Roman"/>
        </w:rPr>
      </w:pPr>
    </w:p>
    <w:p w14:paraId="32E38D9A" w14:textId="77777777" w:rsidR="0001658A" w:rsidRPr="00125521" w:rsidRDefault="0001658A" w:rsidP="0001658A">
      <w:pPr>
        <w:ind w:left="4320" w:firstLine="720"/>
        <w:jc w:val="both"/>
        <w:rPr>
          <w:rFonts w:ascii="Aptos" w:hAnsi="Aptos" w:cs="Times New Roman"/>
        </w:rPr>
      </w:pPr>
      <w:r w:rsidRPr="00125521">
        <w:rPr>
          <w:rFonts w:ascii="Aptos" w:hAnsi="Aptos" w:cs="Times New Roman"/>
        </w:rPr>
        <w:t>Crystal Bloom</w:t>
      </w:r>
    </w:p>
    <w:p w14:paraId="25C8C363" w14:textId="683B3301" w:rsidR="00D60980" w:rsidRPr="00125521" w:rsidRDefault="0001658A" w:rsidP="00B310B9">
      <w:pPr>
        <w:jc w:val="both"/>
        <w:rPr>
          <w:rFonts w:ascii="Aptos" w:hAnsi="Aptos" w:cs="Times New Roman"/>
        </w:rPr>
      </w:pPr>
      <w:r w:rsidRPr="00125521">
        <w:rPr>
          <w:rFonts w:ascii="Aptos" w:hAnsi="Aptos" w:cs="Times New Roman"/>
        </w:rPr>
        <w:t>cc:</w:t>
      </w:r>
      <w:r w:rsidRPr="00125521">
        <w:rPr>
          <w:rFonts w:ascii="Aptos" w:hAnsi="Aptos" w:cs="Times New Roman"/>
        </w:rPr>
        <w:tab/>
      </w:r>
      <w:r w:rsidR="00B310B9" w:rsidRPr="00125521">
        <w:rPr>
          <w:rFonts w:ascii="Aptos" w:hAnsi="Aptos" w:cs="Times New Roman"/>
        </w:rPr>
        <w:t>T. Smith</w:t>
      </w:r>
      <w:r w:rsidR="00D60980" w:rsidRPr="00125521">
        <w:rPr>
          <w:rFonts w:ascii="Aptos" w:hAnsi="Aptos" w:cs="Times New Roman"/>
        </w:rPr>
        <w:t>, DPH</w:t>
      </w:r>
    </w:p>
    <w:p w14:paraId="21FC8635" w14:textId="77777777" w:rsidR="00156566" w:rsidRPr="00B91718" w:rsidRDefault="00156566" w:rsidP="00D60980">
      <w:pPr>
        <w:ind w:firstLine="720"/>
        <w:jc w:val="both"/>
        <w:rPr>
          <w:rFonts w:ascii="Aptos" w:hAnsi="Aptos" w:cs="Times New Roman"/>
          <w:lang w:val="de-DE"/>
        </w:rPr>
      </w:pPr>
      <w:r w:rsidRPr="00B91718">
        <w:rPr>
          <w:rFonts w:ascii="Aptos" w:hAnsi="Aptos" w:cs="Times New Roman"/>
          <w:lang w:val="de-DE"/>
        </w:rPr>
        <w:t>W. Mackie, DPH</w:t>
      </w:r>
    </w:p>
    <w:p w14:paraId="6FB55F8A" w14:textId="63BA6C42" w:rsidR="00D60980" w:rsidRPr="00B91718" w:rsidRDefault="00B310B9" w:rsidP="00D60980">
      <w:pPr>
        <w:ind w:firstLine="720"/>
        <w:jc w:val="both"/>
        <w:rPr>
          <w:rFonts w:ascii="Aptos" w:hAnsi="Aptos" w:cs="Times New Roman"/>
          <w:lang w:val="de-DE"/>
        </w:rPr>
      </w:pPr>
      <w:r w:rsidRPr="00B91718">
        <w:rPr>
          <w:rFonts w:ascii="Aptos" w:hAnsi="Aptos" w:cs="Times New Roman"/>
          <w:lang w:val="de-DE"/>
        </w:rPr>
        <w:t>J. Gagne</w:t>
      </w:r>
      <w:r w:rsidR="00D60980" w:rsidRPr="00B91718">
        <w:rPr>
          <w:rFonts w:ascii="Aptos" w:hAnsi="Aptos" w:cs="Times New Roman"/>
          <w:lang w:val="de-DE"/>
        </w:rPr>
        <w:t>, DPH</w:t>
      </w:r>
    </w:p>
    <w:p w14:paraId="603C5C5A" w14:textId="1EDA845A" w:rsidR="002F5D5B" w:rsidRDefault="00B91718" w:rsidP="0001658A">
      <w:pPr>
        <w:ind w:firstLine="720"/>
        <w:jc w:val="both"/>
        <w:rPr>
          <w:rFonts w:ascii="Aptos" w:hAnsi="Aptos" w:cs="Times New Roman"/>
        </w:rPr>
      </w:pPr>
      <w:r>
        <w:rPr>
          <w:rFonts w:ascii="Aptos" w:hAnsi="Aptos" w:cs="Times New Roman"/>
        </w:rPr>
        <w:t>M. Callahan, DPH</w:t>
      </w:r>
    </w:p>
    <w:p w14:paraId="62D8B9D5" w14:textId="716F4A63" w:rsidR="00B91718" w:rsidRDefault="00B91718" w:rsidP="0001658A">
      <w:pPr>
        <w:ind w:firstLine="720"/>
        <w:jc w:val="both"/>
        <w:rPr>
          <w:rFonts w:ascii="Times New Roman" w:hAnsi="Times New Roman" w:cs="Times New Roman"/>
          <w:sz w:val="24"/>
          <w:szCs w:val="24"/>
        </w:rPr>
      </w:pPr>
      <w:r>
        <w:rPr>
          <w:rFonts w:ascii="Aptos" w:hAnsi="Aptos" w:cs="Times New Roman"/>
        </w:rPr>
        <w:t>T. McNamara, DPH</w:t>
      </w:r>
    </w:p>
    <w:sectPr w:rsidR="00B91718" w:rsidSect="0001658A">
      <w:headerReference w:type="default" r:id="rId10"/>
      <w:headerReference w:type="first" r:id="rId11"/>
      <w:pgSz w:w="12240" w:h="15840"/>
      <w:pgMar w:top="1440" w:right="1440" w:bottom="1440"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s>
  <wne:toolbars>
    <wne:acdManifest>
      <wne:acdEntry wne:acdName="acd0"/>
    </wne:acdManifest>
  </wne:toolbars>
  <wne:acds>
    <wne:acd wne:argValue="AgBIAEIAYgB1AGw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39CC5" w14:textId="77777777" w:rsidR="00CA468D" w:rsidRDefault="00CA468D" w:rsidP="0001658A">
      <w:r>
        <w:separator/>
      </w:r>
    </w:p>
  </w:endnote>
  <w:endnote w:type="continuationSeparator" w:id="0">
    <w:p w14:paraId="09BE071A" w14:textId="77777777" w:rsidR="00CA468D" w:rsidRDefault="00CA468D" w:rsidP="00016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hiller">
    <w:panose1 w:val="040204040310070206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4AD1A" w14:textId="77777777" w:rsidR="00CA468D" w:rsidRDefault="00CA468D" w:rsidP="0001658A">
      <w:r>
        <w:separator/>
      </w:r>
    </w:p>
  </w:footnote>
  <w:footnote w:type="continuationSeparator" w:id="0">
    <w:p w14:paraId="78829194" w14:textId="77777777" w:rsidR="00CA468D" w:rsidRDefault="00CA468D" w:rsidP="0001658A">
      <w:r>
        <w:continuationSeparator/>
      </w:r>
    </w:p>
  </w:footnote>
  <w:footnote w:id="1">
    <w:p w14:paraId="21EF4565" w14:textId="33215912" w:rsidR="007A52B8" w:rsidRDefault="007A52B8">
      <w:pPr>
        <w:pStyle w:val="FootnoteText"/>
      </w:pPr>
      <w:r>
        <w:rPr>
          <w:rStyle w:val="FootnoteReference"/>
        </w:rPr>
        <w:footnoteRef/>
      </w:r>
      <w:r>
        <w:t xml:space="preserve"> </w:t>
      </w:r>
      <w:r w:rsidRPr="007A52B8">
        <w:rPr>
          <w:rFonts w:ascii="Aptos" w:hAnsi="Aptos"/>
        </w:rPr>
        <w:t>Diagnosis Related Group (DRG) 927-935.</w:t>
      </w:r>
    </w:p>
  </w:footnote>
  <w:footnote w:id="2">
    <w:p w14:paraId="7BE54F4B" w14:textId="66900CEB" w:rsidR="001469B9" w:rsidRDefault="001469B9">
      <w:pPr>
        <w:pStyle w:val="FootnoteText"/>
      </w:pPr>
      <w:r>
        <w:rPr>
          <w:rStyle w:val="FootnoteReference"/>
        </w:rPr>
        <w:footnoteRef/>
      </w:r>
      <w:r>
        <w:t xml:space="preserve"> </w:t>
      </w:r>
      <w:r>
        <w:rPr>
          <w:rFonts w:ascii="Aptos" w:hAnsi="Aptos" w:cs="Times New Roman"/>
        </w:rPr>
        <w:t>7 beds are licensed by DPH as burn beds and 3 beds licensed as ICU, all with the same staffing and capabilities.</w:t>
      </w:r>
    </w:p>
  </w:footnote>
  <w:footnote w:id="3">
    <w:p w14:paraId="376AD71D" w14:textId="23DE7DCD" w:rsidR="00BE1CC7" w:rsidRPr="007A52B8" w:rsidRDefault="00BE1CC7">
      <w:pPr>
        <w:pStyle w:val="FootnoteText"/>
        <w:rPr>
          <w:rFonts w:ascii="Aptos" w:hAnsi="Aptos"/>
        </w:rPr>
      </w:pPr>
      <w:r w:rsidRPr="007A52B8">
        <w:rPr>
          <w:rStyle w:val="FootnoteReference"/>
          <w:rFonts w:ascii="Aptos" w:hAnsi="Aptos"/>
        </w:rPr>
        <w:footnoteRef/>
      </w:r>
      <w:r w:rsidRPr="007A52B8">
        <w:rPr>
          <w:rFonts w:ascii="Aptos" w:hAnsi="Aptos"/>
        </w:rPr>
        <w:t xml:space="preserve"> Americal Burn Association, (2020) Actionable, Revised (v.3), and Amplified American Burn Association Triage Tables for Mass Casualties: A Civilian Defense Guideline. </w:t>
      </w:r>
    </w:p>
  </w:footnote>
  <w:footnote w:id="4">
    <w:p w14:paraId="6D598C6E" w14:textId="4A6D6E05" w:rsidR="00B17E3B" w:rsidRDefault="00B17E3B">
      <w:pPr>
        <w:pStyle w:val="FootnoteText"/>
      </w:pPr>
      <w:r>
        <w:rPr>
          <w:rStyle w:val="FootnoteReference"/>
        </w:rPr>
        <w:footnoteRef/>
      </w:r>
      <w:r>
        <w:t xml:space="preserve"> The Region 1 RDHRS covers the six New England states. </w:t>
      </w:r>
    </w:p>
  </w:footnote>
  <w:footnote w:id="5">
    <w:p w14:paraId="188F7CBC" w14:textId="39388B98" w:rsidR="00162EF9" w:rsidRPr="00B51CC4" w:rsidRDefault="00162EF9" w:rsidP="00162EF9">
      <w:pPr>
        <w:pStyle w:val="FootnoteText"/>
        <w:rPr>
          <w:rFonts w:ascii="Aptos" w:hAnsi="Aptos"/>
        </w:rPr>
      </w:pPr>
      <w:r w:rsidRPr="007A52B8">
        <w:rPr>
          <w:rStyle w:val="FootnoteReference"/>
          <w:rFonts w:ascii="Aptos" w:hAnsi="Aptos"/>
        </w:rPr>
        <w:footnoteRef/>
      </w:r>
      <w:r w:rsidRPr="007A52B8">
        <w:rPr>
          <w:rFonts w:ascii="Aptos" w:hAnsi="Aptos"/>
        </w:rPr>
        <w:t xml:space="preserve"> </w:t>
      </w:r>
      <w:r w:rsidRPr="007A52B8">
        <w:rPr>
          <w:rFonts w:ascii="Aptos" w:hAnsi="Aptos" w:cs="Times New Roman"/>
        </w:rPr>
        <w:t>Source: Google Maps, Estimated Drive Time</w:t>
      </w:r>
      <w:r w:rsidR="00380DEF" w:rsidRPr="007A52B8">
        <w:rPr>
          <w:rFonts w:ascii="Aptos" w:hAnsi="Aptos" w:cs="Times New Roman"/>
        </w:rPr>
        <w:t>.</w:t>
      </w:r>
      <w:r w:rsidR="00380DEF" w:rsidRPr="00B51CC4">
        <w:rPr>
          <w:rFonts w:ascii="Aptos" w:hAnsi="Aptos"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072B3" w14:textId="222CA66D" w:rsidR="009434AC" w:rsidRDefault="004A1D92" w:rsidP="0001658A">
    <w:pPr>
      <w:rPr>
        <w:rFonts w:ascii="Times New Roman" w:hAnsi="Times New Roman" w:cs="Times New Roman"/>
        <w:sz w:val="24"/>
        <w:szCs w:val="24"/>
      </w:rPr>
    </w:pPr>
    <w:r>
      <w:rPr>
        <w:noProof/>
      </w:rPr>
      <w:drawing>
        <wp:anchor distT="0" distB="0" distL="114300" distR="114300" simplePos="0" relativeHeight="251663360" behindDoc="0" locked="1" layoutInCell="1" allowOverlap="1" wp14:anchorId="25F974AC" wp14:editId="0FE112A6">
          <wp:simplePos x="0" y="0"/>
          <wp:positionH relativeFrom="page">
            <wp:posOffset>2438400</wp:posOffset>
          </wp:positionH>
          <wp:positionV relativeFrom="page">
            <wp:posOffset>447675</wp:posOffset>
          </wp:positionV>
          <wp:extent cx="2633345" cy="164465"/>
          <wp:effectExtent l="0" t="0" r="0" b="6985"/>
          <wp:wrapNone/>
          <wp:docPr id="213523899" name="Letter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23899" name="Letterhead">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3345" cy="1644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00AC94" w14:textId="77777777" w:rsidR="009434AC" w:rsidRDefault="009434AC" w:rsidP="0001658A">
    <w:pPr>
      <w:rPr>
        <w:rFonts w:ascii="Times New Roman" w:hAnsi="Times New Roman" w:cs="Times New Roman"/>
        <w:sz w:val="24"/>
        <w:szCs w:val="24"/>
      </w:rPr>
    </w:pPr>
  </w:p>
  <w:p w14:paraId="31F47670" w14:textId="43E8387D" w:rsidR="0001658A" w:rsidRPr="00DC5D49" w:rsidRDefault="0001658A" w:rsidP="0001658A">
    <w:pPr>
      <w:rPr>
        <w:rFonts w:ascii="Times New Roman" w:hAnsi="Times New Roman" w:cs="Times New Roman"/>
        <w:sz w:val="24"/>
        <w:szCs w:val="24"/>
      </w:rPr>
    </w:pPr>
    <w:r w:rsidRPr="00DC5D49">
      <w:rPr>
        <w:rFonts w:ascii="Times New Roman" w:hAnsi="Times New Roman" w:cs="Times New Roman"/>
        <w:sz w:val="24"/>
        <w:szCs w:val="24"/>
      </w:rPr>
      <w:t>Stephen Davis, Director</w:t>
    </w:r>
  </w:p>
  <w:p w14:paraId="0A7087E0" w14:textId="77777777" w:rsidR="0001658A" w:rsidRPr="00DC5D49" w:rsidRDefault="0001658A" w:rsidP="0001658A">
    <w:pPr>
      <w:rPr>
        <w:rFonts w:ascii="Times New Roman" w:hAnsi="Times New Roman" w:cs="Times New Roman"/>
        <w:sz w:val="24"/>
        <w:szCs w:val="24"/>
      </w:rPr>
    </w:pPr>
    <w:r w:rsidRPr="00DC5D49">
      <w:rPr>
        <w:rFonts w:ascii="Times New Roman" w:hAnsi="Times New Roman" w:cs="Times New Roman"/>
        <w:sz w:val="24"/>
        <w:szCs w:val="24"/>
      </w:rPr>
      <w:t>Division of Health Care Facility Licensure and Certification</w:t>
    </w:r>
  </w:p>
  <w:p w14:paraId="1A19400B" w14:textId="77777777" w:rsidR="0001658A" w:rsidRPr="00DC5D49" w:rsidRDefault="0001658A" w:rsidP="0001658A">
    <w:pPr>
      <w:rPr>
        <w:rFonts w:ascii="Times New Roman" w:hAnsi="Times New Roman" w:cs="Times New Roman"/>
        <w:sz w:val="24"/>
        <w:szCs w:val="24"/>
      </w:rPr>
    </w:pPr>
    <w:r w:rsidRPr="00DC5D49">
      <w:rPr>
        <w:rFonts w:ascii="Times New Roman" w:hAnsi="Times New Roman" w:cs="Times New Roman"/>
        <w:sz w:val="24"/>
        <w:szCs w:val="24"/>
      </w:rPr>
      <w:t>Massachusetts Department of Public Health</w:t>
    </w:r>
  </w:p>
  <w:p w14:paraId="1915E75B" w14:textId="7A69F2FE" w:rsidR="004A1D92" w:rsidRDefault="00B91718" w:rsidP="0001658A">
    <w:pPr>
      <w:pStyle w:val="Header"/>
      <w:rPr>
        <w:rFonts w:ascii="Times New Roman" w:hAnsi="Times New Roman" w:cs="Times New Roman"/>
        <w:sz w:val="24"/>
        <w:szCs w:val="24"/>
      </w:rPr>
    </w:pPr>
    <w:r>
      <w:rPr>
        <w:rFonts w:ascii="Times New Roman" w:hAnsi="Times New Roman" w:cs="Times New Roman"/>
        <w:sz w:val="24"/>
        <w:szCs w:val="24"/>
      </w:rPr>
      <w:t>February 19, 2026</w:t>
    </w:r>
  </w:p>
  <w:p w14:paraId="7544EA1B" w14:textId="2D9DC832" w:rsidR="0001658A" w:rsidRPr="00DC5D49" w:rsidRDefault="0001658A" w:rsidP="0001658A">
    <w:pPr>
      <w:pStyle w:val="Header"/>
      <w:rPr>
        <w:rFonts w:ascii="Times New Roman" w:hAnsi="Times New Roman" w:cs="Times New Roman"/>
        <w:sz w:val="24"/>
        <w:szCs w:val="24"/>
      </w:rPr>
    </w:pPr>
    <w:r w:rsidRPr="00DC5D49">
      <w:rPr>
        <w:rFonts w:ascii="Times New Roman" w:hAnsi="Times New Roman" w:cs="Times New Roman"/>
        <w:sz w:val="24"/>
        <w:szCs w:val="24"/>
      </w:rPr>
      <w:t xml:space="preserve">Page </w:t>
    </w:r>
    <w:sdt>
      <w:sdtPr>
        <w:rPr>
          <w:rFonts w:ascii="Times New Roman" w:hAnsi="Times New Roman" w:cs="Times New Roman"/>
          <w:sz w:val="24"/>
          <w:szCs w:val="24"/>
        </w:rPr>
        <w:id w:val="259877093"/>
        <w:docPartObj>
          <w:docPartGallery w:val="Page Numbers (Top of Page)"/>
          <w:docPartUnique/>
        </w:docPartObj>
      </w:sdtPr>
      <w:sdtEndPr>
        <w:rPr>
          <w:noProof/>
        </w:rPr>
      </w:sdtEndPr>
      <w:sdtContent>
        <w:r w:rsidRPr="00DC5D49">
          <w:rPr>
            <w:rFonts w:ascii="Times New Roman" w:hAnsi="Times New Roman" w:cs="Times New Roman"/>
            <w:sz w:val="24"/>
            <w:szCs w:val="24"/>
          </w:rPr>
          <w:fldChar w:fldCharType="begin"/>
        </w:r>
        <w:r w:rsidRPr="00DC5D49">
          <w:rPr>
            <w:rFonts w:ascii="Times New Roman" w:hAnsi="Times New Roman" w:cs="Times New Roman"/>
            <w:sz w:val="24"/>
            <w:szCs w:val="24"/>
          </w:rPr>
          <w:instrText xml:space="preserve"> PAGE   \* MERGEFORMAT </w:instrText>
        </w:r>
        <w:r w:rsidRPr="00DC5D49">
          <w:rPr>
            <w:rFonts w:ascii="Times New Roman" w:hAnsi="Times New Roman" w:cs="Times New Roman"/>
            <w:sz w:val="24"/>
            <w:szCs w:val="24"/>
          </w:rPr>
          <w:fldChar w:fldCharType="separate"/>
        </w:r>
        <w:r>
          <w:rPr>
            <w:rFonts w:ascii="Times New Roman" w:hAnsi="Times New Roman" w:cs="Times New Roman"/>
            <w:sz w:val="24"/>
            <w:szCs w:val="24"/>
          </w:rPr>
          <w:t>5</w:t>
        </w:r>
        <w:r w:rsidRPr="00DC5D49">
          <w:rPr>
            <w:rFonts w:ascii="Times New Roman" w:hAnsi="Times New Roman" w:cs="Times New Roman"/>
            <w:noProof/>
            <w:sz w:val="24"/>
            <w:szCs w:val="24"/>
          </w:rPr>
          <w:fldChar w:fldCharType="end"/>
        </w:r>
      </w:sdtContent>
    </w:sdt>
  </w:p>
  <w:p w14:paraId="6FD60012" w14:textId="77777777" w:rsidR="0001658A" w:rsidRDefault="0001658A">
    <w:pPr>
      <w:pStyle w:val="Header"/>
    </w:pPr>
  </w:p>
  <w:p w14:paraId="12EC1732" w14:textId="77777777" w:rsidR="004A1D92" w:rsidRDefault="004A1D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FA2A" w14:textId="77777777" w:rsidR="00D04E13" w:rsidRDefault="00D04E13" w:rsidP="0001658A">
    <w:pPr>
      <w:pStyle w:val="AuthorInfo"/>
      <w:rPr>
        <w:sz w:val="22"/>
        <w:szCs w:val="22"/>
      </w:rPr>
    </w:pPr>
  </w:p>
  <w:p w14:paraId="6D7D9732" w14:textId="7D346E0B" w:rsidR="0001658A" w:rsidRDefault="00F671EF">
    <w:pPr>
      <w:pStyle w:val="Header"/>
    </w:pPr>
    <w:r>
      <w:rPr>
        <w:noProof/>
      </w:rPr>
      <mc:AlternateContent>
        <mc:Choice Requires="wps">
          <w:drawing>
            <wp:anchor distT="0" distB="0" distL="114300" distR="114300" simplePos="0" relativeHeight="251661312" behindDoc="0" locked="0" layoutInCell="1" allowOverlap="1" wp14:anchorId="5F6E9168" wp14:editId="2FCD34E6">
              <wp:simplePos x="0" y="0"/>
              <wp:positionH relativeFrom="page">
                <wp:posOffset>914400</wp:posOffset>
              </wp:positionH>
              <wp:positionV relativeFrom="page">
                <wp:posOffset>914400</wp:posOffset>
              </wp:positionV>
              <wp:extent cx="5943600" cy="310896"/>
              <wp:effectExtent l="0" t="0" r="0" b="17145"/>
              <wp:wrapTopAndBottom/>
              <wp:docPr id="1685427245" name="AuthorDat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08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8322F" w14:textId="77777777" w:rsidR="00F671EF" w:rsidRDefault="00F671EF" w:rsidP="00F671EF">
                          <w:pPr>
                            <w:pStyle w:val="AuthorName"/>
                            <w:rPr>
                              <w:noProof/>
                            </w:rPr>
                          </w:pPr>
                          <w:r>
                            <w:rPr>
                              <w:noProof/>
                            </w:rPr>
                            <w:t>Crystal M. Bloom</w:t>
                          </w:r>
                        </w:p>
                        <w:p w14:paraId="1BA9EA6D" w14:textId="77777777" w:rsidR="00F671EF" w:rsidRDefault="00F671EF" w:rsidP="00F671EF">
                          <w:pPr>
                            <w:pStyle w:val="AuthorInfo"/>
                          </w:pPr>
                          <w:r>
                            <w:t>Partner</w:t>
                          </w:r>
                        </w:p>
                        <w:p w14:paraId="609317A9" w14:textId="77777777" w:rsidR="00F671EF" w:rsidRDefault="00F671EF" w:rsidP="00F671EF">
                          <w:pPr>
                            <w:pStyle w:val="AuthorInfo"/>
                          </w:pPr>
                        </w:p>
                        <w:p w14:paraId="05FF93DA" w14:textId="77777777" w:rsidR="00F671EF" w:rsidRDefault="00F671EF" w:rsidP="00F671EF">
                          <w:pPr>
                            <w:pStyle w:val="AuthorInfo"/>
                          </w:pPr>
                          <w:r>
                            <w:t>One Congress Street, Suite 3102</w:t>
                          </w:r>
                        </w:p>
                        <w:p w14:paraId="38D7C36D" w14:textId="77777777" w:rsidR="00F671EF" w:rsidRDefault="00F671EF" w:rsidP="00F671EF">
                          <w:pPr>
                            <w:pStyle w:val="AuthorInfo"/>
                          </w:pPr>
                          <w:r>
                            <w:t>Boston, MA 02114</w:t>
                          </w:r>
                        </w:p>
                        <w:p w14:paraId="4870ED09" w14:textId="77777777" w:rsidR="00F671EF" w:rsidRDefault="00F671EF" w:rsidP="00F671EF">
                          <w:pPr>
                            <w:pStyle w:val="AuthorInfo"/>
                          </w:pPr>
                          <w:r>
                            <w:t>Direct: 617.598.6783</w:t>
                          </w:r>
                        </w:p>
                        <w:p w14:paraId="2F425434" w14:textId="77777777" w:rsidR="00F671EF" w:rsidRDefault="00F671EF" w:rsidP="00F671EF">
                          <w:pPr>
                            <w:pStyle w:val="AuthorInfo"/>
                          </w:pPr>
                          <w:r>
                            <w:t>Fax: 617.598.6790</w:t>
                          </w:r>
                        </w:p>
                        <w:p w14:paraId="1EA511E1" w14:textId="77777777" w:rsidR="00F671EF" w:rsidRDefault="00F671EF" w:rsidP="00F671EF">
                          <w:pPr>
                            <w:pStyle w:val="AuthorInfo"/>
                          </w:pPr>
                          <w:r>
                            <w:t>crystal.bloom@huschblackwell.com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F6E9168" id="_x0000_t202" coordsize="21600,21600" o:spt="202" path="m,l,21600r21600,l21600,xe">
              <v:stroke joinstyle="miter"/>
              <v:path gradientshapeok="t" o:connecttype="rect"/>
            </v:shapetype>
            <v:shape id="AuthorData" o:spid="_x0000_s1026" type="#_x0000_t202" style="position:absolute;margin-left:1in;margin-top:1in;width:468pt;height:2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" filled="f" stroked="f">
              <v:textbox style="mso-fit-shape-to-text:t" inset="0,0,0,0">
                <w:txbxContent>
                  <w:p w14:paraId="1BF8322F" w14:textId="77777777" w:rsidR="00F671EF" w:rsidRDefault="00F671EF" w:rsidP="00F671EF">
                    <w:pPr>
                      <w:pStyle w:val="AuthorName"/>
                      <w:rPr>
                        <w:noProof/>
                      </w:rPr>
                    </w:pPr>
                    <w:r>
                      <w:rPr>
                        <w:noProof/>
                      </w:rPr>
                      <w:t>Crystal M. Bloom</w:t>
                    </w:r>
                  </w:p>
                  <w:p w14:paraId="1BA9EA6D" w14:textId="77777777" w:rsidR="00F671EF" w:rsidRDefault="00F671EF" w:rsidP="00F671EF">
                    <w:pPr>
                      <w:pStyle w:val="AuthorInfo"/>
                    </w:pPr>
                    <w:r>
                      <w:t>Partner</w:t>
                    </w:r>
                  </w:p>
                  <w:p w14:paraId="609317A9" w14:textId="77777777" w:rsidR="00F671EF" w:rsidRDefault="00F671EF" w:rsidP="00F671EF">
                    <w:pPr>
                      <w:pStyle w:val="AuthorInfo"/>
                    </w:pPr>
                  </w:p>
                  <w:p w14:paraId="05FF93DA" w14:textId="77777777" w:rsidR="00F671EF" w:rsidRDefault="00F671EF" w:rsidP="00F671EF">
                    <w:pPr>
                      <w:pStyle w:val="AuthorInfo"/>
                    </w:pPr>
                    <w:r>
                      <w:t>One Congress Street, Suite 3102</w:t>
                    </w:r>
                  </w:p>
                  <w:p w14:paraId="38D7C36D" w14:textId="77777777" w:rsidR="00F671EF" w:rsidRDefault="00F671EF" w:rsidP="00F671EF">
                    <w:pPr>
                      <w:pStyle w:val="AuthorInfo"/>
                    </w:pPr>
                    <w:r>
                      <w:t>Boston, MA 02114</w:t>
                    </w:r>
                  </w:p>
                  <w:p w14:paraId="4870ED09" w14:textId="77777777" w:rsidR="00F671EF" w:rsidRDefault="00F671EF" w:rsidP="00F671EF">
                    <w:pPr>
                      <w:pStyle w:val="AuthorInfo"/>
                    </w:pPr>
                    <w:r>
                      <w:t>Direct: 617.598.6783</w:t>
                    </w:r>
                  </w:p>
                  <w:p w14:paraId="2F425434" w14:textId="77777777" w:rsidR="00F671EF" w:rsidRDefault="00F671EF" w:rsidP="00F671EF">
                    <w:pPr>
                      <w:pStyle w:val="AuthorInfo"/>
                    </w:pPr>
                    <w:r>
                      <w:t>Fax: 617.598.6790</w:t>
                    </w:r>
                  </w:p>
                  <w:p w14:paraId="1EA511E1" w14:textId="77777777" w:rsidR="00F671EF" w:rsidRDefault="00F671EF" w:rsidP="00F671EF">
                    <w:pPr>
                      <w:pStyle w:val="AuthorInfo"/>
                    </w:pPr>
                    <w:r>
                      <w:t>crystal.bloom@huschblackwell.com</w:t>
                    </w:r>
                  </w:p>
                </w:txbxContent>
              </v:textbox>
              <w10:wrap type="topAndBottom" anchorx="page" anchory="page"/>
            </v:shape>
          </w:pict>
        </mc:Fallback>
      </mc:AlternateContent>
    </w:r>
    <w:r w:rsidR="003324BA">
      <w:rPr>
        <w:noProof/>
      </w:rPr>
      <w:drawing>
        <wp:anchor distT="0" distB="0" distL="114300" distR="114300" simplePos="0" relativeHeight="251659264" behindDoc="0" locked="1" layoutInCell="1" allowOverlap="1" wp14:anchorId="3F12D956" wp14:editId="1F280ADA">
          <wp:simplePos x="0" y="0"/>
          <wp:positionH relativeFrom="page">
            <wp:posOffset>2495550</wp:posOffset>
          </wp:positionH>
          <wp:positionV relativeFrom="page">
            <wp:posOffset>333375</wp:posOffset>
          </wp:positionV>
          <wp:extent cx="2633345" cy="164465"/>
          <wp:effectExtent l="0" t="0" r="0" b="6985"/>
          <wp:wrapNone/>
          <wp:docPr id="1307677421" name="Letter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77421" name="Letterhead">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3345" cy="1644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6D89"/>
    <w:multiLevelType w:val="hybridMultilevel"/>
    <w:tmpl w:val="CCB0285C"/>
    <w:lvl w:ilvl="0" w:tplc="604CD6F2">
      <w:start w:val="1"/>
      <w:numFmt w:val="low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18F6DE7"/>
    <w:multiLevelType w:val="multilevel"/>
    <w:tmpl w:val="24EE1C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F785F"/>
    <w:multiLevelType w:val="hybridMultilevel"/>
    <w:tmpl w:val="F3406236"/>
    <w:name w:val="HBsbul"/>
    <w:lvl w:ilvl="0" w:tplc="A886CBCC">
      <w:start w:val="1"/>
      <w:numFmt w:val="bullet"/>
      <w:pStyle w:val="HBsbul"/>
      <w:lvlText w:val=""/>
      <w:lvlJc w:val="left"/>
      <w:pPr>
        <w:tabs>
          <w:tab w:val="num" w:pos="720"/>
        </w:tabs>
        <w:ind w:left="720" w:hanging="360"/>
      </w:pPr>
      <w:rPr>
        <w:rFonts w:ascii="Symbol" w:hAnsi="Symbol" w:hint="default"/>
        <w:color w:val="808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9F292B"/>
    <w:multiLevelType w:val="hybridMultilevel"/>
    <w:tmpl w:val="271E2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451B56"/>
    <w:multiLevelType w:val="hybridMultilevel"/>
    <w:tmpl w:val="78720E28"/>
    <w:lvl w:ilvl="0" w:tplc="01F08B4C">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A11E8"/>
    <w:multiLevelType w:val="hybridMultilevel"/>
    <w:tmpl w:val="4694F2FE"/>
    <w:name w:val="HBbul"/>
    <w:lvl w:ilvl="0" w:tplc="58ECB79A">
      <w:start w:val="1"/>
      <w:numFmt w:val="bullet"/>
      <w:pStyle w:val="HBbul"/>
      <w:lvlText w:val=""/>
      <w:lvlJc w:val="left"/>
      <w:pPr>
        <w:tabs>
          <w:tab w:val="num" w:pos="360"/>
        </w:tabs>
        <w:ind w:left="360" w:hanging="360"/>
      </w:pPr>
      <w:rPr>
        <w:rFonts w:ascii="Wingdings" w:hAnsi="Wingdings" w:hint="default"/>
        <w:color w:val="808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D10DE3"/>
    <w:multiLevelType w:val="hybridMultilevel"/>
    <w:tmpl w:val="D6A06162"/>
    <w:lvl w:ilvl="0" w:tplc="89CE040C">
      <w:start w:val="2"/>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27117F70"/>
    <w:multiLevelType w:val="multilevel"/>
    <w:tmpl w:val="933AAC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6516F3"/>
    <w:multiLevelType w:val="hybridMultilevel"/>
    <w:tmpl w:val="FF180468"/>
    <w:lvl w:ilvl="0" w:tplc="5D420ADC">
      <w:start w:val="254"/>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98C269C"/>
    <w:multiLevelType w:val="hybridMultilevel"/>
    <w:tmpl w:val="D39C90FE"/>
    <w:lvl w:ilvl="0" w:tplc="DABE392C">
      <w:start w:val="1"/>
      <w:numFmt w:val="bullet"/>
      <w:lvlText w:val="•"/>
      <w:lvlJc w:val="left"/>
      <w:pPr>
        <w:tabs>
          <w:tab w:val="num" w:pos="720"/>
        </w:tabs>
        <w:ind w:left="720" w:hanging="360"/>
      </w:pPr>
      <w:rPr>
        <w:rFonts w:ascii="Arial" w:hAnsi="Arial" w:cs="Times New Roman" w:hint="default"/>
      </w:rPr>
    </w:lvl>
    <w:lvl w:ilvl="1" w:tplc="CBBEC554">
      <w:start w:val="1"/>
      <w:numFmt w:val="bullet"/>
      <w:lvlText w:val="•"/>
      <w:lvlJc w:val="left"/>
      <w:pPr>
        <w:tabs>
          <w:tab w:val="num" w:pos="1440"/>
        </w:tabs>
        <w:ind w:left="1440" w:hanging="360"/>
      </w:pPr>
      <w:rPr>
        <w:rFonts w:ascii="Arial" w:hAnsi="Arial" w:cs="Times New Roman" w:hint="default"/>
      </w:rPr>
    </w:lvl>
    <w:lvl w:ilvl="2" w:tplc="A240FE5A">
      <w:start w:val="1"/>
      <w:numFmt w:val="bullet"/>
      <w:lvlText w:val="•"/>
      <w:lvlJc w:val="left"/>
      <w:pPr>
        <w:tabs>
          <w:tab w:val="num" w:pos="2160"/>
        </w:tabs>
        <w:ind w:left="2160" w:hanging="360"/>
      </w:pPr>
      <w:rPr>
        <w:rFonts w:ascii="Arial" w:hAnsi="Arial" w:cs="Times New Roman" w:hint="default"/>
      </w:rPr>
    </w:lvl>
    <w:lvl w:ilvl="3" w:tplc="6EB20AC4">
      <w:start w:val="1"/>
      <w:numFmt w:val="bullet"/>
      <w:lvlText w:val="•"/>
      <w:lvlJc w:val="left"/>
      <w:pPr>
        <w:tabs>
          <w:tab w:val="num" w:pos="2880"/>
        </w:tabs>
        <w:ind w:left="2880" w:hanging="360"/>
      </w:pPr>
      <w:rPr>
        <w:rFonts w:ascii="Arial" w:hAnsi="Arial" w:cs="Times New Roman" w:hint="default"/>
      </w:rPr>
    </w:lvl>
    <w:lvl w:ilvl="4" w:tplc="837C8ABC">
      <w:start w:val="1"/>
      <w:numFmt w:val="bullet"/>
      <w:lvlText w:val="•"/>
      <w:lvlJc w:val="left"/>
      <w:pPr>
        <w:tabs>
          <w:tab w:val="num" w:pos="3600"/>
        </w:tabs>
        <w:ind w:left="3600" w:hanging="360"/>
      </w:pPr>
      <w:rPr>
        <w:rFonts w:ascii="Arial" w:hAnsi="Arial" w:cs="Times New Roman" w:hint="default"/>
      </w:rPr>
    </w:lvl>
    <w:lvl w:ilvl="5" w:tplc="DC30E0DC">
      <w:start w:val="1"/>
      <w:numFmt w:val="bullet"/>
      <w:lvlText w:val="•"/>
      <w:lvlJc w:val="left"/>
      <w:pPr>
        <w:tabs>
          <w:tab w:val="num" w:pos="4320"/>
        </w:tabs>
        <w:ind w:left="4320" w:hanging="360"/>
      </w:pPr>
      <w:rPr>
        <w:rFonts w:ascii="Arial" w:hAnsi="Arial" w:cs="Times New Roman" w:hint="default"/>
      </w:rPr>
    </w:lvl>
    <w:lvl w:ilvl="6" w:tplc="181078A0">
      <w:start w:val="1"/>
      <w:numFmt w:val="bullet"/>
      <w:lvlText w:val="•"/>
      <w:lvlJc w:val="left"/>
      <w:pPr>
        <w:tabs>
          <w:tab w:val="num" w:pos="5040"/>
        </w:tabs>
        <w:ind w:left="5040" w:hanging="360"/>
      </w:pPr>
      <w:rPr>
        <w:rFonts w:ascii="Arial" w:hAnsi="Arial" w:cs="Times New Roman" w:hint="default"/>
      </w:rPr>
    </w:lvl>
    <w:lvl w:ilvl="7" w:tplc="2272D5F2">
      <w:start w:val="1"/>
      <w:numFmt w:val="bullet"/>
      <w:lvlText w:val="•"/>
      <w:lvlJc w:val="left"/>
      <w:pPr>
        <w:tabs>
          <w:tab w:val="num" w:pos="5760"/>
        </w:tabs>
        <w:ind w:left="5760" w:hanging="360"/>
      </w:pPr>
      <w:rPr>
        <w:rFonts w:ascii="Arial" w:hAnsi="Arial" w:cs="Times New Roman" w:hint="default"/>
      </w:rPr>
    </w:lvl>
    <w:lvl w:ilvl="8" w:tplc="1C903EC8">
      <w:start w:val="1"/>
      <w:numFmt w:val="bullet"/>
      <w:lvlText w:val="•"/>
      <w:lvlJc w:val="left"/>
      <w:pPr>
        <w:tabs>
          <w:tab w:val="num" w:pos="6480"/>
        </w:tabs>
        <w:ind w:left="6480" w:hanging="360"/>
      </w:pPr>
      <w:rPr>
        <w:rFonts w:ascii="Arial" w:hAnsi="Arial" w:cs="Times New Roman" w:hint="default"/>
      </w:rPr>
    </w:lvl>
  </w:abstractNum>
  <w:abstractNum w:abstractNumId="10" w15:restartNumberingAfterBreak="0">
    <w:nsid w:val="2C520886"/>
    <w:multiLevelType w:val="hybridMultilevel"/>
    <w:tmpl w:val="EC948466"/>
    <w:lvl w:ilvl="0" w:tplc="A72A8B48">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A625C6"/>
    <w:multiLevelType w:val="hybridMultilevel"/>
    <w:tmpl w:val="3042A570"/>
    <w:lvl w:ilvl="0" w:tplc="A85E906E">
      <w:start w:val="1"/>
      <w:numFmt w:val="lowerLetter"/>
      <w:lvlText w:val="(%1)"/>
      <w:lvlJc w:val="left"/>
      <w:pPr>
        <w:ind w:left="189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31BE0D27"/>
    <w:multiLevelType w:val="hybridMultilevel"/>
    <w:tmpl w:val="3DE25464"/>
    <w:lvl w:ilvl="0" w:tplc="E6AAB4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2D97037"/>
    <w:multiLevelType w:val="hybridMultilevel"/>
    <w:tmpl w:val="8CFACB0E"/>
    <w:lvl w:ilvl="0" w:tplc="FFFFFFFF">
      <w:start w:val="1"/>
      <w:numFmt w:val="lowerLetter"/>
      <w:lvlText w:val="(%1)"/>
      <w:lvlJc w:val="left"/>
      <w:pPr>
        <w:ind w:left="1800" w:hanging="360"/>
      </w:pPr>
      <w:rPr>
        <w:rFonts w:hint="default"/>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360E711E"/>
    <w:multiLevelType w:val="hybridMultilevel"/>
    <w:tmpl w:val="3042A570"/>
    <w:lvl w:ilvl="0" w:tplc="FFFFFFFF">
      <w:start w:val="1"/>
      <w:numFmt w:val="lowerLetter"/>
      <w:lvlText w:val="(%1)"/>
      <w:lvlJc w:val="left"/>
      <w:pPr>
        <w:ind w:left="1890" w:hanging="360"/>
      </w:pPr>
      <w:rPr>
        <w:rFonts w:hint="default"/>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 w15:restartNumberingAfterBreak="0">
    <w:nsid w:val="36CE3707"/>
    <w:multiLevelType w:val="hybridMultilevel"/>
    <w:tmpl w:val="868894F0"/>
    <w:lvl w:ilvl="0" w:tplc="AC72FDA0">
      <w:start w:val="295"/>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53290868"/>
    <w:multiLevelType w:val="hybridMultilevel"/>
    <w:tmpl w:val="3042A570"/>
    <w:lvl w:ilvl="0" w:tplc="FFFFFFFF">
      <w:start w:val="1"/>
      <w:numFmt w:val="lowerLetter"/>
      <w:lvlText w:val="(%1)"/>
      <w:lvlJc w:val="left"/>
      <w:pPr>
        <w:ind w:left="1890" w:hanging="360"/>
      </w:pPr>
      <w:rPr>
        <w:rFonts w:hint="default"/>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7" w15:restartNumberingAfterBreak="0">
    <w:nsid w:val="69C61D64"/>
    <w:multiLevelType w:val="hybridMultilevel"/>
    <w:tmpl w:val="3042A570"/>
    <w:lvl w:ilvl="0" w:tplc="FFFFFFFF">
      <w:start w:val="1"/>
      <w:numFmt w:val="lowerLetter"/>
      <w:lvlText w:val="(%1)"/>
      <w:lvlJc w:val="left"/>
      <w:pPr>
        <w:ind w:left="2070" w:hanging="360"/>
      </w:pPr>
      <w:rPr>
        <w:rFonts w:hint="default"/>
      </w:rPr>
    </w:lvl>
    <w:lvl w:ilvl="1" w:tplc="FFFFFFFF" w:tentative="1">
      <w:start w:val="1"/>
      <w:numFmt w:val="lowerLetter"/>
      <w:lvlText w:val="%2."/>
      <w:lvlJc w:val="left"/>
      <w:pPr>
        <w:ind w:left="2610" w:hanging="360"/>
      </w:pPr>
    </w:lvl>
    <w:lvl w:ilvl="2" w:tplc="FFFFFFFF" w:tentative="1">
      <w:start w:val="1"/>
      <w:numFmt w:val="lowerRoman"/>
      <w:lvlText w:val="%3."/>
      <w:lvlJc w:val="right"/>
      <w:pPr>
        <w:ind w:left="3330" w:hanging="180"/>
      </w:pPr>
    </w:lvl>
    <w:lvl w:ilvl="3" w:tplc="FFFFFFFF" w:tentative="1">
      <w:start w:val="1"/>
      <w:numFmt w:val="decimal"/>
      <w:lvlText w:val="%4."/>
      <w:lvlJc w:val="left"/>
      <w:pPr>
        <w:ind w:left="4050" w:hanging="360"/>
      </w:pPr>
    </w:lvl>
    <w:lvl w:ilvl="4" w:tplc="FFFFFFFF" w:tentative="1">
      <w:start w:val="1"/>
      <w:numFmt w:val="lowerLetter"/>
      <w:lvlText w:val="%5."/>
      <w:lvlJc w:val="left"/>
      <w:pPr>
        <w:ind w:left="4770" w:hanging="360"/>
      </w:pPr>
    </w:lvl>
    <w:lvl w:ilvl="5" w:tplc="FFFFFFFF" w:tentative="1">
      <w:start w:val="1"/>
      <w:numFmt w:val="lowerRoman"/>
      <w:lvlText w:val="%6."/>
      <w:lvlJc w:val="right"/>
      <w:pPr>
        <w:ind w:left="5490" w:hanging="180"/>
      </w:pPr>
    </w:lvl>
    <w:lvl w:ilvl="6" w:tplc="FFFFFFFF" w:tentative="1">
      <w:start w:val="1"/>
      <w:numFmt w:val="decimal"/>
      <w:lvlText w:val="%7."/>
      <w:lvlJc w:val="left"/>
      <w:pPr>
        <w:ind w:left="6210" w:hanging="360"/>
      </w:pPr>
    </w:lvl>
    <w:lvl w:ilvl="7" w:tplc="FFFFFFFF" w:tentative="1">
      <w:start w:val="1"/>
      <w:numFmt w:val="lowerLetter"/>
      <w:lvlText w:val="%8."/>
      <w:lvlJc w:val="left"/>
      <w:pPr>
        <w:ind w:left="6930" w:hanging="360"/>
      </w:pPr>
    </w:lvl>
    <w:lvl w:ilvl="8" w:tplc="FFFFFFFF" w:tentative="1">
      <w:start w:val="1"/>
      <w:numFmt w:val="lowerRoman"/>
      <w:lvlText w:val="%9."/>
      <w:lvlJc w:val="right"/>
      <w:pPr>
        <w:ind w:left="7650" w:hanging="180"/>
      </w:pPr>
    </w:lvl>
  </w:abstractNum>
  <w:abstractNum w:abstractNumId="18" w15:restartNumberingAfterBreak="0">
    <w:nsid w:val="6A714F19"/>
    <w:multiLevelType w:val="multilevel"/>
    <w:tmpl w:val="4A8C3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4B4164"/>
    <w:multiLevelType w:val="multilevel"/>
    <w:tmpl w:val="B30AF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99568061">
    <w:abstractNumId w:val="5"/>
  </w:num>
  <w:num w:numId="2" w16cid:durableId="2038316169">
    <w:abstractNumId w:val="2"/>
  </w:num>
  <w:num w:numId="3" w16cid:durableId="692220303">
    <w:abstractNumId w:val="12"/>
  </w:num>
  <w:num w:numId="4" w16cid:durableId="1956790597">
    <w:abstractNumId w:val="8"/>
  </w:num>
  <w:num w:numId="5" w16cid:durableId="1940023855">
    <w:abstractNumId w:val="15"/>
  </w:num>
  <w:num w:numId="6" w16cid:durableId="1125467732">
    <w:abstractNumId w:val="11"/>
  </w:num>
  <w:num w:numId="7" w16cid:durableId="1499535085">
    <w:abstractNumId w:val="0"/>
  </w:num>
  <w:num w:numId="8" w16cid:durableId="936710763">
    <w:abstractNumId w:val="17"/>
  </w:num>
  <w:num w:numId="9" w16cid:durableId="183983925">
    <w:abstractNumId w:val="6"/>
  </w:num>
  <w:num w:numId="10" w16cid:durableId="558249563">
    <w:abstractNumId w:val="16"/>
  </w:num>
  <w:num w:numId="11" w16cid:durableId="1641692054">
    <w:abstractNumId w:val="14"/>
  </w:num>
  <w:num w:numId="12" w16cid:durableId="1203446926">
    <w:abstractNumId w:val="13"/>
  </w:num>
  <w:num w:numId="13" w16cid:durableId="815805344">
    <w:abstractNumId w:val="18"/>
  </w:num>
  <w:num w:numId="14" w16cid:durableId="1509523396">
    <w:abstractNumId w:val="7"/>
  </w:num>
  <w:num w:numId="15" w16cid:durableId="495650558">
    <w:abstractNumId w:val="19"/>
  </w:num>
  <w:num w:numId="16" w16cid:durableId="430904217">
    <w:abstractNumId w:val="4"/>
  </w:num>
  <w:num w:numId="17" w16cid:durableId="2078894823">
    <w:abstractNumId w:val="9"/>
  </w:num>
  <w:num w:numId="18" w16cid:durableId="1173183265">
    <w:abstractNumId w:val="10"/>
  </w:num>
  <w:num w:numId="19" w16cid:durableId="213202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93225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58A"/>
    <w:rsid w:val="0001658A"/>
    <w:rsid w:val="00016D7B"/>
    <w:rsid w:val="00020914"/>
    <w:rsid w:val="000259D0"/>
    <w:rsid w:val="00033814"/>
    <w:rsid w:val="00043971"/>
    <w:rsid w:val="00061B1E"/>
    <w:rsid w:val="00065FBE"/>
    <w:rsid w:val="00071128"/>
    <w:rsid w:val="00094796"/>
    <w:rsid w:val="000A0698"/>
    <w:rsid w:val="000B0506"/>
    <w:rsid w:val="000B1913"/>
    <w:rsid w:val="000B2873"/>
    <w:rsid w:val="000B2D85"/>
    <w:rsid w:val="000C308B"/>
    <w:rsid w:val="000D0321"/>
    <w:rsid w:val="000F5CAC"/>
    <w:rsid w:val="00103D35"/>
    <w:rsid w:val="00125521"/>
    <w:rsid w:val="001327EC"/>
    <w:rsid w:val="0013784C"/>
    <w:rsid w:val="001469B9"/>
    <w:rsid w:val="00156566"/>
    <w:rsid w:val="00162EF9"/>
    <w:rsid w:val="00181DE5"/>
    <w:rsid w:val="00197DBA"/>
    <w:rsid w:val="001C3522"/>
    <w:rsid w:val="001C665C"/>
    <w:rsid w:val="001D30A5"/>
    <w:rsid w:val="001D6F90"/>
    <w:rsid w:val="001E4086"/>
    <w:rsid w:val="001F4A08"/>
    <w:rsid w:val="001F6B18"/>
    <w:rsid w:val="00234DC1"/>
    <w:rsid w:val="00264E4B"/>
    <w:rsid w:val="00272992"/>
    <w:rsid w:val="002B181E"/>
    <w:rsid w:val="002C3A35"/>
    <w:rsid w:val="002E122C"/>
    <w:rsid w:val="002E1A21"/>
    <w:rsid w:val="002E61BE"/>
    <w:rsid w:val="002F5D5B"/>
    <w:rsid w:val="002F6D5E"/>
    <w:rsid w:val="0030190F"/>
    <w:rsid w:val="0030628E"/>
    <w:rsid w:val="00310285"/>
    <w:rsid w:val="003324BA"/>
    <w:rsid w:val="003355A1"/>
    <w:rsid w:val="00341F09"/>
    <w:rsid w:val="00355348"/>
    <w:rsid w:val="00360DE6"/>
    <w:rsid w:val="00375FE2"/>
    <w:rsid w:val="00380DEF"/>
    <w:rsid w:val="003817FA"/>
    <w:rsid w:val="00391F83"/>
    <w:rsid w:val="00394BCA"/>
    <w:rsid w:val="003E1820"/>
    <w:rsid w:val="004025D7"/>
    <w:rsid w:val="00414E4E"/>
    <w:rsid w:val="0042556F"/>
    <w:rsid w:val="00434B2A"/>
    <w:rsid w:val="00455287"/>
    <w:rsid w:val="00483051"/>
    <w:rsid w:val="004A1D92"/>
    <w:rsid w:val="004A23DC"/>
    <w:rsid w:val="004D08D1"/>
    <w:rsid w:val="0050161B"/>
    <w:rsid w:val="00540832"/>
    <w:rsid w:val="00546793"/>
    <w:rsid w:val="00550AB8"/>
    <w:rsid w:val="00552B19"/>
    <w:rsid w:val="00573064"/>
    <w:rsid w:val="00586978"/>
    <w:rsid w:val="005A1CBC"/>
    <w:rsid w:val="005B4A50"/>
    <w:rsid w:val="005F4942"/>
    <w:rsid w:val="006009F7"/>
    <w:rsid w:val="006051A4"/>
    <w:rsid w:val="00606C29"/>
    <w:rsid w:val="0065345E"/>
    <w:rsid w:val="00693394"/>
    <w:rsid w:val="006C651E"/>
    <w:rsid w:val="006D0D23"/>
    <w:rsid w:val="006F25E9"/>
    <w:rsid w:val="007018C5"/>
    <w:rsid w:val="00705940"/>
    <w:rsid w:val="0071267F"/>
    <w:rsid w:val="00724B22"/>
    <w:rsid w:val="007252EA"/>
    <w:rsid w:val="0073253B"/>
    <w:rsid w:val="00750F83"/>
    <w:rsid w:val="00765109"/>
    <w:rsid w:val="00766997"/>
    <w:rsid w:val="007758E4"/>
    <w:rsid w:val="007867F4"/>
    <w:rsid w:val="007873CA"/>
    <w:rsid w:val="007A52B8"/>
    <w:rsid w:val="007B5248"/>
    <w:rsid w:val="007C4A0A"/>
    <w:rsid w:val="007D3EBA"/>
    <w:rsid w:val="0080330A"/>
    <w:rsid w:val="00816D81"/>
    <w:rsid w:val="0081720C"/>
    <w:rsid w:val="008238C4"/>
    <w:rsid w:val="008254B9"/>
    <w:rsid w:val="008331C7"/>
    <w:rsid w:val="00854CDA"/>
    <w:rsid w:val="00856171"/>
    <w:rsid w:val="00860EB4"/>
    <w:rsid w:val="008B59B6"/>
    <w:rsid w:val="008D059F"/>
    <w:rsid w:val="008D7C9A"/>
    <w:rsid w:val="00903E53"/>
    <w:rsid w:val="00906E0F"/>
    <w:rsid w:val="009434AC"/>
    <w:rsid w:val="009451C2"/>
    <w:rsid w:val="00952327"/>
    <w:rsid w:val="00955403"/>
    <w:rsid w:val="00963DFB"/>
    <w:rsid w:val="009877DA"/>
    <w:rsid w:val="009E0A56"/>
    <w:rsid w:val="009E4FCD"/>
    <w:rsid w:val="009E7BFB"/>
    <w:rsid w:val="00A2703F"/>
    <w:rsid w:val="00A42A2E"/>
    <w:rsid w:val="00A44745"/>
    <w:rsid w:val="00A4568C"/>
    <w:rsid w:val="00A54433"/>
    <w:rsid w:val="00A56B11"/>
    <w:rsid w:val="00AC1D6A"/>
    <w:rsid w:val="00AF6285"/>
    <w:rsid w:val="00B0644D"/>
    <w:rsid w:val="00B07E22"/>
    <w:rsid w:val="00B10B8F"/>
    <w:rsid w:val="00B17E3B"/>
    <w:rsid w:val="00B310B9"/>
    <w:rsid w:val="00B37A05"/>
    <w:rsid w:val="00B51CC4"/>
    <w:rsid w:val="00B66C82"/>
    <w:rsid w:val="00B91718"/>
    <w:rsid w:val="00BA23F1"/>
    <w:rsid w:val="00BB3929"/>
    <w:rsid w:val="00BE1CC7"/>
    <w:rsid w:val="00C0109F"/>
    <w:rsid w:val="00C16227"/>
    <w:rsid w:val="00C24A7E"/>
    <w:rsid w:val="00C25704"/>
    <w:rsid w:val="00C30C36"/>
    <w:rsid w:val="00C31096"/>
    <w:rsid w:val="00C31B08"/>
    <w:rsid w:val="00C36556"/>
    <w:rsid w:val="00C71FF2"/>
    <w:rsid w:val="00C731F9"/>
    <w:rsid w:val="00C841D6"/>
    <w:rsid w:val="00C86DEA"/>
    <w:rsid w:val="00CA468D"/>
    <w:rsid w:val="00CC7A2C"/>
    <w:rsid w:val="00CD23EC"/>
    <w:rsid w:val="00CF742D"/>
    <w:rsid w:val="00D04E13"/>
    <w:rsid w:val="00D06089"/>
    <w:rsid w:val="00D167E1"/>
    <w:rsid w:val="00D176E2"/>
    <w:rsid w:val="00D416AA"/>
    <w:rsid w:val="00D51705"/>
    <w:rsid w:val="00D528BC"/>
    <w:rsid w:val="00D60980"/>
    <w:rsid w:val="00D84182"/>
    <w:rsid w:val="00DB0AB5"/>
    <w:rsid w:val="00DC439A"/>
    <w:rsid w:val="00DF7097"/>
    <w:rsid w:val="00E01ACF"/>
    <w:rsid w:val="00E27599"/>
    <w:rsid w:val="00E348EE"/>
    <w:rsid w:val="00E51B07"/>
    <w:rsid w:val="00E619D2"/>
    <w:rsid w:val="00E70E63"/>
    <w:rsid w:val="00E76ED4"/>
    <w:rsid w:val="00EC5D62"/>
    <w:rsid w:val="00F41034"/>
    <w:rsid w:val="00F64434"/>
    <w:rsid w:val="00F665DC"/>
    <w:rsid w:val="00F671EF"/>
    <w:rsid w:val="00FA3737"/>
    <w:rsid w:val="00FA4400"/>
    <w:rsid w:val="00FB6048"/>
    <w:rsid w:val="00FC32C8"/>
    <w:rsid w:val="00FE5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E1F41"/>
  <w15:chartTrackingRefBased/>
  <w15:docId w15:val="{7FA88C90-A3DA-4BED-A840-197022180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58A"/>
    <w:pPr>
      <w:spacing w:after="0" w:line="240" w:lineRule="auto"/>
    </w:pPr>
    <w:rPr>
      <w:rFonts w:ascii="Arial" w:eastAsiaTheme="minorHAnsi" w:hAnsi="Arial"/>
    </w:rPr>
  </w:style>
  <w:style w:type="paragraph" w:styleId="Heading1">
    <w:name w:val="heading 1"/>
    <w:basedOn w:val="Normal"/>
    <w:next w:val="Normal"/>
    <w:link w:val="Heading1Char"/>
    <w:uiPriority w:val="1"/>
    <w:qFormat/>
    <w:rsid w:val="00C31B08"/>
    <w:pPr>
      <w:spacing w:after="240"/>
      <w:outlineLvl w:val="0"/>
    </w:pPr>
    <w:rPr>
      <w:snapToGrid w:val="0"/>
    </w:rPr>
  </w:style>
  <w:style w:type="paragraph" w:styleId="Heading2">
    <w:name w:val="heading 2"/>
    <w:basedOn w:val="Normal"/>
    <w:next w:val="Normal"/>
    <w:link w:val="Heading2Char"/>
    <w:uiPriority w:val="1"/>
    <w:qFormat/>
    <w:rsid w:val="00C31B08"/>
    <w:pPr>
      <w:spacing w:after="240"/>
      <w:outlineLvl w:val="1"/>
    </w:pPr>
    <w:rPr>
      <w:snapToGrid w:val="0"/>
    </w:rPr>
  </w:style>
  <w:style w:type="paragraph" w:styleId="Heading3">
    <w:name w:val="heading 3"/>
    <w:basedOn w:val="Normal"/>
    <w:next w:val="Normal"/>
    <w:link w:val="Heading3Char"/>
    <w:uiPriority w:val="1"/>
    <w:qFormat/>
    <w:rsid w:val="00C31B08"/>
    <w:pPr>
      <w:spacing w:after="240"/>
      <w:outlineLvl w:val="2"/>
    </w:pPr>
    <w:rPr>
      <w:snapToGrid w:val="0"/>
    </w:rPr>
  </w:style>
  <w:style w:type="paragraph" w:styleId="Heading4">
    <w:name w:val="heading 4"/>
    <w:basedOn w:val="Normal"/>
    <w:next w:val="Normal"/>
    <w:link w:val="Heading4Char"/>
    <w:uiPriority w:val="1"/>
    <w:qFormat/>
    <w:rsid w:val="00C31B08"/>
    <w:pPr>
      <w:spacing w:after="240"/>
      <w:outlineLvl w:val="3"/>
    </w:pPr>
    <w:rPr>
      <w:snapToGrid w:val="0"/>
    </w:rPr>
  </w:style>
  <w:style w:type="paragraph" w:styleId="Heading5">
    <w:name w:val="heading 5"/>
    <w:basedOn w:val="Normal"/>
    <w:next w:val="Normal"/>
    <w:link w:val="Heading5Char"/>
    <w:uiPriority w:val="1"/>
    <w:qFormat/>
    <w:rsid w:val="00C31B08"/>
    <w:pPr>
      <w:spacing w:after="240"/>
      <w:outlineLvl w:val="4"/>
    </w:pPr>
    <w:rPr>
      <w:snapToGrid w:val="0"/>
    </w:rPr>
  </w:style>
  <w:style w:type="paragraph" w:styleId="Heading6">
    <w:name w:val="heading 6"/>
    <w:basedOn w:val="Normal"/>
    <w:next w:val="Normal"/>
    <w:link w:val="Heading6Char"/>
    <w:uiPriority w:val="1"/>
    <w:qFormat/>
    <w:rsid w:val="00C31B08"/>
    <w:pPr>
      <w:tabs>
        <w:tab w:val="num" w:pos="2160"/>
      </w:tabs>
      <w:spacing w:after="240"/>
      <w:outlineLvl w:val="5"/>
    </w:pPr>
  </w:style>
  <w:style w:type="paragraph" w:styleId="Heading7">
    <w:name w:val="heading 7"/>
    <w:basedOn w:val="Normal"/>
    <w:next w:val="Normal"/>
    <w:link w:val="Heading7Char"/>
    <w:uiPriority w:val="1"/>
    <w:qFormat/>
    <w:rsid w:val="00C31B08"/>
    <w:pPr>
      <w:tabs>
        <w:tab w:val="num" w:pos="2520"/>
      </w:tabs>
      <w:spacing w:after="240"/>
      <w:outlineLvl w:val="6"/>
    </w:pPr>
  </w:style>
  <w:style w:type="paragraph" w:styleId="Heading8">
    <w:name w:val="heading 8"/>
    <w:basedOn w:val="Normal"/>
    <w:next w:val="Normal"/>
    <w:link w:val="Heading8Char"/>
    <w:uiPriority w:val="1"/>
    <w:qFormat/>
    <w:rsid w:val="00C31B08"/>
    <w:pPr>
      <w:tabs>
        <w:tab w:val="num" w:pos="2880"/>
      </w:tabs>
      <w:spacing w:after="240"/>
      <w:outlineLvl w:val="7"/>
    </w:pPr>
  </w:style>
  <w:style w:type="paragraph" w:styleId="Heading9">
    <w:name w:val="heading 9"/>
    <w:basedOn w:val="Normal"/>
    <w:next w:val="Normal"/>
    <w:link w:val="Heading9Char"/>
    <w:uiPriority w:val="1"/>
    <w:qFormat/>
    <w:rsid w:val="00C31B08"/>
    <w:pPr>
      <w:tabs>
        <w:tab w:val="num" w:pos="3240"/>
      </w:tabs>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Bb">
    <w:name w:val="HBb"/>
    <w:basedOn w:val="Normal"/>
    <w:uiPriority w:val="1"/>
    <w:qFormat/>
    <w:rsid w:val="00C31B08"/>
    <w:pPr>
      <w:spacing w:after="240"/>
      <w:ind w:firstLine="720"/>
    </w:pPr>
  </w:style>
  <w:style w:type="paragraph" w:customStyle="1" w:styleId="HBbd">
    <w:name w:val="HBbd"/>
    <w:basedOn w:val="Normal"/>
    <w:uiPriority w:val="1"/>
    <w:qFormat/>
    <w:rsid w:val="00C31B08"/>
    <w:pPr>
      <w:spacing w:line="480" w:lineRule="auto"/>
      <w:ind w:firstLine="720"/>
    </w:pPr>
  </w:style>
  <w:style w:type="paragraph" w:customStyle="1" w:styleId="HBbj">
    <w:name w:val="HBbj"/>
    <w:basedOn w:val="Normal"/>
    <w:uiPriority w:val="1"/>
    <w:qFormat/>
    <w:rsid w:val="00C31B08"/>
    <w:pPr>
      <w:spacing w:after="240"/>
      <w:ind w:firstLine="720"/>
      <w:jc w:val="both"/>
    </w:pPr>
  </w:style>
  <w:style w:type="paragraph" w:customStyle="1" w:styleId="HBbjd">
    <w:name w:val="HBbjd"/>
    <w:basedOn w:val="Normal"/>
    <w:uiPriority w:val="1"/>
    <w:qFormat/>
    <w:rsid w:val="00C31B08"/>
    <w:pPr>
      <w:spacing w:line="480" w:lineRule="auto"/>
      <w:ind w:firstLine="720"/>
      <w:jc w:val="both"/>
    </w:pPr>
  </w:style>
  <w:style w:type="paragraph" w:customStyle="1" w:styleId="HBbl">
    <w:name w:val="HBbl"/>
    <w:basedOn w:val="Normal"/>
    <w:uiPriority w:val="1"/>
    <w:qFormat/>
    <w:rsid w:val="00C31B08"/>
    <w:pPr>
      <w:spacing w:after="240"/>
    </w:pPr>
  </w:style>
  <w:style w:type="paragraph" w:customStyle="1" w:styleId="HBbl1">
    <w:name w:val="HBbl1"/>
    <w:basedOn w:val="Normal"/>
    <w:uiPriority w:val="1"/>
    <w:qFormat/>
    <w:rsid w:val="00C31B08"/>
    <w:pPr>
      <w:spacing w:after="240"/>
      <w:ind w:left="720"/>
    </w:pPr>
  </w:style>
  <w:style w:type="paragraph" w:customStyle="1" w:styleId="HBbl1d">
    <w:name w:val="HBbl1d"/>
    <w:basedOn w:val="Normal"/>
    <w:uiPriority w:val="1"/>
    <w:qFormat/>
    <w:rsid w:val="00C31B08"/>
    <w:pPr>
      <w:spacing w:line="480" w:lineRule="auto"/>
      <w:ind w:left="720"/>
    </w:pPr>
  </w:style>
  <w:style w:type="paragraph" w:customStyle="1" w:styleId="HBbl1j">
    <w:name w:val="HBbl1j"/>
    <w:basedOn w:val="Normal"/>
    <w:uiPriority w:val="1"/>
    <w:qFormat/>
    <w:rsid w:val="00C31B08"/>
    <w:pPr>
      <w:spacing w:after="240"/>
      <w:ind w:left="720"/>
      <w:jc w:val="both"/>
    </w:pPr>
  </w:style>
  <w:style w:type="paragraph" w:customStyle="1" w:styleId="HBbl1jD">
    <w:name w:val="HBbl1jD"/>
    <w:basedOn w:val="Normal"/>
    <w:uiPriority w:val="1"/>
    <w:qFormat/>
    <w:rsid w:val="00C31B08"/>
    <w:pPr>
      <w:spacing w:line="480" w:lineRule="auto"/>
      <w:ind w:left="720"/>
      <w:jc w:val="both"/>
    </w:pPr>
  </w:style>
  <w:style w:type="paragraph" w:customStyle="1" w:styleId="HBbld">
    <w:name w:val="HBbld"/>
    <w:basedOn w:val="Normal"/>
    <w:uiPriority w:val="1"/>
    <w:qFormat/>
    <w:rsid w:val="00C31B08"/>
    <w:pPr>
      <w:spacing w:line="480" w:lineRule="auto"/>
    </w:pPr>
  </w:style>
  <w:style w:type="paragraph" w:customStyle="1" w:styleId="HBblj">
    <w:name w:val="HBblj"/>
    <w:basedOn w:val="Normal"/>
    <w:uiPriority w:val="1"/>
    <w:qFormat/>
    <w:rsid w:val="00C31B08"/>
    <w:pPr>
      <w:spacing w:after="240"/>
      <w:jc w:val="both"/>
    </w:pPr>
  </w:style>
  <w:style w:type="paragraph" w:customStyle="1" w:styleId="HBbljd">
    <w:name w:val="HBbljd"/>
    <w:basedOn w:val="Normal"/>
    <w:uiPriority w:val="1"/>
    <w:qFormat/>
    <w:rsid w:val="00C31B08"/>
    <w:pPr>
      <w:spacing w:line="480" w:lineRule="auto"/>
      <w:jc w:val="both"/>
    </w:pPr>
  </w:style>
  <w:style w:type="paragraph" w:customStyle="1" w:styleId="HBbul">
    <w:name w:val="HBbul"/>
    <w:basedOn w:val="Normal"/>
    <w:uiPriority w:val="1"/>
    <w:qFormat/>
    <w:rsid w:val="00C31B08"/>
    <w:pPr>
      <w:keepLines/>
      <w:numPr>
        <w:numId w:val="1"/>
      </w:numPr>
      <w:spacing w:before="120" w:after="120"/>
    </w:pPr>
    <w:rPr>
      <w:sz w:val="18"/>
    </w:rPr>
  </w:style>
  <w:style w:type="paragraph" w:customStyle="1" w:styleId="HBh">
    <w:name w:val="HBh"/>
    <w:basedOn w:val="Normal"/>
    <w:uiPriority w:val="1"/>
    <w:qFormat/>
    <w:rsid w:val="00C31B08"/>
    <w:pPr>
      <w:spacing w:after="240"/>
      <w:ind w:left="720" w:hanging="720"/>
    </w:pPr>
  </w:style>
  <w:style w:type="paragraph" w:customStyle="1" w:styleId="HBhd">
    <w:name w:val="HBhd"/>
    <w:basedOn w:val="Normal"/>
    <w:uiPriority w:val="1"/>
    <w:qFormat/>
    <w:rsid w:val="00C31B08"/>
    <w:pPr>
      <w:spacing w:line="480" w:lineRule="auto"/>
      <w:ind w:left="720" w:hanging="720"/>
    </w:pPr>
  </w:style>
  <w:style w:type="paragraph" w:customStyle="1" w:styleId="HBq">
    <w:name w:val="HBq"/>
    <w:basedOn w:val="Normal"/>
    <w:uiPriority w:val="1"/>
    <w:qFormat/>
    <w:rsid w:val="00C31B08"/>
    <w:pPr>
      <w:spacing w:after="240"/>
      <w:ind w:left="720" w:right="720"/>
    </w:pPr>
  </w:style>
  <w:style w:type="paragraph" w:customStyle="1" w:styleId="HBqj">
    <w:name w:val="HBqj"/>
    <w:basedOn w:val="Normal"/>
    <w:uiPriority w:val="1"/>
    <w:qFormat/>
    <w:rsid w:val="00C31B08"/>
    <w:pPr>
      <w:spacing w:after="240"/>
      <w:ind w:left="720" w:right="720"/>
      <w:jc w:val="both"/>
    </w:pPr>
  </w:style>
  <w:style w:type="paragraph" w:customStyle="1" w:styleId="HBsbul">
    <w:name w:val="HBsbul"/>
    <w:basedOn w:val="Normal"/>
    <w:uiPriority w:val="1"/>
    <w:qFormat/>
    <w:rsid w:val="00C31B08"/>
    <w:pPr>
      <w:numPr>
        <w:numId w:val="2"/>
      </w:numPr>
      <w:spacing w:after="120"/>
    </w:pPr>
    <w:rPr>
      <w:sz w:val="18"/>
    </w:rPr>
  </w:style>
  <w:style w:type="paragraph" w:customStyle="1" w:styleId="HBsig">
    <w:name w:val="HBsig"/>
    <w:basedOn w:val="Normal"/>
    <w:uiPriority w:val="1"/>
    <w:qFormat/>
    <w:rsid w:val="00C31B08"/>
    <w:pPr>
      <w:keepNext/>
      <w:tabs>
        <w:tab w:val="right" w:pos="9216"/>
      </w:tabs>
      <w:ind w:left="4320"/>
    </w:pPr>
  </w:style>
  <w:style w:type="paragraph" w:customStyle="1" w:styleId="HBsl">
    <w:name w:val="HBsl"/>
    <w:basedOn w:val="Normal"/>
    <w:next w:val="HBb"/>
    <w:uiPriority w:val="1"/>
    <w:qFormat/>
    <w:rsid w:val="00C31B08"/>
    <w:pPr>
      <w:keepNext/>
      <w:spacing w:after="240"/>
    </w:pPr>
    <w:rPr>
      <w:u w:val="single"/>
    </w:rPr>
  </w:style>
  <w:style w:type="paragraph" w:customStyle="1" w:styleId="HBslb">
    <w:name w:val="HBslb"/>
    <w:basedOn w:val="Normal"/>
    <w:next w:val="Normal"/>
    <w:uiPriority w:val="1"/>
    <w:qFormat/>
    <w:rsid w:val="00C31B08"/>
    <w:pPr>
      <w:keepNext/>
      <w:spacing w:after="240"/>
      <w:outlineLvl w:val="1"/>
    </w:pPr>
    <w:rPr>
      <w:b/>
      <w:u w:val="single"/>
    </w:rPr>
  </w:style>
  <w:style w:type="paragraph" w:customStyle="1" w:styleId="HBsn">
    <w:name w:val="HBsn"/>
    <w:basedOn w:val="Normal"/>
    <w:uiPriority w:val="1"/>
    <w:qFormat/>
    <w:rsid w:val="00C31B08"/>
    <w:pPr>
      <w:keepNext/>
      <w:spacing w:before="960" w:after="240"/>
      <w:ind w:left="4320"/>
      <w:contextualSpacing/>
    </w:pPr>
  </w:style>
  <w:style w:type="paragraph" w:customStyle="1" w:styleId="HBtb2">
    <w:name w:val="HBtb2"/>
    <w:basedOn w:val="Normal"/>
    <w:uiPriority w:val="1"/>
    <w:qFormat/>
    <w:rsid w:val="00C31B08"/>
    <w:pPr>
      <w:keepNext/>
      <w:spacing w:after="240"/>
      <w:jc w:val="center"/>
      <w:outlineLvl w:val="0"/>
    </w:pPr>
    <w:rPr>
      <w:b/>
    </w:rPr>
  </w:style>
  <w:style w:type="paragraph" w:customStyle="1" w:styleId="HBtbu">
    <w:name w:val="HBtbu"/>
    <w:basedOn w:val="Normal"/>
    <w:uiPriority w:val="1"/>
    <w:qFormat/>
    <w:rsid w:val="00C31B08"/>
    <w:pPr>
      <w:keepNext/>
      <w:spacing w:after="240"/>
      <w:jc w:val="center"/>
      <w:outlineLvl w:val="0"/>
    </w:pPr>
    <w:rPr>
      <w:b/>
      <w:u w:val="single"/>
    </w:rPr>
  </w:style>
  <w:style w:type="paragraph" w:customStyle="1" w:styleId="HBtbu3">
    <w:name w:val="HBtbu3"/>
    <w:basedOn w:val="Normal"/>
    <w:uiPriority w:val="1"/>
    <w:qFormat/>
    <w:rsid w:val="00C31B08"/>
    <w:pPr>
      <w:keepNext/>
      <w:spacing w:after="480"/>
      <w:jc w:val="center"/>
      <w:outlineLvl w:val="0"/>
    </w:pPr>
    <w:rPr>
      <w:b/>
      <w:u w:val="single"/>
    </w:rPr>
  </w:style>
  <w:style w:type="paragraph" w:customStyle="1" w:styleId="HBtu2">
    <w:name w:val="HBtu2"/>
    <w:basedOn w:val="Normal"/>
    <w:uiPriority w:val="1"/>
    <w:qFormat/>
    <w:rsid w:val="00C31B08"/>
    <w:pPr>
      <w:keepNext/>
      <w:spacing w:after="240"/>
      <w:jc w:val="center"/>
      <w:outlineLvl w:val="0"/>
    </w:pPr>
    <w:rPr>
      <w:u w:val="single"/>
    </w:rPr>
  </w:style>
  <w:style w:type="character" w:customStyle="1" w:styleId="Heading1Char">
    <w:name w:val="Heading 1 Char"/>
    <w:link w:val="Heading1"/>
    <w:uiPriority w:val="1"/>
    <w:rsid w:val="00C31B08"/>
    <w:rPr>
      <w:rFonts w:ascii="Times New Roman" w:eastAsia="Times New Roman" w:hAnsi="Times New Roman" w:cs="Times New Roman"/>
      <w:snapToGrid w:val="0"/>
      <w:sz w:val="24"/>
      <w:szCs w:val="24"/>
    </w:rPr>
  </w:style>
  <w:style w:type="character" w:customStyle="1" w:styleId="Heading2Char">
    <w:name w:val="Heading 2 Char"/>
    <w:link w:val="Heading2"/>
    <w:uiPriority w:val="1"/>
    <w:rsid w:val="00C31B08"/>
    <w:rPr>
      <w:rFonts w:ascii="Times New Roman" w:eastAsia="Times New Roman" w:hAnsi="Times New Roman" w:cs="Times New Roman"/>
      <w:snapToGrid w:val="0"/>
      <w:sz w:val="24"/>
      <w:szCs w:val="24"/>
    </w:rPr>
  </w:style>
  <w:style w:type="character" w:customStyle="1" w:styleId="Heading3Char">
    <w:name w:val="Heading 3 Char"/>
    <w:link w:val="Heading3"/>
    <w:uiPriority w:val="1"/>
    <w:rsid w:val="00C31B08"/>
    <w:rPr>
      <w:rFonts w:ascii="Times New Roman" w:eastAsia="Times New Roman" w:hAnsi="Times New Roman" w:cs="Times New Roman"/>
      <w:snapToGrid w:val="0"/>
      <w:sz w:val="24"/>
      <w:szCs w:val="24"/>
    </w:rPr>
  </w:style>
  <w:style w:type="character" w:customStyle="1" w:styleId="Heading4Char">
    <w:name w:val="Heading 4 Char"/>
    <w:link w:val="Heading4"/>
    <w:uiPriority w:val="1"/>
    <w:rsid w:val="00C31B08"/>
    <w:rPr>
      <w:rFonts w:ascii="Times New Roman" w:eastAsia="Times New Roman" w:hAnsi="Times New Roman" w:cs="Times New Roman"/>
      <w:snapToGrid w:val="0"/>
      <w:sz w:val="24"/>
      <w:szCs w:val="24"/>
    </w:rPr>
  </w:style>
  <w:style w:type="character" w:customStyle="1" w:styleId="Heading5Char">
    <w:name w:val="Heading 5 Char"/>
    <w:link w:val="Heading5"/>
    <w:uiPriority w:val="1"/>
    <w:rsid w:val="00C31B08"/>
    <w:rPr>
      <w:rFonts w:ascii="Times New Roman" w:eastAsia="Times New Roman" w:hAnsi="Times New Roman" w:cs="Times New Roman"/>
      <w:snapToGrid w:val="0"/>
      <w:sz w:val="24"/>
      <w:szCs w:val="24"/>
    </w:rPr>
  </w:style>
  <w:style w:type="character" w:customStyle="1" w:styleId="Heading6Char">
    <w:name w:val="Heading 6 Char"/>
    <w:link w:val="Heading6"/>
    <w:uiPriority w:val="1"/>
    <w:rsid w:val="00C31B08"/>
    <w:rPr>
      <w:rFonts w:ascii="Times New Roman" w:eastAsia="Times New Roman" w:hAnsi="Times New Roman" w:cs="Times New Roman"/>
      <w:sz w:val="24"/>
      <w:szCs w:val="24"/>
    </w:rPr>
  </w:style>
  <w:style w:type="character" w:customStyle="1" w:styleId="Heading7Char">
    <w:name w:val="Heading 7 Char"/>
    <w:link w:val="Heading7"/>
    <w:uiPriority w:val="1"/>
    <w:rsid w:val="00C31B08"/>
    <w:rPr>
      <w:rFonts w:ascii="Times New Roman" w:eastAsia="Times New Roman" w:hAnsi="Times New Roman" w:cs="Times New Roman"/>
      <w:sz w:val="24"/>
      <w:szCs w:val="24"/>
    </w:rPr>
  </w:style>
  <w:style w:type="character" w:customStyle="1" w:styleId="Heading8Char">
    <w:name w:val="Heading 8 Char"/>
    <w:link w:val="Heading8"/>
    <w:uiPriority w:val="1"/>
    <w:rsid w:val="00C31B08"/>
    <w:rPr>
      <w:rFonts w:ascii="Times New Roman" w:eastAsia="Times New Roman" w:hAnsi="Times New Roman" w:cs="Times New Roman"/>
      <w:sz w:val="24"/>
      <w:szCs w:val="24"/>
    </w:rPr>
  </w:style>
  <w:style w:type="character" w:customStyle="1" w:styleId="Heading9Char">
    <w:name w:val="Heading 9 Char"/>
    <w:link w:val="Heading9"/>
    <w:uiPriority w:val="1"/>
    <w:rsid w:val="00C31B08"/>
    <w:rPr>
      <w:rFonts w:ascii="Times New Roman" w:eastAsia="Times New Roman" w:hAnsi="Times New Roman" w:cs="Times New Roman"/>
      <w:sz w:val="24"/>
      <w:szCs w:val="24"/>
    </w:rPr>
  </w:style>
  <w:style w:type="paragraph" w:customStyle="1" w:styleId="MarysStyle">
    <w:name w:val="Mary's Style"/>
    <w:basedOn w:val="Normal"/>
    <w:uiPriority w:val="19"/>
    <w:semiHidden/>
    <w:rsid w:val="00C31B08"/>
    <w:rPr>
      <w:rFonts w:ascii="Chiller" w:hAnsi="Chiller"/>
      <w:color w:val="5F497A"/>
      <w:sz w:val="32"/>
    </w:rPr>
  </w:style>
  <w:style w:type="paragraph" w:styleId="Title">
    <w:name w:val="Title"/>
    <w:basedOn w:val="Normal"/>
    <w:link w:val="TitleChar"/>
    <w:uiPriority w:val="1"/>
    <w:qFormat/>
    <w:rsid w:val="00C31B08"/>
    <w:pPr>
      <w:spacing w:before="240" w:after="60"/>
      <w:jc w:val="center"/>
      <w:outlineLvl w:val="0"/>
    </w:pPr>
    <w:rPr>
      <w:rFonts w:cs="Arial"/>
      <w:b/>
      <w:bCs/>
      <w:kern w:val="28"/>
      <w:sz w:val="36"/>
      <w:szCs w:val="32"/>
    </w:rPr>
  </w:style>
  <w:style w:type="character" w:customStyle="1" w:styleId="TitleChar">
    <w:name w:val="Title Char"/>
    <w:link w:val="Title"/>
    <w:uiPriority w:val="1"/>
    <w:rsid w:val="00C31B08"/>
    <w:rPr>
      <w:rFonts w:ascii="Times New Roman" w:eastAsia="Times New Roman" w:hAnsi="Times New Roman" w:cs="Arial"/>
      <w:b/>
      <w:bCs/>
      <w:kern w:val="28"/>
      <w:sz w:val="36"/>
      <w:szCs w:val="32"/>
    </w:rPr>
  </w:style>
  <w:style w:type="paragraph" w:styleId="ListParagraph">
    <w:name w:val="List Paragraph"/>
    <w:basedOn w:val="Normal"/>
    <w:uiPriority w:val="34"/>
    <w:qFormat/>
    <w:rsid w:val="0001658A"/>
    <w:pPr>
      <w:ind w:left="720"/>
      <w:contextualSpacing/>
    </w:pPr>
  </w:style>
  <w:style w:type="paragraph" w:styleId="Header">
    <w:name w:val="header"/>
    <w:basedOn w:val="Normal"/>
    <w:link w:val="HeaderChar"/>
    <w:uiPriority w:val="99"/>
    <w:unhideWhenUsed/>
    <w:rsid w:val="0001658A"/>
    <w:pPr>
      <w:tabs>
        <w:tab w:val="center" w:pos="4680"/>
        <w:tab w:val="right" w:pos="9360"/>
      </w:tabs>
    </w:pPr>
  </w:style>
  <w:style w:type="character" w:customStyle="1" w:styleId="HeaderChar">
    <w:name w:val="Header Char"/>
    <w:basedOn w:val="DefaultParagraphFont"/>
    <w:link w:val="Header"/>
    <w:uiPriority w:val="99"/>
    <w:rsid w:val="0001658A"/>
    <w:rPr>
      <w:rFonts w:ascii="Arial" w:eastAsiaTheme="minorHAnsi" w:hAnsi="Arial"/>
    </w:rPr>
  </w:style>
  <w:style w:type="paragraph" w:styleId="Footer">
    <w:name w:val="footer"/>
    <w:basedOn w:val="Normal"/>
    <w:link w:val="FooterChar"/>
    <w:uiPriority w:val="99"/>
    <w:unhideWhenUsed/>
    <w:rsid w:val="0001658A"/>
    <w:pPr>
      <w:tabs>
        <w:tab w:val="center" w:pos="4680"/>
        <w:tab w:val="right" w:pos="9360"/>
      </w:tabs>
    </w:pPr>
  </w:style>
  <w:style w:type="character" w:customStyle="1" w:styleId="FooterChar">
    <w:name w:val="Footer Char"/>
    <w:basedOn w:val="DefaultParagraphFont"/>
    <w:link w:val="Footer"/>
    <w:uiPriority w:val="99"/>
    <w:rsid w:val="0001658A"/>
    <w:rPr>
      <w:rFonts w:ascii="Arial" w:eastAsiaTheme="minorHAnsi" w:hAnsi="Arial"/>
    </w:rPr>
  </w:style>
  <w:style w:type="paragraph" w:customStyle="1" w:styleId="AuthorInfo">
    <w:name w:val="_AuthorInfo"/>
    <w:basedOn w:val="Normal"/>
    <w:uiPriority w:val="99"/>
    <w:unhideWhenUsed/>
    <w:rsid w:val="0001658A"/>
    <w:rPr>
      <w:rFonts w:ascii="Times New Roman" w:eastAsia="Times New Roman" w:hAnsi="Times New Roman" w:cs="Times New Roman"/>
      <w:sz w:val="20"/>
      <w:szCs w:val="20"/>
    </w:rPr>
  </w:style>
  <w:style w:type="table" w:styleId="TableGrid">
    <w:name w:val="Table Grid"/>
    <w:basedOn w:val="TableNormal"/>
    <w:uiPriority w:val="39"/>
    <w:rsid w:val="00DF7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D08D1"/>
    <w:pPr>
      <w:spacing w:after="0" w:line="240" w:lineRule="auto"/>
    </w:pPr>
    <w:rPr>
      <w:rFonts w:ascii="Arial" w:eastAsiaTheme="minorHAnsi" w:hAnsi="Arial"/>
    </w:rPr>
  </w:style>
  <w:style w:type="character" w:styleId="CommentReference">
    <w:name w:val="annotation reference"/>
    <w:basedOn w:val="DefaultParagraphFont"/>
    <w:uiPriority w:val="99"/>
    <w:semiHidden/>
    <w:unhideWhenUsed/>
    <w:rsid w:val="004D08D1"/>
    <w:rPr>
      <w:sz w:val="16"/>
      <w:szCs w:val="16"/>
    </w:rPr>
  </w:style>
  <w:style w:type="paragraph" w:styleId="CommentText">
    <w:name w:val="annotation text"/>
    <w:basedOn w:val="Normal"/>
    <w:link w:val="CommentTextChar"/>
    <w:uiPriority w:val="99"/>
    <w:unhideWhenUsed/>
    <w:rsid w:val="004D08D1"/>
    <w:rPr>
      <w:sz w:val="20"/>
      <w:szCs w:val="20"/>
    </w:rPr>
  </w:style>
  <w:style w:type="character" w:customStyle="1" w:styleId="CommentTextChar">
    <w:name w:val="Comment Text Char"/>
    <w:basedOn w:val="DefaultParagraphFont"/>
    <w:link w:val="CommentText"/>
    <w:uiPriority w:val="99"/>
    <w:rsid w:val="004D08D1"/>
    <w:rPr>
      <w:rFonts w:ascii="Arial" w:eastAsiaTheme="minorHAnsi" w:hAnsi="Arial"/>
      <w:sz w:val="20"/>
      <w:szCs w:val="20"/>
    </w:rPr>
  </w:style>
  <w:style w:type="paragraph" w:styleId="CommentSubject">
    <w:name w:val="annotation subject"/>
    <w:basedOn w:val="CommentText"/>
    <w:next w:val="CommentText"/>
    <w:link w:val="CommentSubjectChar"/>
    <w:uiPriority w:val="99"/>
    <w:semiHidden/>
    <w:unhideWhenUsed/>
    <w:rsid w:val="004D08D1"/>
    <w:rPr>
      <w:b/>
      <w:bCs/>
    </w:rPr>
  </w:style>
  <w:style w:type="character" w:customStyle="1" w:styleId="CommentSubjectChar">
    <w:name w:val="Comment Subject Char"/>
    <w:basedOn w:val="CommentTextChar"/>
    <w:link w:val="CommentSubject"/>
    <w:uiPriority w:val="99"/>
    <w:semiHidden/>
    <w:rsid w:val="004D08D1"/>
    <w:rPr>
      <w:rFonts w:ascii="Arial" w:eastAsiaTheme="minorHAnsi" w:hAnsi="Arial"/>
      <w:b/>
      <w:bCs/>
      <w:sz w:val="20"/>
      <w:szCs w:val="20"/>
    </w:rPr>
  </w:style>
  <w:style w:type="paragraph" w:styleId="FootnoteText">
    <w:name w:val="footnote text"/>
    <w:basedOn w:val="Normal"/>
    <w:link w:val="FootnoteTextChar"/>
    <w:uiPriority w:val="99"/>
    <w:semiHidden/>
    <w:unhideWhenUsed/>
    <w:rsid w:val="0030190F"/>
    <w:rPr>
      <w:sz w:val="20"/>
      <w:szCs w:val="20"/>
    </w:rPr>
  </w:style>
  <w:style w:type="character" w:customStyle="1" w:styleId="FootnoteTextChar">
    <w:name w:val="Footnote Text Char"/>
    <w:basedOn w:val="DefaultParagraphFont"/>
    <w:link w:val="FootnoteText"/>
    <w:uiPriority w:val="99"/>
    <w:semiHidden/>
    <w:rsid w:val="0030190F"/>
    <w:rPr>
      <w:rFonts w:ascii="Arial" w:eastAsiaTheme="minorHAnsi" w:hAnsi="Arial"/>
      <w:sz w:val="20"/>
      <w:szCs w:val="20"/>
    </w:rPr>
  </w:style>
  <w:style w:type="character" w:styleId="FootnoteReference">
    <w:name w:val="footnote reference"/>
    <w:basedOn w:val="DefaultParagraphFont"/>
    <w:uiPriority w:val="99"/>
    <w:semiHidden/>
    <w:unhideWhenUsed/>
    <w:rsid w:val="0030190F"/>
    <w:rPr>
      <w:vertAlign w:val="superscript"/>
    </w:rPr>
  </w:style>
  <w:style w:type="paragraph" w:customStyle="1" w:styleId="AuthorName">
    <w:name w:val="_AuthorName"/>
    <w:basedOn w:val="Normal"/>
    <w:next w:val="AuthorInfo"/>
    <w:uiPriority w:val="99"/>
    <w:semiHidden/>
    <w:unhideWhenUsed/>
    <w:rsid w:val="00F671EF"/>
    <w:rPr>
      <w:rFonts w:ascii="Times New Roman" w:eastAsia="Times New Roman" w:hAnsi="Times New Roman" w:cs="Times New Roman"/>
      <w:szCs w:val="20"/>
    </w:rPr>
  </w:style>
  <w:style w:type="character" w:styleId="Hyperlink">
    <w:name w:val="Hyperlink"/>
    <w:basedOn w:val="DefaultParagraphFont"/>
    <w:uiPriority w:val="99"/>
    <w:unhideWhenUsed/>
    <w:rsid w:val="002E1A21"/>
    <w:rPr>
      <w:color w:val="0563C1" w:themeColor="hyperlink"/>
      <w:u w:val="single"/>
    </w:rPr>
  </w:style>
  <w:style w:type="character" w:styleId="UnresolvedMention">
    <w:name w:val="Unresolved Mention"/>
    <w:basedOn w:val="DefaultParagraphFont"/>
    <w:uiPriority w:val="99"/>
    <w:semiHidden/>
    <w:unhideWhenUsed/>
    <w:rsid w:val="002E1A21"/>
    <w:rPr>
      <w:color w:val="605E5C"/>
      <w:shd w:val="clear" w:color="auto" w:fill="E1DFDD"/>
    </w:rPr>
  </w:style>
  <w:style w:type="paragraph" w:customStyle="1" w:styleId="DocID">
    <w:name w:val="DocID"/>
    <w:basedOn w:val="Normal"/>
    <w:qFormat/>
    <w:rsid w:val="002B181E"/>
    <w:pPr>
      <w:suppressAutoHyphens/>
    </w:pPr>
    <w:rPr>
      <w:rFonts w:ascii="Times New Roman" w:eastAsia="Times New Roman" w:hAnsi="Times New Roman" w:cs="Times New Roman"/>
      <w:sz w:val="16"/>
      <w:szCs w:val="16"/>
    </w:rPr>
  </w:style>
  <w:style w:type="paragraph" w:customStyle="1" w:styleId="xmsonormal">
    <w:name w:val="x_msonormal"/>
    <w:basedOn w:val="Normal"/>
    <w:rsid w:val="007A52B8"/>
    <w:rPr>
      <w:rFonts w:ascii="Aptos" w:hAnsi="Aptos" w:cs="Aptos"/>
      <w:sz w:val="24"/>
      <w:szCs w:val="24"/>
    </w:rPr>
  </w:style>
  <w:style w:type="paragraph" w:customStyle="1" w:styleId="xxelementtoproof">
    <w:name w:val="x_xelementtoproof"/>
    <w:basedOn w:val="Normal"/>
    <w:rsid w:val="007A52B8"/>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8842">
      <w:bodyDiv w:val="1"/>
      <w:marLeft w:val="0"/>
      <w:marRight w:val="0"/>
      <w:marTop w:val="0"/>
      <w:marBottom w:val="0"/>
      <w:divBdr>
        <w:top w:val="none" w:sz="0" w:space="0" w:color="auto"/>
        <w:left w:val="none" w:sz="0" w:space="0" w:color="auto"/>
        <w:bottom w:val="none" w:sz="0" w:space="0" w:color="auto"/>
        <w:right w:val="none" w:sz="0" w:space="0" w:color="auto"/>
      </w:divBdr>
    </w:div>
    <w:div w:id="104275280">
      <w:bodyDiv w:val="1"/>
      <w:marLeft w:val="0"/>
      <w:marRight w:val="0"/>
      <w:marTop w:val="0"/>
      <w:marBottom w:val="0"/>
      <w:divBdr>
        <w:top w:val="none" w:sz="0" w:space="0" w:color="auto"/>
        <w:left w:val="none" w:sz="0" w:space="0" w:color="auto"/>
        <w:bottom w:val="none" w:sz="0" w:space="0" w:color="auto"/>
        <w:right w:val="none" w:sz="0" w:space="0" w:color="auto"/>
      </w:divBdr>
    </w:div>
    <w:div w:id="461003682">
      <w:bodyDiv w:val="1"/>
      <w:marLeft w:val="0"/>
      <w:marRight w:val="0"/>
      <w:marTop w:val="0"/>
      <w:marBottom w:val="0"/>
      <w:divBdr>
        <w:top w:val="none" w:sz="0" w:space="0" w:color="auto"/>
        <w:left w:val="none" w:sz="0" w:space="0" w:color="auto"/>
        <w:bottom w:val="none" w:sz="0" w:space="0" w:color="auto"/>
        <w:right w:val="none" w:sz="0" w:space="0" w:color="auto"/>
      </w:divBdr>
    </w:div>
    <w:div w:id="738594379">
      <w:bodyDiv w:val="1"/>
      <w:marLeft w:val="0"/>
      <w:marRight w:val="0"/>
      <w:marTop w:val="0"/>
      <w:marBottom w:val="0"/>
      <w:divBdr>
        <w:top w:val="none" w:sz="0" w:space="0" w:color="auto"/>
        <w:left w:val="none" w:sz="0" w:space="0" w:color="auto"/>
        <w:bottom w:val="none" w:sz="0" w:space="0" w:color="auto"/>
        <w:right w:val="none" w:sz="0" w:space="0" w:color="auto"/>
      </w:divBdr>
    </w:div>
    <w:div w:id="1073893441">
      <w:bodyDiv w:val="1"/>
      <w:marLeft w:val="0"/>
      <w:marRight w:val="0"/>
      <w:marTop w:val="0"/>
      <w:marBottom w:val="0"/>
      <w:divBdr>
        <w:top w:val="none" w:sz="0" w:space="0" w:color="auto"/>
        <w:left w:val="none" w:sz="0" w:space="0" w:color="auto"/>
        <w:bottom w:val="none" w:sz="0" w:space="0" w:color="auto"/>
        <w:right w:val="none" w:sz="0" w:space="0" w:color="auto"/>
      </w:divBdr>
    </w:div>
    <w:div w:id="1086417625">
      <w:bodyDiv w:val="1"/>
      <w:marLeft w:val="0"/>
      <w:marRight w:val="0"/>
      <w:marTop w:val="0"/>
      <w:marBottom w:val="0"/>
      <w:divBdr>
        <w:top w:val="none" w:sz="0" w:space="0" w:color="auto"/>
        <w:left w:val="none" w:sz="0" w:space="0" w:color="auto"/>
        <w:bottom w:val="none" w:sz="0" w:space="0" w:color="auto"/>
        <w:right w:val="none" w:sz="0" w:space="0" w:color="auto"/>
      </w:divBdr>
    </w:div>
    <w:div w:id="1458792869">
      <w:bodyDiv w:val="1"/>
      <w:marLeft w:val="0"/>
      <w:marRight w:val="0"/>
      <w:marTop w:val="0"/>
      <w:marBottom w:val="0"/>
      <w:divBdr>
        <w:top w:val="none" w:sz="0" w:space="0" w:color="auto"/>
        <w:left w:val="none" w:sz="0" w:space="0" w:color="auto"/>
        <w:bottom w:val="none" w:sz="0" w:space="0" w:color="auto"/>
        <w:right w:val="none" w:sz="0" w:space="0" w:color="auto"/>
      </w:divBdr>
    </w:div>
    <w:div w:id="1658339843">
      <w:bodyDiv w:val="1"/>
      <w:marLeft w:val="0"/>
      <w:marRight w:val="0"/>
      <w:marTop w:val="0"/>
      <w:marBottom w:val="0"/>
      <w:divBdr>
        <w:top w:val="none" w:sz="0" w:space="0" w:color="auto"/>
        <w:left w:val="none" w:sz="0" w:space="0" w:color="auto"/>
        <w:bottom w:val="none" w:sz="0" w:space="0" w:color="auto"/>
        <w:right w:val="none" w:sz="0" w:space="0" w:color="auto"/>
      </w:divBdr>
    </w:div>
    <w:div w:id="1760373753">
      <w:bodyDiv w:val="1"/>
      <w:marLeft w:val="0"/>
      <w:marRight w:val="0"/>
      <w:marTop w:val="0"/>
      <w:marBottom w:val="0"/>
      <w:divBdr>
        <w:top w:val="none" w:sz="0" w:space="0" w:color="auto"/>
        <w:left w:val="none" w:sz="0" w:space="0" w:color="auto"/>
        <w:bottom w:val="none" w:sz="0" w:space="0" w:color="auto"/>
        <w:right w:val="none" w:sz="0" w:space="0" w:color="auto"/>
      </w:divBdr>
    </w:div>
    <w:div w:id="1768454319">
      <w:bodyDiv w:val="1"/>
      <w:marLeft w:val="0"/>
      <w:marRight w:val="0"/>
      <w:marTop w:val="0"/>
      <w:marBottom w:val="0"/>
      <w:divBdr>
        <w:top w:val="none" w:sz="0" w:space="0" w:color="auto"/>
        <w:left w:val="none" w:sz="0" w:space="0" w:color="auto"/>
        <w:bottom w:val="none" w:sz="0" w:space="0" w:color="auto"/>
        <w:right w:val="none" w:sz="0" w:space="0" w:color="auto"/>
      </w:divBdr>
    </w:div>
    <w:div w:id="1782214284">
      <w:bodyDiv w:val="1"/>
      <w:marLeft w:val="0"/>
      <w:marRight w:val="0"/>
      <w:marTop w:val="0"/>
      <w:marBottom w:val="0"/>
      <w:divBdr>
        <w:top w:val="none" w:sz="0" w:space="0" w:color="auto"/>
        <w:left w:val="none" w:sz="0" w:space="0" w:color="auto"/>
        <w:bottom w:val="none" w:sz="0" w:space="0" w:color="auto"/>
        <w:right w:val="none" w:sz="0" w:space="0" w:color="auto"/>
      </w:divBdr>
    </w:div>
    <w:div w:id="188455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48BE9-9475-4406-8395-E13CD91CD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2429</Words>
  <Characters>12805</Characters>
  <Application>Microsoft Office Word</Application>
  <DocSecurity>0</DocSecurity>
  <Lines>297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Healy, Terry</dc:creator>
  <cp:lastModifiedBy>Husch Blackwell:</cp:lastModifiedBy>
  <cp:revision>7</cp:revision>
  <cp:lastPrinted>2026-02-17T23:48:00Z</cp:lastPrinted>
  <dcterms:created xsi:type="dcterms:W3CDTF">2026-02-19T21:12:00Z</dcterms:created>
  <dcterms:modified xsi:type="dcterms:W3CDTF">2026-02-19T21:30:00Z</dcterms:modified>
</cp:coreProperties>
</file>