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6E5C" w14:textId="77777777" w:rsidR="00D04E13" w:rsidRPr="00B51CC4" w:rsidRDefault="00D04E13" w:rsidP="0001658A">
      <w:pPr>
        <w:jc w:val="center"/>
        <w:rPr>
          <w:rFonts w:ascii="Aptos" w:hAnsi="Aptos" w:cs="Times New Roman"/>
          <w:sz w:val="24"/>
          <w:szCs w:val="24"/>
        </w:rPr>
      </w:pPr>
    </w:p>
    <w:p w14:paraId="54A16D6A" w14:textId="20DA019F" w:rsidR="0001658A" w:rsidRPr="00B51CC4" w:rsidRDefault="00F671EF" w:rsidP="00F671EF">
      <w:pPr>
        <w:ind w:left="720" w:firstLine="720"/>
        <w:jc w:val="center"/>
        <w:rPr>
          <w:rFonts w:ascii="Aptos" w:hAnsi="Aptos" w:cs="Times New Roman"/>
        </w:rPr>
      </w:pPr>
      <w:r w:rsidRPr="00B51CC4">
        <w:rPr>
          <w:rFonts w:ascii="Aptos" w:hAnsi="Aptos" w:cs="Times New Roman"/>
        </w:rPr>
        <w:t>August 22, 2025</w:t>
      </w:r>
    </w:p>
    <w:p w14:paraId="4FEF61A2" w14:textId="77777777" w:rsidR="0001658A" w:rsidRPr="00B51CC4" w:rsidRDefault="0001658A" w:rsidP="0001658A">
      <w:pPr>
        <w:jc w:val="center"/>
        <w:rPr>
          <w:rFonts w:ascii="Aptos" w:hAnsi="Aptos" w:cs="Times New Roman"/>
        </w:rPr>
      </w:pPr>
    </w:p>
    <w:p w14:paraId="2D8173CC" w14:textId="77777777" w:rsidR="0001658A" w:rsidRPr="00B51CC4" w:rsidRDefault="0001658A" w:rsidP="0001658A">
      <w:pPr>
        <w:rPr>
          <w:rFonts w:ascii="Aptos" w:hAnsi="Aptos" w:cs="Times New Roman"/>
          <w:u w:val="single"/>
        </w:rPr>
      </w:pPr>
      <w:r w:rsidRPr="00B51CC4">
        <w:rPr>
          <w:rFonts w:ascii="Aptos" w:hAnsi="Aptos" w:cs="Times New Roman"/>
          <w:u w:val="single"/>
        </w:rPr>
        <w:t>Via Email</w:t>
      </w:r>
    </w:p>
    <w:p w14:paraId="5A441AD2" w14:textId="77777777" w:rsidR="0001658A" w:rsidRPr="00B51CC4" w:rsidRDefault="0001658A" w:rsidP="0001658A">
      <w:pPr>
        <w:rPr>
          <w:rFonts w:ascii="Aptos" w:hAnsi="Aptos" w:cs="Times New Roman"/>
        </w:rPr>
      </w:pPr>
    </w:p>
    <w:p w14:paraId="01C5CF99" w14:textId="32F0639E" w:rsidR="0001658A" w:rsidRPr="00B51CC4" w:rsidRDefault="0001658A" w:rsidP="0001658A">
      <w:pPr>
        <w:rPr>
          <w:rFonts w:ascii="Aptos" w:hAnsi="Aptos" w:cs="Times New Roman"/>
        </w:rPr>
      </w:pPr>
      <w:r w:rsidRPr="00B51CC4">
        <w:rPr>
          <w:rFonts w:ascii="Aptos" w:hAnsi="Aptos" w:cs="Times New Roman"/>
        </w:rPr>
        <w:t>Stephen Davis, Director</w:t>
      </w:r>
    </w:p>
    <w:p w14:paraId="1CB9C3E0" w14:textId="77777777" w:rsidR="0001658A" w:rsidRPr="00B51CC4" w:rsidRDefault="0001658A" w:rsidP="0001658A">
      <w:pPr>
        <w:rPr>
          <w:rFonts w:ascii="Aptos" w:hAnsi="Aptos" w:cs="Times New Roman"/>
        </w:rPr>
      </w:pPr>
      <w:r w:rsidRPr="00B51CC4">
        <w:rPr>
          <w:rFonts w:ascii="Aptos" w:hAnsi="Aptos" w:cs="Times New Roman"/>
        </w:rPr>
        <w:t>Division of Health Care Facility Licensure and Certification</w:t>
      </w:r>
    </w:p>
    <w:p w14:paraId="1D9C310F" w14:textId="77777777" w:rsidR="0001658A" w:rsidRPr="00B51CC4" w:rsidRDefault="0001658A" w:rsidP="0001658A">
      <w:pPr>
        <w:rPr>
          <w:rFonts w:ascii="Aptos" w:hAnsi="Aptos" w:cs="Times New Roman"/>
        </w:rPr>
      </w:pPr>
      <w:r w:rsidRPr="00B51CC4">
        <w:rPr>
          <w:rFonts w:ascii="Aptos" w:hAnsi="Aptos" w:cs="Times New Roman"/>
        </w:rPr>
        <w:t>Massachusetts Department of Public Health</w:t>
      </w:r>
    </w:p>
    <w:p w14:paraId="0C12DE46" w14:textId="77777777" w:rsidR="0001658A" w:rsidRPr="00B51CC4" w:rsidRDefault="0001658A" w:rsidP="0001658A">
      <w:pPr>
        <w:rPr>
          <w:rFonts w:ascii="Aptos" w:hAnsi="Aptos" w:cs="Times New Roman"/>
        </w:rPr>
      </w:pPr>
      <w:r w:rsidRPr="00B51CC4">
        <w:rPr>
          <w:rFonts w:ascii="Aptos" w:hAnsi="Aptos" w:cs="Times New Roman"/>
        </w:rPr>
        <w:t>67 Forest Street</w:t>
      </w:r>
    </w:p>
    <w:p w14:paraId="4AE5E464" w14:textId="77777777" w:rsidR="0001658A" w:rsidRPr="00B51CC4" w:rsidRDefault="0001658A" w:rsidP="0001658A">
      <w:pPr>
        <w:rPr>
          <w:rFonts w:ascii="Aptos" w:hAnsi="Aptos" w:cs="Times New Roman"/>
        </w:rPr>
      </w:pPr>
      <w:r w:rsidRPr="00B51CC4">
        <w:rPr>
          <w:rFonts w:ascii="Aptos" w:hAnsi="Aptos" w:cs="Times New Roman"/>
        </w:rPr>
        <w:t>Marlborough, MA 01752</w:t>
      </w:r>
    </w:p>
    <w:p w14:paraId="7077BCAC" w14:textId="77777777" w:rsidR="0001658A" w:rsidRPr="00B51CC4" w:rsidRDefault="0001658A" w:rsidP="0001658A">
      <w:pPr>
        <w:rPr>
          <w:rFonts w:ascii="Aptos" w:hAnsi="Aptos" w:cs="Times New Roman"/>
        </w:rPr>
      </w:pPr>
    </w:p>
    <w:p w14:paraId="3C8E055A" w14:textId="5F7A1B6C" w:rsidR="0001658A" w:rsidRPr="00B51CC4" w:rsidRDefault="0001658A" w:rsidP="0001658A">
      <w:pPr>
        <w:ind w:left="720" w:hanging="720"/>
        <w:jc w:val="both"/>
        <w:rPr>
          <w:rFonts w:ascii="Aptos" w:hAnsi="Aptos" w:cs="Times New Roman"/>
        </w:rPr>
      </w:pPr>
      <w:r w:rsidRPr="00B51CC4">
        <w:rPr>
          <w:rFonts w:ascii="Aptos" w:hAnsi="Aptos" w:cs="Times New Roman"/>
        </w:rPr>
        <w:t>Re:</w:t>
      </w:r>
      <w:r w:rsidRPr="00B51CC4">
        <w:rPr>
          <w:rFonts w:ascii="Aptos" w:hAnsi="Aptos" w:cs="Times New Roman"/>
        </w:rPr>
        <w:tab/>
      </w:r>
      <w:r w:rsidR="009877DA" w:rsidRPr="00B51CC4">
        <w:rPr>
          <w:rFonts w:ascii="Aptos" w:hAnsi="Aptos" w:cs="Times New Roman"/>
          <w:u w:val="single"/>
        </w:rPr>
        <w:t xml:space="preserve">Holy Family Hospital – Haverhill Campus </w:t>
      </w:r>
      <w:r w:rsidRPr="00B51CC4">
        <w:rPr>
          <w:rFonts w:ascii="Aptos" w:hAnsi="Aptos" w:cs="Times New Roman"/>
          <w:u w:val="single"/>
        </w:rPr>
        <w:t>Essential Services Finding</w:t>
      </w:r>
    </w:p>
    <w:p w14:paraId="2F7012B5" w14:textId="77777777" w:rsidR="0001658A" w:rsidRPr="00B51CC4" w:rsidRDefault="0001658A" w:rsidP="0001658A">
      <w:pPr>
        <w:jc w:val="both"/>
        <w:rPr>
          <w:rFonts w:ascii="Aptos" w:hAnsi="Aptos" w:cs="Times New Roman"/>
        </w:rPr>
      </w:pPr>
    </w:p>
    <w:p w14:paraId="798A6864" w14:textId="77777777" w:rsidR="0001658A" w:rsidRPr="00B51CC4" w:rsidRDefault="0001658A" w:rsidP="0001658A">
      <w:pPr>
        <w:rPr>
          <w:rFonts w:ascii="Aptos" w:hAnsi="Aptos" w:cs="Times New Roman"/>
        </w:rPr>
      </w:pPr>
      <w:r w:rsidRPr="00B51CC4">
        <w:rPr>
          <w:rFonts w:ascii="Aptos" w:hAnsi="Aptos" w:cs="Times New Roman"/>
        </w:rPr>
        <w:t>Dear Mr. Davis:</w:t>
      </w:r>
    </w:p>
    <w:p w14:paraId="4DD3BED6" w14:textId="77777777" w:rsidR="0001658A" w:rsidRPr="00B51CC4" w:rsidRDefault="0001658A" w:rsidP="0001658A">
      <w:pPr>
        <w:rPr>
          <w:rFonts w:ascii="Aptos" w:hAnsi="Aptos" w:cs="Times New Roman"/>
        </w:rPr>
      </w:pPr>
    </w:p>
    <w:p w14:paraId="55C5B3D6" w14:textId="6228B9BF" w:rsidR="0001658A" w:rsidRPr="004025D7" w:rsidRDefault="0001658A" w:rsidP="004025D7">
      <w:pPr>
        <w:spacing w:after="120"/>
        <w:jc w:val="both"/>
        <w:rPr>
          <w:rFonts w:ascii="Aptos" w:hAnsi="Aptos" w:cs="Times New Roman"/>
        </w:rPr>
      </w:pPr>
      <w:r w:rsidRPr="00B51CC4">
        <w:rPr>
          <w:rFonts w:ascii="Aptos" w:hAnsi="Aptos" w:cs="Times New Roman"/>
        </w:rPr>
        <w:t xml:space="preserve">We write on behalf of </w:t>
      </w:r>
      <w:r w:rsidR="00E70E63" w:rsidRPr="00B51CC4">
        <w:rPr>
          <w:rFonts w:ascii="Aptos" w:hAnsi="Aptos" w:cs="Times New Roman"/>
        </w:rPr>
        <w:t>Holy Family Hospital</w:t>
      </w:r>
      <w:r w:rsidRPr="00B51CC4">
        <w:rPr>
          <w:rFonts w:ascii="Aptos" w:hAnsi="Aptos" w:cs="Times New Roman"/>
        </w:rPr>
        <w:t xml:space="preserve"> (</w:t>
      </w:r>
      <w:r w:rsidR="00434B2A" w:rsidRPr="00B51CC4">
        <w:rPr>
          <w:rFonts w:ascii="Aptos" w:hAnsi="Aptos" w:cs="Times New Roman"/>
        </w:rPr>
        <w:t>“</w:t>
      </w:r>
      <w:r w:rsidR="00E70E63" w:rsidRPr="00B51CC4">
        <w:rPr>
          <w:rFonts w:ascii="Aptos" w:hAnsi="Aptos" w:cs="Times New Roman"/>
        </w:rPr>
        <w:t>Hospital</w:t>
      </w:r>
      <w:r w:rsidRPr="00B51CC4">
        <w:rPr>
          <w:rFonts w:ascii="Aptos" w:hAnsi="Aptos" w:cs="Times New Roman"/>
        </w:rPr>
        <w:t xml:space="preserve">”) in response to the Department of Public Health’s (the “Department”) Essential Service Finding letter, dated August </w:t>
      </w:r>
      <w:r w:rsidR="00B51CC4" w:rsidRPr="00B51CC4">
        <w:rPr>
          <w:rFonts w:ascii="Aptos" w:hAnsi="Aptos" w:cs="Times New Roman"/>
        </w:rPr>
        <w:t>7</w:t>
      </w:r>
      <w:r w:rsidRPr="00B51CC4">
        <w:rPr>
          <w:rFonts w:ascii="Aptos" w:hAnsi="Aptos" w:cs="Times New Roman"/>
        </w:rPr>
        <w:t>, 202</w:t>
      </w:r>
      <w:r w:rsidR="00B51CC4" w:rsidRPr="00B51CC4">
        <w:rPr>
          <w:rFonts w:ascii="Aptos" w:hAnsi="Aptos" w:cs="Times New Roman"/>
        </w:rPr>
        <w:t>5</w:t>
      </w:r>
      <w:r w:rsidRPr="00B51CC4">
        <w:rPr>
          <w:rFonts w:ascii="Aptos" w:hAnsi="Aptos" w:cs="Times New Roman"/>
        </w:rPr>
        <w:t xml:space="preserve">, concerning the closure of </w:t>
      </w:r>
      <w:r w:rsidR="00E619D2" w:rsidRPr="00B51CC4">
        <w:rPr>
          <w:rFonts w:ascii="Aptos" w:hAnsi="Aptos" w:cs="Times New Roman"/>
        </w:rPr>
        <w:t>certain services at the Hospital’s</w:t>
      </w:r>
      <w:r w:rsidR="00D167E1" w:rsidRPr="00B51CC4">
        <w:rPr>
          <w:rFonts w:ascii="Aptos" w:hAnsi="Aptos" w:cs="Times New Roman"/>
        </w:rPr>
        <w:t xml:space="preserve"> </w:t>
      </w:r>
      <w:r w:rsidR="00E619D2" w:rsidRPr="00B51CC4">
        <w:rPr>
          <w:rFonts w:ascii="Aptos" w:hAnsi="Aptos" w:cs="Times New Roman"/>
        </w:rPr>
        <w:t xml:space="preserve">Haverhill </w:t>
      </w:r>
      <w:r w:rsidR="007018C5">
        <w:rPr>
          <w:rFonts w:ascii="Aptos" w:hAnsi="Aptos" w:cs="Times New Roman"/>
        </w:rPr>
        <w:t>c</w:t>
      </w:r>
      <w:r w:rsidR="00E619D2" w:rsidRPr="00B51CC4">
        <w:rPr>
          <w:rFonts w:ascii="Aptos" w:hAnsi="Aptos" w:cs="Times New Roman"/>
        </w:rPr>
        <w:t xml:space="preserve">ampus, including </w:t>
      </w:r>
      <w:r w:rsidR="00E70E63" w:rsidRPr="00B51CC4">
        <w:rPr>
          <w:rFonts w:ascii="Aptos" w:hAnsi="Aptos" w:cs="Times New Roman"/>
        </w:rPr>
        <w:t xml:space="preserve">the emergency department (ED), </w:t>
      </w:r>
      <w:r w:rsidR="00B51CC4">
        <w:rPr>
          <w:rFonts w:ascii="Aptos" w:hAnsi="Aptos" w:cs="Times New Roman"/>
        </w:rPr>
        <w:t xml:space="preserve">10-bed </w:t>
      </w:r>
      <w:r w:rsidR="00E70E63" w:rsidRPr="00B51CC4">
        <w:rPr>
          <w:rFonts w:ascii="Aptos" w:hAnsi="Aptos" w:cs="Times New Roman"/>
        </w:rPr>
        <w:t xml:space="preserve">intensive care unit (ICU), and 59-bed medical/surgical </w:t>
      </w:r>
      <w:r w:rsidR="00B51CC4">
        <w:rPr>
          <w:rFonts w:ascii="Aptos" w:hAnsi="Aptos" w:cs="Times New Roman"/>
        </w:rPr>
        <w:t xml:space="preserve">(M/S) </w:t>
      </w:r>
      <w:r w:rsidR="00E70E63" w:rsidRPr="00B51CC4">
        <w:rPr>
          <w:rFonts w:ascii="Aptos" w:hAnsi="Aptos" w:cs="Times New Roman"/>
        </w:rPr>
        <w:t>unit,</w:t>
      </w:r>
      <w:r w:rsidR="00B66C82" w:rsidRPr="00B51CC4">
        <w:rPr>
          <w:rFonts w:ascii="Aptos" w:hAnsi="Aptos" w:cs="Times New Roman"/>
        </w:rPr>
        <w:t xml:space="preserve"> </w:t>
      </w:r>
      <w:r w:rsidR="001D6F90" w:rsidRPr="00B51CC4">
        <w:rPr>
          <w:rFonts w:ascii="Aptos" w:hAnsi="Aptos" w:cs="Times New Roman"/>
        </w:rPr>
        <w:t xml:space="preserve">located at </w:t>
      </w:r>
      <w:r w:rsidR="00B51CC4" w:rsidRPr="00B51CC4">
        <w:rPr>
          <w:rFonts w:ascii="Aptos" w:hAnsi="Aptos" w:cs="Times New Roman"/>
        </w:rPr>
        <w:t>140 Lincoln Avenue</w:t>
      </w:r>
      <w:r w:rsidR="00D167E1" w:rsidRPr="00B51CC4">
        <w:rPr>
          <w:rFonts w:ascii="Aptos" w:hAnsi="Aptos" w:cs="Times New Roman"/>
        </w:rPr>
        <w:t>,</w:t>
      </w:r>
      <w:r w:rsidR="00434B2A" w:rsidRPr="00B51CC4">
        <w:rPr>
          <w:rFonts w:ascii="Aptos" w:hAnsi="Aptos" w:cs="Times New Roman"/>
        </w:rPr>
        <w:t xml:space="preserve"> </w:t>
      </w:r>
      <w:r w:rsidR="00B51CC4" w:rsidRPr="00B51CC4">
        <w:rPr>
          <w:rFonts w:ascii="Aptos" w:hAnsi="Aptos" w:cs="Times New Roman"/>
        </w:rPr>
        <w:t>Haverhill, MA 01830</w:t>
      </w:r>
      <w:r w:rsidR="001D6F90" w:rsidRPr="00B51CC4">
        <w:rPr>
          <w:rFonts w:ascii="Aptos" w:hAnsi="Aptos" w:cs="Times New Roman"/>
        </w:rPr>
        <w:t xml:space="preserve">. In compliance with the regulatory requirements at 105 CMR 130.122, the </w:t>
      </w:r>
      <w:r w:rsidR="00E619D2" w:rsidRPr="00B51CC4">
        <w:rPr>
          <w:rFonts w:ascii="Aptos" w:hAnsi="Aptos" w:cs="Times New Roman"/>
        </w:rPr>
        <w:t>Hospital</w:t>
      </w:r>
      <w:r w:rsidR="001D6F90" w:rsidRPr="00B51CC4">
        <w:rPr>
          <w:rFonts w:ascii="Aptos" w:hAnsi="Aptos" w:cs="Times New Roman"/>
        </w:rPr>
        <w:t xml:space="preserve"> offers the following plan to maintain access to </w:t>
      </w:r>
      <w:r w:rsidR="00E619D2" w:rsidRPr="00B51CC4">
        <w:rPr>
          <w:rFonts w:ascii="Aptos" w:hAnsi="Aptos" w:cs="Times New Roman"/>
        </w:rPr>
        <w:t xml:space="preserve">emergency and inpatient </w:t>
      </w:r>
      <w:r w:rsidR="001D6F90" w:rsidRPr="00B51CC4">
        <w:rPr>
          <w:rFonts w:ascii="Aptos" w:hAnsi="Aptos" w:cs="Times New Roman"/>
        </w:rPr>
        <w:t>services and provide</w:t>
      </w:r>
      <w:r w:rsidR="00455287" w:rsidRPr="00B51CC4">
        <w:rPr>
          <w:rFonts w:ascii="Aptos" w:hAnsi="Aptos" w:cs="Times New Roman"/>
        </w:rPr>
        <w:t>s</w:t>
      </w:r>
      <w:r w:rsidR="001D6F90" w:rsidRPr="00B51CC4">
        <w:rPr>
          <w:rFonts w:ascii="Aptos" w:hAnsi="Aptos" w:cs="Times New Roman"/>
        </w:rPr>
        <w:t xml:space="preserve"> the additional information requested in the Department’s letter.</w:t>
      </w:r>
    </w:p>
    <w:p w14:paraId="7ED6D9E2" w14:textId="65D4A8C0" w:rsidR="0001658A" w:rsidRPr="004025D7" w:rsidRDefault="001D6F90" w:rsidP="004025D7">
      <w:pPr>
        <w:pStyle w:val="ListParagraph"/>
        <w:numPr>
          <w:ilvl w:val="0"/>
          <w:numId w:val="3"/>
        </w:numPr>
        <w:spacing w:after="120"/>
        <w:contextualSpacing w:val="0"/>
        <w:jc w:val="both"/>
        <w:rPr>
          <w:rFonts w:ascii="Aptos" w:hAnsi="Aptos" w:cs="Times New Roman"/>
          <w:b/>
          <w:bCs/>
        </w:rPr>
      </w:pPr>
      <w:r w:rsidRPr="00E70E63">
        <w:rPr>
          <w:rFonts w:ascii="Aptos" w:hAnsi="Aptos" w:cs="Times New Roman"/>
          <w:b/>
          <w:bCs/>
        </w:rPr>
        <w:t>Information on utilization of the services prior to proposed closure.</w:t>
      </w:r>
    </w:p>
    <w:p w14:paraId="0E14F0C6" w14:textId="2E524F7A" w:rsidR="00DF7097" w:rsidRPr="004025D7" w:rsidRDefault="00E619D2" w:rsidP="004025D7">
      <w:pPr>
        <w:spacing w:after="120"/>
        <w:jc w:val="both"/>
        <w:rPr>
          <w:rFonts w:ascii="Aptos" w:hAnsi="Aptos" w:cs="Times New Roman"/>
        </w:rPr>
      </w:pPr>
      <w:r w:rsidRPr="00E70E63">
        <w:rPr>
          <w:rFonts w:ascii="Aptos" w:hAnsi="Aptos" w:cs="Times New Roman"/>
        </w:rPr>
        <w:t xml:space="preserve">In follow up to the utilization data provided in the Hospital’s </w:t>
      </w:r>
      <w:r w:rsidR="000D0321">
        <w:rPr>
          <w:rFonts w:ascii="Aptos" w:hAnsi="Aptos" w:cs="Times New Roman"/>
        </w:rPr>
        <w:t>9</w:t>
      </w:r>
      <w:r w:rsidRPr="00E70E63">
        <w:rPr>
          <w:rFonts w:ascii="Aptos" w:hAnsi="Aptos" w:cs="Times New Roman"/>
        </w:rPr>
        <w:t xml:space="preserve">0-day </w:t>
      </w:r>
      <w:r w:rsidR="000D0321">
        <w:rPr>
          <w:rFonts w:ascii="Aptos" w:hAnsi="Aptos" w:cs="Times New Roman"/>
        </w:rPr>
        <w:t xml:space="preserve">Notice of Closure </w:t>
      </w:r>
      <w:r w:rsidRPr="00E70E63">
        <w:rPr>
          <w:rFonts w:ascii="Aptos" w:hAnsi="Aptos" w:cs="Times New Roman"/>
        </w:rPr>
        <w:t>letter dated June 27, 2025,</w:t>
      </w:r>
      <w:r w:rsidR="000D0321">
        <w:rPr>
          <w:rFonts w:ascii="Aptos" w:hAnsi="Aptos" w:cs="Times New Roman"/>
        </w:rPr>
        <w:t xml:space="preserve"> which included utilization rates for the last two fiscal years,</w:t>
      </w:r>
      <w:r w:rsidRPr="00E70E63">
        <w:rPr>
          <w:rFonts w:ascii="Aptos" w:hAnsi="Aptos" w:cs="Times New Roman"/>
        </w:rPr>
        <w:t xml:space="preserve"> please see </w:t>
      </w:r>
      <w:r w:rsidR="00E70E63">
        <w:rPr>
          <w:rFonts w:ascii="Aptos" w:hAnsi="Aptos" w:cs="Times New Roman"/>
        </w:rPr>
        <w:t xml:space="preserve">the table below for current utilization data. As a reminder, Haverhill </w:t>
      </w:r>
      <w:r w:rsidR="007018C5">
        <w:rPr>
          <w:rFonts w:ascii="Aptos" w:hAnsi="Aptos" w:cs="Times New Roman"/>
        </w:rPr>
        <w:t>c</w:t>
      </w:r>
      <w:r w:rsidR="00E70E63">
        <w:rPr>
          <w:rFonts w:ascii="Aptos" w:hAnsi="Aptos" w:cs="Times New Roman"/>
        </w:rPr>
        <w:t>ampus</w:t>
      </w:r>
      <w:r w:rsidR="00B51CC4">
        <w:rPr>
          <w:rFonts w:ascii="Aptos" w:hAnsi="Aptos" w:cs="Times New Roman"/>
        </w:rPr>
        <w:t>’s ICU</w:t>
      </w:r>
      <w:r w:rsidR="00E70E63">
        <w:rPr>
          <w:rFonts w:ascii="Aptos" w:hAnsi="Aptos" w:cs="Times New Roman"/>
        </w:rPr>
        <w:t xml:space="preserve"> was closed on January 1, </w:t>
      </w:r>
      <w:proofErr w:type="gramStart"/>
      <w:r w:rsidR="00E70E63">
        <w:rPr>
          <w:rFonts w:ascii="Aptos" w:hAnsi="Aptos" w:cs="Times New Roman"/>
        </w:rPr>
        <w:t>2024</w:t>
      </w:r>
      <w:proofErr w:type="gramEnd"/>
      <w:r w:rsidR="00E70E63">
        <w:rPr>
          <w:rFonts w:ascii="Aptos" w:hAnsi="Aptos" w:cs="Times New Roman"/>
        </w:rPr>
        <w:t xml:space="preserve"> by Steward Health Care. Since that time, all ICU care in the community has been provided at the Hospital’s Methuen Campus without </w:t>
      </w:r>
      <w:r w:rsidR="00B51CC4">
        <w:rPr>
          <w:rFonts w:ascii="Aptos" w:hAnsi="Aptos" w:cs="Times New Roman"/>
        </w:rPr>
        <w:t xml:space="preserve">a negative </w:t>
      </w:r>
      <w:proofErr w:type="gramStart"/>
      <w:r w:rsidR="00B51CC4">
        <w:rPr>
          <w:rFonts w:ascii="Aptos" w:hAnsi="Aptos" w:cs="Times New Roman"/>
        </w:rPr>
        <w:t>impact</w:t>
      </w:r>
      <w:proofErr w:type="gramEnd"/>
      <w:r w:rsidR="00E70E63">
        <w:rPr>
          <w:rFonts w:ascii="Aptos" w:hAnsi="Aptos" w:cs="Times New Roman"/>
        </w:rPr>
        <w:t xml:space="preserve"> patient care or access. </w:t>
      </w:r>
    </w:p>
    <w:tbl>
      <w:tblPr>
        <w:tblW w:w="7380" w:type="dxa"/>
        <w:tblInd w:w="-5" w:type="dxa"/>
        <w:tblCellMar>
          <w:left w:w="0" w:type="dxa"/>
          <w:right w:w="0" w:type="dxa"/>
        </w:tblCellMar>
        <w:tblLook w:val="04A0" w:firstRow="1" w:lastRow="0" w:firstColumn="1" w:lastColumn="0" w:noHBand="0" w:noVBand="1"/>
      </w:tblPr>
      <w:tblGrid>
        <w:gridCol w:w="3087"/>
        <w:gridCol w:w="2043"/>
        <w:gridCol w:w="2250"/>
      </w:tblGrid>
      <w:tr w:rsidR="00E619D2" w:rsidRPr="00E70E63" w14:paraId="37304A30"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204D9DD6" w14:textId="39865459" w:rsidR="00E619D2" w:rsidRPr="00E70E63" w:rsidRDefault="00380DEF" w:rsidP="0080330A">
            <w:pPr>
              <w:rPr>
                <w:rFonts w:ascii="Aptos" w:hAnsi="Aptos"/>
                <w:sz w:val="20"/>
                <w:szCs w:val="20"/>
              </w:rPr>
            </w:pPr>
            <w:r w:rsidRPr="00E70E63">
              <w:rPr>
                <w:rFonts w:ascii="Aptos" w:hAnsi="Aptos"/>
                <w:b/>
                <w:bCs/>
                <w:sz w:val="20"/>
                <w:szCs w:val="20"/>
              </w:rPr>
              <w:t xml:space="preserve">HFH – Haverhill Campus </w:t>
            </w:r>
            <w:r w:rsidR="00E619D2" w:rsidRPr="00E70E63">
              <w:rPr>
                <w:rFonts w:ascii="Aptos" w:hAnsi="Aptos"/>
                <w:b/>
                <w:bCs/>
                <w:sz w:val="20"/>
                <w:szCs w:val="20"/>
              </w:rPr>
              <w:t>  </w:t>
            </w:r>
          </w:p>
        </w:tc>
        <w:tc>
          <w:tcPr>
            <w:tcW w:w="2043"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5CACCEAB" w14:textId="29699A3B" w:rsidR="00E619D2" w:rsidRPr="00E70E63" w:rsidRDefault="00E619D2" w:rsidP="0080330A">
            <w:pPr>
              <w:rPr>
                <w:rFonts w:ascii="Aptos" w:hAnsi="Aptos"/>
                <w:sz w:val="20"/>
                <w:szCs w:val="20"/>
              </w:rPr>
            </w:pPr>
            <w:r w:rsidRPr="00E70E63">
              <w:rPr>
                <w:rFonts w:ascii="Aptos" w:hAnsi="Aptos"/>
                <w:b/>
                <w:bCs/>
                <w:sz w:val="20"/>
                <w:szCs w:val="20"/>
              </w:rPr>
              <w:t>Jun</w:t>
            </w:r>
            <w:r w:rsidR="00E70E63">
              <w:rPr>
                <w:rFonts w:ascii="Aptos" w:hAnsi="Aptos"/>
                <w:b/>
                <w:bCs/>
                <w:sz w:val="20"/>
                <w:szCs w:val="20"/>
              </w:rPr>
              <w:t>e 2025</w:t>
            </w:r>
          </w:p>
        </w:tc>
        <w:tc>
          <w:tcPr>
            <w:tcW w:w="2250"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6C814B3D" w14:textId="288AF038" w:rsidR="00E619D2" w:rsidRPr="00E70E63" w:rsidRDefault="00E70E63" w:rsidP="0080330A">
            <w:pPr>
              <w:rPr>
                <w:rFonts w:ascii="Aptos" w:hAnsi="Aptos"/>
                <w:sz w:val="20"/>
                <w:szCs w:val="20"/>
              </w:rPr>
            </w:pPr>
            <w:r>
              <w:rPr>
                <w:rFonts w:ascii="Aptos" w:hAnsi="Aptos"/>
                <w:b/>
                <w:bCs/>
                <w:sz w:val="20"/>
                <w:szCs w:val="20"/>
              </w:rPr>
              <w:t>July 2025</w:t>
            </w:r>
          </w:p>
        </w:tc>
      </w:tr>
      <w:tr w:rsidR="00E619D2" w:rsidRPr="00E70E63" w14:paraId="49217CD8"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9AE3FC" w14:textId="77777777" w:rsidR="00E619D2" w:rsidRPr="00E70E63" w:rsidRDefault="00E619D2" w:rsidP="0080330A">
            <w:pPr>
              <w:rPr>
                <w:rFonts w:ascii="Aptos" w:hAnsi="Aptos"/>
                <w:sz w:val="20"/>
                <w:szCs w:val="20"/>
              </w:rPr>
            </w:pPr>
            <w:r w:rsidRPr="00E70E63">
              <w:rPr>
                <w:rFonts w:ascii="Aptos" w:hAnsi="Aptos"/>
                <w:b/>
                <w:bCs/>
                <w:sz w:val="20"/>
                <w:szCs w:val="20"/>
              </w:rPr>
              <w:t>ED (Visits)</w:t>
            </w:r>
          </w:p>
        </w:tc>
        <w:tc>
          <w:tcPr>
            <w:tcW w:w="2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291E81" w14:textId="715EAC27" w:rsidR="00E619D2" w:rsidRPr="00E70E63" w:rsidRDefault="00E619D2" w:rsidP="0080330A">
            <w:pPr>
              <w:rPr>
                <w:rFonts w:ascii="Aptos" w:hAnsi="Aptos"/>
                <w:sz w:val="20"/>
                <w:szCs w:val="20"/>
              </w:rPr>
            </w:pPr>
            <w:r w:rsidRPr="00E70E63">
              <w:rPr>
                <w:rFonts w:ascii="Aptos" w:hAnsi="Aptos"/>
                <w:sz w:val="20"/>
                <w:szCs w:val="20"/>
              </w:rPr>
              <w:t>1</w:t>
            </w:r>
            <w:r w:rsidR="00380DEF" w:rsidRPr="00E70E63">
              <w:rPr>
                <w:rFonts w:ascii="Aptos" w:hAnsi="Aptos"/>
                <w:sz w:val="20"/>
                <w:szCs w:val="20"/>
              </w:rPr>
              <w:t>,</w:t>
            </w:r>
            <w:r w:rsidRPr="00E70E63">
              <w:rPr>
                <w:rFonts w:ascii="Aptos" w:hAnsi="Aptos"/>
                <w:sz w:val="20"/>
                <w:szCs w:val="20"/>
              </w:rPr>
              <w:t>420</w:t>
            </w:r>
          </w:p>
        </w:tc>
        <w:tc>
          <w:tcPr>
            <w:tcW w:w="2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83FA2E" w14:textId="57FF3B7E" w:rsidR="00E619D2" w:rsidRPr="00E70E63" w:rsidRDefault="00E619D2" w:rsidP="0080330A">
            <w:pPr>
              <w:rPr>
                <w:rFonts w:ascii="Aptos" w:hAnsi="Aptos"/>
                <w:sz w:val="20"/>
                <w:szCs w:val="20"/>
              </w:rPr>
            </w:pPr>
            <w:r w:rsidRPr="00E70E63">
              <w:rPr>
                <w:rFonts w:ascii="Aptos" w:hAnsi="Aptos"/>
                <w:sz w:val="20"/>
                <w:szCs w:val="20"/>
              </w:rPr>
              <w:t>1</w:t>
            </w:r>
            <w:r w:rsidR="00380DEF" w:rsidRPr="00E70E63">
              <w:rPr>
                <w:rFonts w:ascii="Aptos" w:hAnsi="Aptos"/>
                <w:sz w:val="20"/>
                <w:szCs w:val="20"/>
              </w:rPr>
              <w:t>,</w:t>
            </w:r>
            <w:r w:rsidRPr="00E70E63">
              <w:rPr>
                <w:rFonts w:ascii="Aptos" w:hAnsi="Aptos"/>
                <w:sz w:val="20"/>
                <w:szCs w:val="20"/>
              </w:rPr>
              <w:t>453</w:t>
            </w:r>
          </w:p>
        </w:tc>
      </w:tr>
      <w:tr w:rsidR="0080330A" w:rsidRPr="00E70E63" w14:paraId="31237AB4" w14:textId="77777777" w:rsidTr="00D50B6D">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160A52" w14:textId="1004B1C0" w:rsidR="0080330A" w:rsidRPr="00E70E63" w:rsidRDefault="0080330A" w:rsidP="0080330A">
            <w:pPr>
              <w:rPr>
                <w:rFonts w:ascii="Aptos" w:hAnsi="Aptos"/>
                <w:b/>
                <w:bCs/>
                <w:sz w:val="20"/>
                <w:szCs w:val="20"/>
              </w:rPr>
            </w:pPr>
            <w:r w:rsidRPr="00E70E63">
              <w:rPr>
                <w:rFonts w:ascii="Aptos" w:hAnsi="Aptos"/>
                <w:b/>
                <w:bCs/>
                <w:sz w:val="20"/>
                <w:szCs w:val="20"/>
              </w:rPr>
              <w:t>Occupancy</w:t>
            </w:r>
            <w:r>
              <w:rPr>
                <w:rFonts w:ascii="Aptos" w:hAnsi="Aptos"/>
                <w:b/>
                <w:bCs/>
                <w:sz w:val="20"/>
                <w:szCs w:val="20"/>
              </w:rPr>
              <w:t xml:space="preserve"> (M/S)</w:t>
            </w:r>
          </w:p>
        </w:tc>
        <w:tc>
          <w:tcPr>
            <w:tcW w:w="2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296A52E" w14:textId="1F23D13E" w:rsidR="0080330A" w:rsidRPr="00E70E63" w:rsidRDefault="0080330A" w:rsidP="0080330A">
            <w:pPr>
              <w:rPr>
                <w:rFonts w:ascii="Aptos" w:hAnsi="Aptos"/>
                <w:sz w:val="20"/>
                <w:szCs w:val="20"/>
              </w:rPr>
            </w:pPr>
            <w:r w:rsidRPr="00043971">
              <w:rPr>
                <w:rFonts w:ascii="Aptos" w:hAnsi="Aptos"/>
                <w:sz w:val="20"/>
                <w:szCs w:val="20"/>
              </w:rPr>
              <w:t>22%</w:t>
            </w:r>
          </w:p>
        </w:tc>
        <w:tc>
          <w:tcPr>
            <w:tcW w:w="2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84BDB29" w14:textId="3C1EFDBB" w:rsidR="0080330A" w:rsidRPr="00E70E63" w:rsidRDefault="0080330A" w:rsidP="0080330A">
            <w:pPr>
              <w:rPr>
                <w:rFonts w:ascii="Aptos" w:hAnsi="Aptos"/>
                <w:sz w:val="20"/>
                <w:szCs w:val="20"/>
              </w:rPr>
            </w:pPr>
            <w:r w:rsidRPr="00043971">
              <w:rPr>
                <w:rFonts w:ascii="Aptos" w:hAnsi="Aptos"/>
                <w:sz w:val="20"/>
                <w:szCs w:val="20"/>
              </w:rPr>
              <w:t>22%</w:t>
            </w:r>
          </w:p>
        </w:tc>
      </w:tr>
      <w:tr w:rsidR="0080330A" w:rsidRPr="00E70E63" w14:paraId="16C6CAC5"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BF44E9" w14:textId="54668436" w:rsidR="0080330A" w:rsidRPr="00E70E63" w:rsidRDefault="0080330A" w:rsidP="0080330A">
            <w:pPr>
              <w:rPr>
                <w:rFonts w:ascii="Aptos" w:hAnsi="Aptos"/>
                <w:sz w:val="20"/>
                <w:szCs w:val="20"/>
              </w:rPr>
            </w:pPr>
            <w:r w:rsidRPr="00E70E63">
              <w:rPr>
                <w:rFonts w:ascii="Aptos" w:hAnsi="Aptos"/>
                <w:b/>
                <w:bCs/>
                <w:sz w:val="20"/>
                <w:szCs w:val="20"/>
              </w:rPr>
              <w:t xml:space="preserve">Discharges </w:t>
            </w:r>
            <w:r>
              <w:rPr>
                <w:rFonts w:ascii="Aptos" w:hAnsi="Aptos"/>
                <w:b/>
                <w:bCs/>
                <w:sz w:val="20"/>
                <w:szCs w:val="20"/>
              </w:rPr>
              <w:t>(M/S)</w:t>
            </w:r>
          </w:p>
        </w:tc>
        <w:tc>
          <w:tcPr>
            <w:tcW w:w="2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C35B56" w14:textId="77777777" w:rsidR="0080330A" w:rsidRPr="00E70E63" w:rsidRDefault="0080330A" w:rsidP="0080330A">
            <w:pPr>
              <w:rPr>
                <w:rFonts w:ascii="Aptos" w:hAnsi="Aptos"/>
                <w:sz w:val="20"/>
                <w:szCs w:val="20"/>
              </w:rPr>
            </w:pPr>
            <w:r w:rsidRPr="00E70E63">
              <w:rPr>
                <w:rFonts w:ascii="Aptos" w:hAnsi="Aptos"/>
                <w:sz w:val="20"/>
                <w:szCs w:val="20"/>
              </w:rPr>
              <w:t>83</w:t>
            </w:r>
          </w:p>
        </w:tc>
        <w:tc>
          <w:tcPr>
            <w:tcW w:w="2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93D106" w14:textId="77777777" w:rsidR="0080330A" w:rsidRPr="00E70E63" w:rsidRDefault="0080330A" w:rsidP="0080330A">
            <w:pPr>
              <w:rPr>
                <w:rFonts w:ascii="Aptos" w:hAnsi="Aptos"/>
                <w:sz w:val="20"/>
                <w:szCs w:val="20"/>
              </w:rPr>
            </w:pPr>
            <w:r w:rsidRPr="00E70E63">
              <w:rPr>
                <w:rFonts w:ascii="Aptos" w:hAnsi="Aptos"/>
                <w:sz w:val="20"/>
                <w:szCs w:val="20"/>
              </w:rPr>
              <w:t>87</w:t>
            </w:r>
          </w:p>
        </w:tc>
      </w:tr>
      <w:tr w:rsidR="0080330A" w:rsidRPr="00E70E63" w14:paraId="4ACE2174"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FB3EB8" w14:textId="1FFB3562" w:rsidR="0080330A" w:rsidRPr="00E70E63" w:rsidRDefault="0080330A" w:rsidP="0080330A">
            <w:pPr>
              <w:rPr>
                <w:rFonts w:ascii="Aptos" w:hAnsi="Aptos"/>
                <w:b/>
                <w:bCs/>
                <w:sz w:val="20"/>
                <w:szCs w:val="20"/>
              </w:rPr>
            </w:pPr>
            <w:r w:rsidRPr="00E70E63">
              <w:rPr>
                <w:rFonts w:ascii="Aptos" w:hAnsi="Aptos"/>
                <w:b/>
                <w:bCs/>
                <w:sz w:val="20"/>
                <w:szCs w:val="20"/>
              </w:rPr>
              <w:t>Average Daily Census</w:t>
            </w:r>
            <w:r>
              <w:rPr>
                <w:rFonts w:ascii="Aptos" w:hAnsi="Aptos"/>
                <w:b/>
                <w:bCs/>
                <w:sz w:val="20"/>
                <w:szCs w:val="20"/>
              </w:rPr>
              <w:t xml:space="preserve"> (M/S)</w:t>
            </w:r>
          </w:p>
        </w:tc>
        <w:tc>
          <w:tcPr>
            <w:tcW w:w="2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A1DE00" w14:textId="134C7223" w:rsidR="0080330A" w:rsidRPr="00E70E63" w:rsidRDefault="0080330A" w:rsidP="0080330A">
            <w:pPr>
              <w:rPr>
                <w:rFonts w:ascii="Aptos" w:hAnsi="Aptos"/>
                <w:sz w:val="20"/>
                <w:szCs w:val="20"/>
              </w:rPr>
            </w:pPr>
            <w:r w:rsidRPr="00E70E63">
              <w:rPr>
                <w:rFonts w:ascii="Aptos" w:hAnsi="Aptos"/>
                <w:sz w:val="20"/>
                <w:szCs w:val="20"/>
              </w:rPr>
              <w:t>13.37</w:t>
            </w:r>
          </w:p>
        </w:tc>
        <w:tc>
          <w:tcPr>
            <w:tcW w:w="2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E98F2" w14:textId="76C36C5F" w:rsidR="0080330A" w:rsidRPr="00E70E63" w:rsidRDefault="0080330A" w:rsidP="0080330A">
            <w:pPr>
              <w:rPr>
                <w:rFonts w:ascii="Aptos" w:hAnsi="Aptos"/>
                <w:sz w:val="20"/>
                <w:szCs w:val="20"/>
              </w:rPr>
            </w:pPr>
            <w:r w:rsidRPr="00E70E63">
              <w:rPr>
                <w:rFonts w:ascii="Aptos" w:hAnsi="Aptos"/>
                <w:sz w:val="20"/>
                <w:szCs w:val="20"/>
              </w:rPr>
              <w:t>12.94</w:t>
            </w:r>
          </w:p>
        </w:tc>
      </w:tr>
      <w:tr w:rsidR="0080330A" w:rsidRPr="005A3464" w14:paraId="468AC825" w14:textId="77777777" w:rsidTr="00197DBA">
        <w:trPr>
          <w:trHeight w:val="315"/>
        </w:trPr>
        <w:tc>
          <w:tcPr>
            <w:tcW w:w="3087" w:type="dxa"/>
            <w:tcBorders>
              <w:top w:val="single" w:sz="4" w:space="0" w:color="auto"/>
            </w:tcBorders>
            <w:noWrap/>
            <w:tcMar>
              <w:top w:w="0" w:type="dxa"/>
              <w:left w:w="108" w:type="dxa"/>
              <w:bottom w:w="0" w:type="dxa"/>
              <w:right w:w="108" w:type="dxa"/>
            </w:tcMar>
            <w:vAlign w:val="center"/>
            <w:hideMark/>
          </w:tcPr>
          <w:p w14:paraId="0C3BB4A4" w14:textId="77777777" w:rsidR="0080330A" w:rsidRPr="00E619D2" w:rsidRDefault="0080330A" w:rsidP="0080330A">
            <w:pPr>
              <w:spacing w:after="120"/>
              <w:rPr>
                <w:rFonts w:ascii="Aptos" w:hAnsi="Aptos"/>
                <w:sz w:val="20"/>
                <w:szCs w:val="20"/>
              </w:rPr>
            </w:pPr>
          </w:p>
        </w:tc>
        <w:tc>
          <w:tcPr>
            <w:tcW w:w="2043" w:type="dxa"/>
            <w:tcBorders>
              <w:top w:val="single" w:sz="4" w:space="0" w:color="auto"/>
            </w:tcBorders>
            <w:noWrap/>
            <w:tcMar>
              <w:top w:w="0" w:type="dxa"/>
              <w:left w:w="108" w:type="dxa"/>
              <w:bottom w:w="0" w:type="dxa"/>
              <w:right w:w="108" w:type="dxa"/>
            </w:tcMar>
            <w:vAlign w:val="bottom"/>
            <w:hideMark/>
          </w:tcPr>
          <w:p w14:paraId="698DA8CE" w14:textId="77777777" w:rsidR="0080330A" w:rsidRPr="00E619D2" w:rsidRDefault="0080330A" w:rsidP="0080330A">
            <w:pPr>
              <w:spacing w:after="120"/>
              <w:rPr>
                <w:rFonts w:ascii="Aptos" w:hAnsi="Aptos"/>
                <w:sz w:val="20"/>
                <w:szCs w:val="20"/>
              </w:rPr>
            </w:pPr>
          </w:p>
        </w:tc>
        <w:tc>
          <w:tcPr>
            <w:tcW w:w="2250" w:type="dxa"/>
            <w:tcBorders>
              <w:top w:val="single" w:sz="4" w:space="0" w:color="auto"/>
            </w:tcBorders>
            <w:noWrap/>
            <w:tcMar>
              <w:top w:w="0" w:type="dxa"/>
              <w:left w:w="108" w:type="dxa"/>
              <w:bottom w:w="0" w:type="dxa"/>
              <w:right w:w="108" w:type="dxa"/>
            </w:tcMar>
            <w:vAlign w:val="bottom"/>
            <w:hideMark/>
          </w:tcPr>
          <w:p w14:paraId="7A91CDA2" w14:textId="77777777" w:rsidR="0080330A" w:rsidRPr="00E619D2" w:rsidRDefault="0080330A" w:rsidP="0080330A">
            <w:pPr>
              <w:spacing w:after="120"/>
              <w:rPr>
                <w:rFonts w:ascii="Aptos" w:hAnsi="Aptos"/>
                <w:sz w:val="20"/>
                <w:szCs w:val="20"/>
              </w:rPr>
            </w:pPr>
          </w:p>
        </w:tc>
      </w:tr>
    </w:tbl>
    <w:p w14:paraId="37D7DF0C" w14:textId="0EA16364" w:rsidR="00061B1E" w:rsidRPr="004025D7" w:rsidRDefault="00C36556" w:rsidP="004025D7">
      <w:pPr>
        <w:pStyle w:val="ListParagraph"/>
        <w:numPr>
          <w:ilvl w:val="0"/>
          <w:numId w:val="3"/>
        </w:numPr>
        <w:spacing w:after="120"/>
        <w:contextualSpacing w:val="0"/>
        <w:jc w:val="both"/>
        <w:rPr>
          <w:rFonts w:ascii="Aptos" w:hAnsi="Aptos" w:cs="Times New Roman"/>
          <w:b/>
          <w:bCs/>
        </w:rPr>
      </w:pPr>
      <w:r w:rsidRPr="00AF6285">
        <w:rPr>
          <w:rFonts w:ascii="Aptos" w:hAnsi="Aptos" w:cs="Times New Roman"/>
          <w:b/>
          <w:bCs/>
        </w:rPr>
        <w:t xml:space="preserve">Information on the location and service capacity of alternative delivery sites. Include an explanation of the basis for the Hospital’s determination that the alternative delivery sites do or do not have the capacity (necessary space, </w:t>
      </w:r>
      <w:r w:rsidRPr="00AF6285">
        <w:rPr>
          <w:rFonts w:ascii="Aptos" w:hAnsi="Aptos" w:cs="Times New Roman"/>
          <w:b/>
          <w:bCs/>
        </w:rPr>
        <w:lastRenderedPageBreak/>
        <w:t>resources, etc.) to handle the increased patient volume at the identified sites. To support that assertion, please provide the following specific details:</w:t>
      </w:r>
    </w:p>
    <w:p w14:paraId="354E59A6" w14:textId="1D49364F" w:rsidR="00C36556" w:rsidRPr="004025D7" w:rsidRDefault="00573064" w:rsidP="004025D7">
      <w:pPr>
        <w:pStyle w:val="ListParagraph"/>
        <w:keepNext/>
        <w:numPr>
          <w:ilvl w:val="0"/>
          <w:numId w:val="6"/>
        </w:numPr>
        <w:spacing w:after="120"/>
        <w:ind w:left="1886"/>
        <w:contextualSpacing w:val="0"/>
        <w:jc w:val="both"/>
        <w:rPr>
          <w:rFonts w:ascii="Aptos" w:hAnsi="Aptos" w:cs="Times New Roman"/>
          <w:b/>
          <w:bCs/>
        </w:rPr>
      </w:pPr>
      <w:r w:rsidRPr="00AF6285">
        <w:rPr>
          <w:rFonts w:ascii="Aptos" w:hAnsi="Aptos" w:cs="Times New Roman"/>
          <w:b/>
          <w:bCs/>
        </w:rPr>
        <w:t xml:space="preserve">Current utilization at these alternative </w:t>
      </w:r>
      <w:proofErr w:type="gramStart"/>
      <w:r w:rsidRPr="00AF6285">
        <w:rPr>
          <w:rFonts w:ascii="Aptos" w:hAnsi="Aptos" w:cs="Times New Roman"/>
          <w:b/>
          <w:bCs/>
        </w:rPr>
        <w:t>sites;</w:t>
      </w:r>
      <w:proofErr w:type="gramEnd"/>
    </w:p>
    <w:p w14:paraId="28E6E3C6" w14:textId="6DF56DB8" w:rsidR="00156566" w:rsidRDefault="00C36556" w:rsidP="004025D7">
      <w:pPr>
        <w:keepNext/>
        <w:spacing w:after="120"/>
        <w:jc w:val="both"/>
        <w:rPr>
          <w:rFonts w:ascii="Aptos" w:hAnsi="Aptos" w:cs="Times New Roman"/>
        </w:rPr>
      </w:pPr>
      <w:r w:rsidRPr="00E70E63">
        <w:rPr>
          <w:rFonts w:ascii="Aptos" w:hAnsi="Aptos" w:cs="Times New Roman"/>
        </w:rPr>
        <w:t xml:space="preserve">The following </w:t>
      </w:r>
      <w:r w:rsidR="004D08D1" w:rsidRPr="00E70E63">
        <w:rPr>
          <w:rFonts w:ascii="Aptos" w:hAnsi="Aptos" w:cs="Times New Roman"/>
        </w:rPr>
        <w:t>table lists</w:t>
      </w:r>
      <w:r w:rsidRPr="00E70E63">
        <w:rPr>
          <w:rFonts w:ascii="Aptos" w:hAnsi="Aptos" w:cs="Times New Roman"/>
        </w:rPr>
        <w:t xml:space="preserve"> </w:t>
      </w:r>
      <w:r w:rsidR="00C86DEA" w:rsidRPr="00E70E63">
        <w:rPr>
          <w:rFonts w:ascii="Aptos" w:hAnsi="Aptos" w:cs="Times New Roman"/>
        </w:rPr>
        <w:t xml:space="preserve">the </w:t>
      </w:r>
      <w:r w:rsidR="00E70E63" w:rsidRPr="00E70E63">
        <w:rPr>
          <w:rFonts w:ascii="Aptos" w:hAnsi="Aptos" w:cs="Times New Roman"/>
        </w:rPr>
        <w:t>current utilization of inpatient services</w:t>
      </w:r>
      <w:r w:rsidR="000D0321">
        <w:rPr>
          <w:rFonts w:ascii="Aptos" w:hAnsi="Aptos" w:cs="Times New Roman"/>
        </w:rPr>
        <w:t xml:space="preserve"> at Holy Family Hospital – Methuen and Lawrence General Hospital</w:t>
      </w:r>
      <w:r w:rsidR="009E0A56">
        <w:rPr>
          <w:rFonts w:ascii="Aptos" w:hAnsi="Aptos" w:cs="Times New Roman"/>
        </w:rPr>
        <w:t xml:space="preserve"> (LGH)</w:t>
      </w:r>
      <w:r w:rsidRPr="00E70E63">
        <w:rPr>
          <w:rFonts w:ascii="Aptos" w:hAnsi="Aptos" w:cs="Times New Roman"/>
        </w:rPr>
        <w:t xml:space="preserve">. </w:t>
      </w:r>
      <w:r w:rsidR="0080330A">
        <w:rPr>
          <w:rFonts w:ascii="Aptos" w:hAnsi="Aptos" w:cs="Times New Roman"/>
        </w:rPr>
        <w:t>Occupancy of the Methuen campus’s M/S service was 56% in July 2025, in line with historical utilization. As a result of the low occupancy at Methuen campus, it will be able to seamlessly accept and care for the additional patients following the closure of the Haverhill campus’ M/S service.</w:t>
      </w:r>
    </w:p>
    <w:tbl>
      <w:tblPr>
        <w:tblW w:w="7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7"/>
        <w:gridCol w:w="1780"/>
        <w:gridCol w:w="2460"/>
      </w:tblGrid>
      <w:tr w:rsidR="0080330A" w:rsidRPr="00E70E63" w14:paraId="275835B2" w14:textId="77777777" w:rsidTr="00445C16">
        <w:trPr>
          <w:trHeight w:val="330"/>
        </w:trPr>
        <w:tc>
          <w:tcPr>
            <w:tcW w:w="3087" w:type="dxa"/>
            <w:shd w:val="clear" w:color="auto" w:fill="DAE9F7"/>
            <w:noWrap/>
            <w:tcMar>
              <w:top w:w="0" w:type="dxa"/>
              <w:left w:w="108" w:type="dxa"/>
              <w:bottom w:w="0" w:type="dxa"/>
              <w:right w:w="108" w:type="dxa"/>
            </w:tcMar>
            <w:vAlign w:val="center"/>
            <w:hideMark/>
          </w:tcPr>
          <w:p w14:paraId="7A916A85" w14:textId="77777777" w:rsidR="0080330A" w:rsidRPr="00E70E63" w:rsidRDefault="0080330A" w:rsidP="00445C16">
            <w:pPr>
              <w:rPr>
                <w:rFonts w:ascii="Aptos" w:hAnsi="Aptos"/>
                <w:sz w:val="20"/>
                <w:szCs w:val="20"/>
              </w:rPr>
            </w:pPr>
            <w:r>
              <w:rPr>
                <w:rFonts w:ascii="Aptos" w:hAnsi="Aptos"/>
                <w:b/>
                <w:bCs/>
                <w:sz w:val="20"/>
                <w:szCs w:val="20"/>
              </w:rPr>
              <w:t>Occupancy</w:t>
            </w:r>
            <w:r w:rsidRPr="00E70E63">
              <w:rPr>
                <w:rFonts w:ascii="Aptos" w:hAnsi="Aptos"/>
                <w:b/>
                <w:bCs/>
                <w:sz w:val="20"/>
                <w:szCs w:val="20"/>
              </w:rPr>
              <w:t xml:space="preserve"> </w:t>
            </w:r>
            <w:r>
              <w:rPr>
                <w:rFonts w:ascii="Aptos" w:hAnsi="Aptos"/>
                <w:b/>
                <w:bCs/>
                <w:sz w:val="20"/>
                <w:szCs w:val="20"/>
              </w:rPr>
              <w:t>(M/S)</w:t>
            </w:r>
          </w:p>
        </w:tc>
        <w:tc>
          <w:tcPr>
            <w:tcW w:w="1780" w:type="dxa"/>
            <w:shd w:val="clear" w:color="auto" w:fill="DAE9F7"/>
            <w:noWrap/>
            <w:tcMar>
              <w:top w:w="0" w:type="dxa"/>
              <w:left w:w="108" w:type="dxa"/>
              <w:bottom w:w="0" w:type="dxa"/>
              <w:right w:w="108" w:type="dxa"/>
            </w:tcMar>
            <w:vAlign w:val="center"/>
            <w:hideMark/>
          </w:tcPr>
          <w:p w14:paraId="37B077CA" w14:textId="77777777" w:rsidR="0080330A" w:rsidRPr="00E70E63" w:rsidRDefault="0080330A" w:rsidP="00445C16">
            <w:pPr>
              <w:rPr>
                <w:rFonts w:ascii="Aptos" w:hAnsi="Aptos"/>
                <w:sz w:val="20"/>
                <w:szCs w:val="20"/>
              </w:rPr>
            </w:pPr>
            <w:r w:rsidRPr="00E70E63">
              <w:rPr>
                <w:rFonts w:ascii="Aptos" w:hAnsi="Aptos"/>
                <w:b/>
                <w:bCs/>
                <w:sz w:val="20"/>
                <w:szCs w:val="20"/>
              </w:rPr>
              <w:t>Jun</w:t>
            </w:r>
            <w:r>
              <w:rPr>
                <w:rFonts w:ascii="Aptos" w:hAnsi="Aptos"/>
                <w:b/>
                <w:bCs/>
                <w:sz w:val="20"/>
                <w:szCs w:val="20"/>
              </w:rPr>
              <w:t>e 2025</w:t>
            </w:r>
          </w:p>
        </w:tc>
        <w:tc>
          <w:tcPr>
            <w:tcW w:w="2460" w:type="dxa"/>
            <w:shd w:val="clear" w:color="auto" w:fill="DAE9F7"/>
            <w:noWrap/>
            <w:tcMar>
              <w:top w:w="0" w:type="dxa"/>
              <w:left w:w="108" w:type="dxa"/>
              <w:bottom w:w="0" w:type="dxa"/>
              <w:right w:w="108" w:type="dxa"/>
            </w:tcMar>
            <w:vAlign w:val="center"/>
            <w:hideMark/>
          </w:tcPr>
          <w:p w14:paraId="07F04373" w14:textId="77777777" w:rsidR="0080330A" w:rsidRPr="00E70E63" w:rsidRDefault="0080330A" w:rsidP="00445C16">
            <w:pPr>
              <w:rPr>
                <w:rFonts w:ascii="Aptos" w:hAnsi="Aptos"/>
                <w:sz w:val="20"/>
                <w:szCs w:val="20"/>
              </w:rPr>
            </w:pPr>
            <w:r>
              <w:rPr>
                <w:rFonts w:ascii="Aptos" w:hAnsi="Aptos"/>
                <w:b/>
                <w:bCs/>
                <w:sz w:val="20"/>
                <w:szCs w:val="20"/>
              </w:rPr>
              <w:t>July 2025</w:t>
            </w:r>
          </w:p>
        </w:tc>
      </w:tr>
      <w:tr w:rsidR="0080330A" w:rsidRPr="00E70E63" w14:paraId="0B6FE438" w14:textId="77777777" w:rsidTr="00445C16">
        <w:trPr>
          <w:trHeight w:val="330"/>
        </w:trPr>
        <w:tc>
          <w:tcPr>
            <w:tcW w:w="3087" w:type="dxa"/>
            <w:noWrap/>
            <w:tcMar>
              <w:top w:w="0" w:type="dxa"/>
              <w:left w:w="108" w:type="dxa"/>
              <w:bottom w:w="0" w:type="dxa"/>
              <w:right w:w="108" w:type="dxa"/>
            </w:tcMar>
            <w:vAlign w:val="center"/>
            <w:hideMark/>
          </w:tcPr>
          <w:p w14:paraId="7E10B9DD" w14:textId="77777777" w:rsidR="0080330A" w:rsidRPr="00E70E63" w:rsidRDefault="0080330A" w:rsidP="00445C16">
            <w:pPr>
              <w:rPr>
                <w:rFonts w:ascii="Aptos" w:hAnsi="Aptos"/>
                <w:sz w:val="20"/>
                <w:szCs w:val="20"/>
              </w:rPr>
            </w:pPr>
            <w:r w:rsidRPr="00E70E63">
              <w:rPr>
                <w:rFonts w:ascii="Aptos" w:hAnsi="Aptos"/>
                <w:b/>
                <w:bCs/>
                <w:sz w:val="20"/>
                <w:szCs w:val="20"/>
              </w:rPr>
              <w:t xml:space="preserve">Methuen </w:t>
            </w:r>
          </w:p>
        </w:tc>
        <w:tc>
          <w:tcPr>
            <w:tcW w:w="1780" w:type="dxa"/>
            <w:noWrap/>
            <w:tcMar>
              <w:top w:w="0" w:type="dxa"/>
              <w:left w:w="108" w:type="dxa"/>
              <w:bottom w:w="0" w:type="dxa"/>
              <w:right w:w="108" w:type="dxa"/>
            </w:tcMar>
            <w:vAlign w:val="bottom"/>
          </w:tcPr>
          <w:p w14:paraId="62B74912" w14:textId="77777777" w:rsidR="0080330A" w:rsidRPr="00E70E63" w:rsidRDefault="0080330A" w:rsidP="00445C16">
            <w:pPr>
              <w:rPr>
                <w:rFonts w:ascii="Aptos" w:hAnsi="Aptos"/>
                <w:sz w:val="20"/>
                <w:szCs w:val="20"/>
              </w:rPr>
            </w:pPr>
            <w:r w:rsidRPr="00043971">
              <w:rPr>
                <w:rFonts w:ascii="Aptos" w:hAnsi="Aptos"/>
                <w:sz w:val="20"/>
                <w:szCs w:val="20"/>
              </w:rPr>
              <w:t>56%</w:t>
            </w:r>
          </w:p>
        </w:tc>
        <w:tc>
          <w:tcPr>
            <w:tcW w:w="2460" w:type="dxa"/>
            <w:noWrap/>
            <w:tcMar>
              <w:top w:w="0" w:type="dxa"/>
              <w:left w:w="108" w:type="dxa"/>
              <w:bottom w:w="0" w:type="dxa"/>
              <w:right w:w="108" w:type="dxa"/>
            </w:tcMar>
            <w:vAlign w:val="bottom"/>
          </w:tcPr>
          <w:p w14:paraId="2C7B260F" w14:textId="77777777" w:rsidR="0080330A" w:rsidRPr="00E70E63" w:rsidRDefault="0080330A" w:rsidP="00445C16">
            <w:pPr>
              <w:rPr>
                <w:rFonts w:ascii="Aptos" w:hAnsi="Aptos"/>
                <w:sz w:val="20"/>
                <w:szCs w:val="20"/>
              </w:rPr>
            </w:pPr>
            <w:r w:rsidRPr="00043971">
              <w:rPr>
                <w:rFonts w:ascii="Aptos" w:hAnsi="Aptos"/>
                <w:sz w:val="20"/>
                <w:szCs w:val="20"/>
              </w:rPr>
              <w:t>56%</w:t>
            </w:r>
          </w:p>
        </w:tc>
      </w:tr>
      <w:tr w:rsidR="0080330A" w:rsidRPr="00E70E63" w14:paraId="6B3C69FB" w14:textId="77777777" w:rsidTr="00445C16">
        <w:trPr>
          <w:trHeight w:val="330"/>
        </w:trPr>
        <w:tc>
          <w:tcPr>
            <w:tcW w:w="3087" w:type="dxa"/>
            <w:noWrap/>
            <w:tcMar>
              <w:top w:w="0" w:type="dxa"/>
              <w:left w:w="108" w:type="dxa"/>
              <w:bottom w:w="0" w:type="dxa"/>
              <w:right w:w="108" w:type="dxa"/>
            </w:tcMar>
            <w:vAlign w:val="center"/>
            <w:hideMark/>
          </w:tcPr>
          <w:p w14:paraId="5E92F8DB" w14:textId="77777777" w:rsidR="0080330A" w:rsidRPr="00E70E63" w:rsidRDefault="0080330A" w:rsidP="00445C16">
            <w:pPr>
              <w:rPr>
                <w:rFonts w:ascii="Aptos" w:hAnsi="Aptos"/>
                <w:sz w:val="20"/>
                <w:szCs w:val="20"/>
              </w:rPr>
            </w:pPr>
            <w:r w:rsidRPr="00E70E63">
              <w:rPr>
                <w:rFonts w:ascii="Aptos" w:hAnsi="Aptos"/>
                <w:b/>
                <w:bCs/>
                <w:sz w:val="20"/>
                <w:szCs w:val="20"/>
              </w:rPr>
              <w:t xml:space="preserve">LGH </w:t>
            </w:r>
          </w:p>
        </w:tc>
        <w:tc>
          <w:tcPr>
            <w:tcW w:w="1780" w:type="dxa"/>
            <w:noWrap/>
            <w:tcMar>
              <w:top w:w="0" w:type="dxa"/>
              <w:left w:w="108" w:type="dxa"/>
              <w:bottom w:w="0" w:type="dxa"/>
              <w:right w:w="108" w:type="dxa"/>
            </w:tcMar>
            <w:vAlign w:val="bottom"/>
          </w:tcPr>
          <w:p w14:paraId="4761D275" w14:textId="77777777" w:rsidR="0080330A" w:rsidRPr="00E70E63" w:rsidRDefault="0080330A" w:rsidP="00445C16">
            <w:pPr>
              <w:rPr>
                <w:rFonts w:ascii="Aptos" w:hAnsi="Aptos"/>
                <w:sz w:val="20"/>
                <w:szCs w:val="20"/>
              </w:rPr>
            </w:pPr>
            <w:r w:rsidRPr="00043971">
              <w:rPr>
                <w:rFonts w:ascii="Aptos" w:hAnsi="Aptos"/>
                <w:sz w:val="20"/>
                <w:szCs w:val="20"/>
              </w:rPr>
              <w:t>98%</w:t>
            </w:r>
          </w:p>
        </w:tc>
        <w:tc>
          <w:tcPr>
            <w:tcW w:w="2460" w:type="dxa"/>
            <w:noWrap/>
            <w:tcMar>
              <w:top w:w="0" w:type="dxa"/>
              <w:left w:w="108" w:type="dxa"/>
              <w:bottom w:w="0" w:type="dxa"/>
              <w:right w:w="108" w:type="dxa"/>
            </w:tcMar>
            <w:vAlign w:val="bottom"/>
          </w:tcPr>
          <w:p w14:paraId="0ED3B7BC" w14:textId="77777777" w:rsidR="0080330A" w:rsidRPr="00E70E63" w:rsidRDefault="0080330A" w:rsidP="00445C16">
            <w:pPr>
              <w:rPr>
                <w:rFonts w:ascii="Aptos" w:hAnsi="Aptos"/>
                <w:sz w:val="20"/>
                <w:szCs w:val="20"/>
              </w:rPr>
            </w:pPr>
            <w:r w:rsidRPr="00043971">
              <w:rPr>
                <w:rFonts w:ascii="Aptos" w:hAnsi="Aptos"/>
                <w:sz w:val="20"/>
                <w:szCs w:val="20"/>
              </w:rPr>
              <w:t>97%</w:t>
            </w:r>
          </w:p>
        </w:tc>
      </w:tr>
    </w:tbl>
    <w:p w14:paraId="34A2BBCC" w14:textId="77777777" w:rsidR="0080330A" w:rsidRPr="004025D7" w:rsidRDefault="0080330A" w:rsidP="004025D7">
      <w:pPr>
        <w:keepNext/>
        <w:spacing w:after="120"/>
        <w:jc w:val="both"/>
        <w:rPr>
          <w:rFonts w:ascii="Aptos" w:hAnsi="Aptos" w:cs="Times New Roman"/>
        </w:rPr>
      </w:pPr>
    </w:p>
    <w:tbl>
      <w:tblPr>
        <w:tblW w:w="7327" w:type="dxa"/>
        <w:tblInd w:w="-5" w:type="dxa"/>
        <w:tblCellMar>
          <w:left w:w="0" w:type="dxa"/>
          <w:right w:w="0" w:type="dxa"/>
        </w:tblCellMar>
        <w:tblLook w:val="04A0" w:firstRow="1" w:lastRow="0" w:firstColumn="1" w:lastColumn="0" w:noHBand="0" w:noVBand="1"/>
      </w:tblPr>
      <w:tblGrid>
        <w:gridCol w:w="3087"/>
        <w:gridCol w:w="1780"/>
        <w:gridCol w:w="2460"/>
      </w:tblGrid>
      <w:tr w:rsidR="00E70E63" w:rsidRPr="005A3464" w14:paraId="454E0FAA"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0676D750" w14:textId="66B9B071" w:rsidR="00E70E63" w:rsidRPr="00E70E63" w:rsidRDefault="00E70E63" w:rsidP="00C30C36">
            <w:pPr>
              <w:rPr>
                <w:rFonts w:ascii="Aptos" w:hAnsi="Aptos"/>
                <w:sz w:val="20"/>
                <w:szCs w:val="20"/>
              </w:rPr>
            </w:pPr>
            <w:r w:rsidRPr="00E70E63">
              <w:rPr>
                <w:rFonts w:ascii="Aptos" w:hAnsi="Aptos"/>
                <w:b/>
                <w:bCs/>
                <w:sz w:val="20"/>
                <w:szCs w:val="20"/>
              </w:rPr>
              <w:t xml:space="preserve">Discharges </w:t>
            </w:r>
            <w:r>
              <w:rPr>
                <w:rFonts w:ascii="Aptos" w:hAnsi="Aptos"/>
                <w:b/>
                <w:bCs/>
                <w:sz w:val="20"/>
                <w:szCs w:val="20"/>
              </w:rPr>
              <w:t>(M/S)</w:t>
            </w:r>
          </w:p>
        </w:tc>
        <w:tc>
          <w:tcPr>
            <w:tcW w:w="1780"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182ED009" w14:textId="08C0E12E" w:rsidR="00E70E63" w:rsidRPr="00E70E63" w:rsidRDefault="00E70E63" w:rsidP="00C30C36">
            <w:pPr>
              <w:rPr>
                <w:rFonts w:ascii="Aptos" w:hAnsi="Aptos"/>
                <w:sz w:val="20"/>
                <w:szCs w:val="20"/>
              </w:rPr>
            </w:pPr>
            <w:r w:rsidRPr="00E70E63">
              <w:rPr>
                <w:rFonts w:ascii="Aptos" w:hAnsi="Aptos"/>
                <w:b/>
                <w:bCs/>
                <w:sz w:val="20"/>
                <w:szCs w:val="20"/>
              </w:rPr>
              <w:t>Jun</w:t>
            </w:r>
            <w:r>
              <w:rPr>
                <w:rFonts w:ascii="Aptos" w:hAnsi="Aptos"/>
                <w:b/>
                <w:bCs/>
                <w:sz w:val="20"/>
                <w:szCs w:val="20"/>
              </w:rPr>
              <w:t>e 2025</w:t>
            </w:r>
          </w:p>
        </w:tc>
        <w:tc>
          <w:tcPr>
            <w:tcW w:w="2460"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56EFB70B" w14:textId="7C617A5A" w:rsidR="00E70E63" w:rsidRPr="00E70E63" w:rsidRDefault="00E70E63" w:rsidP="00C30C36">
            <w:pPr>
              <w:rPr>
                <w:rFonts w:ascii="Aptos" w:hAnsi="Aptos"/>
                <w:sz w:val="20"/>
                <w:szCs w:val="20"/>
              </w:rPr>
            </w:pPr>
            <w:r>
              <w:rPr>
                <w:rFonts w:ascii="Aptos" w:hAnsi="Aptos"/>
                <w:b/>
                <w:bCs/>
                <w:sz w:val="20"/>
                <w:szCs w:val="20"/>
              </w:rPr>
              <w:t>July 2025</w:t>
            </w:r>
          </w:p>
        </w:tc>
      </w:tr>
      <w:tr w:rsidR="00E70E63" w:rsidRPr="005A3464" w14:paraId="54E34E64"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723C2B3" w14:textId="7CB2C15A" w:rsidR="00E70E63" w:rsidRPr="00E70E63" w:rsidRDefault="00E70E63" w:rsidP="00C30C36">
            <w:pPr>
              <w:rPr>
                <w:rFonts w:ascii="Aptos" w:hAnsi="Aptos"/>
                <w:sz w:val="20"/>
                <w:szCs w:val="20"/>
              </w:rPr>
            </w:pPr>
            <w:r w:rsidRPr="00E70E63">
              <w:rPr>
                <w:rFonts w:ascii="Aptos" w:hAnsi="Aptos"/>
                <w:b/>
                <w:bCs/>
                <w:sz w:val="20"/>
                <w:szCs w:val="20"/>
              </w:rPr>
              <w:t xml:space="preserve">Methuen </w:t>
            </w:r>
          </w:p>
        </w:tc>
        <w:tc>
          <w:tcPr>
            <w:tcW w:w="1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F1393A" w14:textId="77777777" w:rsidR="00E70E63" w:rsidRPr="00E70E63" w:rsidRDefault="00E70E63" w:rsidP="00C30C36">
            <w:pPr>
              <w:rPr>
                <w:rFonts w:ascii="Aptos" w:hAnsi="Aptos"/>
                <w:sz w:val="20"/>
                <w:szCs w:val="20"/>
              </w:rPr>
            </w:pPr>
            <w:r w:rsidRPr="00E70E63">
              <w:rPr>
                <w:rFonts w:ascii="Aptos" w:hAnsi="Aptos"/>
                <w:sz w:val="20"/>
                <w:szCs w:val="20"/>
              </w:rPr>
              <w:t>414</w:t>
            </w:r>
          </w:p>
        </w:tc>
        <w:tc>
          <w:tcPr>
            <w:tcW w:w="24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2D24A2" w14:textId="77777777" w:rsidR="00E70E63" w:rsidRPr="00E70E63" w:rsidRDefault="00E70E63" w:rsidP="00C30C36">
            <w:pPr>
              <w:rPr>
                <w:rFonts w:ascii="Aptos" w:hAnsi="Aptos"/>
                <w:sz w:val="20"/>
                <w:szCs w:val="20"/>
              </w:rPr>
            </w:pPr>
            <w:r w:rsidRPr="00E70E63">
              <w:rPr>
                <w:rFonts w:ascii="Aptos" w:hAnsi="Aptos"/>
                <w:sz w:val="20"/>
                <w:szCs w:val="20"/>
              </w:rPr>
              <w:t>438</w:t>
            </w:r>
          </w:p>
        </w:tc>
      </w:tr>
      <w:tr w:rsidR="00E70E63" w:rsidRPr="005A3464" w14:paraId="46BEBA2C"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F432FC4" w14:textId="70B0A5E2" w:rsidR="00E70E63" w:rsidRPr="00E70E63" w:rsidRDefault="00E70E63" w:rsidP="00C30C36">
            <w:pPr>
              <w:rPr>
                <w:rFonts w:ascii="Aptos" w:hAnsi="Aptos"/>
                <w:sz w:val="20"/>
                <w:szCs w:val="20"/>
              </w:rPr>
            </w:pPr>
            <w:r w:rsidRPr="00E70E63">
              <w:rPr>
                <w:rFonts w:ascii="Aptos" w:hAnsi="Aptos"/>
                <w:b/>
                <w:bCs/>
                <w:sz w:val="20"/>
                <w:szCs w:val="20"/>
              </w:rPr>
              <w:t xml:space="preserve">LGH </w:t>
            </w:r>
          </w:p>
        </w:tc>
        <w:tc>
          <w:tcPr>
            <w:tcW w:w="1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8C3916" w14:textId="77777777" w:rsidR="00E70E63" w:rsidRPr="00E70E63" w:rsidRDefault="00E70E63" w:rsidP="00C30C36">
            <w:pPr>
              <w:rPr>
                <w:rFonts w:ascii="Aptos" w:hAnsi="Aptos"/>
                <w:sz w:val="20"/>
                <w:szCs w:val="20"/>
              </w:rPr>
            </w:pPr>
            <w:r w:rsidRPr="00E70E63">
              <w:rPr>
                <w:rFonts w:ascii="Aptos" w:hAnsi="Aptos"/>
                <w:sz w:val="20"/>
                <w:szCs w:val="20"/>
              </w:rPr>
              <w:t>726</w:t>
            </w:r>
          </w:p>
        </w:tc>
        <w:tc>
          <w:tcPr>
            <w:tcW w:w="24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76D464" w14:textId="77777777" w:rsidR="00E70E63" w:rsidRPr="00E70E63" w:rsidRDefault="00E70E63" w:rsidP="00C30C36">
            <w:pPr>
              <w:rPr>
                <w:rFonts w:ascii="Aptos" w:hAnsi="Aptos"/>
                <w:sz w:val="20"/>
                <w:szCs w:val="20"/>
              </w:rPr>
            </w:pPr>
            <w:r w:rsidRPr="00E70E63">
              <w:rPr>
                <w:rFonts w:ascii="Aptos" w:hAnsi="Aptos"/>
                <w:sz w:val="20"/>
                <w:szCs w:val="20"/>
              </w:rPr>
              <w:t>760</w:t>
            </w:r>
          </w:p>
        </w:tc>
      </w:tr>
      <w:tr w:rsidR="00E70E63" w:rsidRPr="005A3464" w14:paraId="6899C7A9" w14:textId="77777777" w:rsidTr="00197DBA">
        <w:trPr>
          <w:trHeight w:val="315"/>
        </w:trPr>
        <w:tc>
          <w:tcPr>
            <w:tcW w:w="3087" w:type="dxa"/>
            <w:tcBorders>
              <w:top w:val="single" w:sz="4" w:space="0" w:color="auto"/>
              <w:bottom w:val="single" w:sz="4" w:space="0" w:color="auto"/>
            </w:tcBorders>
            <w:noWrap/>
            <w:tcMar>
              <w:top w:w="0" w:type="dxa"/>
              <w:left w:w="108" w:type="dxa"/>
              <w:bottom w:w="0" w:type="dxa"/>
              <w:right w:w="108" w:type="dxa"/>
            </w:tcMar>
            <w:vAlign w:val="center"/>
            <w:hideMark/>
          </w:tcPr>
          <w:p w14:paraId="1DF90C85" w14:textId="77777777" w:rsidR="00E70E63" w:rsidRPr="00E70E63" w:rsidRDefault="00E70E63" w:rsidP="004025D7">
            <w:pPr>
              <w:spacing w:after="120"/>
              <w:rPr>
                <w:rFonts w:ascii="Aptos" w:hAnsi="Aptos"/>
                <w:sz w:val="20"/>
                <w:szCs w:val="20"/>
              </w:rPr>
            </w:pPr>
          </w:p>
        </w:tc>
        <w:tc>
          <w:tcPr>
            <w:tcW w:w="1780" w:type="dxa"/>
            <w:tcBorders>
              <w:top w:val="single" w:sz="4" w:space="0" w:color="auto"/>
              <w:bottom w:val="single" w:sz="4" w:space="0" w:color="auto"/>
            </w:tcBorders>
            <w:noWrap/>
            <w:tcMar>
              <w:top w:w="0" w:type="dxa"/>
              <w:left w:w="108" w:type="dxa"/>
              <w:bottom w:w="0" w:type="dxa"/>
              <w:right w:w="108" w:type="dxa"/>
            </w:tcMar>
            <w:vAlign w:val="bottom"/>
            <w:hideMark/>
          </w:tcPr>
          <w:p w14:paraId="766203C9" w14:textId="77777777" w:rsidR="00E70E63" w:rsidRPr="00E70E63" w:rsidRDefault="00E70E63" w:rsidP="004025D7">
            <w:pPr>
              <w:spacing w:after="120"/>
              <w:rPr>
                <w:rFonts w:ascii="Aptos" w:hAnsi="Aptos"/>
                <w:sz w:val="20"/>
                <w:szCs w:val="20"/>
              </w:rPr>
            </w:pPr>
          </w:p>
        </w:tc>
        <w:tc>
          <w:tcPr>
            <w:tcW w:w="2460" w:type="dxa"/>
            <w:tcBorders>
              <w:top w:val="single" w:sz="4" w:space="0" w:color="auto"/>
              <w:bottom w:val="single" w:sz="4" w:space="0" w:color="auto"/>
            </w:tcBorders>
            <w:noWrap/>
            <w:tcMar>
              <w:top w:w="0" w:type="dxa"/>
              <w:left w:w="108" w:type="dxa"/>
              <w:bottom w:w="0" w:type="dxa"/>
              <w:right w:w="108" w:type="dxa"/>
            </w:tcMar>
            <w:vAlign w:val="bottom"/>
            <w:hideMark/>
          </w:tcPr>
          <w:p w14:paraId="29381C13" w14:textId="77777777" w:rsidR="00E70E63" w:rsidRPr="00E70E63" w:rsidRDefault="00E70E63" w:rsidP="004025D7">
            <w:pPr>
              <w:spacing w:after="120"/>
              <w:rPr>
                <w:rFonts w:ascii="Aptos" w:hAnsi="Aptos"/>
                <w:sz w:val="20"/>
                <w:szCs w:val="20"/>
              </w:rPr>
            </w:pPr>
          </w:p>
        </w:tc>
      </w:tr>
      <w:tr w:rsidR="00E70E63" w:rsidRPr="005A3464" w14:paraId="7BD15C08"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6E8D9886" w14:textId="6EBB3EE9" w:rsidR="00E70E63" w:rsidRPr="00E70E63" w:rsidRDefault="00E70E63" w:rsidP="00C30C36">
            <w:pPr>
              <w:rPr>
                <w:rFonts w:ascii="Aptos" w:hAnsi="Aptos"/>
                <w:sz w:val="20"/>
                <w:szCs w:val="20"/>
              </w:rPr>
            </w:pPr>
            <w:r w:rsidRPr="00E70E63">
              <w:rPr>
                <w:rFonts w:ascii="Aptos" w:hAnsi="Aptos"/>
                <w:b/>
                <w:bCs/>
                <w:sz w:val="20"/>
                <w:szCs w:val="20"/>
              </w:rPr>
              <w:t xml:space="preserve">Average Daily Census </w:t>
            </w:r>
            <w:r>
              <w:rPr>
                <w:rFonts w:ascii="Aptos" w:hAnsi="Aptos"/>
                <w:b/>
                <w:bCs/>
                <w:sz w:val="20"/>
                <w:szCs w:val="20"/>
              </w:rPr>
              <w:t>(M/S)</w:t>
            </w:r>
          </w:p>
        </w:tc>
        <w:tc>
          <w:tcPr>
            <w:tcW w:w="1780"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49214FBB" w14:textId="127F1BC7" w:rsidR="00E70E63" w:rsidRPr="00E70E63" w:rsidRDefault="00E70E63" w:rsidP="00C30C36">
            <w:pPr>
              <w:rPr>
                <w:rFonts w:ascii="Aptos" w:hAnsi="Aptos"/>
                <w:sz w:val="20"/>
                <w:szCs w:val="20"/>
              </w:rPr>
            </w:pPr>
            <w:r w:rsidRPr="00E70E63">
              <w:rPr>
                <w:rFonts w:ascii="Aptos" w:hAnsi="Aptos"/>
                <w:b/>
                <w:bCs/>
                <w:sz w:val="20"/>
                <w:szCs w:val="20"/>
              </w:rPr>
              <w:t>Jun</w:t>
            </w:r>
            <w:r>
              <w:rPr>
                <w:rFonts w:ascii="Aptos" w:hAnsi="Aptos"/>
                <w:b/>
                <w:bCs/>
                <w:sz w:val="20"/>
                <w:szCs w:val="20"/>
              </w:rPr>
              <w:t>e 2025</w:t>
            </w:r>
          </w:p>
        </w:tc>
        <w:tc>
          <w:tcPr>
            <w:tcW w:w="2460" w:type="dxa"/>
            <w:tcBorders>
              <w:top w:val="single" w:sz="4" w:space="0" w:color="auto"/>
              <w:left w:val="single" w:sz="4" w:space="0" w:color="auto"/>
              <w:bottom w:val="single" w:sz="4" w:space="0" w:color="auto"/>
              <w:right w:val="single" w:sz="4" w:space="0" w:color="auto"/>
            </w:tcBorders>
            <w:shd w:val="clear" w:color="auto" w:fill="DAE9F7"/>
            <w:noWrap/>
            <w:tcMar>
              <w:top w:w="0" w:type="dxa"/>
              <w:left w:w="108" w:type="dxa"/>
              <w:bottom w:w="0" w:type="dxa"/>
              <w:right w:w="108" w:type="dxa"/>
            </w:tcMar>
            <w:vAlign w:val="center"/>
            <w:hideMark/>
          </w:tcPr>
          <w:p w14:paraId="1DFC86F0" w14:textId="4D29A350" w:rsidR="00E70E63" w:rsidRPr="00E70E63" w:rsidRDefault="00E70E63" w:rsidP="00C30C36">
            <w:pPr>
              <w:rPr>
                <w:rFonts w:ascii="Aptos" w:hAnsi="Aptos"/>
                <w:sz w:val="20"/>
                <w:szCs w:val="20"/>
              </w:rPr>
            </w:pPr>
            <w:r>
              <w:rPr>
                <w:rFonts w:ascii="Aptos" w:hAnsi="Aptos"/>
                <w:b/>
                <w:bCs/>
                <w:sz w:val="20"/>
                <w:szCs w:val="20"/>
              </w:rPr>
              <w:t>July 2025</w:t>
            </w:r>
          </w:p>
        </w:tc>
      </w:tr>
      <w:tr w:rsidR="00E70E63" w:rsidRPr="005A3464" w14:paraId="2C941B56"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1FB532" w14:textId="0446D2C2" w:rsidR="00E70E63" w:rsidRPr="00E70E63" w:rsidRDefault="00E70E63" w:rsidP="00C30C36">
            <w:pPr>
              <w:rPr>
                <w:rFonts w:ascii="Aptos" w:hAnsi="Aptos"/>
                <w:sz w:val="20"/>
                <w:szCs w:val="20"/>
              </w:rPr>
            </w:pPr>
            <w:r w:rsidRPr="00E70E63">
              <w:rPr>
                <w:rFonts w:ascii="Aptos" w:hAnsi="Aptos"/>
                <w:b/>
                <w:bCs/>
                <w:sz w:val="20"/>
                <w:szCs w:val="20"/>
              </w:rPr>
              <w:t xml:space="preserve">Methuen </w:t>
            </w:r>
          </w:p>
        </w:tc>
        <w:tc>
          <w:tcPr>
            <w:tcW w:w="1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7722D1" w14:textId="77777777" w:rsidR="00E70E63" w:rsidRPr="00E70E63" w:rsidRDefault="00E70E63" w:rsidP="00C30C36">
            <w:pPr>
              <w:rPr>
                <w:rFonts w:ascii="Aptos" w:hAnsi="Aptos"/>
                <w:sz w:val="20"/>
                <w:szCs w:val="20"/>
              </w:rPr>
            </w:pPr>
            <w:r w:rsidRPr="00E70E63">
              <w:rPr>
                <w:rFonts w:ascii="Aptos" w:hAnsi="Aptos"/>
                <w:sz w:val="20"/>
                <w:szCs w:val="20"/>
              </w:rPr>
              <w:t>60.87</w:t>
            </w:r>
          </w:p>
        </w:tc>
        <w:tc>
          <w:tcPr>
            <w:tcW w:w="24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7F9C19" w14:textId="77777777" w:rsidR="00E70E63" w:rsidRPr="00E70E63" w:rsidRDefault="00E70E63" w:rsidP="00C30C36">
            <w:pPr>
              <w:rPr>
                <w:rFonts w:ascii="Aptos" w:hAnsi="Aptos"/>
                <w:sz w:val="20"/>
                <w:szCs w:val="20"/>
              </w:rPr>
            </w:pPr>
            <w:r w:rsidRPr="00E70E63">
              <w:rPr>
                <w:rFonts w:ascii="Aptos" w:hAnsi="Aptos"/>
                <w:sz w:val="20"/>
                <w:szCs w:val="20"/>
              </w:rPr>
              <w:t>59.00</w:t>
            </w:r>
          </w:p>
        </w:tc>
      </w:tr>
      <w:tr w:rsidR="00E70E63" w:rsidRPr="005A3464" w14:paraId="01E89D95" w14:textId="77777777" w:rsidTr="00197DBA">
        <w:trPr>
          <w:trHeight w:val="330"/>
        </w:trPr>
        <w:tc>
          <w:tcPr>
            <w:tcW w:w="30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E98B2F" w14:textId="2C100F48" w:rsidR="00E70E63" w:rsidRPr="00E70E63" w:rsidRDefault="00E70E63" w:rsidP="00C30C36">
            <w:pPr>
              <w:rPr>
                <w:rFonts w:ascii="Aptos" w:hAnsi="Aptos"/>
                <w:sz w:val="20"/>
                <w:szCs w:val="20"/>
              </w:rPr>
            </w:pPr>
            <w:r w:rsidRPr="00E70E63">
              <w:rPr>
                <w:rFonts w:ascii="Aptos" w:hAnsi="Aptos"/>
                <w:b/>
                <w:bCs/>
                <w:sz w:val="20"/>
                <w:szCs w:val="20"/>
              </w:rPr>
              <w:t xml:space="preserve">LGH </w:t>
            </w:r>
          </w:p>
        </w:tc>
        <w:tc>
          <w:tcPr>
            <w:tcW w:w="1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8D54DA" w14:textId="77777777" w:rsidR="00E70E63" w:rsidRPr="00E70E63" w:rsidRDefault="00E70E63" w:rsidP="00C30C36">
            <w:pPr>
              <w:rPr>
                <w:rFonts w:ascii="Aptos" w:hAnsi="Aptos"/>
                <w:sz w:val="20"/>
                <w:szCs w:val="20"/>
              </w:rPr>
            </w:pPr>
            <w:r w:rsidRPr="00E70E63">
              <w:rPr>
                <w:rFonts w:ascii="Aptos" w:hAnsi="Aptos"/>
                <w:sz w:val="20"/>
                <w:szCs w:val="20"/>
              </w:rPr>
              <w:t>117.23</w:t>
            </w:r>
          </w:p>
        </w:tc>
        <w:tc>
          <w:tcPr>
            <w:tcW w:w="24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FD13AD" w14:textId="77777777" w:rsidR="00E70E63" w:rsidRPr="00E70E63" w:rsidRDefault="00E70E63" w:rsidP="00C30C36">
            <w:pPr>
              <w:rPr>
                <w:rFonts w:ascii="Aptos" w:hAnsi="Aptos"/>
                <w:sz w:val="20"/>
                <w:szCs w:val="20"/>
              </w:rPr>
            </w:pPr>
            <w:r w:rsidRPr="00E70E63">
              <w:rPr>
                <w:rFonts w:ascii="Aptos" w:hAnsi="Aptos"/>
                <w:sz w:val="20"/>
                <w:szCs w:val="20"/>
              </w:rPr>
              <w:t>115.35</w:t>
            </w:r>
          </w:p>
        </w:tc>
      </w:tr>
    </w:tbl>
    <w:p w14:paraId="6B1457BD" w14:textId="77777777" w:rsidR="00E70E63" w:rsidRDefault="00E70E63" w:rsidP="004025D7">
      <w:pPr>
        <w:spacing w:after="120"/>
        <w:jc w:val="both"/>
        <w:rPr>
          <w:rFonts w:ascii="Times New Roman" w:hAnsi="Times New Roman" w:cs="Times New Roman"/>
          <w:b/>
          <w:bCs/>
          <w:sz w:val="24"/>
          <w:szCs w:val="24"/>
        </w:rPr>
      </w:pPr>
    </w:p>
    <w:p w14:paraId="5622BAC3" w14:textId="3AF9BF5E" w:rsidR="00E70E63" w:rsidRPr="004025D7" w:rsidRDefault="00E70E63" w:rsidP="004025D7">
      <w:pPr>
        <w:spacing w:after="120"/>
        <w:jc w:val="both"/>
        <w:rPr>
          <w:rFonts w:ascii="Aptos" w:hAnsi="Aptos" w:cs="Times New Roman"/>
        </w:rPr>
      </w:pPr>
      <w:r w:rsidRPr="00E70E63">
        <w:rPr>
          <w:rFonts w:ascii="Aptos" w:hAnsi="Aptos" w:cs="Times New Roman"/>
        </w:rPr>
        <w:t xml:space="preserve">With respect to emergency services, following the closure of the Haverhill </w:t>
      </w:r>
      <w:r w:rsidR="007018C5">
        <w:rPr>
          <w:rFonts w:ascii="Aptos" w:hAnsi="Aptos" w:cs="Times New Roman"/>
        </w:rPr>
        <w:t>c</w:t>
      </w:r>
      <w:r w:rsidRPr="00E70E63">
        <w:rPr>
          <w:rFonts w:ascii="Aptos" w:hAnsi="Aptos" w:cs="Times New Roman"/>
        </w:rPr>
        <w:t>ampus ED, the Hospital will open a Satellite Emergency Facility</w:t>
      </w:r>
      <w:r w:rsidR="00B51CC4">
        <w:rPr>
          <w:rFonts w:ascii="Aptos" w:hAnsi="Aptos" w:cs="Times New Roman"/>
        </w:rPr>
        <w:t xml:space="preserve"> (SEF)</w:t>
      </w:r>
      <w:r w:rsidRPr="00E70E63">
        <w:rPr>
          <w:rFonts w:ascii="Aptos" w:hAnsi="Aptos" w:cs="Times New Roman"/>
        </w:rPr>
        <w:t xml:space="preserve"> </w:t>
      </w:r>
      <w:r w:rsidR="0042556F">
        <w:rPr>
          <w:rFonts w:ascii="Aptos" w:hAnsi="Aptos" w:cs="Times New Roman"/>
        </w:rPr>
        <w:t>in the same location a</w:t>
      </w:r>
      <w:r w:rsidR="00B51CC4">
        <w:rPr>
          <w:rFonts w:ascii="Aptos" w:hAnsi="Aptos" w:cs="Times New Roman"/>
        </w:rPr>
        <w:t>s</w:t>
      </w:r>
      <w:r w:rsidR="0042556F">
        <w:rPr>
          <w:rFonts w:ascii="Aptos" w:hAnsi="Aptos" w:cs="Times New Roman"/>
        </w:rPr>
        <w:t xml:space="preserve"> the ED without any interruption </w:t>
      </w:r>
      <w:r w:rsidR="00B51CC4">
        <w:rPr>
          <w:rFonts w:ascii="Aptos" w:hAnsi="Aptos" w:cs="Times New Roman"/>
        </w:rPr>
        <w:t xml:space="preserve">in the delivery of care </w:t>
      </w:r>
      <w:r w:rsidR="0042556F">
        <w:rPr>
          <w:rFonts w:ascii="Aptos" w:hAnsi="Aptos" w:cs="Times New Roman"/>
        </w:rPr>
        <w:t xml:space="preserve">or change </w:t>
      </w:r>
      <w:r w:rsidR="00B51CC4">
        <w:rPr>
          <w:rFonts w:ascii="Aptos" w:hAnsi="Aptos" w:cs="Times New Roman"/>
        </w:rPr>
        <w:t>to the scope of services provided.</w:t>
      </w:r>
      <w:r w:rsidR="0042556F">
        <w:rPr>
          <w:rFonts w:ascii="Aptos" w:hAnsi="Aptos" w:cs="Times New Roman"/>
        </w:rPr>
        <w:t xml:space="preserve"> </w:t>
      </w:r>
    </w:p>
    <w:p w14:paraId="3EBD6435" w14:textId="66EB8717" w:rsidR="00DB0AB5" w:rsidRPr="004025D7" w:rsidRDefault="00573064" w:rsidP="00B0644D">
      <w:pPr>
        <w:pStyle w:val="ListParagraph"/>
        <w:numPr>
          <w:ilvl w:val="0"/>
          <w:numId w:val="9"/>
        </w:numPr>
        <w:spacing w:after="120"/>
        <w:ind w:left="1890"/>
        <w:contextualSpacing w:val="0"/>
        <w:jc w:val="both"/>
        <w:rPr>
          <w:rFonts w:ascii="Aptos" w:hAnsi="Aptos" w:cs="Times New Roman"/>
          <w:b/>
          <w:bCs/>
        </w:rPr>
      </w:pPr>
      <w:r w:rsidRPr="0042556F">
        <w:rPr>
          <w:rFonts w:ascii="Aptos" w:hAnsi="Aptos" w:cs="Times New Roman"/>
          <w:b/>
          <w:bCs/>
        </w:rPr>
        <w:t xml:space="preserve">Type of services available at the alternative </w:t>
      </w:r>
      <w:proofErr w:type="gramStart"/>
      <w:r w:rsidRPr="0042556F">
        <w:rPr>
          <w:rFonts w:ascii="Aptos" w:hAnsi="Aptos" w:cs="Times New Roman"/>
          <w:b/>
          <w:bCs/>
        </w:rPr>
        <w:t>sites;</w:t>
      </w:r>
      <w:proofErr w:type="gramEnd"/>
    </w:p>
    <w:p w14:paraId="53B21EB1" w14:textId="58D8D876" w:rsidR="009451C2" w:rsidRPr="004025D7" w:rsidRDefault="00156566" w:rsidP="004025D7">
      <w:pPr>
        <w:spacing w:after="120"/>
        <w:jc w:val="both"/>
        <w:rPr>
          <w:rFonts w:ascii="Aptos" w:hAnsi="Aptos" w:cs="Times New Roman"/>
          <w:color w:val="000000" w:themeColor="text1"/>
        </w:rPr>
      </w:pPr>
      <w:r w:rsidRPr="0042556F">
        <w:rPr>
          <w:rFonts w:ascii="Aptos" w:hAnsi="Aptos" w:cs="Times New Roman"/>
        </w:rPr>
        <w:t xml:space="preserve">The alternative sites identified provide inpatient </w:t>
      </w:r>
      <w:r w:rsidR="00341F09">
        <w:rPr>
          <w:rFonts w:ascii="Aptos" w:hAnsi="Aptos" w:cs="Times New Roman"/>
        </w:rPr>
        <w:t>M/S</w:t>
      </w:r>
      <w:r w:rsidR="0042556F">
        <w:rPr>
          <w:rFonts w:ascii="Aptos" w:hAnsi="Aptos" w:cs="Times New Roman"/>
        </w:rPr>
        <w:t xml:space="preserve"> and intensive care, as well as emergency services. </w:t>
      </w:r>
      <w:r w:rsidR="009451C2">
        <w:rPr>
          <w:rFonts w:ascii="Aptos" w:hAnsi="Aptos" w:cs="Times New Roman"/>
        </w:rPr>
        <w:t xml:space="preserve">Moreover, these alternative sites are within the same health system as the Haverhill </w:t>
      </w:r>
      <w:r w:rsidR="007018C5">
        <w:rPr>
          <w:rFonts w:ascii="Aptos" w:hAnsi="Aptos" w:cs="Times New Roman"/>
        </w:rPr>
        <w:t>c</w:t>
      </w:r>
      <w:r w:rsidR="009451C2">
        <w:rPr>
          <w:rFonts w:ascii="Aptos" w:hAnsi="Aptos" w:cs="Times New Roman"/>
        </w:rPr>
        <w:t xml:space="preserve">ampus and already provide care to patients in coordination and consultation with each other. </w:t>
      </w:r>
      <w:r w:rsidR="009E0A56">
        <w:rPr>
          <w:rFonts w:ascii="Aptos" w:hAnsi="Aptos" w:cs="Times New Roman"/>
          <w:color w:val="000000" w:themeColor="text1"/>
        </w:rPr>
        <w:t xml:space="preserve">Following the acquisition of the Hospital by LGH, the newly formed </w:t>
      </w:r>
      <w:r w:rsidR="000A0698">
        <w:rPr>
          <w:rFonts w:ascii="Aptos" w:hAnsi="Aptos" w:cs="Times New Roman"/>
          <w:color w:val="000000" w:themeColor="text1"/>
        </w:rPr>
        <w:t>H</w:t>
      </w:r>
      <w:r w:rsidR="009E0A56">
        <w:rPr>
          <w:rFonts w:ascii="Aptos" w:hAnsi="Aptos" w:cs="Times New Roman"/>
          <w:color w:val="000000" w:themeColor="text1"/>
        </w:rPr>
        <w:t xml:space="preserve">ealth </w:t>
      </w:r>
      <w:r w:rsidR="000A0698">
        <w:rPr>
          <w:rFonts w:ascii="Aptos" w:hAnsi="Aptos" w:cs="Times New Roman"/>
          <w:color w:val="000000" w:themeColor="text1"/>
        </w:rPr>
        <w:t>S</w:t>
      </w:r>
      <w:r w:rsidR="009E0A56">
        <w:rPr>
          <w:rFonts w:ascii="Aptos" w:hAnsi="Aptos" w:cs="Times New Roman"/>
          <w:color w:val="000000" w:themeColor="text1"/>
        </w:rPr>
        <w:t xml:space="preserve">ystem integrated the hospitals’ electronic medical records so both hospitals operate within one medical record system. This integration facilitates more efficient collaboration and communication between providers for patients of the Hospital and LGH. </w:t>
      </w:r>
    </w:p>
    <w:p w14:paraId="379750E4" w14:textId="6C5836FF" w:rsidR="00EC5D62" w:rsidRPr="00EC5D62" w:rsidRDefault="00573064" w:rsidP="00EC5D62">
      <w:pPr>
        <w:pStyle w:val="ListParagraph"/>
        <w:numPr>
          <w:ilvl w:val="0"/>
          <w:numId w:val="9"/>
        </w:numPr>
        <w:spacing w:after="120"/>
        <w:ind w:left="1890"/>
        <w:jc w:val="both"/>
        <w:rPr>
          <w:rFonts w:ascii="Aptos" w:hAnsi="Aptos" w:cs="Times New Roman"/>
          <w:b/>
          <w:bCs/>
        </w:rPr>
      </w:pPr>
      <w:r w:rsidRPr="00EC5D62">
        <w:rPr>
          <w:rFonts w:ascii="Aptos" w:hAnsi="Aptos" w:cs="Times New Roman"/>
          <w:b/>
          <w:bCs/>
        </w:rPr>
        <w:t xml:space="preserve">Type of medical diagnoses </w:t>
      </w:r>
      <w:proofErr w:type="gramStart"/>
      <w:r w:rsidRPr="00EC5D62">
        <w:rPr>
          <w:rFonts w:ascii="Aptos" w:hAnsi="Aptos" w:cs="Times New Roman"/>
          <w:b/>
          <w:bCs/>
        </w:rPr>
        <w:t>accepted;</w:t>
      </w:r>
      <w:proofErr w:type="gramEnd"/>
      <w:r w:rsidRPr="00EC5D62">
        <w:rPr>
          <w:rFonts w:ascii="Aptos" w:hAnsi="Aptos" w:cs="Times New Roman"/>
          <w:b/>
          <w:bCs/>
        </w:rPr>
        <w:t xml:space="preserve"> </w:t>
      </w:r>
    </w:p>
    <w:p w14:paraId="54D7A069" w14:textId="53427535" w:rsidR="00573064" w:rsidRPr="00EC5D62" w:rsidRDefault="009451C2" w:rsidP="00EC5D62">
      <w:pPr>
        <w:spacing w:after="120"/>
        <w:jc w:val="both"/>
        <w:rPr>
          <w:rFonts w:ascii="Times New Roman" w:hAnsi="Times New Roman" w:cs="Times New Roman"/>
          <w:sz w:val="24"/>
          <w:szCs w:val="24"/>
        </w:rPr>
      </w:pPr>
      <w:r w:rsidRPr="00EC5D62">
        <w:rPr>
          <w:rFonts w:ascii="Aptos" w:hAnsi="Aptos" w:cs="Times New Roman"/>
        </w:rPr>
        <w:t xml:space="preserve">The alternative sites identified provide the same level and scope of inpatient </w:t>
      </w:r>
      <w:r w:rsidR="00341F09" w:rsidRPr="00EC5D62">
        <w:rPr>
          <w:rFonts w:ascii="Aptos" w:hAnsi="Aptos" w:cs="Times New Roman"/>
        </w:rPr>
        <w:t>M/S</w:t>
      </w:r>
      <w:r w:rsidRPr="00EC5D62">
        <w:rPr>
          <w:rFonts w:ascii="Aptos" w:hAnsi="Aptos" w:cs="Times New Roman"/>
        </w:rPr>
        <w:t xml:space="preserve"> and intensive care, as well as emergency services</w:t>
      </w:r>
      <w:r w:rsidR="008B59B6" w:rsidRPr="00EC5D62">
        <w:rPr>
          <w:rFonts w:ascii="Aptos" w:hAnsi="Aptos" w:cs="Times New Roman"/>
        </w:rPr>
        <w:t xml:space="preserve"> as the Haverhill </w:t>
      </w:r>
      <w:r w:rsidR="007018C5" w:rsidRPr="00EC5D62">
        <w:rPr>
          <w:rFonts w:ascii="Aptos" w:hAnsi="Aptos" w:cs="Times New Roman"/>
        </w:rPr>
        <w:t>c</w:t>
      </w:r>
      <w:r w:rsidR="008B59B6" w:rsidRPr="00EC5D62">
        <w:rPr>
          <w:rFonts w:ascii="Aptos" w:hAnsi="Aptos" w:cs="Times New Roman"/>
        </w:rPr>
        <w:t xml:space="preserve">ampus. </w:t>
      </w:r>
    </w:p>
    <w:p w14:paraId="63279ECF" w14:textId="4EEF2F1A" w:rsidR="00573064" w:rsidRPr="00B0644D" w:rsidRDefault="00573064" w:rsidP="00B0644D">
      <w:pPr>
        <w:pStyle w:val="ListParagraph"/>
        <w:numPr>
          <w:ilvl w:val="0"/>
          <w:numId w:val="16"/>
        </w:numPr>
        <w:spacing w:after="120"/>
        <w:ind w:left="1890"/>
        <w:jc w:val="both"/>
        <w:rPr>
          <w:rFonts w:ascii="Aptos" w:hAnsi="Aptos" w:cs="Times New Roman"/>
          <w:b/>
          <w:bCs/>
        </w:rPr>
      </w:pPr>
      <w:r w:rsidRPr="00B0644D">
        <w:rPr>
          <w:rFonts w:ascii="Aptos" w:hAnsi="Aptos" w:cs="Times New Roman"/>
          <w:b/>
          <w:bCs/>
        </w:rPr>
        <w:lastRenderedPageBreak/>
        <w:t>Adequacy of space and resources at the alternative sites.</w:t>
      </w:r>
    </w:p>
    <w:p w14:paraId="63A0F51D" w14:textId="5B4E5279" w:rsidR="00C36556" w:rsidRPr="004025D7" w:rsidRDefault="006051A4" w:rsidP="004025D7">
      <w:pPr>
        <w:spacing w:after="120"/>
        <w:jc w:val="both"/>
        <w:rPr>
          <w:rFonts w:ascii="Aptos" w:hAnsi="Aptos" w:cs="Times New Roman"/>
        </w:rPr>
      </w:pPr>
      <w:r w:rsidRPr="008B59B6">
        <w:rPr>
          <w:rFonts w:ascii="Aptos" w:hAnsi="Aptos" w:cs="Times New Roman"/>
        </w:rPr>
        <w:t>As discussed in response to question 2(</w:t>
      </w:r>
      <w:r w:rsidR="00860EB4" w:rsidRPr="008B59B6">
        <w:rPr>
          <w:rFonts w:ascii="Aptos" w:hAnsi="Aptos" w:cs="Times New Roman"/>
        </w:rPr>
        <w:t>a</w:t>
      </w:r>
      <w:r w:rsidRPr="008B59B6">
        <w:rPr>
          <w:rFonts w:ascii="Aptos" w:hAnsi="Aptos" w:cs="Times New Roman"/>
        </w:rPr>
        <w:t xml:space="preserve">), </w:t>
      </w:r>
      <w:r w:rsidR="008B59B6" w:rsidRPr="008B59B6">
        <w:rPr>
          <w:rFonts w:ascii="Aptos" w:hAnsi="Aptos" w:cs="Times New Roman"/>
        </w:rPr>
        <w:t>the Haverhill SEF</w:t>
      </w:r>
      <w:r w:rsidRPr="008B59B6">
        <w:rPr>
          <w:rFonts w:ascii="Aptos" w:hAnsi="Aptos" w:cs="Times New Roman"/>
        </w:rPr>
        <w:t xml:space="preserve"> will serve as a replacement for the </w:t>
      </w:r>
      <w:r w:rsidR="008B59B6" w:rsidRPr="008B59B6">
        <w:rPr>
          <w:rFonts w:ascii="Aptos" w:hAnsi="Aptos" w:cs="Times New Roman"/>
        </w:rPr>
        <w:t>ED</w:t>
      </w:r>
      <w:r w:rsidRPr="008B59B6">
        <w:rPr>
          <w:rFonts w:ascii="Aptos" w:hAnsi="Aptos" w:cs="Times New Roman"/>
        </w:rPr>
        <w:t xml:space="preserve"> </w:t>
      </w:r>
      <w:r w:rsidR="005F4942" w:rsidRPr="008B59B6">
        <w:rPr>
          <w:rFonts w:ascii="Aptos" w:hAnsi="Aptos" w:cs="Times New Roman"/>
        </w:rPr>
        <w:t xml:space="preserve">closing at </w:t>
      </w:r>
      <w:r w:rsidR="008B59B6" w:rsidRPr="008B59B6">
        <w:rPr>
          <w:rFonts w:ascii="Aptos" w:hAnsi="Aptos" w:cs="Times New Roman"/>
        </w:rPr>
        <w:t xml:space="preserve">Haverhill </w:t>
      </w:r>
      <w:r w:rsidR="007018C5">
        <w:rPr>
          <w:rFonts w:ascii="Aptos" w:hAnsi="Aptos" w:cs="Times New Roman"/>
        </w:rPr>
        <w:t>c</w:t>
      </w:r>
      <w:r w:rsidR="008B59B6" w:rsidRPr="008B59B6">
        <w:rPr>
          <w:rFonts w:ascii="Aptos" w:hAnsi="Aptos" w:cs="Times New Roman"/>
        </w:rPr>
        <w:t xml:space="preserve">ampus, while the Hospital’s Methuen </w:t>
      </w:r>
      <w:r w:rsidR="007018C5">
        <w:rPr>
          <w:rFonts w:ascii="Aptos" w:hAnsi="Aptos" w:cs="Times New Roman"/>
        </w:rPr>
        <w:t>c</w:t>
      </w:r>
      <w:r w:rsidR="008B59B6" w:rsidRPr="008B59B6">
        <w:rPr>
          <w:rFonts w:ascii="Aptos" w:hAnsi="Aptos" w:cs="Times New Roman"/>
        </w:rPr>
        <w:t xml:space="preserve">ampus will serve as the primary replacement for the </w:t>
      </w:r>
      <w:r w:rsidR="00341F09">
        <w:rPr>
          <w:rFonts w:ascii="Aptos" w:hAnsi="Aptos" w:cs="Times New Roman"/>
        </w:rPr>
        <w:t>M/S</w:t>
      </w:r>
      <w:r w:rsidR="008B59B6" w:rsidRPr="008B59B6">
        <w:rPr>
          <w:rFonts w:ascii="Aptos" w:hAnsi="Aptos" w:cs="Times New Roman"/>
        </w:rPr>
        <w:t xml:space="preserve"> service</w:t>
      </w:r>
      <w:r w:rsidRPr="008B59B6">
        <w:rPr>
          <w:rFonts w:ascii="Aptos" w:hAnsi="Aptos" w:cs="Times New Roman"/>
        </w:rPr>
        <w:t xml:space="preserve">. </w:t>
      </w:r>
      <w:r w:rsidR="008B59B6" w:rsidRPr="008B59B6">
        <w:rPr>
          <w:rFonts w:ascii="Aptos" w:hAnsi="Aptos" w:cs="Times New Roman"/>
        </w:rPr>
        <w:t xml:space="preserve">The Haverhill SEF will provide the same level and acuity of care as the existing ED, resulting in no change to the availability of emergency services in the community. </w:t>
      </w:r>
      <w:r w:rsidR="000C308B">
        <w:rPr>
          <w:rFonts w:ascii="Aptos" w:hAnsi="Aptos" w:cs="Times New Roman"/>
        </w:rPr>
        <w:t xml:space="preserve">Similarly, as </w:t>
      </w:r>
      <w:proofErr w:type="gramStart"/>
      <w:r w:rsidR="000C308B">
        <w:rPr>
          <w:rFonts w:ascii="Aptos" w:hAnsi="Aptos" w:cs="Times New Roman"/>
        </w:rPr>
        <w:t>the majority of</w:t>
      </w:r>
      <w:proofErr w:type="gramEnd"/>
      <w:r w:rsidR="000C308B">
        <w:rPr>
          <w:rFonts w:ascii="Aptos" w:hAnsi="Aptos" w:cs="Times New Roman"/>
        </w:rPr>
        <w:t xml:space="preserve"> inpatient care at the Hospital is currently provided at Methuen </w:t>
      </w:r>
      <w:r w:rsidR="007018C5">
        <w:rPr>
          <w:rFonts w:ascii="Aptos" w:hAnsi="Aptos" w:cs="Times New Roman"/>
        </w:rPr>
        <w:t>c</w:t>
      </w:r>
      <w:r w:rsidR="000C308B">
        <w:rPr>
          <w:rFonts w:ascii="Aptos" w:hAnsi="Aptos" w:cs="Times New Roman"/>
        </w:rPr>
        <w:t xml:space="preserve">ampus, the consolidation of all inpatient care will </w:t>
      </w:r>
      <w:r w:rsidR="00AF6285">
        <w:rPr>
          <w:rFonts w:ascii="Aptos" w:hAnsi="Aptos" w:cs="Times New Roman"/>
        </w:rPr>
        <w:t xml:space="preserve">improve the delivery of care in the region. </w:t>
      </w:r>
    </w:p>
    <w:p w14:paraId="5735B97A" w14:textId="2817359E" w:rsidR="00CC7A2C" w:rsidRPr="004025D7" w:rsidRDefault="00CC7A2C" w:rsidP="004025D7">
      <w:pPr>
        <w:pStyle w:val="ListParagraph"/>
        <w:numPr>
          <w:ilvl w:val="0"/>
          <w:numId w:val="3"/>
        </w:numPr>
        <w:spacing w:after="120"/>
        <w:contextualSpacing w:val="0"/>
        <w:jc w:val="both"/>
        <w:rPr>
          <w:rFonts w:ascii="Aptos" w:hAnsi="Aptos" w:cs="Times New Roman"/>
          <w:b/>
          <w:bCs/>
        </w:rPr>
      </w:pPr>
      <w:r w:rsidRPr="00380DEF">
        <w:rPr>
          <w:rFonts w:ascii="Aptos" w:hAnsi="Aptos" w:cs="Times New Roman"/>
          <w:b/>
          <w:bCs/>
        </w:rPr>
        <w:t>Travel times to alternative service delivery sites, for both peak and non-peak travel times, and an explanation as to the source for this information or what these estimates are based on.</w:t>
      </w:r>
    </w:p>
    <w:p w14:paraId="208189DB" w14:textId="15B83283" w:rsidR="00380DEF" w:rsidRPr="00380DEF" w:rsidRDefault="0065345E" w:rsidP="004025D7">
      <w:pPr>
        <w:spacing w:after="120"/>
        <w:jc w:val="both"/>
        <w:rPr>
          <w:rFonts w:ascii="Aptos" w:hAnsi="Aptos" w:cs="Times New Roman"/>
        </w:rPr>
      </w:pPr>
      <w:r w:rsidRPr="00380DEF">
        <w:rPr>
          <w:rFonts w:ascii="Aptos" w:hAnsi="Aptos" w:cs="Times New Roman"/>
        </w:rPr>
        <w:t xml:space="preserve">As discussed above, the establishment of </w:t>
      </w:r>
      <w:proofErr w:type="gramStart"/>
      <w:r w:rsidR="00380DEF" w:rsidRPr="00380DEF">
        <w:rPr>
          <w:rFonts w:ascii="Aptos" w:hAnsi="Aptos" w:cs="Times New Roman"/>
        </w:rPr>
        <w:t>the Haverhill</w:t>
      </w:r>
      <w:proofErr w:type="gramEnd"/>
      <w:r w:rsidR="00380DEF" w:rsidRPr="00380DEF">
        <w:rPr>
          <w:rFonts w:ascii="Aptos" w:hAnsi="Aptos" w:cs="Times New Roman"/>
        </w:rPr>
        <w:t xml:space="preserve"> SEF</w:t>
      </w:r>
      <w:r w:rsidRPr="00380DEF">
        <w:rPr>
          <w:rFonts w:ascii="Aptos" w:hAnsi="Aptos" w:cs="Times New Roman"/>
        </w:rPr>
        <w:t xml:space="preserve"> will </w:t>
      </w:r>
      <w:r w:rsidR="008254B9" w:rsidRPr="00380DEF">
        <w:rPr>
          <w:rFonts w:ascii="Aptos" w:hAnsi="Aptos" w:cs="Times New Roman"/>
        </w:rPr>
        <w:t xml:space="preserve">serve as the primary alternative site when </w:t>
      </w:r>
      <w:r w:rsidR="00380DEF" w:rsidRPr="00380DEF">
        <w:rPr>
          <w:rFonts w:ascii="Aptos" w:hAnsi="Aptos" w:cs="Times New Roman"/>
        </w:rPr>
        <w:t xml:space="preserve">Haverhill </w:t>
      </w:r>
      <w:r w:rsidR="007018C5">
        <w:rPr>
          <w:rFonts w:ascii="Aptos" w:hAnsi="Aptos" w:cs="Times New Roman"/>
        </w:rPr>
        <w:t>c</w:t>
      </w:r>
      <w:r w:rsidR="00380DEF" w:rsidRPr="00380DEF">
        <w:rPr>
          <w:rFonts w:ascii="Aptos" w:hAnsi="Aptos" w:cs="Times New Roman"/>
        </w:rPr>
        <w:t>ampus</w:t>
      </w:r>
      <w:r w:rsidR="008254B9" w:rsidRPr="00380DEF">
        <w:rPr>
          <w:rFonts w:ascii="Aptos" w:hAnsi="Aptos" w:cs="Times New Roman"/>
        </w:rPr>
        <w:t xml:space="preserve">’s </w:t>
      </w:r>
      <w:r w:rsidR="00380DEF" w:rsidRPr="00380DEF">
        <w:rPr>
          <w:rFonts w:ascii="Aptos" w:hAnsi="Aptos" w:cs="Times New Roman"/>
        </w:rPr>
        <w:t>ED closes, maintaining the same level of</w:t>
      </w:r>
      <w:r w:rsidR="008254B9" w:rsidRPr="00380DEF">
        <w:rPr>
          <w:rFonts w:ascii="Aptos" w:hAnsi="Aptos" w:cs="Times New Roman"/>
        </w:rPr>
        <w:t xml:space="preserve"> access for patients </w:t>
      </w:r>
      <w:r w:rsidR="00380DEF" w:rsidRPr="00380DEF">
        <w:rPr>
          <w:rFonts w:ascii="Aptos" w:hAnsi="Aptos" w:cs="Times New Roman"/>
        </w:rPr>
        <w:t>in the community</w:t>
      </w:r>
      <w:r w:rsidR="008254B9" w:rsidRPr="00380DEF">
        <w:rPr>
          <w:rFonts w:ascii="Aptos" w:hAnsi="Aptos" w:cs="Times New Roman"/>
        </w:rPr>
        <w:t>.</w:t>
      </w:r>
      <w:r w:rsidR="00D528BC">
        <w:rPr>
          <w:rFonts w:ascii="Aptos" w:hAnsi="Aptos" w:cs="Times New Roman"/>
        </w:rPr>
        <w:t xml:space="preserve"> In addition, t</w:t>
      </w:r>
      <w:r w:rsidR="00380DEF" w:rsidRPr="00380DEF">
        <w:rPr>
          <w:rFonts w:ascii="Aptos" w:hAnsi="Aptos" w:cs="Times New Roman"/>
        </w:rPr>
        <w:t xml:space="preserve">he Hospital’s Methuen </w:t>
      </w:r>
      <w:r w:rsidR="007018C5">
        <w:rPr>
          <w:rFonts w:ascii="Aptos" w:hAnsi="Aptos" w:cs="Times New Roman"/>
        </w:rPr>
        <w:t>c</w:t>
      </w:r>
      <w:r w:rsidR="00380DEF" w:rsidRPr="00380DEF">
        <w:rPr>
          <w:rFonts w:ascii="Aptos" w:hAnsi="Aptos" w:cs="Times New Roman"/>
        </w:rPr>
        <w:t>ampus has</w:t>
      </w:r>
      <w:r w:rsidR="001C665C">
        <w:rPr>
          <w:rFonts w:ascii="Aptos" w:hAnsi="Aptos" w:cs="Times New Roman"/>
        </w:rPr>
        <w:t xml:space="preserve"> the</w:t>
      </w:r>
      <w:r w:rsidR="00380DEF" w:rsidRPr="00380DEF">
        <w:rPr>
          <w:rFonts w:ascii="Aptos" w:hAnsi="Aptos" w:cs="Times New Roman"/>
        </w:rPr>
        <w:t xml:space="preserve"> capacity to provide the same level of care and access to Haverhill patients. </w:t>
      </w:r>
    </w:p>
    <w:p w14:paraId="7E6A0F17" w14:textId="40CAC3F8" w:rsidR="0071267F" w:rsidRPr="004025D7" w:rsidRDefault="00162EF9" w:rsidP="004025D7">
      <w:pPr>
        <w:spacing w:after="120"/>
        <w:jc w:val="both"/>
        <w:rPr>
          <w:rFonts w:ascii="Aptos" w:hAnsi="Aptos" w:cs="Times New Roman"/>
        </w:rPr>
      </w:pPr>
      <w:r w:rsidRPr="00380DEF">
        <w:rPr>
          <w:rFonts w:ascii="Aptos" w:hAnsi="Aptos" w:cs="Times New Roman"/>
        </w:rPr>
        <w:t xml:space="preserve">The tables below provide drive times from </w:t>
      </w:r>
      <w:r w:rsidR="00380DEF" w:rsidRPr="00380DEF">
        <w:rPr>
          <w:rFonts w:ascii="Aptos" w:hAnsi="Aptos" w:cs="Times New Roman"/>
        </w:rPr>
        <w:t xml:space="preserve">Haverhill </w:t>
      </w:r>
      <w:r w:rsidR="007018C5">
        <w:rPr>
          <w:rFonts w:ascii="Aptos" w:hAnsi="Aptos" w:cs="Times New Roman"/>
        </w:rPr>
        <w:t>c</w:t>
      </w:r>
      <w:r w:rsidR="00380DEF" w:rsidRPr="00380DEF">
        <w:rPr>
          <w:rFonts w:ascii="Aptos" w:hAnsi="Aptos" w:cs="Times New Roman"/>
        </w:rPr>
        <w:t>ampus</w:t>
      </w:r>
      <w:r w:rsidRPr="00380DEF">
        <w:rPr>
          <w:rFonts w:ascii="Aptos" w:hAnsi="Aptos" w:cs="Times New Roman"/>
        </w:rPr>
        <w:t xml:space="preserve"> to the </w:t>
      </w:r>
      <w:r w:rsidR="000D0321">
        <w:rPr>
          <w:rFonts w:ascii="Aptos" w:hAnsi="Aptos" w:cs="Times New Roman"/>
        </w:rPr>
        <w:t xml:space="preserve">nearest </w:t>
      </w:r>
      <w:r w:rsidRPr="00380DEF">
        <w:rPr>
          <w:rFonts w:ascii="Aptos" w:hAnsi="Aptos" w:cs="Times New Roman"/>
        </w:rPr>
        <w:t>alternative sites</w:t>
      </w:r>
      <w:r w:rsidR="009E0A56">
        <w:rPr>
          <w:rFonts w:ascii="Aptos" w:hAnsi="Aptos" w:cs="Times New Roman"/>
        </w:rPr>
        <w:t>.</w:t>
      </w:r>
      <w:r w:rsidRPr="00380DEF">
        <w:rPr>
          <w:rStyle w:val="FootnoteReference"/>
          <w:rFonts w:ascii="Aptos" w:hAnsi="Aptos" w:cs="Times New Roman"/>
        </w:rPr>
        <w:footnoteReference w:id="1"/>
      </w:r>
    </w:p>
    <w:tbl>
      <w:tblPr>
        <w:tblW w:w="1017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0"/>
        <w:gridCol w:w="1260"/>
        <w:gridCol w:w="1710"/>
        <w:gridCol w:w="1710"/>
        <w:gridCol w:w="1710"/>
        <w:gridCol w:w="1710"/>
      </w:tblGrid>
      <w:tr w:rsidR="00380DEF" w:rsidRPr="00380DEF" w14:paraId="7C30FB6A" w14:textId="77777777" w:rsidTr="0080330A">
        <w:trPr>
          <w:trHeight w:val="556"/>
        </w:trPr>
        <w:tc>
          <w:tcPr>
            <w:tcW w:w="2070" w:type="dxa"/>
            <w:tcMar>
              <w:top w:w="0" w:type="dxa"/>
              <w:left w:w="108" w:type="dxa"/>
              <w:bottom w:w="0" w:type="dxa"/>
              <w:right w:w="108" w:type="dxa"/>
            </w:tcMar>
            <w:hideMark/>
          </w:tcPr>
          <w:p w14:paraId="73F25BE2" w14:textId="77777777" w:rsidR="00380DEF" w:rsidRPr="00380DEF" w:rsidRDefault="00380DEF" w:rsidP="0080330A">
            <w:pPr>
              <w:rPr>
                <w:rFonts w:ascii="Aptos" w:hAnsi="Aptos"/>
                <w:sz w:val="20"/>
                <w:szCs w:val="20"/>
              </w:rPr>
            </w:pPr>
            <w:r w:rsidRPr="00380DEF">
              <w:rPr>
                <w:rFonts w:ascii="Aptos" w:hAnsi="Aptos"/>
                <w:sz w:val="20"/>
                <w:szCs w:val="20"/>
              </w:rPr>
              <w:t>From HFH Haverhill to:</w:t>
            </w:r>
          </w:p>
        </w:tc>
        <w:tc>
          <w:tcPr>
            <w:tcW w:w="1260" w:type="dxa"/>
            <w:tcMar>
              <w:top w:w="0" w:type="dxa"/>
              <w:left w:w="108" w:type="dxa"/>
              <w:bottom w:w="0" w:type="dxa"/>
              <w:right w:w="108" w:type="dxa"/>
            </w:tcMar>
            <w:hideMark/>
          </w:tcPr>
          <w:p w14:paraId="33BBD122" w14:textId="77777777" w:rsidR="00380DEF" w:rsidRPr="00380DEF" w:rsidRDefault="00380DEF" w:rsidP="0080330A">
            <w:pPr>
              <w:rPr>
                <w:rFonts w:ascii="Aptos" w:hAnsi="Aptos"/>
                <w:sz w:val="20"/>
                <w:szCs w:val="20"/>
              </w:rPr>
            </w:pPr>
            <w:r w:rsidRPr="00380DEF">
              <w:rPr>
                <w:rFonts w:ascii="Aptos" w:hAnsi="Aptos"/>
                <w:sz w:val="20"/>
                <w:szCs w:val="20"/>
              </w:rPr>
              <w:t xml:space="preserve">Mileage </w:t>
            </w:r>
          </w:p>
        </w:tc>
        <w:tc>
          <w:tcPr>
            <w:tcW w:w="1710" w:type="dxa"/>
            <w:tcMar>
              <w:top w:w="0" w:type="dxa"/>
              <w:left w:w="108" w:type="dxa"/>
              <w:bottom w:w="0" w:type="dxa"/>
              <w:right w:w="108" w:type="dxa"/>
            </w:tcMar>
            <w:hideMark/>
          </w:tcPr>
          <w:p w14:paraId="4752CBB6" w14:textId="77777777" w:rsidR="00380DEF" w:rsidRPr="00380DEF" w:rsidRDefault="00380DEF" w:rsidP="0080330A">
            <w:pPr>
              <w:rPr>
                <w:rFonts w:ascii="Aptos" w:hAnsi="Aptos"/>
                <w:sz w:val="20"/>
                <w:szCs w:val="20"/>
              </w:rPr>
            </w:pPr>
            <w:r w:rsidRPr="00380DEF">
              <w:rPr>
                <w:rFonts w:ascii="Aptos" w:hAnsi="Aptos"/>
                <w:sz w:val="20"/>
                <w:szCs w:val="20"/>
              </w:rPr>
              <w:t>Peak Travel Time (8am)</w:t>
            </w:r>
          </w:p>
        </w:tc>
        <w:tc>
          <w:tcPr>
            <w:tcW w:w="1710" w:type="dxa"/>
            <w:tcMar>
              <w:top w:w="0" w:type="dxa"/>
              <w:left w:w="108" w:type="dxa"/>
              <w:bottom w:w="0" w:type="dxa"/>
              <w:right w:w="108" w:type="dxa"/>
            </w:tcMar>
            <w:hideMark/>
          </w:tcPr>
          <w:p w14:paraId="7FB86BC5" w14:textId="75855F7F" w:rsidR="00380DEF" w:rsidRPr="00380DEF" w:rsidRDefault="00380DEF" w:rsidP="0080330A">
            <w:pPr>
              <w:rPr>
                <w:rFonts w:ascii="Aptos" w:hAnsi="Aptos"/>
                <w:sz w:val="20"/>
                <w:szCs w:val="20"/>
              </w:rPr>
            </w:pPr>
            <w:r w:rsidRPr="00380DEF">
              <w:rPr>
                <w:rFonts w:ascii="Aptos" w:hAnsi="Aptos"/>
                <w:sz w:val="20"/>
                <w:szCs w:val="20"/>
              </w:rPr>
              <w:t xml:space="preserve">Peak Travel </w:t>
            </w:r>
            <w:proofErr w:type="gramStart"/>
            <w:r w:rsidRPr="00380DEF">
              <w:rPr>
                <w:rFonts w:ascii="Aptos" w:hAnsi="Aptos"/>
                <w:sz w:val="20"/>
                <w:szCs w:val="20"/>
              </w:rPr>
              <w:t>Time  (</w:t>
            </w:r>
            <w:proofErr w:type="gramEnd"/>
            <w:r w:rsidRPr="00380DEF">
              <w:rPr>
                <w:rFonts w:ascii="Aptos" w:hAnsi="Aptos"/>
                <w:sz w:val="20"/>
                <w:szCs w:val="20"/>
              </w:rPr>
              <w:t>5pm)</w:t>
            </w:r>
          </w:p>
        </w:tc>
        <w:tc>
          <w:tcPr>
            <w:tcW w:w="1710" w:type="dxa"/>
            <w:tcMar>
              <w:top w:w="0" w:type="dxa"/>
              <w:left w:w="108" w:type="dxa"/>
              <w:bottom w:w="0" w:type="dxa"/>
              <w:right w:w="108" w:type="dxa"/>
            </w:tcMar>
            <w:hideMark/>
          </w:tcPr>
          <w:p w14:paraId="0E0E80C4" w14:textId="55C16F2D" w:rsidR="00380DEF" w:rsidRPr="00380DEF" w:rsidRDefault="00380DEF" w:rsidP="0080330A">
            <w:pPr>
              <w:rPr>
                <w:rFonts w:ascii="Aptos" w:hAnsi="Aptos"/>
                <w:sz w:val="20"/>
                <w:szCs w:val="20"/>
              </w:rPr>
            </w:pPr>
            <w:r w:rsidRPr="00380DEF">
              <w:rPr>
                <w:rFonts w:ascii="Aptos" w:hAnsi="Aptos"/>
                <w:sz w:val="20"/>
                <w:szCs w:val="20"/>
              </w:rPr>
              <w:t xml:space="preserve">Non-Peak Travel Time (12pm) </w:t>
            </w:r>
          </w:p>
        </w:tc>
        <w:tc>
          <w:tcPr>
            <w:tcW w:w="1710" w:type="dxa"/>
            <w:tcMar>
              <w:top w:w="0" w:type="dxa"/>
              <w:left w:w="108" w:type="dxa"/>
              <w:bottom w:w="0" w:type="dxa"/>
              <w:right w:w="108" w:type="dxa"/>
            </w:tcMar>
            <w:hideMark/>
          </w:tcPr>
          <w:p w14:paraId="77A47BDE" w14:textId="28C61DDE" w:rsidR="00380DEF" w:rsidRPr="00380DEF" w:rsidRDefault="00380DEF" w:rsidP="0080330A">
            <w:pPr>
              <w:rPr>
                <w:rFonts w:ascii="Aptos" w:hAnsi="Aptos"/>
                <w:sz w:val="20"/>
                <w:szCs w:val="20"/>
              </w:rPr>
            </w:pPr>
            <w:r w:rsidRPr="00380DEF">
              <w:rPr>
                <w:rFonts w:ascii="Aptos" w:hAnsi="Aptos"/>
                <w:sz w:val="20"/>
                <w:szCs w:val="20"/>
              </w:rPr>
              <w:t>Non-Peak Travel Time (8pm)</w:t>
            </w:r>
          </w:p>
        </w:tc>
      </w:tr>
      <w:tr w:rsidR="00380DEF" w:rsidRPr="00380DEF" w14:paraId="686AC7CC" w14:textId="77777777" w:rsidTr="0080330A">
        <w:trPr>
          <w:trHeight w:val="227"/>
        </w:trPr>
        <w:tc>
          <w:tcPr>
            <w:tcW w:w="2070" w:type="dxa"/>
            <w:tcMar>
              <w:top w:w="0" w:type="dxa"/>
              <w:left w:w="108" w:type="dxa"/>
              <w:bottom w:w="0" w:type="dxa"/>
              <w:right w:w="108" w:type="dxa"/>
            </w:tcMar>
          </w:tcPr>
          <w:p w14:paraId="7E2A16CD" w14:textId="77777777" w:rsidR="00380DEF" w:rsidRPr="00380DEF" w:rsidRDefault="00380DEF" w:rsidP="0080330A">
            <w:pPr>
              <w:rPr>
                <w:rFonts w:ascii="Aptos" w:hAnsi="Aptos"/>
                <w:sz w:val="20"/>
                <w:szCs w:val="20"/>
              </w:rPr>
            </w:pPr>
            <w:r w:rsidRPr="00380DEF">
              <w:rPr>
                <w:rFonts w:ascii="Aptos" w:hAnsi="Aptos"/>
                <w:sz w:val="20"/>
                <w:szCs w:val="20"/>
              </w:rPr>
              <w:t>HFH Haverhill SEF</w:t>
            </w:r>
          </w:p>
        </w:tc>
        <w:tc>
          <w:tcPr>
            <w:tcW w:w="1260" w:type="dxa"/>
            <w:tcMar>
              <w:top w:w="0" w:type="dxa"/>
              <w:left w:w="108" w:type="dxa"/>
              <w:bottom w:w="0" w:type="dxa"/>
              <w:right w:w="108" w:type="dxa"/>
            </w:tcMar>
          </w:tcPr>
          <w:p w14:paraId="2FB9BC12" w14:textId="77777777" w:rsidR="00380DEF" w:rsidRPr="00380DEF" w:rsidRDefault="00380DEF" w:rsidP="0080330A">
            <w:pPr>
              <w:rPr>
                <w:rFonts w:ascii="Aptos" w:hAnsi="Aptos"/>
                <w:sz w:val="20"/>
                <w:szCs w:val="20"/>
              </w:rPr>
            </w:pPr>
            <w:r w:rsidRPr="00380DEF">
              <w:rPr>
                <w:rFonts w:ascii="Aptos" w:hAnsi="Aptos"/>
                <w:sz w:val="20"/>
                <w:szCs w:val="20"/>
              </w:rPr>
              <w:t>0 miles</w:t>
            </w:r>
          </w:p>
        </w:tc>
        <w:tc>
          <w:tcPr>
            <w:tcW w:w="1710" w:type="dxa"/>
            <w:tcMar>
              <w:top w:w="0" w:type="dxa"/>
              <w:left w:w="108" w:type="dxa"/>
              <w:bottom w:w="0" w:type="dxa"/>
              <w:right w:w="108" w:type="dxa"/>
            </w:tcMar>
          </w:tcPr>
          <w:p w14:paraId="0370D349" w14:textId="77777777" w:rsidR="00380DEF" w:rsidRPr="00380DEF" w:rsidRDefault="00380DEF" w:rsidP="0080330A">
            <w:pPr>
              <w:rPr>
                <w:rFonts w:ascii="Aptos" w:hAnsi="Aptos"/>
                <w:sz w:val="20"/>
                <w:szCs w:val="20"/>
              </w:rPr>
            </w:pPr>
            <w:r w:rsidRPr="00380DEF">
              <w:rPr>
                <w:rFonts w:ascii="Aptos" w:hAnsi="Aptos"/>
                <w:sz w:val="20"/>
                <w:szCs w:val="20"/>
              </w:rPr>
              <w:t>0 minutes</w:t>
            </w:r>
          </w:p>
        </w:tc>
        <w:tc>
          <w:tcPr>
            <w:tcW w:w="1710" w:type="dxa"/>
            <w:tcMar>
              <w:top w:w="0" w:type="dxa"/>
              <w:left w:w="108" w:type="dxa"/>
              <w:bottom w:w="0" w:type="dxa"/>
              <w:right w:w="108" w:type="dxa"/>
            </w:tcMar>
          </w:tcPr>
          <w:p w14:paraId="1A665BB5" w14:textId="77777777" w:rsidR="00380DEF" w:rsidRPr="00380DEF" w:rsidRDefault="00380DEF" w:rsidP="0080330A">
            <w:pPr>
              <w:rPr>
                <w:rFonts w:ascii="Aptos" w:hAnsi="Aptos"/>
                <w:sz w:val="20"/>
                <w:szCs w:val="20"/>
              </w:rPr>
            </w:pPr>
            <w:r w:rsidRPr="00380DEF">
              <w:rPr>
                <w:rFonts w:ascii="Aptos" w:hAnsi="Aptos"/>
                <w:sz w:val="20"/>
                <w:szCs w:val="20"/>
              </w:rPr>
              <w:t>0 minutes</w:t>
            </w:r>
          </w:p>
        </w:tc>
        <w:tc>
          <w:tcPr>
            <w:tcW w:w="1710" w:type="dxa"/>
            <w:tcMar>
              <w:top w:w="0" w:type="dxa"/>
              <w:left w:w="108" w:type="dxa"/>
              <w:bottom w:w="0" w:type="dxa"/>
              <w:right w:w="108" w:type="dxa"/>
            </w:tcMar>
          </w:tcPr>
          <w:p w14:paraId="63D8ED78" w14:textId="77777777" w:rsidR="00380DEF" w:rsidRPr="00380DEF" w:rsidRDefault="00380DEF" w:rsidP="0080330A">
            <w:pPr>
              <w:rPr>
                <w:rFonts w:ascii="Aptos" w:hAnsi="Aptos"/>
                <w:sz w:val="20"/>
                <w:szCs w:val="20"/>
              </w:rPr>
            </w:pPr>
            <w:r w:rsidRPr="00380DEF">
              <w:rPr>
                <w:rFonts w:ascii="Aptos" w:hAnsi="Aptos"/>
                <w:sz w:val="20"/>
                <w:szCs w:val="20"/>
              </w:rPr>
              <w:t>0 minutes</w:t>
            </w:r>
          </w:p>
        </w:tc>
        <w:tc>
          <w:tcPr>
            <w:tcW w:w="1710" w:type="dxa"/>
            <w:tcMar>
              <w:top w:w="0" w:type="dxa"/>
              <w:left w:w="108" w:type="dxa"/>
              <w:bottom w:w="0" w:type="dxa"/>
              <w:right w:w="108" w:type="dxa"/>
            </w:tcMar>
          </w:tcPr>
          <w:p w14:paraId="141AEFB6" w14:textId="77777777" w:rsidR="00380DEF" w:rsidRPr="00380DEF" w:rsidRDefault="00380DEF" w:rsidP="0080330A">
            <w:pPr>
              <w:rPr>
                <w:rFonts w:ascii="Aptos" w:hAnsi="Aptos"/>
                <w:sz w:val="20"/>
                <w:szCs w:val="20"/>
              </w:rPr>
            </w:pPr>
            <w:r w:rsidRPr="00380DEF">
              <w:rPr>
                <w:rFonts w:ascii="Aptos" w:hAnsi="Aptos"/>
                <w:sz w:val="20"/>
                <w:szCs w:val="20"/>
              </w:rPr>
              <w:t xml:space="preserve">0 minutes </w:t>
            </w:r>
          </w:p>
        </w:tc>
      </w:tr>
      <w:tr w:rsidR="00380DEF" w:rsidRPr="00380DEF" w14:paraId="3FEAA2CC" w14:textId="77777777" w:rsidTr="0080330A">
        <w:trPr>
          <w:trHeight w:val="227"/>
        </w:trPr>
        <w:tc>
          <w:tcPr>
            <w:tcW w:w="2070" w:type="dxa"/>
            <w:tcMar>
              <w:top w:w="0" w:type="dxa"/>
              <w:left w:w="108" w:type="dxa"/>
              <w:bottom w:w="0" w:type="dxa"/>
              <w:right w:w="108" w:type="dxa"/>
            </w:tcMar>
            <w:hideMark/>
          </w:tcPr>
          <w:p w14:paraId="637FBD2A" w14:textId="77777777" w:rsidR="00380DEF" w:rsidRPr="00380DEF" w:rsidRDefault="00380DEF" w:rsidP="0080330A">
            <w:pPr>
              <w:rPr>
                <w:rFonts w:ascii="Aptos" w:hAnsi="Aptos"/>
                <w:sz w:val="20"/>
                <w:szCs w:val="20"/>
              </w:rPr>
            </w:pPr>
            <w:r w:rsidRPr="00380DEF">
              <w:rPr>
                <w:rFonts w:ascii="Aptos" w:hAnsi="Aptos"/>
                <w:sz w:val="20"/>
                <w:szCs w:val="20"/>
              </w:rPr>
              <w:t xml:space="preserve">HFH Methuen </w:t>
            </w:r>
          </w:p>
        </w:tc>
        <w:tc>
          <w:tcPr>
            <w:tcW w:w="1260" w:type="dxa"/>
            <w:tcMar>
              <w:top w:w="0" w:type="dxa"/>
              <w:left w:w="108" w:type="dxa"/>
              <w:bottom w:w="0" w:type="dxa"/>
              <w:right w:w="108" w:type="dxa"/>
            </w:tcMar>
            <w:hideMark/>
          </w:tcPr>
          <w:p w14:paraId="3688EF37" w14:textId="77777777" w:rsidR="00380DEF" w:rsidRPr="00380DEF" w:rsidRDefault="00380DEF" w:rsidP="0080330A">
            <w:pPr>
              <w:rPr>
                <w:rFonts w:ascii="Aptos" w:hAnsi="Aptos"/>
                <w:sz w:val="20"/>
                <w:szCs w:val="20"/>
              </w:rPr>
            </w:pPr>
            <w:r w:rsidRPr="00380DEF">
              <w:rPr>
                <w:rFonts w:ascii="Aptos" w:hAnsi="Aptos"/>
                <w:sz w:val="20"/>
                <w:szCs w:val="20"/>
              </w:rPr>
              <w:t>10.5 miles</w:t>
            </w:r>
          </w:p>
        </w:tc>
        <w:tc>
          <w:tcPr>
            <w:tcW w:w="1710" w:type="dxa"/>
            <w:tcMar>
              <w:top w:w="0" w:type="dxa"/>
              <w:left w:w="108" w:type="dxa"/>
              <w:bottom w:w="0" w:type="dxa"/>
              <w:right w:w="108" w:type="dxa"/>
            </w:tcMar>
            <w:hideMark/>
          </w:tcPr>
          <w:p w14:paraId="3E4DED98" w14:textId="77777777" w:rsidR="00380DEF" w:rsidRPr="00380DEF" w:rsidRDefault="00380DEF" w:rsidP="0080330A">
            <w:pPr>
              <w:rPr>
                <w:rFonts w:ascii="Aptos" w:hAnsi="Aptos"/>
                <w:sz w:val="20"/>
                <w:szCs w:val="20"/>
              </w:rPr>
            </w:pPr>
            <w:r w:rsidRPr="00380DEF">
              <w:rPr>
                <w:rFonts w:ascii="Aptos" w:hAnsi="Aptos"/>
                <w:sz w:val="20"/>
                <w:szCs w:val="20"/>
              </w:rPr>
              <w:t>18-28 minutes</w:t>
            </w:r>
          </w:p>
        </w:tc>
        <w:tc>
          <w:tcPr>
            <w:tcW w:w="1710" w:type="dxa"/>
            <w:tcMar>
              <w:top w:w="0" w:type="dxa"/>
              <w:left w:w="108" w:type="dxa"/>
              <w:bottom w:w="0" w:type="dxa"/>
              <w:right w:w="108" w:type="dxa"/>
            </w:tcMar>
            <w:hideMark/>
          </w:tcPr>
          <w:p w14:paraId="4EA0A72D" w14:textId="77777777" w:rsidR="00380DEF" w:rsidRPr="00380DEF" w:rsidRDefault="00380DEF" w:rsidP="0080330A">
            <w:pPr>
              <w:rPr>
                <w:rFonts w:ascii="Aptos" w:hAnsi="Aptos"/>
                <w:sz w:val="20"/>
                <w:szCs w:val="20"/>
              </w:rPr>
            </w:pPr>
            <w:r w:rsidRPr="00380DEF">
              <w:rPr>
                <w:rFonts w:ascii="Aptos" w:hAnsi="Aptos"/>
                <w:sz w:val="20"/>
                <w:szCs w:val="20"/>
              </w:rPr>
              <w:t>20-35 minutes</w:t>
            </w:r>
          </w:p>
        </w:tc>
        <w:tc>
          <w:tcPr>
            <w:tcW w:w="1710" w:type="dxa"/>
            <w:tcMar>
              <w:top w:w="0" w:type="dxa"/>
              <w:left w:w="108" w:type="dxa"/>
              <w:bottom w:w="0" w:type="dxa"/>
              <w:right w:w="108" w:type="dxa"/>
            </w:tcMar>
            <w:hideMark/>
          </w:tcPr>
          <w:p w14:paraId="043A43B7" w14:textId="77777777" w:rsidR="00380DEF" w:rsidRPr="00380DEF" w:rsidRDefault="00380DEF" w:rsidP="0080330A">
            <w:pPr>
              <w:rPr>
                <w:rFonts w:ascii="Aptos" w:hAnsi="Aptos"/>
                <w:sz w:val="20"/>
                <w:szCs w:val="20"/>
              </w:rPr>
            </w:pPr>
            <w:r w:rsidRPr="00380DEF">
              <w:rPr>
                <w:rFonts w:ascii="Aptos" w:hAnsi="Aptos"/>
                <w:sz w:val="20"/>
                <w:szCs w:val="20"/>
              </w:rPr>
              <w:t>20-30 minutes</w:t>
            </w:r>
          </w:p>
        </w:tc>
        <w:tc>
          <w:tcPr>
            <w:tcW w:w="1710" w:type="dxa"/>
            <w:tcMar>
              <w:top w:w="0" w:type="dxa"/>
              <w:left w:w="108" w:type="dxa"/>
              <w:bottom w:w="0" w:type="dxa"/>
              <w:right w:w="108" w:type="dxa"/>
            </w:tcMar>
            <w:hideMark/>
          </w:tcPr>
          <w:p w14:paraId="4A447934" w14:textId="77777777" w:rsidR="00380DEF" w:rsidRPr="00380DEF" w:rsidRDefault="00380DEF" w:rsidP="0080330A">
            <w:pPr>
              <w:rPr>
                <w:rFonts w:ascii="Aptos" w:hAnsi="Aptos"/>
                <w:sz w:val="20"/>
                <w:szCs w:val="20"/>
              </w:rPr>
            </w:pPr>
            <w:r w:rsidRPr="00380DEF">
              <w:rPr>
                <w:rFonts w:ascii="Aptos" w:hAnsi="Aptos"/>
                <w:sz w:val="20"/>
                <w:szCs w:val="20"/>
              </w:rPr>
              <w:t>20-26 minutes</w:t>
            </w:r>
          </w:p>
        </w:tc>
      </w:tr>
      <w:tr w:rsidR="00380DEF" w:rsidRPr="00380DEF" w14:paraId="488B1A50" w14:textId="77777777" w:rsidTr="0080330A">
        <w:trPr>
          <w:trHeight w:val="217"/>
        </w:trPr>
        <w:tc>
          <w:tcPr>
            <w:tcW w:w="2070" w:type="dxa"/>
            <w:tcMar>
              <w:top w:w="0" w:type="dxa"/>
              <w:left w:w="108" w:type="dxa"/>
              <w:bottom w:w="0" w:type="dxa"/>
              <w:right w:w="108" w:type="dxa"/>
            </w:tcMar>
            <w:hideMark/>
          </w:tcPr>
          <w:p w14:paraId="27743CF5" w14:textId="77777777" w:rsidR="00380DEF" w:rsidRPr="00380DEF" w:rsidRDefault="00380DEF" w:rsidP="0080330A">
            <w:pPr>
              <w:rPr>
                <w:rFonts w:ascii="Aptos" w:hAnsi="Aptos"/>
                <w:sz w:val="20"/>
                <w:szCs w:val="20"/>
              </w:rPr>
            </w:pPr>
            <w:r w:rsidRPr="00380DEF">
              <w:rPr>
                <w:rFonts w:ascii="Aptos" w:hAnsi="Aptos"/>
                <w:sz w:val="20"/>
                <w:szCs w:val="20"/>
              </w:rPr>
              <w:t>LGH Main Campus</w:t>
            </w:r>
          </w:p>
        </w:tc>
        <w:tc>
          <w:tcPr>
            <w:tcW w:w="1260" w:type="dxa"/>
            <w:tcMar>
              <w:top w:w="0" w:type="dxa"/>
              <w:left w:w="108" w:type="dxa"/>
              <w:bottom w:w="0" w:type="dxa"/>
              <w:right w:w="108" w:type="dxa"/>
            </w:tcMar>
            <w:hideMark/>
          </w:tcPr>
          <w:p w14:paraId="31535C78" w14:textId="77777777" w:rsidR="00380DEF" w:rsidRPr="00380DEF" w:rsidRDefault="00380DEF" w:rsidP="0080330A">
            <w:pPr>
              <w:rPr>
                <w:rFonts w:ascii="Aptos" w:hAnsi="Aptos"/>
                <w:sz w:val="20"/>
                <w:szCs w:val="20"/>
              </w:rPr>
            </w:pPr>
            <w:r w:rsidRPr="00380DEF">
              <w:rPr>
                <w:rFonts w:ascii="Aptos" w:hAnsi="Aptos"/>
                <w:sz w:val="20"/>
                <w:szCs w:val="20"/>
              </w:rPr>
              <w:t>10.8 miles</w:t>
            </w:r>
          </w:p>
        </w:tc>
        <w:tc>
          <w:tcPr>
            <w:tcW w:w="1710" w:type="dxa"/>
            <w:tcMar>
              <w:top w:w="0" w:type="dxa"/>
              <w:left w:w="108" w:type="dxa"/>
              <w:bottom w:w="0" w:type="dxa"/>
              <w:right w:w="108" w:type="dxa"/>
            </w:tcMar>
            <w:hideMark/>
          </w:tcPr>
          <w:p w14:paraId="660F3CC9" w14:textId="77777777" w:rsidR="00380DEF" w:rsidRPr="00380DEF" w:rsidRDefault="00380DEF" w:rsidP="0080330A">
            <w:pPr>
              <w:rPr>
                <w:rFonts w:ascii="Aptos" w:hAnsi="Aptos"/>
                <w:sz w:val="20"/>
                <w:szCs w:val="20"/>
              </w:rPr>
            </w:pPr>
            <w:r w:rsidRPr="00380DEF">
              <w:rPr>
                <w:rFonts w:ascii="Aptos" w:hAnsi="Aptos"/>
                <w:sz w:val="20"/>
                <w:szCs w:val="20"/>
              </w:rPr>
              <w:t>18-26 minutes</w:t>
            </w:r>
          </w:p>
        </w:tc>
        <w:tc>
          <w:tcPr>
            <w:tcW w:w="1710" w:type="dxa"/>
            <w:tcMar>
              <w:top w:w="0" w:type="dxa"/>
              <w:left w:w="108" w:type="dxa"/>
              <w:bottom w:w="0" w:type="dxa"/>
              <w:right w:w="108" w:type="dxa"/>
            </w:tcMar>
            <w:hideMark/>
          </w:tcPr>
          <w:p w14:paraId="719BD903" w14:textId="77777777" w:rsidR="00380DEF" w:rsidRPr="00380DEF" w:rsidRDefault="00380DEF" w:rsidP="0080330A">
            <w:pPr>
              <w:rPr>
                <w:rFonts w:ascii="Aptos" w:hAnsi="Aptos"/>
                <w:sz w:val="20"/>
                <w:szCs w:val="20"/>
              </w:rPr>
            </w:pPr>
            <w:r w:rsidRPr="00380DEF">
              <w:rPr>
                <w:rFonts w:ascii="Aptos" w:hAnsi="Aptos"/>
                <w:sz w:val="20"/>
                <w:szCs w:val="20"/>
              </w:rPr>
              <w:t>18-30 minutes</w:t>
            </w:r>
          </w:p>
        </w:tc>
        <w:tc>
          <w:tcPr>
            <w:tcW w:w="1710" w:type="dxa"/>
            <w:tcMar>
              <w:top w:w="0" w:type="dxa"/>
              <w:left w:w="108" w:type="dxa"/>
              <w:bottom w:w="0" w:type="dxa"/>
              <w:right w:w="108" w:type="dxa"/>
            </w:tcMar>
            <w:hideMark/>
          </w:tcPr>
          <w:p w14:paraId="02E13ACF" w14:textId="77777777" w:rsidR="00380DEF" w:rsidRPr="00380DEF" w:rsidRDefault="00380DEF" w:rsidP="0080330A">
            <w:pPr>
              <w:rPr>
                <w:rFonts w:ascii="Aptos" w:hAnsi="Aptos"/>
                <w:sz w:val="20"/>
                <w:szCs w:val="20"/>
              </w:rPr>
            </w:pPr>
            <w:r w:rsidRPr="00380DEF">
              <w:rPr>
                <w:rFonts w:ascii="Aptos" w:hAnsi="Aptos"/>
                <w:sz w:val="20"/>
                <w:szCs w:val="20"/>
              </w:rPr>
              <w:t>18-28 minutes</w:t>
            </w:r>
          </w:p>
        </w:tc>
        <w:tc>
          <w:tcPr>
            <w:tcW w:w="1710" w:type="dxa"/>
            <w:tcMar>
              <w:top w:w="0" w:type="dxa"/>
              <w:left w:w="108" w:type="dxa"/>
              <w:bottom w:w="0" w:type="dxa"/>
              <w:right w:w="108" w:type="dxa"/>
            </w:tcMar>
            <w:hideMark/>
          </w:tcPr>
          <w:p w14:paraId="1599CE46" w14:textId="77777777" w:rsidR="00380DEF" w:rsidRPr="00380DEF" w:rsidRDefault="00380DEF" w:rsidP="0080330A">
            <w:pPr>
              <w:rPr>
                <w:rFonts w:ascii="Aptos" w:hAnsi="Aptos"/>
                <w:sz w:val="20"/>
                <w:szCs w:val="20"/>
              </w:rPr>
            </w:pPr>
            <w:r w:rsidRPr="00380DEF">
              <w:rPr>
                <w:rFonts w:ascii="Aptos" w:hAnsi="Aptos"/>
                <w:sz w:val="20"/>
                <w:szCs w:val="20"/>
              </w:rPr>
              <w:t>18-24 minutes</w:t>
            </w:r>
          </w:p>
        </w:tc>
      </w:tr>
      <w:tr w:rsidR="00380DEF" w:rsidRPr="00380DEF" w14:paraId="5B37B903" w14:textId="77777777" w:rsidTr="0080330A">
        <w:trPr>
          <w:trHeight w:val="217"/>
        </w:trPr>
        <w:tc>
          <w:tcPr>
            <w:tcW w:w="2070" w:type="dxa"/>
            <w:tcMar>
              <w:top w:w="0" w:type="dxa"/>
              <w:left w:w="108" w:type="dxa"/>
              <w:bottom w:w="0" w:type="dxa"/>
              <w:right w:w="108" w:type="dxa"/>
            </w:tcMar>
            <w:hideMark/>
          </w:tcPr>
          <w:p w14:paraId="1B7D5977" w14:textId="77777777" w:rsidR="00380DEF" w:rsidRPr="004025D7" w:rsidRDefault="00380DEF" w:rsidP="0080330A">
            <w:pPr>
              <w:rPr>
                <w:rFonts w:ascii="Aptos" w:hAnsi="Aptos"/>
                <w:sz w:val="20"/>
                <w:szCs w:val="20"/>
              </w:rPr>
            </w:pPr>
            <w:r w:rsidRPr="004025D7">
              <w:rPr>
                <w:rFonts w:ascii="Aptos" w:hAnsi="Aptos"/>
                <w:sz w:val="20"/>
                <w:szCs w:val="20"/>
              </w:rPr>
              <w:t xml:space="preserve">Anna Jaques </w:t>
            </w:r>
          </w:p>
        </w:tc>
        <w:tc>
          <w:tcPr>
            <w:tcW w:w="1260" w:type="dxa"/>
            <w:tcMar>
              <w:top w:w="0" w:type="dxa"/>
              <w:left w:w="108" w:type="dxa"/>
              <w:bottom w:w="0" w:type="dxa"/>
              <w:right w:w="108" w:type="dxa"/>
            </w:tcMar>
            <w:hideMark/>
          </w:tcPr>
          <w:p w14:paraId="32DDDB03" w14:textId="77777777" w:rsidR="00380DEF" w:rsidRPr="004025D7" w:rsidRDefault="00380DEF" w:rsidP="0080330A">
            <w:pPr>
              <w:rPr>
                <w:rFonts w:ascii="Aptos" w:hAnsi="Aptos"/>
                <w:sz w:val="20"/>
                <w:szCs w:val="20"/>
              </w:rPr>
            </w:pPr>
            <w:r w:rsidRPr="004025D7">
              <w:rPr>
                <w:rFonts w:ascii="Aptos" w:hAnsi="Aptos"/>
                <w:sz w:val="20"/>
                <w:szCs w:val="20"/>
              </w:rPr>
              <w:t>10 miles</w:t>
            </w:r>
          </w:p>
        </w:tc>
        <w:tc>
          <w:tcPr>
            <w:tcW w:w="1710" w:type="dxa"/>
            <w:tcMar>
              <w:top w:w="0" w:type="dxa"/>
              <w:left w:w="108" w:type="dxa"/>
              <w:bottom w:w="0" w:type="dxa"/>
              <w:right w:w="108" w:type="dxa"/>
            </w:tcMar>
            <w:hideMark/>
          </w:tcPr>
          <w:p w14:paraId="0427BF16" w14:textId="77777777" w:rsidR="00380DEF" w:rsidRPr="004025D7" w:rsidRDefault="00380DEF" w:rsidP="0080330A">
            <w:pPr>
              <w:rPr>
                <w:rFonts w:ascii="Aptos" w:hAnsi="Aptos"/>
                <w:sz w:val="20"/>
                <w:szCs w:val="20"/>
              </w:rPr>
            </w:pPr>
            <w:r w:rsidRPr="004025D7">
              <w:rPr>
                <w:rFonts w:ascii="Aptos" w:hAnsi="Aptos"/>
                <w:sz w:val="20"/>
                <w:szCs w:val="20"/>
              </w:rPr>
              <w:t>18-24 minutes</w:t>
            </w:r>
          </w:p>
        </w:tc>
        <w:tc>
          <w:tcPr>
            <w:tcW w:w="1710" w:type="dxa"/>
            <w:tcMar>
              <w:top w:w="0" w:type="dxa"/>
              <w:left w:w="108" w:type="dxa"/>
              <w:bottom w:w="0" w:type="dxa"/>
              <w:right w:w="108" w:type="dxa"/>
            </w:tcMar>
            <w:hideMark/>
          </w:tcPr>
          <w:p w14:paraId="03DA5CED" w14:textId="77777777" w:rsidR="00380DEF" w:rsidRPr="004025D7" w:rsidRDefault="00380DEF" w:rsidP="0080330A">
            <w:pPr>
              <w:rPr>
                <w:rFonts w:ascii="Aptos" w:hAnsi="Aptos"/>
                <w:sz w:val="20"/>
                <w:szCs w:val="20"/>
              </w:rPr>
            </w:pPr>
            <w:r w:rsidRPr="004025D7">
              <w:rPr>
                <w:rFonts w:ascii="Aptos" w:hAnsi="Aptos"/>
                <w:sz w:val="20"/>
                <w:szCs w:val="20"/>
              </w:rPr>
              <w:t>18-24 minutes</w:t>
            </w:r>
          </w:p>
        </w:tc>
        <w:tc>
          <w:tcPr>
            <w:tcW w:w="1710" w:type="dxa"/>
            <w:tcMar>
              <w:top w:w="0" w:type="dxa"/>
              <w:left w:w="108" w:type="dxa"/>
              <w:bottom w:w="0" w:type="dxa"/>
              <w:right w:w="108" w:type="dxa"/>
            </w:tcMar>
            <w:hideMark/>
          </w:tcPr>
          <w:p w14:paraId="6B2BB0D5" w14:textId="77777777" w:rsidR="00380DEF" w:rsidRPr="004025D7" w:rsidRDefault="00380DEF" w:rsidP="0080330A">
            <w:pPr>
              <w:rPr>
                <w:rFonts w:ascii="Aptos" w:hAnsi="Aptos"/>
                <w:sz w:val="20"/>
                <w:szCs w:val="20"/>
              </w:rPr>
            </w:pPr>
            <w:r w:rsidRPr="004025D7">
              <w:rPr>
                <w:rFonts w:ascii="Aptos" w:hAnsi="Aptos"/>
                <w:sz w:val="20"/>
                <w:szCs w:val="20"/>
              </w:rPr>
              <w:t>18-26 minutes</w:t>
            </w:r>
          </w:p>
        </w:tc>
        <w:tc>
          <w:tcPr>
            <w:tcW w:w="1710" w:type="dxa"/>
            <w:tcMar>
              <w:top w:w="0" w:type="dxa"/>
              <w:left w:w="108" w:type="dxa"/>
              <w:bottom w:w="0" w:type="dxa"/>
              <w:right w:w="108" w:type="dxa"/>
            </w:tcMar>
            <w:hideMark/>
          </w:tcPr>
          <w:p w14:paraId="062BD930" w14:textId="77777777" w:rsidR="00380DEF" w:rsidRPr="004025D7" w:rsidRDefault="00380DEF" w:rsidP="0080330A">
            <w:pPr>
              <w:rPr>
                <w:rFonts w:ascii="Aptos" w:hAnsi="Aptos"/>
                <w:sz w:val="20"/>
                <w:szCs w:val="20"/>
              </w:rPr>
            </w:pPr>
            <w:r w:rsidRPr="004025D7">
              <w:rPr>
                <w:rFonts w:ascii="Aptos" w:hAnsi="Aptos"/>
                <w:sz w:val="20"/>
                <w:szCs w:val="20"/>
              </w:rPr>
              <w:t>20 minutes</w:t>
            </w:r>
          </w:p>
        </w:tc>
      </w:tr>
    </w:tbl>
    <w:p w14:paraId="3A09ECEE" w14:textId="77777777" w:rsidR="0071267F" w:rsidRPr="002E1A21" w:rsidRDefault="0071267F" w:rsidP="004025D7">
      <w:pPr>
        <w:spacing w:after="120"/>
        <w:jc w:val="both"/>
        <w:rPr>
          <w:rFonts w:ascii="Aptos" w:hAnsi="Aptos" w:cs="Times New Roman"/>
          <w:sz w:val="20"/>
          <w:szCs w:val="20"/>
          <w:u w:val="single"/>
        </w:rPr>
      </w:pPr>
    </w:p>
    <w:p w14:paraId="29D33A3C" w14:textId="77777777" w:rsidR="007252EA" w:rsidRPr="002E1A21" w:rsidRDefault="007252EA" w:rsidP="004025D7">
      <w:pPr>
        <w:pStyle w:val="ListParagraph"/>
        <w:numPr>
          <w:ilvl w:val="0"/>
          <w:numId w:val="3"/>
        </w:numPr>
        <w:spacing w:after="120"/>
        <w:contextualSpacing w:val="0"/>
        <w:jc w:val="both"/>
        <w:rPr>
          <w:rFonts w:ascii="Aptos" w:hAnsi="Aptos" w:cs="Times New Roman"/>
          <w:b/>
          <w:bCs/>
        </w:rPr>
      </w:pPr>
      <w:r w:rsidRPr="002E1A21">
        <w:rPr>
          <w:rFonts w:ascii="Aptos" w:hAnsi="Aptos" w:cs="Times New Roman"/>
          <w:b/>
          <w:bCs/>
        </w:rPr>
        <w:t>An assessment of transportation needs post discontinuance and a plan for meeting those needs.</w:t>
      </w:r>
    </w:p>
    <w:p w14:paraId="30F669C3" w14:textId="60B4A6FE" w:rsidR="002E1A21" w:rsidRPr="002E1A21" w:rsidRDefault="002E1A21" w:rsidP="004025D7">
      <w:pPr>
        <w:spacing w:after="120"/>
        <w:jc w:val="both"/>
        <w:rPr>
          <w:rFonts w:ascii="Aptos" w:hAnsi="Aptos" w:cs="Times New Roman"/>
        </w:rPr>
      </w:pPr>
      <w:r w:rsidRPr="002E1A21">
        <w:rPr>
          <w:rFonts w:ascii="Aptos" w:hAnsi="Aptos" w:cs="Times New Roman"/>
        </w:rPr>
        <w:t>Merrimack Valley Transit (</w:t>
      </w:r>
      <w:proofErr w:type="spellStart"/>
      <w:r w:rsidRPr="002E1A21">
        <w:rPr>
          <w:rFonts w:ascii="Aptos" w:hAnsi="Aptos" w:cs="Times New Roman"/>
        </w:rPr>
        <w:t>MeVa</w:t>
      </w:r>
      <w:proofErr w:type="spellEnd"/>
      <w:r w:rsidRPr="002E1A21">
        <w:rPr>
          <w:rFonts w:ascii="Aptos" w:hAnsi="Aptos" w:cs="Times New Roman"/>
        </w:rPr>
        <w:t xml:space="preserve">) is the public transit provider serving the Merrimack Valley. </w:t>
      </w:r>
      <w:proofErr w:type="spellStart"/>
      <w:proofErr w:type="gramStart"/>
      <w:r w:rsidRPr="002E1A21">
        <w:rPr>
          <w:rFonts w:ascii="Aptos" w:hAnsi="Aptos" w:cs="Times New Roman"/>
        </w:rPr>
        <w:t>MeVa</w:t>
      </w:r>
      <w:proofErr w:type="spellEnd"/>
      <w:r w:rsidRPr="002E1A21">
        <w:rPr>
          <w:rFonts w:ascii="Aptos" w:hAnsi="Aptos" w:cs="Times New Roman"/>
        </w:rPr>
        <w:t xml:space="preserve">  provides</w:t>
      </w:r>
      <w:proofErr w:type="gramEnd"/>
      <w:r w:rsidRPr="002E1A21">
        <w:rPr>
          <w:rFonts w:ascii="Aptos" w:hAnsi="Aptos" w:cs="Times New Roman"/>
        </w:rPr>
        <w:t xml:space="preserve"> fare-free bus service to 16 cities and towns including the three Gateway Cities of Lawrence, Methuen, and Haverhill, as well as service outside of </w:t>
      </w:r>
      <w:proofErr w:type="spellStart"/>
      <w:r w:rsidRPr="002E1A21">
        <w:rPr>
          <w:rFonts w:ascii="Aptos" w:hAnsi="Aptos" w:cs="Times New Roman"/>
        </w:rPr>
        <w:t>MeVa’s</w:t>
      </w:r>
      <w:proofErr w:type="spellEnd"/>
      <w:r w:rsidRPr="002E1A21">
        <w:rPr>
          <w:rFonts w:ascii="Aptos" w:hAnsi="Aptos" w:cs="Times New Roman"/>
        </w:rPr>
        <w:t xml:space="preserve"> catchment area to Lowell and limited service to Boston hospitals. </w:t>
      </w:r>
      <w:proofErr w:type="spellStart"/>
      <w:r w:rsidRPr="002E1A21">
        <w:rPr>
          <w:rFonts w:ascii="Aptos" w:hAnsi="Aptos" w:cs="Times New Roman"/>
        </w:rPr>
        <w:t>MeVa</w:t>
      </w:r>
      <w:proofErr w:type="spellEnd"/>
      <w:r w:rsidRPr="002E1A21">
        <w:rPr>
          <w:rFonts w:ascii="Aptos" w:hAnsi="Aptos" w:cs="Times New Roman"/>
        </w:rPr>
        <w:t xml:space="preserve"> meets with stakeholders and makes schedule and route modifications as needed to ensure riders can access critical health and safety net services across the region. Serving area hospitals and clinics is a key component of </w:t>
      </w:r>
      <w:proofErr w:type="spellStart"/>
      <w:r w:rsidRPr="002E1A21">
        <w:rPr>
          <w:rFonts w:ascii="Aptos" w:hAnsi="Aptos" w:cs="Times New Roman"/>
        </w:rPr>
        <w:t>MeVa’s</w:t>
      </w:r>
      <w:proofErr w:type="spellEnd"/>
      <w:r w:rsidRPr="002E1A21">
        <w:rPr>
          <w:rFonts w:ascii="Aptos" w:hAnsi="Aptos" w:cs="Times New Roman"/>
        </w:rPr>
        <w:t xml:space="preserve"> planning process. </w:t>
      </w:r>
    </w:p>
    <w:p w14:paraId="044C848F" w14:textId="28C54F10" w:rsidR="002E1A21" w:rsidRPr="002E1A21" w:rsidRDefault="002E1A21" w:rsidP="004025D7">
      <w:pPr>
        <w:spacing w:after="120"/>
        <w:jc w:val="both"/>
        <w:rPr>
          <w:rFonts w:ascii="Aptos" w:hAnsi="Aptos" w:cs="Times New Roman"/>
        </w:rPr>
      </w:pPr>
      <w:r w:rsidRPr="002E1A21">
        <w:rPr>
          <w:rFonts w:ascii="Aptos" w:hAnsi="Aptos" w:cs="Times New Roman"/>
        </w:rPr>
        <w:t xml:space="preserve">In planning for the transition of services from Haverhill Campus to Methuen Campus, </w:t>
      </w:r>
      <w:proofErr w:type="spellStart"/>
      <w:r w:rsidRPr="002E1A21">
        <w:rPr>
          <w:rFonts w:ascii="Aptos" w:hAnsi="Aptos" w:cs="Times New Roman"/>
        </w:rPr>
        <w:t>MeVa</w:t>
      </w:r>
      <w:proofErr w:type="spellEnd"/>
      <w:r w:rsidRPr="002E1A21">
        <w:rPr>
          <w:rFonts w:ascii="Aptos" w:hAnsi="Aptos" w:cs="Times New Roman"/>
        </w:rPr>
        <w:t xml:space="preserve"> has actively partnered with the Health System to continue to refine service to the three hospital locations and facilitate transportation between the sites.</w:t>
      </w:r>
    </w:p>
    <w:p w14:paraId="08660DFE" w14:textId="09A46562" w:rsidR="002E1A21" w:rsidRPr="002E1A21" w:rsidRDefault="002E1A21" w:rsidP="004025D7">
      <w:pPr>
        <w:spacing w:after="120"/>
        <w:jc w:val="both"/>
        <w:rPr>
          <w:rFonts w:ascii="Aptos" w:hAnsi="Aptos" w:cs="Times New Roman"/>
        </w:rPr>
      </w:pPr>
      <w:r w:rsidRPr="002E1A21">
        <w:rPr>
          <w:rFonts w:ascii="Aptos" w:hAnsi="Aptos" w:cs="Times New Roman"/>
        </w:rPr>
        <w:t xml:space="preserve">Starting in September, </w:t>
      </w:r>
      <w:proofErr w:type="spellStart"/>
      <w:r w:rsidRPr="002E1A21">
        <w:rPr>
          <w:rFonts w:ascii="Aptos" w:hAnsi="Aptos" w:cs="Times New Roman"/>
        </w:rPr>
        <w:t>MeVa</w:t>
      </w:r>
      <w:proofErr w:type="spellEnd"/>
      <w:r w:rsidRPr="002E1A21">
        <w:rPr>
          <w:rFonts w:ascii="Aptos" w:hAnsi="Aptos" w:cs="Times New Roman"/>
        </w:rPr>
        <w:t xml:space="preserve"> will offer a more direct route between </w:t>
      </w:r>
      <w:r w:rsidR="007018C5">
        <w:rPr>
          <w:rFonts w:ascii="Aptos" w:hAnsi="Aptos" w:cs="Times New Roman"/>
        </w:rPr>
        <w:t>LGH</w:t>
      </w:r>
      <w:r w:rsidRPr="002E1A21">
        <w:rPr>
          <w:rFonts w:ascii="Aptos" w:hAnsi="Aptos" w:cs="Times New Roman"/>
        </w:rPr>
        <w:t xml:space="preserve"> and </w:t>
      </w:r>
      <w:r w:rsidR="007018C5">
        <w:rPr>
          <w:rFonts w:ascii="Aptos" w:hAnsi="Aptos" w:cs="Times New Roman"/>
        </w:rPr>
        <w:t>the Hospital’s</w:t>
      </w:r>
      <w:r w:rsidRPr="002E1A21">
        <w:rPr>
          <w:rFonts w:ascii="Aptos" w:hAnsi="Aptos" w:cs="Times New Roman"/>
        </w:rPr>
        <w:t xml:space="preserve"> Methuen </w:t>
      </w:r>
      <w:r w:rsidR="007018C5">
        <w:rPr>
          <w:rFonts w:ascii="Aptos" w:hAnsi="Aptos" w:cs="Times New Roman"/>
        </w:rPr>
        <w:t>campus</w:t>
      </w:r>
      <w:r w:rsidRPr="002E1A21">
        <w:rPr>
          <w:rFonts w:ascii="Aptos" w:hAnsi="Aptos" w:cs="Times New Roman"/>
        </w:rPr>
        <w:t xml:space="preserve">, allowing for a </w:t>
      </w:r>
      <w:proofErr w:type="gramStart"/>
      <w:r w:rsidRPr="002E1A21">
        <w:rPr>
          <w:rFonts w:ascii="Aptos" w:hAnsi="Aptos" w:cs="Times New Roman"/>
        </w:rPr>
        <w:t>10-15 minute</w:t>
      </w:r>
      <w:proofErr w:type="gramEnd"/>
      <w:r w:rsidRPr="002E1A21">
        <w:rPr>
          <w:rFonts w:ascii="Aptos" w:hAnsi="Aptos" w:cs="Times New Roman"/>
        </w:rPr>
        <w:t xml:space="preserve"> ride door to door between the two hospitals. </w:t>
      </w:r>
      <w:proofErr w:type="spellStart"/>
      <w:r w:rsidRPr="002E1A21">
        <w:rPr>
          <w:rFonts w:ascii="Aptos" w:hAnsi="Aptos" w:cs="Times New Roman"/>
        </w:rPr>
        <w:t>MeVa</w:t>
      </w:r>
      <w:proofErr w:type="spellEnd"/>
      <w:r w:rsidRPr="002E1A21">
        <w:rPr>
          <w:rFonts w:ascii="Aptos" w:hAnsi="Aptos" w:cs="Times New Roman"/>
        </w:rPr>
        <w:t xml:space="preserve"> currently offers free service supporting the Haverhill </w:t>
      </w:r>
      <w:r w:rsidR="007018C5">
        <w:rPr>
          <w:rFonts w:ascii="Aptos" w:hAnsi="Aptos" w:cs="Times New Roman"/>
        </w:rPr>
        <w:t>c</w:t>
      </w:r>
      <w:r w:rsidRPr="002E1A21">
        <w:rPr>
          <w:rFonts w:ascii="Aptos" w:hAnsi="Aptos" w:cs="Times New Roman"/>
        </w:rPr>
        <w:t xml:space="preserve">ampus and will continue to work with the Health System </w:t>
      </w:r>
      <w:r w:rsidRPr="002E1A21">
        <w:rPr>
          <w:rFonts w:ascii="Aptos" w:hAnsi="Aptos" w:cs="Times New Roman"/>
        </w:rPr>
        <w:lastRenderedPageBreak/>
        <w:t>to increase this free service to better assist the community’s transportation needs.</w:t>
      </w:r>
      <w:r w:rsidR="009E0A56">
        <w:rPr>
          <w:rFonts w:ascii="Aptos" w:hAnsi="Aptos" w:cs="Times New Roman"/>
        </w:rPr>
        <w:t xml:space="preserve"> </w:t>
      </w:r>
      <w:proofErr w:type="gramStart"/>
      <w:r w:rsidRPr="002E1A21">
        <w:rPr>
          <w:rFonts w:ascii="Aptos" w:hAnsi="Aptos" w:cs="Times New Roman"/>
        </w:rPr>
        <w:t>All of</w:t>
      </w:r>
      <w:proofErr w:type="gramEnd"/>
      <w:r w:rsidRPr="002E1A21">
        <w:rPr>
          <w:rFonts w:ascii="Aptos" w:hAnsi="Aptos" w:cs="Times New Roman"/>
        </w:rPr>
        <w:t xml:space="preserve"> the Health System’s hospital campuses, as well as area </w:t>
      </w:r>
      <w:r w:rsidR="006F25E9">
        <w:rPr>
          <w:rFonts w:ascii="Aptos" w:hAnsi="Aptos" w:cs="Times New Roman"/>
        </w:rPr>
        <w:t>h</w:t>
      </w:r>
      <w:r w:rsidRPr="002E1A21">
        <w:rPr>
          <w:rFonts w:ascii="Aptos" w:hAnsi="Aptos" w:cs="Times New Roman"/>
        </w:rPr>
        <w:t xml:space="preserve">ealth </w:t>
      </w:r>
      <w:r w:rsidR="006F25E9">
        <w:rPr>
          <w:rFonts w:ascii="Aptos" w:hAnsi="Aptos" w:cs="Times New Roman"/>
        </w:rPr>
        <w:t>c</w:t>
      </w:r>
      <w:r w:rsidRPr="002E1A21">
        <w:rPr>
          <w:rFonts w:ascii="Aptos" w:hAnsi="Aptos" w:cs="Times New Roman"/>
        </w:rPr>
        <w:t xml:space="preserve">enters, can be accessed via </w:t>
      </w:r>
      <w:proofErr w:type="spellStart"/>
      <w:r w:rsidRPr="002E1A21">
        <w:rPr>
          <w:rFonts w:ascii="Aptos" w:hAnsi="Aptos" w:cs="Times New Roman"/>
        </w:rPr>
        <w:t>M</w:t>
      </w:r>
      <w:r w:rsidR="009E0A56">
        <w:rPr>
          <w:rFonts w:ascii="Aptos" w:hAnsi="Aptos" w:cs="Times New Roman"/>
        </w:rPr>
        <w:t>eVa</w:t>
      </w:r>
      <w:proofErr w:type="spellEnd"/>
      <w:r w:rsidRPr="002E1A21">
        <w:rPr>
          <w:rFonts w:ascii="Aptos" w:hAnsi="Aptos" w:cs="Times New Roman"/>
        </w:rPr>
        <w:t xml:space="preserve"> buses. Maps and maps and schedules, as well as the route planner tool can be found on the </w:t>
      </w:r>
      <w:proofErr w:type="spellStart"/>
      <w:r w:rsidRPr="002E1A21">
        <w:rPr>
          <w:rFonts w:ascii="Aptos" w:hAnsi="Aptos" w:cs="Times New Roman"/>
        </w:rPr>
        <w:t>MeVa</w:t>
      </w:r>
      <w:proofErr w:type="spellEnd"/>
      <w:r w:rsidRPr="002E1A21">
        <w:rPr>
          <w:rFonts w:ascii="Aptos" w:hAnsi="Aptos" w:cs="Times New Roman"/>
        </w:rPr>
        <w:t xml:space="preserve"> </w:t>
      </w:r>
      <w:proofErr w:type="gramStart"/>
      <w:r w:rsidRPr="002E1A21">
        <w:rPr>
          <w:rFonts w:ascii="Aptos" w:hAnsi="Aptos" w:cs="Times New Roman"/>
        </w:rPr>
        <w:t>website :</w:t>
      </w:r>
      <w:proofErr w:type="gramEnd"/>
      <w:r w:rsidRPr="002E1A21">
        <w:rPr>
          <w:rFonts w:ascii="Aptos" w:hAnsi="Aptos" w:cs="Times New Roman"/>
        </w:rPr>
        <w:t xml:space="preserve"> </w:t>
      </w:r>
      <w:hyperlink r:id="rId8" w:history="1">
        <w:r w:rsidRPr="002E1A21">
          <w:rPr>
            <w:rStyle w:val="Hyperlink"/>
            <w:rFonts w:ascii="Aptos" w:hAnsi="Aptos" w:cs="Times New Roman"/>
          </w:rPr>
          <w:t>www.mevatransit.com</w:t>
        </w:r>
      </w:hyperlink>
    </w:p>
    <w:p w14:paraId="1221DCDF" w14:textId="0046A3A0" w:rsidR="0050161B" w:rsidRPr="002E1A21" w:rsidRDefault="002E1A21" w:rsidP="004025D7">
      <w:pPr>
        <w:spacing w:after="120"/>
        <w:jc w:val="both"/>
        <w:rPr>
          <w:rFonts w:ascii="Aptos" w:hAnsi="Aptos" w:cs="Times New Roman"/>
        </w:rPr>
      </w:pPr>
      <w:proofErr w:type="spellStart"/>
      <w:r w:rsidRPr="002E1A21">
        <w:rPr>
          <w:rFonts w:ascii="Aptos" w:hAnsi="Aptos" w:cs="Times New Roman"/>
        </w:rPr>
        <w:t>MeVa</w:t>
      </w:r>
      <w:proofErr w:type="spellEnd"/>
      <w:r w:rsidRPr="002E1A21">
        <w:rPr>
          <w:rFonts w:ascii="Aptos" w:hAnsi="Aptos" w:cs="Times New Roman"/>
        </w:rPr>
        <w:t xml:space="preserve"> also offers </w:t>
      </w:r>
      <w:proofErr w:type="spellStart"/>
      <w:r w:rsidRPr="002E1A21">
        <w:rPr>
          <w:rFonts w:ascii="Aptos" w:hAnsi="Aptos" w:cs="Times New Roman"/>
        </w:rPr>
        <w:t>miniM</w:t>
      </w:r>
      <w:r w:rsidR="009E0A56">
        <w:rPr>
          <w:rFonts w:ascii="Aptos" w:hAnsi="Aptos" w:cs="Times New Roman"/>
        </w:rPr>
        <w:t>eVA</w:t>
      </w:r>
      <w:proofErr w:type="spellEnd"/>
      <w:r w:rsidRPr="002E1A21">
        <w:rPr>
          <w:rFonts w:ascii="Aptos" w:hAnsi="Aptos" w:cs="Times New Roman"/>
        </w:rPr>
        <w:t xml:space="preserve"> paratransit service for people over the age of 60 and for people who have a disability (cognitive or physical). Like the fixed route, </w:t>
      </w:r>
      <w:proofErr w:type="spellStart"/>
      <w:r w:rsidRPr="002E1A21">
        <w:rPr>
          <w:rFonts w:ascii="Aptos" w:hAnsi="Aptos" w:cs="Times New Roman"/>
        </w:rPr>
        <w:t>miniMeVa</w:t>
      </w:r>
      <w:proofErr w:type="spellEnd"/>
      <w:r w:rsidRPr="002E1A21">
        <w:rPr>
          <w:rFonts w:ascii="Aptos" w:hAnsi="Aptos" w:cs="Times New Roman"/>
        </w:rPr>
        <w:t xml:space="preserve"> is a fare-free service. </w:t>
      </w:r>
      <w:proofErr w:type="spellStart"/>
      <w:r w:rsidRPr="002E1A21">
        <w:rPr>
          <w:rFonts w:ascii="Aptos" w:hAnsi="Aptos" w:cs="Times New Roman"/>
        </w:rPr>
        <w:t>miniMeVa</w:t>
      </w:r>
      <w:proofErr w:type="spellEnd"/>
      <w:r w:rsidRPr="002E1A21">
        <w:rPr>
          <w:rFonts w:ascii="Aptos" w:hAnsi="Aptos" w:cs="Times New Roman"/>
        </w:rPr>
        <w:t xml:space="preserve"> is an origin to destination service taking people from point to point anywhere within our service area</w:t>
      </w:r>
      <w:r w:rsidR="00264E4B">
        <w:rPr>
          <w:rFonts w:ascii="Aptos" w:hAnsi="Aptos" w:cs="Times New Roman"/>
        </w:rPr>
        <w:t xml:space="preserve"> </w:t>
      </w:r>
      <w:r w:rsidRPr="002E1A21">
        <w:rPr>
          <w:rFonts w:ascii="Aptos" w:hAnsi="Aptos" w:cs="Times New Roman"/>
        </w:rPr>
        <w:t xml:space="preserve">and must be scheduled either one or two days prior to use, depending on eligibility. </w:t>
      </w:r>
    </w:p>
    <w:p w14:paraId="4AE735AA" w14:textId="0194585F" w:rsidR="00341F09" w:rsidRPr="002E1A21" w:rsidRDefault="007252EA" w:rsidP="004025D7">
      <w:pPr>
        <w:pStyle w:val="ListParagraph"/>
        <w:numPr>
          <w:ilvl w:val="0"/>
          <w:numId w:val="3"/>
        </w:numPr>
        <w:spacing w:after="120"/>
        <w:contextualSpacing w:val="0"/>
        <w:jc w:val="both"/>
        <w:rPr>
          <w:rFonts w:ascii="Aptos" w:hAnsi="Aptos" w:cs="Times New Roman"/>
          <w:b/>
          <w:bCs/>
        </w:rPr>
      </w:pPr>
      <w:r w:rsidRPr="002E1A21">
        <w:rPr>
          <w:rFonts w:ascii="Aptos" w:hAnsi="Aptos" w:cs="Times New Roman"/>
          <w:b/>
          <w:bCs/>
        </w:rPr>
        <w:t>A protocol that details mechanisms to maintain continuity of care for current patients of the discontinued service</w:t>
      </w:r>
      <w:r w:rsidR="00D51705" w:rsidRPr="002E1A21">
        <w:rPr>
          <w:rFonts w:ascii="Aptos" w:hAnsi="Aptos" w:cs="Times New Roman"/>
          <w:b/>
          <w:bCs/>
        </w:rPr>
        <w:t>.</w:t>
      </w:r>
    </w:p>
    <w:p w14:paraId="316AC76E" w14:textId="1025B6BD" w:rsidR="000A0698" w:rsidRDefault="000A0698" w:rsidP="004025D7">
      <w:pPr>
        <w:spacing w:after="120"/>
        <w:jc w:val="both"/>
        <w:rPr>
          <w:rFonts w:ascii="Aptos" w:hAnsi="Aptos" w:cs="Times New Roman"/>
        </w:rPr>
      </w:pPr>
      <w:r>
        <w:rPr>
          <w:rFonts w:ascii="Aptos" w:hAnsi="Aptos" w:cs="Times New Roman"/>
        </w:rPr>
        <w:t xml:space="preserve">Currently, all admissions to </w:t>
      </w:r>
      <w:r w:rsidR="00D528BC">
        <w:rPr>
          <w:rFonts w:ascii="Aptos" w:hAnsi="Aptos" w:cs="Times New Roman"/>
        </w:rPr>
        <w:t xml:space="preserve">the </w:t>
      </w:r>
      <w:r>
        <w:rPr>
          <w:rFonts w:ascii="Aptos" w:hAnsi="Aptos" w:cs="Times New Roman"/>
        </w:rPr>
        <w:t xml:space="preserve">Haverhill </w:t>
      </w:r>
      <w:r w:rsidR="007018C5">
        <w:rPr>
          <w:rFonts w:ascii="Aptos" w:hAnsi="Aptos" w:cs="Times New Roman"/>
        </w:rPr>
        <w:t>c</w:t>
      </w:r>
      <w:r>
        <w:rPr>
          <w:rFonts w:ascii="Aptos" w:hAnsi="Aptos" w:cs="Times New Roman"/>
        </w:rPr>
        <w:t xml:space="preserve">ampus’ M/S service are done through the ED. </w:t>
      </w:r>
      <w:r w:rsidR="00C30C36">
        <w:rPr>
          <w:rFonts w:ascii="Aptos" w:hAnsi="Aptos" w:cs="Times New Roman"/>
        </w:rPr>
        <w:t xml:space="preserve">All other patients who need inpatient care are referred to the Methuen campus. </w:t>
      </w:r>
      <w:r>
        <w:rPr>
          <w:rFonts w:ascii="Aptos" w:hAnsi="Aptos" w:cs="Times New Roman"/>
        </w:rPr>
        <w:t>The Hospital plans to begin winding</w:t>
      </w:r>
      <w:r w:rsidR="00D528BC">
        <w:rPr>
          <w:rFonts w:ascii="Aptos" w:hAnsi="Aptos" w:cs="Times New Roman"/>
        </w:rPr>
        <w:t xml:space="preserve"> </w:t>
      </w:r>
      <w:r>
        <w:rPr>
          <w:rFonts w:ascii="Aptos" w:hAnsi="Aptos" w:cs="Times New Roman"/>
        </w:rPr>
        <w:t xml:space="preserve">down inpatient admissions to Haverhill </w:t>
      </w:r>
      <w:r w:rsidR="007018C5">
        <w:rPr>
          <w:rFonts w:ascii="Aptos" w:hAnsi="Aptos" w:cs="Times New Roman"/>
        </w:rPr>
        <w:t>c</w:t>
      </w:r>
      <w:r>
        <w:rPr>
          <w:rFonts w:ascii="Aptos" w:hAnsi="Aptos" w:cs="Times New Roman"/>
        </w:rPr>
        <w:t xml:space="preserve">ampus on or around September 22, 2025. During this period, ED patients who would otherwise be admitted to Haverhill </w:t>
      </w:r>
      <w:r w:rsidR="007018C5">
        <w:rPr>
          <w:rFonts w:ascii="Aptos" w:hAnsi="Aptos" w:cs="Times New Roman"/>
        </w:rPr>
        <w:t>c</w:t>
      </w:r>
      <w:r>
        <w:rPr>
          <w:rFonts w:ascii="Aptos" w:hAnsi="Aptos" w:cs="Times New Roman"/>
        </w:rPr>
        <w:t xml:space="preserve">ampus’s M/S service will be transported and admitted to Methuen </w:t>
      </w:r>
      <w:r w:rsidR="007018C5">
        <w:rPr>
          <w:rFonts w:ascii="Aptos" w:hAnsi="Aptos" w:cs="Times New Roman"/>
        </w:rPr>
        <w:t>c</w:t>
      </w:r>
      <w:r>
        <w:rPr>
          <w:rFonts w:ascii="Aptos" w:hAnsi="Aptos" w:cs="Times New Roman"/>
        </w:rPr>
        <w:t>ampus</w:t>
      </w:r>
      <w:r w:rsidR="00B0644D">
        <w:rPr>
          <w:rFonts w:ascii="Aptos" w:hAnsi="Aptos" w:cs="Times New Roman"/>
        </w:rPr>
        <w:t xml:space="preserve"> by the appropriate level of ambulance service</w:t>
      </w:r>
      <w:r>
        <w:rPr>
          <w:rFonts w:ascii="Aptos" w:hAnsi="Aptos" w:cs="Times New Roman"/>
        </w:rPr>
        <w:t>.</w:t>
      </w:r>
      <w:r w:rsidR="00B0644D">
        <w:rPr>
          <w:rStyle w:val="FootnoteReference"/>
          <w:rFonts w:ascii="Aptos" w:hAnsi="Aptos" w:cs="Times New Roman"/>
        </w:rPr>
        <w:footnoteReference w:id="2"/>
      </w:r>
      <w:r>
        <w:rPr>
          <w:rFonts w:ascii="Aptos" w:hAnsi="Aptos" w:cs="Times New Roman"/>
        </w:rPr>
        <w:t xml:space="preserve"> Only observation stay patients will be admitted leading up </w:t>
      </w:r>
      <w:r w:rsidR="00C30C36">
        <w:rPr>
          <w:rFonts w:ascii="Aptos" w:hAnsi="Aptos" w:cs="Times New Roman"/>
        </w:rPr>
        <w:t xml:space="preserve">to </w:t>
      </w:r>
      <w:r>
        <w:rPr>
          <w:rFonts w:ascii="Aptos" w:hAnsi="Aptos" w:cs="Times New Roman"/>
        </w:rPr>
        <w:t xml:space="preserve">September 30, 2025. Beginning October 1, 2025, all Haverhill SEF patients </w:t>
      </w:r>
      <w:proofErr w:type="gramStart"/>
      <w:r>
        <w:rPr>
          <w:rFonts w:ascii="Aptos" w:hAnsi="Aptos" w:cs="Times New Roman"/>
        </w:rPr>
        <w:t>requiring  inpatient</w:t>
      </w:r>
      <w:proofErr w:type="gramEnd"/>
      <w:r>
        <w:rPr>
          <w:rFonts w:ascii="Aptos" w:hAnsi="Aptos" w:cs="Times New Roman"/>
        </w:rPr>
        <w:t xml:space="preserve"> admission will be transported to Methuen campus, or another facility following the same protocols that are in place today.  </w:t>
      </w:r>
    </w:p>
    <w:p w14:paraId="3D2E5F70" w14:textId="60F0BC09" w:rsidR="00341F09" w:rsidRDefault="00341F09" w:rsidP="004025D7">
      <w:pPr>
        <w:spacing w:after="120"/>
        <w:jc w:val="both"/>
        <w:rPr>
          <w:rFonts w:ascii="Aptos" w:hAnsi="Aptos" w:cs="Times New Roman"/>
        </w:rPr>
      </w:pPr>
      <w:r>
        <w:rPr>
          <w:rFonts w:ascii="Aptos" w:hAnsi="Aptos" w:cs="Times New Roman"/>
        </w:rPr>
        <w:t xml:space="preserve">The Hospital has implemented a robust community education campaign to provide the community with information about the changes to services at Haverhill </w:t>
      </w:r>
      <w:r w:rsidR="007018C5">
        <w:rPr>
          <w:rFonts w:ascii="Aptos" w:hAnsi="Aptos" w:cs="Times New Roman"/>
        </w:rPr>
        <w:t>c</w:t>
      </w:r>
      <w:r>
        <w:rPr>
          <w:rFonts w:ascii="Aptos" w:hAnsi="Aptos" w:cs="Times New Roman"/>
        </w:rPr>
        <w:t xml:space="preserve">ampus. </w:t>
      </w:r>
      <w:r w:rsidRPr="00341F09">
        <w:rPr>
          <w:rFonts w:ascii="Aptos" w:hAnsi="Aptos" w:cs="Times New Roman"/>
        </w:rPr>
        <w:t xml:space="preserve">Following the public session with the Department regarding the planned transition of </w:t>
      </w:r>
      <w:r>
        <w:rPr>
          <w:rFonts w:ascii="Aptos" w:hAnsi="Aptos" w:cs="Times New Roman"/>
        </w:rPr>
        <w:t xml:space="preserve">emergency care from the existing ED to the </w:t>
      </w:r>
      <w:r w:rsidRPr="00341F09">
        <w:rPr>
          <w:rFonts w:ascii="Aptos" w:hAnsi="Aptos" w:cs="Times New Roman"/>
        </w:rPr>
        <w:t xml:space="preserve">SEF, the </w:t>
      </w:r>
      <w:r w:rsidR="00125521">
        <w:rPr>
          <w:rFonts w:ascii="Aptos" w:hAnsi="Aptos" w:cs="Times New Roman"/>
        </w:rPr>
        <w:t xml:space="preserve">Health System </w:t>
      </w:r>
      <w:r>
        <w:rPr>
          <w:rFonts w:ascii="Aptos" w:hAnsi="Aptos" w:cs="Times New Roman"/>
        </w:rPr>
        <w:t>ha</w:t>
      </w:r>
      <w:r w:rsidR="007018C5">
        <w:rPr>
          <w:rFonts w:ascii="Aptos" w:hAnsi="Aptos" w:cs="Times New Roman"/>
        </w:rPr>
        <w:t>s</w:t>
      </w:r>
      <w:r w:rsidRPr="00341F09">
        <w:rPr>
          <w:rFonts w:ascii="Aptos" w:hAnsi="Aptos" w:cs="Times New Roman"/>
        </w:rPr>
        <w:t xml:space="preserve"> engaged in multiple outreach and education efforts to ensure the community is informed about the change and the continued availability of emergency services.</w:t>
      </w:r>
    </w:p>
    <w:p w14:paraId="32F75656" w14:textId="318457F0" w:rsidR="00341F09" w:rsidRPr="00341F09" w:rsidRDefault="00341F09" w:rsidP="004025D7">
      <w:pPr>
        <w:spacing w:after="120"/>
        <w:jc w:val="both"/>
        <w:rPr>
          <w:rFonts w:ascii="Aptos" w:hAnsi="Aptos" w:cs="Times New Roman"/>
        </w:rPr>
      </w:pPr>
      <w:r w:rsidRPr="00341F09">
        <w:rPr>
          <w:rFonts w:ascii="Aptos" w:hAnsi="Aptos" w:cs="Times New Roman"/>
          <w:u w:val="single"/>
        </w:rPr>
        <w:t>Completed Public Outreach Activities</w:t>
      </w:r>
      <w:r w:rsidRPr="00341F09">
        <w:rPr>
          <w:rFonts w:ascii="Aptos" w:hAnsi="Aptos" w:cs="Times New Roman"/>
        </w:rPr>
        <w:t>:</w:t>
      </w:r>
    </w:p>
    <w:p w14:paraId="0BC3E1DA" w14:textId="030C0BBE" w:rsidR="00341F09" w:rsidRPr="00341F09" w:rsidRDefault="00341F09" w:rsidP="004025D7">
      <w:pPr>
        <w:numPr>
          <w:ilvl w:val="0"/>
          <w:numId w:val="13"/>
        </w:numPr>
        <w:spacing w:after="120"/>
        <w:jc w:val="both"/>
        <w:rPr>
          <w:rFonts w:ascii="Aptos" w:hAnsi="Aptos" w:cs="Times New Roman"/>
        </w:rPr>
      </w:pPr>
      <w:r w:rsidRPr="00341F09">
        <w:rPr>
          <w:rFonts w:ascii="Aptos" w:hAnsi="Aptos" w:cs="Times New Roman"/>
        </w:rPr>
        <w:t>SEF FAQ Webpage – Content covers:</w:t>
      </w:r>
    </w:p>
    <w:p w14:paraId="74BC16A6"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What a SEF is</w:t>
      </w:r>
    </w:p>
    <w:p w14:paraId="6EBDCFD2"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Location of the SEF</w:t>
      </w:r>
    </w:p>
    <w:p w14:paraId="02DA8C53"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Services provided</w:t>
      </w:r>
    </w:p>
    <w:p w14:paraId="15460853"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Guidance on when to go to the SEF</w:t>
      </w:r>
    </w:p>
    <w:p w14:paraId="3ABA0629"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Services remaining in Haverhill</w:t>
      </w:r>
    </w:p>
    <w:p w14:paraId="0D8B319B" w14:textId="4D1F3133"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lastRenderedPageBreak/>
        <w:t>Recent updates based on feedback from the Community Listening Session</w:t>
      </w:r>
      <w:r w:rsidR="004025D7">
        <w:rPr>
          <w:rFonts w:ascii="Aptos" w:hAnsi="Aptos" w:cs="Times New Roman"/>
        </w:rPr>
        <w:t xml:space="preserve"> held July 24, 2025.</w:t>
      </w:r>
    </w:p>
    <w:p w14:paraId="2FFAD190"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This webpage is continually updated as new information becomes available.</w:t>
      </w:r>
    </w:p>
    <w:p w14:paraId="44465B60" w14:textId="77777777" w:rsidR="00341F09" w:rsidRPr="00341F09" w:rsidRDefault="00341F09" w:rsidP="004025D7">
      <w:pPr>
        <w:numPr>
          <w:ilvl w:val="0"/>
          <w:numId w:val="13"/>
        </w:numPr>
        <w:spacing w:after="120"/>
        <w:jc w:val="both"/>
        <w:rPr>
          <w:rFonts w:ascii="Aptos" w:hAnsi="Aptos" w:cs="Times New Roman"/>
        </w:rPr>
      </w:pPr>
      <w:r w:rsidRPr="00341F09">
        <w:rPr>
          <w:rFonts w:ascii="Aptos" w:hAnsi="Aptos" w:cs="Times New Roman"/>
        </w:rPr>
        <w:t>WHAV Radio Interview &amp; Podcast (July 22, 2025) – Dr. Jay Schuur, Chief of Emergency Medicine, discussed the SEF transition, services available, and guidance on when to seek emergency care.</w:t>
      </w:r>
    </w:p>
    <w:p w14:paraId="4E986CA7" w14:textId="02458E36" w:rsidR="00341F09" w:rsidRPr="00341F09" w:rsidRDefault="00341F09" w:rsidP="004025D7">
      <w:pPr>
        <w:numPr>
          <w:ilvl w:val="0"/>
          <w:numId w:val="13"/>
        </w:numPr>
        <w:spacing w:after="120"/>
        <w:jc w:val="both"/>
        <w:rPr>
          <w:rFonts w:ascii="Aptos" w:hAnsi="Aptos" w:cs="Times New Roman"/>
        </w:rPr>
      </w:pPr>
      <w:r w:rsidRPr="00341F09">
        <w:rPr>
          <w:rFonts w:ascii="Aptos" w:hAnsi="Aptos" w:cs="Times New Roman"/>
        </w:rPr>
        <w:t xml:space="preserve">Haverhill Farmers’ Market (Aug 8, 2025) – </w:t>
      </w:r>
      <w:r w:rsidR="007018C5">
        <w:rPr>
          <w:rFonts w:ascii="Aptos" w:hAnsi="Aptos" w:cs="Times New Roman"/>
        </w:rPr>
        <w:t>Distribution of</w:t>
      </w:r>
      <w:r w:rsidRPr="00341F09">
        <w:rPr>
          <w:rFonts w:ascii="Aptos" w:hAnsi="Aptos" w:cs="Times New Roman"/>
        </w:rPr>
        <w:t xml:space="preserve"> bilingual (English/Spanish) printed materials explaining the </w:t>
      </w:r>
      <w:r w:rsidR="007018C5">
        <w:rPr>
          <w:rFonts w:ascii="Aptos" w:hAnsi="Aptos" w:cs="Times New Roman"/>
        </w:rPr>
        <w:t xml:space="preserve">Haverhill </w:t>
      </w:r>
      <w:r w:rsidRPr="00341F09">
        <w:rPr>
          <w:rFonts w:ascii="Aptos" w:hAnsi="Aptos" w:cs="Times New Roman"/>
        </w:rPr>
        <w:t>SEF, including services offered, when to use emergency care, and available resources.</w:t>
      </w:r>
    </w:p>
    <w:p w14:paraId="5A2C5873" w14:textId="77777777" w:rsidR="00341F09" w:rsidRPr="00341F09" w:rsidRDefault="00341F09" w:rsidP="004025D7">
      <w:pPr>
        <w:numPr>
          <w:ilvl w:val="0"/>
          <w:numId w:val="13"/>
        </w:numPr>
        <w:spacing w:after="120"/>
        <w:jc w:val="both"/>
        <w:rPr>
          <w:rFonts w:ascii="Aptos" w:hAnsi="Aptos" w:cs="Times New Roman"/>
        </w:rPr>
      </w:pPr>
      <w:r w:rsidRPr="00341F09">
        <w:rPr>
          <w:rFonts w:ascii="Aptos" w:hAnsi="Aptos" w:cs="Times New Roman"/>
        </w:rPr>
        <w:t>Social Media Campaigns – Educational posts on:</w:t>
      </w:r>
    </w:p>
    <w:p w14:paraId="724A272A"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Stroke awareness (Aug 25, 2025)</w:t>
      </w:r>
    </w:p>
    <w:p w14:paraId="21CD6BF9"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Heart attack awareness (Sept 15, 2025)</w:t>
      </w:r>
    </w:p>
    <w:p w14:paraId="60B3F0B8"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When to go to the ED / SEF information (Oct 2025)</w:t>
      </w:r>
    </w:p>
    <w:p w14:paraId="7226A4B3" w14:textId="77777777" w:rsidR="00341F09" w:rsidRPr="00341F09" w:rsidRDefault="00341F09" w:rsidP="004025D7">
      <w:pPr>
        <w:numPr>
          <w:ilvl w:val="1"/>
          <w:numId w:val="13"/>
        </w:numPr>
        <w:spacing w:after="120"/>
        <w:jc w:val="both"/>
        <w:rPr>
          <w:rFonts w:ascii="Aptos" w:hAnsi="Aptos" w:cs="Times New Roman"/>
        </w:rPr>
      </w:pPr>
      <w:r w:rsidRPr="00341F09">
        <w:rPr>
          <w:rFonts w:ascii="Aptos" w:hAnsi="Aptos" w:cs="Times New Roman"/>
        </w:rPr>
        <w:t>Seat belt safety and fall prevention (Nov 2025)</w:t>
      </w:r>
    </w:p>
    <w:p w14:paraId="1383FB6D" w14:textId="57F1EBBF" w:rsidR="00341F09" w:rsidRPr="00125521" w:rsidRDefault="00341F09" w:rsidP="004025D7">
      <w:pPr>
        <w:numPr>
          <w:ilvl w:val="0"/>
          <w:numId w:val="13"/>
        </w:numPr>
        <w:spacing w:after="120"/>
        <w:jc w:val="both"/>
        <w:rPr>
          <w:rFonts w:ascii="Aptos" w:hAnsi="Aptos" w:cs="Times New Roman"/>
        </w:rPr>
      </w:pPr>
      <w:r w:rsidRPr="00341F09">
        <w:rPr>
          <w:rFonts w:ascii="Aptos" w:hAnsi="Aptos" w:cs="Times New Roman"/>
        </w:rPr>
        <w:t>Ongoing Health Education During Screenings – As part of community education efforts, during blood pressure screenings, our Community Health Nurse provides literature on stroke prevention, recognizing the signs of a stroke, and related health information.</w:t>
      </w:r>
    </w:p>
    <w:p w14:paraId="60D207A6" w14:textId="002B2DAD" w:rsidR="00341F09" w:rsidRPr="00341F09" w:rsidRDefault="00341F09" w:rsidP="004025D7">
      <w:pPr>
        <w:spacing w:after="120"/>
        <w:jc w:val="both"/>
        <w:rPr>
          <w:rFonts w:ascii="Aptos" w:hAnsi="Aptos" w:cs="Times New Roman"/>
        </w:rPr>
      </w:pPr>
      <w:proofErr w:type="gramStart"/>
      <w:r w:rsidRPr="00341F09">
        <w:rPr>
          <w:rFonts w:ascii="Aptos" w:hAnsi="Aptos" w:cs="Times New Roman"/>
          <w:u w:val="single"/>
        </w:rPr>
        <w:t>Planned</w:t>
      </w:r>
      <w:proofErr w:type="gramEnd"/>
      <w:r w:rsidRPr="00341F09">
        <w:rPr>
          <w:rFonts w:ascii="Aptos" w:hAnsi="Aptos" w:cs="Times New Roman"/>
          <w:u w:val="single"/>
        </w:rPr>
        <w:t xml:space="preserve"> Public Outreach Activities</w:t>
      </w:r>
      <w:r w:rsidRPr="00341F09">
        <w:rPr>
          <w:rFonts w:ascii="Aptos" w:hAnsi="Aptos" w:cs="Times New Roman"/>
        </w:rPr>
        <w:t>:</w:t>
      </w:r>
    </w:p>
    <w:p w14:paraId="747C6895" w14:textId="77777777" w:rsidR="00341F09" w:rsidRPr="00341F09" w:rsidRDefault="00341F09" w:rsidP="004025D7">
      <w:pPr>
        <w:numPr>
          <w:ilvl w:val="0"/>
          <w:numId w:val="14"/>
        </w:numPr>
        <w:spacing w:after="120"/>
        <w:jc w:val="both"/>
        <w:rPr>
          <w:rFonts w:ascii="Aptos" w:hAnsi="Aptos" w:cs="Times New Roman"/>
        </w:rPr>
      </w:pPr>
      <w:r w:rsidRPr="00341F09">
        <w:rPr>
          <w:rFonts w:ascii="Aptos" w:hAnsi="Aptos" w:cs="Times New Roman"/>
        </w:rPr>
        <w:t>Health &amp; Prevention Educational Events (Sept 2025) – Judson House &amp; Hadley West Apartments, Haverhill.</w:t>
      </w:r>
    </w:p>
    <w:p w14:paraId="1A27CE49" w14:textId="77777777" w:rsidR="00341F09" w:rsidRPr="00341F09" w:rsidRDefault="00341F09" w:rsidP="004025D7">
      <w:pPr>
        <w:numPr>
          <w:ilvl w:val="0"/>
          <w:numId w:val="14"/>
        </w:numPr>
        <w:spacing w:after="120"/>
        <w:jc w:val="both"/>
        <w:rPr>
          <w:rFonts w:ascii="Aptos" w:hAnsi="Aptos" w:cs="Times New Roman"/>
        </w:rPr>
      </w:pPr>
      <w:r w:rsidRPr="00341F09">
        <w:rPr>
          <w:rFonts w:ascii="Aptos" w:hAnsi="Aptos" w:cs="Times New Roman"/>
        </w:rPr>
        <w:t>Interface Network of Compassion (Sept 18, 2025) – Presentation by Dr. Zaid Altawil and Dr. Jay Schuur to over 20 agencies serving vulnerable populations, covering behavioral health emergency services and SEF offerings in both Haverhill and Methuen.</w:t>
      </w:r>
    </w:p>
    <w:p w14:paraId="04218D1B" w14:textId="77777777" w:rsidR="00341F09" w:rsidRPr="00341F09" w:rsidRDefault="00341F09" w:rsidP="004025D7">
      <w:pPr>
        <w:numPr>
          <w:ilvl w:val="0"/>
          <w:numId w:val="14"/>
        </w:numPr>
        <w:spacing w:after="120"/>
        <w:jc w:val="both"/>
        <w:rPr>
          <w:rFonts w:ascii="Aptos" w:hAnsi="Aptos" w:cs="Times New Roman"/>
        </w:rPr>
      </w:pPr>
      <w:r w:rsidRPr="00341F09">
        <w:rPr>
          <w:rFonts w:ascii="Aptos" w:hAnsi="Aptos" w:cs="Times New Roman"/>
        </w:rPr>
        <w:t>Ongoing Event Identification – Additional Haverhill-based opportunities are actively being explored to ensure consistent community presence before and after the SEF opening.</w:t>
      </w:r>
    </w:p>
    <w:p w14:paraId="162EFC55" w14:textId="77777777" w:rsidR="00341F09" w:rsidRPr="00341F09" w:rsidRDefault="00341F09" w:rsidP="004025D7">
      <w:pPr>
        <w:numPr>
          <w:ilvl w:val="0"/>
          <w:numId w:val="14"/>
        </w:numPr>
        <w:spacing w:after="120"/>
        <w:jc w:val="both"/>
        <w:rPr>
          <w:rFonts w:ascii="Aptos" w:hAnsi="Aptos" w:cs="Times New Roman"/>
        </w:rPr>
      </w:pPr>
      <w:r w:rsidRPr="00341F09">
        <w:rPr>
          <w:rFonts w:ascii="Aptos" w:hAnsi="Aptos" w:cs="Times New Roman"/>
        </w:rPr>
        <w:t>Outreach to Educational Institutions – In addition to the above efforts, the health system is actively engaging local schools and other educational institutions to inform students, families, and staff about the Haverhill campus changes and its transition to an SEF.</w:t>
      </w:r>
    </w:p>
    <w:p w14:paraId="51F5BFC4" w14:textId="3CDA0368" w:rsidR="00D51705" w:rsidRPr="004025D7" w:rsidRDefault="00341F09" w:rsidP="004025D7">
      <w:pPr>
        <w:spacing w:after="120"/>
        <w:jc w:val="both"/>
        <w:rPr>
          <w:rFonts w:ascii="Aptos" w:hAnsi="Aptos" w:cs="Times New Roman"/>
        </w:rPr>
      </w:pPr>
      <w:r w:rsidRPr="00341F09">
        <w:rPr>
          <w:rFonts w:ascii="Aptos" w:hAnsi="Aptos" w:cs="Times New Roman"/>
        </w:rPr>
        <w:t>These activities collectively aim to ensure that Haverhill residents are fully informed about the SEF’s role, the continuity of 24/7 emergency care, and the services that will remain available locally. Communications will continue both leading up to and after the SEF opening to reinforce understanding and maintain trust within the community.</w:t>
      </w:r>
    </w:p>
    <w:p w14:paraId="5BCA97FF" w14:textId="77777777" w:rsidR="00D51705" w:rsidRPr="00125521" w:rsidRDefault="00D51705" w:rsidP="004025D7">
      <w:pPr>
        <w:pStyle w:val="ListParagraph"/>
        <w:numPr>
          <w:ilvl w:val="0"/>
          <w:numId w:val="3"/>
        </w:numPr>
        <w:spacing w:after="120"/>
        <w:contextualSpacing w:val="0"/>
        <w:jc w:val="both"/>
        <w:rPr>
          <w:rFonts w:ascii="Aptos" w:hAnsi="Aptos" w:cs="Times New Roman"/>
          <w:b/>
          <w:bCs/>
        </w:rPr>
      </w:pPr>
      <w:r w:rsidRPr="00125521">
        <w:rPr>
          <w:rFonts w:ascii="Aptos" w:hAnsi="Aptos" w:cs="Times New Roman"/>
          <w:b/>
          <w:bCs/>
        </w:rPr>
        <w:lastRenderedPageBreak/>
        <w:t>A protocol that describes how patients in the Hospital’s service area will access the services at alternative delivery sites. The protocol should specifically address the following:</w:t>
      </w:r>
    </w:p>
    <w:p w14:paraId="5D77DA6A" w14:textId="781F7A11" w:rsidR="00816D81" w:rsidRPr="004025D7" w:rsidRDefault="00D51705" w:rsidP="004025D7">
      <w:pPr>
        <w:pStyle w:val="ListParagraph"/>
        <w:numPr>
          <w:ilvl w:val="0"/>
          <w:numId w:val="7"/>
        </w:numPr>
        <w:spacing w:after="120"/>
        <w:contextualSpacing w:val="0"/>
        <w:jc w:val="both"/>
        <w:rPr>
          <w:rFonts w:ascii="Aptos" w:hAnsi="Aptos" w:cs="Times New Roman"/>
        </w:rPr>
      </w:pPr>
      <w:r w:rsidRPr="00125521">
        <w:rPr>
          <w:rFonts w:ascii="Aptos" w:hAnsi="Aptos" w:cs="Times New Roman"/>
          <w:b/>
          <w:bCs/>
        </w:rPr>
        <w:t xml:space="preserve">The process that will be employed to effectively refer patients to other facilities or </w:t>
      </w:r>
      <w:proofErr w:type="gramStart"/>
      <w:r w:rsidRPr="00125521">
        <w:rPr>
          <w:rFonts w:ascii="Aptos" w:hAnsi="Aptos" w:cs="Times New Roman"/>
          <w:b/>
          <w:bCs/>
        </w:rPr>
        <w:t>providers;</w:t>
      </w:r>
      <w:proofErr w:type="gramEnd"/>
    </w:p>
    <w:p w14:paraId="4D8D245F" w14:textId="1074D80A" w:rsidR="003817FA" w:rsidRDefault="00125521" w:rsidP="004025D7">
      <w:pPr>
        <w:spacing w:after="120"/>
        <w:jc w:val="both"/>
        <w:rPr>
          <w:rFonts w:ascii="Aptos" w:hAnsi="Aptos" w:cs="Times New Roman"/>
        </w:rPr>
      </w:pPr>
      <w:r w:rsidRPr="00125521">
        <w:rPr>
          <w:rFonts w:ascii="Aptos" w:hAnsi="Aptos" w:cs="Times New Roman"/>
        </w:rPr>
        <w:t xml:space="preserve">With respect to emergency services, the Hospital and Health System continue to educate the community about the continued provision of care at Haverhill </w:t>
      </w:r>
      <w:r w:rsidR="007018C5">
        <w:rPr>
          <w:rFonts w:ascii="Aptos" w:hAnsi="Aptos" w:cs="Times New Roman"/>
        </w:rPr>
        <w:t>c</w:t>
      </w:r>
      <w:r w:rsidRPr="00125521">
        <w:rPr>
          <w:rFonts w:ascii="Aptos" w:hAnsi="Aptos" w:cs="Times New Roman"/>
        </w:rPr>
        <w:t xml:space="preserve">ampus, while also reminding patients of the other services available for urgent, but not emergency-level situations. </w:t>
      </w:r>
    </w:p>
    <w:p w14:paraId="794ADAB5" w14:textId="49A1CE94" w:rsidR="00125521" w:rsidRPr="00125521" w:rsidRDefault="00586978" w:rsidP="004025D7">
      <w:pPr>
        <w:spacing w:after="120"/>
        <w:jc w:val="both"/>
        <w:rPr>
          <w:rFonts w:ascii="Aptos" w:hAnsi="Aptos" w:cs="Times New Roman"/>
        </w:rPr>
      </w:pPr>
      <w:r>
        <w:rPr>
          <w:rFonts w:ascii="Aptos" w:hAnsi="Aptos" w:cs="Times New Roman"/>
        </w:rPr>
        <w:t xml:space="preserve">After treating </w:t>
      </w:r>
      <w:r w:rsidR="00D528BC">
        <w:rPr>
          <w:rFonts w:ascii="Aptos" w:hAnsi="Aptos" w:cs="Times New Roman"/>
        </w:rPr>
        <w:t xml:space="preserve">and stabilizing </w:t>
      </w:r>
      <w:r>
        <w:rPr>
          <w:rFonts w:ascii="Aptos" w:hAnsi="Aptos" w:cs="Times New Roman"/>
        </w:rPr>
        <w:t xml:space="preserve">patients </w:t>
      </w:r>
      <w:r w:rsidR="00D528BC">
        <w:rPr>
          <w:rFonts w:ascii="Aptos" w:hAnsi="Aptos" w:cs="Times New Roman"/>
        </w:rPr>
        <w:t xml:space="preserve">who </w:t>
      </w:r>
      <w:r>
        <w:rPr>
          <w:rFonts w:ascii="Aptos" w:hAnsi="Aptos" w:cs="Times New Roman"/>
        </w:rPr>
        <w:t>present at the ED, an interdisciplinary team assesses the patient</w:t>
      </w:r>
      <w:r w:rsidR="003817FA">
        <w:rPr>
          <w:rFonts w:ascii="Aptos" w:hAnsi="Aptos" w:cs="Times New Roman"/>
        </w:rPr>
        <w:t>’</w:t>
      </w:r>
      <w:r>
        <w:rPr>
          <w:rFonts w:ascii="Aptos" w:hAnsi="Aptos" w:cs="Times New Roman"/>
        </w:rPr>
        <w:t xml:space="preserve">s </w:t>
      </w:r>
      <w:proofErr w:type="gramStart"/>
      <w:r>
        <w:rPr>
          <w:rFonts w:ascii="Aptos" w:hAnsi="Aptos" w:cs="Times New Roman"/>
        </w:rPr>
        <w:t>need</w:t>
      </w:r>
      <w:proofErr w:type="gramEnd"/>
      <w:r>
        <w:rPr>
          <w:rFonts w:ascii="Aptos" w:hAnsi="Aptos" w:cs="Times New Roman"/>
        </w:rPr>
        <w:t xml:space="preserve"> and determines the next level of care.</w:t>
      </w:r>
      <w:r w:rsidR="00FB6048">
        <w:rPr>
          <w:rFonts w:ascii="Aptos" w:hAnsi="Aptos" w:cs="Times New Roman"/>
        </w:rPr>
        <w:t xml:space="preserve"> Keeping in mind the patient’s preferences, Case Management sends out referrals to the appropriate facilities. When the Case Manager receives </w:t>
      </w:r>
      <w:r w:rsidR="004025D7">
        <w:rPr>
          <w:rFonts w:ascii="Aptos" w:hAnsi="Aptos" w:cs="Times New Roman"/>
        </w:rPr>
        <w:t>notice of</w:t>
      </w:r>
      <w:r w:rsidR="00FB6048">
        <w:rPr>
          <w:rFonts w:ascii="Aptos" w:hAnsi="Aptos" w:cs="Times New Roman"/>
        </w:rPr>
        <w:t xml:space="preserve"> </w:t>
      </w:r>
      <w:r w:rsidR="003817FA">
        <w:rPr>
          <w:rFonts w:ascii="Aptos" w:hAnsi="Aptos" w:cs="Times New Roman"/>
        </w:rPr>
        <w:t>acceptance,</w:t>
      </w:r>
      <w:r w:rsidR="00FB6048">
        <w:rPr>
          <w:rFonts w:ascii="Aptos" w:hAnsi="Aptos" w:cs="Times New Roman"/>
        </w:rPr>
        <w:t xml:space="preserve"> they notify the patient and family and begin the discharge process. If the patient is going to a facility, transportation is provided. If a patient needs tertiary care, there is a doctor-to-doctor conversation regarding the case and bed availability. </w:t>
      </w:r>
      <w:r w:rsidR="003817FA">
        <w:rPr>
          <w:rFonts w:ascii="Aptos" w:hAnsi="Aptos" w:cs="Times New Roman"/>
        </w:rPr>
        <w:t xml:space="preserve">When the patient is accepted by an appropriate hospital, the standard discharge process </w:t>
      </w:r>
      <w:r w:rsidR="00D528BC">
        <w:rPr>
          <w:rFonts w:ascii="Aptos" w:hAnsi="Aptos" w:cs="Times New Roman"/>
        </w:rPr>
        <w:t>begins,</w:t>
      </w:r>
      <w:r w:rsidR="003817FA">
        <w:rPr>
          <w:rFonts w:ascii="Aptos" w:hAnsi="Aptos" w:cs="Times New Roman"/>
        </w:rPr>
        <w:t xml:space="preserve"> and the patient is transported by the appropriate level of ambulance service.  </w:t>
      </w:r>
    </w:p>
    <w:p w14:paraId="3E78B2C1" w14:textId="7AFE96C5" w:rsidR="00816D81" w:rsidRPr="004025D7" w:rsidRDefault="00094796" w:rsidP="004025D7">
      <w:pPr>
        <w:spacing w:after="120"/>
        <w:jc w:val="both"/>
        <w:rPr>
          <w:rFonts w:ascii="Aptos" w:hAnsi="Aptos" w:cs="Times New Roman"/>
        </w:rPr>
      </w:pPr>
      <w:r w:rsidRPr="00094796">
        <w:rPr>
          <w:rFonts w:ascii="Aptos" w:hAnsi="Aptos" w:cs="Times New Roman"/>
        </w:rPr>
        <w:t xml:space="preserve">Currently, only a small number of patients receive </w:t>
      </w:r>
      <w:r w:rsidR="00125521" w:rsidRPr="00094796">
        <w:rPr>
          <w:rFonts w:ascii="Aptos" w:hAnsi="Aptos" w:cs="Times New Roman"/>
        </w:rPr>
        <w:t>inpatient care</w:t>
      </w:r>
      <w:r>
        <w:rPr>
          <w:rFonts w:ascii="Aptos" w:hAnsi="Aptos" w:cs="Times New Roman"/>
        </w:rPr>
        <w:t xml:space="preserve"> at the Haverhill campus</w:t>
      </w:r>
      <w:r w:rsidR="009E0A56">
        <w:rPr>
          <w:rFonts w:ascii="Aptos" w:hAnsi="Aptos" w:cs="Times New Roman"/>
        </w:rPr>
        <w:t>, all of whom are admitted through the ED</w:t>
      </w:r>
      <w:r>
        <w:rPr>
          <w:rFonts w:ascii="Aptos" w:hAnsi="Aptos" w:cs="Times New Roman"/>
        </w:rPr>
        <w:t xml:space="preserve">. The average daily census of inpatients is </w:t>
      </w:r>
      <w:r w:rsidR="00D528BC">
        <w:rPr>
          <w:rFonts w:ascii="Aptos" w:hAnsi="Aptos" w:cs="Times New Roman"/>
        </w:rPr>
        <w:t>nine (9)</w:t>
      </w:r>
      <w:r w:rsidR="00F41034">
        <w:rPr>
          <w:rFonts w:ascii="Aptos" w:hAnsi="Aptos" w:cs="Times New Roman"/>
        </w:rPr>
        <w:t xml:space="preserve">. The Haverhill campus will </w:t>
      </w:r>
      <w:r w:rsidR="00586978">
        <w:rPr>
          <w:rFonts w:ascii="Aptos" w:hAnsi="Aptos" w:cs="Times New Roman"/>
        </w:rPr>
        <w:t xml:space="preserve">continue to provide outpatient services in addition to the SEF. </w:t>
      </w:r>
      <w:r w:rsidR="004025D7">
        <w:rPr>
          <w:rFonts w:ascii="Aptos" w:hAnsi="Aptos" w:cs="Times New Roman"/>
        </w:rPr>
        <w:t xml:space="preserve">Once the ED closes and the SEF opens, patients of the SEF who require an inpatient admission will be transported by the appropriate level of transport to Methuen campus or the appropriate care setting (e.g., tertiary care, post-acute care). </w:t>
      </w:r>
    </w:p>
    <w:p w14:paraId="20BBACFB" w14:textId="37A04F68" w:rsidR="00816D81" w:rsidRPr="004025D7" w:rsidRDefault="00816D81" w:rsidP="004025D7">
      <w:pPr>
        <w:pStyle w:val="ListParagraph"/>
        <w:numPr>
          <w:ilvl w:val="0"/>
          <w:numId w:val="7"/>
        </w:numPr>
        <w:spacing w:after="120"/>
        <w:contextualSpacing w:val="0"/>
        <w:jc w:val="both"/>
        <w:rPr>
          <w:rFonts w:ascii="Aptos" w:hAnsi="Aptos" w:cs="Times New Roman"/>
          <w:b/>
          <w:bCs/>
        </w:rPr>
      </w:pPr>
      <w:r w:rsidRPr="00125521">
        <w:rPr>
          <w:rFonts w:ascii="Aptos" w:hAnsi="Aptos" w:cs="Times New Roman"/>
          <w:b/>
          <w:bCs/>
        </w:rPr>
        <w:t xml:space="preserve">The impact that this may have on the current occupancy rates at alternative delivery </w:t>
      </w:r>
      <w:proofErr w:type="gramStart"/>
      <w:r w:rsidRPr="00125521">
        <w:rPr>
          <w:rFonts w:ascii="Aptos" w:hAnsi="Aptos" w:cs="Times New Roman"/>
          <w:b/>
          <w:bCs/>
        </w:rPr>
        <w:t>sites;</w:t>
      </w:r>
      <w:proofErr w:type="gramEnd"/>
    </w:p>
    <w:p w14:paraId="0D5AB643" w14:textId="2A4AD53C" w:rsidR="00816D81" w:rsidRPr="004025D7" w:rsidRDefault="00AF6285" w:rsidP="004025D7">
      <w:pPr>
        <w:spacing w:after="120"/>
        <w:jc w:val="both"/>
        <w:rPr>
          <w:rFonts w:ascii="Aptos" w:hAnsi="Aptos" w:cs="Times New Roman"/>
        </w:rPr>
      </w:pPr>
      <w:r w:rsidRPr="00AF6285">
        <w:rPr>
          <w:rFonts w:ascii="Aptos" w:hAnsi="Aptos" w:cs="Times New Roman"/>
        </w:rPr>
        <w:t xml:space="preserve">Because </w:t>
      </w:r>
      <w:proofErr w:type="gramStart"/>
      <w:r w:rsidRPr="00AF6285">
        <w:rPr>
          <w:rFonts w:ascii="Aptos" w:hAnsi="Aptos" w:cs="Times New Roman"/>
        </w:rPr>
        <w:t>the majority of</w:t>
      </w:r>
      <w:proofErr w:type="gramEnd"/>
      <w:r w:rsidRPr="00AF6285">
        <w:rPr>
          <w:rFonts w:ascii="Aptos" w:hAnsi="Aptos" w:cs="Times New Roman"/>
        </w:rPr>
        <w:t xml:space="preserve"> inpatient care is currently provided at the Hospital’s Methuen campus, the closure of Haverhill </w:t>
      </w:r>
      <w:r w:rsidR="007018C5">
        <w:rPr>
          <w:rFonts w:ascii="Aptos" w:hAnsi="Aptos" w:cs="Times New Roman"/>
        </w:rPr>
        <w:t>c</w:t>
      </w:r>
      <w:r w:rsidRPr="00AF6285">
        <w:rPr>
          <w:rFonts w:ascii="Aptos" w:hAnsi="Aptos" w:cs="Times New Roman"/>
        </w:rPr>
        <w:t xml:space="preserve">ampus’s medical/surgical unit is not expected to have a material impact on occupancy at Methuen </w:t>
      </w:r>
      <w:r w:rsidR="007018C5">
        <w:rPr>
          <w:rFonts w:ascii="Aptos" w:hAnsi="Aptos" w:cs="Times New Roman"/>
        </w:rPr>
        <w:t>c</w:t>
      </w:r>
      <w:r w:rsidRPr="00AF6285">
        <w:rPr>
          <w:rFonts w:ascii="Aptos" w:hAnsi="Aptos" w:cs="Times New Roman"/>
        </w:rPr>
        <w:t xml:space="preserve">ampus. Moreover, with occupancy at Methuen </w:t>
      </w:r>
      <w:r w:rsidR="007018C5">
        <w:rPr>
          <w:rFonts w:ascii="Aptos" w:hAnsi="Aptos" w:cs="Times New Roman"/>
        </w:rPr>
        <w:t>c</w:t>
      </w:r>
      <w:r w:rsidRPr="00AF6285">
        <w:rPr>
          <w:rFonts w:ascii="Aptos" w:hAnsi="Aptos" w:cs="Times New Roman"/>
        </w:rPr>
        <w:t xml:space="preserve">ampus currently below </w:t>
      </w:r>
      <w:r w:rsidR="00043971" w:rsidRPr="00043971">
        <w:rPr>
          <w:rFonts w:ascii="Aptos" w:hAnsi="Aptos" w:cs="Times New Roman"/>
        </w:rPr>
        <w:t>60%</w:t>
      </w:r>
      <w:r w:rsidRPr="00043971">
        <w:rPr>
          <w:rFonts w:ascii="Aptos" w:hAnsi="Aptos" w:cs="Times New Roman"/>
        </w:rPr>
        <w:t xml:space="preserve">, additional volume from Haverhill </w:t>
      </w:r>
      <w:r w:rsidR="007018C5" w:rsidRPr="00043971">
        <w:rPr>
          <w:rFonts w:ascii="Aptos" w:hAnsi="Aptos" w:cs="Times New Roman"/>
        </w:rPr>
        <w:t>c</w:t>
      </w:r>
      <w:r w:rsidRPr="00043971">
        <w:rPr>
          <w:rFonts w:ascii="Aptos" w:hAnsi="Aptos" w:cs="Times New Roman"/>
        </w:rPr>
        <w:t>ampus will bring occupancy closer to ideal levels for staffing and care delivery.</w:t>
      </w:r>
      <w:r w:rsidRPr="00AF6285">
        <w:rPr>
          <w:rFonts w:ascii="Aptos" w:hAnsi="Aptos" w:cs="Times New Roman"/>
        </w:rPr>
        <w:t xml:space="preserve">  </w:t>
      </w:r>
    </w:p>
    <w:p w14:paraId="138EF605" w14:textId="7FC255A7" w:rsidR="006D0D23" w:rsidRPr="004025D7" w:rsidRDefault="00816D81" w:rsidP="004025D7">
      <w:pPr>
        <w:pStyle w:val="ListParagraph"/>
        <w:numPr>
          <w:ilvl w:val="0"/>
          <w:numId w:val="7"/>
        </w:numPr>
        <w:spacing w:after="120"/>
        <w:contextualSpacing w:val="0"/>
        <w:jc w:val="both"/>
        <w:rPr>
          <w:rFonts w:ascii="Aptos" w:hAnsi="Aptos" w:cs="Times New Roman"/>
          <w:b/>
          <w:bCs/>
        </w:rPr>
      </w:pPr>
      <w:r w:rsidRPr="00125521">
        <w:rPr>
          <w:rFonts w:ascii="Aptos" w:hAnsi="Aptos" w:cs="Times New Roman"/>
          <w:b/>
          <w:bCs/>
        </w:rPr>
        <w:t>The ability of the alternative delivery sites to meet the needs of these patients; and</w:t>
      </w:r>
    </w:p>
    <w:p w14:paraId="6059EB5D" w14:textId="4096A491" w:rsidR="00816D81" w:rsidRPr="00B51CC4" w:rsidRDefault="006D0D23" w:rsidP="004025D7">
      <w:pPr>
        <w:spacing w:after="120"/>
        <w:jc w:val="both"/>
        <w:rPr>
          <w:rFonts w:ascii="Aptos" w:hAnsi="Aptos" w:cs="Times New Roman"/>
        </w:rPr>
      </w:pPr>
      <w:r w:rsidRPr="00B51CC4">
        <w:rPr>
          <w:rFonts w:ascii="Aptos" w:hAnsi="Aptos" w:cs="Times New Roman"/>
        </w:rPr>
        <w:t xml:space="preserve">As discussed </w:t>
      </w:r>
      <w:r w:rsidR="00B51CC4">
        <w:rPr>
          <w:rFonts w:ascii="Aptos" w:hAnsi="Aptos" w:cs="Times New Roman"/>
        </w:rPr>
        <w:t xml:space="preserve">in </w:t>
      </w:r>
      <w:r w:rsidR="00AF6285" w:rsidRPr="00B51CC4">
        <w:rPr>
          <w:rFonts w:ascii="Aptos" w:hAnsi="Aptos" w:cs="Times New Roman"/>
        </w:rPr>
        <w:t>previous responses</w:t>
      </w:r>
      <w:r w:rsidRPr="00B51CC4">
        <w:rPr>
          <w:rFonts w:ascii="Aptos" w:hAnsi="Aptos" w:cs="Times New Roman"/>
        </w:rPr>
        <w:t xml:space="preserve">, the </w:t>
      </w:r>
      <w:r w:rsidR="0050161B" w:rsidRPr="00B51CC4">
        <w:rPr>
          <w:rFonts w:ascii="Aptos" w:hAnsi="Aptos" w:cs="Times New Roman"/>
        </w:rPr>
        <w:t xml:space="preserve">opening of </w:t>
      </w:r>
      <w:r w:rsidR="00AF6285" w:rsidRPr="00B51CC4">
        <w:rPr>
          <w:rFonts w:ascii="Aptos" w:hAnsi="Aptos" w:cs="Times New Roman"/>
        </w:rPr>
        <w:t>the Haverhill SEF</w:t>
      </w:r>
      <w:r w:rsidRPr="00B51CC4">
        <w:rPr>
          <w:rFonts w:ascii="Aptos" w:hAnsi="Aptos" w:cs="Times New Roman"/>
        </w:rPr>
        <w:t xml:space="preserve"> </w:t>
      </w:r>
      <w:r w:rsidR="001F4A08" w:rsidRPr="00B51CC4">
        <w:rPr>
          <w:rFonts w:ascii="Aptos" w:hAnsi="Aptos" w:cs="Times New Roman"/>
        </w:rPr>
        <w:t>will</w:t>
      </w:r>
      <w:r w:rsidRPr="00B51CC4">
        <w:rPr>
          <w:rFonts w:ascii="Aptos" w:hAnsi="Aptos" w:cs="Times New Roman"/>
        </w:rPr>
        <w:t xml:space="preserve"> </w:t>
      </w:r>
      <w:r w:rsidR="007018C5">
        <w:rPr>
          <w:rFonts w:ascii="Aptos" w:hAnsi="Aptos" w:cs="Times New Roman"/>
        </w:rPr>
        <w:t xml:space="preserve">ensure </w:t>
      </w:r>
      <w:r w:rsidRPr="00B51CC4">
        <w:rPr>
          <w:rFonts w:ascii="Aptos" w:hAnsi="Aptos" w:cs="Times New Roman"/>
        </w:rPr>
        <w:t xml:space="preserve">continued access to </w:t>
      </w:r>
      <w:r w:rsidR="00AF6285" w:rsidRPr="00B51CC4">
        <w:rPr>
          <w:rFonts w:ascii="Aptos" w:hAnsi="Aptos" w:cs="Times New Roman"/>
        </w:rPr>
        <w:t xml:space="preserve">emergency </w:t>
      </w:r>
      <w:r w:rsidRPr="00B51CC4">
        <w:rPr>
          <w:rFonts w:ascii="Aptos" w:hAnsi="Aptos" w:cs="Times New Roman"/>
        </w:rPr>
        <w:t>care</w:t>
      </w:r>
      <w:r w:rsidR="001F4A08" w:rsidRPr="00B51CC4">
        <w:rPr>
          <w:rFonts w:ascii="Aptos" w:hAnsi="Aptos" w:cs="Times New Roman"/>
        </w:rPr>
        <w:t xml:space="preserve"> </w:t>
      </w:r>
      <w:r w:rsidR="00AF6285" w:rsidRPr="00B51CC4">
        <w:rPr>
          <w:rFonts w:ascii="Aptos" w:hAnsi="Aptos" w:cs="Times New Roman"/>
        </w:rPr>
        <w:t>without any change to the scope or availability of the services provided in the current ED</w:t>
      </w:r>
      <w:r w:rsidR="001F4A08" w:rsidRPr="00B51CC4">
        <w:rPr>
          <w:rFonts w:ascii="Aptos" w:hAnsi="Aptos" w:cs="Times New Roman"/>
        </w:rPr>
        <w:t>.</w:t>
      </w:r>
      <w:r w:rsidR="00D60980" w:rsidRPr="00B51CC4">
        <w:rPr>
          <w:rFonts w:ascii="Aptos" w:hAnsi="Aptos" w:cs="Times New Roman"/>
        </w:rPr>
        <w:t xml:space="preserve"> </w:t>
      </w:r>
      <w:r w:rsidR="00AF6285" w:rsidRPr="00B51CC4">
        <w:rPr>
          <w:rFonts w:ascii="Aptos" w:hAnsi="Aptos" w:cs="Times New Roman"/>
        </w:rPr>
        <w:t xml:space="preserve">Similarly, only a small number of the Hospital’s patients are currently being admitted to Haverhill </w:t>
      </w:r>
      <w:r w:rsidR="007018C5" w:rsidRPr="00043971">
        <w:rPr>
          <w:rFonts w:ascii="Aptos" w:hAnsi="Aptos" w:cs="Times New Roman"/>
        </w:rPr>
        <w:t>c</w:t>
      </w:r>
      <w:r w:rsidR="00AF6285" w:rsidRPr="00043971">
        <w:rPr>
          <w:rFonts w:ascii="Aptos" w:hAnsi="Aptos" w:cs="Times New Roman"/>
        </w:rPr>
        <w:t>ampus (</w:t>
      </w:r>
      <w:r w:rsidR="007018C5" w:rsidRPr="00043971">
        <w:rPr>
          <w:rFonts w:ascii="Aptos" w:hAnsi="Aptos" w:cs="Times New Roman"/>
        </w:rPr>
        <w:t>14% of total capacity</w:t>
      </w:r>
      <w:r w:rsidR="00AF6285" w:rsidRPr="00043971">
        <w:rPr>
          <w:rFonts w:ascii="Aptos" w:hAnsi="Aptos" w:cs="Times New Roman"/>
        </w:rPr>
        <w:t xml:space="preserve">). </w:t>
      </w:r>
      <w:r w:rsidR="001F4A08" w:rsidRPr="00043971">
        <w:rPr>
          <w:rFonts w:ascii="Aptos" w:hAnsi="Aptos" w:cs="Times New Roman"/>
        </w:rPr>
        <w:t>As</w:t>
      </w:r>
      <w:r w:rsidR="001F4A08" w:rsidRPr="00B51CC4">
        <w:rPr>
          <w:rFonts w:ascii="Aptos" w:hAnsi="Aptos" w:cs="Times New Roman"/>
        </w:rPr>
        <w:t xml:space="preserve"> a result, the impact of the closure </w:t>
      </w:r>
      <w:r w:rsidR="00D60980" w:rsidRPr="00B51CC4">
        <w:rPr>
          <w:rFonts w:ascii="Aptos" w:hAnsi="Aptos" w:cs="Times New Roman"/>
        </w:rPr>
        <w:t>on</w:t>
      </w:r>
      <w:r w:rsidR="001F4A08" w:rsidRPr="00B51CC4">
        <w:rPr>
          <w:rFonts w:ascii="Aptos" w:hAnsi="Aptos" w:cs="Times New Roman"/>
        </w:rPr>
        <w:t xml:space="preserve"> the ability of alternative delivery sites to meet the needs of patients who would have historically been admitted to </w:t>
      </w:r>
      <w:r w:rsidR="00AF6285" w:rsidRPr="00B51CC4">
        <w:rPr>
          <w:rFonts w:ascii="Aptos" w:hAnsi="Aptos" w:cs="Times New Roman"/>
        </w:rPr>
        <w:t>Haverhill Campus</w:t>
      </w:r>
      <w:r w:rsidR="00D60980" w:rsidRPr="00B51CC4">
        <w:rPr>
          <w:rFonts w:ascii="Aptos" w:hAnsi="Aptos" w:cs="Times New Roman"/>
        </w:rPr>
        <w:t xml:space="preserve"> </w:t>
      </w:r>
      <w:r w:rsidR="001F4A08" w:rsidRPr="00B51CC4">
        <w:rPr>
          <w:rFonts w:ascii="Aptos" w:hAnsi="Aptos" w:cs="Times New Roman"/>
        </w:rPr>
        <w:t xml:space="preserve">will be insignificant. </w:t>
      </w:r>
    </w:p>
    <w:p w14:paraId="4D32C3C3" w14:textId="0EB159A5" w:rsidR="00816D81" w:rsidRPr="004025D7" w:rsidRDefault="00816D81" w:rsidP="004025D7">
      <w:pPr>
        <w:pStyle w:val="ListParagraph"/>
        <w:keepNext/>
        <w:numPr>
          <w:ilvl w:val="0"/>
          <w:numId w:val="7"/>
        </w:numPr>
        <w:spacing w:after="120"/>
        <w:contextualSpacing w:val="0"/>
        <w:jc w:val="both"/>
        <w:rPr>
          <w:rFonts w:ascii="Aptos" w:hAnsi="Aptos" w:cs="Times New Roman"/>
        </w:rPr>
      </w:pPr>
      <w:r w:rsidRPr="00B51CC4">
        <w:rPr>
          <w:rFonts w:ascii="Aptos" w:hAnsi="Aptos" w:cs="Times New Roman"/>
          <w:b/>
          <w:bCs/>
        </w:rPr>
        <w:lastRenderedPageBreak/>
        <w:t>Other alternatives if medical needs cannot be accommodated at the proposed alternative sites.</w:t>
      </w:r>
    </w:p>
    <w:p w14:paraId="2F8CDD18" w14:textId="1491D8F6" w:rsidR="00765109" w:rsidRDefault="00B51CC4" w:rsidP="004025D7">
      <w:pPr>
        <w:spacing w:after="120"/>
        <w:jc w:val="both"/>
        <w:rPr>
          <w:rFonts w:ascii="Aptos" w:hAnsi="Aptos" w:cs="Times New Roman"/>
        </w:rPr>
      </w:pPr>
      <w:r w:rsidRPr="00B51CC4">
        <w:rPr>
          <w:rFonts w:ascii="Aptos" w:hAnsi="Aptos" w:cs="Times New Roman"/>
        </w:rPr>
        <w:t xml:space="preserve">As with protocol today, patients who have a higher need for care than is available at Methuen </w:t>
      </w:r>
      <w:r w:rsidR="00C731F9">
        <w:rPr>
          <w:rFonts w:ascii="Aptos" w:hAnsi="Aptos" w:cs="Times New Roman"/>
        </w:rPr>
        <w:t>c</w:t>
      </w:r>
      <w:r w:rsidRPr="00B51CC4">
        <w:rPr>
          <w:rFonts w:ascii="Aptos" w:hAnsi="Aptos" w:cs="Times New Roman"/>
        </w:rPr>
        <w:t xml:space="preserve">ampus will be </w:t>
      </w:r>
      <w:r w:rsidR="00C731F9">
        <w:rPr>
          <w:rFonts w:ascii="Aptos" w:hAnsi="Aptos" w:cs="Times New Roman"/>
        </w:rPr>
        <w:t>transported</w:t>
      </w:r>
      <w:r w:rsidRPr="00B51CC4">
        <w:rPr>
          <w:rFonts w:ascii="Aptos" w:hAnsi="Aptos" w:cs="Times New Roman"/>
        </w:rPr>
        <w:t xml:space="preserve"> </w:t>
      </w:r>
      <w:r w:rsidR="00C731F9">
        <w:rPr>
          <w:rFonts w:ascii="Aptos" w:hAnsi="Aptos" w:cs="Times New Roman"/>
        </w:rPr>
        <w:t xml:space="preserve">by the appropriate level of ambulance service </w:t>
      </w:r>
      <w:r w:rsidRPr="00B51CC4">
        <w:rPr>
          <w:rFonts w:ascii="Aptos" w:hAnsi="Aptos" w:cs="Times New Roman"/>
        </w:rPr>
        <w:t xml:space="preserve">to </w:t>
      </w:r>
      <w:r w:rsidR="00C731F9">
        <w:rPr>
          <w:rFonts w:ascii="Aptos" w:hAnsi="Aptos" w:cs="Times New Roman"/>
        </w:rPr>
        <w:t>the appropriate care setting</w:t>
      </w:r>
      <w:r w:rsidR="004025D7">
        <w:rPr>
          <w:rFonts w:ascii="Aptos" w:hAnsi="Aptos" w:cs="Times New Roman"/>
        </w:rPr>
        <w:t xml:space="preserve"> as described in the response to 6(a)</w:t>
      </w:r>
      <w:r w:rsidRPr="00B51CC4">
        <w:rPr>
          <w:rFonts w:ascii="Aptos" w:hAnsi="Aptos" w:cs="Times New Roman"/>
        </w:rPr>
        <w:t xml:space="preserve">. </w:t>
      </w:r>
    </w:p>
    <w:p w14:paraId="4A0A9F9C" w14:textId="77777777" w:rsidR="00D51705" w:rsidRPr="00125521" w:rsidRDefault="00D51705" w:rsidP="00D51705">
      <w:pPr>
        <w:jc w:val="both"/>
        <w:rPr>
          <w:rFonts w:ascii="Aptos" w:hAnsi="Aptos" w:cs="Times New Roman"/>
        </w:rPr>
      </w:pPr>
    </w:p>
    <w:p w14:paraId="1D98F97E" w14:textId="77777777" w:rsidR="0001658A" w:rsidRPr="00125521" w:rsidRDefault="0001658A" w:rsidP="0001658A">
      <w:pPr>
        <w:jc w:val="both"/>
        <w:rPr>
          <w:rFonts w:ascii="Aptos" w:hAnsi="Aptos" w:cs="Times New Roman"/>
        </w:rPr>
      </w:pPr>
    </w:p>
    <w:p w14:paraId="10A80D06" w14:textId="434AF477" w:rsidR="0001658A" w:rsidRPr="00125521" w:rsidRDefault="0001658A" w:rsidP="0001658A">
      <w:pPr>
        <w:ind w:left="4320" w:firstLine="720"/>
        <w:jc w:val="both"/>
        <w:rPr>
          <w:rFonts w:ascii="Aptos" w:hAnsi="Aptos" w:cs="Times New Roman"/>
        </w:rPr>
      </w:pPr>
      <w:r w:rsidRPr="00125521">
        <w:rPr>
          <w:rFonts w:ascii="Aptos" w:hAnsi="Aptos" w:cs="Times New Roman"/>
        </w:rPr>
        <w:t xml:space="preserve">Sincerely, </w:t>
      </w:r>
    </w:p>
    <w:p w14:paraId="4F432714" w14:textId="03E6C4E2" w:rsidR="0001658A" w:rsidRPr="00125521" w:rsidRDefault="00546793" w:rsidP="0001658A">
      <w:pPr>
        <w:jc w:val="both"/>
        <w:rPr>
          <w:rFonts w:ascii="Aptos" w:hAnsi="Aptos" w:cs="Times New Roman"/>
        </w:rPr>
      </w:pPr>
      <w:r>
        <w:rPr>
          <w:noProof/>
        </w:rPr>
        <w:drawing>
          <wp:anchor distT="0" distB="0" distL="114300" distR="114300" simplePos="0" relativeHeight="251658240" behindDoc="1" locked="0" layoutInCell="1" allowOverlap="1" wp14:anchorId="10873418" wp14:editId="37120DBE">
            <wp:simplePos x="0" y="0"/>
            <wp:positionH relativeFrom="column">
              <wp:posOffset>3181350</wp:posOffset>
            </wp:positionH>
            <wp:positionV relativeFrom="paragraph">
              <wp:posOffset>40640</wp:posOffset>
            </wp:positionV>
            <wp:extent cx="1771650" cy="438150"/>
            <wp:effectExtent l="0" t="0" r="0" b="0"/>
            <wp:wrapNone/>
            <wp:docPr id="72295350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5350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58A" w:rsidRPr="00125521">
        <w:rPr>
          <w:rFonts w:ascii="Aptos" w:hAnsi="Aptos" w:cs="Times New Roman"/>
        </w:rPr>
        <w:tab/>
      </w:r>
      <w:r w:rsidR="0001658A" w:rsidRPr="00125521">
        <w:rPr>
          <w:rFonts w:ascii="Aptos" w:hAnsi="Aptos" w:cs="Times New Roman"/>
        </w:rPr>
        <w:tab/>
      </w:r>
      <w:r w:rsidR="0001658A" w:rsidRPr="00125521">
        <w:rPr>
          <w:rFonts w:ascii="Aptos" w:hAnsi="Aptos" w:cs="Times New Roman"/>
        </w:rPr>
        <w:tab/>
      </w:r>
      <w:r w:rsidR="0001658A" w:rsidRPr="00125521">
        <w:rPr>
          <w:rFonts w:ascii="Aptos" w:hAnsi="Aptos" w:cs="Times New Roman"/>
        </w:rPr>
        <w:tab/>
      </w:r>
      <w:r w:rsidR="0001658A" w:rsidRPr="00125521">
        <w:rPr>
          <w:rFonts w:ascii="Aptos" w:hAnsi="Aptos" w:cs="Times New Roman"/>
        </w:rPr>
        <w:tab/>
      </w:r>
      <w:r w:rsidR="0001658A" w:rsidRPr="00125521">
        <w:rPr>
          <w:rFonts w:ascii="Aptos" w:hAnsi="Aptos" w:cs="Times New Roman"/>
        </w:rPr>
        <w:tab/>
      </w:r>
      <w:r w:rsidR="0001658A" w:rsidRPr="00125521">
        <w:rPr>
          <w:rFonts w:ascii="Aptos" w:hAnsi="Aptos" w:cs="Times New Roman"/>
        </w:rPr>
        <w:tab/>
      </w:r>
    </w:p>
    <w:p w14:paraId="5E3F065A" w14:textId="0EF263AE" w:rsidR="0001658A" w:rsidRPr="00125521" w:rsidRDefault="0001658A" w:rsidP="0001658A">
      <w:pPr>
        <w:jc w:val="both"/>
        <w:rPr>
          <w:rFonts w:ascii="Aptos" w:hAnsi="Aptos" w:cs="Times New Roman"/>
        </w:rPr>
      </w:pPr>
      <w:r w:rsidRPr="00125521">
        <w:rPr>
          <w:rFonts w:ascii="Aptos" w:hAnsi="Aptos" w:cs="Times New Roman"/>
        </w:rPr>
        <w:tab/>
      </w:r>
      <w:r w:rsidRPr="00125521">
        <w:rPr>
          <w:rFonts w:ascii="Aptos" w:hAnsi="Aptos" w:cs="Times New Roman"/>
        </w:rPr>
        <w:tab/>
      </w:r>
      <w:r w:rsidRPr="00125521">
        <w:rPr>
          <w:rFonts w:ascii="Aptos" w:hAnsi="Aptos" w:cs="Times New Roman"/>
        </w:rPr>
        <w:tab/>
      </w:r>
      <w:r w:rsidRPr="00125521">
        <w:rPr>
          <w:rFonts w:ascii="Aptos" w:hAnsi="Aptos" w:cs="Times New Roman"/>
        </w:rPr>
        <w:tab/>
      </w:r>
      <w:r w:rsidRPr="00125521">
        <w:rPr>
          <w:rFonts w:ascii="Aptos" w:hAnsi="Aptos" w:cs="Times New Roman"/>
        </w:rPr>
        <w:tab/>
      </w:r>
      <w:r w:rsidRPr="00125521">
        <w:rPr>
          <w:rFonts w:ascii="Aptos" w:hAnsi="Aptos" w:cs="Times New Roman"/>
        </w:rPr>
        <w:tab/>
      </w:r>
      <w:r w:rsidRPr="00125521">
        <w:rPr>
          <w:rFonts w:ascii="Aptos" w:hAnsi="Aptos" w:cs="Times New Roman"/>
        </w:rPr>
        <w:tab/>
      </w:r>
    </w:p>
    <w:p w14:paraId="3DA7EEA1" w14:textId="77777777" w:rsidR="00B310B9" w:rsidRPr="00125521" w:rsidRDefault="00B310B9" w:rsidP="0001658A">
      <w:pPr>
        <w:jc w:val="both"/>
        <w:rPr>
          <w:rFonts w:ascii="Aptos" w:hAnsi="Aptos" w:cs="Times New Roman"/>
        </w:rPr>
      </w:pPr>
    </w:p>
    <w:p w14:paraId="32E38D9A" w14:textId="77777777" w:rsidR="0001658A" w:rsidRPr="00125521" w:rsidRDefault="0001658A" w:rsidP="0001658A">
      <w:pPr>
        <w:ind w:left="4320" w:firstLine="720"/>
        <w:jc w:val="both"/>
        <w:rPr>
          <w:rFonts w:ascii="Aptos" w:hAnsi="Aptos" w:cs="Times New Roman"/>
        </w:rPr>
      </w:pPr>
      <w:r w:rsidRPr="00125521">
        <w:rPr>
          <w:rFonts w:ascii="Aptos" w:hAnsi="Aptos" w:cs="Times New Roman"/>
        </w:rPr>
        <w:t>Crystal Bloom</w:t>
      </w:r>
    </w:p>
    <w:p w14:paraId="25C8C363" w14:textId="683B3301" w:rsidR="00D60980" w:rsidRPr="00125521" w:rsidRDefault="0001658A" w:rsidP="00B310B9">
      <w:pPr>
        <w:jc w:val="both"/>
        <w:rPr>
          <w:rFonts w:ascii="Aptos" w:hAnsi="Aptos" w:cs="Times New Roman"/>
        </w:rPr>
      </w:pPr>
      <w:r w:rsidRPr="00125521">
        <w:rPr>
          <w:rFonts w:ascii="Aptos" w:hAnsi="Aptos" w:cs="Times New Roman"/>
        </w:rPr>
        <w:t>cc:</w:t>
      </w:r>
      <w:r w:rsidRPr="00125521">
        <w:rPr>
          <w:rFonts w:ascii="Aptos" w:hAnsi="Aptos" w:cs="Times New Roman"/>
        </w:rPr>
        <w:tab/>
      </w:r>
      <w:r w:rsidR="00B310B9" w:rsidRPr="00125521">
        <w:rPr>
          <w:rFonts w:ascii="Aptos" w:hAnsi="Aptos" w:cs="Times New Roman"/>
        </w:rPr>
        <w:t>T. Smith</w:t>
      </w:r>
      <w:r w:rsidR="00D60980" w:rsidRPr="00125521">
        <w:rPr>
          <w:rFonts w:ascii="Aptos" w:hAnsi="Aptos" w:cs="Times New Roman"/>
        </w:rPr>
        <w:t>, DPH</w:t>
      </w:r>
    </w:p>
    <w:p w14:paraId="21FC8635" w14:textId="77777777" w:rsidR="00156566" w:rsidRPr="00125521" w:rsidRDefault="00156566" w:rsidP="00D60980">
      <w:pPr>
        <w:ind w:firstLine="720"/>
        <w:jc w:val="both"/>
        <w:rPr>
          <w:rFonts w:ascii="Aptos" w:hAnsi="Aptos" w:cs="Times New Roman"/>
        </w:rPr>
      </w:pPr>
      <w:r w:rsidRPr="00125521">
        <w:rPr>
          <w:rFonts w:ascii="Aptos" w:hAnsi="Aptos" w:cs="Times New Roman"/>
        </w:rPr>
        <w:t>W. Mackie, DPH</w:t>
      </w:r>
    </w:p>
    <w:p w14:paraId="6FB55F8A" w14:textId="63BA6C42" w:rsidR="00D60980" w:rsidRPr="00125521" w:rsidRDefault="00B310B9" w:rsidP="00D60980">
      <w:pPr>
        <w:ind w:firstLine="720"/>
        <w:jc w:val="both"/>
        <w:rPr>
          <w:rFonts w:ascii="Aptos" w:hAnsi="Aptos" w:cs="Times New Roman"/>
        </w:rPr>
      </w:pPr>
      <w:r w:rsidRPr="00125521">
        <w:rPr>
          <w:rFonts w:ascii="Aptos" w:hAnsi="Aptos" w:cs="Times New Roman"/>
        </w:rPr>
        <w:t>J. Gagne</w:t>
      </w:r>
      <w:r w:rsidR="00D60980" w:rsidRPr="00125521">
        <w:rPr>
          <w:rFonts w:ascii="Aptos" w:hAnsi="Aptos" w:cs="Times New Roman"/>
        </w:rPr>
        <w:t>, DPH</w:t>
      </w:r>
    </w:p>
    <w:p w14:paraId="06D43F04" w14:textId="77777777" w:rsidR="00B310B9" w:rsidRPr="00125521" w:rsidRDefault="00B310B9" w:rsidP="00B310B9">
      <w:pPr>
        <w:ind w:left="720"/>
        <w:jc w:val="both"/>
        <w:rPr>
          <w:rFonts w:ascii="Aptos" w:hAnsi="Aptos" w:cs="Times New Roman"/>
        </w:rPr>
      </w:pPr>
      <w:r w:rsidRPr="00125521">
        <w:rPr>
          <w:rFonts w:ascii="Aptos" w:hAnsi="Aptos" w:cs="Times New Roman"/>
        </w:rPr>
        <w:t>J. Bernice, DPH</w:t>
      </w:r>
    </w:p>
    <w:p w14:paraId="1C1F2B7E" w14:textId="617E7E92" w:rsidR="00D60980" w:rsidRDefault="00B310B9" w:rsidP="00D60980">
      <w:pPr>
        <w:ind w:firstLine="720"/>
        <w:jc w:val="both"/>
        <w:rPr>
          <w:rFonts w:ascii="Aptos" w:hAnsi="Aptos" w:cs="Times New Roman"/>
        </w:rPr>
      </w:pPr>
      <w:r w:rsidRPr="00125521">
        <w:rPr>
          <w:rFonts w:ascii="Aptos" w:hAnsi="Aptos" w:cs="Times New Roman"/>
        </w:rPr>
        <w:t>S. Carlson</w:t>
      </w:r>
      <w:r w:rsidR="00D60980" w:rsidRPr="00125521">
        <w:rPr>
          <w:rFonts w:ascii="Aptos" w:hAnsi="Aptos" w:cs="Times New Roman"/>
        </w:rPr>
        <w:t>, DPH</w:t>
      </w:r>
    </w:p>
    <w:p w14:paraId="578302B6" w14:textId="5F57BB50" w:rsidR="00FE5C8E" w:rsidRPr="00125521" w:rsidRDefault="00FE5C8E" w:rsidP="00D60980">
      <w:pPr>
        <w:ind w:firstLine="720"/>
        <w:jc w:val="both"/>
        <w:rPr>
          <w:rFonts w:ascii="Aptos" w:hAnsi="Aptos" w:cs="Times New Roman"/>
        </w:rPr>
      </w:pPr>
      <w:r>
        <w:rPr>
          <w:rFonts w:ascii="Aptos" w:hAnsi="Aptos" w:cs="Times New Roman"/>
        </w:rPr>
        <w:t>K. Fillo, DPH</w:t>
      </w:r>
    </w:p>
    <w:p w14:paraId="603C5C5A" w14:textId="568C77DA" w:rsidR="002F5D5B" w:rsidRDefault="002F5D5B" w:rsidP="0001658A">
      <w:pPr>
        <w:ind w:firstLine="720"/>
        <w:jc w:val="both"/>
        <w:rPr>
          <w:rFonts w:ascii="Times New Roman" w:hAnsi="Times New Roman" w:cs="Times New Roman"/>
          <w:sz w:val="24"/>
          <w:szCs w:val="24"/>
        </w:rPr>
      </w:pPr>
    </w:p>
    <w:sectPr w:rsidR="002F5D5B" w:rsidSect="000165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0267" w14:textId="77777777" w:rsidR="00DC439A" w:rsidRDefault="00DC439A" w:rsidP="0001658A">
      <w:r>
        <w:separator/>
      </w:r>
    </w:p>
  </w:endnote>
  <w:endnote w:type="continuationSeparator" w:id="0">
    <w:p w14:paraId="11ED9F13" w14:textId="77777777" w:rsidR="00DC439A" w:rsidRDefault="00DC439A" w:rsidP="000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4BE2" w14:textId="77777777" w:rsidR="00B10B8F" w:rsidRDefault="00B1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4C66" w14:textId="77777777" w:rsidR="00B10B8F" w:rsidRDefault="00B10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0DCC" w14:textId="77777777" w:rsidR="00B10B8F" w:rsidRDefault="00B10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3A71" w14:textId="77777777" w:rsidR="00DC439A" w:rsidRDefault="00DC439A" w:rsidP="0001658A">
      <w:r>
        <w:separator/>
      </w:r>
    </w:p>
  </w:footnote>
  <w:footnote w:type="continuationSeparator" w:id="0">
    <w:p w14:paraId="52F5ACE4" w14:textId="77777777" w:rsidR="00DC439A" w:rsidRDefault="00DC439A" w:rsidP="0001658A">
      <w:r>
        <w:continuationSeparator/>
      </w:r>
    </w:p>
  </w:footnote>
  <w:footnote w:id="1">
    <w:p w14:paraId="188F7CBC" w14:textId="39388B98" w:rsidR="00162EF9" w:rsidRPr="00B51CC4" w:rsidRDefault="00162EF9" w:rsidP="00162EF9">
      <w:pPr>
        <w:pStyle w:val="FootnoteText"/>
        <w:rPr>
          <w:rFonts w:ascii="Aptos" w:hAnsi="Aptos"/>
        </w:rPr>
      </w:pPr>
      <w:r w:rsidRPr="00B51CC4">
        <w:rPr>
          <w:rStyle w:val="FootnoteReference"/>
          <w:rFonts w:ascii="Aptos" w:hAnsi="Aptos"/>
          <w:sz w:val="18"/>
          <w:szCs w:val="18"/>
        </w:rPr>
        <w:footnoteRef/>
      </w:r>
      <w:r w:rsidRPr="00B51CC4">
        <w:rPr>
          <w:rFonts w:ascii="Aptos" w:hAnsi="Aptos"/>
          <w:sz w:val="18"/>
          <w:szCs w:val="18"/>
        </w:rPr>
        <w:t xml:space="preserve"> </w:t>
      </w:r>
      <w:r w:rsidRPr="00B51CC4">
        <w:rPr>
          <w:rFonts w:ascii="Aptos" w:hAnsi="Aptos" w:cs="Times New Roman"/>
          <w:sz w:val="18"/>
          <w:szCs w:val="18"/>
        </w:rPr>
        <w:t>Source: Google Maps, Estimated Drive Time</w:t>
      </w:r>
      <w:r w:rsidR="00380DEF" w:rsidRPr="00B51CC4">
        <w:rPr>
          <w:rFonts w:ascii="Aptos" w:hAnsi="Aptos" w:cs="Times New Roman"/>
          <w:sz w:val="18"/>
          <w:szCs w:val="18"/>
        </w:rPr>
        <w:t xml:space="preserve">. </w:t>
      </w:r>
    </w:p>
  </w:footnote>
  <w:footnote w:id="2">
    <w:p w14:paraId="0E298011" w14:textId="77777777" w:rsidR="00B0644D" w:rsidRPr="00B0644D" w:rsidRDefault="00B0644D" w:rsidP="00B0644D">
      <w:pPr>
        <w:pStyle w:val="FootnoteText"/>
        <w:rPr>
          <w:rFonts w:ascii="Aptos" w:hAnsi="Aptos"/>
          <w:sz w:val="18"/>
          <w:szCs w:val="18"/>
        </w:rPr>
      </w:pPr>
      <w:r w:rsidRPr="00B0644D">
        <w:rPr>
          <w:rStyle w:val="FootnoteReference"/>
          <w:rFonts w:ascii="Aptos" w:hAnsi="Aptos"/>
          <w:sz w:val="18"/>
          <w:szCs w:val="18"/>
        </w:rPr>
        <w:footnoteRef/>
      </w:r>
      <w:r w:rsidRPr="00B0644D">
        <w:rPr>
          <w:rFonts w:ascii="Aptos" w:hAnsi="Aptos"/>
          <w:sz w:val="18"/>
          <w:szCs w:val="18"/>
        </w:rPr>
        <w:t xml:space="preserve"> The Haverhill SEF will arrange for ambulance transport using the following patient acuity levels: </w:t>
      </w:r>
    </w:p>
    <w:p w14:paraId="4E0C5B41" w14:textId="2752E7C3" w:rsidR="00B0644D" w:rsidRPr="00B0644D" w:rsidRDefault="00B0644D" w:rsidP="00B0644D">
      <w:pPr>
        <w:pStyle w:val="FootnoteText"/>
        <w:numPr>
          <w:ilvl w:val="0"/>
          <w:numId w:val="18"/>
        </w:numPr>
        <w:ind w:left="630" w:hanging="180"/>
        <w:rPr>
          <w:rFonts w:ascii="Aptos" w:hAnsi="Aptos"/>
          <w:sz w:val="18"/>
          <w:szCs w:val="18"/>
        </w:rPr>
      </w:pPr>
      <w:r w:rsidRPr="00B0644D">
        <w:rPr>
          <w:rFonts w:ascii="Aptos" w:hAnsi="Aptos"/>
          <w:b/>
          <w:bCs/>
          <w:sz w:val="18"/>
          <w:szCs w:val="18"/>
        </w:rPr>
        <w:t>Immediate</w:t>
      </w:r>
      <w:r w:rsidRPr="00B0644D">
        <w:rPr>
          <w:rFonts w:ascii="Aptos" w:hAnsi="Aptos"/>
          <w:sz w:val="18"/>
          <w:szCs w:val="18"/>
        </w:rPr>
        <w:t xml:space="preserve">: </w:t>
      </w:r>
      <w:r>
        <w:rPr>
          <w:rFonts w:ascii="Aptos" w:hAnsi="Aptos"/>
          <w:sz w:val="18"/>
          <w:szCs w:val="18"/>
        </w:rPr>
        <w:t>T</w:t>
      </w:r>
      <w:r w:rsidRPr="00B0644D">
        <w:rPr>
          <w:rFonts w:ascii="Aptos" w:hAnsi="Aptos"/>
          <w:sz w:val="18"/>
          <w:szCs w:val="18"/>
        </w:rPr>
        <w:t>ime sensitive illness or injury requiring immediate treatment</w:t>
      </w:r>
      <w:r>
        <w:rPr>
          <w:rFonts w:ascii="Aptos" w:hAnsi="Aptos"/>
          <w:sz w:val="18"/>
          <w:szCs w:val="18"/>
        </w:rPr>
        <w:t>/</w:t>
      </w:r>
      <w:r w:rsidRPr="00B0644D">
        <w:rPr>
          <w:rFonts w:ascii="Aptos" w:hAnsi="Aptos"/>
          <w:sz w:val="18"/>
          <w:szCs w:val="18"/>
        </w:rPr>
        <w:t xml:space="preserve">care not available at the </w:t>
      </w:r>
      <w:r>
        <w:rPr>
          <w:rFonts w:ascii="Aptos" w:hAnsi="Aptos"/>
          <w:sz w:val="18"/>
          <w:szCs w:val="18"/>
        </w:rPr>
        <w:t xml:space="preserve">Haverhill </w:t>
      </w:r>
      <w:r w:rsidRPr="00B0644D">
        <w:rPr>
          <w:rFonts w:ascii="Aptos" w:hAnsi="Aptos"/>
          <w:sz w:val="18"/>
          <w:szCs w:val="18"/>
        </w:rPr>
        <w:t>SEF</w:t>
      </w:r>
      <w:r>
        <w:rPr>
          <w:rFonts w:ascii="Aptos" w:hAnsi="Aptos"/>
          <w:sz w:val="18"/>
          <w:szCs w:val="18"/>
        </w:rPr>
        <w:t xml:space="preserve">. </w:t>
      </w:r>
      <w:r w:rsidRPr="00B0644D">
        <w:rPr>
          <w:rFonts w:ascii="Aptos" w:hAnsi="Aptos"/>
          <w:sz w:val="18"/>
          <w:szCs w:val="18"/>
        </w:rPr>
        <w:t xml:space="preserve"> </w:t>
      </w:r>
    </w:p>
    <w:p w14:paraId="29B10170" w14:textId="58876F3E" w:rsidR="00B0644D" w:rsidRPr="00B0644D" w:rsidRDefault="00B0644D" w:rsidP="00B0644D">
      <w:pPr>
        <w:pStyle w:val="FootnoteText"/>
        <w:numPr>
          <w:ilvl w:val="0"/>
          <w:numId w:val="18"/>
        </w:numPr>
        <w:ind w:left="630" w:hanging="180"/>
        <w:rPr>
          <w:rFonts w:ascii="Aptos" w:hAnsi="Aptos"/>
          <w:sz w:val="18"/>
          <w:szCs w:val="18"/>
        </w:rPr>
      </w:pPr>
      <w:r w:rsidRPr="00B0644D">
        <w:rPr>
          <w:rFonts w:ascii="Aptos" w:hAnsi="Aptos"/>
          <w:b/>
          <w:bCs/>
          <w:sz w:val="18"/>
          <w:szCs w:val="18"/>
        </w:rPr>
        <w:t>Standard:</w:t>
      </w:r>
      <w:r w:rsidRPr="00B0644D">
        <w:rPr>
          <w:rFonts w:ascii="Aptos" w:hAnsi="Aptos"/>
          <w:sz w:val="18"/>
          <w:szCs w:val="18"/>
        </w:rPr>
        <w:t xml:space="preserve"> </w:t>
      </w:r>
      <w:r>
        <w:rPr>
          <w:rFonts w:ascii="Aptos" w:hAnsi="Aptos"/>
          <w:sz w:val="18"/>
          <w:szCs w:val="18"/>
        </w:rPr>
        <w:t>S</w:t>
      </w:r>
      <w:r w:rsidRPr="00B0644D">
        <w:rPr>
          <w:rFonts w:ascii="Aptos" w:hAnsi="Aptos"/>
          <w:sz w:val="18"/>
          <w:szCs w:val="18"/>
        </w:rPr>
        <w:t xml:space="preserve">table but requires additional treatment and care not available at the </w:t>
      </w:r>
      <w:r>
        <w:rPr>
          <w:rFonts w:ascii="Aptos" w:hAnsi="Aptos"/>
          <w:sz w:val="18"/>
          <w:szCs w:val="18"/>
        </w:rPr>
        <w:t xml:space="preserve">Haverhill </w:t>
      </w:r>
      <w:r w:rsidRPr="00B0644D">
        <w:rPr>
          <w:rFonts w:ascii="Aptos" w:hAnsi="Aptos"/>
          <w:sz w:val="18"/>
          <w:szCs w:val="18"/>
        </w:rPr>
        <w:t>SEF</w:t>
      </w:r>
      <w:r>
        <w:rPr>
          <w:rFonts w:ascii="Aptos" w:hAnsi="Aptos"/>
          <w:sz w:val="18"/>
          <w:szCs w:val="18"/>
        </w:rPr>
        <w:t xml:space="preserve">. </w:t>
      </w:r>
    </w:p>
    <w:p w14:paraId="30F1B9B6" w14:textId="516DE8C3" w:rsidR="00B0644D" w:rsidRPr="00B0644D" w:rsidRDefault="00B0644D" w:rsidP="00B0644D">
      <w:pPr>
        <w:pStyle w:val="FootnoteText"/>
        <w:numPr>
          <w:ilvl w:val="0"/>
          <w:numId w:val="18"/>
        </w:numPr>
        <w:ind w:left="630" w:hanging="180"/>
        <w:rPr>
          <w:rFonts w:ascii="Aptos" w:hAnsi="Aptos"/>
          <w:sz w:val="18"/>
          <w:szCs w:val="18"/>
        </w:rPr>
      </w:pPr>
      <w:r w:rsidRPr="00B0644D">
        <w:rPr>
          <w:rFonts w:ascii="Aptos" w:hAnsi="Aptos"/>
          <w:b/>
          <w:bCs/>
          <w:sz w:val="18"/>
          <w:szCs w:val="18"/>
        </w:rPr>
        <w:t>Scheduled</w:t>
      </w:r>
      <w:r w:rsidRPr="00B0644D">
        <w:rPr>
          <w:rFonts w:ascii="Aptos" w:hAnsi="Aptos"/>
          <w:sz w:val="18"/>
          <w:szCs w:val="18"/>
        </w:rPr>
        <w:t>: Non</w:t>
      </w:r>
      <w:r w:rsidR="00D528BC">
        <w:rPr>
          <w:rFonts w:ascii="Aptos" w:hAnsi="Aptos"/>
          <w:sz w:val="18"/>
          <w:szCs w:val="18"/>
        </w:rPr>
        <w:t>-</w:t>
      </w:r>
      <w:r w:rsidRPr="00B0644D">
        <w:rPr>
          <w:rFonts w:ascii="Aptos" w:hAnsi="Aptos"/>
          <w:sz w:val="18"/>
          <w:szCs w:val="18"/>
        </w:rPr>
        <w:t xml:space="preserve">emergent ambulance transport i.e. back to </w:t>
      </w:r>
      <w:r>
        <w:rPr>
          <w:rFonts w:ascii="Aptos" w:hAnsi="Aptos"/>
          <w:sz w:val="18"/>
          <w:szCs w:val="18"/>
        </w:rPr>
        <w:t xml:space="preserve">skilled nursing facility. </w:t>
      </w:r>
      <w:r w:rsidRPr="00B0644D">
        <w:rPr>
          <w:rFonts w:ascii="Aptos" w:hAnsi="Aptos"/>
          <w:sz w:val="18"/>
          <w:szCs w:val="18"/>
        </w:rPr>
        <w:t xml:space="preserve"> </w:t>
      </w:r>
    </w:p>
    <w:p w14:paraId="177BB555" w14:textId="446E5615" w:rsidR="00B0644D" w:rsidRDefault="00B064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AF50" w14:textId="77777777" w:rsidR="00B10B8F" w:rsidRDefault="00B1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72B3" w14:textId="222CA66D" w:rsidR="009434AC" w:rsidRDefault="004A1D92" w:rsidP="0001658A">
    <w:pPr>
      <w:rPr>
        <w:rFonts w:ascii="Times New Roman" w:hAnsi="Times New Roman" w:cs="Times New Roman"/>
        <w:sz w:val="24"/>
        <w:szCs w:val="24"/>
      </w:rPr>
    </w:pPr>
    <w:r>
      <w:rPr>
        <w:noProof/>
      </w:rPr>
      <w:drawing>
        <wp:anchor distT="0" distB="0" distL="114300" distR="114300" simplePos="0" relativeHeight="251663360" behindDoc="0" locked="1" layoutInCell="1" allowOverlap="1" wp14:anchorId="25F974AC" wp14:editId="6FC4BC1D">
          <wp:simplePos x="0" y="0"/>
          <wp:positionH relativeFrom="page">
            <wp:posOffset>2438400</wp:posOffset>
          </wp:positionH>
          <wp:positionV relativeFrom="page">
            <wp:posOffset>447675</wp:posOffset>
          </wp:positionV>
          <wp:extent cx="2633345" cy="164465"/>
          <wp:effectExtent l="0" t="0" r="0" b="6985"/>
          <wp:wrapNone/>
          <wp:docPr id="213523899"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0AC94" w14:textId="77777777" w:rsidR="009434AC" w:rsidRDefault="009434AC" w:rsidP="0001658A">
    <w:pPr>
      <w:rPr>
        <w:rFonts w:ascii="Times New Roman" w:hAnsi="Times New Roman" w:cs="Times New Roman"/>
        <w:sz w:val="24"/>
        <w:szCs w:val="24"/>
      </w:rPr>
    </w:pPr>
  </w:p>
  <w:p w14:paraId="31F47670" w14:textId="43E8387D"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Stephen Davis, Director</w:t>
    </w:r>
  </w:p>
  <w:p w14:paraId="0A7087E0"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Division of Health Care Facility Licensure and Certification</w:t>
    </w:r>
  </w:p>
  <w:p w14:paraId="1A19400B"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Massachusetts Department of Public Health</w:t>
    </w:r>
  </w:p>
  <w:p w14:paraId="1915E75B" w14:textId="33C622A4" w:rsidR="004A1D92" w:rsidRDefault="004A1D92" w:rsidP="0001658A">
    <w:pPr>
      <w:pStyle w:val="Header"/>
      <w:rPr>
        <w:rFonts w:ascii="Times New Roman" w:hAnsi="Times New Roman" w:cs="Times New Roman"/>
        <w:sz w:val="24"/>
        <w:szCs w:val="24"/>
      </w:rPr>
    </w:pPr>
    <w:r>
      <w:rPr>
        <w:rFonts w:ascii="Times New Roman" w:hAnsi="Times New Roman" w:cs="Times New Roman"/>
        <w:sz w:val="24"/>
        <w:szCs w:val="24"/>
      </w:rPr>
      <w:t>August 22, 2025</w:t>
    </w:r>
  </w:p>
  <w:p w14:paraId="7544EA1B" w14:textId="2D9DC832" w:rsidR="0001658A" w:rsidRPr="00DC5D49" w:rsidRDefault="0001658A" w:rsidP="0001658A">
    <w:pPr>
      <w:pStyle w:val="Header"/>
      <w:rPr>
        <w:rFonts w:ascii="Times New Roman" w:hAnsi="Times New Roman" w:cs="Times New Roman"/>
        <w:sz w:val="24"/>
        <w:szCs w:val="24"/>
      </w:rPr>
    </w:pPr>
    <w:r w:rsidRPr="00DC5D49">
      <w:rPr>
        <w:rFonts w:ascii="Times New Roman" w:hAnsi="Times New Roman" w:cs="Times New Roman"/>
        <w:sz w:val="24"/>
        <w:szCs w:val="24"/>
      </w:rPr>
      <w:t xml:space="preserve">Page </w:t>
    </w:r>
    <w:sdt>
      <w:sdtPr>
        <w:rPr>
          <w:rFonts w:ascii="Times New Roman" w:hAnsi="Times New Roman" w:cs="Times New Roman"/>
          <w:sz w:val="24"/>
          <w:szCs w:val="24"/>
        </w:rPr>
        <w:id w:val="259877093"/>
        <w:docPartObj>
          <w:docPartGallery w:val="Page Numbers (Top of Page)"/>
          <w:docPartUnique/>
        </w:docPartObj>
      </w:sdtPr>
      <w:sdtEndPr>
        <w:rPr>
          <w:noProof/>
        </w:rPr>
      </w:sdtEndPr>
      <w:sdtContent>
        <w:r w:rsidRPr="00DC5D49">
          <w:rPr>
            <w:rFonts w:ascii="Times New Roman" w:hAnsi="Times New Roman" w:cs="Times New Roman"/>
            <w:sz w:val="24"/>
            <w:szCs w:val="24"/>
          </w:rPr>
          <w:fldChar w:fldCharType="begin"/>
        </w:r>
        <w:r w:rsidRPr="00DC5D49">
          <w:rPr>
            <w:rFonts w:ascii="Times New Roman" w:hAnsi="Times New Roman" w:cs="Times New Roman"/>
            <w:sz w:val="24"/>
            <w:szCs w:val="24"/>
          </w:rPr>
          <w:instrText xml:space="preserve"> PAGE   \* MERGEFORMAT </w:instrText>
        </w:r>
        <w:r w:rsidRPr="00DC5D49">
          <w:rPr>
            <w:rFonts w:ascii="Times New Roman" w:hAnsi="Times New Roman" w:cs="Times New Roman"/>
            <w:sz w:val="24"/>
            <w:szCs w:val="24"/>
          </w:rPr>
          <w:fldChar w:fldCharType="separate"/>
        </w:r>
        <w:r>
          <w:rPr>
            <w:rFonts w:ascii="Times New Roman" w:hAnsi="Times New Roman" w:cs="Times New Roman"/>
            <w:sz w:val="24"/>
            <w:szCs w:val="24"/>
          </w:rPr>
          <w:t>5</w:t>
        </w:r>
        <w:r w:rsidRPr="00DC5D49">
          <w:rPr>
            <w:rFonts w:ascii="Times New Roman" w:hAnsi="Times New Roman" w:cs="Times New Roman"/>
            <w:noProof/>
            <w:sz w:val="24"/>
            <w:szCs w:val="24"/>
          </w:rPr>
          <w:fldChar w:fldCharType="end"/>
        </w:r>
      </w:sdtContent>
    </w:sdt>
  </w:p>
  <w:p w14:paraId="6FD60012" w14:textId="77777777" w:rsidR="0001658A" w:rsidRDefault="0001658A">
    <w:pPr>
      <w:pStyle w:val="Header"/>
    </w:pPr>
  </w:p>
  <w:p w14:paraId="12EC1732" w14:textId="77777777" w:rsidR="004A1D92" w:rsidRDefault="004A1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FA2A" w14:textId="77777777" w:rsidR="00D04E13" w:rsidRDefault="00D04E13" w:rsidP="0001658A">
    <w:pPr>
      <w:pStyle w:val="AuthorInfo"/>
      <w:rPr>
        <w:sz w:val="22"/>
        <w:szCs w:val="22"/>
      </w:rPr>
    </w:pPr>
  </w:p>
  <w:p w14:paraId="6D7D9732" w14:textId="7D346E0B" w:rsidR="0001658A" w:rsidRDefault="00F671EF">
    <w:pPr>
      <w:pStyle w:val="Header"/>
    </w:pPr>
    <w:r>
      <w:rPr>
        <w:noProof/>
      </w:rPr>
      <mc:AlternateContent>
        <mc:Choice Requires="wps">
          <w:drawing>
            <wp:anchor distT="0" distB="0" distL="114300" distR="114300" simplePos="0" relativeHeight="251661312" behindDoc="0" locked="0" layoutInCell="1" allowOverlap="1" wp14:anchorId="5F6E9168" wp14:editId="2FCD34E6">
              <wp:simplePos x="0" y="0"/>
              <wp:positionH relativeFrom="page">
                <wp:posOffset>914400</wp:posOffset>
              </wp:positionH>
              <wp:positionV relativeFrom="page">
                <wp:posOffset>914400</wp:posOffset>
              </wp:positionV>
              <wp:extent cx="5943600" cy="310896"/>
              <wp:effectExtent l="0" t="0" r="0" b="17145"/>
              <wp:wrapTopAndBottom/>
              <wp:docPr id="168542724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8322F" w14:textId="77777777" w:rsidR="00F671EF" w:rsidRDefault="00F671EF" w:rsidP="00F671EF">
                          <w:pPr>
                            <w:pStyle w:val="AuthorName"/>
                            <w:rPr>
                              <w:noProof/>
                            </w:rPr>
                          </w:pPr>
                          <w:r>
                            <w:rPr>
                              <w:noProof/>
                            </w:rPr>
                            <w:t>Crystal M. Bloom</w:t>
                          </w:r>
                        </w:p>
                        <w:p w14:paraId="1BA9EA6D" w14:textId="77777777" w:rsidR="00F671EF" w:rsidRDefault="00F671EF" w:rsidP="00F671EF">
                          <w:pPr>
                            <w:pStyle w:val="AuthorInfo"/>
                          </w:pPr>
                          <w:r>
                            <w:t>Partner</w:t>
                          </w:r>
                        </w:p>
                        <w:p w14:paraId="609317A9" w14:textId="77777777" w:rsidR="00F671EF" w:rsidRDefault="00F671EF" w:rsidP="00F671EF">
                          <w:pPr>
                            <w:pStyle w:val="AuthorInfo"/>
                          </w:pPr>
                        </w:p>
                        <w:p w14:paraId="05FF93DA" w14:textId="77777777" w:rsidR="00F671EF" w:rsidRDefault="00F671EF" w:rsidP="00F671EF">
                          <w:pPr>
                            <w:pStyle w:val="AuthorInfo"/>
                          </w:pPr>
                          <w:r>
                            <w:t>One Congress Street, Suite 3102</w:t>
                          </w:r>
                        </w:p>
                        <w:p w14:paraId="38D7C36D" w14:textId="77777777" w:rsidR="00F671EF" w:rsidRDefault="00F671EF" w:rsidP="00F671EF">
                          <w:pPr>
                            <w:pStyle w:val="AuthorInfo"/>
                          </w:pPr>
                          <w:r>
                            <w:t>Boston, MA 02114</w:t>
                          </w:r>
                        </w:p>
                        <w:p w14:paraId="4870ED09" w14:textId="77777777" w:rsidR="00F671EF" w:rsidRDefault="00F671EF" w:rsidP="00F671EF">
                          <w:pPr>
                            <w:pStyle w:val="AuthorInfo"/>
                          </w:pPr>
                          <w:r>
                            <w:t>Direct: 617.598.6783</w:t>
                          </w:r>
                        </w:p>
                        <w:p w14:paraId="2F425434" w14:textId="77777777" w:rsidR="00F671EF" w:rsidRDefault="00F671EF" w:rsidP="00F671EF">
                          <w:pPr>
                            <w:pStyle w:val="AuthorInfo"/>
                          </w:pPr>
                          <w:r>
                            <w:t>Fax: 617.598.6790</w:t>
                          </w:r>
                        </w:p>
                        <w:p w14:paraId="1EA511E1" w14:textId="77777777" w:rsidR="00F671EF" w:rsidRDefault="00F671EF" w:rsidP="00F671EF">
                          <w:pPr>
                            <w:pStyle w:val="AuthorInfo"/>
                          </w:pPr>
                          <w:r>
                            <w:t>crystal.bloom@huschblackwell.com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5F6E9168">
              <v:stroke joinstyle="miter"/>
              <v:path gradientshapeok="t" o:connecttype="rect"/>
            </v:shapetype>
            <v:shape id="AuthorData" style="position:absolute;margin-left:1in;margin-top:1in;width:468pt;height: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">
              <v:textbox style="mso-fit-shape-to-text:t" inset="0,0,0,0">
                <w:txbxContent>
                  <w:p w:rsidR="00F671EF" w:rsidP="00F671EF" w:rsidRDefault="00F671EF" w14:paraId="1BF8322F" w14:textId="77777777">
                    <w:pPr>
                      <w:pStyle w:val="AuthorName"/>
                      <w:rPr>
                        <w:noProof/>
                      </w:rPr>
                    </w:pPr>
                    <w:r>
                      <w:rPr>
                        <w:noProof/>
                      </w:rPr>
                      <w:t>Crystal M. Bloom</w:t>
                    </w:r>
                  </w:p>
                  <w:p w:rsidR="00F671EF" w:rsidP="00F671EF" w:rsidRDefault="00F671EF" w14:paraId="1BA9EA6D" w14:textId="77777777">
                    <w:pPr>
                      <w:pStyle w:val="AuthorInfo"/>
                    </w:pPr>
                    <w:r>
                      <w:t>Partner</w:t>
                    </w:r>
                  </w:p>
                  <w:p w:rsidR="00F671EF" w:rsidP="00F671EF" w:rsidRDefault="00F671EF" w14:paraId="609317A9" w14:textId="77777777">
                    <w:pPr>
                      <w:pStyle w:val="AuthorInfo"/>
                    </w:pPr>
                  </w:p>
                  <w:p w:rsidR="00F671EF" w:rsidP="00F671EF" w:rsidRDefault="00F671EF" w14:paraId="05FF93DA" w14:textId="77777777">
                    <w:pPr>
                      <w:pStyle w:val="AuthorInfo"/>
                    </w:pPr>
                    <w:r>
                      <w:t>One Congress Street, Suite 3102</w:t>
                    </w:r>
                  </w:p>
                  <w:p w:rsidR="00F671EF" w:rsidP="00F671EF" w:rsidRDefault="00F671EF" w14:paraId="38D7C36D" w14:textId="77777777">
                    <w:pPr>
                      <w:pStyle w:val="AuthorInfo"/>
                    </w:pPr>
                    <w:r>
                      <w:t>Boston, MA 02114</w:t>
                    </w:r>
                  </w:p>
                  <w:p w:rsidR="00F671EF" w:rsidP="00F671EF" w:rsidRDefault="00F671EF" w14:paraId="4870ED09" w14:textId="77777777">
                    <w:pPr>
                      <w:pStyle w:val="AuthorInfo"/>
                    </w:pPr>
                    <w:r>
                      <w:t>Direct: 617.598.6783</w:t>
                    </w:r>
                  </w:p>
                  <w:p w:rsidR="00F671EF" w:rsidP="00F671EF" w:rsidRDefault="00F671EF" w14:paraId="2F425434" w14:textId="77777777">
                    <w:pPr>
                      <w:pStyle w:val="AuthorInfo"/>
                    </w:pPr>
                    <w:r>
                      <w:t>Fax: 617.598.6790</w:t>
                    </w:r>
                  </w:p>
                  <w:p w:rsidR="00F671EF" w:rsidP="00F671EF" w:rsidRDefault="00F671EF" w14:paraId="1EA511E1" w14:textId="77777777">
                    <w:pPr>
                      <w:pStyle w:val="AuthorInfo"/>
                    </w:pPr>
                    <w:r>
                      <w:t>crystal.bloom@huschblackwell.com</w:t>
                    </w:r>
                  </w:p>
                </w:txbxContent>
              </v:textbox>
              <w10:wrap type="topAndBottom" anchorx="page" anchory="page"/>
            </v:shape>
          </w:pict>
        </mc:Fallback>
      </mc:AlternateContent>
    </w:r>
    <w:r w:rsidR="003324BA">
      <w:rPr>
        <w:noProof/>
      </w:rPr>
      <w:drawing>
        <wp:anchor distT="0" distB="0" distL="114300" distR="114300" simplePos="0" relativeHeight="251659264" behindDoc="0" locked="1" layoutInCell="1" allowOverlap="1" wp14:anchorId="3F12D956" wp14:editId="7DC7BB5C">
          <wp:simplePos x="0" y="0"/>
          <wp:positionH relativeFrom="page">
            <wp:posOffset>2495550</wp:posOffset>
          </wp:positionH>
          <wp:positionV relativeFrom="page">
            <wp:posOffset>333375</wp:posOffset>
          </wp:positionV>
          <wp:extent cx="2633345" cy="164465"/>
          <wp:effectExtent l="0" t="0" r="0" b="6985"/>
          <wp:wrapNone/>
          <wp:docPr id="1307677421"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89"/>
    <w:multiLevelType w:val="hybridMultilevel"/>
    <w:tmpl w:val="CCB0285C"/>
    <w:lvl w:ilvl="0" w:tplc="604CD6F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51B56"/>
    <w:multiLevelType w:val="hybridMultilevel"/>
    <w:tmpl w:val="78720E28"/>
    <w:lvl w:ilvl="0" w:tplc="01F08B4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D10DE3"/>
    <w:multiLevelType w:val="hybridMultilevel"/>
    <w:tmpl w:val="D6A06162"/>
    <w:lvl w:ilvl="0" w:tplc="89CE040C">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7117F70"/>
    <w:multiLevelType w:val="multilevel"/>
    <w:tmpl w:val="933AA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516F3"/>
    <w:multiLevelType w:val="hybridMultilevel"/>
    <w:tmpl w:val="FF180468"/>
    <w:lvl w:ilvl="0" w:tplc="5D420ADC">
      <w:start w:val="25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8C269C"/>
    <w:multiLevelType w:val="hybridMultilevel"/>
    <w:tmpl w:val="D39C90FE"/>
    <w:lvl w:ilvl="0" w:tplc="DABE392C">
      <w:start w:val="1"/>
      <w:numFmt w:val="bullet"/>
      <w:lvlText w:val="•"/>
      <w:lvlJc w:val="left"/>
      <w:pPr>
        <w:tabs>
          <w:tab w:val="num" w:pos="720"/>
        </w:tabs>
        <w:ind w:left="720" w:hanging="360"/>
      </w:pPr>
      <w:rPr>
        <w:rFonts w:ascii="Arial" w:hAnsi="Arial" w:cs="Times New Roman" w:hint="default"/>
      </w:rPr>
    </w:lvl>
    <w:lvl w:ilvl="1" w:tplc="CBBEC554">
      <w:start w:val="1"/>
      <w:numFmt w:val="bullet"/>
      <w:lvlText w:val="•"/>
      <w:lvlJc w:val="left"/>
      <w:pPr>
        <w:tabs>
          <w:tab w:val="num" w:pos="1440"/>
        </w:tabs>
        <w:ind w:left="1440" w:hanging="360"/>
      </w:pPr>
      <w:rPr>
        <w:rFonts w:ascii="Arial" w:hAnsi="Arial" w:cs="Times New Roman" w:hint="default"/>
      </w:rPr>
    </w:lvl>
    <w:lvl w:ilvl="2" w:tplc="A240FE5A">
      <w:start w:val="1"/>
      <w:numFmt w:val="bullet"/>
      <w:lvlText w:val="•"/>
      <w:lvlJc w:val="left"/>
      <w:pPr>
        <w:tabs>
          <w:tab w:val="num" w:pos="2160"/>
        </w:tabs>
        <w:ind w:left="2160" w:hanging="360"/>
      </w:pPr>
      <w:rPr>
        <w:rFonts w:ascii="Arial" w:hAnsi="Arial" w:cs="Times New Roman" w:hint="default"/>
      </w:rPr>
    </w:lvl>
    <w:lvl w:ilvl="3" w:tplc="6EB20AC4">
      <w:start w:val="1"/>
      <w:numFmt w:val="bullet"/>
      <w:lvlText w:val="•"/>
      <w:lvlJc w:val="left"/>
      <w:pPr>
        <w:tabs>
          <w:tab w:val="num" w:pos="2880"/>
        </w:tabs>
        <w:ind w:left="2880" w:hanging="360"/>
      </w:pPr>
      <w:rPr>
        <w:rFonts w:ascii="Arial" w:hAnsi="Arial" w:cs="Times New Roman" w:hint="default"/>
      </w:rPr>
    </w:lvl>
    <w:lvl w:ilvl="4" w:tplc="837C8ABC">
      <w:start w:val="1"/>
      <w:numFmt w:val="bullet"/>
      <w:lvlText w:val="•"/>
      <w:lvlJc w:val="left"/>
      <w:pPr>
        <w:tabs>
          <w:tab w:val="num" w:pos="3600"/>
        </w:tabs>
        <w:ind w:left="3600" w:hanging="360"/>
      </w:pPr>
      <w:rPr>
        <w:rFonts w:ascii="Arial" w:hAnsi="Arial" w:cs="Times New Roman" w:hint="default"/>
      </w:rPr>
    </w:lvl>
    <w:lvl w:ilvl="5" w:tplc="DC30E0DC">
      <w:start w:val="1"/>
      <w:numFmt w:val="bullet"/>
      <w:lvlText w:val="•"/>
      <w:lvlJc w:val="left"/>
      <w:pPr>
        <w:tabs>
          <w:tab w:val="num" w:pos="4320"/>
        </w:tabs>
        <w:ind w:left="4320" w:hanging="360"/>
      </w:pPr>
      <w:rPr>
        <w:rFonts w:ascii="Arial" w:hAnsi="Arial" w:cs="Times New Roman" w:hint="default"/>
      </w:rPr>
    </w:lvl>
    <w:lvl w:ilvl="6" w:tplc="181078A0">
      <w:start w:val="1"/>
      <w:numFmt w:val="bullet"/>
      <w:lvlText w:val="•"/>
      <w:lvlJc w:val="left"/>
      <w:pPr>
        <w:tabs>
          <w:tab w:val="num" w:pos="5040"/>
        </w:tabs>
        <w:ind w:left="5040" w:hanging="360"/>
      </w:pPr>
      <w:rPr>
        <w:rFonts w:ascii="Arial" w:hAnsi="Arial" w:cs="Times New Roman" w:hint="default"/>
      </w:rPr>
    </w:lvl>
    <w:lvl w:ilvl="7" w:tplc="2272D5F2">
      <w:start w:val="1"/>
      <w:numFmt w:val="bullet"/>
      <w:lvlText w:val="•"/>
      <w:lvlJc w:val="left"/>
      <w:pPr>
        <w:tabs>
          <w:tab w:val="num" w:pos="5760"/>
        </w:tabs>
        <w:ind w:left="5760" w:hanging="360"/>
      </w:pPr>
      <w:rPr>
        <w:rFonts w:ascii="Arial" w:hAnsi="Arial" w:cs="Times New Roman" w:hint="default"/>
      </w:rPr>
    </w:lvl>
    <w:lvl w:ilvl="8" w:tplc="1C903EC8">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C520886"/>
    <w:multiLevelType w:val="hybridMultilevel"/>
    <w:tmpl w:val="EC948466"/>
    <w:lvl w:ilvl="0" w:tplc="A72A8B4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625C6"/>
    <w:multiLevelType w:val="hybridMultilevel"/>
    <w:tmpl w:val="3042A570"/>
    <w:lvl w:ilvl="0" w:tplc="A85E906E">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D97037"/>
    <w:multiLevelType w:val="hybridMultilevel"/>
    <w:tmpl w:val="8CFACB0E"/>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60E711E"/>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3" w15:restartNumberingAfterBreak="0">
    <w:nsid w:val="36CE3707"/>
    <w:multiLevelType w:val="hybridMultilevel"/>
    <w:tmpl w:val="868894F0"/>
    <w:lvl w:ilvl="0" w:tplc="AC72FDA0">
      <w:start w:val="29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3290868"/>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5" w15:restartNumberingAfterBreak="0">
    <w:nsid w:val="69C61D64"/>
    <w:multiLevelType w:val="hybridMultilevel"/>
    <w:tmpl w:val="3042A570"/>
    <w:lvl w:ilvl="0" w:tplc="FFFFFFFF">
      <w:start w:val="1"/>
      <w:numFmt w:val="lowerLetter"/>
      <w:lvlText w:val="(%1)"/>
      <w:lvlJc w:val="left"/>
      <w:pPr>
        <w:ind w:left="207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6" w15:restartNumberingAfterBreak="0">
    <w:nsid w:val="6A714F19"/>
    <w:multiLevelType w:val="multilevel"/>
    <w:tmpl w:val="4A8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B4164"/>
    <w:multiLevelType w:val="multilevel"/>
    <w:tmpl w:val="B30A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99568061">
    <w:abstractNumId w:val="3"/>
  </w:num>
  <w:num w:numId="2" w16cid:durableId="2038316169">
    <w:abstractNumId w:val="1"/>
  </w:num>
  <w:num w:numId="3" w16cid:durableId="692220303">
    <w:abstractNumId w:val="10"/>
  </w:num>
  <w:num w:numId="4" w16cid:durableId="1956790597">
    <w:abstractNumId w:val="6"/>
  </w:num>
  <w:num w:numId="5" w16cid:durableId="1940023855">
    <w:abstractNumId w:val="13"/>
  </w:num>
  <w:num w:numId="6" w16cid:durableId="1125467732">
    <w:abstractNumId w:val="9"/>
  </w:num>
  <w:num w:numId="7" w16cid:durableId="1499535085">
    <w:abstractNumId w:val="0"/>
  </w:num>
  <w:num w:numId="8" w16cid:durableId="936710763">
    <w:abstractNumId w:val="15"/>
  </w:num>
  <w:num w:numId="9" w16cid:durableId="183983925">
    <w:abstractNumId w:val="4"/>
  </w:num>
  <w:num w:numId="10" w16cid:durableId="558249563">
    <w:abstractNumId w:val="14"/>
  </w:num>
  <w:num w:numId="11" w16cid:durableId="1641692054">
    <w:abstractNumId w:val="12"/>
  </w:num>
  <w:num w:numId="12" w16cid:durableId="1203446926">
    <w:abstractNumId w:val="11"/>
  </w:num>
  <w:num w:numId="13" w16cid:durableId="815805344">
    <w:abstractNumId w:val="16"/>
  </w:num>
  <w:num w:numId="14" w16cid:durableId="1509523396">
    <w:abstractNumId w:val="5"/>
  </w:num>
  <w:num w:numId="15" w16cid:durableId="495650558">
    <w:abstractNumId w:val="17"/>
  </w:num>
  <w:num w:numId="16" w16cid:durableId="430904217">
    <w:abstractNumId w:val="2"/>
  </w:num>
  <w:num w:numId="17" w16cid:durableId="2078894823">
    <w:abstractNumId w:val="7"/>
  </w:num>
  <w:num w:numId="18" w16cid:durableId="1173183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A"/>
    <w:rsid w:val="0001658A"/>
    <w:rsid w:val="00016D7B"/>
    <w:rsid w:val="00020914"/>
    <w:rsid w:val="000259D0"/>
    <w:rsid w:val="00033814"/>
    <w:rsid w:val="00043971"/>
    <w:rsid w:val="00061B1E"/>
    <w:rsid w:val="00071128"/>
    <w:rsid w:val="00094796"/>
    <w:rsid w:val="000A0698"/>
    <w:rsid w:val="000B0506"/>
    <w:rsid w:val="000B1913"/>
    <w:rsid w:val="000C308B"/>
    <w:rsid w:val="000D0321"/>
    <w:rsid w:val="000F5CAC"/>
    <w:rsid w:val="00103D35"/>
    <w:rsid w:val="00125521"/>
    <w:rsid w:val="001327EC"/>
    <w:rsid w:val="0013784C"/>
    <w:rsid w:val="00156566"/>
    <w:rsid w:val="00162EF9"/>
    <w:rsid w:val="00181DE5"/>
    <w:rsid w:val="00197DBA"/>
    <w:rsid w:val="001C3522"/>
    <w:rsid w:val="001C665C"/>
    <w:rsid w:val="001D30A5"/>
    <w:rsid w:val="001D6F90"/>
    <w:rsid w:val="001F4A08"/>
    <w:rsid w:val="001F6B18"/>
    <w:rsid w:val="00234DC1"/>
    <w:rsid w:val="00264E4B"/>
    <w:rsid w:val="002B181E"/>
    <w:rsid w:val="002E122C"/>
    <w:rsid w:val="002E1A21"/>
    <w:rsid w:val="002E61BE"/>
    <w:rsid w:val="002F5D5B"/>
    <w:rsid w:val="002F6D5E"/>
    <w:rsid w:val="0030190F"/>
    <w:rsid w:val="0030628E"/>
    <w:rsid w:val="00310285"/>
    <w:rsid w:val="003324BA"/>
    <w:rsid w:val="00341F09"/>
    <w:rsid w:val="00355348"/>
    <w:rsid w:val="00360DE6"/>
    <w:rsid w:val="00375FE2"/>
    <w:rsid w:val="00380DEF"/>
    <w:rsid w:val="003817FA"/>
    <w:rsid w:val="00391F83"/>
    <w:rsid w:val="003E1820"/>
    <w:rsid w:val="004025D7"/>
    <w:rsid w:val="00414E4E"/>
    <w:rsid w:val="0042556F"/>
    <w:rsid w:val="00434B2A"/>
    <w:rsid w:val="00455287"/>
    <w:rsid w:val="00483051"/>
    <w:rsid w:val="004A1D92"/>
    <w:rsid w:val="004D08D1"/>
    <w:rsid w:val="0050161B"/>
    <w:rsid w:val="00546793"/>
    <w:rsid w:val="00550AB8"/>
    <w:rsid w:val="00552B19"/>
    <w:rsid w:val="00573064"/>
    <w:rsid w:val="00586978"/>
    <w:rsid w:val="005A1CBC"/>
    <w:rsid w:val="005F4942"/>
    <w:rsid w:val="006009F7"/>
    <w:rsid w:val="006051A4"/>
    <w:rsid w:val="00606C29"/>
    <w:rsid w:val="0065345E"/>
    <w:rsid w:val="00693394"/>
    <w:rsid w:val="006C651E"/>
    <w:rsid w:val="006D0D23"/>
    <w:rsid w:val="006F25E9"/>
    <w:rsid w:val="007018C5"/>
    <w:rsid w:val="00705940"/>
    <w:rsid w:val="0071267F"/>
    <w:rsid w:val="00724B22"/>
    <w:rsid w:val="007252EA"/>
    <w:rsid w:val="0073253B"/>
    <w:rsid w:val="00750F83"/>
    <w:rsid w:val="00765109"/>
    <w:rsid w:val="00766997"/>
    <w:rsid w:val="007758E4"/>
    <w:rsid w:val="007B5248"/>
    <w:rsid w:val="007C4A0A"/>
    <w:rsid w:val="007D3EBA"/>
    <w:rsid w:val="0080330A"/>
    <w:rsid w:val="00816D81"/>
    <w:rsid w:val="0081720C"/>
    <w:rsid w:val="008254B9"/>
    <w:rsid w:val="00854CDA"/>
    <w:rsid w:val="00856171"/>
    <w:rsid w:val="00860EB4"/>
    <w:rsid w:val="008B59B6"/>
    <w:rsid w:val="008D059F"/>
    <w:rsid w:val="008D7C9A"/>
    <w:rsid w:val="00903E53"/>
    <w:rsid w:val="009434AC"/>
    <w:rsid w:val="009451C2"/>
    <w:rsid w:val="00955403"/>
    <w:rsid w:val="009877DA"/>
    <w:rsid w:val="009E0A56"/>
    <w:rsid w:val="009E4FCD"/>
    <w:rsid w:val="009E7BFB"/>
    <w:rsid w:val="00A42A2E"/>
    <w:rsid w:val="00A44745"/>
    <w:rsid w:val="00A4568C"/>
    <w:rsid w:val="00A56B11"/>
    <w:rsid w:val="00AF6285"/>
    <w:rsid w:val="00B0644D"/>
    <w:rsid w:val="00B07E22"/>
    <w:rsid w:val="00B10B8F"/>
    <w:rsid w:val="00B310B9"/>
    <w:rsid w:val="00B51CC4"/>
    <w:rsid w:val="00B66C82"/>
    <w:rsid w:val="00BA23F1"/>
    <w:rsid w:val="00BB3929"/>
    <w:rsid w:val="00C16227"/>
    <w:rsid w:val="00C25704"/>
    <w:rsid w:val="00C30C36"/>
    <w:rsid w:val="00C31B08"/>
    <w:rsid w:val="00C36556"/>
    <w:rsid w:val="00C71FF2"/>
    <w:rsid w:val="00C731F9"/>
    <w:rsid w:val="00C86DEA"/>
    <w:rsid w:val="00CC7A2C"/>
    <w:rsid w:val="00CD23EC"/>
    <w:rsid w:val="00CF742D"/>
    <w:rsid w:val="00D04E13"/>
    <w:rsid w:val="00D06089"/>
    <w:rsid w:val="00D167E1"/>
    <w:rsid w:val="00D176E2"/>
    <w:rsid w:val="00D416AA"/>
    <w:rsid w:val="00D51705"/>
    <w:rsid w:val="00D528BC"/>
    <w:rsid w:val="00D60980"/>
    <w:rsid w:val="00D84182"/>
    <w:rsid w:val="00DB0AB5"/>
    <w:rsid w:val="00DC439A"/>
    <w:rsid w:val="00DF7097"/>
    <w:rsid w:val="00E348EE"/>
    <w:rsid w:val="00E51B07"/>
    <w:rsid w:val="00E619D2"/>
    <w:rsid w:val="00E70E63"/>
    <w:rsid w:val="00E76ED4"/>
    <w:rsid w:val="00EC5D62"/>
    <w:rsid w:val="00F41034"/>
    <w:rsid w:val="00F665DC"/>
    <w:rsid w:val="00F671EF"/>
    <w:rsid w:val="00FA3737"/>
    <w:rsid w:val="00FA4400"/>
    <w:rsid w:val="00FB6048"/>
    <w:rsid w:val="00FC32C8"/>
    <w:rsid w:val="00FE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EE1F41"/>
  <w15:chartTrackingRefBased/>
  <w15:docId w15:val="{7FA88C90-A3DA-4BED-A840-1970221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8A"/>
    <w:pPr>
      <w:spacing w:after="0" w:line="240" w:lineRule="auto"/>
    </w:pPr>
    <w:rPr>
      <w:rFonts w:ascii="Arial" w:eastAsiaTheme="minorHAnsi" w:hAnsi="Arial"/>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01658A"/>
    <w:pPr>
      <w:ind w:left="720"/>
      <w:contextualSpacing/>
    </w:pPr>
  </w:style>
  <w:style w:type="paragraph" w:styleId="Header">
    <w:name w:val="header"/>
    <w:basedOn w:val="Normal"/>
    <w:link w:val="HeaderChar"/>
    <w:uiPriority w:val="99"/>
    <w:unhideWhenUsed/>
    <w:rsid w:val="0001658A"/>
    <w:pPr>
      <w:tabs>
        <w:tab w:val="center" w:pos="4680"/>
        <w:tab w:val="right" w:pos="9360"/>
      </w:tabs>
    </w:pPr>
  </w:style>
  <w:style w:type="character" w:customStyle="1" w:styleId="HeaderChar">
    <w:name w:val="Header Char"/>
    <w:basedOn w:val="DefaultParagraphFont"/>
    <w:link w:val="Header"/>
    <w:uiPriority w:val="99"/>
    <w:rsid w:val="0001658A"/>
    <w:rPr>
      <w:rFonts w:ascii="Arial" w:eastAsiaTheme="minorHAnsi" w:hAnsi="Arial"/>
    </w:rPr>
  </w:style>
  <w:style w:type="paragraph" w:styleId="Footer">
    <w:name w:val="footer"/>
    <w:basedOn w:val="Normal"/>
    <w:link w:val="FooterChar"/>
    <w:uiPriority w:val="99"/>
    <w:unhideWhenUsed/>
    <w:rsid w:val="0001658A"/>
    <w:pPr>
      <w:tabs>
        <w:tab w:val="center" w:pos="4680"/>
        <w:tab w:val="right" w:pos="9360"/>
      </w:tabs>
    </w:pPr>
  </w:style>
  <w:style w:type="character" w:customStyle="1" w:styleId="FooterChar">
    <w:name w:val="Footer Char"/>
    <w:basedOn w:val="DefaultParagraphFont"/>
    <w:link w:val="Footer"/>
    <w:uiPriority w:val="99"/>
    <w:rsid w:val="0001658A"/>
    <w:rPr>
      <w:rFonts w:ascii="Arial" w:eastAsiaTheme="minorHAnsi" w:hAnsi="Arial"/>
    </w:rPr>
  </w:style>
  <w:style w:type="paragraph" w:customStyle="1" w:styleId="AuthorInfo">
    <w:name w:val="_AuthorInfo"/>
    <w:basedOn w:val="Normal"/>
    <w:uiPriority w:val="99"/>
    <w:unhideWhenUsed/>
    <w:rsid w:val="0001658A"/>
    <w:rPr>
      <w:rFonts w:ascii="Times New Roman" w:eastAsia="Times New Roman" w:hAnsi="Times New Roman" w:cs="Times New Roman"/>
      <w:sz w:val="20"/>
      <w:szCs w:val="20"/>
    </w:rPr>
  </w:style>
  <w:style w:type="table" w:styleId="TableGrid">
    <w:name w:val="Table Grid"/>
    <w:basedOn w:val="TableNormal"/>
    <w:uiPriority w:val="39"/>
    <w:rsid w:val="00DF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8D1"/>
    <w:pPr>
      <w:spacing w:after="0" w:line="240" w:lineRule="auto"/>
    </w:pPr>
    <w:rPr>
      <w:rFonts w:ascii="Arial" w:eastAsiaTheme="minorHAnsi" w:hAnsi="Arial"/>
    </w:rPr>
  </w:style>
  <w:style w:type="character" w:styleId="CommentReference">
    <w:name w:val="annotation reference"/>
    <w:basedOn w:val="DefaultParagraphFont"/>
    <w:uiPriority w:val="99"/>
    <w:semiHidden/>
    <w:unhideWhenUsed/>
    <w:rsid w:val="004D08D1"/>
    <w:rPr>
      <w:sz w:val="16"/>
      <w:szCs w:val="16"/>
    </w:rPr>
  </w:style>
  <w:style w:type="paragraph" w:styleId="CommentText">
    <w:name w:val="annotation text"/>
    <w:basedOn w:val="Normal"/>
    <w:link w:val="CommentTextChar"/>
    <w:uiPriority w:val="99"/>
    <w:unhideWhenUsed/>
    <w:rsid w:val="004D08D1"/>
    <w:rPr>
      <w:sz w:val="20"/>
      <w:szCs w:val="20"/>
    </w:rPr>
  </w:style>
  <w:style w:type="character" w:customStyle="1" w:styleId="CommentTextChar">
    <w:name w:val="Comment Text Char"/>
    <w:basedOn w:val="DefaultParagraphFont"/>
    <w:link w:val="CommentText"/>
    <w:uiPriority w:val="99"/>
    <w:rsid w:val="004D08D1"/>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4D08D1"/>
    <w:rPr>
      <w:b/>
      <w:bCs/>
    </w:rPr>
  </w:style>
  <w:style w:type="character" w:customStyle="1" w:styleId="CommentSubjectChar">
    <w:name w:val="Comment Subject Char"/>
    <w:basedOn w:val="CommentTextChar"/>
    <w:link w:val="CommentSubject"/>
    <w:uiPriority w:val="99"/>
    <w:semiHidden/>
    <w:rsid w:val="004D08D1"/>
    <w:rPr>
      <w:rFonts w:ascii="Arial" w:eastAsiaTheme="minorHAnsi" w:hAnsi="Arial"/>
      <w:b/>
      <w:bCs/>
      <w:sz w:val="20"/>
      <w:szCs w:val="20"/>
    </w:rPr>
  </w:style>
  <w:style w:type="paragraph" w:styleId="FootnoteText">
    <w:name w:val="footnote text"/>
    <w:basedOn w:val="Normal"/>
    <w:link w:val="FootnoteTextChar"/>
    <w:uiPriority w:val="99"/>
    <w:semiHidden/>
    <w:unhideWhenUsed/>
    <w:rsid w:val="0030190F"/>
    <w:rPr>
      <w:sz w:val="20"/>
      <w:szCs w:val="20"/>
    </w:rPr>
  </w:style>
  <w:style w:type="character" w:customStyle="1" w:styleId="FootnoteTextChar">
    <w:name w:val="Footnote Text Char"/>
    <w:basedOn w:val="DefaultParagraphFont"/>
    <w:link w:val="FootnoteText"/>
    <w:uiPriority w:val="99"/>
    <w:semiHidden/>
    <w:rsid w:val="0030190F"/>
    <w:rPr>
      <w:rFonts w:ascii="Arial" w:eastAsiaTheme="minorHAnsi" w:hAnsi="Arial"/>
      <w:sz w:val="20"/>
      <w:szCs w:val="20"/>
    </w:rPr>
  </w:style>
  <w:style w:type="character" w:styleId="FootnoteReference">
    <w:name w:val="footnote reference"/>
    <w:basedOn w:val="DefaultParagraphFont"/>
    <w:uiPriority w:val="99"/>
    <w:semiHidden/>
    <w:unhideWhenUsed/>
    <w:rsid w:val="0030190F"/>
    <w:rPr>
      <w:vertAlign w:val="superscript"/>
    </w:rPr>
  </w:style>
  <w:style w:type="paragraph" w:customStyle="1" w:styleId="AuthorName">
    <w:name w:val="_AuthorName"/>
    <w:basedOn w:val="Normal"/>
    <w:next w:val="AuthorInfo"/>
    <w:uiPriority w:val="99"/>
    <w:semiHidden/>
    <w:unhideWhenUsed/>
    <w:rsid w:val="00F671EF"/>
    <w:rPr>
      <w:rFonts w:ascii="Times New Roman" w:eastAsia="Times New Roman" w:hAnsi="Times New Roman" w:cs="Times New Roman"/>
      <w:szCs w:val="20"/>
    </w:rPr>
  </w:style>
  <w:style w:type="character" w:styleId="Hyperlink">
    <w:name w:val="Hyperlink"/>
    <w:basedOn w:val="DefaultParagraphFont"/>
    <w:uiPriority w:val="99"/>
    <w:unhideWhenUsed/>
    <w:rsid w:val="002E1A21"/>
    <w:rPr>
      <w:color w:val="0563C1" w:themeColor="hyperlink"/>
      <w:u w:val="single"/>
    </w:rPr>
  </w:style>
  <w:style w:type="character" w:styleId="UnresolvedMention">
    <w:name w:val="Unresolved Mention"/>
    <w:basedOn w:val="DefaultParagraphFont"/>
    <w:uiPriority w:val="99"/>
    <w:semiHidden/>
    <w:unhideWhenUsed/>
    <w:rsid w:val="002E1A21"/>
    <w:rPr>
      <w:color w:val="605E5C"/>
      <w:shd w:val="clear" w:color="auto" w:fill="E1DFDD"/>
    </w:rPr>
  </w:style>
  <w:style w:type="paragraph" w:customStyle="1" w:styleId="DocID">
    <w:name w:val="DocID"/>
    <w:basedOn w:val="Normal"/>
    <w:qFormat/>
    <w:rsid w:val="002B181E"/>
    <w:pPr>
      <w:suppressAutoHyphens/>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842">
      <w:bodyDiv w:val="1"/>
      <w:marLeft w:val="0"/>
      <w:marRight w:val="0"/>
      <w:marTop w:val="0"/>
      <w:marBottom w:val="0"/>
      <w:divBdr>
        <w:top w:val="none" w:sz="0" w:space="0" w:color="auto"/>
        <w:left w:val="none" w:sz="0" w:space="0" w:color="auto"/>
        <w:bottom w:val="none" w:sz="0" w:space="0" w:color="auto"/>
        <w:right w:val="none" w:sz="0" w:space="0" w:color="auto"/>
      </w:divBdr>
    </w:div>
    <w:div w:id="104275280">
      <w:bodyDiv w:val="1"/>
      <w:marLeft w:val="0"/>
      <w:marRight w:val="0"/>
      <w:marTop w:val="0"/>
      <w:marBottom w:val="0"/>
      <w:divBdr>
        <w:top w:val="none" w:sz="0" w:space="0" w:color="auto"/>
        <w:left w:val="none" w:sz="0" w:space="0" w:color="auto"/>
        <w:bottom w:val="none" w:sz="0" w:space="0" w:color="auto"/>
        <w:right w:val="none" w:sz="0" w:space="0" w:color="auto"/>
      </w:divBdr>
    </w:div>
    <w:div w:id="461003682">
      <w:bodyDiv w:val="1"/>
      <w:marLeft w:val="0"/>
      <w:marRight w:val="0"/>
      <w:marTop w:val="0"/>
      <w:marBottom w:val="0"/>
      <w:divBdr>
        <w:top w:val="none" w:sz="0" w:space="0" w:color="auto"/>
        <w:left w:val="none" w:sz="0" w:space="0" w:color="auto"/>
        <w:bottom w:val="none" w:sz="0" w:space="0" w:color="auto"/>
        <w:right w:val="none" w:sz="0" w:space="0" w:color="auto"/>
      </w:divBdr>
    </w:div>
    <w:div w:id="738594379">
      <w:bodyDiv w:val="1"/>
      <w:marLeft w:val="0"/>
      <w:marRight w:val="0"/>
      <w:marTop w:val="0"/>
      <w:marBottom w:val="0"/>
      <w:divBdr>
        <w:top w:val="none" w:sz="0" w:space="0" w:color="auto"/>
        <w:left w:val="none" w:sz="0" w:space="0" w:color="auto"/>
        <w:bottom w:val="none" w:sz="0" w:space="0" w:color="auto"/>
        <w:right w:val="none" w:sz="0" w:space="0" w:color="auto"/>
      </w:divBdr>
    </w:div>
    <w:div w:id="1073893441">
      <w:bodyDiv w:val="1"/>
      <w:marLeft w:val="0"/>
      <w:marRight w:val="0"/>
      <w:marTop w:val="0"/>
      <w:marBottom w:val="0"/>
      <w:divBdr>
        <w:top w:val="none" w:sz="0" w:space="0" w:color="auto"/>
        <w:left w:val="none" w:sz="0" w:space="0" w:color="auto"/>
        <w:bottom w:val="none" w:sz="0" w:space="0" w:color="auto"/>
        <w:right w:val="none" w:sz="0" w:space="0" w:color="auto"/>
      </w:divBdr>
    </w:div>
    <w:div w:id="1086417625">
      <w:bodyDiv w:val="1"/>
      <w:marLeft w:val="0"/>
      <w:marRight w:val="0"/>
      <w:marTop w:val="0"/>
      <w:marBottom w:val="0"/>
      <w:divBdr>
        <w:top w:val="none" w:sz="0" w:space="0" w:color="auto"/>
        <w:left w:val="none" w:sz="0" w:space="0" w:color="auto"/>
        <w:bottom w:val="none" w:sz="0" w:space="0" w:color="auto"/>
        <w:right w:val="none" w:sz="0" w:space="0" w:color="auto"/>
      </w:divBdr>
    </w:div>
    <w:div w:id="1458792869">
      <w:bodyDiv w:val="1"/>
      <w:marLeft w:val="0"/>
      <w:marRight w:val="0"/>
      <w:marTop w:val="0"/>
      <w:marBottom w:val="0"/>
      <w:divBdr>
        <w:top w:val="none" w:sz="0" w:space="0" w:color="auto"/>
        <w:left w:val="none" w:sz="0" w:space="0" w:color="auto"/>
        <w:bottom w:val="none" w:sz="0" w:space="0" w:color="auto"/>
        <w:right w:val="none" w:sz="0" w:space="0" w:color="auto"/>
      </w:divBdr>
    </w:div>
    <w:div w:id="1658339843">
      <w:bodyDiv w:val="1"/>
      <w:marLeft w:val="0"/>
      <w:marRight w:val="0"/>
      <w:marTop w:val="0"/>
      <w:marBottom w:val="0"/>
      <w:divBdr>
        <w:top w:val="none" w:sz="0" w:space="0" w:color="auto"/>
        <w:left w:val="none" w:sz="0" w:space="0" w:color="auto"/>
        <w:bottom w:val="none" w:sz="0" w:space="0" w:color="auto"/>
        <w:right w:val="none" w:sz="0" w:space="0" w:color="auto"/>
      </w:divBdr>
    </w:div>
    <w:div w:id="1760373753">
      <w:bodyDiv w:val="1"/>
      <w:marLeft w:val="0"/>
      <w:marRight w:val="0"/>
      <w:marTop w:val="0"/>
      <w:marBottom w:val="0"/>
      <w:divBdr>
        <w:top w:val="none" w:sz="0" w:space="0" w:color="auto"/>
        <w:left w:val="none" w:sz="0" w:space="0" w:color="auto"/>
        <w:bottom w:val="none" w:sz="0" w:space="0" w:color="auto"/>
        <w:right w:val="none" w:sz="0" w:space="0" w:color="auto"/>
      </w:divBdr>
    </w:div>
    <w:div w:id="1768454319">
      <w:bodyDiv w:val="1"/>
      <w:marLeft w:val="0"/>
      <w:marRight w:val="0"/>
      <w:marTop w:val="0"/>
      <w:marBottom w:val="0"/>
      <w:divBdr>
        <w:top w:val="none" w:sz="0" w:space="0" w:color="auto"/>
        <w:left w:val="none" w:sz="0" w:space="0" w:color="auto"/>
        <w:bottom w:val="none" w:sz="0" w:space="0" w:color="auto"/>
        <w:right w:val="none" w:sz="0" w:space="0" w:color="auto"/>
      </w:divBdr>
    </w:div>
    <w:div w:id="1782214284">
      <w:bodyDiv w:val="1"/>
      <w:marLeft w:val="0"/>
      <w:marRight w:val="0"/>
      <w:marTop w:val="0"/>
      <w:marBottom w:val="0"/>
      <w:divBdr>
        <w:top w:val="none" w:sz="0" w:space="0" w:color="auto"/>
        <w:left w:val="none" w:sz="0" w:space="0" w:color="auto"/>
        <w:bottom w:val="none" w:sz="0" w:space="0" w:color="auto"/>
        <w:right w:val="none" w:sz="0" w:space="0" w:color="auto"/>
      </w:divBdr>
    </w:div>
    <w:div w:id="18845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atransi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2198</Words>
  <Characters>12533</Characters>
  <Application>Microsoft Office Word</Application>
  <DocSecurity>0</DocSecurity>
  <Lines>104</Lines>
  <Paragraphs>29</Paragraphs>
  <ScaleCrop>false</ScaleCrop>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Terry</dc:creator>
  <cp:lastModifiedBy>Harrison, Deborah (EHS)</cp:lastModifiedBy>
  <cp:revision>2</cp:revision>
  <cp:lastPrinted>1900-01-01T06:00:00Z</cp:lastPrinted>
  <dcterms:created xsi:type="dcterms:W3CDTF">2025-08-27T18:20:00Z</dcterms:created>
  <dcterms:modified xsi:type="dcterms:W3CDTF">2025-08-27T18:20:00Z</dcterms:modified>
</cp:coreProperties>
</file>