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92DC" w14:textId="77777777" w:rsidR="00F44EF9" w:rsidRDefault="00F44EF9" w:rsidP="00F44EF9">
      <w:pPr>
        <w:jc w:val="center"/>
        <w:rPr>
          <w:rFonts w:ascii="Times New Roman" w:hAnsi="Times New Roman" w:cs="Times New Roman"/>
          <w:sz w:val="24"/>
          <w:szCs w:val="24"/>
        </w:rPr>
      </w:pPr>
      <w:r>
        <w:rPr>
          <w:rFonts w:ascii="Times New Roman" w:hAnsi="Times New Roman" w:cs="Times New Roman"/>
          <w:sz w:val="24"/>
          <w:szCs w:val="24"/>
        </w:rPr>
        <w:t xml:space="preserve">August </w:t>
      </w:r>
      <w:r w:rsidR="00017AFB">
        <w:rPr>
          <w:rFonts w:ascii="Times New Roman" w:hAnsi="Times New Roman" w:cs="Times New Roman"/>
          <w:sz w:val="24"/>
          <w:szCs w:val="24"/>
        </w:rPr>
        <w:t>4</w:t>
      </w:r>
      <w:r w:rsidRPr="00A93A4F">
        <w:rPr>
          <w:rFonts w:ascii="Times New Roman" w:hAnsi="Times New Roman" w:cs="Times New Roman"/>
          <w:sz w:val="24"/>
          <w:szCs w:val="24"/>
        </w:rPr>
        <w:t>, 2023</w:t>
      </w:r>
    </w:p>
    <w:p w14:paraId="22C6BD7E" w14:textId="77777777" w:rsidR="00F44EF9" w:rsidRDefault="00F44EF9" w:rsidP="00F44EF9">
      <w:pPr>
        <w:jc w:val="center"/>
        <w:rPr>
          <w:rFonts w:ascii="Times New Roman" w:hAnsi="Times New Roman" w:cs="Times New Roman"/>
          <w:sz w:val="24"/>
          <w:szCs w:val="24"/>
        </w:rPr>
      </w:pPr>
    </w:p>
    <w:p w14:paraId="3D604DC3" w14:textId="77777777" w:rsidR="00F44EF9" w:rsidRPr="0007797E" w:rsidRDefault="00F44EF9" w:rsidP="00F44EF9">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3293F427" w14:textId="77777777" w:rsidR="00F44EF9" w:rsidRDefault="00F44EF9" w:rsidP="00F44EF9">
      <w:pPr>
        <w:rPr>
          <w:rFonts w:ascii="Times New Roman" w:hAnsi="Times New Roman" w:cs="Times New Roman"/>
          <w:sz w:val="24"/>
          <w:szCs w:val="24"/>
        </w:rPr>
      </w:pPr>
    </w:p>
    <w:p w14:paraId="710A4C7D" w14:textId="77777777" w:rsidR="00F44EF9" w:rsidRDefault="00F44EF9" w:rsidP="00F44EF9">
      <w:pPr>
        <w:rPr>
          <w:rFonts w:ascii="Times New Roman" w:hAnsi="Times New Roman" w:cs="Times New Roman"/>
          <w:sz w:val="24"/>
          <w:szCs w:val="24"/>
        </w:rPr>
      </w:pPr>
      <w:r>
        <w:rPr>
          <w:rFonts w:ascii="Times New Roman" w:hAnsi="Times New Roman" w:cs="Times New Roman"/>
          <w:sz w:val="24"/>
          <w:szCs w:val="24"/>
        </w:rPr>
        <w:t>Stephen Davis, Division Director</w:t>
      </w:r>
    </w:p>
    <w:p w14:paraId="33254CD3" w14:textId="77777777" w:rsidR="00F44EF9" w:rsidRDefault="00F44EF9" w:rsidP="00F44EF9">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39010668" w14:textId="77777777" w:rsidR="00F44EF9" w:rsidRDefault="00F44EF9" w:rsidP="00F44EF9">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775F8FC1" w14:textId="77777777" w:rsidR="00F44EF9" w:rsidRDefault="00F44EF9" w:rsidP="00F44EF9">
      <w:pPr>
        <w:rPr>
          <w:rFonts w:ascii="Times New Roman" w:hAnsi="Times New Roman" w:cs="Times New Roman"/>
          <w:sz w:val="24"/>
          <w:szCs w:val="24"/>
        </w:rPr>
      </w:pPr>
      <w:r>
        <w:rPr>
          <w:rFonts w:ascii="Times New Roman" w:hAnsi="Times New Roman" w:cs="Times New Roman"/>
          <w:sz w:val="24"/>
          <w:szCs w:val="24"/>
        </w:rPr>
        <w:t>67 Forest Street</w:t>
      </w:r>
    </w:p>
    <w:p w14:paraId="281AE65C" w14:textId="77777777" w:rsidR="00F44EF9" w:rsidRDefault="00F44EF9" w:rsidP="00F44EF9">
      <w:pPr>
        <w:rPr>
          <w:rFonts w:ascii="Times New Roman" w:hAnsi="Times New Roman" w:cs="Times New Roman"/>
          <w:sz w:val="24"/>
          <w:szCs w:val="24"/>
        </w:rPr>
      </w:pPr>
      <w:r>
        <w:rPr>
          <w:rFonts w:ascii="Times New Roman" w:hAnsi="Times New Roman" w:cs="Times New Roman"/>
          <w:sz w:val="24"/>
          <w:szCs w:val="24"/>
        </w:rPr>
        <w:t>Marlborough, MA 01752</w:t>
      </w:r>
    </w:p>
    <w:p w14:paraId="2B042C04" w14:textId="77777777" w:rsidR="00F44EF9" w:rsidRDefault="00F44EF9" w:rsidP="00F44EF9">
      <w:pPr>
        <w:rPr>
          <w:rFonts w:ascii="Times New Roman" w:hAnsi="Times New Roman" w:cs="Times New Roman"/>
          <w:sz w:val="24"/>
          <w:szCs w:val="24"/>
        </w:rPr>
      </w:pPr>
    </w:p>
    <w:p w14:paraId="5A197210" w14:textId="77777777" w:rsidR="00F44EF9" w:rsidRDefault="00F44EF9" w:rsidP="00F44EF9">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u w:val="single"/>
        </w:rPr>
        <w:t>Response to the Department’s Comments on Hospital’s Response to Essential Services Access Plan dated July 27, 2023.</w:t>
      </w:r>
    </w:p>
    <w:p w14:paraId="1D39BD23" w14:textId="77777777" w:rsidR="00F44EF9" w:rsidRDefault="00F44EF9" w:rsidP="00F44EF9">
      <w:pPr>
        <w:jc w:val="both"/>
        <w:rPr>
          <w:rFonts w:ascii="Times New Roman" w:hAnsi="Times New Roman" w:cs="Times New Roman"/>
          <w:sz w:val="24"/>
          <w:szCs w:val="24"/>
        </w:rPr>
      </w:pPr>
    </w:p>
    <w:p w14:paraId="4B199BB7" w14:textId="77777777" w:rsidR="00F44EF9" w:rsidRDefault="00F44EF9" w:rsidP="00F44EF9">
      <w:pPr>
        <w:rPr>
          <w:rFonts w:ascii="Times New Roman" w:hAnsi="Times New Roman" w:cs="Times New Roman"/>
          <w:sz w:val="24"/>
          <w:szCs w:val="24"/>
        </w:rPr>
      </w:pPr>
      <w:r>
        <w:rPr>
          <w:rFonts w:ascii="Times New Roman" w:hAnsi="Times New Roman" w:cs="Times New Roman"/>
          <w:sz w:val="24"/>
          <w:szCs w:val="24"/>
        </w:rPr>
        <w:t>Dear Mr. Davis:</w:t>
      </w:r>
    </w:p>
    <w:p w14:paraId="30779792" w14:textId="77777777" w:rsidR="00F44EF9" w:rsidRDefault="00F44EF9" w:rsidP="00F44EF9">
      <w:pPr>
        <w:rPr>
          <w:rFonts w:ascii="Times New Roman" w:hAnsi="Times New Roman" w:cs="Times New Roman"/>
          <w:sz w:val="24"/>
          <w:szCs w:val="24"/>
        </w:rPr>
      </w:pPr>
    </w:p>
    <w:p w14:paraId="76FE7894" w14:textId="77777777" w:rsidR="00F44EF9" w:rsidRPr="00786289" w:rsidRDefault="00F44EF9" w:rsidP="00F44EF9">
      <w:pPr>
        <w:jc w:val="both"/>
        <w:rPr>
          <w:rFonts w:ascii="Times New Roman" w:hAnsi="Times New Roman" w:cs="Times New Roman"/>
          <w:sz w:val="24"/>
          <w:szCs w:val="24"/>
        </w:rPr>
      </w:pPr>
      <w:r>
        <w:rPr>
          <w:rFonts w:ascii="Times New Roman" w:hAnsi="Times New Roman" w:cs="Times New Roman"/>
          <w:sz w:val="24"/>
          <w:szCs w:val="24"/>
        </w:rPr>
        <w:t xml:space="preserve">We write on behalf of Morton Hospital, A Steward Family Hospital Inc. (“Hospital”) in response to the Department of Public Health’s (the “Department”) review of the Hospital’s comments on the plan for access to services following the closure of the Morton Hospital Comprehensive Addiction Program (“MORCAP”). The Hospital provided these comments on July 5, 2023, outlining the projected impact to patients, the Hospital’s support of patients in accessing alternative site healthcare, and the efforts by the Hospital with respect to equity and inclusion and community engagement activities. On July 27, 2023, the Hospital received the Department’s </w:t>
      </w:r>
      <w:r w:rsidR="00FB1D05">
        <w:rPr>
          <w:rFonts w:ascii="Times New Roman" w:hAnsi="Times New Roman" w:cs="Times New Roman"/>
          <w:sz w:val="24"/>
          <w:szCs w:val="24"/>
        </w:rPr>
        <w:t xml:space="preserve">review of the Hospital’s comments and provide the following response to the Department’s </w:t>
      </w:r>
      <w:r w:rsidR="00BA6AC9">
        <w:rPr>
          <w:rFonts w:ascii="Times New Roman" w:hAnsi="Times New Roman" w:cs="Times New Roman"/>
          <w:sz w:val="24"/>
          <w:szCs w:val="24"/>
        </w:rPr>
        <w:t>additional request for</w:t>
      </w:r>
      <w:r w:rsidR="00FB1D05">
        <w:rPr>
          <w:rFonts w:ascii="Times New Roman" w:hAnsi="Times New Roman" w:cs="Times New Roman"/>
          <w:sz w:val="24"/>
          <w:szCs w:val="24"/>
        </w:rPr>
        <w:t xml:space="preserve"> comments.</w:t>
      </w:r>
    </w:p>
    <w:p w14:paraId="1B64BCFB" w14:textId="77777777" w:rsidR="00F44EF9" w:rsidRDefault="00F44EF9" w:rsidP="00F44EF9">
      <w:pPr>
        <w:jc w:val="both"/>
        <w:rPr>
          <w:rFonts w:ascii="Times New Roman" w:hAnsi="Times New Roman" w:cs="Times New Roman"/>
          <w:sz w:val="24"/>
          <w:szCs w:val="24"/>
        </w:rPr>
      </w:pPr>
    </w:p>
    <w:p w14:paraId="02B29C5D" w14:textId="77777777" w:rsidR="00F44EF9" w:rsidRPr="00FB1D05" w:rsidRDefault="00F44EF9" w:rsidP="00FB1D05">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Transportation:</w:t>
      </w:r>
      <w:r>
        <w:rPr>
          <w:rFonts w:ascii="Times New Roman" w:hAnsi="Times New Roman" w:cs="Times New Roman"/>
          <w:b/>
          <w:bCs/>
          <w:sz w:val="24"/>
          <w:szCs w:val="24"/>
        </w:rPr>
        <w:tab/>
      </w:r>
      <w:r w:rsidR="00FB1D05">
        <w:rPr>
          <w:rFonts w:ascii="Times New Roman" w:hAnsi="Times New Roman" w:cs="Times New Roman"/>
          <w:b/>
          <w:bCs/>
          <w:sz w:val="24"/>
          <w:szCs w:val="24"/>
        </w:rPr>
        <w:t>Y</w:t>
      </w:r>
      <w:r w:rsidR="00FB1D05" w:rsidRPr="00FB1D05">
        <w:rPr>
          <w:rFonts w:ascii="Times New Roman" w:hAnsi="Times New Roman" w:cs="Times New Roman"/>
          <w:b/>
          <w:bCs/>
          <w:sz w:val="24"/>
          <w:szCs w:val="24"/>
        </w:rPr>
        <w:t>our Response states that the Hospital will offer “guidance on the</w:t>
      </w:r>
      <w:r w:rsidR="00FB1D05" w:rsidRPr="00FB1D05">
        <w:t xml:space="preserve"> </w:t>
      </w:r>
      <w:r w:rsidR="00FB1D05" w:rsidRPr="00FB1D05">
        <w:rPr>
          <w:rFonts w:ascii="Times New Roman" w:hAnsi="Times New Roman" w:cs="Times New Roman"/>
          <w:b/>
          <w:bCs/>
          <w:sz w:val="24"/>
          <w:szCs w:val="24"/>
        </w:rPr>
        <w:t>various public transit routes to Carney Hospital and other alternative site services.” 105 CMR 130.122(F) requires that the plan include “an assessment of transportation needs post closure and a plan for meeting those needs,” and assure ongoing access to the service, as required by MGL c. 111, s. 51G(4) and 105 CMR 130.122.</w:t>
      </w:r>
      <w:r w:rsidR="00FB1D05">
        <w:rPr>
          <w:rFonts w:ascii="Times New Roman" w:hAnsi="Times New Roman" w:cs="Times New Roman"/>
          <w:b/>
          <w:bCs/>
          <w:sz w:val="24"/>
          <w:szCs w:val="24"/>
        </w:rPr>
        <w:t xml:space="preserve"> </w:t>
      </w:r>
      <w:r w:rsidR="00FB1D05" w:rsidRPr="00FB1D05">
        <w:rPr>
          <w:rFonts w:ascii="Times New Roman" w:hAnsi="Times New Roman" w:cs="Times New Roman"/>
          <w:b/>
          <w:bCs/>
          <w:sz w:val="24"/>
          <w:szCs w:val="24"/>
        </w:rPr>
        <w:t>The Department has determined your Response does not meaningfully address the statutory and regulatory requirements noted above, and requires additional information on how the Hospital intends to assist families and patients who lack resources and need access to transportation once MORCAP is closed.  While the</w:t>
      </w:r>
      <w:r w:rsidR="00FB1D05" w:rsidRPr="00FB1D05">
        <w:t xml:space="preserve"> </w:t>
      </w:r>
      <w:r w:rsidR="00FB1D05" w:rsidRPr="00FB1D05">
        <w:rPr>
          <w:rFonts w:ascii="Times New Roman" w:hAnsi="Times New Roman" w:cs="Times New Roman"/>
          <w:b/>
          <w:bCs/>
          <w:sz w:val="24"/>
          <w:szCs w:val="24"/>
        </w:rPr>
        <w:t>Hospital’s stated intent is to keep the MORCAP services open until the SUD services at Carney are operational, it remains unclear, other than providing</w:t>
      </w:r>
      <w:r w:rsidR="00FB1D05">
        <w:rPr>
          <w:rFonts w:ascii="Times New Roman" w:hAnsi="Times New Roman" w:cs="Times New Roman"/>
          <w:b/>
          <w:bCs/>
          <w:sz w:val="24"/>
          <w:szCs w:val="24"/>
        </w:rPr>
        <w:t xml:space="preserve"> </w:t>
      </w:r>
      <w:r w:rsidR="00FB1D05" w:rsidRPr="00FB1D05">
        <w:rPr>
          <w:rFonts w:ascii="Times New Roman" w:hAnsi="Times New Roman" w:cs="Times New Roman"/>
          <w:b/>
          <w:bCs/>
          <w:sz w:val="24"/>
          <w:szCs w:val="24"/>
        </w:rPr>
        <w:t xml:space="preserve">“sustained guidance”, how the Hospital plans to address transportation needs of patients in and outside of the Hospital’s service area post MORCAP closure.  The Hospital is reminded of its obligation to ensure access to </w:t>
      </w:r>
      <w:proofErr w:type="gramStart"/>
      <w:r w:rsidR="00FB1D05" w:rsidRPr="00FB1D05">
        <w:rPr>
          <w:rFonts w:ascii="Times New Roman" w:hAnsi="Times New Roman" w:cs="Times New Roman"/>
          <w:b/>
          <w:bCs/>
          <w:sz w:val="24"/>
          <w:szCs w:val="24"/>
        </w:rPr>
        <w:t>these substance</w:t>
      </w:r>
      <w:proofErr w:type="gramEnd"/>
      <w:r w:rsidR="00FB1D05" w:rsidRPr="00FB1D05">
        <w:rPr>
          <w:rFonts w:ascii="Times New Roman" w:hAnsi="Times New Roman" w:cs="Times New Roman"/>
          <w:b/>
          <w:bCs/>
          <w:sz w:val="24"/>
          <w:szCs w:val="24"/>
        </w:rPr>
        <w:t xml:space="preserve"> use disorder treatment services for the surrounding community post-closure.  </w:t>
      </w:r>
    </w:p>
    <w:p w14:paraId="19255196" w14:textId="77777777" w:rsidR="00F44EF9" w:rsidRPr="00186E9B" w:rsidRDefault="00F44EF9" w:rsidP="00F44EF9">
      <w:pPr>
        <w:pStyle w:val="ListParagraph"/>
        <w:ind w:left="1080"/>
        <w:jc w:val="both"/>
        <w:rPr>
          <w:rFonts w:ascii="Times New Roman" w:hAnsi="Times New Roman" w:cs="Times New Roman"/>
          <w:b/>
          <w:bCs/>
          <w:sz w:val="24"/>
          <w:szCs w:val="24"/>
        </w:rPr>
      </w:pPr>
    </w:p>
    <w:p w14:paraId="47B7AB01" w14:textId="77777777" w:rsidR="00422A46" w:rsidRDefault="00F44EF9" w:rsidP="00F44EF9">
      <w:pPr>
        <w:jc w:val="both"/>
        <w:rPr>
          <w:rFonts w:ascii="Times New Roman" w:hAnsi="Times New Roman" w:cs="Times New Roman"/>
          <w:sz w:val="24"/>
          <w:szCs w:val="24"/>
        </w:rPr>
      </w:pPr>
      <w:r>
        <w:rPr>
          <w:rFonts w:ascii="Times New Roman" w:hAnsi="Times New Roman" w:cs="Times New Roman"/>
          <w:sz w:val="24"/>
          <w:szCs w:val="24"/>
        </w:rPr>
        <w:t>The Hospital</w:t>
      </w:r>
      <w:r w:rsidR="00BA6AC9">
        <w:rPr>
          <w:rFonts w:ascii="Times New Roman" w:hAnsi="Times New Roman" w:cs="Times New Roman"/>
          <w:sz w:val="24"/>
          <w:szCs w:val="24"/>
        </w:rPr>
        <w:t xml:space="preserve"> respectfully wishes to reiterate the initial assessment of transportation needs and further share the reasons behind the determination to provide information and guidance on public transportation routes. </w:t>
      </w:r>
      <w:r w:rsidR="00422A46">
        <w:rPr>
          <w:rFonts w:ascii="Times New Roman" w:hAnsi="Times New Roman" w:cs="Times New Roman"/>
          <w:sz w:val="24"/>
          <w:szCs w:val="24"/>
        </w:rPr>
        <w:t xml:space="preserve">As discussed previously, </w:t>
      </w:r>
      <w:r>
        <w:rPr>
          <w:rFonts w:ascii="Times New Roman" w:hAnsi="Times New Roman" w:cs="Times New Roman"/>
          <w:sz w:val="24"/>
          <w:szCs w:val="24"/>
        </w:rPr>
        <w:t xml:space="preserve">MORCAP patients are </w:t>
      </w:r>
      <w:r w:rsidR="00273A08">
        <w:rPr>
          <w:rFonts w:ascii="Times New Roman" w:hAnsi="Times New Roman" w:cs="Times New Roman"/>
          <w:sz w:val="24"/>
          <w:szCs w:val="24"/>
        </w:rPr>
        <w:t xml:space="preserve">typically </w:t>
      </w:r>
      <w:r>
        <w:rPr>
          <w:rFonts w:ascii="Times New Roman" w:hAnsi="Times New Roman" w:cs="Times New Roman"/>
          <w:sz w:val="24"/>
          <w:szCs w:val="24"/>
        </w:rPr>
        <w:t xml:space="preserve">not </w:t>
      </w:r>
      <w:r w:rsidR="00273A08">
        <w:rPr>
          <w:rFonts w:ascii="Times New Roman" w:hAnsi="Times New Roman" w:cs="Times New Roman"/>
          <w:sz w:val="24"/>
          <w:szCs w:val="24"/>
        </w:rPr>
        <w:t xml:space="preserve">directly </w:t>
      </w:r>
      <w:r>
        <w:rPr>
          <w:rFonts w:ascii="Times New Roman" w:hAnsi="Times New Roman" w:cs="Times New Roman"/>
          <w:sz w:val="24"/>
          <w:szCs w:val="24"/>
        </w:rPr>
        <w:t>admitted or</w:t>
      </w:r>
      <w:r w:rsidR="00422A46">
        <w:rPr>
          <w:rFonts w:ascii="Times New Roman" w:hAnsi="Times New Roman" w:cs="Times New Roman"/>
          <w:sz w:val="24"/>
          <w:szCs w:val="24"/>
        </w:rPr>
        <w:t xml:space="preserve"> </w:t>
      </w:r>
      <w:r>
        <w:rPr>
          <w:rFonts w:ascii="Times New Roman" w:hAnsi="Times New Roman" w:cs="Times New Roman"/>
          <w:sz w:val="24"/>
          <w:szCs w:val="24"/>
        </w:rPr>
        <w:t>transferred from emergency departments or other acute care facilities</w:t>
      </w:r>
      <w:r w:rsidR="00422A46">
        <w:rPr>
          <w:rFonts w:ascii="Times New Roman" w:hAnsi="Times New Roman" w:cs="Times New Roman"/>
          <w:sz w:val="24"/>
          <w:szCs w:val="24"/>
        </w:rPr>
        <w:t>. MORCAP p</w:t>
      </w:r>
      <w:r>
        <w:rPr>
          <w:rFonts w:ascii="Times New Roman" w:hAnsi="Times New Roman" w:cs="Times New Roman"/>
          <w:sz w:val="24"/>
          <w:szCs w:val="24"/>
        </w:rPr>
        <w:t>atients present to MORCAP via personal and public transportation</w:t>
      </w:r>
      <w:r w:rsidR="00422A46">
        <w:rPr>
          <w:rFonts w:ascii="Times New Roman" w:hAnsi="Times New Roman" w:cs="Times New Roman"/>
          <w:sz w:val="24"/>
          <w:szCs w:val="24"/>
        </w:rPr>
        <w:t xml:space="preserve"> to receive services on a referral from the </w:t>
      </w:r>
      <w:r w:rsidR="00D94E3A">
        <w:rPr>
          <w:rFonts w:ascii="Times New Roman" w:hAnsi="Times New Roman" w:cs="Times New Roman"/>
          <w:sz w:val="24"/>
          <w:szCs w:val="24"/>
        </w:rPr>
        <w:t xml:space="preserve">Hospital’s </w:t>
      </w:r>
      <w:r w:rsidR="00422A46">
        <w:rPr>
          <w:rFonts w:ascii="Times New Roman" w:hAnsi="Times New Roman" w:cs="Times New Roman"/>
          <w:sz w:val="24"/>
          <w:szCs w:val="24"/>
        </w:rPr>
        <w:t>emergency department or other acute care facilit</w:t>
      </w:r>
      <w:r w:rsidR="00D94E3A">
        <w:rPr>
          <w:rFonts w:ascii="Times New Roman" w:hAnsi="Times New Roman" w:cs="Times New Roman"/>
          <w:sz w:val="24"/>
          <w:szCs w:val="24"/>
        </w:rPr>
        <w:t>ies</w:t>
      </w:r>
      <w:r w:rsidR="00422A46">
        <w:rPr>
          <w:rFonts w:ascii="Times New Roman" w:hAnsi="Times New Roman" w:cs="Times New Roman"/>
          <w:sz w:val="24"/>
          <w:szCs w:val="24"/>
        </w:rPr>
        <w:t xml:space="preserve"> after discharge</w:t>
      </w:r>
      <w:r>
        <w:rPr>
          <w:rFonts w:ascii="Times New Roman" w:hAnsi="Times New Roman" w:cs="Times New Roman"/>
          <w:sz w:val="24"/>
          <w:szCs w:val="24"/>
        </w:rPr>
        <w:t>.</w:t>
      </w:r>
      <w:r w:rsidR="00422A46">
        <w:rPr>
          <w:rFonts w:ascii="Times New Roman" w:hAnsi="Times New Roman" w:cs="Times New Roman"/>
          <w:sz w:val="24"/>
          <w:szCs w:val="24"/>
        </w:rPr>
        <w:t xml:space="preserve"> </w:t>
      </w:r>
      <w:r w:rsidR="00F31176">
        <w:rPr>
          <w:rFonts w:ascii="Times New Roman" w:hAnsi="Times New Roman" w:cs="Times New Roman"/>
          <w:sz w:val="24"/>
          <w:szCs w:val="24"/>
        </w:rPr>
        <w:t xml:space="preserve">The patient is then evaluated by the MORCAP </w:t>
      </w:r>
      <w:r w:rsidR="00F2117C">
        <w:rPr>
          <w:rFonts w:ascii="Times New Roman" w:hAnsi="Times New Roman" w:cs="Times New Roman"/>
          <w:sz w:val="24"/>
          <w:szCs w:val="24"/>
        </w:rPr>
        <w:t>staff,</w:t>
      </w:r>
      <w:r w:rsidR="00F31176">
        <w:rPr>
          <w:rFonts w:ascii="Times New Roman" w:hAnsi="Times New Roman" w:cs="Times New Roman"/>
          <w:sz w:val="24"/>
          <w:szCs w:val="24"/>
        </w:rPr>
        <w:t xml:space="preserve"> and the patient is offered information on the MORCAP services and other local </w:t>
      </w:r>
      <w:r w:rsidR="002E57FD">
        <w:rPr>
          <w:rFonts w:ascii="Times New Roman" w:hAnsi="Times New Roman" w:cs="Times New Roman"/>
          <w:sz w:val="24"/>
          <w:szCs w:val="24"/>
        </w:rPr>
        <w:t>substance use disorder (SUD)</w:t>
      </w:r>
      <w:r w:rsidR="00F31176">
        <w:rPr>
          <w:rFonts w:ascii="Times New Roman" w:hAnsi="Times New Roman" w:cs="Times New Roman"/>
          <w:sz w:val="24"/>
          <w:szCs w:val="24"/>
        </w:rPr>
        <w:t xml:space="preserve"> service providers. </w:t>
      </w:r>
      <w:r w:rsidR="00FB6657">
        <w:rPr>
          <w:rFonts w:ascii="Times New Roman" w:hAnsi="Times New Roman" w:cs="Times New Roman"/>
          <w:sz w:val="24"/>
          <w:szCs w:val="24"/>
        </w:rPr>
        <w:t>Patients then voluntarily choose to enter the MORCAP service or seek out services elsewhere. Many patients reach out to MORCAP independent of their treatment at an emergency department, calling in to seek evaluation and admission. Some patients receive referrals from their primary care physician or obtain referrals from state agencies such as the Department of Children and Families. MORCAP is simply</w:t>
      </w:r>
      <w:r w:rsidR="00422A46">
        <w:rPr>
          <w:rFonts w:ascii="Times New Roman" w:hAnsi="Times New Roman" w:cs="Times New Roman"/>
          <w:sz w:val="24"/>
          <w:szCs w:val="24"/>
        </w:rPr>
        <w:t xml:space="preserve"> not the type of acute care service</w:t>
      </w:r>
      <w:r w:rsidR="00FB6657">
        <w:rPr>
          <w:rFonts w:ascii="Times New Roman" w:hAnsi="Times New Roman" w:cs="Times New Roman"/>
          <w:sz w:val="24"/>
          <w:szCs w:val="24"/>
        </w:rPr>
        <w:t xml:space="preserve"> that warrants a transfer by ambulance or similar transportation. </w:t>
      </w:r>
    </w:p>
    <w:p w14:paraId="6C282917" w14:textId="77777777" w:rsidR="00F2117C" w:rsidRDefault="00F2117C" w:rsidP="00F44EF9">
      <w:pPr>
        <w:jc w:val="both"/>
        <w:rPr>
          <w:rFonts w:ascii="Times New Roman" w:hAnsi="Times New Roman" w:cs="Times New Roman"/>
          <w:sz w:val="24"/>
          <w:szCs w:val="24"/>
        </w:rPr>
      </w:pPr>
    </w:p>
    <w:p w14:paraId="5BBD4E7D" w14:textId="78A6BDC6" w:rsidR="00F2117C" w:rsidRDefault="00F2117C" w:rsidP="00F44EF9">
      <w:pPr>
        <w:jc w:val="both"/>
        <w:rPr>
          <w:rFonts w:ascii="Times New Roman" w:hAnsi="Times New Roman" w:cs="Times New Roman"/>
          <w:sz w:val="24"/>
          <w:szCs w:val="24"/>
        </w:rPr>
      </w:pPr>
      <w:r>
        <w:rPr>
          <w:rFonts w:ascii="Times New Roman" w:hAnsi="Times New Roman" w:cs="Times New Roman"/>
          <w:sz w:val="24"/>
          <w:szCs w:val="24"/>
        </w:rPr>
        <w:t xml:space="preserve">The Hospital provides the below chart showing the admissions of all patients between April 24, </w:t>
      </w:r>
      <w:r w:rsidR="002A2ECF">
        <w:rPr>
          <w:rFonts w:ascii="Times New Roman" w:hAnsi="Times New Roman" w:cs="Times New Roman"/>
          <w:sz w:val="24"/>
          <w:szCs w:val="24"/>
        </w:rPr>
        <w:t>2023,</w:t>
      </w:r>
      <w:r>
        <w:rPr>
          <w:rFonts w:ascii="Times New Roman" w:hAnsi="Times New Roman" w:cs="Times New Roman"/>
          <w:sz w:val="24"/>
          <w:szCs w:val="24"/>
        </w:rPr>
        <w:t xml:space="preserve"> and August 2, 2023, and their admission source. As this chart shows the vast majority, over 85% of patients arrived on their own volition. </w:t>
      </w:r>
    </w:p>
    <w:p w14:paraId="2FCB55CF" w14:textId="26A7A9DD" w:rsidR="00430447" w:rsidRDefault="00430447" w:rsidP="00F44EF9">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30447" w14:paraId="6BD64731" w14:textId="77777777" w:rsidTr="00430447">
        <w:tc>
          <w:tcPr>
            <w:tcW w:w="4675" w:type="dxa"/>
          </w:tcPr>
          <w:p w14:paraId="1B4CBF16" w14:textId="1EFCD030" w:rsidR="00430447" w:rsidRDefault="00430447" w:rsidP="00430447">
            <w:pPr>
              <w:jc w:val="both"/>
              <w:rPr>
                <w:rFonts w:ascii="Times New Roman" w:hAnsi="Times New Roman" w:cs="Times New Roman"/>
                <w:sz w:val="24"/>
                <w:szCs w:val="24"/>
              </w:rPr>
            </w:pPr>
            <w:r w:rsidRPr="00F2117C">
              <w:rPr>
                <w:rFonts w:ascii="Calibri" w:eastAsia="Calibri" w:hAnsi="Calibri" w:cs="Calibri"/>
                <w:b/>
                <w:bCs/>
              </w:rPr>
              <w:t>Admission Source</w:t>
            </w:r>
          </w:p>
        </w:tc>
        <w:tc>
          <w:tcPr>
            <w:tcW w:w="4675" w:type="dxa"/>
          </w:tcPr>
          <w:p w14:paraId="6A4B750C" w14:textId="63CB8BB1" w:rsidR="00430447" w:rsidRDefault="00430447" w:rsidP="00430447">
            <w:pPr>
              <w:jc w:val="both"/>
              <w:rPr>
                <w:rFonts w:ascii="Times New Roman" w:hAnsi="Times New Roman" w:cs="Times New Roman"/>
                <w:sz w:val="24"/>
                <w:szCs w:val="24"/>
              </w:rPr>
            </w:pPr>
            <w:r w:rsidRPr="00F2117C">
              <w:rPr>
                <w:rFonts w:ascii="Calibri" w:eastAsia="Calibri" w:hAnsi="Calibri" w:cs="Calibri"/>
                <w:b/>
                <w:bCs/>
              </w:rPr>
              <w:t>Number of Patients</w:t>
            </w:r>
          </w:p>
        </w:tc>
      </w:tr>
      <w:tr w:rsidR="00430447" w14:paraId="197F4A44" w14:textId="77777777" w:rsidTr="00430447">
        <w:tc>
          <w:tcPr>
            <w:tcW w:w="4675" w:type="dxa"/>
          </w:tcPr>
          <w:p w14:paraId="26D85375" w14:textId="4E086C68" w:rsidR="00430447" w:rsidRDefault="00430447" w:rsidP="00430447">
            <w:pPr>
              <w:jc w:val="both"/>
              <w:rPr>
                <w:rFonts w:ascii="Times New Roman" w:hAnsi="Times New Roman" w:cs="Times New Roman"/>
                <w:sz w:val="24"/>
                <w:szCs w:val="24"/>
              </w:rPr>
            </w:pPr>
            <w:r w:rsidRPr="00F2117C">
              <w:rPr>
                <w:rFonts w:ascii="Calibri" w:eastAsia="Calibri" w:hAnsi="Calibri" w:cs="Calibri"/>
              </w:rPr>
              <w:t>Morton Inpatient Units</w:t>
            </w:r>
          </w:p>
        </w:tc>
        <w:tc>
          <w:tcPr>
            <w:tcW w:w="4675" w:type="dxa"/>
          </w:tcPr>
          <w:p w14:paraId="5406873E" w14:textId="3433C0E7" w:rsidR="00430447" w:rsidRDefault="00430447" w:rsidP="00430447">
            <w:pPr>
              <w:jc w:val="both"/>
              <w:rPr>
                <w:rFonts w:ascii="Times New Roman" w:hAnsi="Times New Roman" w:cs="Times New Roman"/>
                <w:sz w:val="24"/>
                <w:szCs w:val="24"/>
              </w:rPr>
            </w:pPr>
            <w:r w:rsidRPr="00F2117C">
              <w:rPr>
                <w:rFonts w:ascii="Calibri" w:eastAsia="Calibri" w:hAnsi="Calibri" w:cs="Calibri"/>
              </w:rPr>
              <w:t>2</w:t>
            </w:r>
          </w:p>
        </w:tc>
      </w:tr>
      <w:tr w:rsidR="00430447" w14:paraId="73517E0C" w14:textId="77777777" w:rsidTr="00430447">
        <w:tc>
          <w:tcPr>
            <w:tcW w:w="4675" w:type="dxa"/>
          </w:tcPr>
          <w:p w14:paraId="167609FB" w14:textId="407C1FB5" w:rsidR="00430447" w:rsidRDefault="00430447" w:rsidP="00430447">
            <w:pPr>
              <w:jc w:val="both"/>
              <w:rPr>
                <w:rFonts w:ascii="Times New Roman" w:hAnsi="Times New Roman" w:cs="Times New Roman"/>
                <w:sz w:val="24"/>
                <w:szCs w:val="24"/>
              </w:rPr>
            </w:pPr>
            <w:r w:rsidRPr="00F2117C">
              <w:rPr>
                <w:rFonts w:ascii="Calibri" w:eastAsia="Calibri" w:hAnsi="Calibri" w:cs="Calibri"/>
              </w:rPr>
              <w:t>Morton Emergency Department</w:t>
            </w:r>
          </w:p>
        </w:tc>
        <w:tc>
          <w:tcPr>
            <w:tcW w:w="4675" w:type="dxa"/>
          </w:tcPr>
          <w:p w14:paraId="49699A4E" w14:textId="74D928A9" w:rsidR="00430447" w:rsidRDefault="00430447" w:rsidP="00430447">
            <w:pPr>
              <w:jc w:val="both"/>
              <w:rPr>
                <w:rFonts w:ascii="Times New Roman" w:hAnsi="Times New Roman" w:cs="Times New Roman"/>
                <w:sz w:val="24"/>
                <w:szCs w:val="24"/>
              </w:rPr>
            </w:pPr>
            <w:r w:rsidRPr="00F2117C">
              <w:rPr>
                <w:rFonts w:ascii="Calibri" w:eastAsia="Calibri" w:hAnsi="Calibri" w:cs="Calibri"/>
              </w:rPr>
              <w:t>8</w:t>
            </w:r>
          </w:p>
        </w:tc>
      </w:tr>
      <w:tr w:rsidR="00430447" w14:paraId="0755856C" w14:textId="77777777" w:rsidTr="00430447">
        <w:tc>
          <w:tcPr>
            <w:tcW w:w="4675" w:type="dxa"/>
          </w:tcPr>
          <w:p w14:paraId="185D78CA" w14:textId="49F9C74A" w:rsidR="00430447" w:rsidRDefault="00430447" w:rsidP="00430447">
            <w:pPr>
              <w:jc w:val="both"/>
              <w:rPr>
                <w:rFonts w:ascii="Times New Roman" w:hAnsi="Times New Roman" w:cs="Times New Roman"/>
                <w:sz w:val="24"/>
                <w:szCs w:val="24"/>
              </w:rPr>
            </w:pPr>
            <w:r w:rsidRPr="00F2117C">
              <w:rPr>
                <w:rFonts w:ascii="Calibri" w:eastAsia="Calibri" w:hAnsi="Calibri" w:cs="Calibri"/>
              </w:rPr>
              <w:t xml:space="preserve">Other Acute Care Facility </w:t>
            </w:r>
          </w:p>
        </w:tc>
        <w:tc>
          <w:tcPr>
            <w:tcW w:w="4675" w:type="dxa"/>
          </w:tcPr>
          <w:p w14:paraId="54EF9C8C" w14:textId="0E5F514E" w:rsidR="00430447" w:rsidRDefault="00430447" w:rsidP="00430447">
            <w:pPr>
              <w:jc w:val="both"/>
              <w:rPr>
                <w:rFonts w:ascii="Times New Roman" w:hAnsi="Times New Roman" w:cs="Times New Roman"/>
                <w:sz w:val="24"/>
                <w:szCs w:val="24"/>
              </w:rPr>
            </w:pPr>
            <w:r>
              <w:rPr>
                <w:rFonts w:ascii="Calibri" w:eastAsia="Calibri" w:hAnsi="Calibri" w:cs="Calibri"/>
              </w:rPr>
              <w:t>14</w:t>
            </w:r>
          </w:p>
        </w:tc>
      </w:tr>
      <w:tr w:rsidR="00430447" w14:paraId="0EB553E0" w14:textId="77777777" w:rsidTr="00430447">
        <w:tc>
          <w:tcPr>
            <w:tcW w:w="4675" w:type="dxa"/>
          </w:tcPr>
          <w:p w14:paraId="76EC3C8C" w14:textId="79BED4A1" w:rsidR="00430447" w:rsidRDefault="00430447" w:rsidP="00430447">
            <w:pPr>
              <w:jc w:val="both"/>
              <w:rPr>
                <w:rFonts w:ascii="Times New Roman" w:hAnsi="Times New Roman" w:cs="Times New Roman"/>
                <w:sz w:val="24"/>
                <w:szCs w:val="24"/>
              </w:rPr>
            </w:pPr>
            <w:proofErr w:type="spellStart"/>
            <w:r w:rsidRPr="00F2117C">
              <w:rPr>
                <w:rFonts w:asciiTheme="minorHAnsi" w:eastAsia="Calibri" w:hAnsiTheme="minorHAnsi" w:cstheme="minorHAnsi"/>
                <w:color w:val="000000"/>
              </w:rPr>
              <w:t>Self present</w:t>
            </w:r>
            <w:proofErr w:type="spellEnd"/>
            <w:r w:rsidRPr="00F2117C">
              <w:rPr>
                <w:rFonts w:asciiTheme="minorHAnsi" w:eastAsia="Calibri" w:hAnsiTheme="minorHAnsi" w:cstheme="minorHAnsi"/>
                <w:color w:val="000000"/>
              </w:rPr>
              <w:t>/non-healthcare referral</w:t>
            </w:r>
          </w:p>
        </w:tc>
        <w:tc>
          <w:tcPr>
            <w:tcW w:w="4675" w:type="dxa"/>
          </w:tcPr>
          <w:p w14:paraId="5FDBCF87" w14:textId="28F026A4" w:rsidR="00430447" w:rsidRDefault="00430447" w:rsidP="00430447">
            <w:pPr>
              <w:jc w:val="both"/>
              <w:rPr>
                <w:rFonts w:ascii="Times New Roman" w:hAnsi="Times New Roman" w:cs="Times New Roman"/>
                <w:sz w:val="24"/>
                <w:szCs w:val="24"/>
              </w:rPr>
            </w:pPr>
            <w:r w:rsidRPr="00F2117C">
              <w:rPr>
                <w:rFonts w:ascii="Calibri" w:eastAsia="Calibri" w:hAnsi="Calibri" w:cs="Calibri"/>
              </w:rPr>
              <w:t>166</w:t>
            </w:r>
          </w:p>
        </w:tc>
      </w:tr>
      <w:tr w:rsidR="00430447" w14:paraId="60F18BCD" w14:textId="77777777" w:rsidTr="00430447">
        <w:tc>
          <w:tcPr>
            <w:tcW w:w="4675" w:type="dxa"/>
          </w:tcPr>
          <w:p w14:paraId="0D71CA39" w14:textId="2D8D3474" w:rsidR="00430447" w:rsidRPr="00F2117C" w:rsidRDefault="00430447" w:rsidP="00430447">
            <w:pPr>
              <w:jc w:val="both"/>
              <w:rPr>
                <w:rFonts w:asciiTheme="minorHAnsi" w:eastAsia="Calibri" w:hAnsiTheme="minorHAnsi" w:cstheme="minorHAnsi"/>
                <w:color w:val="000000"/>
              </w:rPr>
            </w:pPr>
            <w:r>
              <w:rPr>
                <w:rFonts w:asciiTheme="minorHAnsi" w:eastAsia="Calibri" w:hAnsiTheme="minorHAnsi" w:cstheme="minorHAnsi"/>
              </w:rPr>
              <w:t>R</w:t>
            </w:r>
            <w:r w:rsidRPr="00F2117C">
              <w:rPr>
                <w:rFonts w:asciiTheme="minorHAnsi" w:eastAsia="Calibri" w:hAnsiTheme="minorHAnsi" w:cstheme="minorHAnsi"/>
              </w:rPr>
              <w:t>eferral from another HC facility</w:t>
            </w:r>
          </w:p>
        </w:tc>
        <w:tc>
          <w:tcPr>
            <w:tcW w:w="4675" w:type="dxa"/>
          </w:tcPr>
          <w:p w14:paraId="6167A9FF" w14:textId="1D221F15" w:rsidR="00430447" w:rsidRPr="00F2117C" w:rsidRDefault="00430447" w:rsidP="00430447">
            <w:pPr>
              <w:jc w:val="both"/>
              <w:rPr>
                <w:rFonts w:ascii="Calibri" w:eastAsia="Calibri" w:hAnsi="Calibri" w:cs="Calibri"/>
              </w:rPr>
            </w:pPr>
            <w:r w:rsidRPr="00F2117C">
              <w:rPr>
                <w:rFonts w:ascii="Calibri" w:eastAsia="Calibri" w:hAnsi="Calibri" w:cs="Calibri"/>
              </w:rPr>
              <w:t>5</w:t>
            </w:r>
          </w:p>
        </w:tc>
      </w:tr>
    </w:tbl>
    <w:p w14:paraId="08790A6C" w14:textId="77777777" w:rsidR="00F2117C" w:rsidRDefault="00F2117C" w:rsidP="00F44EF9">
      <w:pPr>
        <w:jc w:val="both"/>
        <w:rPr>
          <w:rFonts w:ascii="Times New Roman" w:hAnsi="Times New Roman" w:cs="Times New Roman"/>
          <w:sz w:val="24"/>
          <w:szCs w:val="24"/>
        </w:rPr>
      </w:pPr>
    </w:p>
    <w:p w14:paraId="4FC9FDFB" w14:textId="5F7EC79F" w:rsidR="00F2117C" w:rsidRDefault="00F2117C" w:rsidP="002A2ECF">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Hospital also reviewed the mode of arrival for patients presenting at MORCAP from acute care facilities. The following chart shows that half of these patients arrived independently. The Hospital does </w:t>
      </w:r>
      <w:r w:rsidR="003F6DCD">
        <w:rPr>
          <w:rFonts w:ascii="Times New Roman" w:eastAsia="Calibri" w:hAnsi="Times New Roman" w:cs="Times New Roman"/>
          <w:sz w:val="24"/>
          <w:szCs w:val="24"/>
        </w:rPr>
        <w:t>note</w:t>
      </w:r>
      <w:r>
        <w:rPr>
          <w:rFonts w:ascii="Times New Roman" w:eastAsia="Calibri" w:hAnsi="Times New Roman" w:cs="Times New Roman"/>
          <w:sz w:val="24"/>
          <w:szCs w:val="24"/>
        </w:rPr>
        <w:t xml:space="preserve"> that the other half of these patients receive</w:t>
      </w:r>
      <w:r w:rsidR="003F6DCD">
        <w:rPr>
          <w:rFonts w:ascii="Times New Roman" w:eastAsia="Calibri" w:hAnsi="Times New Roman" w:cs="Times New Roman"/>
          <w:sz w:val="24"/>
          <w:szCs w:val="24"/>
        </w:rPr>
        <w:t>d</w:t>
      </w:r>
      <w:r>
        <w:rPr>
          <w:rFonts w:ascii="Times New Roman" w:eastAsia="Calibri" w:hAnsi="Times New Roman" w:cs="Times New Roman"/>
          <w:sz w:val="24"/>
          <w:szCs w:val="24"/>
        </w:rPr>
        <w:t xml:space="preserve"> ambulance transportation by the transferring facility. Based on review of other SUD emergency departments’ approach to transportation of patients, there </w:t>
      </w:r>
      <w:r w:rsidR="003F6DCD">
        <w:rPr>
          <w:rFonts w:ascii="Times New Roman" w:eastAsia="Calibri" w:hAnsi="Times New Roman" w:cs="Times New Roman"/>
          <w:sz w:val="24"/>
          <w:szCs w:val="24"/>
        </w:rPr>
        <w:t>appears to be</w:t>
      </w:r>
      <w:r>
        <w:rPr>
          <w:rFonts w:ascii="Times New Roman" w:eastAsia="Calibri" w:hAnsi="Times New Roman" w:cs="Times New Roman"/>
          <w:sz w:val="24"/>
          <w:szCs w:val="24"/>
        </w:rPr>
        <w:t xml:space="preserve"> a policy to provide transportation </w:t>
      </w:r>
      <w:r w:rsidR="002A2ECF">
        <w:rPr>
          <w:rFonts w:ascii="Times New Roman" w:eastAsia="Calibri" w:hAnsi="Times New Roman" w:cs="Times New Roman"/>
          <w:sz w:val="24"/>
          <w:szCs w:val="24"/>
        </w:rPr>
        <w:t xml:space="preserve">to level 4.0 SUD facilities </w:t>
      </w:r>
      <w:r>
        <w:rPr>
          <w:rFonts w:ascii="Times New Roman" w:eastAsia="Calibri" w:hAnsi="Times New Roman" w:cs="Times New Roman"/>
          <w:sz w:val="24"/>
          <w:szCs w:val="24"/>
        </w:rPr>
        <w:t xml:space="preserve">for alcohol withdrawal patients receiving intravenous benzodiazepines or equivalent medication. </w:t>
      </w:r>
      <w:r w:rsidR="003F6DCD">
        <w:rPr>
          <w:rFonts w:ascii="Times New Roman" w:eastAsia="Calibri" w:hAnsi="Times New Roman" w:cs="Times New Roman"/>
          <w:sz w:val="24"/>
          <w:szCs w:val="24"/>
        </w:rPr>
        <w:t>However, t</w:t>
      </w:r>
      <w:r w:rsidR="002A2ECF">
        <w:rPr>
          <w:rFonts w:ascii="Times New Roman" w:eastAsia="Calibri" w:hAnsi="Times New Roman" w:cs="Times New Roman"/>
          <w:sz w:val="24"/>
          <w:szCs w:val="24"/>
        </w:rPr>
        <w:t xml:space="preserve">he majority of opioid-withdrawal patients arrived by personal, family, or private transportation. Only 4% of all admitted patients were admitted from the Hospital’s emergency department. </w:t>
      </w:r>
    </w:p>
    <w:p w14:paraId="1DBCF7C7" w14:textId="757A5F09" w:rsidR="00430447" w:rsidRDefault="00430447" w:rsidP="002A2ECF">
      <w:pPr>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30447" w14:paraId="1A7A84B2" w14:textId="77777777" w:rsidTr="00430447">
        <w:tc>
          <w:tcPr>
            <w:tcW w:w="4675" w:type="dxa"/>
          </w:tcPr>
          <w:p w14:paraId="10920163" w14:textId="5976205E"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b/>
                <w:bCs/>
              </w:rPr>
              <w:t xml:space="preserve">Arrival Mode from </w:t>
            </w:r>
            <w:r>
              <w:rPr>
                <w:rFonts w:ascii="Calibri" w:eastAsia="Calibri" w:hAnsi="Calibri" w:cs="Calibri"/>
                <w:b/>
                <w:bCs/>
              </w:rPr>
              <w:t>Other</w:t>
            </w:r>
            <w:r w:rsidRPr="00F2117C">
              <w:rPr>
                <w:rFonts w:ascii="Calibri" w:eastAsia="Calibri" w:hAnsi="Calibri" w:cs="Calibri"/>
                <w:b/>
                <w:bCs/>
              </w:rPr>
              <w:t xml:space="preserve"> Acute Care Facility </w:t>
            </w:r>
          </w:p>
        </w:tc>
        <w:tc>
          <w:tcPr>
            <w:tcW w:w="4675" w:type="dxa"/>
          </w:tcPr>
          <w:p w14:paraId="4C4BFECB" w14:textId="23C4A15F"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b/>
                <w:bCs/>
              </w:rPr>
              <w:t>Number of Patients</w:t>
            </w:r>
          </w:p>
        </w:tc>
      </w:tr>
      <w:tr w:rsidR="00430447" w14:paraId="7CD452DF" w14:textId="77777777" w:rsidTr="00430447">
        <w:tc>
          <w:tcPr>
            <w:tcW w:w="4675" w:type="dxa"/>
          </w:tcPr>
          <w:p w14:paraId="6941570F" w14:textId="76847C3A" w:rsidR="00430447" w:rsidRDefault="00430447" w:rsidP="00430447">
            <w:pPr>
              <w:jc w:val="both"/>
              <w:rPr>
                <w:rFonts w:ascii="Times New Roman" w:eastAsia="Calibri" w:hAnsi="Times New Roman" w:cs="Times New Roman"/>
                <w:sz w:val="24"/>
                <w:szCs w:val="24"/>
              </w:rPr>
            </w:pPr>
            <w:r>
              <w:rPr>
                <w:rFonts w:ascii="Calibri" w:eastAsia="Calibri" w:hAnsi="Calibri" w:cs="Calibri"/>
              </w:rPr>
              <w:t xml:space="preserve">Personal Car </w:t>
            </w:r>
          </w:p>
        </w:tc>
        <w:tc>
          <w:tcPr>
            <w:tcW w:w="4675" w:type="dxa"/>
          </w:tcPr>
          <w:p w14:paraId="0AB5D5B6" w14:textId="539EA585"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rPr>
              <w:t>0</w:t>
            </w:r>
          </w:p>
        </w:tc>
      </w:tr>
      <w:tr w:rsidR="00430447" w14:paraId="24B05BA2" w14:textId="77777777" w:rsidTr="00430447">
        <w:tc>
          <w:tcPr>
            <w:tcW w:w="4675" w:type="dxa"/>
          </w:tcPr>
          <w:p w14:paraId="787C3835" w14:textId="0840C140"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rPr>
              <w:t>Ambulance</w:t>
            </w:r>
          </w:p>
        </w:tc>
        <w:tc>
          <w:tcPr>
            <w:tcW w:w="4675" w:type="dxa"/>
          </w:tcPr>
          <w:p w14:paraId="50854B8E" w14:textId="3742773D"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rPr>
              <w:t>7</w:t>
            </w:r>
          </w:p>
        </w:tc>
      </w:tr>
      <w:tr w:rsidR="00430447" w14:paraId="1BB738C1" w14:textId="77777777" w:rsidTr="00430447">
        <w:tc>
          <w:tcPr>
            <w:tcW w:w="4675" w:type="dxa"/>
          </w:tcPr>
          <w:p w14:paraId="1CB80F8D" w14:textId="0BE5217A" w:rsidR="00430447" w:rsidRDefault="00430447" w:rsidP="00430447">
            <w:pPr>
              <w:jc w:val="both"/>
              <w:rPr>
                <w:rFonts w:ascii="Times New Roman" w:eastAsia="Calibri" w:hAnsi="Times New Roman" w:cs="Times New Roman"/>
                <w:sz w:val="24"/>
                <w:szCs w:val="24"/>
              </w:rPr>
            </w:pPr>
            <w:r>
              <w:rPr>
                <w:rFonts w:ascii="Calibri" w:eastAsia="Calibri" w:hAnsi="Calibri" w:cs="Calibri"/>
              </w:rPr>
              <w:t>Family Transport</w:t>
            </w:r>
          </w:p>
        </w:tc>
        <w:tc>
          <w:tcPr>
            <w:tcW w:w="4675" w:type="dxa"/>
          </w:tcPr>
          <w:p w14:paraId="5C394274" w14:textId="7041EF47"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rPr>
              <w:t>1</w:t>
            </w:r>
          </w:p>
        </w:tc>
      </w:tr>
      <w:tr w:rsidR="00430447" w14:paraId="3ED5F901" w14:textId="77777777" w:rsidTr="00430447">
        <w:tc>
          <w:tcPr>
            <w:tcW w:w="4675" w:type="dxa"/>
          </w:tcPr>
          <w:p w14:paraId="5F090B12" w14:textId="2C856C35"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rPr>
              <w:t>Lyft/</w:t>
            </w:r>
            <w:r>
              <w:rPr>
                <w:rFonts w:ascii="Calibri" w:eastAsia="Calibri" w:hAnsi="Calibri" w:cs="Calibri"/>
              </w:rPr>
              <w:t>U</w:t>
            </w:r>
            <w:r w:rsidRPr="00F2117C">
              <w:rPr>
                <w:rFonts w:ascii="Calibri" w:eastAsia="Calibri" w:hAnsi="Calibri" w:cs="Calibri"/>
              </w:rPr>
              <w:t>ber/</w:t>
            </w:r>
            <w:r>
              <w:rPr>
                <w:rFonts w:ascii="Calibri" w:eastAsia="Calibri" w:hAnsi="Calibri" w:cs="Calibri"/>
              </w:rPr>
              <w:t>C</w:t>
            </w:r>
            <w:r w:rsidRPr="00F2117C">
              <w:rPr>
                <w:rFonts w:ascii="Calibri" w:eastAsia="Calibri" w:hAnsi="Calibri" w:cs="Calibri"/>
              </w:rPr>
              <w:t>ab</w:t>
            </w:r>
            <w:r>
              <w:rPr>
                <w:rFonts w:ascii="Calibri" w:eastAsia="Calibri" w:hAnsi="Calibri" w:cs="Calibri"/>
              </w:rPr>
              <w:t xml:space="preserve">/Private </w:t>
            </w:r>
          </w:p>
        </w:tc>
        <w:tc>
          <w:tcPr>
            <w:tcW w:w="4675" w:type="dxa"/>
          </w:tcPr>
          <w:p w14:paraId="78FA8BE6" w14:textId="1594F902" w:rsidR="00430447" w:rsidRDefault="00430447" w:rsidP="00430447">
            <w:pPr>
              <w:jc w:val="both"/>
              <w:rPr>
                <w:rFonts w:ascii="Times New Roman" w:eastAsia="Calibri" w:hAnsi="Times New Roman" w:cs="Times New Roman"/>
                <w:sz w:val="24"/>
                <w:szCs w:val="24"/>
              </w:rPr>
            </w:pPr>
            <w:r w:rsidRPr="00F2117C">
              <w:rPr>
                <w:rFonts w:ascii="Calibri" w:eastAsia="Calibri" w:hAnsi="Calibri" w:cs="Calibri"/>
              </w:rPr>
              <w:t>6</w:t>
            </w:r>
          </w:p>
        </w:tc>
      </w:tr>
    </w:tbl>
    <w:p w14:paraId="729CE2FD" w14:textId="77777777" w:rsidR="00430447" w:rsidRPr="00F2117C" w:rsidRDefault="00430447" w:rsidP="002A2ECF">
      <w:pPr>
        <w:jc w:val="both"/>
        <w:rPr>
          <w:rFonts w:ascii="Times New Roman" w:eastAsia="Calibri" w:hAnsi="Times New Roman" w:cs="Times New Roman"/>
          <w:sz w:val="24"/>
          <w:szCs w:val="24"/>
        </w:rPr>
      </w:pPr>
    </w:p>
    <w:p w14:paraId="37348BDE" w14:textId="77777777" w:rsidR="002A2ECF" w:rsidRDefault="002A2ECF" w:rsidP="00F44EF9">
      <w:pPr>
        <w:jc w:val="both"/>
        <w:rPr>
          <w:rFonts w:ascii="Times New Roman" w:hAnsi="Times New Roman" w:cs="Times New Roman"/>
          <w:sz w:val="24"/>
          <w:szCs w:val="24"/>
        </w:rPr>
      </w:pPr>
      <w:r>
        <w:rPr>
          <w:rFonts w:ascii="Times New Roman" w:hAnsi="Times New Roman" w:cs="Times New Roman"/>
          <w:sz w:val="24"/>
          <w:szCs w:val="24"/>
        </w:rPr>
        <w:t xml:space="preserve">Based on this analysis, the Hospital </w:t>
      </w:r>
      <w:r w:rsidR="003F6DCD">
        <w:rPr>
          <w:rFonts w:ascii="Times New Roman" w:hAnsi="Times New Roman" w:cs="Times New Roman"/>
          <w:sz w:val="24"/>
          <w:szCs w:val="24"/>
        </w:rPr>
        <w:t xml:space="preserve">has decided to establish a policy for </w:t>
      </w:r>
      <w:r w:rsidR="00273A08">
        <w:rPr>
          <w:rFonts w:ascii="Times New Roman" w:hAnsi="Times New Roman" w:cs="Times New Roman"/>
          <w:sz w:val="24"/>
          <w:szCs w:val="24"/>
        </w:rPr>
        <w:t>arranging</w:t>
      </w:r>
      <w:r>
        <w:rPr>
          <w:rFonts w:ascii="Times New Roman" w:hAnsi="Times New Roman" w:cs="Times New Roman"/>
          <w:sz w:val="24"/>
          <w:szCs w:val="24"/>
        </w:rPr>
        <w:t xml:space="preserve"> basic life support ambulance transportation for patients requiring medically necessary (e.g. patients receiving certain IV-drugs for withdrawal) transportation from the Hospital’s emergency department to another level 4.0 or higher level detoxification facility.  </w:t>
      </w:r>
    </w:p>
    <w:p w14:paraId="75E6A760" w14:textId="77777777" w:rsidR="002A2ECF" w:rsidRDefault="002A2ECF" w:rsidP="00F44EF9">
      <w:pPr>
        <w:jc w:val="both"/>
        <w:rPr>
          <w:rFonts w:ascii="Times New Roman" w:hAnsi="Times New Roman" w:cs="Times New Roman"/>
          <w:sz w:val="24"/>
          <w:szCs w:val="24"/>
        </w:rPr>
      </w:pPr>
    </w:p>
    <w:p w14:paraId="2CB00503" w14:textId="77777777" w:rsidR="00422A46" w:rsidRDefault="00422A46" w:rsidP="00F44EF9">
      <w:pPr>
        <w:jc w:val="both"/>
        <w:rPr>
          <w:rFonts w:ascii="Times New Roman" w:hAnsi="Times New Roman" w:cs="Times New Roman"/>
          <w:sz w:val="24"/>
          <w:szCs w:val="24"/>
        </w:rPr>
      </w:pPr>
      <w:r>
        <w:rPr>
          <w:rFonts w:ascii="Times New Roman" w:hAnsi="Times New Roman" w:cs="Times New Roman"/>
          <w:sz w:val="24"/>
          <w:szCs w:val="24"/>
        </w:rPr>
        <w:t xml:space="preserve">The Department’s comments asking how the Hospital plans to address transportation needs of patients in and outside of the service area post-MORCAP closure seems to suggest that the Hospital should provide either direct transportation or utilize a voucher-type program for taxi or rideshares. The Hospital wishes to share that the approach of providing vouchers for taxis or rideshares was considered, but because of the Hospital’s enrollment in federal payer programs, the Hospital is subject to liability under the fraud and abuse </w:t>
      </w:r>
      <w:r w:rsidR="003F6DCD">
        <w:rPr>
          <w:rFonts w:ascii="Times New Roman" w:hAnsi="Times New Roman" w:cs="Times New Roman"/>
          <w:sz w:val="24"/>
          <w:szCs w:val="24"/>
        </w:rPr>
        <w:t>rules (“Rules”)</w:t>
      </w:r>
      <w:r>
        <w:rPr>
          <w:rFonts w:ascii="Times New Roman" w:hAnsi="Times New Roman" w:cs="Times New Roman"/>
          <w:sz w:val="24"/>
          <w:szCs w:val="24"/>
        </w:rPr>
        <w:t xml:space="preserve">. </w:t>
      </w:r>
      <w:r w:rsidR="003F6DCD">
        <w:rPr>
          <w:rFonts w:ascii="Times New Roman" w:hAnsi="Times New Roman" w:cs="Times New Roman"/>
          <w:sz w:val="24"/>
          <w:szCs w:val="24"/>
        </w:rPr>
        <w:t xml:space="preserve">The Hospital is required to be in compliance with such requirements and our analysis of the Rules has confirmed that </w:t>
      </w:r>
      <w:r w:rsidR="003F6DCD" w:rsidRPr="003F6DCD">
        <w:rPr>
          <w:rFonts w:ascii="Times New Roman" w:hAnsi="Times New Roman" w:cs="Times New Roman"/>
          <w:sz w:val="24"/>
          <w:szCs w:val="24"/>
          <w:u w:val="single"/>
        </w:rPr>
        <w:t>under the circumstances provided</w:t>
      </w:r>
      <w:r w:rsidR="003F6DCD">
        <w:rPr>
          <w:rFonts w:ascii="Times New Roman" w:hAnsi="Times New Roman" w:cs="Times New Roman"/>
          <w:sz w:val="24"/>
          <w:szCs w:val="24"/>
        </w:rPr>
        <w:t xml:space="preserve">, there is </w:t>
      </w:r>
      <w:r>
        <w:rPr>
          <w:rFonts w:ascii="Times New Roman" w:hAnsi="Times New Roman" w:cs="Times New Roman"/>
          <w:sz w:val="24"/>
          <w:szCs w:val="24"/>
        </w:rPr>
        <w:t xml:space="preserve">no “safe harbor” to allow the Hospital </w:t>
      </w:r>
      <w:r w:rsidR="00F31176">
        <w:rPr>
          <w:rFonts w:ascii="Times New Roman" w:hAnsi="Times New Roman" w:cs="Times New Roman"/>
          <w:sz w:val="24"/>
          <w:szCs w:val="24"/>
        </w:rPr>
        <w:t xml:space="preserve">a legal </w:t>
      </w:r>
      <w:r>
        <w:rPr>
          <w:rFonts w:ascii="Times New Roman" w:hAnsi="Times New Roman" w:cs="Times New Roman"/>
          <w:sz w:val="24"/>
          <w:szCs w:val="24"/>
        </w:rPr>
        <w:t>pathway to provide</w:t>
      </w:r>
      <w:r w:rsidR="00F31176">
        <w:rPr>
          <w:rFonts w:ascii="Times New Roman" w:hAnsi="Times New Roman" w:cs="Times New Roman"/>
          <w:sz w:val="24"/>
          <w:szCs w:val="24"/>
        </w:rPr>
        <w:t xml:space="preserve"> vouchers to patients. </w:t>
      </w:r>
    </w:p>
    <w:p w14:paraId="77BD16BC" w14:textId="77777777" w:rsidR="00F31176" w:rsidRDefault="00F31176" w:rsidP="00F44EF9">
      <w:pPr>
        <w:jc w:val="both"/>
        <w:rPr>
          <w:rFonts w:ascii="Times New Roman" w:hAnsi="Times New Roman" w:cs="Times New Roman"/>
          <w:sz w:val="24"/>
          <w:szCs w:val="24"/>
        </w:rPr>
      </w:pPr>
    </w:p>
    <w:p w14:paraId="2C1E118D" w14:textId="3F6745BC" w:rsidR="00F44EF9" w:rsidRDefault="003F6DCD" w:rsidP="00F44EF9">
      <w:pPr>
        <w:jc w:val="both"/>
        <w:rPr>
          <w:rFonts w:ascii="Times New Roman" w:hAnsi="Times New Roman" w:cs="Times New Roman"/>
          <w:sz w:val="24"/>
          <w:szCs w:val="24"/>
        </w:rPr>
      </w:pPr>
      <w:r w:rsidRPr="003F6DCD">
        <w:rPr>
          <w:rFonts w:ascii="Times New Roman" w:hAnsi="Times New Roman" w:cs="Times New Roman"/>
          <w:sz w:val="24"/>
          <w:szCs w:val="24"/>
        </w:rPr>
        <w:t xml:space="preserve">Thus, this basic life support ambulance transport policy, combined with public transportation routes and the availability of personal transport options supports the Hospital’s position that it has developed an approach </w:t>
      </w:r>
      <w:r w:rsidR="00C97F05">
        <w:rPr>
          <w:rFonts w:ascii="Times New Roman" w:hAnsi="Times New Roman" w:cs="Times New Roman"/>
          <w:sz w:val="24"/>
          <w:szCs w:val="24"/>
        </w:rPr>
        <w:t>for</w:t>
      </w:r>
      <w:r w:rsidRPr="003F6DCD">
        <w:rPr>
          <w:rFonts w:ascii="Times New Roman" w:hAnsi="Times New Roman" w:cs="Times New Roman"/>
          <w:sz w:val="24"/>
          <w:szCs w:val="24"/>
        </w:rPr>
        <w:t xml:space="preserve"> transport to alternative care sites that ensures access for the surrounding community post-closure of the MORCAP.</w:t>
      </w:r>
    </w:p>
    <w:p w14:paraId="18940D64" w14:textId="77777777" w:rsidR="003F6DCD" w:rsidRDefault="003F6DCD" w:rsidP="00F44EF9">
      <w:pPr>
        <w:jc w:val="both"/>
        <w:rPr>
          <w:rFonts w:ascii="Times New Roman" w:hAnsi="Times New Roman" w:cs="Times New Roman"/>
          <w:sz w:val="24"/>
          <w:szCs w:val="24"/>
        </w:rPr>
      </w:pPr>
    </w:p>
    <w:p w14:paraId="02D26D87" w14:textId="77777777" w:rsidR="00F44EF9" w:rsidRPr="00BB619D" w:rsidRDefault="00BB619D" w:rsidP="00BB619D">
      <w:pPr>
        <w:pStyle w:val="ListParagraph"/>
        <w:numPr>
          <w:ilvl w:val="0"/>
          <w:numId w:val="3"/>
        </w:numPr>
        <w:jc w:val="both"/>
        <w:rPr>
          <w:rFonts w:ascii="Times New Roman" w:hAnsi="Times New Roman" w:cs="Times New Roman"/>
          <w:sz w:val="24"/>
          <w:szCs w:val="24"/>
        </w:rPr>
      </w:pPr>
      <w:r w:rsidRPr="00BB619D">
        <w:rPr>
          <w:rFonts w:ascii="Times New Roman" w:hAnsi="Times New Roman" w:cs="Times New Roman"/>
          <w:b/>
          <w:bCs/>
          <w:sz w:val="24"/>
          <w:szCs w:val="24"/>
        </w:rPr>
        <w:t>Community Engagement:  In your Response, the Hospital stated that it continues to work diligently to provide updates to various stakeholders and elected officials in monthly community forums.  While the Hospital has provided information related to one community group, the Community Crisis Intervention team, it does not clearly communicate how long the Hospital intends to continue these meetings and if the Hospital intends to initiate any additional forums, either in person or through other media, that will include other stakeholders, specifically local providers, patients, and state and local elected officials.</w:t>
      </w:r>
    </w:p>
    <w:p w14:paraId="5DC0905C" w14:textId="77777777" w:rsidR="00390631" w:rsidRDefault="00390631" w:rsidP="00390631">
      <w:pPr>
        <w:jc w:val="both"/>
        <w:rPr>
          <w:rFonts w:ascii="Times New Roman" w:hAnsi="Times New Roman" w:cs="Times New Roman"/>
          <w:sz w:val="24"/>
          <w:szCs w:val="24"/>
        </w:rPr>
      </w:pPr>
    </w:p>
    <w:p w14:paraId="3F6EFBBB" w14:textId="77777777" w:rsidR="00390631" w:rsidRPr="00390631" w:rsidRDefault="00390631" w:rsidP="00390631">
      <w:pPr>
        <w:jc w:val="both"/>
        <w:rPr>
          <w:rFonts w:ascii="Times New Roman" w:hAnsi="Times New Roman" w:cs="Times New Roman"/>
          <w:sz w:val="24"/>
          <w:szCs w:val="24"/>
        </w:rPr>
      </w:pPr>
      <w:r>
        <w:rPr>
          <w:rFonts w:ascii="Times New Roman" w:hAnsi="Times New Roman" w:cs="Times New Roman"/>
          <w:sz w:val="24"/>
          <w:szCs w:val="24"/>
        </w:rPr>
        <w:t xml:space="preserve">The Hospital will continue to </w:t>
      </w:r>
      <w:r w:rsidR="00D94E3A">
        <w:rPr>
          <w:rFonts w:ascii="Times New Roman" w:hAnsi="Times New Roman" w:cs="Times New Roman"/>
          <w:sz w:val="24"/>
          <w:szCs w:val="24"/>
        </w:rPr>
        <w:t>meet with</w:t>
      </w:r>
      <w:r>
        <w:rPr>
          <w:rFonts w:ascii="Times New Roman" w:hAnsi="Times New Roman" w:cs="Times New Roman"/>
          <w:sz w:val="24"/>
          <w:szCs w:val="24"/>
        </w:rPr>
        <w:t xml:space="preserve"> the Community Crisis Intervention team for </w:t>
      </w:r>
      <w:r w:rsidR="00D94E3A">
        <w:rPr>
          <w:rFonts w:ascii="Times New Roman" w:hAnsi="Times New Roman" w:cs="Times New Roman"/>
          <w:sz w:val="24"/>
          <w:szCs w:val="24"/>
        </w:rPr>
        <w:t>the period that</w:t>
      </w:r>
      <w:r>
        <w:rPr>
          <w:rFonts w:ascii="Times New Roman" w:hAnsi="Times New Roman" w:cs="Times New Roman"/>
          <w:sz w:val="24"/>
          <w:szCs w:val="24"/>
        </w:rPr>
        <w:t xml:space="preserve"> the MORCAP service remains open. </w:t>
      </w:r>
      <w:r w:rsidR="00986EC7">
        <w:rPr>
          <w:rFonts w:ascii="Times New Roman" w:hAnsi="Times New Roman" w:cs="Times New Roman"/>
          <w:sz w:val="24"/>
          <w:szCs w:val="24"/>
        </w:rPr>
        <w:t>These Community Crisis Intervention meetings are attended by elected officials and various other stakeholders in the Taunton community. The Hospital continues to maintain an open dialogue with the elected officials and stakeholders and are committed to providing public updates at this forum, through signage and notices around the facility, and responding to any requests for information from these stakeholders and officials.</w:t>
      </w:r>
      <w:r>
        <w:rPr>
          <w:rFonts w:ascii="Times New Roman" w:hAnsi="Times New Roman" w:cs="Times New Roman"/>
          <w:sz w:val="24"/>
          <w:szCs w:val="24"/>
        </w:rPr>
        <w:t xml:space="preserve"> </w:t>
      </w:r>
      <w:r w:rsidR="00986EC7">
        <w:rPr>
          <w:rFonts w:ascii="Times New Roman" w:hAnsi="Times New Roman" w:cs="Times New Roman"/>
          <w:sz w:val="24"/>
          <w:szCs w:val="24"/>
        </w:rPr>
        <w:t>Additionally, t</w:t>
      </w:r>
      <w:r>
        <w:rPr>
          <w:rFonts w:ascii="Times New Roman" w:hAnsi="Times New Roman" w:cs="Times New Roman"/>
          <w:sz w:val="24"/>
          <w:szCs w:val="24"/>
        </w:rPr>
        <w:t xml:space="preserve">he Hospital’s providers and primary care physicians </w:t>
      </w:r>
      <w:r w:rsidR="00986EC7">
        <w:rPr>
          <w:rFonts w:ascii="Times New Roman" w:hAnsi="Times New Roman" w:cs="Times New Roman"/>
          <w:sz w:val="24"/>
          <w:szCs w:val="24"/>
        </w:rPr>
        <w:t>are actively</w:t>
      </w:r>
      <w:r>
        <w:rPr>
          <w:rFonts w:ascii="Times New Roman" w:hAnsi="Times New Roman" w:cs="Times New Roman"/>
          <w:sz w:val="24"/>
          <w:szCs w:val="24"/>
        </w:rPr>
        <w:t xml:space="preserve"> educati</w:t>
      </w:r>
      <w:r w:rsidR="00986EC7">
        <w:rPr>
          <w:rFonts w:ascii="Times New Roman" w:hAnsi="Times New Roman" w:cs="Times New Roman"/>
          <w:sz w:val="24"/>
          <w:szCs w:val="24"/>
        </w:rPr>
        <w:t xml:space="preserve">ng their patients on the planned closure, alternate service locations, and taking feedback from these patients. This information is included in current and new patients’ admissions packets. Lastly, the Hospital is </w:t>
      </w:r>
      <w:r w:rsidR="00D94E3A">
        <w:rPr>
          <w:rFonts w:ascii="Times New Roman" w:hAnsi="Times New Roman" w:cs="Times New Roman"/>
          <w:sz w:val="24"/>
          <w:szCs w:val="24"/>
        </w:rPr>
        <w:t>open</w:t>
      </w:r>
      <w:r w:rsidR="00986EC7">
        <w:rPr>
          <w:rFonts w:ascii="Times New Roman" w:hAnsi="Times New Roman" w:cs="Times New Roman"/>
          <w:sz w:val="24"/>
          <w:szCs w:val="24"/>
        </w:rPr>
        <w:t xml:space="preserve"> to </w:t>
      </w:r>
      <w:r w:rsidR="00D94E3A">
        <w:rPr>
          <w:rFonts w:ascii="Times New Roman" w:hAnsi="Times New Roman" w:cs="Times New Roman"/>
          <w:sz w:val="24"/>
          <w:szCs w:val="24"/>
        </w:rPr>
        <w:t>hold</w:t>
      </w:r>
      <w:r w:rsidR="00986EC7">
        <w:rPr>
          <w:rFonts w:ascii="Times New Roman" w:hAnsi="Times New Roman" w:cs="Times New Roman"/>
          <w:sz w:val="24"/>
          <w:szCs w:val="24"/>
        </w:rPr>
        <w:t xml:space="preserve"> additional community forums</w:t>
      </w:r>
      <w:r w:rsidR="00D94E3A">
        <w:rPr>
          <w:rFonts w:ascii="Times New Roman" w:hAnsi="Times New Roman" w:cs="Times New Roman"/>
          <w:sz w:val="24"/>
          <w:szCs w:val="24"/>
        </w:rPr>
        <w:t xml:space="preserve"> and will do so when the time for MORCAP to close approaches</w:t>
      </w:r>
      <w:r w:rsidR="00986EC7">
        <w:rPr>
          <w:rFonts w:ascii="Times New Roman" w:hAnsi="Times New Roman" w:cs="Times New Roman"/>
          <w:sz w:val="24"/>
          <w:szCs w:val="24"/>
        </w:rPr>
        <w:t xml:space="preserve">.   </w:t>
      </w:r>
    </w:p>
    <w:p w14:paraId="1FBC0B67" w14:textId="77777777" w:rsidR="00F44EF9" w:rsidRDefault="00F44EF9" w:rsidP="00F44EF9">
      <w:pPr>
        <w:rPr>
          <w:rFonts w:ascii="Times New Roman" w:hAnsi="Times New Roman" w:cs="Times New Roman"/>
          <w:sz w:val="24"/>
          <w:szCs w:val="24"/>
        </w:rPr>
      </w:pPr>
    </w:p>
    <w:p w14:paraId="0C0E396D" w14:textId="77777777" w:rsidR="00F44EF9" w:rsidRPr="001009BE" w:rsidRDefault="00986EC7" w:rsidP="00F44EF9">
      <w:pPr>
        <w:pStyle w:val="ListParagraph"/>
        <w:numPr>
          <w:ilvl w:val="0"/>
          <w:numId w:val="3"/>
        </w:numPr>
        <w:jc w:val="both"/>
        <w:rPr>
          <w:rFonts w:ascii="Times New Roman" w:hAnsi="Times New Roman" w:cs="Times New Roman"/>
          <w:b/>
          <w:bCs/>
          <w:sz w:val="24"/>
          <w:szCs w:val="24"/>
        </w:rPr>
      </w:pPr>
      <w:r w:rsidRPr="00986EC7">
        <w:rPr>
          <w:rFonts w:ascii="Times New Roman" w:hAnsi="Times New Roman" w:cs="Times New Roman"/>
          <w:b/>
          <w:bCs/>
          <w:sz w:val="24"/>
          <w:szCs w:val="24"/>
        </w:rPr>
        <w:lastRenderedPageBreak/>
        <w:t>Staffing: In the response, the Hospital stated that it continues to engage in recruiting activities as part of the Hospital’s commitment to staff and keep the 18 MORCAP beds open. The Hospital previously indicated that the required nursing staff for the 18 Level 4.0 beds will be available while MORCAP remains open, “. . . to the extent the census and the nursing staff support such staffing.”  In the Hospital’s prior communication on June 15, 2023, the Hospital indicated “MORCAP will maintain 18 beds in operation until CARCAP opens with 25 beds.”  It is still unclear whether the Hospital intends to keep the MORCAP unit open regardless of the census, despite the language from the June 15, 2023 communication.  The Department again requests the Hospital confirm that the MORCAP unit will remain operational regardless of census, as indicated in prior communications, and provide additional detail on how the Hospital plans to provide appropriate staffing, including agency and/or travel nurses.</w:t>
      </w:r>
    </w:p>
    <w:p w14:paraId="18BDB742" w14:textId="77777777" w:rsidR="00F44EF9" w:rsidRDefault="00F44EF9" w:rsidP="00F44EF9">
      <w:pPr>
        <w:rPr>
          <w:rFonts w:ascii="Times New Roman" w:hAnsi="Times New Roman" w:cs="Times New Roman"/>
          <w:sz w:val="24"/>
          <w:szCs w:val="24"/>
        </w:rPr>
      </w:pPr>
    </w:p>
    <w:p w14:paraId="412C1C58" w14:textId="77777777" w:rsidR="00986EC7" w:rsidRDefault="00986EC7" w:rsidP="00D94E3A">
      <w:pPr>
        <w:jc w:val="both"/>
        <w:rPr>
          <w:rFonts w:ascii="Times New Roman" w:hAnsi="Times New Roman" w:cs="Times New Roman"/>
          <w:sz w:val="24"/>
          <w:szCs w:val="24"/>
        </w:rPr>
      </w:pPr>
      <w:r>
        <w:rPr>
          <w:rFonts w:ascii="Times New Roman" w:hAnsi="Times New Roman" w:cs="Times New Roman"/>
          <w:sz w:val="24"/>
          <w:szCs w:val="24"/>
        </w:rPr>
        <w:t xml:space="preserve">The Hospital </w:t>
      </w:r>
      <w:r w:rsidR="00D94E3A">
        <w:rPr>
          <w:rFonts w:ascii="Times New Roman" w:hAnsi="Times New Roman" w:cs="Times New Roman"/>
          <w:sz w:val="24"/>
          <w:szCs w:val="24"/>
        </w:rPr>
        <w:t>wishes</w:t>
      </w:r>
      <w:r>
        <w:rPr>
          <w:rFonts w:ascii="Times New Roman" w:hAnsi="Times New Roman" w:cs="Times New Roman"/>
          <w:sz w:val="24"/>
          <w:szCs w:val="24"/>
        </w:rPr>
        <w:t xml:space="preserve"> to </w:t>
      </w:r>
      <w:r w:rsidR="00D94E3A">
        <w:rPr>
          <w:rFonts w:ascii="Times New Roman" w:hAnsi="Times New Roman" w:cs="Times New Roman"/>
          <w:sz w:val="24"/>
          <w:szCs w:val="24"/>
        </w:rPr>
        <w:t>reiterate</w:t>
      </w:r>
      <w:r>
        <w:rPr>
          <w:rFonts w:ascii="Times New Roman" w:hAnsi="Times New Roman" w:cs="Times New Roman"/>
          <w:sz w:val="24"/>
          <w:szCs w:val="24"/>
        </w:rPr>
        <w:t xml:space="preserve"> that MORCAP will remain open for all 18 Level 4.0 beds until the transition of services to Carney Hospital.  However, the Hospital cannot commit to staffing empty beds, so staffing will be commensurate with the census. This is not to say that the Hospital is manufacturing a lower census by staffing fewer nurses, rather, MORCAP beds are staffed to the patients receiving services. Staffing over the past month compared to actual staffing </w:t>
      </w:r>
      <w:r w:rsidR="00D94E3A">
        <w:rPr>
          <w:rFonts w:ascii="Times New Roman" w:hAnsi="Times New Roman" w:cs="Times New Roman"/>
          <w:sz w:val="24"/>
          <w:szCs w:val="24"/>
        </w:rPr>
        <w:t>actually</w:t>
      </w:r>
      <w:r>
        <w:rPr>
          <w:rFonts w:ascii="Times New Roman" w:hAnsi="Times New Roman" w:cs="Times New Roman"/>
          <w:sz w:val="24"/>
          <w:szCs w:val="24"/>
        </w:rPr>
        <w:t xml:space="preserve"> shows that there are more than enough staff compared with the census. </w:t>
      </w:r>
    </w:p>
    <w:p w14:paraId="54482CBE" w14:textId="77777777" w:rsidR="00986EC7" w:rsidRDefault="00986EC7" w:rsidP="00F44EF9">
      <w:pPr>
        <w:rPr>
          <w:rFonts w:ascii="Times New Roman" w:hAnsi="Times New Roman" w:cs="Times New Roman"/>
          <w:sz w:val="24"/>
          <w:szCs w:val="24"/>
        </w:rPr>
      </w:pPr>
    </w:p>
    <w:p w14:paraId="6FE94784" w14:textId="77777777" w:rsidR="00986EC7" w:rsidRDefault="00986EC7" w:rsidP="002E57FD">
      <w:pPr>
        <w:jc w:val="both"/>
        <w:rPr>
          <w:rFonts w:ascii="Times New Roman" w:hAnsi="Times New Roman" w:cs="Times New Roman"/>
          <w:sz w:val="24"/>
          <w:szCs w:val="24"/>
        </w:rPr>
      </w:pPr>
      <w:r>
        <w:rPr>
          <w:rFonts w:ascii="Times New Roman" w:hAnsi="Times New Roman" w:cs="Times New Roman"/>
          <w:sz w:val="24"/>
          <w:szCs w:val="24"/>
        </w:rPr>
        <w:t>There are external factors that drive the census, including benefit coverage by MassHealth and its contracted benefits administrator. Because MORCAP offers the higher-level, 4.0 SUD service, the number of eligible patients is limited by the historical utilization criteria of MassHealth. Specifically, many patients are characterized as needing 3.7 SUD service and are di</w:t>
      </w:r>
      <w:r w:rsidR="002E57FD">
        <w:rPr>
          <w:rFonts w:ascii="Times New Roman" w:hAnsi="Times New Roman" w:cs="Times New Roman"/>
          <w:sz w:val="24"/>
          <w:szCs w:val="24"/>
        </w:rPr>
        <w:t>rected</w:t>
      </w:r>
      <w:r>
        <w:rPr>
          <w:rFonts w:ascii="Times New Roman" w:hAnsi="Times New Roman" w:cs="Times New Roman"/>
          <w:sz w:val="24"/>
          <w:szCs w:val="24"/>
        </w:rPr>
        <w:t xml:space="preserve"> to other facilities instead of MORCAP’s level 4.0 service. The MORCAP population includes a majority of MassHealth beneficiaries and the lower characterization criteria of the patient’s authorized SUD service is a major driver of lower census. </w:t>
      </w:r>
    </w:p>
    <w:p w14:paraId="636992A1" w14:textId="77777777" w:rsidR="00986EC7" w:rsidRDefault="00986EC7" w:rsidP="00F44EF9">
      <w:pPr>
        <w:rPr>
          <w:rFonts w:ascii="Times New Roman" w:hAnsi="Times New Roman" w:cs="Times New Roman"/>
          <w:sz w:val="24"/>
          <w:szCs w:val="24"/>
        </w:rPr>
      </w:pPr>
    </w:p>
    <w:p w14:paraId="642B181B" w14:textId="4AB19E6F" w:rsidR="00986EC7" w:rsidRDefault="00986EC7" w:rsidP="002E57FD">
      <w:pPr>
        <w:jc w:val="both"/>
        <w:rPr>
          <w:rFonts w:ascii="Times New Roman" w:hAnsi="Times New Roman" w:cs="Times New Roman"/>
          <w:sz w:val="24"/>
          <w:szCs w:val="24"/>
        </w:rPr>
      </w:pPr>
      <w:r>
        <w:rPr>
          <w:rFonts w:ascii="Times New Roman" w:hAnsi="Times New Roman" w:cs="Times New Roman"/>
          <w:sz w:val="24"/>
          <w:szCs w:val="24"/>
        </w:rPr>
        <w:t xml:space="preserve">The Hospital reiterates its commitment and intention to keep 18 Level 4.0 beds open for the duration of MORCAP’s service. The Hospital cannot commit to staffing a full complement of nursing staff for all 18 beds where the actual census does not support such staffing. </w:t>
      </w:r>
      <w:r w:rsidR="002E57FD">
        <w:rPr>
          <w:rFonts w:ascii="Times New Roman" w:hAnsi="Times New Roman" w:cs="Times New Roman"/>
          <w:sz w:val="24"/>
          <w:szCs w:val="24"/>
        </w:rPr>
        <w:t>However, the Hospital remains committed to meet the SUD needs of those patients in need of the MORCAP level of service.</w:t>
      </w:r>
      <w:r>
        <w:rPr>
          <w:rFonts w:ascii="Times New Roman" w:hAnsi="Times New Roman" w:cs="Times New Roman"/>
          <w:sz w:val="24"/>
          <w:szCs w:val="24"/>
        </w:rPr>
        <w:t xml:space="preserve"> </w:t>
      </w:r>
    </w:p>
    <w:p w14:paraId="1B17DCC5" w14:textId="7D7D403D" w:rsidR="00C97F05" w:rsidRDefault="00C97F05" w:rsidP="002E57FD">
      <w:pPr>
        <w:jc w:val="both"/>
        <w:rPr>
          <w:rFonts w:ascii="Times New Roman" w:hAnsi="Times New Roman" w:cs="Times New Roman"/>
          <w:sz w:val="24"/>
          <w:szCs w:val="24"/>
        </w:rPr>
      </w:pPr>
    </w:p>
    <w:p w14:paraId="491659B9" w14:textId="53619B2C" w:rsidR="00C97F05" w:rsidRDefault="00C97F05" w:rsidP="002E57FD">
      <w:pPr>
        <w:jc w:val="both"/>
        <w:rPr>
          <w:rFonts w:ascii="Times New Roman" w:hAnsi="Times New Roman" w:cs="Times New Roman"/>
          <w:sz w:val="24"/>
          <w:szCs w:val="24"/>
        </w:rPr>
      </w:pPr>
      <w:r w:rsidRPr="009D6ACE">
        <w:rPr>
          <w:rFonts w:ascii="Times New Roman" w:hAnsi="Times New Roman" w:cs="Times New Roman"/>
          <w:sz w:val="24"/>
          <w:szCs w:val="24"/>
        </w:rPr>
        <w:t xml:space="preserve">Furthermore, in order to </w:t>
      </w:r>
      <w:r w:rsidR="009D6ACE" w:rsidRPr="009D6ACE">
        <w:rPr>
          <w:rFonts w:ascii="Times New Roman" w:hAnsi="Times New Roman" w:cs="Times New Roman"/>
          <w:sz w:val="24"/>
          <w:szCs w:val="24"/>
        </w:rPr>
        <w:t xml:space="preserve">be </w:t>
      </w:r>
      <w:r w:rsidRPr="009D6ACE">
        <w:rPr>
          <w:rFonts w:ascii="Times New Roman" w:hAnsi="Times New Roman" w:cs="Times New Roman"/>
          <w:sz w:val="24"/>
          <w:szCs w:val="24"/>
        </w:rPr>
        <w:t>staff</w:t>
      </w:r>
      <w:r w:rsidR="00FE4901">
        <w:rPr>
          <w:rFonts w:ascii="Times New Roman" w:hAnsi="Times New Roman" w:cs="Times New Roman"/>
          <w:sz w:val="24"/>
          <w:szCs w:val="24"/>
        </w:rPr>
        <w:t>ed</w:t>
      </w:r>
      <w:r w:rsidRPr="009D6ACE">
        <w:rPr>
          <w:rFonts w:ascii="Times New Roman" w:hAnsi="Times New Roman" w:cs="Times New Roman"/>
          <w:sz w:val="24"/>
          <w:szCs w:val="24"/>
        </w:rPr>
        <w:t xml:space="preserve"> for 18 patients, MORCAP will need 5.6 RN FTEs on days and evenings and 4.2 FTEs on </w:t>
      </w:r>
      <w:r w:rsidR="00430447" w:rsidRPr="009D6ACE">
        <w:rPr>
          <w:rFonts w:ascii="Times New Roman" w:hAnsi="Times New Roman" w:cs="Times New Roman"/>
          <w:sz w:val="24"/>
          <w:szCs w:val="24"/>
        </w:rPr>
        <w:t>nights</w:t>
      </w:r>
      <w:r w:rsidRPr="009D6ACE">
        <w:rPr>
          <w:rFonts w:ascii="Times New Roman" w:hAnsi="Times New Roman" w:cs="Times New Roman"/>
          <w:sz w:val="24"/>
          <w:szCs w:val="24"/>
        </w:rPr>
        <w:t>.  At this point in time, based on our current hired in data (including traveler positions to augment staff), assuming patient demand, MORCAP’s goal is to be able to staff for 18 patients by October.</w:t>
      </w:r>
    </w:p>
    <w:p w14:paraId="6448BA0B" w14:textId="77777777" w:rsidR="00F44EF9" w:rsidRDefault="00F44EF9" w:rsidP="00F44EF9">
      <w:pPr>
        <w:jc w:val="both"/>
        <w:rPr>
          <w:rFonts w:ascii="Times New Roman" w:hAnsi="Times New Roman" w:cs="Times New Roman"/>
          <w:sz w:val="24"/>
          <w:szCs w:val="24"/>
        </w:rPr>
      </w:pPr>
    </w:p>
    <w:p w14:paraId="551629F6" w14:textId="77777777" w:rsidR="00986EC7" w:rsidRPr="00FC5528" w:rsidRDefault="00986EC7" w:rsidP="00986EC7">
      <w:pPr>
        <w:jc w:val="both"/>
        <w:rPr>
          <w:rFonts w:ascii="Times New Roman" w:hAnsi="Times New Roman" w:cs="Times New Roman"/>
          <w:sz w:val="24"/>
          <w:szCs w:val="24"/>
        </w:rPr>
      </w:pPr>
      <w:r w:rsidRPr="00FC5528">
        <w:rPr>
          <w:rFonts w:ascii="Times New Roman" w:hAnsi="Times New Roman" w:cs="Times New Roman"/>
          <w:sz w:val="24"/>
          <w:szCs w:val="24"/>
        </w:rPr>
        <w:t xml:space="preserve">We thank you for your attention to this matter. Please do not hesitate to contact </w:t>
      </w:r>
      <w:r>
        <w:rPr>
          <w:rFonts w:ascii="Times New Roman" w:hAnsi="Times New Roman" w:cs="Times New Roman"/>
          <w:sz w:val="24"/>
          <w:szCs w:val="24"/>
        </w:rPr>
        <w:t xml:space="preserve">Dominic Castillo, Esq., or me, </w:t>
      </w:r>
      <w:r w:rsidRPr="00FC5528">
        <w:rPr>
          <w:rFonts w:ascii="Times New Roman" w:hAnsi="Times New Roman" w:cs="Times New Roman"/>
          <w:sz w:val="24"/>
          <w:szCs w:val="24"/>
        </w:rPr>
        <w:t xml:space="preserve">if you have any questions </w:t>
      </w:r>
      <w:r>
        <w:rPr>
          <w:rFonts w:ascii="Times New Roman" w:hAnsi="Times New Roman" w:cs="Times New Roman"/>
          <w:sz w:val="24"/>
          <w:szCs w:val="24"/>
        </w:rPr>
        <w:t xml:space="preserve">or comments. </w:t>
      </w:r>
    </w:p>
    <w:p w14:paraId="4E54A6C5" w14:textId="77777777" w:rsidR="00986EC7" w:rsidRPr="00FC5528" w:rsidRDefault="00986EC7" w:rsidP="00986EC7">
      <w:pPr>
        <w:jc w:val="both"/>
        <w:rPr>
          <w:rFonts w:ascii="Times New Roman" w:hAnsi="Times New Roman" w:cs="Times New Roman"/>
          <w:sz w:val="24"/>
          <w:szCs w:val="24"/>
        </w:rPr>
      </w:pPr>
    </w:p>
    <w:p w14:paraId="208EBCB1" w14:textId="77777777" w:rsidR="00986EC7" w:rsidRPr="00FC5528" w:rsidRDefault="00986EC7" w:rsidP="00986EC7">
      <w:pPr>
        <w:ind w:left="4320" w:firstLine="720"/>
        <w:jc w:val="both"/>
        <w:rPr>
          <w:rFonts w:ascii="Times New Roman" w:hAnsi="Times New Roman" w:cs="Times New Roman"/>
          <w:sz w:val="24"/>
          <w:szCs w:val="24"/>
        </w:rPr>
      </w:pPr>
      <w:r w:rsidRPr="00FC5528">
        <w:rPr>
          <w:rFonts w:ascii="Times New Roman" w:hAnsi="Times New Roman" w:cs="Times New Roman"/>
          <w:sz w:val="24"/>
          <w:szCs w:val="24"/>
        </w:rPr>
        <w:t xml:space="preserve">Sincerely, </w:t>
      </w:r>
    </w:p>
    <w:p w14:paraId="1EE9A613" w14:textId="70EB62F4" w:rsidR="00986EC7" w:rsidRDefault="009D6ACE" w:rsidP="00986EC7">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10C369B7" wp14:editId="07658481">
            <wp:simplePos x="0" y="0"/>
            <wp:positionH relativeFrom="column">
              <wp:posOffset>3181350</wp:posOffset>
            </wp:positionH>
            <wp:positionV relativeFrom="paragraph">
              <wp:posOffset>104140</wp:posOffset>
            </wp:positionV>
            <wp:extent cx="1200150" cy="447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4DD3B" w14:textId="06727B28" w:rsidR="00986EC7" w:rsidRDefault="00986EC7" w:rsidP="00986EC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F7C7FF" w14:textId="77777777" w:rsidR="00986EC7" w:rsidRPr="00FC5528" w:rsidRDefault="00986EC7" w:rsidP="00986EC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C057E2" w14:textId="77777777" w:rsidR="00986EC7" w:rsidRDefault="00986EC7" w:rsidP="00986EC7">
      <w:pPr>
        <w:ind w:left="4320" w:firstLine="720"/>
        <w:jc w:val="both"/>
        <w:rPr>
          <w:rFonts w:ascii="Times New Roman" w:hAnsi="Times New Roman" w:cs="Times New Roman"/>
          <w:sz w:val="24"/>
          <w:szCs w:val="24"/>
        </w:rPr>
      </w:pPr>
      <w:r>
        <w:rPr>
          <w:rFonts w:ascii="Times New Roman" w:hAnsi="Times New Roman" w:cs="Times New Roman"/>
          <w:sz w:val="24"/>
          <w:szCs w:val="24"/>
        </w:rPr>
        <w:t>Andrew S. Levine</w:t>
      </w:r>
    </w:p>
    <w:p w14:paraId="3EF82F33" w14:textId="77777777" w:rsidR="00986EC7" w:rsidRDefault="00986EC7" w:rsidP="00986EC7">
      <w:pPr>
        <w:jc w:val="both"/>
        <w:rPr>
          <w:rFonts w:ascii="Times New Roman" w:hAnsi="Times New Roman" w:cs="Times New Roman"/>
          <w:sz w:val="24"/>
          <w:szCs w:val="24"/>
        </w:rPr>
      </w:pPr>
    </w:p>
    <w:p w14:paraId="523796E9" w14:textId="77777777" w:rsidR="00986EC7" w:rsidRDefault="00986EC7" w:rsidP="00986EC7">
      <w:pPr>
        <w:jc w:val="both"/>
        <w:rPr>
          <w:rFonts w:ascii="Times New Roman" w:hAnsi="Times New Roman" w:cs="Times New Roman"/>
          <w:sz w:val="24"/>
          <w:szCs w:val="24"/>
        </w:rPr>
      </w:pPr>
    </w:p>
    <w:p w14:paraId="39A54B40" w14:textId="77777777" w:rsidR="00986EC7" w:rsidRPr="00FC5528" w:rsidRDefault="00986EC7" w:rsidP="00986EC7">
      <w:pPr>
        <w:jc w:val="both"/>
        <w:rPr>
          <w:rFonts w:ascii="Times New Roman" w:hAnsi="Times New Roman" w:cs="Times New Roman"/>
          <w:sz w:val="24"/>
          <w:szCs w:val="24"/>
        </w:rPr>
      </w:pPr>
      <w:r w:rsidRPr="00FC5528">
        <w:rPr>
          <w:rFonts w:ascii="Times New Roman" w:hAnsi="Times New Roman" w:cs="Times New Roman"/>
          <w:sz w:val="24"/>
          <w:szCs w:val="24"/>
        </w:rPr>
        <w:t>cc:</w:t>
      </w:r>
      <w:r w:rsidRPr="00FC5528">
        <w:rPr>
          <w:rFonts w:ascii="Times New Roman" w:hAnsi="Times New Roman" w:cs="Times New Roman"/>
          <w:sz w:val="24"/>
          <w:szCs w:val="24"/>
        </w:rPr>
        <w:tab/>
        <w:t>E. Kelley, DPH</w:t>
      </w:r>
    </w:p>
    <w:p w14:paraId="1544B197" w14:textId="77777777" w:rsidR="00986EC7" w:rsidRPr="00FC5528" w:rsidRDefault="00986EC7" w:rsidP="00986EC7">
      <w:pPr>
        <w:ind w:firstLine="720"/>
        <w:jc w:val="both"/>
        <w:rPr>
          <w:rFonts w:ascii="Times New Roman" w:hAnsi="Times New Roman" w:cs="Times New Roman"/>
          <w:sz w:val="24"/>
          <w:szCs w:val="24"/>
        </w:rPr>
      </w:pPr>
      <w:r w:rsidRPr="00FC5528">
        <w:rPr>
          <w:rFonts w:ascii="Times New Roman" w:hAnsi="Times New Roman" w:cs="Times New Roman"/>
          <w:sz w:val="24"/>
          <w:szCs w:val="24"/>
        </w:rPr>
        <w:t>J. Bernice, DPH</w:t>
      </w:r>
    </w:p>
    <w:p w14:paraId="075DB172" w14:textId="77777777" w:rsidR="00986EC7" w:rsidRDefault="00986EC7" w:rsidP="00986EC7">
      <w:pPr>
        <w:jc w:val="both"/>
        <w:rPr>
          <w:rFonts w:ascii="Times New Roman" w:hAnsi="Times New Roman" w:cs="Times New Roman"/>
          <w:sz w:val="24"/>
          <w:szCs w:val="24"/>
        </w:rPr>
      </w:pPr>
      <w:r w:rsidRPr="00FC5528">
        <w:rPr>
          <w:rFonts w:ascii="Times New Roman" w:hAnsi="Times New Roman" w:cs="Times New Roman"/>
          <w:sz w:val="24"/>
          <w:szCs w:val="24"/>
        </w:rPr>
        <w:tab/>
        <w:t>R. Kaye, Esq., DPH</w:t>
      </w:r>
    </w:p>
    <w:p w14:paraId="306D0FBF" w14:textId="77777777" w:rsidR="00986EC7" w:rsidRPr="00FC5528" w:rsidRDefault="00986EC7" w:rsidP="00986EC7">
      <w:pPr>
        <w:ind w:firstLine="720"/>
        <w:jc w:val="both"/>
        <w:rPr>
          <w:rFonts w:ascii="Times New Roman" w:hAnsi="Times New Roman" w:cs="Times New Roman"/>
          <w:sz w:val="24"/>
          <w:szCs w:val="24"/>
        </w:rPr>
      </w:pPr>
      <w:r w:rsidRPr="00A93A4F">
        <w:rPr>
          <w:rFonts w:ascii="Times New Roman" w:hAnsi="Times New Roman" w:cs="Times New Roman"/>
          <w:sz w:val="24"/>
          <w:szCs w:val="24"/>
        </w:rPr>
        <w:t>W. Mackie, Esq., DPH</w:t>
      </w:r>
    </w:p>
    <w:p w14:paraId="6301E81A" w14:textId="77777777" w:rsidR="00986EC7" w:rsidRPr="00FC5528" w:rsidRDefault="00986EC7" w:rsidP="00986EC7">
      <w:pPr>
        <w:jc w:val="both"/>
        <w:rPr>
          <w:rFonts w:ascii="Times New Roman" w:hAnsi="Times New Roman" w:cs="Times New Roman"/>
          <w:sz w:val="24"/>
          <w:szCs w:val="24"/>
        </w:rPr>
      </w:pPr>
      <w:r w:rsidRPr="00FC5528">
        <w:rPr>
          <w:rFonts w:ascii="Times New Roman" w:hAnsi="Times New Roman" w:cs="Times New Roman"/>
          <w:sz w:val="24"/>
          <w:szCs w:val="24"/>
        </w:rPr>
        <w:tab/>
        <w:t>A. Mehlman, DPH</w:t>
      </w:r>
      <w:r w:rsidRPr="00FC5528">
        <w:rPr>
          <w:rFonts w:ascii="Times New Roman" w:hAnsi="Times New Roman" w:cs="Times New Roman"/>
          <w:sz w:val="24"/>
          <w:szCs w:val="24"/>
        </w:rPr>
        <w:tab/>
      </w:r>
    </w:p>
    <w:p w14:paraId="5B3225DB" w14:textId="77777777" w:rsidR="00986EC7" w:rsidRPr="00FC5528" w:rsidRDefault="00986EC7" w:rsidP="00986EC7">
      <w:pPr>
        <w:ind w:firstLine="720"/>
        <w:jc w:val="both"/>
        <w:rPr>
          <w:rFonts w:ascii="Times New Roman" w:hAnsi="Times New Roman" w:cs="Times New Roman"/>
          <w:sz w:val="24"/>
          <w:szCs w:val="24"/>
        </w:rPr>
      </w:pPr>
      <w:r w:rsidRPr="00FC5528">
        <w:rPr>
          <w:rFonts w:ascii="Times New Roman" w:hAnsi="Times New Roman" w:cs="Times New Roman"/>
          <w:sz w:val="24"/>
          <w:szCs w:val="24"/>
        </w:rPr>
        <w:t>M. Callahan, DPH</w:t>
      </w:r>
    </w:p>
    <w:p w14:paraId="2DE3186E" w14:textId="77777777" w:rsidR="00986EC7" w:rsidRPr="00FC5528" w:rsidRDefault="00986EC7" w:rsidP="00986EC7">
      <w:pPr>
        <w:ind w:firstLine="720"/>
        <w:jc w:val="both"/>
        <w:rPr>
          <w:rFonts w:ascii="Times New Roman" w:hAnsi="Times New Roman" w:cs="Times New Roman"/>
          <w:sz w:val="24"/>
          <w:szCs w:val="24"/>
        </w:rPr>
      </w:pPr>
      <w:r w:rsidRPr="00FC5528">
        <w:rPr>
          <w:rFonts w:ascii="Times New Roman" w:hAnsi="Times New Roman" w:cs="Times New Roman"/>
          <w:sz w:val="24"/>
          <w:szCs w:val="24"/>
        </w:rPr>
        <w:t>E. Weil, DPH</w:t>
      </w:r>
    </w:p>
    <w:p w14:paraId="7C2CED94" w14:textId="77777777" w:rsidR="00986EC7" w:rsidRPr="00FC5528" w:rsidRDefault="00986EC7" w:rsidP="00986EC7">
      <w:pPr>
        <w:ind w:firstLine="720"/>
        <w:jc w:val="both"/>
        <w:rPr>
          <w:rFonts w:ascii="Times New Roman" w:hAnsi="Times New Roman" w:cs="Times New Roman"/>
          <w:sz w:val="24"/>
          <w:szCs w:val="24"/>
        </w:rPr>
      </w:pPr>
      <w:r w:rsidRPr="00FC5528">
        <w:rPr>
          <w:rFonts w:ascii="Times New Roman" w:hAnsi="Times New Roman" w:cs="Times New Roman"/>
          <w:sz w:val="24"/>
          <w:szCs w:val="24"/>
        </w:rPr>
        <w:t>M. Butler, DPH</w:t>
      </w:r>
    </w:p>
    <w:p w14:paraId="62A33AC1" w14:textId="77777777" w:rsidR="00986EC7" w:rsidRDefault="00986EC7" w:rsidP="00986EC7">
      <w:pPr>
        <w:jc w:val="both"/>
        <w:rPr>
          <w:rFonts w:ascii="Times New Roman" w:hAnsi="Times New Roman" w:cs="Times New Roman"/>
          <w:sz w:val="24"/>
          <w:szCs w:val="24"/>
        </w:rPr>
      </w:pPr>
      <w:r w:rsidRPr="00FC5528">
        <w:rPr>
          <w:rFonts w:ascii="Times New Roman" w:hAnsi="Times New Roman" w:cs="Times New Roman"/>
          <w:sz w:val="24"/>
          <w:szCs w:val="24"/>
        </w:rPr>
        <w:tab/>
        <w:t>T. McNamara, DPH</w:t>
      </w:r>
    </w:p>
    <w:p w14:paraId="2B11DED9" w14:textId="77777777" w:rsidR="00986EC7" w:rsidRPr="007358D2" w:rsidRDefault="00986EC7" w:rsidP="00986EC7">
      <w:pPr>
        <w:ind w:firstLine="720"/>
        <w:jc w:val="both"/>
        <w:rPr>
          <w:rFonts w:ascii="Times New Roman" w:hAnsi="Times New Roman" w:cs="Times New Roman"/>
          <w:sz w:val="24"/>
          <w:szCs w:val="24"/>
        </w:rPr>
      </w:pPr>
      <w:r w:rsidRPr="007358D2">
        <w:rPr>
          <w:rFonts w:ascii="Times New Roman" w:hAnsi="Times New Roman" w:cs="Times New Roman"/>
          <w:sz w:val="24"/>
          <w:szCs w:val="24"/>
        </w:rPr>
        <w:t>H. Taylor</w:t>
      </w:r>
      <w:r w:rsidR="002E57FD">
        <w:rPr>
          <w:rFonts w:ascii="Times New Roman" w:hAnsi="Times New Roman" w:cs="Times New Roman"/>
          <w:sz w:val="24"/>
          <w:szCs w:val="24"/>
        </w:rPr>
        <w:t>, Esq.</w:t>
      </w:r>
    </w:p>
    <w:p w14:paraId="679EF16A" w14:textId="77777777" w:rsidR="00986EC7" w:rsidRPr="007358D2" w:rsidRDefault="00986EC7" w:rsidP="00986EC7">
      <w:pPr>
        <w:ind w:firstLine="720"/>
        <w:jc w:val="both"/>
        <w:rPr>
          <w:rFonts w:ascii="Times New Roman" w:hAnsi="Times New Roman" w:cs="Times New Roman"/>
          <w:sz w:val="24"/>
          <w:szCs w:val="24"/>
        </w:rPr>
      </w:pPr>
      <w:r w:rsidRPr="007358D2">
        <w:rPr>
          <w:rFonts w:ascii="Times New Roman" w:hAnsi="Times New Roman" w:cs="Times New Roman"/>
          <w:sz w:val="24"/>
          <w:szCs w:val="24"/>
        </w:rPr>
        <w:t>N. Hibble, Esq.</w:t>
      </w:r>
    </w:p>
    <w:p w14:paraId="57A04D64" w14:textId="77777777" w:rsidR="00F44EF9" w:rsidRDefault="00986EC7" w:rsidP="00986EC7">
      <w:pPr>
        <w:ind w:firstLine="720"/>
        <w:jc w:val="both"/>
        <w:rPr>
          <w:rFonts w:ascii="Times New Roman" w:hAnsi="Times New Roman" w:cs="Times New Roman"/>
          <w:sz w:val="24"/>
          <w:szCs w:val="24"/>
        </w:rPr>
      </w:pPr>
      <w:r w:rsidRPr="007358D2">
        <w:rPr>
          <w:rFonts w:ascii="Times New Roman" w:hAnsi="Times New Roman" w:cs="Times New Roman"/>
          <w:sz w:val="24"/>
          <w:szCs w:val="24"/>
        </w:rPr>
        <w:t>C. Bloom, Esq.</w:t>
      </w:r>
    </w:p>
    <w:p w14:paraId="3BC5E605" w14:textId="77777777" w:rsidR="002E57FD" w:rsidRDefault="002E57FD" w:rsidP="00986EC7">
      <w:pPr>
        <w:ind w:firstLine="720"/>
        <w:jc w:val="both"/>
        <w:rPr>
          <w:rFonts w:ascii="Times New Roman" w:hAnsi="Times New Roman" w:cs="Times New Roman"/>
          <w:sz w:val="24"/>
          <w:szCs w:val="24"/>
        </w:rPr>
      </w:pPr>
      <w:r>
        <w:rPr>
          <w:rFonts w:ascii="Times New Roman" w:hAnsi="Times New Roman" w:cs="Times New Roman"/>
          <w:sz w:val="24"/>
          <w:szCs w:val="24"/>
        </w:rPr>
        <w:t>R. Walker, BSAS</w:t>
      </w:r>
    </w:p>
    <w:p w14:paraId="32162EDA" w14:textId="77777777" w:rsidR="00986EC7" w:rsidRPr="00FC5528" w:rsidRDefault="00986EC7" w:rsidP="00F44EF9">
      <w:pPr>
        <w:jc w:val="both"/>
        <w:rPr>
          <w:rFonts w:ascii="Times New Roman" w:hAnsi="Times New Roman" w:cs="Times New Roman"/>
          <w:sz w:val="24"/>
          <w:szCs w:val="24"/>
        </w:rPr>
      </w:pPr>
    </w:p>
    <w:p w14:paraId="18101D4A" w14:textId="77777777" w:rsidR="00B94AFE" w:rsidRDefault="00B94AFE"/>
    <w:sectPr w:rsidR="00B94AFE" w:rsidSect="00017AF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FA57" w14:textId="77777777" w:rsidR="004A0C88" w:rsidRDefault="004A0C88" w:rsidP="00017AFB">
      <w:r>
        <w:separator/>
      </w:r>
    </w:p>
  </w:endnote>
  <w:endnote w:type="continuationSeparator" w:id="0">
    <w:p w14:paraId="1094C500" w14:textId="77777777" w:rsidR="004A0C88" w:rsidRDefault="004A0C88" w:rsidP="0001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2739" w14:textId="6623DA28" w:rsidR="008C4611" w:rsidRDefault="008C4611">
    <w:pPr>
      <w:pStyle w:val="Footer"/>
    </w:pPr>
    <w:r>
      <w:fldChar w:fldCharType="begin"/>
    </w:r>
    <w:r w:rsidRPr="008C4611">
      <w:rPr>
        <w:rStyle w:val="DocID"/>
      </w:rPr>
      <w:instrText xml:space="preserve"> DOCPROPERTY DOCXDOCID DMS=NetDocuments Format=HB: &lt;&lt;ID&gt;&gt;.&lt;&lt;VER&gt;&gt; PRESERVELOCATION \* MERGEFORMAT </w:instrText>
    </w:r>
    <w:r>
      <w:fldChar w:fldCharType="separate"/>
    </w:r>
    <w:r w:rsidRPr="008C4611">
      <w:rPr>
        <w:rStyle w:val="DocID"/>
      </w:rPr>
      <w:t>HB: 4894-5250-2645.1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5C27" w14:textId="5D691310" w:rsidR="008C4611" w:rsidRDefault="008C4611">
    <w:pPr>
      <w:pStyle w:val="Footer"/>
    </w:pPr>
    <w:r>
      <w:fldChar w:fldCharType="begin"/>
    </w:r>
    <w:r w:rsidRPr="008C4611">
      <w:rPr>
        <w:rStyle w:val="DocID"/>
      </w:rPr>
      <w:instrText xml:space="preserve"> DOCPROPERTY DOCXDOCID DMS=NetDocuments Format=HB: &lt;&lt;ID&gt;&gt;.&lt;&lt;VER&gt;&gt; PRESERVELOCATION \* MERGEFORMAT </w:instrText>
    </w:r>
    <w:r>
      <w:fldChar w:fldCharType="separate"/>
    </w:r>
    <w:r w:rsidRPr="008C4611">
      <w:rPr>
        <w:rStyle w:val="DocID"/>
      </w:rPr>
      <w:t>HB: 4894-5250-2645.1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A2FA" w14:textId="2E56C26B" w:rsidR="008C4611" w:rsidRDefault="008C4611">
    <w:pPr>
      <w:pStyle w:val="Footer"/>
    </w:pPr>
    <w:r>
      <w:fldChar w:fldCharType="begin"/>
    </w:r>
    <w:r w:rsidRPr="008C4611">
      <w:rPr>
        <w:rStyle w:val="DocID"/>
      </w:rPr>
      <w:instrText xml:space="preserve"> DOCPROPERTY DOCXDOCID DMS=NetDocuments Format=HB: &lt;&lt;ID&gt;&gt;.&lt;&lt;VER&gt;&gt; PRESERVELOCATION \* MERGEFORMAT </w:instrText>
    </w:r>
    <w:r>
      <w:fldChar w:fldCharType="separate"/>
    </w:r>
    <w:r w:rsidRPr="008C4611">
      <w:rPr>
        <w:rStyle w:val="DocID"/>
      </w:rPr>
      <w:t>HB: 4894-5250-2645.1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E409" w14:textId="77777777" w:rsidR="004A0C88" w:rsidRDefault="004A0C88" w:rsidP="00017AFB">
      <w:r>
        <w:separator/>
      </w:r>
    </w:p>
  </w:footnote>
  <w:footnote w:type="continuationSeparator" w:id="0">
    <w:p w14:paraId="339DD34C" w14:textId="77777777" w:rsidR="004A0C88" w:rsidRDefault="004A0C88" w:rsidP="0001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9B59" w14:textId="77777777" w:rsidR="008C4611" w:rsidRDefault="008C4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6D49" w14:textId="77777777" w:rsidR="00017AFB" w:rsidRDefault="00017AFB" w:rsidP="00017AFB">
    <w:pPr>
      <w:rPr>
        <w:rFonts w:ascii="Times New Roman" w:hAnsi="Times New Roman" w:cs="Times New Roman"/>
        <w:sz w:val="24"/>
        <w:szCs w:val="24"/>
      </w:rPr>
    </w:pPr>
  </w:p>
  <w:p w14:paraId="6BAD5558" w14:textId="77777777" w:rsidR="00017AFB" w:rsidRPr="00DC5D49" w:rsidRDefault="00017AFB" w:rsidP="00017AFB">
    <w:pPr>
      <w:rPr>
        <w:rFonts w:ascii="Times New Roman" w:hAnsi="Times New Roman" w:cs="Times New Roman"/>
        <w:sz w:val="24"/>
        <w:szCs w:val="24"/>
      </w:rPr>
    </w:pPr>
    <w:r w:rsidRPr="00DC5D49">
      <w:rPr>
        <w:rFonts w:ascii="Times New Roman" w:hAnsi="Times New Roman" w:cs="Times New Roman"/>
        <w:sz w:val="24"/>
        <w:szCs w:val="24"/>
      </w:rPr>
      <w:t>Stephen Davis, Division Director</w:t>
    </w:r>
  </w:p>
  <w:p w14:paraId="73B00A46" w14:textId="77777777" w:rsidR="00017AFB" w:rsidRPr="00DC5D49" w:rsidRDefault="00017AFB" w:rsidP="00017AFB">
    <w:pPr>
      <w:rPr>
        <w:rFonts w:ascii="Times New Roman" w:hAnsi="Times New Roman" w:cs="Times New Roman"/>
        <w:sz w:val="24"/>
        <w:szCs w:val="24"/>
      </w:rPr>
    </w:pPr>
    <w:r w:rsidRPr="00DC5D49">
      <w:rPr>
        <w:rFonts w:ascii="Times New Roman" w:hAnsi="Times New Roman" w:cs="Times New Roman"/>
        <w:sz w:val="24"/>
        <w:szCs w:val="24"/>
      </w:rPr>
      <w:t>Division of Health Care Facility Licensure and Certification</w:t>
    </w:r>
  </w:p>
  <w:p w14:paraId="438722A1" w14:textId="77777777" w:rsidR="00017AFB" w:rsidRPr="00DC5D49" w:rsidRDefault="00017AFB" w:rsidP="00017AFB">
    <w:pPr>
      <w:rPr>
        <w:rFonts w:ascii="Times New Roman" w:hAnsi="Times New Roman" w:cs="Times New Roman"/>
        <w:sz w:val="24"/>
        <w:szCs w:val="24"/>
      </w:rPr>
    </w:pPr>
    <w:r w:rsidRPr="00DC5D49">
      <w:rPr>
        <w:rFonts w:ascii="Times New Roman" w:hAnsi="Times New Roman" w:cs="Times New Roman"/>
        <w:sz w:val="24"/>
        <w:szCs w:val="24"/>
      </w:rPr>
      <w:t>Massachusetts Department of Public Health</w:t>
    </w:r>
  </w:p>
  <w:p w14:paraId="3248566D" w14:textId="77777777" w:rsidR="00017AFB" w:rsidRPr="00DC5D49" w:rsidRDefault="00017AFB" w:rsidP="00017AFB">
    <w:pPr>
      <w:pStyle w:val="Header"/>
      <w:rPr>
        <w:rFonts w:ascii="Times New Roman" w:hAnsi="Times New Roman" w:cs="Times New Roman"/>
        <w:sz w:val="24"/>
        <w:szCs w:val="24"/>
      </w:rPr>
    </w:pPr>
    <w:r>
      <w:rPr>
        <w:rFonts w:ascii="Times New Roman" w:hAnsi="Times New Roman" w:cs="Times New Roman"/>
        <w:sz w:val="24"/>
        <w:szCs w:val="24"/>
      </w:rPr>
      <w:t>August 4</w:t>
    </w:r>
    <w:r w:rsidRPr="00DC5D49">
      <w:rPr>
        <w:rFonts w:ascii="Times New Roman" w:hAnsi="Times New Roman" w:cs="Times New Roman"/>
        <w:sz w:val="24"/>
        <w:szCs w:val="24"/>
      </w:rPr>
      <w:t>, 2023</w:t>
    </w:r>
  </w:p>
  <w:p w14:paraId="1C286892" w14:textId="77777777" w:rsidR="00017AFB" w:rsidRPr="00DC5D49" w:rsidRDefault="00017AFB" w:rsidP="00017AFB">
    <w:pPr>
      <w:pStyle w:val="Header"/>
      <w:rPr>
        <w:rFonts w:ascii="Times New Roman" w:hAnsi="Times New Roman" w:cs="Times New Roman"/>
        <w:sz w:val="24"/>
        <w:szCs w:val="24"/>
      </w:rPr>
    </w:pPr>
    <w:r w:rsidRPr="00DC5D49">
      <w:rPr>
        <w:rFonts w:ascii="Times New Roman" w:hAnsi="Times New Roman" w:cs="Times New Roman"/>
        <w:sz w:val="24"/>
        <w:szCs w:val="24"/>
      </w:rPr>
      <w:t xml:space="preserve">Page </w:t>
    </w:r>
    <w:sdt>
      <w:sdtPr>
        <w:rPr>
          <w:rFonts w:ascii="Times New Roman" w:hAnsi="Times New Roman" w:cs="Times New Roman"/>
          <w:sz w:val="24"/>
          <w:szCs w:val="24"/>
        </w:rPr>
        <w:id w:val="259877093"/>
        <w:docPartObj>
          <w:docPartGallery w:val="Page Numbers (Top of Page)"/>
          <w:docPartUnique/>
        </w:docPartObj>
      </w:sdtPr>
      <w:sdtEndPr>
        <w:rPr>
          <w:noProof/>
        </w:rPr>
      </w:sdtEndPr>
      <w:sdtContent>
        <w:r w:rsidRPr="00DC5D49">
          <w:rPr>
            <w:rFonts w:ascii="Times New Roman" w:hAnsi="Times New Roman" w:cs="Times New Roman"/>
            <w:sz w:val="24"/>
            <w:szCs w:val="24"/>
          </w:rPr>
          <w:fldChar w:fldCharType="begin"/>
        </w:r>
        <w:r w:rsidRPr="00DC5D49">
          <w:rPr>
            <w:rFonts w:ascii="Times New Roman" w:hAnsi="Times New Roman" w:cs="Times New Roman"/>
            <w:sz w:val="24"/>
            <w:szCs w:val="24"/>
          </w:rPr>
          <w:instrText xml:space="preserve"> PAGE   \* MERGEFORMAT </w:instrText>
        </w:r>
        <w:r w:rsidRPr="00DC5D49">
          <w:rPr>
            <w:rFonts w:ascii="Times New Roman" w:hAnsi="Times New Roman" w:cs="Times New Roman"/>
            <w:sz w:val="24"/>
            <w:szCs w:val="24"/>
          </w:rPr>
          <w:fldChar w:fldCharType="separate"/>
        </w:r>
        <w:r>
          <w:rPr>
            <w:rFonts w:ascii="Times New Roman" w:hAnsi="Times New Roman" w:cs="Times New Roman"/>
            <w:sz w:val="24"/>
            <w:szCs w:val="24"/>
          </w:rPr>
          <w:t>2</w:t>
        </w:r>
        <w:r w:rsidRPr="00DC5D49">
          <w:rPr>
            <w:rFonts w:ascii="Times New Roman" w:hAnsi="Times New Roman" w:cs="Times New Roman"/>
            <w:noProof/>
            <w:sz w:val="24"/>
            <w:szCs w:val="24"/>
          </w:rPr>
          <w:fldChar w:fldCharType="end"/>
        </w:r>
      </w:sdtContent>
    </w:sdt>
  </w:p>
  <w:p w14:paraId="55405BC4" w14:textId="77777777" w:rsidR="00017AFB" w:rsidRDefault="00017AFB" w:rsidP="00017AFB">
    <w:pPr>
      <w:pStyle w:val="AuthorName"/>
      <w:rPr>
        <w:noProof/>
      </w:rPr>
    </w:pPr>
    <w:r>
      <w:rPr>
        <w:noProof/>
      </w:rPr>
      <w:drawing>
        <wp:anchor distT="0" distB="0" distL="114300" distR="114300" simplePos="0" relativeHeight="251659264" behindDoc="0" locked="1" layoutInCell="1" allowOverlap="1" wp14:anchorId="33E4F1B8" wp14:editId="5FBD3B44">
          <wp:simplePos x="0" y="0"/>
          <wp:positionH relativeFrom="margin">
            <wp:align>center</wp:align>
          </wp:positionH>
          <wp:positionV relativeFrom="page">
            <wp:posOffset>304800</wp:posOffset>
          </wp:positionV>
          <wp:extent cx="2633345" cy="164465"/>
          <wp:effectExtent l="0" t="0" r="0"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819C" w14:textId="77777777" w:rsidR="00017AFB" w:rsidRDefault="00017AFB" w:rsidP="00017AFB">
    <w:pPr>
      <w:pStyle w:val="AuthorName"/>
      <w:rPr>
        <w:noProof/>
      </w:rPr>
    </w:pPr>
  </w:p>
  <w:p w14:paraId="18870827" w14:textId="77777777" w:rsidR="00017AFB" w:rsidRDefault="00017AFB" w:rsidP="00017AFB">
    <w:pPr>
      <w:pStyle w:val="AuthorName"/>
      <w:rPr>
        <w:noProof/>
      </w:rPr>
    </w:pPr>
    <w:r>
      <w:rPr>
        <w:noProof/>
      </w:rPr>
      <w:t>Andrew S. Levine</w:t>
    </w:r>
    <w:r>
      <w:rPr>
        <w:noProof/>
      </w:rPr>
      <w:drawing>
        <wp:anchor distT="0" distB="0" distL="114300" distR="114300" simplePos="0" relativeHeight="251661312" behindDoc="0" locked="1" layoutInCell="1" allowOverlap="1" wp14:anchorId="1753F79C" wp14:editId="799776C4">
          <wp:simplePos x="0" y="0"/>
          <wp:positionH relativeFrom="margin">
            <wp:align>center</wp:align>
          </wp:positionH>
          <wp:positionV relativeFrom="page">
            <wp:posOffset>323850</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0F5088C7" w14:textId="77777777" w:rsidR="00017AFB" w:rsidRDefault="00017AFB" w:rsidP="00017AFB">
    <w:pPr>
      <w:pStyle w:val="AuthorInfo"/>
    </w:pPr>
    <w:r>
      <w:t>Partner</w:t>
    </w:r>
  </w:p>
  <w:p w14:paraId="1F9BEE25" w14:textId="77777777" w:rsidR="00017AFB" w:rsidRDefault="00017AFB" w:rsidP="00017AFB">
    <w:pPr>
      <w:pStyle w:val="AuthorInfo"/>
    </w:pPr>
  </w:p>
  <w:p w14:paraId="3C0BCF98" w14:textId="77777777" w:rsidR="00017AFB" w:rsidRDefault="00017AFB" w:rsidP="00017AFB">
    <w:pPr>
      <w:pStyle w:val="AuthorInfo"/>
    </w:pPr>
    <w:r>
      <w:t>One Beacon Street, Suite 1320</w:t>
    </w:r>
  </w:p>
  <w:p w14:paraId="2C27BF01" w14:textId="77777777" w:rsidR="00017AFB" w:rsidRDefault="00017AFB" w:rsidP="00017AFB">
    <w:pPr>
      <w:pStyle w:val="AuthorInfo"/>
    </w:pPr>
    <w:r>
      <w:t>Boston, MA 02108</w:t>
    </w:r>
  </w:p>
  <w:p w14:paraId="0BD75977" w14:textId="77777777" w:rsidR="00017AFB" w:rsidRDefault="00017AFB" w:rsidP="00017AFB">
    <w:pPr>
      <w:pStyle w:val="AuthorInfo"/>
    </w:pPr>
    <w:r>
      <w:t>Direct: 617.598.6758</w:t>
    </w:r>
  </w:p>
  <w:p w14:paraId="5F8FE460" w14:textId="77777777" w:rsidR="00017AFB" w:rsidRDefault="00017AFB" w:rsidP="00017AFB">
    <w:pPr>
      <w:pStyle w:val="AuthorInfo"/>
    </w:pPr>
    <w:r>
      <w:t>Fax: 617.720.5092</w:t>
    </w:r>
  </w:p>
  <w:p w14:paraId="2E390EEB" w14:textId="77777777" w:rsidR="00017AFB" w:rsidRDefault="00017AFB" w:rsidP="00017AFB">
    <w:pPr>
      <w:pStyle w:val="AuthorInfo"/>
    </w:pPr>
    <w:r>
      <w:t>andrew.levine@huschblackwell.com</w:t>
    </w:r>
  </w:p>
  <w:p w14:paraId="5DFE1141" w14:textId="77777777" w:rsidR="00017AFB" w:rsidRDefault="00017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AC0825"/>
    <w:multiLevelType w:val="hybridMultilevel"/>
    <w:tmpl w:val="2CF6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E70A17"/>
    <w:multiLevelType w:val="hybridMultilevel"/>
    <w:tmpl w:val="6B7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10A14"/>
    <w:multiLevelType w:val="hybridMultilevel"/>
    <w:tmpl w:val="13EA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191151">
    <w:abstractNumId w:val="1"/>
  </w:num>
  <w:num w:numId="2" w16cid:durableId="1795173481">
    <w:abstractNumId w:val="0"/>
  </w:num>
  <w:num w:numId="3" w16cid:durableId="1922833260">
    <w:abstractNumId w:val="3"/>
  </w:num>
  <w:num w:numId="4" w16cid:durableId="932711656">
    <w:abstractNumId w:val="5"/>
  </w:num>
  <w:num w:numId="5" w16cid:durableId="1138260583">
    <w:abstractNumId w:val="4"/>
  </w:num>
  <w:num w:numId="6" w16cid:durableId="23062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F9"/>
    <w:rsid w:val="00017AFB"/>
    <w:rsid w:val="00022BEE"/>
    <w:rsid w:val="00066880"/>
    <w:rsid w:val="000D6896"/>
    <w:rsid w:val="00202483"/>
    <w:rsid w:val="00273A08"/>
    <w:rsid w:val="002A2ECF"/>
    <w:rsid w:val="002E57FD"/>
    <w:rsid w:val="00390631"/>
    <w:rsid w:val="003F6DCD"/>
    <w:rsid w:val="00422A46"/>
    <w:rsid w:val="00430447"/>
    <w:rsid w:val="004A0C88"/>
    <w:rsid w:val="008A41A9"/>
    <w:rsid w:val="008C4611"/>
    <w:rsid w:val="009665EC"/>
    <w:rsid w:val="00986EC7"/>
    <w:rsid w:val="009D6ACE"/>
    <w:rsid w:val="00B87D83"/>
    <w:rsid w:val="00B94AFE"/>
    <w:rsid w:val="00BA6AC9"/>
    <w:rsid w:val="00BB619D"/>
    <w:rsid w:val="00C31B08"/>
    <w:rsid w:val="00C95C80"/>
    <w:rsid w:val="00C97F05"/>
    <w:rsid w:val="00D46702"/>
    <w:rsid w:val="00D94E3A"/>
    <w:rsid w:val="00E42CA4"/>
    <w:rsid w:val="00E64DEC"/>
    <w:rsid w:val="00F2117C"/>
    <w:rsid w:val="00F31176"/>
    <w:rsid w:val="00F44EF9"/>
    <w:rsid w:val="00FB1D05"/>
    <w:rsid w:val="00FB6657"/>
    <w:rsid w:val="00FE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43D1F"/>
  <w15:chartTrackingRefBased/>
  <w15:docId w15:val="{57854515-1D17-4C7B-A0D2-0DD509AD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F9"/>
    <w:pPr>
      <w:spacing w:after="0" w:line="240" w:lineRule="auto"/>
    </w:pPr>
    <w:rPr>
      <w:rFonts w:ascii="Arial" w:eastAsiaTheme="minorHAnsi" w:hAnsi="Arial"/>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F44EF9"/>
    <w:pPr>
      <w:ind w:left="720"/>
      <w:contextualSpacing/>
    </w:pPr>
  </w:style>
  <w:style w:type="paragraph" w:styleId="Header">
    <w:name w:val="header"/>
    <w:basedOn w:val="Normal"/>
    <w:link w:val="HeaderChar"/>
    <w:uiPriority w:val="99"/>
    <w:unhideWhenUsed/>
    <w:rsid w:val="00017AFB"/>
    <w:pPr>
      <w:tabs>
        <w:tab w:val="center" w:pos="4680"/>
        <w:tab w:val="right" w:pos="9360"/>
      </w:tabs>
    </w:pPr>
  </w:style>
  <w:style w:type="character" w:customStyle="1" w:styleId="HeaderChar">
    <w:name w:val="Header Char"/>
    <w:basedOn w:val="DefaultParagraphFont"/>
    <w:link w:val="Header"/>
    <w:uiPriority w:val="99"/>
    <w:rsid w:val="00017AFB"/>
    <w:rPr>
      <w:rFonts w:ascii="Arial" w:eastAsiaTheme="minorHAnsi" w:hAnsi="Arial"/>
    </w:rPr>
  </w:style>
  <w:style w:type="paragraph" w:styleId="Footer">
    <w:name w:val="footer"/>
    <w:basedOn w:val="Normal"/>
    <w:link w:val="FooterChar"/>
    <w:uiPriority w:val="99"/>
    <w:unhideWhenUsed/>
    <w:rsid w:val="00017AFB"/>
    <w:pPr>
      <w:tabs>
        <w:tab w:val="center" w:pos="4680"/>
        <w:tab w:val="right" w:pos="9360"/>
      </w:tabs>
    </w:pPr>
  </w:style>
  <w:style w:type="character" w:customStyle="1" w:styleId="FooterChar">
    <w:name w:val="Footer Char"/>
    <w:basedOn w:val="DefaultParagraphFont"/>
    <w:link w:val="Footer"/>
    <w:uiPriority w:val="99"/>
    <w:rsid w:val="00017AFB"/>
    <w:rPr>
      <w:rFonts w:ascii="Arial" w:eastAsiaTheme="minorHAnsi" w:hAnsi="Arial"/>
    </w:rPr>
  </w:style>
  <w:style w:type="paragraph" w:customStyle="1" w:styleId="AuthorName">
    <w:name w:val="_AuthorName"/>
    <w:basedOn w:val="Normal"/>
    <w:next w:val="AuthorInfo"/>
    <w:uiPriority w:val="99"/>
    <w:unhideWhenUsed/>
    <w:rsid w:val="00017AFB"/>
    <w:rPr>
      <w:rFonts w:ascii="Times New Roman" w:eastAsia="Times New Roman" w:hAnsi="Times New Roman" w:cs="Times New Roman"/>
      <w:szCs w:val="20"/>
    </w:rPr>
  </w:style>
  <w:style w:type="paragraph" w:customStyle="1" w:styleId="AuthorInfo">
    <w:name w:val="_AuthorInfo"/>
    <w:basedOn w:val="AuthorName"/>
    <w:uiPriority w:val="99"/>
    <w:unhideWhenUsed/>
    <w:rsid w:val="00017AFB"/>
    <w:rPr>
      <w:sz w:val="20"/>
    </w:rPr>
  </w:style>
  <w:style w:type="character" w:customStyle="1" w:styleId="DocID">
    <w:name w:val="DocID"/>
    <w:basedOn w:val="DefaultParagraphFont"/>
    <w:uiPriority w:val="1"/>
    <w:rsid w:val="008C4611"/>
    <w:rPr>
      <w:rFonts w:ascii="Times New Roman" w:hAnsi="Times New Roman"/>
      <w:sz w:val="16"/>
      <w:szCs w:val="16"/>
    </w:rPr>
  </w:style>
  <w:style w:type="table" w:styleId="TableGrid">
    <w:name w:val="Table Grid"/>
    <w:basedOn w:val="TableNormal"/>
    <w:uiPriority w:val="39"/>
    <w:rsid w:val="0043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57972">
      <w:bodyDiv w:val="1"/>
      <w:marLeft w:val="0"/>
      <w:marRight w:val="0"/>
      <w:marTop w:val="0"/>
      <w:marBottom w:val="0"/>
      <w:divBdr>
        <w:top w:val="none" w:sz="0" w:space="0" w:color="auto"/>
        <w:left w:val="none" w:sz="0" w:space="0" w:color="auto"/>
        <w:bottom w:val="none" w:sz="0" w:space="0" w:color="auto"/>
        <w:right w:val="none" w:sz="0" w:space="0" w:color="auto"/>
      </w:divBdr>
    </w:div>
    <w:div w:id="20441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3E4E-157D-4968-ADE5-FD77010D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9592</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Andrew</dc:creator>
  <cp:keywords/>
  <dc:description/>
  <cp:lastModifiedBy>Healy, Terry</cp:lastModifiedBy>
  <cp:revision>2</cp:revision>
  <dcterms:created xsi:type="dcterms:W3CDTF">2023-08-04T20:14:00Z</dcterms:created>
  <dcterms:modified xsi:type="dcterms:W3CDTF">2023-08-04T20:14:00Z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4894-5250-2645</vt:lpwstr>
  </property>
  <property fmtid="{D5CDD505-2E9C-101B-9397-08002B2CF9AE}" pid="3" name="DOCXDOCID">
    <vt:lpwstr>HB: 4894-5250-2645.1</vt:lpwstr>
  </property>
  <property fmtid="{D5CDD505-2E9C-101B-9397-08002B2CF9AE}" pid="4" name="DocXLocation">
    <vt:lpwstr>Every Page</vt:lpwstr>
  </property>
  <property fmtid="{D5CDD505-2E9C-101B-9397-08002B2CF9AE}" pid="5" name="DocXFormat">
    <vt:lpwstr>HB DocID w/ver w/HB Label</vt:lpwstr>
  </property>
  <property fmtid="{D5CDD505-2E9C-101B-9397-08002B2CF9AE}" pid="6" name="DocXRemovePrint">
    <vt:lpwstr>False</vt:lpwstr>
  </property>
</Properties>
</file>