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F6" w:rsidRDefault="0021323E">
      <w:pPr>
        <w:pStyle w:val="Title"/>
        <w:spacing w:before="216"/>
      </w:pPr>
      <w:r>
        <w:rPr>
          <w:color w:val="231F20"/>
        </w:rPr>
        <w:t>Analysis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Reasonableness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3"/>
        </w:rPr>
        <w:t xml:space="preserve"> </w:t>
      </w:r>
      <w:r>
        <w:rPr>
          <w:color w:val="231F20"/>
        </w:rPr>
        <w:t>Assumptions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</w:p>
    <w:p w:rsidR="008606F6" w:rsidRDefault="0021323E">
      <w:pPr>
        <w:pStyle w:val="Title"/>
        <w:spacing w:line="371" w:lineRule="exact"/>
      </w:pPr>
      <w:r>
        <w:rPr>
          <w:color w:val="231F20"/>
        </w:rPr>
        <w:t>Feasibility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of:</w:t>
      </w:r>
    </w:p>
    <w:p w:rsidR="008606F6" w:rsidRDefault="008606F6">
      <w:pPr>
        <w:pStyle w:val="BodyText"/>
        <w:spacing w:before="10"/>
        <w:rPr>
          <w:b/>
          <w:sz w:val="31"/>
        </w:rPr>
      </w:pPr>
    </w:p>
    <w:p w:rsidR="008606F6" w:rsidRDefault="0021323E">
      <w:pPr>
        <w:ind w:left="4724"/>
        <w:rPr>
          <w:sz w:val="28"/>
        </w:rPr>
      </w:pPr>
      <w:r>
        <w:rPr>
          <w:color w:val="231F20"/>
          <w:sz w:val="28"/>
        </w:rPr>
        <w:t>UMass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Memorial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Health,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Inc.</w:t>
      </w:r>
    </w:p>
    <w:p w:rsidR="00B4148A" w:rsidRDefault="0021323E" w:rsidP="00232276">
      <w:pPr>
        <w:spacing w:before="1"/>
        <w:ind w:left="4724" w:right="1237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Years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September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30,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2022</w:t>
      </w:r>
      <w:r>
        <w:rPr>
          <w:color w:val="231F20"/>
          <w:spacing w:val="-69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September 30,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2027</w:t>
      </w:r>
    </w:p>
    <w:p w:rsidR="00232276" w:rsidRDefault="00232276" w:rsidP="00232276">
      <w:pPr>
        <w:spacing w:before="1"/>
        <w:ind w:left="4724" w:right="1237"/>
        <w:rPr>
          <w:sz w:val="24"/>
        </w:rPr>
      </w:pPr>
    </w:p>
    <w:p w:rsidR="00B4148A" w:rsidRPr="00B4148A" w:rsidRDefault="00B4148A" w:rsidP="00B4148A">
      <w:pPr>
        <w:rPr>
          <w:sz w:val="24"/>
        </w:rPr>
      </w:pPr>
      <w:r w:rsidRPr="00B4148A">
        <w:rPr>
          <w:sz w:val="24"/>
        </w:rPr>
        <w:t>The report accompanying these financial statements was issued by</w:t>
      </w:r>
    </w:p>
    <w:p w:rsidR="00B4148A" w:rsidRDefault="00B4148A" w:rsidP="00B4148A">
      <w:pPr>
        <w:rPr>
          <w:sz w:val="24"/>
        </w:rPr>
        <w:sectPr w:rsidR="00B4148A">
          <w:footerReference w:type="even" r:id="rId7"/>
          <w:type w:val="continuous"/>
          <w:pgSz w:w="12240" w:h="15840"/>
          <w:pgMar w:top="0" w:right="620" w:bottom="0" w:left="1180" w:header="0" w:footer="0" w:gutter="0"/>
          <w:pgNumType w:start="2"/>
          <w:cols w:space="720"/>
        </w:sectPr>
      </w:pPr>
      <w:r w:rsidRPr="00B4148A">
        <w:rPr>
          <w:sz w:val="24"/>
        </w:rPr>
        <w:t>BDO USA, LLP, a Delaware limited liability partnership and the U.S. member of BDO International Limited, a UK company limited by guarantee.</w:t>
      </w:r>
    </w:p>
    <w:p w:rsidR="008606F6" w:rsidRDefault="0021323E">
      <w:pPr>
        <w:pStyle w:val="BodyText"/>
        <w:spacing w:before="100"/>
        <w:ind w:left="476"/>
        <w:rPr>
          <w:color w:val="231F20"/>
        </w:rPr>
      </w:pPr>
      <w:r>
        <w:rPr>
          <w:color w:val="231F20"/>
        </w:rPr>
        <w:lastRenderedPageBreak/>
        <w:t>March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</w:p>
    <w:p w:rsidR="00F850B4" w:rsidRDefault="00F850B4">
      <w:pPr>
        <w:pStyle w:val="BodyText"/>
        <w:spacing w:before="100"/>
        <w:ind w:left="476"/>
      </w:pPr>
      <w:r w:rsidRPr="00F850B4">
        <w:t>One International Place Boston, MA 02110-1745</w:t>
      </w:r>
    </w:p>
    <w:p w:rsidR="00F850B4" w:rsidRDefault="00F850B4" w:rsidP="00F850B4">
      <w:pPr>
        <w:pStyle w:val="BodyText"/>
        <w:spacing w:before="100"/>
        <w:ind w:left="476"/>
      </w:pPr>
      <w:r>
        <w:t>Tel: 617-422-0700</w:t>
      </w:r>
    </w:p>
    <w:p w:rsidR="00F850B4" w:rsidRDefault="00F850B4" w:rsidP="00F850B4">
      <w:pPr>
        <w:pStyle w:val="BodyText"/>
        <w:spacing w:before="100"/>
        <w:ind w:left="476"/>
      </w:pPr>
      <w:r>
        <w:t>Fax: 617-422-0909</w:t>
      </w:r>
    </w:p>
    <w:p w:rsidR="00F850B4" w:rsidRDefault="00F850B4" w:rsidP="00F850B4">
      <w:pPr>
        <w:pStyle w:val="BodyText"/>
        <w:spacing w:before="100"/>
        <w:ind w:left="476"/>
      </w:pPr>
      <w:r>
        <w:t>BDO website at www.bdo.com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pStyle w:val="BodyText"/>
        <w:ind w:left="476"/>
      </w:pPr>
      <w:r>
        <w:rPr>
          <w:color w:val="231F20"/>
        </w:rPr>
        <w:t>David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Bierschied</w:t>
      </w:r>
    </w:p>
    <w:p w:rsidR="008606F6" w:rsidRDefault="0021323E">
      <w:pPr>
        <w:pStyle w:val="BodyText"/>
        <w:ind w:left="476" w:right="6696"/>
      </w:pPr>
      <w:r>
        <w:rPr>
          <w:color w:val="231F20"/>
        </w:rPr>
        <w:t>Sr.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UMass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Inc.</w:t>
      </w:r>
    </w:p>
    <w:p w:rsidR="008606F6" w:rsidRDefault="0021323E">
      <w:pPr>
        <w:pStyle w:val="BodyText"/>
        <w:spacing w:before="1"/>
        <w:ind w:left="476"/>
      </w:pPr>
      <w:r>
        <w:rPr>
          <w:color w:val="231F20"/>
        </w:rPr>
        <w:t>306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Belmont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Street</w:t>
      </w:r>
    </w:p>
    <w:p w:rsidR="008606F6" w:rsidRDefault="0021323E">
      <w:pPr>
        <w:pStyle w:val="BodyText"/>
        <w:ind w:left="476"/>
      </w:pPr>
      <w:r>
        <w:rPr>
          <w:color w:val="231F20"/>
        </w:rPr>
        <w:t>Worcester,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01605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6"/>
        <w:rPr>
          <w:sz w:val="21"/>
        </w:rPr>
      </w:pPr>
    </w:p>
    <w:p w:rsidR="008606F6" w:rsidRDefault="0021323E" w:rsidP="00350577">
      <w:pPr>
        <w:pStyle w:val="BodyText"/>
      </w:pPr>
      <w:r>
        <w:t>RE:</w:t>
      </w:r>
      <w:r>
        <w:tab/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Reasonableness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Assumptions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Projections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Feasibility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</w:t>
      </w:r>
    </w:p>
    <w:p w:rsidR="008606F6" w:rsidRDefault="008606F6">
      <w:pPr>
        <w:pStyle w:val="BodyText"/>
        <w:rPr>
          <w:b/>
          <w:sz w:val="24"/>
        </w:rPr>
      </w:pPr>
    </w:p>
    <w:p w:rsidR="008606F6" w:rsidRDefault="008606F6">
      <w:pPr>
        <w:pStyle w:val="BodyText"/>
        <w:rPr>
          <w:b/>
          <w:sz w:val="24"/>
        </w:rPr>
      </w:pPr>
    </w:p>
    <w:p w:rsidR="008606F6" w:rsidRDefault="0021323E">
      <w:pPr>
        <w:pStyle w:val="BodyText"/>
        <w:spacing w:before="178"/>
        <w:ind w:left="476"/>
      </w:pPr>
      <w:r>
        <w:rPr>
          <w:color w:val="231F20"/>
        </w:rPr>
        <w:t>Dear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Bierschied: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BodyText"/>
        <w:ind w:left="1196" w:right="822"/>
        <w:jc w:val="both"/>
      </w:pPr>
      <w:r>
        <w:rPr>
          <w:color w:val="231F20"/>
        </w:rPr>
        <w:t>Enclosed is a copy of our report on the reasonableness of assumptions used for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feasibility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UMass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 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 once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opportunity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4"/>
        </w:rPr>
      </w:pPr>
    </w:p>
    <w:p w:rsidR="008606F6" w:rsidRDefault="0021323E">
      <w:pPr>
        <w:pStyle w:val="BodyText"/>
        <w:spacing w:before="209"/>
        <w:ind w:left="476"/>
      </w:pPr>
      <w:r>
        <w:rPr>
          <w:color w:val="231F20"/>
        </w:rPr>
        <w:t>Sincerely,</w:t>
      </w:r>
    </w:p>
    <w:p w:rsidR="008606F6" w:rsidRDefault="0021323E" w:rsidP="00232276">
      <w:pPr>
        <w:pStyle w:val="BodyText"/>
        <w:spacing w:before="2"/>
        <w:rPr>
          <w:sz w:val="34"/>
        </w:rPr>
      </w:pPr>
      <w:r>
        <w:rPr>
          <w:noProof/>
        </w:rPr>
        <w:drawing>
          <wp:inline distT="0" distB="0" distL="0" distR="0">
            <wp:extent cx="989366" cy="426910"/>
            <wp:effectExtent l="0" t="0" r="1270" b="0"/>
            <wp:docPr id="3" name="image2.png" descr="BDO USA, L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66" cy="4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6F6" w:rsidRPr="00232276" w:rsidRDefault="0021323E">
      <w:pPr>
        <w:spacing w:line="247" w:lineRule="auto"/>
        <w:ind w:left="429" w:right="1237"/>
        <w:rPr>
          <w:sz w:val="16"/>
        </w:rPr>
      </w:pPr>
      <w:r w:rsidRPr="00232276">
        <w:rPr>
          <w:color w:val="231F20"/>
          <w:sz w:val="16"/>
        </w:rPr>
        <w:t>BDO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USA,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LLP,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a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Delaware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limited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liability partnership,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is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the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U.S.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member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of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BDO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International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Limited,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a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UK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company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limited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by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guarantee,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and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forms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part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of</w:t>
      </w:r>
      <w:r w:rsidRPr="00232276">
        <w:rPr>
          <w:color w:val="231F20"/>
          <w:spacing w:val="1"/>
          <w:sz w:val="16"/>
        </w:rPr>
        <w:t xml:space="preserve"> </w:t>
      </w:r>
      <w:r w:rsidRPr="00232276">
        <w:rPr>
          <w:color w:val="231F20"/>
          <w:sz w:val="16"/>
        </w:rPr>
        <w:t>the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international BDO</w:t>
      </w:r>
      <w:r w:rsidRPr="00232276">
        <w:rPr>
          <w:color w:val="231F20"/>
          <w:spacing w:val="-3"/>
          <w:sz w:val="16"/>
        </w:rPr>
        <w:t xml:space="preserve"> </w:t>
      </w:r>
      <w:r w:rsidRPr="00232276">
        <w:rPr>
          <w:color w:val="231F20"/>
          <w:sz w:val="16"/>
        </w:rPr>
        <w:t>network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of independent member firms.</w:t>
      </w:r>
    </w:p>
    <w:p w:rsidR="008606F6" w:rsidRPr="00232276" w:rsidRDefault="0021323E">
      <w:pPr>
        <w:spacing w:before="82"/>
        <w:ind w:left="429"/>
        <w:rPr>
          <w:sz w:val="16"/>
        </w:rPr>
      </w:pPr>
      <w:r w:rsidRPr="00232276">
        <w:rPr>
          <w:color w:val="231F20"/>
          <w:sz w:val="16"/>
        </w:rPr>
        <w:t>BDO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is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the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brand name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for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the BDO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network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and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for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each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of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the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BDO</w:t>
      </w:r>
      <w:r w:rsidRPr="00232276">
        <w:rPr>
          <w:color w:val="231F20"/>
          <w:spacing w:val="-2"/>
          <w:sz w:val="16"/>
        </w:rPr>
        <w:t xml:space="preserve"> </w:t>
      </w:r>
      <w:r w:rsidRPr="00232276">
        <w:rPr>
          <w:color w:val="231F20"/>
          <w:sz w:val="16"/>
        </w:rPr>
        <w:t>Member</w:t>
      </w:r>
      <w:r w:rsidRPr="00232276">
        <w:rPr>
          <w:color w:val="231F20"/>
          <w:spacing w:val="-1"/>
          <w:sz w:val="16"/>
        </w:rPr>
        <w:t xml:space="preserve"> </w:t>
      </w:r>
      <w:r w:rsidRPr="00232276">
        <w:rPr>
          <w:color w:val="231F20"/>
          <w:sz w:val="16"/>
        </w:rPr>
        <w:t>Firms.</w:t>
      </w:r>
    </w:p>
    <w:p w:rsidR="008606F6" w:rsidRDefault="008606F6">
      <w:pPr>
        <w:rPr>
          <w:sz w:val="12"/>
        </w:rPr>
        <w:sectPr w:rsidR="008606F6">
          <w:headerReference w:type="default" r:id="rId9"/>
          <w:pgSz w:w="12240" w:h="15840"/>
          <w:pgMar w:top="1360" w:right="620" w:bottom="280" w:left="1180" w:header="0" w:footer="0" w:gutter="0"/>
          <w:cols w:space="720"/>
        </w:sectPr>
      </w:pPr>
    </w:p>
    <w:p w:rsidR="008606F6" w:rsidRDefault="0021323E" w:rsidP="003E75D6">
      <w:pPr>
        <w:ind w:left="3869" w:right="4428"/>
        <w:jc w:val="center"/>
        <w:rPr>
          <w:b/>
          <w:sz w:val="17"/>
        </w:rPr>
      </w:pPr>
      <w:r>
        <w:rPr>
          <w:b/>
          <w:color w:val="231F20"/>
          <w:spacing w:val="-2"/>
        </w:rPr>
        <w:lastRenderedPageBreak/>
        <w:t>TABLE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  <w:spacing w:val="-2"/>
        </w:rPr>
        <w:t>OF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2"/>
        </w:rPr>
        <w:t>CONTENTS</w:t>
      </w:r>
    </w:p>
    <w:sdt>
      <w:sdtPr>
        <w:id w:val="-943301635"/>
        <w:docPartObj>
          <w:docPartGallery w:val="Table of Contents"/>
          <w:docPartUnique/>
        </w:docPartObj>
      </w:sdtPr>
      <w:sdtEndPr/>
      <w:sdtContent>
        <w:p w:rsidR="008606F6" w:rsidRDefault="0021323E">
          <w:pPr>
            <w:pStyle w:val="TOC2"/>
            <w:tabs>
              <w:tab w:val="left" w:pos="979"/>
              <w:tab w:val="left" w:leader="dot" w:pos="9255"/>
            </w:tabs>
            <w:spacing w:line="691" w:lineRule="auto"/>
          </w:pPr>
          <w:r>
            <w:rPr>
              <w:color w:val="231F20"/>
              <w:spacing w:val="-3"/>
            </w:rPr>
            <w:t>Page</w:t>
          </w:r>
          <w:r>
            <w:rPr>
              <w:color w:val="231F20"/>
              <w:spacing w:val="-64"/>
            </w:rPr>
            <w:t xml:space="preserve"> </w:t>
          </w:r>
          <w:r>
            <w:rPr>
              <w:color w:val="231F20"/>
            </w:rPr>
            <w:t>I.</w:t>
          </w:r>
          <w:r>
            <w:rPr>
              <w:color w:val="231F20"/>
            </w:rPr>
            <w:tab/>
          </w:r>
          <w:r>
            <w:rPr>
              <w:color w:val="231F20"/>
              <w:spacing w:val="-2"/>
            </w:rPr>
            <w:t>EXECUTIVE</w:t>
          </w:r>
          <w:r>
            <w:rPr>
              <w:color w:val="231F20"/>
              <w:spacing w:val="-13"/>
            </w:rPr>
            <w:t xml:space="preserve"> </w:t>
          </w:r>
          <w:r>
            <w:rPr>
              <w:color w:val="231F20"/>
              <w:spacing w:val="-2"/>
            </w:rPr>
            <w:t>SUMMARY</w:t>
          </w:r>
          <w:r>
            <w:rPr>
              <w:color w:val="231F20"/>
              <w:spacing w:val="-2"/>
            </w:rPr>
            <w:tab/>
          </w:r>
          <w:r>
            <w:rPr>
              <w:color w:val="231F20"/>
            </w:rPr>
            <w:t>1</w:t>
          </w:r>
        </w:p>
        <w:p w:rsidR="008606F6" w:rsidRDefault="001A5A0B">
          <w:pPr>
            <w:pStyle w:val="TOC1"/>
            <w:numPr>
              <w:ilvl w:val="0"/>
              <w:numId w:val="4"/>
            </w:numPr>
            <w:tabs>
              <w:tab w:val="left" w:pos="980"/>
              <w:tab w:val="left" w:pos="981"/>
              <w:tab w:val="left" w:leader="dot" w:pos="9257"/>
            </w:tabs>
            <w:spacing w:before="0"/>
          </w:pPr>
          <w:hyperlink w:anchor="_TOC_250004" w:history="1">
            <w:r w:rsidR="0021323E">
              <w:rPr>
                <w:color w:val="231F20"/>
              </w:rPr>
              <w:t>RELEVANT</w:t>
            </w:r>
            <w:r w:rsidR="0021323E">
              <w:rPr>
                <w:color w:val="231F20"/>
                <w:spacing w:val="-5"/>
              </w:rPr>
              <w:t xml:space="preserve"> </w:t>
            </w:r>
            <w:r w:rsidR="0021323E">
              <w:rPr>
                <w:color w:val="231F20"/>
              </w:rPr>
              <w:t>BACKGROUND</w:t>
            </w:r>
            <w:r w:rsidR="0021323E">
              <w:rPr>
                <w:color w:val="231F20"/>
                <w:spacing w:val="-4"/>
              </w:rPr>
              <w:t xml:space="preserve"> </w:t>
            </w:r>
            <w:r w:rsidR="0021323E">
              <w:rPr>
                <w:color w:val="231F20"/>
              </w:rPr>
              <w:t>INFORMATION</w:t>
            </w:r>
            <w:r w:rsidR="0021323E">
              <w:rPr>
                <w:color w:val="231F20"/>
              </w:rPr>
              <w:tab/>
              <w:t>2</w:t>
            </w:r>
          </w:hyperlink>
        </w:p>
        <w:p w:rsidR="008606F6" w:rsidRDefault="001A5A0B">
          <w:pPr>
            <w:pStyle w:val="TOC1"/>
            <w:numPr>
              <w:ilvl w:val="0"/>
              <w:numId w:val="4"/>
            </w:numPr>
            <w:tabs>
              <w:tab w:val="left" w:pos="979"/>
              <w:tab w:val="left" w:pos="980"/>
              <w:tab w:val="left" w:leader="dot" w:pos="9256"/>
            </w:tabs>
            <w:ind w:left="979" w:hanging="720"/>
          </w:pPr>
          <w:hyperlink w:anchor="_TOC_250003" w:history="1">
            <w:r w:rsidR="0021323E">
              <w:rPr>
                <w:color w:val="231F20"/>
              </w:rPr>
              <w:t>SCOPE</w:t>
            </w:r>
            <w:r w:rsidR="0021323E">
              <w:rPr>
                <w:color w:val="231F20"/>
                <w:spacing w:val="-2"/>
              </w:rPr>
              <w:t xml:space="preserve"> </w:t>
            </w:r>
            <w:r w:rsidR="0021323E">
              <w:rPr>
                <w:color w:val="231F20"/>
              </w:rPr>
              <w:t>OF</w:t>
            </w:r>
            <w:r w:rsidR="0021323E">
              <w:rPr>
                <w:color w:val="231F20"/>
                <w:spacing w:val="-2"/>
              </w:rPr>
              <w:t xml:space="preserve"> </w:t>
            </w:r>
            <w:r w:rsidR="0021323E">
              <w:rPr>
                <w:color w:val="231F20"/>
              </w:rPr>
              <w:t>REPORT</w:t>
            </w:r>
            <w:r w:rsidR="0021323E">
              <w:rPr>
                <w:color w:val="231F20"/>
              </w:rPr>
              <w:tab/>
              <w:t>4</w:t>
            </w:r>
          </w:hyperlink>
        </w:p>
        <w:p w:rsidR="008606F6" w:rsidRDefault="001A5A0B">
          <w:pPr>
            <w:pStyle w:val="TOC1"/>
            <w:numPr>
              <w:ilvl w:val="0"/>
              <w:numId w:val="4"/>
            </w:numPr>
            <w:tabs>
              <w:tab w:val="left" w:pos="979"/>
              <w:tab w:val="left" w:pos="980"/>
              <w:tab w:val="left" w:leader="dot" w:pos="9257"/>
            </w:tabs>
            <w:ind w:left="979" w:hanging="720"/>
          </w:pPr>
          <w:hyperlink w:anchor="_TOC_250002" w:history="1">
            <w:r w:rsidR="0021323E">
              <w:rPr>
                <w:color w:val="231F20"/>
              </w:rPr>
              <w:t>SOURCES</w:t>
            </w:r>
            <w:r w:rsidR="0021323E">
              <w:rPr>
                <w:color w:val="231F20"/>
                <w:spacing w:val="-3"/>
              </w:rPr>
              <w:t xml:space="preserve"> </w:t>
            </w:r>
            <w:r w:rsidR="0021323E">
              <w:rPr>
                <w:color w:val="231F20"/>
              </w:rPr>
              <w:t>OF</w:t>
            </w:r>
            <w:r w:rsidR="0021323E">
              <w:rPr>
                <w:color w:val="231F20"/>
                <w:spacing w:val="-4"/>
              </w:rPr>
              <w:t xml:space="preserve"> </w:t>
            </w:r>
            <w:r w:rsidR="0021323E">
              <w:rPr>
                <w:color w:val="231F20"/>
              </w:rPr>
              <w:t>INFORMATION</w:t>
            </w:r>
            <w:r w:rsidR="0021323E">
              <w:rPr>
                <w:color w:val="231F20"/>
                <w:spacing w:val="-3"/>
              </w:rPr>
              <w:t xml:space="preserve"> </w:t>
            </w:r>
            <w:r w:rsidR="0021323E">
              <w:rPr>
                <w:color w:val="231F20"/>
              </w:rPr>
              <w:t>UTILIZED</w:t>
            </w:r>
            <w:r w:rsidR="0021323E">
              <w:rPr>
                <w:color w:val="231F20"/>
              </w:rPr>
              <w:tab/>
              <w:t>5</w:t>
            </w:r>
          </w:hyperlink>
        </w:p>
        <w:p w:rsidR="008606F6" w:rsidRDefault="001A5A0B">
          <w:pPr>
            <w:pStyle w:val="TOC1"/>
            <w:numPr>
              <w:ilvl w:val="0"/>
              <w:numId w:val="4"/>
            </w:numPr>
            <w:tabs>
              <w:tab w:val="left" w:pos="979"/>
              <w:tab w:val="left" w:pos="980"/>
              <w:tab w:val="left" w:leader="dot" w:pos="9257"/>
            </w:tabs>
            <w:spacing w:before="481"/>
            <w:ind w:left="979" w:hanging="720"/>
          </w:pPr>
          <w:hyperlink w:anchor="_TOC_250001" w:history="1">
            <w:r w:rsidR="0021323E">
              <w:rPr>
                <w:color w:val="231F20"/>
                <w:spacing w:val="-1"/>
              </w:rPr>
              <w:t>REVIEW</w:t>
            </w:r>
            <w:r w:rsidR="0021323E">
              <w:rPr>
                <w:color w:val="231F20"/>
                <w:spacing w:val="-14"/>
              </w:rPr>
              <w:t xml:space="preserve"> </w:t>
            </w:r>
            <w:r w:rsidR="0021323E">
              <w:rPr>
                <w:color w:val="231F20"/>
                <w:spacing w:val="-1"/>
              </w:rPr>
              <w:t>OF</w:t>
            </w:r>
            <w:r w:rsidR="0021323E">
              <w:rPr>
                <w:color w:val="231F20"/>
                <w:spacing w:val="-15"/>
              </w:rPr>
              <w:t xml:space="preserve"> </w:t>
            </w:r>
            <w:r w:rsidR="0021323E">
              <w:rPr>
                <w:color w:val="231F20"/>
                <w:spacing w:val="-1"/>
              </w:rPr>
              <w:t>THE</w:t>
            </w:r>
            <w:r w:rsidR="0021323E">
              <w:rPr>
                <w:color w:val="231F20"/>
                <w:spacing w:val="-14"/>
              </w:rPr>
              <w:t xml:space="preserve"> </w:t>
            </w:r>
            <w:r w:rsidR="0021323E">
              <w:rPr>
                <w:color w:val="231F20"/>
                <w:spacing w:val="-1"/>
              </w:rPr>
              <w:t>PROJECTIONS</w:t>
            </w:r>
            <w:r w:rsidR="0021323E">
              <w:rPr>
                <w:color w:val="231F20"/>
                <w:spacing w:val="-1"/>
              </w:rPr>
              <w:tab/>
            </w:r>
            <w:r w:rsidR="0021323E">
              <w:rPr>
                <w:color w:val="231F20"/>
              </w:rPr>
              <w:t>6</w:t>
            </w:r>
          </w:hyperlink>
        </w:p>
        <w:p w:rsidR="008606F6" w:rsidRDefault="001A5A0B">
          <w:pPr>
            <w:pStyle w:val="TOC1"/>
            <w:numPr>
              <w:ilvl w:val="0"/>
              <w:numId w:val="4"/>
            </w:numPr>
            <w:tabs>
              <w:tab w:val="left" w:pos="980"/>
              <w:tab w:val="left" w:pos="981"/>
              <w:tab w:val="left" w:leader="dot" w:pos="9253"/>
            </w:tabs>
          </w:pPr>
          <w:hyperlink w:anchor="_TOC_250000" w:history="1">
            <w:r w:rsidR="0021323E">
              <w:rPr>
                <w:color w:val="231F20"/>
              </w:rPr>
              <w:t>FEASIBILITY</w:t>
            </w:r>
            <w:r w:rsidR="0021323E">
              <w:rPr>
                <w:color w:val="231F20"/>
              </w:rPr>
              <w:tab/>
              <w:t>13</w:t>
            </w:r>
          </w:hyperlink>
        </w:p>
      </w:sdtContent>
    </w:sdt>
    <w:p w:rsidR="008606F6" w:rsidRDefault="008606F6">
      <w:pPr>
        <w:sectPr w:rsidR="008606F6">
          <w:headerReference w:type="even" r:id="rId10"/>
          <w:pgSz w:w="12240" w:h="15840"/>
          <w:pgMar w:top="1500" w:right="620" w:bottom="280" w:left="1180" w:header="0" w:footer="0" w:gutter="0"/>
          <w:cols w:space="720"/>
        </w:sectPr>
      </w:pPr>
    </w:p>
    <w:p w:rsidR="008606F6" w:rsidRDefault="0021323E">
      <w:pPr>
        <w:pStyle w:val="BodyText"/>
        <w:spacing w:before="100"/>
        <w:ind w:left="476"/>
      </w:pPr>
      <w:r>
        <w:rPr>
          <w:color w:val="231F20"/>
        </w:rPr>
        <w:lastRenderedPageBreak/>
        <w:t>March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</w:p>
    <w:p w:rsidR="00933468" w:rsidRPr="00933468" w:rsidRDefault="00933468" w:rsidP="00933468">
      <w:pPr>
        <w:pStyle w:val="BodyText"/>
        <w:spacing w:before="11"/>
        <w:rPr>
          <w:sz w:val="19"/>
        </w:rPr>
      </w:pPr>
    </w:p>
    <w:p w:rsidR="00933468" w:rsidRPr="00933468" w:rsidRDefault="00933468" w:rsidP="00933468">
      <w:pPr>
        <w:pStyle w:val="BodyText"/>
        <w:spacing w:before="11"/>
        <w:ind w:firstLine="476"/>
        <w:rPr>
          <w:sz w:val="19"/>
        </w:rPr>
      </w:pPr>
      <w:r w:rsidRPr="00933468">
        <w:rPr>
          <w:sz w:val="19"/>
        </w:rPr>
        <w:t>Tel: 617-422-0700</w:t>
      </w:r>
    </w:p>
    <w:p w:rsidR="00933468" w:rsidRPr="00933468" w:rsidRDefault="00933468" w:rsidP="00933468">
      <w:pPr>
        <w:pStyle w:val="BodyText"/>
        <w:spacing w:before="11"/>
        <w:ind w:firstLine="476"/>
        <w:rPr>
          <w:sz w:val="19"/>
        </w:rPr>
      </w:pPr>
      <w:r w:rsidRPr="00933468">
        <w:rPr>
          <w:sz w:val="19"/>
        </w:rPr>
        <w:t>Fax: 617-422-0909</w:t>
      </w:r>
    </w:p>
    <w:p w:rsidR="008606F6" w:rsidRDefault="00DA0EFF" w:rsidP="00933468">
      <w:pPr>
        <w:pStyle w:val="BodyText"/>
        <w:spacing w:before="11"/>
        <w:ind w:firstLine="476"/>
        <w:rPr>
          <w:sz w:val="19"/>
        </w:rPr>
      </w:pPr>
      <w:hyperlink r:id="rId11" w:history="1">
        <w:r w:rsidR="00B30026">
          <w:rPr>
            <w:rStyle w:val="Hyperlink"/>
            <w:sz w:val="19"/>
          </w:rPr>
          <w:t>BDO website at www.bdo.com</w:t>
        </w:r>
      </w:hyperlink>
    </w:p>
    <w:p w:rsidR="00DA0EFF" w:rsidRDefault="00DA0EFF" w:rsidP="00933468">
      <w:pPr>
        <w:pStyle w:val="BodyText"/>
        <w:spacing w:before="11"/>
        <w:ind w:firstLine="476"/>
        <w:rPr>
          <w:sz w:val="19"/>
        </w:rPr>
      </w:pPr>
      <w:r w:rsidRPr="00DA0EFF">
        <w:rPr>
          <w:sz w:val="19"/>
        </w:rPr>
        <w:t>One International Place Boston, MA 02110-1745</w:t>
      </w:r>
    </w:p>
    <w:p w:rsidR="00933468" w:rsidRDefault="00933468">
      <w:pPr>
        <w:pStyle w:val="BodyText"/>
        <w:ind w:left="476"/>
        <w:rPr>
          <w:color w:val="231F20"/>
        </w:rPr>
      </w:pPr>
    </w:p>
    <w:p w:rsidR="008606F6" w:rsidRDefault="0021323E">
      <w:pPr>
        <w:pStyle w:val="BodyText"/>
        <w:ind w:left="476"/>
      </w:pPr>
      <w:r>
        <w:rPr>
          <w:color w:val="231F20"/>
        </w:rPr>
        <w:t>David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Bierschied</w:t>
      </w:r>
    </w:p>
    <w:p w:rsidR="008606F6" w:rsidRDefault="0021323E">
      <w:pPr>
        <w:pStyle w:val="BodyText"/>
        <w:ind w:left="476" w:right="6696"/>
      </w:pPr>
      <w:r>
        <w:rPr>
          <w:color w:val="231F20"/>
        </w:rPr>
        <w:t>Sr.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UMass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Inc.</w:t>
      </w:r>
    </w:p>
    <w:p w:rsidR="008606F6" w:rsidRDefault="0021323E">
      <w:pPr>
        <w:pStyle w:val="BodyText"/>
        <w:spacing w:before="1"/>
        <w:ind w:left="476"/>
      </w:pPr>
      <w:r>
        <w:rPr>
          <w:color w:val="231F20"/>
        </w:rPr>
        <w:t>306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Belmont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Street</w:t>
      </w:r>
    </w:p>
    <w:p w:rsidR="008606F6" w:rsidRDefault="0021323E">
      <w:pPr>
        <w:pStyle w:val="BodyText"/>
        <w:ind w:left="476"/>
      </w:pPr>
      <w:r>
        <w:rPr>
          <w:color w:val="231F20"/>
        </w:rPr>
        <w:t>Worcester,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01605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Heading2"/>
        <w:tabs>
          <w:tab w:val="left" w:pos="1195"/>
        </w:tabs>
        <w:ind w:left="476" w:firstLine="0"/>
      </w:pPr>
      <w:r>
        <w:rPr>
          <w:color w:val="231F20"/>
        </w:rPr>
        <w:t>RE:</w:t>
      </w:r>
      <w:r>
        <w:rPr>
          <w:color w:val="231F20"/>
        </w:rPr>
        <w:tab/>
        <w:t>Project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Feasibility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DPH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</w:t>
      </w:r>
    </w:p>
    <w:p w:rsidR="008606F6" w:rsidRDefault="008606F6">
      <w:pPr>
        <w:pStyle w:val="BodyText"/>
        <w:rPr>
          <w:b/>
          <w:sz w:val="24"/>
        </w:rPr>
      </w:pPr>
    </w:p>
    <w:p w:rsidR="008606F6" w:rsidRDefault="008606F6">
      <w:pPr>
        <w:pStyle w:val="BodyText"/>
        <w:spacing w:before="11"/>
        <w:rPr>
          <w:b/>
          <w:sz w:val="19"/>
        </w:rPr>
      </w:pPr>
    </w:p>
    <w:p w:rsidR="008606F6" w:rsidRDefault="0021323E">
      <w:pPr>
        <w:pStyle w:val="BodyText"/>
        <w:ind w:left="476"/>
      </w:pPr>
      <w:r>
        <w:rPr>
          <w:color w:val="231F20"/>
        </w:rPr>
        <w:t>Dear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Bierschied: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BodyText"/>
        <w:spacing w:line="480" w:lineRule="auto"/>
        <w:ind w:left="476" w:right="818"/>
        <w:jc w:val="both"/>
      </w:pPr>
      <w:r>
        <w:rPr>
          <w:color w:val="231F20"/>
        </w:rPr>
        <w:t>We have performed an analysis related to the reasonableness and feasibility of the financial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projections (the “Projections”) of UMass Memorial Health, Inc. (“UMass Memorial Health”,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“UMMH”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Applicant”),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computed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tomography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(“CT”)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UMass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Center’s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Lake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Avenue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North,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Worcester,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findings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with regard to the reasonableness of assumptions used in the preparation of the Projections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and feasibility of the projected financial results prepared by the management of UMMH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(“Management”). This report is to be used by UMMH in connection with its Determination of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Need (“DON”) Application – Factor 4(a) and should not be distributed or relied upon for 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purpose.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ListParagraph"/>
        <w:numPr>
          <w:ilvl w:val="0"/>
          <w:numId w:val="3"/>
        </w:numPr>
        <w:tabs>
          <w:tab w:val="left" w:pos="1196"/>
          <w:tab w:val="left" w:pos="1197"/>
        </w:tabs>
        <w:spacing w:before="1"/>
        <w:rPr>
          <w:b/>
        </w:rPr>
      </w:pPr>
      <w:r>
        <w:rPr>
          <w:b/>
          <w:color w:val="231F20"/>
          <w:u w:val="thick" w:color="231F20"/>
        </w:rPr>
        <w:t>EXECUTIVE</w:t>
      </w:r>
      <w:r>
        <w:rPr>
          <w:b/>
          <w:color w:val="231F20"/>
          <w:spacing w:val="-2"/>
          <w:u w:val="thick" w:color="231F20"/>
        </w:rPr>
        <w:t xml:space="preserve"> </w:t>
      </w:r>
      <w:r>
        <w:rPr>
          <w:b/>
          <w:color w:val="231F20"/>
          <w:u w:val="thick" w:color="231F20"/>
        </w:rPr>
        <w:t>SUMMARY</w:t>
      </w:r>
    </w:p>
    <w:p w:rsidR="008606F6" w:rsidRDefault="008606F6">
      <w:pPr>
        <w:pStyle w:val="BodyText"/>
        <w:rPr>
          <w:b/>
          <w:sz w:val="20"/>
        </w:rPr>
      </w:pPr>
    </w:p>
    <w:p w:rsidR="008606F6" w:rsidRDefault="008606F6">
      <w:pPr>
        <w:pStyle w:val="BodyText"/>
        <w:rPr>
          <w:b/>
          <w:sz w:val="24"/>
        </w:rPr>
      </w:pPr>
    </w:p>
    <w:p w:rsidR="008606F6" w:rsidRDefault="0021323E">
      <w:pPr>
        <w:pStyle w:val="BodyText"/>
        <w:spacing w:line="480" w:lineRule="auto"/>
        <w:ind w:left="476"/>
      </w:pPr>
      <w:r>
        <w:rPr>
          <w:color w:val="231F20"/>
          <w:w w:val="95"/>
        </w:rPr>
        <w:t>The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scope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review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limited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analysis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consolidated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UMMH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six-year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financial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ending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2027</w:t>
      </w:r>
    </w:p>
    <w:p w:rsidR="008606F6" w:rsidRDefault="008606F6">
      <w:pPr>
        <w:pStyle w:val="BodyText"/>
        <w:rPr>
          <w:sz w:val="20"/>
        </w:rPr>
      </w:pPr>
    </w:p>
    <w:p w:rsidR="008606F6" w:rsidRDefault="008606F6">
      <w:pPr>
        <w:pStyle w:val="BodyText"/>
        <w:spacing w:before="7"/>
        <w:rPr>
          <w:sz w:val="19"/>
        </w:rPr>
      </w:pPr>
    </w:p>
    <w:p w:rsidR="008606F6" w:rsidRDefault="0021323E">
      <w:pPr>
        <w:spacing w:line="247" w:lineRule="auto"/>
        <w:ind w:left="476" w:right="1074"/>
        <w:rPr>
          <w:sz w:val="12"/>
        </w:rPr>
      </w:pPr>
      <w:r>
        <w:rPr>
          <w:color w:val="685040"/>
          <w:sz w:val="12"/>
        </w:rPr>
        <w:t>BDO USA, LLP, a Delaware limited liability partnership, is the U.S. member of BDO International Limited, a UK company limited by guarantee, and forms part of the</w:t>
      </w:r>
      <w:r>
        <w:rPr>
          <w:color w:val="685040"/>
          <w:spacing w:val="-34"/>
          <w:sz w:val="12"/>
        </w:rPr>
        <w:t xml:space="preserve"> </w:t>
      </w:r>
      <w:r>
        <w:rPr>
          <w:color w:val="685040"/>
          <w:sz w:val="12"/>
        </w:rPr>
        <w:t>international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BDO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network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of independent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member firms.</w:t>
      </w:r>
    </w:p>
    <w:p w:rsidR="008606F6" w:rsidRDefault="008606F6">
      <w:pPr>
        <w:pStyle w:val="BodyText"/>
        <w:spacing w:before="5"/>
        <w:rPr>
          <w:sz w:val="12"/>
        </w:rPr>
      </w:pPr>
    </w:p>
    <w:p w:rsidR="008606F6" w:rsidRDefault="0021323E">
      <w:pPr>
        <w:spacing w:before="1"/>
        <w:ind w:left="476"/>
        <w:rPr>
          <w:sz w:val="12"/>
        </w:rPr>
      </w:pPr>
      <w:r>
        <w:rPr>
          <w:color w:val="685040"/>
          <w:sz w:val="12"/>
        </w:rPr>
        <w:t>BDO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is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the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brand name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for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the BDO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network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and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for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each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of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the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BDO</w:t>
      </w:r>
      <w:r>
        <w:rPr>
          <w:color w:val="685040"/>
          <w:spacing w:val="-2"/>
          <w:sz w:val="12"/>
        </w:rPr>
        <w:t xml:space="preserve"> </w:t>
      </w:r>
      <w:r>
        <w:rPr>
          <w:color w:val="685040"/>
          <w:sz w:val="12"/>
        </w:rPr>
        <w:t>Member</w:t>
      </w:r>
      <w:r>
        <w:rPr>
          <w:color w:val="685040"/>
          <w:spacing w:val="-1"/>
          <w:sz w:val="12"/>
        </w:rPr>
        <w:t xml:space="preserve"> </w:t>
      </w:r>
      <w:r>
        <w:rPr>
          <w:color w:val="685040"/>
          <w:sz w:val="12"/>
        </w:rPr>
        <w:t>Firms.</w:t>
      </w:r>
    </w:p>
    <w:p w:rsidR="008606F6" w:rsidRDefault="008606F6">
      <w:pPr>
        <w:rPr>
          <w:sz w:val="12"/>
        </w:rPr>
        <w:sectPr w:rsidR="008606F6">
          <w:headerReference w:type="even" r:id="rId12"/>
          <w:headerReference w:type="default" r:id="rId13"/>
          <w:pgSz w:w="12240" w:h="15840"/>
          <w:pgMar w:top="1360" w:right="620" w:bottom="280" w:left="1180" w:header="792" w:footer="0" w:gutter="0"/>
          <w:cols w:space="720"/>
        </w:sectPr>
      </w:pPr>
    </w:p>
    <w:p w:rsidR="005E71C4" w:rsidRDefault="005E71C4" w:rsidP="005E71C4">
      <w:pPr>
        <w:pStyle w:val="BodyText"/>
        <w:spacing w:before="100"/>
        <w:ind w:left="476" w:right="826"/>
        <w:jc w:val="both"/>
        <w:rPr>
          <w:color w:val="231F20"/>
        </w:rPr>
      </w:pPr>
      <w:r w:rsidRPr="005E71C4">
        <w:rPr>
          <w:color w:val="231F20"/>
        </w:rPr>
        <w:lastRenderedPageBreak/>
        <w:t>Mr. David Biersch</w:t>
      </w:r>
      <w:r>
        <w:rPr>
          <w:color w:val="231F20"/>
        </w:rPr>
        <w:t>ied UMass Memorial Health, Inc.</w:t>
      </w:r>
    </w:p>
    <w:p w:rsidR="005E71C4" w:rsidRPr="005E71C4" w:rsidRDefault="005E71C4" w:rsidP="005E71C4">
      <w:pPr>
        <w:pStyle w:val="BodyText"/>
        <w:spacing w:before="100"/>
        <w:ind w:left="476" w:right="826"/>
        <w:jc w:val="both"/>
        <w:rPr>
          <w:color w:val="231F20"/>
        </w:rPr>
      </w:pPr>
      <w:r w:rsidRPr="005E71C4">
        <w:rPr>
          <w:color w:val="231F20"/>
        </w:rPr>
        <w:t>March 9, 2022</w:t>
      </w:r>
    </w:p>
    <w:p w:rsidR="005E71C4" w:rsidRDefault="005E71C4" w:rsidP="005E71C4">
      <w:pPr>
        <w:pStyle w:val="BodyText"/>
        <w:spacing w:before="100"/>
        <w:ind w:left="476" w:right="826"/>
        <w:jc w:val="both"/>
        <w:rPr>
          <w:color w:val="231F20"/>
        </w:rPr>
      </w:pPr>
      <w:r w:rsidRPr="005E71C4">
        <w:rPr>
          <w:color w:val="231F20"/>
        </w:rPr>
        <w:t>Page 2</w:t>
      </w:r>
    </w:p>
    <w:p w:rsidR="00933468" w:rsidRDefault="00933468" w:rsidP="005E71C4">
      <w:pPr>
        <w:pStyle w:val="BodyText"/>
        <w:spacing w:before="100"/>
        <w:ind w:left="476" w:right="826"/>
        <w:jc w:val="both"/>
        <w:rPr>
          <w:color w:val="231F20"/>
        </w:rPr>
      </w:pPr>
    </w:p>
    <w:p w:rsidR="008606F6" w:rsidRDefault="0021323E">
      <w:pPr>
        <w:pStyle w:val="BodyText"/>
        <w:spacing w:before="100" w:line="480" w:lineRule="auto"/>
        <w:ind w:left="476" w:right="826"/>
        <w:jc w:val="both"/>
      </w:pPr>
      <w:r>
        <w:rPr>
          <w:color w:val="231F20"/>
        </w:rPr>
        <w:t>prepared by Management and the supporting documentation to render an opinion as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reasonableness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assumptions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feasibility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Projections.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pStyle w:val="BodyText"/>
        <w:spacing w:line="480" w:lineRule="auto"/>
        <w:ind w:left="476" w:right="819" w:hanging="1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exhibit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EBITDA</w:t>
      </w:r>
      <w:r>
        <w:rPr>
          <w:color w:val="231F20"/>
          <w:position w:val="7"/>
          <w:sz w:val="14"/>
        </w:rPr>
        <w:t>1</w:t>
      </w:r>
      <w:r>
        <w:rPr>
          <w:color w:val="231F20"/>
          <w:spacing w:val="16"/>
          <w:position w:val="7"/>
          <w:sz w:val="14"/>
        </w:rPr>
        <w:t xml:space="preserve"> </w:t>
      </w:r>
      <w:r>
        <w:rPr>
          <w:color w:val="231F20"/>
        </w:rPr>
        <w:t>surplus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approximately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5.2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UMMH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2027.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upon our review of the relevant documents and analysis of the Projections, we determined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EBITDA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surplus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expectation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feasible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financial assumptions. Accordingly, we determined that the Projections are reasonable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feasible, and not likely to have a negative impact on the Applicant’s patient panel or result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a liquidation of UMMH’s assets. A detailed explanation of the basis for our determination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reasonableness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feasibility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contained 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report.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Heading1"/>
        <w:numPr>
          <w:ilvl w:val="0"/>
          <w:numId w:val="3"/>
        </w:numPr>
        <w:tabs>
          <w:tab w:val="left" w:pos="1196"/>
          <w:tab w:val="left" w:pos="1197"/>
        </w:tabs>
        <w:rPr>
          <w:u w:val="none"/>
        </w:rPr>
      </w:pPr>
      <w:bookmarkStart w:id="0" w:name="_TOC_250004"/>
      <w:r>
        <w:rPr>
          <w:color w:val="231F20"/>
          <w:u w:val="thick" w:color="231F20"/>
        </w:rPr>
        <w:t>RELEVANT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BACKGROUND</w:t>
      </w:r>
      <w:r>
        <w:rPr>
          <w:color w:val="231F20"/>
          <w:spacing w:val="-2"/>
          <w:u w:val="thick" w:color="231F20"/>
        </w:rPr>
        <w:t xml:space="preserve"> </w:t>
      </w:r>
      <w:bookmarkEnd w:id="0"/>
      <w:r>
        <w:rPr>
          <w:color w:val="231F20"/>
          <w:u w:val="thick" w:color="231F20"/>
        </w:rPr>
        <w:t>INFORMATION</w:t>
      </w:r>
    </w:p>
    <w:p w:rsidR="008606F6" w:rsidRDefault="008606F6">
      <w:pPr>
        <w:pStyle w:val="BodyText"/>
        <w:rPr>
          <w:b/>
          <w:sz w:val="20"/>
        </w:rPr>
      </w:pPr>
    </w:p>
    <w:p w:rsidR="008606F6" w:rsidRDefault="008606F6">
      <w:pPr>
        <w:pStyle w:val="BodyText"/>
        <w:rPr>
          <w:b/>
          <w:sz w:val="24"/>
        </w:rPr>
      </w:pPr>
    </w:p>
    <w:p w:rsidR="008606F6" w:rsidRDefault="0021323E">
      <w:pPr>
        <w:pStyle w:val="BodyText"/>
        <w:spacing w:line="480" w:lineRule="auto"/>
        <w:ind w:left="476" w:right="823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Applicant,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UMass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Health,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Massachusetts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nonprofit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largest health care system in Central Massachusetts. UMMH is comprised of one academic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teaching hospital, UMass Memorial Medical Center (“UMMMC” or the “Hospital”), and three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acute care hospitals: HealthAlliance-Clinton Hospital, Marlborough Hospital, and Harrington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Hospital. The system includes behavioral health services through CommunityHealthlink,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primary care, specialists, urgent care through CareWell Urgent Care, home health,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hospice. In addition, the Applicant has several joint ventures including (i) Hospital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Medicine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(“HBM”),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120-bed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Worchester</w:t>
      </w:r>
    </w:p>
    <w:p w:rsidR="008606F6" w:rsidRDefault="008606F6">
      <w:pPr>
        <w:pStyle w:val="BodyText"/>
        <w:rPr>
          <w:sz w:val="20"/>
        </w:rPr>
      </w:pPr>
    </w:p>
    <w:p w:rsidR="008606F6" w:rsidRDefault="008606F6">
      <w:pPr>
        <w:pStyle w:val="BodyText"/>
        <w:spacing w:before="2"/>
        <w:rPr>
          <w:sz w:val="19"/>
        </w:rPr>
      </w:pPr>
    </w:p>
    <w:p w:rsidR="008606F6" w:rsidRDefault="0021323E">
      <w:pPr>
        <w:spacing w:before="102"/>
        <w:ind w:left="47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  <w:vertAlign w:val="superscript"/>
        </w:rPr>
        <w:t>1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EBITDA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(“Earnings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before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Depreciation,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Interest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and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Tax”)</w:t>
      </w:r>
    </w:p>
    <w:p w:rsidR="008606F6" w:rsidRDefault="008606F6">
      <w:pPr>
        <w:rPr>
          <w:rFonts w:ascii="Times New Roman" w:hAnsi="Times New Roman"/>
          <w:sz w:val="20"/>
        </w:rPr>
        <w:sectPr w:rsidR="008606F6">
          <w:pgSz w:w="12240" w:h="15840"/>
          <w:pgMar w:top="1520" w:right="620" w:bottom="280" w:left="1180" w:header="793" w:footer="0" w:gutter="0"/>
          <w:cols w:space="720"/>
        </w:sectPr>
      </w:pPr>
    </w:p>
    <w:p w:rsidR="00654F96" w:rsidRDefault="00654F96" w:rsidP="00654F96">
      <w:pPr>
        <w:pStyle w:val="BodyText"/>
        <w:spacing w:before="100"/>
        <w:ind w:left="476" w:right="826"/>
        <w:jc w:val="both"/>
        <w:rPr>
          <w:color w:val="231F20"/>
        </w:rPr>
      </w:pPr>
      <w:r w:rsidRPr="005E71C4">
        <w:rPr>
          <w:color w:val="231F20"/>
        </w:rPr>
        <w:lastRenderedPageBreak/>
        <w:t>Mr. David Biersch</w:t>
      </w:r>
      <w:r>
        <w:rPr>
          <w:color w:val="231F20"/>
        </w:rPr>
        <w:t>ied UMass Memorial Health, Inc.</w:t>
      </w:r>
    </w:p>
    <w:p w:rsidR="00654F96" w:rsidRPr="005E71C4" w:rsidRDefault="00654F96" w:rsidP="00654F96">
      <w:pPr>
        <w:pStyle w:val="BodyText"/>
        <w:spacing w:before="100"/>
        <w:ind w:left="476" w:right="826"/>
        <w:jc w:val="both"/>
        <w:rPr>
          <w:color w:val="231F20"/>
        </w:rPr>
      </w:pPr>
      <w:r w:rsidRPr="005E71C4">
        <w:rPr>
          <w:color w:val="231F20"/>
        </w:rPr>
        <w:t>March 9, 2022</w:t>
      </w:r>
    </w:p>
    <w:p w:rsidR="00654F96" w:rsidRDefault="00654F96" w:rsidP="00654F96">
      <w:pPr>
        <w:pStyle w:val="BodyText"/>
        <w:spacing w:before="100"/>
        <w:ind w:left="476" w:right="826"/>
        <w:jc w:val="both"/>
        <w:rPr>
          <w:color w:val="231F20"/>
        </w:rPr>
      </w:pPr>
      <w:r>
        <w:rPr>
          <w:color w:val="231F20"/>
        </w:rPr>
        <w:t>Page 3</w:t>
      </w:r>
    </w:p>
    <w:p w:rsidR="00654F96" w:rsidRDefault="00654F96">
      <w:pPr>
        <w:pStyle w:val="BodyText"/>
        <w:spacing w:before="100" w:line="480" w:lineRule="auto"/>
        <w:ind w:left="476" w:right="821"/>
        <w:jc w:val="both"/>
        <w:rPr>
          <w:color w:val="231F20"/>
        </w:rPr>
      </w:pPr>
    </w:p>
    <w:p w:rsidR="008606F6" w:rsidRDefault="0021323E">
      <w:pPr>
        <w:pStyle w:val="BodyText"/>
        <w:spacing w:before="100" w:line="480" w:lineRule="auto"/>
        <w:ind w:left="476" w:right="821"/>
        <w:jc w:val="both"/>
      </w:pPr>
      <w:r>
        <w:rPr>
          <w:color w:val="231F20"/>
        </w:rPr>
        <w:t>County; (ii) The Surgery Center (“ASC”), an outpatient surgical facility in collaboration with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Reliant Medical Group and Shields Health Care Group; and (iii) Pharmacy Ventures, 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assists in developing and managing 340B programs for third parties as well as UMMH’s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specialty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drug program 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campus.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BodyText"/>
        <w:spacing w:before="1" w:line="480" w:lineRule="auto"/>
        <w:ind w:left="476" w:right="820"/>
        <w:jc w:val="both"/>
      </w:pPr>
      <w:r>
        <w:rPr>
          <w:color w:val="231F20"/>
        </w:rPr>
        <w:t>UMMMC is the Applicant’s teaching hospital and includes three campuses: Hahnemann,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Memorial, and University; the Psychiatric Treatment and Recovery Center (“PTRC”);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facility-based clinics in Uxbridge and Barre. The Hospital’s University Campus is the only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Level 1 trauma center in Central Massachusetts and operates the second largest emergency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department in Massachusetts. In addition to emergency care, the campus also provides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inpatient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outpatient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cardiology,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oncology,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radiology.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BodyText"/>
        <w:spacing w:line="480" w:lineRule="auto"/>
        <w:ind w:left="476" w:right="817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campus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 needs of the Hospital’s current and future patients by improving its CT service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providing timely access. The Hospital has experienced significant patient panel growth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CT demand, as demonstrated by historical utilization data, because of its ability to quickly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produce an accurate diagnosis, thus, allowing treatment to begin earlier. Currently,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Hospital is using the emergency department’s (“ED”) existing unit above capacity resulting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delays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suboptimal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throughput.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over-utilization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unit,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it becomes more susceptible to problems requiring maintenance thereby resulting in down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 for both patients and equipment. Patients must then be transported to a different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department,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adversely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affecting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care.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factors,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</w:p>
    <w:p w:rsidR="008606F6" w:rsidRDefault="008606F6">
      <w:pPr>
        <w:spacing w:line="480" w:lineRule="auto"/>
        <w:jc w:val="both"/>
        <w:sectPr w:rsidR="008606F6">
          <w:headerReference w:type="even" r:id="rId14"/>
          <w:headerReference w:type="default" r:id="rId15"/>
          <w:pgSz w:w="12240" w:h="15840"/>
          <w:pgMar w:top="1520" w:right="620" w:bottom="280" w:left="1180" w:header="792" w:footer="0" w:gutter="0"/>
          <w:pgNumType w:start="3"/>
          <w:cols w:space="720"/>
        </w:sectPr>
      </w:pPr>
    </w:p>
    <w:p w:rsidR="00B82050" w:rsidRPr="00B82050" w:rsidRDefault="00B82050" w:rsidP="00B8205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B82050" w:rsidRPr="00B82050" w:rsidRDefault="00B82050" w:rsidP="00B8205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B82050" w:rsidRDefault="00B82050" w:rsidP="00B8205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Page 4</w:t>
      </w:r>
    </w:p>
    <w:p w:rsidR="00B82050" w:rsidRDefault="00B82050" w:rsidP="00B8205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</w:p>
    <w:p w:rsidR="008606F6" w:rsidRDefault="0021323E">
      <w:pPr>
        <w:pStyle w:val="BodyText"/>
        <w:spacing w:before="100" w:line="480" w:lineRule="auto"/>
        <w:ind w:left="476" w:right="818"/>
        <w:jc w:val="both"/>
      </w:pPr>
      <w:r>
        <w:rPr>
          <w:color w:val="231F20"/>
          <w:w w:val="95"/>
        </w:rPr>
        <w:t>longer protocols, can increase wait times and patients who remain in the ED for longer periods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deteriorating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avoidable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admissions.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pStyle w:val="BodyText"/>
        <w:spacing w:line="480" w:lineRule="auto"/>
        <w:ind w:left="476" w:right="817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seeks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satisfaction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alleviating the issues through timely CT imaging and improved throughput. The Proposed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Project also aligns with Massachusetts’ goal of cost containment by improving CT access and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result,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reducing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overcrowding.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UMMH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assured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reimbursement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imaging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will not change and therefore health care costs will not be adversely affected as a result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pStyle w:val="Heading1"/>
        <w:numPr>
          <w:ilvl w:val="0"/>
          <w:numId w:val="3"/>
        </w:numPr>
        <w:tabs>
          <w:tab w:val="left" w:pos="1196"/>
          <w:tab w:val="left" w:pos="1197"/>
        </w:tabs>
        <w:spacing w:before="0"/>
        <w:rPr>
          <w:u w:val="none"/>
        </w:rPr>
      </w:pPr>
      <w:bookmarkStart w:id="1" w:name="_TOC_250003"/>
      <w:r>
        <w:rPr>
          <w:color w:val="231F20"/>
          <w:u w:val="thick" w:color="231F20"/>
        </w:rPr>
        <w:t>SCOPE</w:t>
      </w:r>
      <w:r>
        <w:rPr>
          <w:color w:val="231F20"/>
          <w:spacing w:val="-3"/>
          <w:u w:val="thick" w:color="231F20"/>
        </w:rPr>
        <w:t xml:space="preserve"> </w:t>
      </w:r>
      <w:r>
        <w:rPr>
          <w:color w:val="231F20"/>
          <w:u w:val="thick" w:color="231F20"/>
        </w:rPr>
        <w:t>OF</w:t>
      </w:r>
      <w:r>
        <w:rPr>
          <w:color w:val="231F20"/>
          <w:spacing w:val="-2"/>
          <w:u w:val="thick" w:color="231F20"/>
        </w:rPr>
        <w:t xml:space="preserve"> </w:t>
      </w:r>
      <w:bookmarkEnd w:id="1"/>
      <w:r>
        <w:rPr>
          <w:color w:val="231F20"/>
          <w:u w:val="thick" w:color="231F20"/>
        </w:rPr>
        <w:t>REPORT</w:t>
      </w:r>
    </w:p>
    <w:p w:rsidR="008606F6" w:rsidRDefault="008606F6">
      <w:pPr>
        <w:pStyle w:val="BodyText"/>
        <w:rPr>
          <w:b/>
          <w:sz w:val="20"/>
        </w:rPr>
      </w:pPr>
    </w:p>
    <w:p w:rsidR="008606F6" w:rsidRDefault="008606F6">
      <w:pPr>
        <w:pStyle w:val="BodyText"/>
        <w:spacing w:before="6"/>
        <w:rPr>
          <w:b/>
          <w:sz w:val="15"/>
        </w:rPr>
      </w:pPr>
    </w:p>
    <w:p w:rsidR="008606F6" w:rsidRDefault="0021323E">
      <w:pPr>
        <w:pStyle w:val="BodyText"/>
        <w:spacing w:before="100" w:line="480" w:lineRule="auto"/>
        <w:ind w:left="476" w:right="821"/>
        <w:jc w:val="both"/>
      </w:pPr>
      <w:r>
        <w:rPr>
          <w:color w:val="231F20"/>
        </w:rPr>
        <w:t>The scope of this report is limited to an analysis of the six-year Projections for the fiscal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2027,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prepared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render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reasonableness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assumptions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in the preparation and feasibility of the Projections. Reasonableness is defined within 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context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report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supportable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proper,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Feasibility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assumptions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used,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liquidation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reorganization.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pStyle w:val="BodyText"/>
        <w:spacing w:line="480" w:lineRule="auto"/>
        <w:ind w:left="476" w:right="822"/>
        <w:jc w:val="both"/>
      </w:pP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prospective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Management.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BDO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understands the prospective financial information was developed as of December 21, 2021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Management’s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expectations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drafting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report.</w:t>
      </w:r>
    </w:p>
    <w:p w:rsidR="008606F6" w:rsidRDefault="008606F6">
      <w:pPr>
        <w:spacing w:line="480" w:lineRule="auto"/>
        <w:jc w:val="both"/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654F96" w:rsidRPr="00B82050" w:rsidRDefault="00654F96" w:rsidP="00654F96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654F96" w:rsidRPr="00B82050" w:rsidRDefault="00654F96" w:rsidP="00654F96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654F96" w:rsidRDefault="00654F96" w:rsidP="00654F96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5</w:t>
      </w:r>
    </w:p>
    <w:p w:rsidR="00654F96" w:rsidRDefault="00654F96">
      <w:pPr>
        <w:pStyle w:val="BodyText"/>
        <w:spacing w:before="100" w:line="480" w:lineRule="auto"/>
        <w:ind w:left="476" w:right="826"/>
        <w:jc w:val="both"/>
        <w:rPr>
          <w:color w:val="231F20"/>
        </w:rPr>
      </w:pPr>
    </w:p>
    <w:p w:rsidR="008606F6" w:rsidRDefault="0021323E">
      <w:pPr>
        <w:pStyle w:val="BodyText"/>
        <w:spacing w:before="100" w:line="480" w:lineRule="auto"/>
        <w:ind w:left="476" w:right="826"/>
        <w:jc w:val="both"/>
      </w:pPr>
      <w:r>
        <w:rPr>
          <w:color w:val="231F20"/>
        </w:rPr>
        <w:t>BDO has not audited or performed any other form of attestation services on the projected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 related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operations 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UMMH.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pStyle w:val="BodyText"/>
        <w:spacing w:line="480" w:lineRule="auto"/>
        <w:ind w:left="476" w:right="823"/>
        <w:jc w:val="both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audited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underlying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matters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have resulted in our using amounts that differ from those provided. Accordingly, we do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express an opinion or any other assurances on the underlying data or projections presented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assurance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forecasted by the Applicant because events and circumstances frequently do not occur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expected,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forecasted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dependent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actions,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plans,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and assumptions of Management. We reserve the right to update our analysis if in the event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 additional information.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Heading1"/>
        <w:numPr>
          <w:ilvl w:val="0"/>
          <w:numId w:val="3"/>
        </w:numPr>
        <w:tabs>
          <w:tab w:val="left" w:pos="1196"/>
          <w:tab w:val="left" w:pos="1197"/>
        </w:tabs>
        <w:rPr>
          <w:u w:val="none"/>
        </w:rPr>
      </w:pPr>
      <w:bookmarkStart w:id="2" w:name="_TOC_250002"/>
      <w:r>
        <w:rPr>
          <w:color w:val="231F20"/>
          <w:u w:val="thick" w:color="231F20"/>
        </w:rPr>
        <w:t>SOURCES</w:t>
      </w:r>
      <w:r>
        <w:rPr>
          <w:color w:val="231F20"/>
          <w:spacing w:val="-6"/>
          <w:u w:val="thick" w:color="231F20"/>
        </w:rPr>
        <w:t xml:space="preserve"> </w:t>
      </w:r>
      <w:r>
        <w:rPr>
          <w:color w:val="231F20"/>
          <w:u w:val="thick" w:color="231F20"/>
        </w:rPr>
        <w:t>OF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INFORMATION</w:t>
      </w:r>
      <w:r>
        <w:rPr>
          <w:color w:val="231F20"/>
          <w:spacing w:val="-6"/>
          <w:u w:val="thick" w:color="231F20"/>
        </w:rPr>
        <w:t xml:space="preserve"> </w:t>
      </w:r>
      <w:bookmarkEnd w:id="2"/>
      <w:r>
        <w:rPr>
          <w:color w:val="231F20"/>
          <w:u w:val="thick" w:color="231F20"/>
        </w:rPr>
        <w:t>UTILIZED</w:t>
      </w:r>
    </w:p>
    <w:p w:rsidR="008606F6" w:rsidRDefault="008606F6">
      <w:pPr>
        <w:pStyle w:val="BodyText"/>
        <w:spacing w:before="4"/>
        <w:rPr>
          <w:b/>
          <w:sz w:val="17"/>
        </w:rPr>
      </w:pPr>
    </w:p>
    <w:p w:rsidR="008606F6" w:rsidRDefault="0021323E">
      <w:pPr>
        <w:pStyle w:val="BodyText"/>
        <w:spacing w:before="99" w:line="480" w:lineRule="auto"/>
        <w:ind w:left="476" w:right="819"/>
        <w:jc w:val="both"/>
      </w:pP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formulating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conclusions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documents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Management as well as third party industry data sources. The documents and information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referenced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report: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0"/>
        </w:rPr>
      </w:pPr>
    </w:p>
    <w:p w:rsidR="008606F6" w:rsidRDefault="0021323E">
      <w:pPr>
        <w:pStyle w:val="ListParagraph"/>
        <w:numPr>
          <w:ilvl w:val="1"/>
          <w:numId w:val="3"/>
        </w:numPr>
        <w:tabs>
          <w:tab w:val="left" w:pos="1197"/>
        </w:tabs>
        <w:spacing w:before="1" w:line="480" w:lineRule="auto"/>
        <w:ind w:right="821"/>
        <w:jc w:val="both"/>
      </w:pPr>
      <w:r>
        <w:rPr>
          <w:color w:val="231F20"/>
        </w:rPr>
        <w:t>Financial Model for UMMH for the periods ending September 30,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2022, 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30, 2027;</w:t>
      </w:r>
    </w:p>
    <w:p w:rsidR="008606F6" w:rsidRDefault="0021323E">
      <w:pPr>
        <w:pStyle w:val="ListParagraph"/>
        <w:numPr>
          <w:ilvl w:val="1"/>
          <w:numId w:val="3"/>
        </w:numPr>
        <w:tabs>
          <w:tab w:val="left" w:pos="1197"/>
        </w:tabs>
        <w:spacing w:line="480" w:lineRule="auto"/>
        <w:ind w:right="816"/>
        <w:jc w:val="both"/>
      </w:pPr>
      <w:r>
        <w:rPr>
          <w:color w:val="231F20"/>
        </w:rPr>
        <w:t>Proposed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UMMH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UMMH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on September 21, 2021, which also includes discussions regarding fiscal year 2021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performance;</w:t>
      </w:r>
    </w:p>
    <w:p w:rsidR="008606F6" w:rsidRDefault="008606F6">
      <w:pPr>
        <w:spacing w:line="480" w:lineRule="auto"/>
        <w:jc w:val="both"/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7716FB" w:rsidRPr="00B82050" w:rsidRDefault="007716FB" w:rsidP="007716FB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7716FB" w:rsidRPr="00B82050" w:rsidRDefault="007716FB" w:rsidP="007716FB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7716FB" w:rsidRDefault="007716FB" w:rsidP="007716FB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6</w:t>
      </w:r>
    </w:p>
    <w:p w:rsidR="008606F6" w:rsidRDefault="008606F6">
      <w:pPr>
        <w:pStyle w:val="BodyText"/>
        <w:spacing w:before="6"/>
      </w:pPr>
    </w:p>
    <w:p w:rsidR="008606F6" w:rsidRDefault="0021323E">
      <w:pPr>
        <w:pStyle w:val="ListParagraph"/>
        <w:numPr>
          <w:ilvl w:val="1"/>
          <w:numId w:val="3"/>
        </w:numPr>
        <w:tabs>
          <w:tab w:val="left" w:pos="1197"/>
        </w:tabs>
        <w:spacing w:before="100"/>
      </w:pPr>
      <w:r>
        <w:rPr>
          <w:color w:val="231F20"/>
        </w:rPr>
        <w:t>Draft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UMMH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Application;</w:t>
      </w:r>
    </w:p>
    <w:p w:rsidR="008606F6" w:rsidRDefault="008606F6">
      <w:pPr>
        <w:pStyle w:val="BodyText"/>
      </w:pPr>
    </w:p>
    <w:p w:rsidR="008606F6" w:rsidRDefault="0021323E">
      <w:pPr>
        <w:pStyle w:val="ListParagraph"/>
        <w:numPr>
          <w:ilvl w:val="1"/>
          <w:numId w:val="3"/>
        </w:numPr>
        <w:tabs>
          <w:tab w:val="left" w:pos="1197"/>
        </w:tabs>
        <w:spacing w:line="480" w:lineRule="auto"/>
        <w:ind w:right="816"/>
      </w:pPr>
      <w:r>
        <w:rPr>
          <w:color w:val="231F20"/>
        </w:rPr>
        <w:t>Audited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UMass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Healthcare,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2019;</w:t>
      </w:r>
    </w:p>
    <w:p w:rsidR="008606F6" w:rsidRDefault="0021323E">
      <w:pPr>
        <w:pStyle w:val="ListParagraph"/>
        <w:numPr>
          <w:ilvl w:val="1"/>
          <w:numId w:val="3"/>
        </w:numPr>
        <w:tabs>
          <w:tab w:val="left" w:pos="1197"/>
        </w:tabs>
        <w:spacing w:line="255" w:lineRule="exact"/>
        <w:ind w:hanging="362"/>
      </w:pPr>
      <w:r>
        <w:rPr>
          <w:color w:val="231F20"/>
        </w:rPr>
        <w:t>Definitive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data;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</w:p>
    <w:p w:rsidR="008606F6" w:rsidRDefault="008606F6">
      <w:pPr>
        <w:pStyle w:val="BodyText"/>
      </w:pPr>
    </w:p>
    <w:p w:rsidR="008606F6" w:rsidRDefault="0021323E">
      <w:pPr>
        <w:pStyle w:val="ListParagraph"/>
        <w:numPr>
          <w:ilvl w:val="1"/>
          <w:numId w:val="3"/>
        </w:numPr>
        <w:tabs>
          <w:tab w:val="left" w:pos="1197"/>
        </w:tabs>
        <w:ind w:hanging="362"/>
      </w:pPr>
      <w:r>
        <w:rPr>
          <w:color w:val="231F20"/>
        </w:rPr>
        <w:t>IBISWorld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Hospitals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dated November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2021.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4"/>
        </w:rPr>
      </w:pPr>
    </w:p>
    <w:p w:rsidR="008606F6" w:rsidRDefault="0021323E">
      <w:pPr>
        <w:pStyle w:val="Heading1"/>
        <w:numPr>
          <w:ilvl w:val="0"/>
          <w:numId w:val="3"/>
        </w:numPr>
        <w:tabs>
          <w:tab w:val="left" w:pos="1196"/>
          <w:tab w:val="left" w:pos="1197"/>
        </w:tabs>
        <w:spacing w:before="209"/>
        <w:ind w:hanging="722"/>
        <w:rPr>
          <w:u w:val="none"/>
        </w:rPr>
      </w:pPr>
      <w:bookmarkStart w:id="3" w:name="_TOC_250001"/>
      <w:r>
        <w:rPr>
          <w:color w:val="231F20"/>
          <w:u w:val="thick" w:color="231F20"/>
        </w:rPr>
        <w:t>REVIEW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OF THE</w:t>
      </w:r>
      <w:r>
        <w:rPr>
          <w:color w:val="231F20"/>
          <w:spacing w:val="-1"/>
          <w:u w:val="thick" w:color="231F20"/>
        </w:rPr>
        <w:t xml:space="preserve"> </w:t>
      </w:r>
      <w:bookmarkEnd w:id="3"/>
      <w:r>
        <w:rPr>
          <w:color w:val="231F20"/>
          <w:u w:val="thick" w:color="231F20"/>
        </w:rPr>
        <w:t>PROJECTIONS</w:t>
      </w:r>
    </w:p>
    <w:p w:rsidR="008606F6" w:rsidRDefault="008606F6">
      <w:pPr>
        <w:pStyle w:val="BodyText"/>
        <w:rPr>
          <w:b/>
          <w:sz w:val="20"/>
        </w:rPr>
      </w:pPr>
    </w:p>
    <w:p w:rsidR="008606F6" w:rsidRDefault="008606F6">
      <w:pPr>
        <w:pStyle w:val="BodyText"/>
        <w:spacing w:before="5"/>
        <w:rPr>
          <w:b/>
          <w:sz w:val="17"/>
        </w:rPr>
      </w:pPr>
    </w:p>
    <w:p w:rsidR="008606F6" w:rsidRDefault="0021323E">
      <w:pPr>
        <w:pStyle w:val="BodyText"/>
        <w:spacing w:before="100" w:line="480" w:lineRule="auto"/>
        <w:ind w:left="476" w:right="818"/>
        <w:jc w:val="both"/>
      </w:pPr>
      <w:r>
        <w:rPr>
          <w:color w:val="231F20"/>
        </w:rPr>
        <w:t>This section of our report summarizes our review of the reasonableness of the assumptions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 and feasibility of the Projections. Notably, Management indicated the Projections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exclude the impact of inflation on both operating revenue and operating expenses after 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days,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discharges,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cases/procedures,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WRVUs,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etc.)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case/procedures,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FTEs,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etc.)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remainder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2027).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discussions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understand that historically the impact of inflation has been similar for both operating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revenue and operating expenses. We were not provided with, and therefore did not review,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pertaining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inflation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revenue or operating expenses and therefore relied on Management’s assumption that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impact of inflation would be neutral (the impact of inflation on operating revenue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operating expenses would offset) from FY 2023 to FY 2027. Furthermore, we understand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simplifying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assumption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Massachusetts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Projections.</w:t>
      </w:r>
    </w:p>
    <w:p w:rsidR="008606F6" w:rsidRDefault="008606F6">
      <w:pPr>
        <w:spacing w:line="480" w:lineRule="auto"/>
        <w:jc w:val="both"/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8606F6" w:rsidRDefault="008606F6">
      <w:pPr>
        <w:pStyle w:val="BodyText"/>
        <w:rPr>
          <w:sz w:val="20"/>
        </w:rPr>
      </w:pPr>
    </w:p>
    <w:p w:rsidR="008606F6" w:rsidRDefault="008606F6">
      <w:pPr>
        <w:pStyle w:val="BodyText"/>
        <w:rPr>
          <w:sz w:val="20"/>
        </w:rPr>
      </w:pPr>
    </w:p>
    <w:p w:rsidR="00751BA6" w:rsidRPr="00751BA6" w:rsidRDefault="00751BA6" w:rsidP="00751BA6">
      <w:pPr>
        <w:pStyle w:val="BodyText"/>
        <w:rPr>
          <w:sz w:val="20"/>
        </w:rPr>
      </w:pPr>
      <w:r w:rsidRPr="00751BA6">
        <w:rPr>
          <w:sz w:val="20"/>
        </w:rPr>
        <w:t>Mr. David Bierschied UMass Memorial Health, Inc.</w:t>
      </w:r>
    </w:p>
    <w:p w:rsidR="00751BA6" w:rsidRPr="00751BA6" w:rsidRDefault="00751BA6" w:rsidP="00751BA6">
      <w:pPr>
        <w:pStyle w:val="BodyText"/>
        <w:rPr>
          <w:sz w:val="20"/>
        </w:rPr>
      </w:pPr>
      <w:r w:rsidRPr="00751BA6">
        <w:rPr>
          <w:sz w:val="20"/>
        </w:rPr>
        <w:t>March 9, 2022</w:t>
      </w:r>
    </w:p>
    <w:p w:rsidR="00751BA6" w:rsidRDefault="00751BA6" w:rsidP="00751BA6">
      <w:pPr>
        <w:pStyle w:val="BodyText"/>
        <w:rPr>
          <w:sz w:val="20"/>
        </w:rPr>
      </w:pPr>
      <w:r w:rsidRPr="00751BA6">
        <w:rPr>
          <w:sz w:val="20"/>
        </w:rPr>
        <w:t>Page 7</w:t>
      </w:r>
    </w:p>
    <w:p w:rsidR="008606F6" w:rsidRDefault="008606F6">
      <w:pPr>
        <w:pStyle w:val="BodyText"/>
        <w:spacing w:before="6"/>
      </w:pPr>
    </w:p>
    <w:p w:rsidR="008606F6" w:rsidRDefault="0021323E" w:rsidP="00AF61C0">
      <w:pPr>
        <w:pStyle w:val="BodyText"/>
        <w:spacing w:before="100" w:line="480" w:lineRule="auto"/>
        <w:ind w:left="476" w:right="821"/>
        <w:jc w:val="both"/>
        <w:rPr>
          <w:sz w:val="9"/>
        </w:rPr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Metrics,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forecasted operating results of the performance of UMMH after the affiliation to market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 from IBISWorld and Definitive Healthcare to assess the reasonableness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Projections.</w:t>
      </w:r>
      <w:r w:rsidR="00AF61C0">
        <w:rPr>
          <w:sz w:val="9"/>
        </w:rPr>
        <w:t xml:space="preserve"> </w:t>
      </w:r>
    </w:p>
    <w:p w:rsidR="008606F6" w:rsidRDefault="0021323E">
      <w:pPr>
        <w:tabs>
          <w:tab w:val="left" w:pos="3043"/>
          <w:tab w:val="left" w:pos="4691"/>
          <w:tab w:val="left" w:pos="7524"/>
          <w:tab w:val="left" w:pos="9679"/>
        </w:tabs>
        <w:spacing w:after="16"/>
        <w:ind w:left="497"/>
        <w:rPr>
          <w:b/>
          <w:sz w:val="9"/>
        </w:rPr>
      </w:pPr>
      <w:r>
        <w:rPr>
          <w:b/>
          <w:color w:val="231F20"/>
          <w:w w:val="105"/>
          <w:sz w:val="9"/>
        </w:rPr>
        <w:t>Key</w:t>
      </w:r>
      <w:r>
        <w:rPr>
          <w:b/>
          <w:color w:val="231F20"/>
          <w:spacing w:val="3"/>
          <w:w w:val="105"/>
          <w:sz w:val="9"/>
        </w:rPr>
        <w:t xml:space="preserve"> </w:t>
      </w:r>
      <w:r>
        <w:rPr>
          <w:b/>
          <w:color w:val="231F20"/>
          <w:w w:val="105"/>
          <w:sz w:val="9"/>
        </w:rPr>
        <w:t>Financial Metrics and</w:t>
      </w:r>
      <w:r>
        <w:rPr>
          <w:b/>
          <w:color w:val="231F20"/>
          <w:spacing w:val="3"/>
          <w:w w:val="105"/>
          <w:sz w:val="9"/>
        </w:rPr>
        <w:t xml:space="preserve"> </w:t>
      </w:r>
      <w:r>
        <w:rPr>
          <w:b/>
          <w:color w:val="231F20"/>
          <w:w w:val="105"/>
          <w:sz w:val="9"/>
        </w:rPr>
        <w:t>Ratios</w:t>
      </w:r>
      <w:r>
        <w:rPr>
          <w:b/>
          <w:color w:val="231F20"/>
          <w:sz w:val="9"/>
        </w:rPr>
        <w:tab/>
      </w:r>
      <w:r>
        <w:rPr>
          <w:b/>
          <w:color w:val="231F20"/>
          <w:w w:val="106"/>
          <w:sz w:val="9"/>
          <w:u w:val="single" w:color="231F20"/>
        </w:rPr>
        <w:t xml:space="preserve"> </w:t>
      </w:r>
      <w:r>
        <w:rPr>
          <w:b/>
          <w:color w:val="231F20"/>
          <w:sz w:val="9"/>
          <w:u w:val="single" w:color="231F20"/>
        </w:rPr>
        <w:tab/>
      </w:r>
      <w:r>
        <w:rPr>
          <w:b/>
          <w:color w:val="231F20"/>
          <w:w w:val="105"/>
          <w:sz w:val="9"/>
          <w:u w:val="single" w:color="231F20"/>
        </w:rPr>
        <w:t>Projected</w:t>
      </w: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1052"/>
        <w:gridCol w:w="785"/>
        <w:gridCol w:w="785"/>
        <w:gridCol w:w="785"/>
        <w:gridCol w:w="785"/>
        <w:gridCol w:w="846"/>
        <w:gridCol w:w="1219"/>
        <w:gridCol w:w="955"/>
      </w:tblGrid>
      <w:tr w:rsidR="008606F6" w:rsidTr="00AE5893">
        <w:trPr>
          <w:trHeight w:val="530"/>
        </w:trPr>
        <w:tc>
          <w:tcPr>
            <w:tcW w:w="2632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left="21"/>
              <w:rPr>
                <w:b/>
                <w:sz w:val="9"/>
              </w:rPr>
            </w:pPr>
            <w:r>
              <w:rPr>
                <w:b/>
                <w:color w:val="ED2024"/>
                <w:w w:val="105"/>
                <w:sz w:val="9"/>
              </w:rPr>
              <w:t>Post-Affiliation</w:t>
            </w:r>
            <w:r>
              <w:rPr>
                <w:b/>
                <w:color w:val="ED2024"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color w:val="ED2024"/>
                <w:w w:val="105"/>
                <w:sz w:val="9"/>
              </w:rPr>
              <w:t>UMMHC</w:t>
            </w:r>
            <w:r>
              <w:rPr>
                <w:b/>
                <w:color w:val="ED2024"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color w:val="ED2024"/>
                <w:w w:val="105"/>
                <w:sz w:val="9"/>
              </w:rPr>
              <w:t>Projection</w:t>
            </w:r>
          </w:p>
        </w:tc>
        <w:tc>
          <w:tcPr>
            <w:tcW w:w="1052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right="198"/>
              <w:jc w:val="right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2022</w:t>
            </w:r>
          </w:p>
        </w:tc>
        <w:tc>
          <w:tcPr>
            <w:tcW w:w="785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left="319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2023</w:t>
            </w:r>
          </w:p>
        </w:tc>
        <w:tc>
          <w:tcPr>
            <w:tcW w:w="785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left="319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2024</w:t>
            </w:r>
          </w:p>
        </w:tc>
        <w:tc>
          <w:tcPr>
            <w:tcW w:w="785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left="184" w:right="65"/>
              <w:jc w:val="center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2025</w:t>
            </w:r>
          </w:p>
        </w:tc>
        <w:tc>
          <w:tcPr>
            <w:tcW w:w="785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left="320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2026</w:t>
            </w:r>
          </w:p>
        </w:tc>
        <w:tc>
          <w:tcPr>
            <w:tcW w:w="846" w:type="dxa"/>
          </w:tcPr>
          <w:p w:rsidR="008606F6" w:rsidRDefault="008606F6">
            <w:pPr>
              <w:pStyle w:val="TableParagraph"/>
              <w:spacing w:before="3" w:line="240" w:lineRule="auto"/>
              <w:rPr>
                <w:b/>
                <w:sz w:val="11"/>
              </w:rPr>
            </w:pPr>
          </w:p>
          <w:p w:rsidR="008606F6" w:rsidRDefault="0021323E">
            <w:pPr>
              <w:pStyle w:val="TableParagraph"/>
              <w:spacing w:line="93" w:lineRule="exact"/>
              <w:ind w:right="255"/>
              <w:jc w:val="right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2027</w:t>
            </w:r>
          </w:p>
        </w:tc>
        <w:tc>
          <w:tcPr>
            <w:tcW w:w="1219" w:type="dxa"/>
          </w:tcPr>
          <w:p w:rsidR="008606F6" w:rsidRDefault="0021323E">
            <w:pPr>
              <w:pStyle w:val="TableParagraph"/>
              <w:spacing w:before="5" w:line="240" w:lineRule="auto"/>
              <w:ind w:left="254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IBIS</w:t>
            </w:r>
            <w:r>
              <w:rPr>
                <w:b/>
                <w:color w:val="231F20"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color w:val="231F20"/>
                <w:w w:val="105"/>
                <w:sz w:val="9"/>
              </w:rPr>
              <w:t>-</w:t>
            </w:r>
            <w:r>
              <w:rPr>
                <w:b/>
                <w:color w:val="231F20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231F20"/>
                <w:w w:val="105"/>
                <w:sz w:val="9"/>
              </w:rPr>
              <w:t>Hospitals</w:t>
            </w:r>
          </w:p>
          <w:p w:rsidR="008606F6" w:rsidRDefault="0021323E">
            <w:pPr>
              <w:pStyle w:val="TableParagraph"/>
              <w:spacing w:before="17" w:line="97" w:lineRule="exact"/>
              <w:ind w:left="336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in</w:t>
            </w:r>
            <w:r>
              <w:rPr>
                <w:b/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color w:val="231F20"/>
                <w:w w:val="105"/>
                <w:sz w:val="9"/>
              </w:rPr>
              <w:t>the</w:t>
            </w:r>
            <w:r>
              <w:rPr>
                <w:b/>
                <w:color w:val="231F20"/>
                <w:spacing w:val="4"/>
                <w:w w:val="105"/>
                <w:sz w:val="9"/>
              </w:rPr>
              <w:t xml:space="preserve"> </w:t>
            </w:r>
            <w:r>
              <w:rPr>
                <w:b/>
                <w:color w:val="231F20"/>
                <w:w w:val="105"/>
                <w:sz w:val="9"/>
              </w:rPr>
              <w:t>US</w:t>
            </w:r>
            <w:r>
              <w:rPr>
                <w:b/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231F20"/>
                <w:w w:val="105"/>
                <w:sz w:val="9"/>
              </w:rPr>
              <w:t>(2)</w:t>
            </w:r>
          </w:p>
        </w:tc>
        <w:tc>
          <w:tcPr>
            <w:tcW w:w="955" w:type="dxa"/>
          </w:tcPr>
          <w:p w:rsidR="008606F6" w:rsidRDefault="0021323E">
            <w:pPr>
              <w:pStyle w:val="TableParagraph"/>
              <w:spacing w:before="5" w:line="240" w:lineRule="auto"/>
              <w:ind w:left="293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Definitive</w:t>
            </w:r>
          </w:p>
          <w:p w:rsidR="008606F6" w:rsidRDefault="0021323E">
            <w:pPr>
              <w:pStyle w:val="TableParagraph"/>
              <w:spacing w:before="17" w:line="97" w:lineRule="exact"/>
              <w:ind w:left="249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Healthcare</w:t>
            </w:r>
          </w:p>
        </w:tc>
      </w:tr>
      <w:tr w:rsidR="008606F6" w:rsidTr="00AE5893">
        <w:trPr>
          <w:trHeight w:val="273"/>
        </w:trPr>
        <w:tc>
          <w:tcPr>
            <w:tcW w:w="2632" w:type="dxa"/>
            <w:shd w:val="clear" w:color="auto" w:fill="F1F1F2"/>
          </w:tcPr>
          <w:p w:rsidR="008606F6" w:rsidRDefault="0021323E">
            <w:pPr>
              <w:pStyle w:val="TableParagraph"/>
              <w:spacing w:before="13" w:line="93" w:lineRule="exact"/>
              <w:ind w:left="21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Profitability</w:t>
            </w:r>
          </w:p>
        </w:tc>
        <w:tc>
          <w:tcPr>
            <w:tcW w:w="1052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846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19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5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8606F6" w:rsidTr="00AE5893">
        <w:trPr>
          <w:trHeight w:val="224"/>
        </w:trPr>
        <w:tc>
          <w:tcPr>
            <w:tcW w:w="2632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Operating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Margin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(%)</w:t>
            </w:r>
          </w:p>
        </w:tc>
        <w:tc>
          <w:tcPr>
            <w:tcW w:w="1052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right="194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0.2%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0.3%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0.4%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222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0.4%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0.4%</w:t>
            </w:r>
          </w:p>
        </w:tc>
        <w:tc>
          <w:tcPr>
            <w:tcW w:w="846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right="251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0.5%</w:t>
            </w:r>
          </w:p>
        </w:tc>
        <w:tc>
          <w:tcPr>
            <w:tcW w:w="1219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right="24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16.3%</w:t>
            </w:r>
          </w:p>
        </w:tc>
        <w:tc>
          <w:tcPr>
            <w:tcW w:w="955" w:type="dxa"/>
            <w:tcBorders>
              <w:bottom w:val="single" w:sz="18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46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-11.7%</w:t>
            </w:r>
          </w:p>
        </w:tc>
      </w:tr>
      <w:tr w:rsidR="008606F6" w:rsidTr="00AE5893">
        <w:trPr>
          <w:trHeight w:val="217"/>
        </w:trPr>
        <w:tc>
          <w:tcPr>
            <w:tcW w:w="263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Excess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Margin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(%)</w:t>
            </w:r>
          </w:p>
        </w:tc>
        <w:tc>
          <w:tcPr>
            <w:tcW w:w="105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right="194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1.1%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1.3%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1.3%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left="221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1.3%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1.3%</w:t>
            </w:r>
          </w:p>
        </w:tc>
        <w:tc>
          <w:tcPr>
            <w:tcW w:w="846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right="252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1.4%</w:t>
            </w:r>
          </w:p>
        </w:tc>
        <w:tc>
          <w:tcPr>
            <w:tcW w:w="1219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right="24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8.5%</w:t>
            </w:r>
          </w:p>
        </w:tc>
        <w:tc>
          <w:tcPr>
            <w:tcW w:w="955" w:type="dxa"/>
            <w:tcBorders>
              <w:top w:val="single" w:sz="18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line="81" w:lineRule="exact"/>
              <w:ind w:right="32"/>
              <w:jc w:val="right"/>
              <w:rPr>
                <w:sz w:val="8"/>
              </w:rPr>
            </w:pPr>
            <w:r>
              <w:rPr>
                <w:color w:val="231F20"/>
                <w:w w:val="105"/>
                <w:sz w:val="9"/>
              </w:rPr>
              <w:t xml:space="preserve">2.0% </w:t>
            </w:r>
            <w:r>
              <w:rPr>
                <w:color w:val="231F20"/>
                <w:w w:val="105"/>
                <w:sz w:val="8"/>
              </w:rPr>
              <w:t>(3)</w:t>
            </w:r>
          </w:p>
        </w:tc>
      </w:tr>
      <w:tr w:rsidR="008606F6" w:rsidTr="00AE5893">
        <w:trPr>
          <w:trHeight w:val="267"/>
        </w:trPr>
        <w:tc>
          <w:tcPr>
            <w:tcW w:w="2632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Debt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Service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Coverage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Ratio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(x)</w:t>
            </w:r>
          </w:p>
        </w:tc>
        <w:tc>
          <w:tcPr>
            <w:tcW w:w="1052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right="195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3.2x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left="36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3.3x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left="36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3.6x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left="229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3.6x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left="36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3.0x</w:t>
            </w:r>
          </w:p>
        </w:tc>
        <w:tc>
          <w:tcPr>
            <w:tcW w:w="846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right="252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5.2x</w:t>
            </w:r>
          </w:p>
        </w:tc>
        <w:tc>
          <w:tcPr>
            <w:tcW w:w="1219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right="248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1.2x</w:t>
            </w:r>
          </w:p>
        </w:tc>
        <w:tc>
          <w:tcPr>
            <w:tcW w:w="95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before="10" w:line="93" w:lineRule="exact"/>
              <w:ind w:right="162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</w:tr>
      <w:tr w:rsidR="008606F6" w:rsidTr="00AE5893">
        <w:trPr>
          <w:trHeight w:val="273"/>
        </w:trPr>
        <w:tc>
          <w:tcPr>
            <w:tcW w:w="2632" w:type="dxa"/>
            <w:shd w:val="clear" w:color="auto" w:fill="F1F1F2"/>
          </w:tcPr>
          <w:p w:rsidR="008606F6" w:rsidRDefault="0021323E">
            <w:pPr>
              <w:pStyle w:val="TableParagraph"/>
              <w:spacing w:before="13" w:line="93" w:lineRule="exact"/>
              <w:ind w:left="21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Liquidity</w:t>
            </w:r>
          </w:p>
        </w:tc>
        <w:tc>
          <w:tcPr>
            <w:tcW w:w="1052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846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19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5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8606F6" w:rsidTr="00AE5893">
        <w:trPr>
          <w:trHeight w:val="224"/>
        </w:trPr>
        <w:tc>
          <w:tcPr>
            <w:tcW w:w="2632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Days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Available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Cash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and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Investments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on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Hand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(#)</w:t>
            </w:r>
          </w:p>
        </w:tc>
        <w:tc>
          <w:tcPr>
            <w:tcW w:w="1052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right="198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152.6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305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152.0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305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151.1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168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150.8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304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148.4</w:t>
            </w:r>
          </w:p>
        </w:tc>
        <w:tc>
          <w:tcPr>
            <w:tcW w:w="846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right="256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144.4</w:t>
            </w:r>
          </w:p>
        </w:tc>
        <w:tc>
          <w:tcPr>
            <w:tcW w:w="1219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right="250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  <w:tc>
          <w:tcPr>
            <w:tcW w:w="955" w:type="dxa"/>
            <w:tcBorders>
              <w:bottom w:val="single" w:sz="18" w:space="0" w:color="231F20"/>
            </w:tcBorders>
          </w:tcPr>
          <w:p w:rsidR="008606F6" w:rsidRDefault="0021323E">
            <w:pPr>
              <w:pStyle w:val="TableParagraph"/>
              <w:spacing w:before="13" w:line="70" w:lineRule="exact"/>
              <w:ind w:left="55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40.7</w:t>
            </w:r>
          </w:p>
        </w:tc>
      </w:tr>
      <w:tr w:rsidR="008606F6" w:rsidTr="00AE5893">
        <w:trPr>
          <w:trHeight w:val="224"/>
        </w:trPr>
        <w:tc>
          <w:tcPr>
            <w:tcW w:w="2632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Operating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Cash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Flow</w:t>
            </w:r>
            <w:r>
              <w:rPr>
                <w:color w:val="231F20"/>
                <w:spacing w:val="5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(%)</w:t>
            </w:r>
          </w:p>
        </w:tc>
        <w:tc>
          <w:tcPr>
            <w:tcW w:w="1052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right="193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4.2%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left="354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4.6%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left="354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4.6%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left="222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4.7%</w:t>
            </w:r>
          </w:p>
        </w:tc>
        <w:tc>
          <w:tcPr>
            <w:tcW w:w="785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left="353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4.7%</w:t>
            </w:r>
          </w:p>
        </w:tc>
        <w:tc>
          <w:tcPr>
            <w:tcW w:w="846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right="251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4.7%</w:t>
            </w:r>
          </w:p>
        </w:tc>
        <w:tc>
          <w:tcPr>
            <w:tcW w:w="1219" w:type="dxa"/>
            <w:tcBorders>
              <w:top w:val="single" w:sz="2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right="24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  <w:tc>
          <w:tcPr>
            <w:tcW w:w="955" w:type="dxa"/>
            <w:tcBorders>
              <w:top w:val="single" w:sz="18" w:space="0" w:color="231F20"/>
            </w:tcBorders>
          </w:tcPr>
          <w:p w:rsidR="008606F6" w:rsidRDefault="0021323E">
            <w:pPr>
              <w:pStyle w:val="TableParagraph"/>
              <w:spacing w:line="83" w:lineRule="exact"/>
              <w:ind w:right="32"/>
              <w:jc w:val="right"/>
              <w:rPr>
                <w:sz w:val="8"/>
              </w:rPr>
            </w:pPr>
            <w:r>
              <w:rPr>
                <w:color w:val="231F20"/>
                <w:sz w:val="9"/>
              </w:rPr>
              <w:t>NA</w:t>
            </w:r>
            <w:r>
              <w:rPr>
                <w:color w:val="231F20"/>
                <w:spacing w:val="5"/>
                <w:sz w:val="9"/>
              </w:rPr>
              <w:t xml:space="preserve"> </w:t>
            </w:r>
            <w:r>
              <w:rPr>
                <w:color w:val="231F20"/>
                <w:sz w:val="8"/>
              </w:rPr>
              <w:t>(4)</w:t>
            </w:r>
          </w:p>
        </w:tc>
      </w:tr>
      <w:tr w:rsidR="008606F6" w:rsidTr="00AE5893">
        <w:trPr>
          <w:trHeight w:val="273"/>
        </w:trPr>
        <w:tc>
          <w:tcPr>
            <w:tcW w:w="2632" w:type="dxa"/>
            <w:shd w:val="clear" w:color="auto" w:fill="F1F1F2"/>
          </w:tcPr>
          <w:p w:rsidR="008606F6" w:rsidRDefault="0021323E">
            <w:pPr>
              <w:pStyle w:val="TableParagraph"/>
              <w:spacing w:before="13" w:line="93" w:lineRule="exact"/>
              <w:ind w:left="21"/>
              <w:rPr>
                <w:b/>
                <w:sz w:val="9"/>
              </w:rPr>
            </w:pPr>
            <w:r>
              <w:rPr>
                <w:b/>
                <w:color w:val="231F20"/>
                <w:w w:val="105"/>
                <w:sz w:val="9"/>
              </w:rPr>
              <w:t>Solvency</w:t>
            </w:r>
          </w:p>
        </w:tc>
        <w:tc>
          <w:tcPr>
            <w:tcW w:w="1052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78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846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19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55" w:type="dxa"/>
            <w:shd w:val="clear" w:color="auto" w:fill="F1F1F2"/>
          </w:tcPr>
          <w:p w:rsidR="008606F6" w:rsidRDefault="008606F6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8606F6" w:rsidTr="00AE5893">
        <w:trPr>
          <w:trHeight w:val="267"/>
        </w:trPr>
        <w:tc>
          <w:tcPr>
            <w:tcW w:w="2632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Ratio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of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Long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Term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Debt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to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Total</w:t>
            </w:r>
            <w:r>
              <w:rPr>
                <w:color w:val="231F20"/>
                <w:spacing w:val="-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Capitalization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(%)</w:t>
            </w:r>
          </w:p>
        </w:tc>
        <w:tc>
          <w:tcPr>
            <w:tcW w:w="1052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right="193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30.7%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left="30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28.3%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left="30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26.1%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left="169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24.0%</w:t>
            </w:r>
          </w:p>
        </w:tc>
        <w:tc>
          <w:tcPr>
            <w:tcW w:w="78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left="30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20.6%</w:t>
            </w:r>
          </w:p>
        </w:tc>
        <w:tc>
          <w:tcPr>
            <w:tcW w:w="846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right="251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18.4%</w:t>
            </w:r>
          </w:p>
        </w:tc>
        <w:tc>
          <w:tcPr>
            <w:tcW w:w="1219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right="249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  <w:tc>
          <w:tcPr>
            <w:tcW w:w="955" w:type="dxa"/>
            <w:tcBorders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3"/>
              <w:ind w:right="163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</w:tr>
      <w:tr w:rsidR="008606F6" w:rsidTr="00AE5893">
        <w:trPr>
          <w:trHeight w:val="261"/>
        </w:trPr>
        <w:tc>
          <w:tcPr>
            <w:tcW w:w="263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Ratio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of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Cash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Flow</w:t>
            </w:r>
            <w:r>
              <w:rPr>
                <w:color w:val="231F20"/>
                <w:spacing w:val="5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to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Long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Term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Debt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(%)</w:t>
            </w:r>
          </w:p>
        </w:tc>
        <w:tc>
          <w:tcPr>
            <w:tcW w:w="105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193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22.5%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30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26.4%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30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28.4%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169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30.8%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30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36.0%</w:t>
            </w:r>
          </w:p>
        </w:tc>
        <w:tc>
          <w:tcPr>
            <w:tcW w:w="846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251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40.0%</w:t>
            </w:r>
          </w:p>
        </w:tc>
        <w:tc>
          <w:tcPr>
            <w:tcW w:w="1219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249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  <w:tc>
          <w:tcPr>
            <w:tcW w:w="95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163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</w:tr>
      <w:tr w:rsidR="008606F6" w:rsidTr="00AE5893">
        <w:trPr>
          <w:trHeight w:val="261"/>
        </w:trPr>
        <w:tc>
          <w:tcPr>
            <w:tcW w:w="263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Net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Assets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Without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Donor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Restrictions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($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in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thousands)</w:t>
            </w:r>
          </w:p>
        </w:tc>
        <w:tc>
          <w:tcPr>
            <w:tcW w:w="105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79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$1,396,796  </w:t>
            </w:r>
            <w:r>
              <w:rPr>
                <w:color w:val="231F20"/>
                <w:spacing w:val="26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8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1,460,693  </w:t>
            </w:r>
            <w:r>
              <w:rPr>
                <w:color w:val="231F20"/>
                <w:spacing w:val="24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8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1,525,588  </w:t>
            </w:r>
            <w:r>
              <w:rPr>
                <w:color w:val="231F20"/>
                <w:spacing w:val="25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65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1,591,481  </w:t>
            </w:r>
            <w:r>
              <w:rPr>
                <w:color w:val="231F20"/>
                <w:spacing w:val="24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8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1,658,337  </w:t>
            </w:r>
            <w:r>
              <w:rPr>
                <w:color w:val="231F20"/>
                <w:spacing w:val="25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846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28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1,726,031</w:t>
            </w:r>
          </w:p>
        </w:tc>
        <w:tc>
          <w:tcPr>
            <w:tcW w:w="1219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24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  <w:tc>
          <w:tcPr>
            <w:tcW w:w="95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161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</w:tr>
      <w:tr w:rsidR="008606F6" w:rsidTr="00AE5893">
        <w:trPr>
          <w:trHeight w:val="261"/>
        </w:trPr>
        <w:tc>
          <w:tcPr>
            <w:tcW w:w="263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17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Total</w:t>
            </w:r>
            <w:r>
              <w:rPr>
                <w:color w:val="231F20"/>
                <w:spacing w:val="-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Net</w:t>
            </w:r>
            <w:r>
              <w:rPr>
                <w:color w:val="231F20"/>
                <w:spacing w:val="3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Assets</w:t>
            </w:r>
            <w:r>
              <w:rPr>
                <w:color w:val="231F20"/>
                <w:spacing w:val="2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($</w:t>
            </w:r>
            <w:r>
              <w:rPr>
                <w:color w:val="231F20"/>
                <w:spacing w:val="4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in</w:t>
            </w:r>
            <w:r>
              <w:rPr>
                <w:color w:val="231F20"/>
                <w:spacing w:val="1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thousands)</w:t>
            </w:r>
          </w:p>
        </w:tc>
        <w:tc>
          <w:tcPr>
            <w:tcW w:w="1052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79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$1,519,466  </w:t>
            </w:r>
            <w:r>
              <w:rPr>
                <w:color w:val="231F20"/>
                <w:spacing w:val="26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81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1,585,306  </w:t>
            </w:r>
            <w:r>
              <w:rPr>
                <w:color w:val="231F20"/>
                <w:spacing w:val="24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8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1,652,202  </w:t>
            </w:r>
            <w:r>
              <w:rPr>
                <w:color w:val="231F20"/>
                <w:spacing w:val="25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65" w:right="65"/>
              <w:jc w:val="center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1,720,157  </w:t>
            </w:r>
            <w:r>
              <w:rPr>
                <w:color w:val="231F20"/>
                <w:spacing w:val="24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78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left="80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 xml:space="preserve">1,789,137  </w:t>
            </w:r>
            <w:r>
              <w:rPr>
                <w:color w:val="231F20"/>
                <w:spacing w:val="25"/>
                <w:w w:val="105"/>
                <w:sz w:val="9"/>
              </w:rPr>
              <w:t xml:space="preserve"> </w:t>
            </w:r>
            <w:r>
              <w:rPr>
                <w:color w:val="231F20"/>
                <w:w w:val="105"/>
                <w:sz w:val="9"/>
              </w:rPr>
              <w:t>$</w:t>
            </w:r>
          </w:p>
        </w:tc>
        <w:tc>
          <w:tcPr>
            <w:tcW w:w="846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28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1,859,018</w:t>
            </w:r>
          </w:p>
        </w:tc>
        <w:tc>
          <w:tcPr>
            <w:tcW w:w="1219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247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  <w:tc>
          <w:tcPr>
            <w:tcW w:w="955" w:type="dxa"/>
            <w:tcBorders>
              <w:top w:val="single" w:sz="2" w:space="0" w:color="231F20"/>
              <w:bottom w:val="single" w:sz="2" w:space="0" w:color="231F20"/>
            </w:tcBorders>
          </w:tcPr>
          <w:p w:rsidR="008606F6" w:rsidRDefault="0021323E">
            <w:pPr>
              <w:pStyle w:val="TableParagraph"/>
              <w:spacing w:before="10"/>
              <w:ind w:right="161"/>
              <w:jc w:val="right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NA</w:t>
            </w:r>
          </w:p>
        </w:tc>
      </w:tr>
    </w:tbl>
    <w:p w:rsidR="008606F6" w:rsidRDefault="008606F6">
      <w:pPr>
        <w:pStyle w:val="BodyText"/>
        <w:rPr>
          <w:b/>
          <w:sz w:val="8"/>
        </w:rPr>
      </w:pPr>
    </w:p>
    <w:p w:rsidR="008606F6" w:rsidRPr="00B74599" w:rsidRDefault="0021323E">
      <w:pPr>
        <w:spacing w:before="59"/>
        <w:ind w:left="493"/>
        <w:rPr>
          <w:sz w:val="12"/>
          <w:szCs w:val="18"/>
        </w:rPr>
      </w:pPr>
      <w:r w:rsidRPr="00B74599">
        <w:rPr>
          <w:color w:val="231F20"/>
          <w:sz w:val="12"/>
          <w:szCs w:val="18"/>
          <w:u w:val="single" w:color="231F20"/>
        </w:rPr>
        <w:t>Footnotes</w:t>
      </w:r>
      <w:r w:rsidRPr="00B74599">
        <w:rPr>
          <w:color w:val="231F20"/>
          <w:sz w:val="12"/>
          <w:szCs w:val="18"/>
        </w:rPr>
        <w:t>:</w:t>
      </w:r>
      <w:bookmarkStart w:id="4" w:name="_GoBack"/>
      <w:bookmarkEnd w:id="4"/>
    </w:p>
    <w:p w:rsidR="008606F6" w:rsidRPr="00B74599" w:rsidRDefault="0021323E">
      <w:pPr>
        <w:pStyle w:val="ListParagraph"/>
        <w:numPr>
          <w:ilvl w:val="0"/>
          <w:numId w:val="2"/>
        </w:numPr>
        <w:tabs>
          <w:tab w:val="left" w:pos="615"/>
        </w:tabs>
        <w:spacing w:before="16" w:line="256" w:lineRule="auto"/>
        <w:ind w:right="2069" w:hanging="130"/>
        <w:rPr>
          <w:sz w:val="12"/>
          <w:szCs w:val="18"/>
        </w:rPr>
      </w:pPr>
      <w:r w:rsidRPr="00B74599">
        <w:rPr>
          <w:color w:val="231F20"/>
          <w:w w:val="95"/>
          <w:sz w:val="12"/>
          <w:szCs w:val="18"/>
        </w:rPr>
        <w:t>Industry data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metrics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based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on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each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data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source's respective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definitions and may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differ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from</w:t>
      </w:r>
      <w:r w:rsidRPr="00B74599">
        <w:rPr>
          <w:color w:val="231F20"/>
          <w:spacing w:val="-4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the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definitions listed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below.</w:t>
      </w:r>
      <w:r w:rsidRPr="00B74599">
        <w:rPr>
          <w:color w:val="231F20"/>
          <w:spacing w:val="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Further,</w:t>
      </w:r>
      <w:r w:rsidRPr="00B74599">
        <w:rPr>
          <w:color w:val="231F20"/>
          <w:spacing w:val="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we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note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industry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metrics only include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hospitals and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do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not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reflect</w:t>
      </w:r>
      <w:r w:rsidRPr="00B74599">
        <w:rPr>
          <w:color w:val="231F20"/>
          <w:spacing w:val="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health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systems,</w:t>
      </w:r>
      <w:r w:rsidRPr="00B74599">
        <w:rPr>
          <w:color w:val="231F20"/>
          <w:spacing w:val="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including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sz w:val="12"/>
          <w:szCs w:val="18"/>
        </w:rPr>
        <w:t>physician</w:t>
      </w:r>
      <w:r w:rsidRPr="00B74599">
        <w:rPr>
          <w:color w:val="231F20"/>
          <w:spacing w:val="-3"/>
          <w:sz w:val="12"/>
          <w:szCs w:val="18"/>
        </w:rPr>
        <w:t xml:space="preserve"> </w:t>
      </w:r>
      <w:r w:rsidRPr="00B74599">
        <w:rPr>
          <w:color w:val="231F20"/>
          <w:sz w:val="12"/>
          <w:szCs w:val="18"/>
        </w:rPr>
        <w:t>organizations.</w:t>
      </w:r>
    </w:p>
    <w:p w:rsidR="008606F6" w:rsidRPr="00B74599" w:rsidRDefault="008606F6">
      <w:pPr>
        <w:pStyle w:val="BodyText"/>
        <w:spacing w:before="1"/>
        <w:rPr>
          <w:sz w:val="12"/>
          <w:szCs w:val="18"/>
        </w:rPr>
      </w:pPr>
    </w:p>
    <w:p w:rsidR="008606F6" w:rsidRPr="00B74599" w:rsidRDefault="0021323E">
      <w:pPr>
        <w:pStyle w:val="ListParagraph"/>
        <w:numPr>
          <w:ilvl w:val="0"/>
          <w:numId w:val="2"/>
        </w:numPr>
        <w:tabs>
          <w:tab w:val="left" w:pos="615"/>
        </w:tabs>
        <w:ind w:left="614"/>
        <w:rPr>
          <w:sz w:val="12"/>
          <w:szCs w:val="18"/>
        </w:rPr>
      </w:pPr>
      <w:r w:rsidRPr="00B74599">
        <w:rPr>
          <w:color w:val="231F20"/>
          <w:w w:val="95"/>
          <w:sz w:val="12"/>
          <w:szCs w:val="18"/>
        </w:rPr>
        <w:t>Data</w:t>
      </w:r>
      <w:r w:rsidRPr="00B74599">
        <w:rPr>
          <w:color w:val="231F20"/>
          <w:spacing w:val="-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from</w:t>
      </w:r>
      <w:r w:rsidRPr="00B74599">
        <w:rPr>
          <w:color w:val="231F20"/>
          <w:spacing w:val="-6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IBIS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World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Industry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Report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62211</w:t>
      </w:r>
      <w:r w:rsidRPr="00B74599">
        <w:rPr>
          <w:color w:val="231F20"/>
          <w:spacing w:val="-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-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Hospital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in the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US published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November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2021.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The ratio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used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are for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2020,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the most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recent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available data.</w:t>
      </w:r>
    </w:p>
    <w:p w:rsidR="008606F6" w:rsidRPr="00B74599" w:rsidRDefault="0021323E">
      <w:pPr>
        <w:pStyle w:val="ListParagraph"/>
        <w:numPr>
          <w:ilvl w:val="0"/>
          <w:numId w:val="2"/>
        </w:numPr>
        <w:tabs>
          <w:tab w:val="left" w:pos="615"/>
        </w:tabs>
        <w:spacing w:before="38"/>
        <w:ind w:left="614"/>
        <w:rPr>
          <w:sz w:val="12"/>
          <w:szCs w:val="18"/>
        </w:rPr>
      </w:pPr>
      <w:r w:rsidRPr="00B74599">
        <w:rPr>
          <w:color w:val="231F20"/>
          <w:w w:val="95"/>
          <w:sz w:val="12"/>
          <w:szCs w:val="18"/>
        </w:rPr>
        <w:t>Net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income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margin from</w:t>
      </w:r>
      <w:r w:rsidRPr="00B74599">
        <w:rPr>
          <w:color w:val="231F20"/>
          <w:spacing w:val="-5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IBIS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and Definitive Healthcare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data</w:t>
      </w:r>
      <w:r w:rsidRPr="00B74599">
        <w:rPr>
          <w:color w:val="231F20"/>
          <w:spacing w:val="-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treated as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an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equivalent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to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excess</w:t>
      </w:r>
      <w:r w:rsidRPr="00B74599">
        <w:rPr>
          <w:color w:val="231F20"/>
          <w:spacing w:val="-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margin.</w:t>
      </w:r>
    </w:p>
    <w:p w:rsidR="008606F6" w:rsidRPr="00B74599" w:rsidRDefault="0021323E">
      <w:pPr>
        <w:pStyle w:val="ListParagraph"/>
        <w:numPr>
          <w:ilvl w:val="0"/>
          <w:numId w:val="2"/>
        </w:numPr>
        <w:tabs>
          <w:tab w:val="left" w:pos="615"/>
        </w:tabs>
        <w:spacing w:before="37"/>
        <w:ind w:left="614"/>
        <w:rPr>
          <w:sz w:val="12"/>
          <w:szCs w:val="18"/>
        </w:rPr>
      </w:pPr>
      <w:r w:rsidRPr="00B74599">
        <w:rPr>
          <w:color w:val="231F20"/>
          <w:w w:val="95"/>
          <w:sz w:val="12"/>
          <w:szCs w:val="18"/>
        </w:rPr>
        <w:t>Operating</w:t>
      </w:r>
      <w:r w:rsidRPr="00B74599">
        <w:rPr>
          <w:color w:val="231F20"/>
          <w:spacing w:val="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Cash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Flow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does not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take</w:t>
      </w:r>
      <w:r w:rsidRPr="00B74599">
        <w:rPr>
          <w:color w:val="231F20"/>
          <w:spacing w:val="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into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account of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the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cash</w:t>
      </w:r>
      <w:r w:rsidRPr="00B74599">
        <w:rPr>
          <w:color w:val="231F20"/>
          <w:spacing w:val="2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outflow</w:t>
      </w:r>
      <w:r w:rsidRPr="00B74599">
        <w:rPr>
          <w:color w:val="231F20"/>
          <w:spacing w:val="-1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from</w:t>
      </w:r>
      <w:r w:rsidRPr="00B74599">
        <w:rPr>
          <w:color w:val="231F20"/>
          <w:spacing w:val="-3"/>
          <w:w w:val="95"/>
          <w:sz w:val="12"/>
          <w:szCs w:val="18"/>
        </w:rPr>
        <w:t xml:space="preserve"> </w:t>
      </w:r>
      <w:r w:rsidRPr="00B74599">
        <w:rPr>
          <w:color w:val="231F20"/>
          <w:w w:val="95"/>
          <w:sz w:val="12"/>
          <w:szCs w:val="18"/>
        </w:rPr>
        <w:t>taxes.</w:t>
      </w:r>
    </w:p>
    <w:p w:rsidR="008606F6" w:rsidRDefault="008606F6">
      <w:pPr>
        <w:pStyle w:val="BodyText"/>
        <w:spacing w:before="7"/>
        <w:rPr>
          <w:sz w:val="16"/>
        </w:rPr>
      </w:pPr>
    </w:p>
    <w:p w:rsidR="008606F6" w:rsidRDefault="0021323E">
      <w:pPr>
        <w:pStyle w:val="BodyText"/>
        <w:spacing w:before="99" w:line="480" w:lineRule="auto"/>
        <w:ind w:left="476" w:right="822"/>
        <w:jc w:val="both"/>
      </w:pPr>
      <w:r>
        <w:rPr>
          <w:color w:val="231F20"/>
        </w:rPr>
        <w:t>The Key Metrics fall into three primary categories: profitability, liquidity, and solvency.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Profitability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metrics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efficiently resources are utilized. Liquidity metrics, including common ratios such as “days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available cash and investments on hand”, measure the quality and adequacy of assets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meet current obligations as they come due. Solvency metrics measure the company’s ability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to take on and service debt obligations. Additionally, certain metrics can be applicable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categories.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Metrics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calculated.</w:t>
      </w:r>
    </w:p>
    <w:p w:rsidR="008606F6" w:rsidRDefault="008606F6">
      <w:pPr>
        <w:spacing w:line="480" w:lineRule="auto"/>
        <w:jc w:val="both"/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8606F6" w:rsidRDefault="008606F6">
      <w:pPr>
        <w:pStyle w:val="BodyText"/>
        <w:rPr>
          <w:sz w:val="20"/>
        </w:rPr>
      </w:pPr>
    </w:p>
    <w:p w:rsidR="007716FB" w:rsidRPr="00B82050" w:rsidRDefault="007716FB" w:rsidP="007716FB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Mr. David Bierschied UMass Memorial Health, Inc.</w:t>
      </w:r>
    </w:p>
    <w:p w:rsidR="007716FB" w:rsidRPr="00B82050" w:rsidRDefault="007716FB" w:rsidP="007716FB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7716FB" w:rsidRDefault="007716FB" w:rsidP="007716FB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8</w:t>
      </w:r>
    </w:p>
    <w:p w:rsidR="008606F6" w:rsidRDefault="008606F6">
      <w:pPr>
        <w:pStyle w:val="BodyText"/>
        <w:rPr>
          <w:sz w:val="20"/>
        </w:rPr>
      </w:pPr>
    </w:p>
    <w:p w:rsidR="008606F6" w:rsidRDefault="008606F6">
      <w:pPr>
        <w:pStyle w:val="BodyText"/>
        <w:spacing w:before="9"/>
        <w:rPr>
          <w:sz w:val="23"/>
        </w:rPr>
      </w:pPr>
    </w:p>
    <w:p w:rsidR="008606F6" w:rsidRDefault="0021323E">
      <w:pPr>
        <w:spacing w:before="102" w:line="276" w:lineRule="auto"/>
        <w:ind w:left="508" w:right="7770"/>
        <w:rPr>
          <w:b/>
          <w:sz w:val="14"/>
        </w:rPr>
      </w:pPr>
      <w:r>
        <w:rPr>
          <w:b/>
          <w:color w:val="231F20"/>
          <w:sz w:val="14"/>
        </w:rPr>
        <w:t>Key</w:t>
      </w:r>
      <w:r>
        <w:rPr>
          <w:b/>
          <w:color w:val="231F20"/>
          <w:spacing w:val="10"/>
          <w:sz w:val="14"/>
        </w:rPr>
        <w:t xml:space="preserve"> </w:t>
      </w:r>
      <w:r>
        <w:rPr>
          <w:b/>
          <w:color w:val="231F20"/>
          <w:sz w:val="14"/>
        </w:rPr>
        <w:t>Financial</w:t>
      </w:r>
      <w:r>
        <w:rPr>
          <w:b/>
          <w:color w:val="231F20"/>
          <w:spacing w:val="5"/>
          <w:sz w:val="14"/>
        </w:rPr>
        <w:t xml:space="preserve"> </w:t>
      </w:r>
      <w:r>
        <w:rPr>
          <w:b/>
          <w:color w:val="231F20"/>
          <w:sz w:val="14"/>
        </w:rPr>
        <w:t>Metrics</w:t>
      </w:r>
      <w:r>
        <w:rPr>
          <w:b/>
          <w:color w:val="231F20"/>
          <w:spacing w:val="5"/>
          <w:sz w:val="14"/>
        </w:rPr>
        <w:t xml:space="preserve"> </w:t>
      </w:r>
      <w:r>
        <w:rPr>
          <w:b/>
          <w:color w:val="231F20"/>
          <w:sz w:val="14"/>
        </w:rPr>
        <w:t>and</w:t>
      </w:r>
      <w:r>
        <w:rPr>
          <w:b/>
          <w:color w:val="231F20"/>
          <w:spacing w:val="9"/>
          <w:sz w:val="14"/>
        </w:rPr>
        <w:t xml:space="preserve"> </w:t>
      </w:r>
      <w:r>
        <w:rPr>
          <w:b/>
          <w:color w:val="231F20"/>
          <w:sz w:val="14"/>
        </w:rPr>
        <w:t>Ratios</w:t>
      </w:r>
      <w:r>
        <w:rPr>
          <w:b/>
          <w:color w:val="231F20"/>
          <w:spacing w:val="-39"/>
          <w:sz w:val="14"/>
        </w:rPr>
        <w:t xml:space="preserve"> </w:t>
      </w:r>
      <w:r>
        <w:rPr>
          <w:b/>
          <w:color w:val="231F20"/>
          <w:sz w:val="14"/>
        </w:rPr>
        <w:t>Ratio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z w:val="14"/>
        </w:rPr>
        <w:t>Definitions</w:t>
      </w:r>
    </w:p>
    <w:p w:rsidR="008606F6" w:rsidRDefault="008606F6">
      <w:pPr>
        <w:spacing w:line="276" w:lineRule="auto"/>
        <w:rPr>
          <w:sz w:val="14"/>
        </w:rPr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8606F6" w:rsidRDefault="00EC6875">
      <w:pPr>
        <w:pStyle w:val="BodyText"/>
        <w:rPr>
          <w:b/>
          <w:sz w:val="16"/>
        </w:rPr>
      </w:pPr>
      <w:r w:rsidRPr="00EC6875">
        <w:rPr>
          <w:b/>
          <w:sz w:val="16"/>
        </w:rPr>
        <w:t>Profitability</w:t>
      </w:r>
    </w:p>
    <w:p w:rsidR="008606F6" w:rsidRDefault="0021323E">
      <w:pPr>
        <w:spacing w:line="571" w:lineRule="auto"/>
        <w:ind w:left="501" w:right="744"/>
        <w:rPr>
          <w:sz w:val="14"/>
        </w:rPr>
      </w:pPr>
      <w:r>
        <w:rPr>
          <w:color w:val="231F20"/>
          <w:sz w:val="14"/>
        </w:rPr>
        <w:t>Operating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Margin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sz w:val="14"/>
        </w:rPr>
        <w:t>(%)</w:t>
      </w:r>
      <w:r>
        <w:rPr>
          <w:color w:val="231F20"/>
          <w:spacing w:val="-40"/>
          <w:sz w:val="14"/>
        </w:rPr>
        <w:t xml:space="preserve"> </w:t>
      </w:r>
      <w:r>
        <w:rPr>
          <w:color w:val="231F20"/>
          <w:sz w:val="14"/>
        </w:rPr>
        <w:t>Excess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Margin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(%)</w:t>
      </w:r>
    </w:p>
    <w:p w:rsidR="008606F6" w:rsidRDefault="0021323E">
      <w:pPr>
        <w:spacing w:line="161" w:lineRule="exact"/>
        <w:ind w:left="501"/>
        <w:rPr>
          <w:sz w:val="14"/>
        </w:rPr>
      </w:pPr>
      <w:r>
        <w:rPr>
          <w:color w:val="231F20"/>
          <w:sz w:val="14"/>
        </w:rPr>
        <w:t>Debt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Service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Coverage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Ratio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(x)</w:t>
      </w:r>
    </w:p>
    <w:p w:rsidR="008606F6" w:rsidRDefault="0021323E">
      <w:pPr>
        <w:rPr>
          <w:sz w:val="16"/>
        </w:rPr>
      </w:pPr>
      <w:r>
        <w:br w:type="column"/>
      </w:r>
    </w:p>
    <w:p w:rsidR="008606F6" w:rsidRDefault="0021323E">
      <w:pPr>
        <w:ind w:left="501"/>
        <w:rPr>
          <w:sz w:val="14"/>
        </w:rPr>
      </w:pPr>
      <w:r>
        <w:rPr>
          <w:color w:val="231F20"/>
          <w:sz w:val="14"/>
        </w:rPr>
        <w:t>(Loss)/Gain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Operations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Total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Operating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Revenue</w:t>
      </w:r>
    </w:p>
    <w:p w:rsidR="008606F6" w:rsidRDefault="008606F6">
      <w:pPr>
        <w:pStyle w:val="BodyText"/>
        <w:spacing w:before="3"/>
        <w:rPr>
          <w:sz w:val="19"/>
        </w:rPr>
      </w:pPr>
    </w:p>
    <w:p w:rsidR="008606F6" w:rsidRDefault="0021323E">
      <w:pPr>
        <w:ind w:left="501"/>
        <w:rPr>
          <w:sz w:val="14"/>
        </w:rPr>
      </w:pPr>
      <w:r>
        <w:rPr>
          <w:color w:val="231F20"/>
          <w:sz w:val="14"/>
        </w:rPr>
        <w:t>Excess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Revenue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(Total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Operating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Revenues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sz w:val="14"/>
        </w:rPr>
        <w:t>Non-Operating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Income)</w:t>
      </w:r>
    </w:p>
    <w:p w:rsidR="008606F6" w:rsidRDefault="008606F6">
      <w:pPr>
        <w:pStyle w:val="BodyText"/>
        <w:spacing w:before="3"/>
        <w:rPr>
          <w:sz w:val="19"/>
        </w:rPr>
      </w:pPr>
    </w:p>
    <w:p w:rsidR="008606F6" w:rsidRDefault="0021323E">
      <w:pPr>
        <w:spacing w:line="266" w:lineRule="auto"/>
        <w:ind w:left="501" w:right="159"/>
        <w:rPr>
          <w:sz w:val="14"/>
        </w:rPr>
      </w:pPr>
      <w:r>
        <w:rPr>
          <w:color w:val="231F20"/>
          <w:sz w:val="14"/>
        </w:rPr>
        <w:t>(Excess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Revenue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Depreciation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Amortization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Interest)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(Principal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Payments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and Interest)</w:t>
      </w:r>
    </w:p>
    <w:p w:rsidR="008606F6" w:rsidRDefault="008606F6">
      <w:pPr>
        <w:spacing w:line="266" w:lineRule="auto"/>
        <w:rPr>
          <w:sz w:val="14"/>
        </w:rPr>
        <w:sectPr w:rsidR="008606F6">
          <w:type w:val="continuous"/>
          <w:pgSz w:w="12240" w:h="15840"/>
          <w:pgMar w:top="0" w:right="620" w:bottom="0" w:left="1180" w:header="792" w:footer="0" w:gutter="0"/>
          <w:cols w:num="2" w:space="720" w:equalWidth="0">
            <w:col w:w="2587" w:space="1227"/>
            <w:col w:w="6626"/>
          </w:cols>
        </w:sectPr>
      </w:pPr>
    </w:p>
    <w:p w:rsidR="008606F6" w:rsidRPr="00AB4DC0" w:rsidRDefault="00AB4DC0" w:rsidP="00AB4DC0">
      <w:pPr>
        <w:pStyle w:val="BodyText"/>
        <w:spacing w:line="194" w:lineRule="exact"/>
        <w:rPr>
          <w:b/>
          <w:sz w:val="19"/>
        </w:rPr>
      </w:pPr>
      <w:r w:rsidRPr="00AB4DC0">
        <w:rPr>
          <w:b/>
          <w:sz w:val="19"/>
        </w:rPr>
        <w:t>Liquidity</w:t>
      </w:r>
    </w:p>
    <w:p w:rsidR="008606F6" w:rsidRDefault="008606F6">
      <w:pPr>
        <w:spacing w:line="194" w:lineRule="exact"/>
        <w:rPr>
          <w:sz w:val="19"/>
        </w:rPr>
        <w:sectPr w:rsidR="008606F6">
          <w:type w:val="continuous"/>
          <w:pgSz w:w="12240" w:h="15840"/>
          <w:pgMar w:top="0" w:right="620" w:bottom="0" w:left="1180" w:header="792" w:footer="0" w:gutter="0"/>
          <w:cols w:space="720"/>
        </w:sectPr>
      </w:pPr>
    </w:p>
    <w:p w:rsidR="008606F6" w:rsidRDefault="0021323E">
      <w:pPr>
        <w:spacing w:before="18" w:line="571" w:lineRule="auto"/>
        <w:ind w:left="501"/>
        <w:rPr>
          <w:sz w:val="14"/>
        </w:rPr>
      </w:pPr>
      <w:r>
        <w:rPr>
          <w:color w:val="231F20"/>
          <w:sz w:val="14"/>
        </w:rPr>
        <w:t>Days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Available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Cash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Investments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Hand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(#)</w:t>
      </w:r>
      <w:r>
        <w:rPr>
          <w:color w:val="231F20"/>
          <w:spacing w:val="-39"/>
          <w:sz w:val="14"/>
        </w:rPr>
        <w:t xml:space="preserve"> </w:t>
      </w:r>
      <w:r>
        <w:rPr>
          <w:color w:val="231F20"/>
          <w:sz w:val="14"/>
        </w:rPr>
        <w:t>Operating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Cash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Flow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(%)</w:t>
      </w:r>
    </w:p>
    <w:p w:rsidR="008606F6" w:rsidRPr="00BD177F" w:rsidRDefault="00BD177F">
      <w:pPr>
        <w:pStyle w:val="BodyText"/>
        <w:rPr>
          <w:b/>
          <w:sz w:val="16"/>
        </w:rPr>
      </w:pPr>
      <w:r w:rsidRPr="00BD177F">
        <w:rPr>
          <w:b/>
          <w:sz w:val="16"/>
        </w:rPr>
        <w:t>Solvency</w:t>
      </w:r>
    </w:p>
    <w:p w:rsidR="008606F6" w:rsidRDefault="0021323E">
      <w:pPr>
        <w:ind w:left="501"/>
        <w:rPr>
          <w:sz w:val="14"/>
        </w:rPr>
      </w:pPr>
      <w:r>
        <w:rPr>
          <w:color w:val="231F20"/>
          <w:sz w:val="14"/>
        </w:rPr>
        <w:t>Ratio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Long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Term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Debt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Total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Capitalization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(%)</w:t>
      </w:r>
    </w:p>
    <w:p w:rsidR="008606F6" w:rsidRDefault="008606F6">
      <w:pPr>
        <w:pStyle w:val="BodyText"/>
        <w:rPr>
          <w:sz w:val="16"/>
        </w:rPr>
      </w:pPr>
    </w:p>
    <w:p w:rsidR="008606F6" w:rsidRDefault="008606F6">
      <w:pPr>
        <w:pStyle w:val="BodyText"/>
        <w:spacing w:before="11"/>
        <w:rPr>
          <w:sz w:val="19"/>
        </w:rPr>
      </w:pPr>
    </w:p>
    <w:p w:rsidR="008606F6" w:rsidRDefault="0021323E">
      <w:pPr>
        <w:ind w:left="501"/>
        <w:rPr>
          <w:sz w:val="14"/>
        </w:rPr>
      </w:pPr>
      <w:r>
        <w:rPr>
          <w:color w:val="231F20"/>
          <w:sz w:val="14"/>
        </w:rPr>
        <w:t>Ratio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Cash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Flow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Long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Term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Debt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(%)</w:t>
      </w:r>
    </w:p>
    <w:p w:rsidR="008606F6" w:rsidRDefault="008606F6">
      <w:pPr>
        <w:pStyle w:val="BodyText"/>
        <w:rPr>
          <w:sz w:val="16"/>
        </w:rPr>
      </w:pPr>
    </w:p>
    <w:p w:rsidR="008606F6" w:rsidRDefault="008606F6">
      <w:pPr>
        <w:pStyle w:val="BodyText"/>
        <w:spacing w:before="10"/>
        <w:rPr>
          <w:sz w:val="19"/>
        </w:rPr>
      </w:pPr>
    </w:p>
    <w:p w:rsidR="008606F6" w:rsidRDefault="0021323E">
      <w:pPr>
        <w:spacing w:before="1"/>
        <w:ind w:left="501"/>
        <w:rPr>
          <w:sz w:val="14"/>
        </w:rPr>
      </w:pPr>
      <w:r>
        <w:rPr>
          <w:color w:val="231F20"/>
          <w:sz w:val="14"/>
        </w:rPr>
        <w:t>Net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Assets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Without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Donor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sz w:val="14"/>
        </w:rPr>
        <w:t>Restrictions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($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thousands)</w:t>
      </w:r>
    </w:p>
    <w:p w:rsidR="008606F6" w:rsidRDefault="0021323E">
      <w:pPr>
        <w:spacing w:before="18" w:line="266" w:lineRule="auto"/>
        <w:ind w:left="270" w:right="739"/>
        <w:rPr>
          <w:sz w:val="14"/>
        </w:rPr>
      </w:pPr>
      <w:r>
        <w:br w:type="column"/>
      </w:r>
      <w:r>
        <w:rPr>
          <w:color w:val="231F20"/>
          <w:sz w:val="14"/>
        </w:rPr>
        <w:t>(Cash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Restricted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Limited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as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Use)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[(Total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Operating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Expenses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Less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Depreciation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Amortization)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365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Days]</w:t>
      </w:r>
    </w:p>
    <w:p w:rsidR="008606F6" w:rsidRDefault="0021323E">
      <w:pPr>
        <w:spacing w:before="26" w:line="266" w:lineRule="auto"/>
        <w:ind w:left="270" w:right="739"/>
        <w:rPr>
          <w:sz w:val="14"/>
        </w:rPr>
      </w:pPr>
      <w:r>
        <w:rPr>
          <w:color w:val="231F20"/>
          <w:sz w:val="14"/>
        </w:rPr>
        <w:t>(Operating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Income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Depreciation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Change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Working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Capital)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Total</w:t>
      </w:r>
      <w:r>
        <w:rPr>
          <w:color w:val="231F20"/>
          <w:spacing w:val="-39"/>
          <w:sz w:val="14"/>
        </w:rPr>
        <w:t xml:space="preserve"> </w:t>
      </w:r>
      <w:r>
        <w:rPr>
          <w:color w:val="231F20"/>
          <w:sz w:val="14"/>
        </w:rPr>
        <w:t>Operating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Revenue</w:t>
      </w:r>
    </w:p>
    <w:p w:rsidR="008606F6" w:rsidRDefault="008606F6">
      <w:pPr>
        <w:pStyle w:val="BodyText"/>
        <w:spacing w:before="3"/>
        <w:rPr>
          <w:sz w:val="18"/>
        </w:rPr>
      </w:pPr>
    </w:p>
    <w:p w:rsidR="008606F6" w:rsidRDefault="0021323E">
      <w:pPr>
        <w:spacing w:line="271" w:lineRule="auto"/>
        <w:ind w:left="270" w:right="739"/>
        <w:rPr>
          <w:sz w:val="14"/>
        </w:rPr>
      </w:pPr>
      <w:r>
        <w:rPr>
          <w:color w:val="231F20"/>
          <w:sz w:val="14"/>
        </w:rPr>
        <w:t>Long-Term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Debt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(Non-current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Portion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Long-Term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Debt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Long-Term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Lease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Obligations)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Total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Capitalization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(Long-Term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Debt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Long-Term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Lease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Obligations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Unrestricted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Net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Assets)</w:t>
      </w:r>
    </w:p>
    <w:p w:rsidR="008606F6" w:rsidRDefault="0021323E">
      <w:pPr>
        <w:spacing w:before="29" w:line="266" w:lineRule="auto"/>
        <w:ind w:left="270" w:right="531"/>
        <w:rPr>
          <w:sz w:val="14"/>
        </w:rPr>
      </w:pPr>
      <w:r>
        <w:rPr>
          <w:color w:val="231F20"/>
          <w:sz w:val="14"/>
        </w:rPr>
        <w:t>Total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Cash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Flows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Operations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(Operating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Income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Depreciation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+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Change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Working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Capital)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Divided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Long-Term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Debt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(Non-current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Portion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Long-Term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Debt</w:t>
      </w:r>
    </w:p>
    <w:p w:rsidR="008606F6" w:rsidRDefault="0021323E">
      <w:pPr>
        <w:spacing w:before="6" w:line="314" w:lineRule="auto"/>
        <w:ind w:left="270" w:right="3823"/>
        <w:rPr>
          <w:sz w:val="14"/>
        </w:rPr>
      </w:pPr>
      <w:r>
        <w:rPr>
          <w:color w:val="231F20"/>
          <w:sz w:val="14"/>
        </w:rPr>
        <w:t>+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Long-Term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Lease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Obligations)</w:t>
      </w:r>
      <w:r>
        <w:rPr>
          <w:color w:val="231F20"/>
          <w:spacing w:val="-39"/>
          <w:sz w:val="14"/>
        </w:rPr>
        <w:t xml:space="preserve"> </w:t>
      </w:r>
      <w:r>
        <w:rPr>
          <w:color w:val="231F20"/>
          <w:sz w:val="14"/>
        </w:rPr>
        <w:t>Total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Unrestricted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Net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z w:val="14"/>
        </w:rPr>
        <w:t>Assets</w:t>
      </w:r>
    </w:p>
    <w:p w:rsidR="008606F6" w:rsidRDefault="008606F6">
      <w:pPr>
        <w:spacing w:line="314" w:lineRule="auto"/>
        <w:rPr>
          <w:sz w:val="14"/>
        </w:rPr>
        <w:sectPr w:rsidR="008606F6">
          <w:type w:val="continuous"/>
          <w:pgSz w:w="12240" w:h="15840"/>
          <w:pgMar w:top="0" w:right="620" w:bottom="0" w:left="1180" w:header="792" w:footer="0" w:gutter="0"/>
          <w:cols w:num="2" w:space="720" w:equalWidth="0">
            <w:col w:w="4005" w:space="40"/>
            <w:col w:w="6395"/>
          </w:cols>
        </w:sectPr>
      </w:pPr>
    </w:p>
    <w:p w:rsidR="008606F6" w:rsidRDefault="008606F6">
      <w:pPr>
        <w:pStyle w:val="BodyText"/>
        <w:spacing w:before="4"/>
        <w:rPr>
          <w:sz w:val="13"/>
        </w:rPr>
      </w:pPr>
    </w:p>
    <w:p w:rsidR="008606F6" w:rsidRDefault="008606F6">
      <w:pPr>
        <w:pStyle w:val="BodyText"/>
        <w:spacing w:line="20" w:lineRule="exact"/>
        <w:ind w:left="475"/>
        <w:rPr>
          <w:sz w:val="2"/>
        </w:rPr>
      </w:pPr>
    </w:p>
    <w:p w:rsidR="008606F6" w:rsidRDefault="0021323E">
      <w:pPr>
        <w:tabs>
          <w:tab w:val="left" w:pos="4315"/>
        </w:tabs>
        <w:ind w:left="501"/>
        <w:rPr>
          <w:sz w:val="14"/>
        </w:rPr>
      </w:pPr>
      <w:r>
        <w:rPr>
          <w:color w:val="231F20"/>
          <w:sz w:val="14"/>
        </w:rPr>
        <w:t>Total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Net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Assets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($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thousands)</w:t>
      </w:r>
      <w:r>
        <w:rPr>
          <w:color w:val="231F20"/>
          <w:sz w:val="14"/>
        </w:rPr>
        <w:tab/>
        <w:t>Total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Net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z w:val="14"/>
        </w:rPr>
        <w:t>Assets</w:t>
      </w:r>
    </w:p>
    <w:p w:rsidR="008606F6" w:rsidRDefault="008606F6">
      <w:pPr>
        <w:pStyle w:val="BodyText"/>
        <w:spacing w:before="5"/>
        <w:rPr>
          <w:sz w:val="15"/>
        </w:rPr>
      </w:pPr>
    </w:p>
    <w:p w:rsidR="008606F6" w:rsidRDefault="008606F6">
      <w:pPr>
        <w:pStyle w:val="BodyText"/>
        <w:spacing w:before="3"/>
        <w:rPr>
          <w:sz w:val="19"/>
        </w:rPr>
      </w:pPr>
    </w:p>
    <w:p w:rsidR="008606F6" w:rsidRDefault="0021323E">
      <w:pPr>
        <w:pStyle w:val="Heading2"/>
        <w:numPr>
          <w:ilvl w:val="0"/>
          <w:numId w:val="1"/>
        </w:numPr>
        <w:tabs>
          <w:tab w:val="left" w:pos="837"/>
        </w:tabs>
        <w:spacing w:before="100"/>
      </w:pPr>
      <w:r>
        <w:rPr>
          <w:color w:val="231F20"/>
        </w:rPr>
        <w:t>Revenue</w:t>
      </w:r>
    </w:p>
    <w:p w:rsidR="008606F6" w:rsidRDefault="008606F6">
      <w:pPr>
        <w:pStyle w:val="BodyText"/>
        <w:rPr>
          <w:b/>
          <w:sz w:val="24"/>
        </w:rPr>
      </w:pPr>
    </w:p>
    <w:p w:rsidR="008606F6" w:rsidRDefault="008606F6">
      <w:pPr>
        <w:pStyle w:val="BodyText"/>
        <w:rPr>
          <w:b/>
          <w:sz w:val="20"/>
        </w:rPr>
      </w:pPr>
    </w:p>
    <w:p w:rsidR="008606F6" w:rsidRDefault="0021323E">
      <w:pPr>
        <w:pStyle w:val="BodyText"/>
        <w:spacing w:line="480" w:lineRule="auto"/>
        <w:ind w:left="476" w:right="819"/>
        <w:jc w:val="both"/>
      </w:pPr>
      <w:r>
        <w:rPr>
          <w:color w:val="231F20"/>
        </w:rPr>
        <w:t>We analyzed the projected revenue within the Projections. Revenue for the Applicant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NPSR</w:t>
      </w:r>
      <w:r>
        <w:rPr>
          <w:color w:val="231F20"/>
          <w:position w:val="7"/>
          <w:sz w:val="14"/>
        </w:rPr>
        <w:t>2</w:t>
      </w:r>
      <w:r>
        <w:rPr>
          <w:color w:val="231F20"/>
          <w:spacing w:val="37"/>
          <w:position w:val="7"/>
          <w:sz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revenue.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NPSR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comprises</w:t>
      </w:r>
    </w:p>
    <w:p w:rsidR="008606F6" w:rsidRDefault="0021323E">
      <w:pPr>
        <w:pStyle w:val="BodyText"/>
        <w:spacing w:line="255" w:lineRule="exact"/>
        <w:ind w:left="476"/>
      </w:pPr>
      <w:r>
        <w:rPr>
          <w:color w:val="231F20"/>
        </w:rPr>
        <w:t>90.1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2027.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rPr>
          <w:sz w:val="24"/>
        </w:rPr>
      </w:pPr>
    </w:p>
    <w:p w:rsidR="008606F6" w:rsidRDefault="0021323E">
      <w:pPr>
        <w:pStyle w:val="BodyText"/>
        <w:spacing w:before="210" w:line="480" w:lineRule="auto"/>
        <w:ind w:left="476" w:right="818"/>
        <w:jc w:val="both"/>
      </w:pPr>
      <w:r>
        <w:rPr>
          <w:color w:val="231F20"/>
        </w:rPr>
        <w:t>Total NPSR for the Projections are expected to grow by 10.6 percent in FY 2022 when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compared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2021.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important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note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Management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provided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financials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Harrington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Hospital’s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remainder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Projection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2027),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0.0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percent.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noted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previously,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2023</w:t>
      </w:r>
    </w:p>
    <w:p w:rsidR="008606F6" w:rsidRDefault="008606F6">
      <w:pPr>
        <w:pStyle w:val="BodyText"/>
        <w:rPr>
          <w:sz w:val="20"/>
        </w:rPr>
      </w:pPr>
    </w:p>
    <w:p w:rsidR="008606F6" w:rsidRDefault="008606F6">
      <w:pPr>
        <w:pStyle w:val="BodyText"/>
        <w:spacing w:before="8"/>
        <w:rPr>
          <w:sz w:val="21"/>
        </w:rPr>
      </w:pPr>
    </w:p>
    <w:p w:rsidR="008606F6" w:rsidRDefault="0021323E">
      <w:pPr>
        <w:spacing w:before="102"/>
        <w:ind w:left="47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z w:val="20"/>
          <w:vertAlign w:val="superscript"/>
        </w:rPr>
        <w:t>2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NPSR</w:t>
      </w:r>
      <w:r>
        <w:rPr>
          <w:rFonts w:ascii="Times New Roman" w:hAnsi="Times New Roman"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(“Net</w:t>
      </w:r>
      <w:r>
        <w:rPr>
          <w:rFonts w:ascii="Times New Roman" w:hAnsi="Times New Roman"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Patient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Service</w:t>
      </w:r>
      <w:r>
        <w:rPr>
          <w:rFonts w:ascii="Times New Roman" w:hAnsi="Times New Roman"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Revenue”)</w:t>
      </w:r>
    </w:p>
    <w:p w:rsidR="008606F6" w:rsidRDefault="008606F6">
      <w:pPr>
        <w:rPr>
          <w:rFonts w:ascii="Times New Roman" w:hAnsi="Times New Roman"/>
          <w:sz w:val="20"/>
        </w:rPr>
        <w:sectPr w:rsidR="008606F6">
          <w:type w:val="continuous"/>
          <w:pgSz w:w="12240" w:h="15840"/>
          <w:pgMar w:top="0" w:right="620" w:bottom="0" w:left="1180" w:header="792" w:footer="0" w:gutter="0"/>
          <w:cols w:space="720"/>
        </w:sectPr>
      </w:pPr>
    </w:p>
    <w:p w:rsidR="005203D5" w:rsidRPr="00B82050" w:rsidRDefault="005203D5" w:rsidP="005203D5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5203D5" w:rsidRPr="00B82050" w:rsidRDefault="005203D5" w:rsidP="005203D5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5203D5" w:rsidRDefault="005203D5" w:rsidP="005203D5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9</w:t>
      </w:r>
    </w:p>
    <w:p w:rsidR="005203D5" w:rsidRDefault="005203D5">
      <w:pPr>
        <w:pStyle w:val="BodyText"/>
        <w:spacing w:before="100" w:line="480" w:lineRule="auto"/>
        <w:ind w:left="476" w:right="818"/>
        <w:jc w:val="both"/>
        <w:rPr>
          <w:color w:val="231F20"/>
        </w:rPr>
      </w:pPr>
    </w:p>
    <w:p w:rsidR="008606F6" w:rsidRDefault="0021323E">
      <w:pPr>
        <w:pStyle w:val="BodyText"/>
        <w:spacing w:before="100" w:line="480" w:lineRule="auto"/>
        <w:ind w:left="476" w:right="818"/>
        <w:jc w:val="both"/>
      </w:pPr>
      <w:r>
        <w:rPr>
          <w:color w:val="231F20"/>
        </w:rPr>
        <w:t>through FY 2027 revenue projections consider changes in volume only, not the impact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inflation or price increases. Per the budget presentation, NPSR growth in FY 2022 is largely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expectation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significantly impacted by the global pandemic caused by COVID-19. When compared to 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2021, FY 2022 net revenue is only expected to increase approximately 4.6 percent (relative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NPSR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10.6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percent).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UMMH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implemented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recently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implement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early in FY 2022. One such initiative is UMMH’s ambulatory transformation which has helped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 Applicant more efficiently utilize its existing capacity, clinical network, and staff.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telemedicine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(“Hospital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Home”)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helps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capacity without needing to use physical rooms. As a result of UMMH’s various operational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improvements, the Applicant expects to be able to allocate patients with low acuity cases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efficiently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physicians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expanded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acuity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levels.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Accepting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acuity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UMMH’s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volume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 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 metrics.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"/>
        <w:rPr>
          <w:sz w:val="20"/>
        </w:rPr>
      </w:pPr>
    </w:p>
    <w:p w:rsidR="008606F6" w:rsidRDefault="0021323E">
      <w:pPr>
        <w:pStyle w:val="BodyText"/>
        <w:spacing w:line="480" w:lineRule="auto"/>
        <w:ind w:left="476" w:right="819"/>
        <w:jc w:val="both"/>
      </w:pPr>
      <w:r>
        <w:rPr>
          <w:color w:val="231F20"/>
        </w:rPr>
        <w:t>In order to determine the reasonableness of the projected revenue, we reviewed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underlying assumptions upon which Management relied. Based upon our review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 provided and the discussions noted above, we understand Management relied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upon historical operating results and anticipated demographic trends in UMMH service area.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three-year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compound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rate (“CAGR”) and also within the range of annual revenue growth rates for the Applicant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below.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UMMH’s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before</w:t>
      </w:r>
    </w:p>
    <w:p w:rsidR="008606F6" w:rsidRDefault="008606F6">
      <w:pPr>
        <w:spacing w:line="480" w:lineRule="auto"/>
        <w:jc w:val="both"/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794570" w:rsidRPr="00B82050" w:rsidRDefault="00794570" w:rsidP="0079457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794570" w:rsidRPr="00B82050" w:rsidRDefault="00794570" w:rsidP="0079457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794570" w:rsidRDefault="00794570" w:rsidP="0079457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10</w:t>
      </w:r>
    </w:p>
    <w:p w:rsidR="00794570" w:rsidRDefault="00794570" w:rsidP="00A26B4D">
      <w:pPr>
        <w:pStyle w:val="BodyText"/>
        <w:spacing w:before="100" w:line="480" w:lineRule="auto"/>
        <w:ind w:left="476" w:right="821"/>
        <w:jc w:val="both"/>
        <w:rPr>
          <w:color w:val="231F20"/>
        </w:rPr>
      </w:pPr>
    </w:p>
    <w:p w:rsidR="00A26B4D" w:rsidRDefault="0021323E" w:rsidP="00A26B4D">
      <w:pPr>
        <w:pStyle w:val="BodyText"/>
        <w:spacing w:before="100" w:line="480" w:lineRule="auto"/>
        <w:ind w:left="476" w:right="821"/>
        <w:jc w:val="both"/>
      </w:pPr>
      <w:r>
        <w:rPr>
          <w:color w:val="231F20"/>
        </w:rPr>
        <w:t>COVID-19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2.0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5.9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respectively.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acuity and volume were a large driver of the 7.9 and 11.1 percent growth UMMH saw in FYs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2021,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respectively, 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Harrington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Hospital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2021.</w:t>
      </w:r>
      <w:r w:rsidR="00A26B4D">
        <w:t xml:space="preserve"> </w:t>
      </w:r>
    </w:p>
    <w:p w:rsidR="008606F6" w:rsidRDefault="005B4FA4" w:rsidP="00A26B4D">
      <w:pPr>
        <w:pStyle w:val="BodyText"/>
        <w:ind w:left="2636" w:firstLine="244"/>
      </w:pPr>
      <w:r>
        <w:t>FY2022 Growth</w:t>
      </w:r>
      <w:r>
        <w:tab/>
        <w:t>CAGR (2017-2020)</w:t>
      </w:r>
      <w:r>
        <w:tab/>
        <w:t>Annual Growth the Range</w:t>
      </w:r>
    </w:p>
    <w:p w:rsidR="005B4FA4" w:rsidRDefault="005B4FA4" w:rsidP="005B4FA4">
      <w:pPr>
        <w:pStyle w:val="BodyText"/>
        <w:ind w:left="1196"/>
        <w:rPr>
          <w:sz w:val="20"/>
        </w:rPr>
        <w:sectPr w:rsidR="005B4FA4">
          <w:pgSz w:w="12240" w:h="15840"/>
          <w:pgMar w:top="1520" w:right="620" w:bottom="280" w:left="1180" w:header="792" w:footer="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(2017-2020)</w:t>
      </w:r>
    </w:p>
    <w:p w:rsidR="008606F6" w:rsidRDefault="0021323E">
      <w:pPr>
        <w:pStyle w:val="BodyText"/>
        <w:spacing w:line="238" w:lineRule="exact"/>
        <w:ind w:left="1221"/>
      </w:pPr>
      <w:r>
        <w:rPr>
          <w:color w:val="231F20"/>
        </w:rPr>
        <w:t>Net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Revenue</w:t>
      </w:r>
    </w:p>
    <w:p w:rsidR="008606F6" w:rsidRDefault="0021323E">
      <w:pPr>
        <w:pStyle w:val="BodyText"/>
        <w:tabs>
          <w:tab w:val="left" w:pos="3122"/>
          <w:tab w:val="left" w:pos="4826"/>
        </w:tabs>
        <w:spacing w:before="110" w:line="129" w:lineRule="exact"/>
        <w:ind w:left="1203"/>
      </w:pPr>
      <w:r>
        <w:br w:type="column"/>
      </w:r>
      <w:r>
        <w:rPr>
          <w:color w:val="231F20"/>
        </w:rPr>
        <w:t>4.6%</w:t>
      </w:r>
      <w:r>
        <w:rPr>
          <w:color w:val="231F20"/>
        </w:rPr>
        <w:tab/>
        <w:t>5.2%</w:t>
      </w:r>
      <w:r>
        <w:rPr>
          <w:color w:val="231F20"/>
        </w:rPr>
        <w:tab/>
        <w:t>2.0%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7.9%</w:t>
      </w:r>
    </w:p>
    <w:p w:rsidR="008606F6" w:rsidRDefault="008606F6">
      <w:pPr>
        <w:spacing w:line="129" w:lineRule="exact"/>
        <w:sectPr w:rsidR="008606F6">
          <w:type w:val="continuous"/>
          <w:pgSz w:w="12240" w:h="15840"/>
          <w:pgMar w:top="0" w:right="620" w:bottom="0" w:left="1180" w:header="792" w:footer="0" w:gutter="0"/>
          <w:cols w:num="2" w:space="720" w:equalWidth="0">
            <w:col w:w="2471" w:space="40"/>
            <w:col w:w="7929"/>
          </w:cols>
        </w:sectPr>
      </w:pPr>
    </w:p>
    <w:p w:rsidR="008606F6" w:rsidRDefault="0021323E">
      <w:pPr>
        <w:pStyle w:val="BodyText"/>
        <w:tabs>
          <w:tab w:val="left" w:pos="9116"/>
        </w:tabs>
        <w:spacing w:line="255" w:lineRule="exact"/>
        <w:ind w:left="1181"/>
      </w:pPr>
      <w:r>
        <w:rPr>
          <w:color w:val="231F20"/>
          <w:w w:val="99"/>
          <w:u w:val="single" w:color="28ADE4"/>
        </w:rPr>
        <w:t xml:space="preserve"> </w:t>
      </w:r>
      <w:r>
        <w:rPr>
          <w:color w:val="231F20"/>
          <w:spacing w:val="21"/>
          <w:u w:val="single" w:color="28ADE4"/>
        </w:rPr>
        <w:t xml:space="preserve"> </w:t>
      </w:r>
      <w:r>
        <w:rPr>
          <w:color w:val="231F20"/>
          <w:u w:val="single" w:color="28ADE4"/>
        </w:rPr>
        <w:t>Projection</w:t>
      </w:r>
    </w:p>
    <w:p w:rsidR="008606F6" w:rsidRDefault="008606F6">
      <w:pPr>
        <w:pStyle w:val="BodyText"/>
        <w:rPr>
          <w:sz w:val="20"/>
        </w:rPr>
      </w:pPr>
    </w:p>
    <w:p w:rsidR="008606F6" w:rsidRDefault="008606F6">
      <w:pPr>
        <w:pStyle w:val="BodyText"/>
        <w:spacing w:before="6"/>
        <w:rPr>
          <w:sz w:val="17"/>
        </w:rPr>
      </w:pPr>
    </w:p>
    <w:p w:rsidR="008606F6" w:rsidRDefault="0021323E">
      <w:pPr>
        <w:pStyle w:val="BodyText"/>
        <w:spacing w:before="99" w:line="480" w:lineRule="auto"/>
        <w:ind w:left="476" w:right="819"/>
        <w:jc w:val="both"/>
      </w:pPr>
      <w:r>
        <w:rPr>
          <w:color w:val="231F20"/>
        </w:rPr>
        <w:t>Based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foregoing,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reflects a reasonable estimation of future revenue of UMMH. We note that the assumed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0.0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beyond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solely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Management’s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inflation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increases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beyond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2022.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further note that Management’s assumption of de minimis volume growth beyond FY 2022 is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consistent with recent historical and projected demographic trends in UMMH’s service areas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ranging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0.4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0.5 percent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annually.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"/>
        <w:rPr>
          <w:sz w:val="20"/>
        </w:rPr>
      </w:pPr>
    </w:p>
    <w:p w:rsidR="008606F6" w:rsidRDefault="0021323E">
      <w:pPr>
        <w:pStyle w:val="Heading2"/>
        <w:numPr>
          <w:ilvl w:val="0"/>
          <w:numId w:val="1"/>
        </w:numPr>
        <w:tabs>
          <w:tab w:val="left" w:pos="837"/>
        </w:tabs>
      </w:pPr>
      <w:r>
        <w:rPr>
          <w:color w:val="231F20"/>
        </w:rPr>
        <w:t>Operating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</w:t>
      </w:r>
    </w:p>
    <w:p w:rsidR="008606F6" w:rsidRDefault="008606F6">
      <w:pPr>
        <w:pStyle w:val="BodyText"/>
        <w:rPr>
          <w:b/>
          <w:sz w:val="24"/>
        </w:rPr>
      </w:pPr>
    </w:p>
    <w:p w:rsidR="008606F6" w:rsidRDefault="008606F6">
      <w:pPr>
        <w:pStyle w:val="BodyText"/>
        <w:rPr>
          <w:b/>
          <w:sz w:val="24"/>
        </w:rPr>
      </w:pPr>
    </w:p>
    <w:p w:rsidR="008606F6" w:rsidRDefault="0021323E">
      <w:pPr>
        <w:pStyle w:val="BodyText"/>
        <w:spacing w:before="208" w:line="480" w:lineRule="auto"/>
        <w:ind w:left="476" w:right="817"/>
        <w:jc w:val="both"/>
      </w:pPr>
      <w:r>
        <w:rPr>
          <w:color w:val="231F20"/>
        </w:rPr>
        <w:t>We analyzed each of the categorized operating expenses for reasonableness and feasibility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Projections.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salaries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wages,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employee benefits, professional fees, purchased services, pharmacy, medical supplies, non-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supplies,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utilities,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insurance,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leases,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expenses,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expenses, depreciation and amortization, and interest expenses. Total expenses within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grow 6.6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9.4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FY</w:t>
      </w:r>
    </w:p>
    <w:p w:rsidR="008606F6" w:rsidRDefault="008606F6">
      <w:pPr>
        <w:spacing w:line="480" w:lineRule="auto"/>
        <w:jc w:val="both"/>
        <w:sectPr w:rsidR="008606F6">
          <w:type w:val="continuous"/>
          <w:pgSz w:w="12240" w:h="15840"/>
          <w:pgMar w:top="0" w:right="620" w:bottom="0" w:left="1180" w:header="792" w:footer="0" w:gutter="0"/>
          <w:cols w:space="720"/>
        </w:sectPr>
      </w:pPr>
    </w:p>
    <w:p w:rsidR="00794570" w:rsidRPr="00B82050" w:rsidRDefault="00794570" w:rsidP="0079457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794570" w:rsidRPr="00B82050" w:rsidRDefault="00794570" w:rsidP="0079457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794570" w:rsidRDefault="00794570" w:rsidP="00794570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11</w:t>
      </w:r>
    </w:p>
    <w:p w:rsidR="00794570" w:rsidRDefault="00794570" w:rsidP="00D476B7">
      <w:pPr>
        <w:pStyle w:val="BodyText"/>
        <w:spacing w:before="100" w:line="480" w:lineRule="auto"/>
        <w:ind w:left="475" w:right="815"/>
        <w:jc w:val="both"/>
        <w:rPr>
          <w:color w:val="231F20"/>
        </w:rPr>
      </w:pPr>
    </w:p>
    <w:p w:rsidR="008606F6" w:rsidRPr="00D476B7" w:rsidRDefault="0021323E" w:rsidP="00D476B7">
      <w:pPr>
        <w:pStyle w:val="BodyText"/>
        <w:spacing w:before="100" w:line="480" w:lineRule="auto"/>
        <w:ind w:left="475" w:right="815"/>
        <w:jc w:val="both"/>
      </w:pPr>
      <w:r>
        <w:rPr>
          <w:color w:val="231F20"/>
        </w:rPr>
        <w:t>2021.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drivers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salaries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wages,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supplies due to inflation, supply constraints, and labor shortages. Management noted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 same factors contributed to the 9.4 percent expense growth in FY 2021. 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expects some drivers of this expense growth to moderate in FY 2022, resulting in a lower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year-over-year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6.6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percent.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Thereafter,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similar</w:t>
      </w:r>
      <w:r w:rsidR="00FF2B05"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revenue,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 held operating expenses constant, assuming a 0.0 percent growth for FY 2023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2027,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UMMH’s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projected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level of debt and current terms. The following table indicates the projected increase in FY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2022 is slightly above the three-year compound</w:t>
      </w:r>
      <w:r>
        <w:rPr>
          <w:color w:val="231F20"/>
          <w:spacing w:val="59"/>
        </w:rPr>
        <w:t xml:space="preserve"> </w:t>
      </w:r>
      <w:r>
        <w:rPr>
          <w:color w:val="231F20"/>
          <w:w w:val="95"/>
        </w:rPr>
        <w:t>annual growth rate (“CAGR”) and within range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expense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growth rates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FY 2020.</w:t>
      </w:r>
    </w:p>
    <w:p w:rsidR="008606F6" w:rsidRDefault="00257313">
      <w:pPr>
        <w:pStyle w:val="BodyText"/>
        <w:ind w:left="1196"/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t>FY2022 Growth</w:t>
      </w:r>
      <w:r>
        <w:tab/>
        <w:t xml:space="preserve">CAGR (2017-2020) </w:t>
      </w:r>
      <w:r>
        <w:tab/>
        <w:t>Annual Growth Range</w:t>
      </w:r>
    </w:p>
    <w:p w:rsidR="00257313" w:rsidRPr="00257313" w:rsidRDefault="00257313">
      <w:pPr>
        <w:pStyle w:val="BodyText"/>
        <w:ind w:left="1196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(2017-2020)</w:t>
      </w:r>
    </w:p>
    <w:p w:rsidR="008606F6" w:rsidRDefault="008606F6">
      <w:pPr>
        <w:rPr>
          <w:sz w:val="20"/>
        </w:rPr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8606F6" w:rsidRDefault="0021323E">
      <w:pPr>
        <w:pStyle w:val="BodyText"/>
        <w:spacing w:line="238" w:lineRule="exact"/>
        <w:ind w:left="1447"/>
      </w:pPr>
      <w:r>
        <w:rPr>
          <w:color w:val="231F20"/>
          <w:w w:val="95"/>
        </w:rPr>
        <w:t>Expense</w:t>
      </w:r>
    </w:p>
    <w:p w:rsidR="008606F6" w:rsidRDefault="0021323E">
      <w:pPr>
        <w:pStyle w:val="BodyText"/>
        <w:tabs>
          <w:tab w:val="left" w:pos="3347"/>
          <w:tab w:val="left" w:pos="5050"/>
        </w:tabs>
        <w:spacing w:before="111" w:line="128" w:lineRule="exact"/>
        <w:ind w:left="1427"/>
      </w:pPr>
      <w:r>
        <w:br w:type="column"/>
      </w:r>
      <w:r>
        <w:rPr>
          <w:color w:val="231F20"/>
        </w:rPr>
        <w:t>6.6%</w:t>
      </w:r>
      <w:r>
        <w:rPr>
          <w:color w:val="231F20"/>
        </w:rPr>
        <w:tab/>
        <w:t>5.2%</w:t>
      </w:r>
      <w:r>
        <w:rPr>
          <w:color w:val="231F20"/>
        </w:rPr>
        <w:tab/>
        <w:t>3.6%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7.0%</w:t>
      </w:r>
    </w:p>
    <w:p w:rsidR="008606F6" w:rsidRDefault="008606F6">
      <w:pPr>
        <w:spacing w:line="128" w:lineRule="exact"/>
        <w:sectPr w:rsidR="008606F6">
          <w:type w:val="continuous"/>
          <w:pgSz w:w="12240" w:h="15840"/>
          <w:pgMar w:top="0" w:right="620" w:bottom="0" w:left="1180" w:header="792" w:footer="0" w:gutter="0"/>
          <w:cols w:num="2" w:space="720" w:equalWidth="0">
            <w:col w:w="2247" w:space="40"/>
            <w:col w:w="8153"/>
          </w:cols>
        </w:sectPr>
      </w:pPr>
    </w:p>
    <w:p w:rsidR="008606F6" w:rsidRDefault="0021323E">
      <w:pPr>
        <w:pStyle w:val="BodyText"/>
        <w:tabs>
          <w:tab w:val="left" w:pos="9116"/>
        </w:tabs>
        <w:ind w:left="1181"/>
      </w:pPr>
      <w:r>
        <w:rPr>
          <w:color w:val="231F20"/>
          <w:w w:val="99"/>
          <w:u w:val="single" w:color="28ADE4"/>
        </w:rPr>
        <w:t xml:space="preserve"> </w:t>
      </w:r>
      <w:r>
        <w:rPr>
          <w:color w:val="231F20"/>
          <w:spacing w:val="21"/>
          <w:u w:val="single" w:color="28ADE4"/>
        </w:rPr>
        <w:t xml:space="preserve"> </w:t>
      </w:r>
      <w:r>
        <w:rPr>
          <w:color w:val="231F20"/>
          <w:u w:val="single" w:color="28ADE4"/>
        </w:rPr>
        <w:t>Projection</w:t>
      </w:r>
      <w:r>
        <w:rPr>
          <w:color w:val="231F20"/>
          <w:u w:val="single" w:color="28ADE4"/>
        </w:rPr>
        <w:tab/>
      </w:r>
    </w:p>
    <w:p w:rsidR="008606F6" w:rsidRDefault="008606F6">
      <w:pPr>
        <w:pStyle w:val="BodyText"/>
        <w:rPr>
          <w:sz w:val="20"/>
        </w:rPr>
      </w:pPr>
    </w:p>
    <w:p w:rsidR="008606F6" w:rsidRDefault="0021323E" w:rsidP="00793773">
      <w:pPr>
        <w:pStyle w:val="BodyText"/>
        <w:spacing w:before="99" w:line="480" w:lineRule="auto"/>
        <w:ind w:right="820"/>
        <w:jc w:val="both"/>
      </w:pPr>
      <w:r>
        <w:rPr>
          <w:color w:val="231F20"/>
        </w:rPr>
        <w:t>Based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foregoing,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reflect reasonable estimation of future expenses of the Applicant. We note that the projected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total expenses as a percentage of total revenue range from 99.5 to 99.8 percent from 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 to FY 2027. We further note that this level of total expenses is consistent with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historical total expenses as a percentage of total revenue which ranged from 99.5 to 101.1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 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2020.</w:t>
      </w:r>
    </w:p>
    <w:p w:rsidR="008606F6" w:rsidRDefault="008606F6">
      <w:pPr>
        <w:spacing w:line="480" w:lineRule="auto"/>
        <w:jc w:val="both"/>
        <w:sectPr w:rsidR="008606F6">
          <w:type w:val="continuous"/>
          <w:pgSz w:w="12240" w:h="15840"/>
          <w:pgMar w:top="0" w:right="620" w:bottom="0" w:left="1180" w:header="792" w:footer="0" w:gutter="0"/>
          <w:cols w:space="720"/>
        </w:sectPr>
      </w:pPr>
    </w:p>
    <w:p w:rsidR="00267A76" w:rsidRPr="00B82050" w:rsidRDefault="00267A76" w:rsidP="00267A76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267A76" w:rsidRPr="00B82050" w:rsidRDefault="00267A76" w:rsidP="00267A76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267A76" w:rsidRDefault="00267A76" w:rsidP="00267A76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12</w:t>
      </w:r>
    </w:p>
    <w:p w:rsidR="00267A76" w:rsidRPr="00952AA6" w:rsidRDefault="001109A2">
      <w:pPr>
        <w:pStyle w:val="BodyText"/>
        <w:spacing w:before="6"/>
        <w:rPr>
          <w:sz w:val="20"/>
        </w:rPr>
      </w:pPr>
      <w:r>
        <w:rPr>
          <w:sz w:val="20"/>
        </w:rPr>
        <w:tab/>
      </w:r>
    </w:p>
    <w:p w:rsidR="008606F6" w:rsidRDefault="0021323E">
      <w:pPr>
        <w:pStyle w:val="Heading2"/>
        <w:numPr>
          <w:ilvl w:val="0"/>
          <w:numId w:val="1"/>
        </w:numPr>
        <w:tabs>
          <w:tab w:val="left" w:pos="837"/>
        </w:tabs>
        <w:spacing w:before="100"/>
      </w:pPr>
      <w:r>
        <w:rPr>
          <w:color w:val="231F20"/>
        </w:rPr>
        <w:t>Capital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Expenditures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Financing</w:t>
      </w:r>
    </w:p>
    <w:p w:rsidR="008606F6" w:rsidRDefault="008606F6">
      <w:pPr>
        <w:pStyle w:val="BodyText"/>
        <w:rPr>
          <w:b/>
          <w:sz w:val="24"/>
        </w:rPr>
      </w:pPr>
    </w:p>
    <w:p w:rsidR="008606F6" w:rsidRDefault="008606F6">
      <w:pPr>
        <w:pStyle w:val="BodyText"/>
        <w:rPr>
          <w:b/>
          <w:sz w:val="24"/>
        </w:rPr>
      </w:pPr>
    </w:p>
    <w:p w:rsidR="008606F6" w:rsidRDefault="0021323E">
      <w:pPr>
        <w:pStyle w:val="BodyText"/>
        <w:spacing w:before="208" w:line="480" w:lineRule="auto"/>
        <w:ind w:left="476" w:right="817"/>
        <w:jc w:val="both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cost-effective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services capacity promptly and seamlessly of the emergency department at UMMH.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expansion requires no significant construction or disruption to the existing services. 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Management,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expenditures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construction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is</w:t>
      </w:r>
    </w:p>
    <w:p w:rsidR="008606F6" w:rsidRDefault="0021323E">
      <w:pPr>
        <w:pStyle w:val="BodyText"/>
        <w:spacing w:line="480" w:lineRule="auto"/>
        <w:ind w:left="476" w:right="820"/>
        <w:jc w:val="both"/>
      </w:pPr>
      <w:r>
        <w:rPr>
          <w:color w:val="231F20"/>
        </w:rPr>
        <w:t>$3,832,862.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amount,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$1,164,881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unit,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remaining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fitting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unit.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In addition to the above capitalized expenses, the first-year operating expenses for the 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unit are anticipated to be $856,168. This represents the incremental annual labor costs, 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maintenance service costs and miscellaneous supply costs required to operate an additional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CT unit. We reviewed the financing plans for the Proposed Project and understand that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expenditures related to the Proposed Project are expected to be funded through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Applicant’s cash on hand. We note that the cash and cash equivalents balance included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approximately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$1.28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billion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initial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outlay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and the annual operating expenses of the Proposed Project represents approximately 0.3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percent. We note the model indicates a consistent level of the total cash balance 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projection period. Based on the noted factors, there appears to be sufficient room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need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financing.</w:t>
      </w:r>
    </w:p>
    <w:p w:rsidR="008606F6" w:rsidRDefault="008606F6">
      <w:pPr>
        <w:spacing w:line="480" w:lineRule="auto"/>
        <w:jc w:val="both"/>
        <w:sectPr w:rsidR="008606F6">
          <w:pgSz w:w="12240" w:h="15840"/>
          <w:pgMar w:top="1520" w:right="620" w:bottom="280" w:left="1180" w:header="792" w:footer="0" w:gutter="0"/>
          <w:cols w:space="720"/>
        </w:sectPr>
      </w:pPr>
    </w:p>
    <w:p w:rsidR="00E81D8F" w:rsidRPr="00B82050" w:rsidRDefault="00E81D8F" w:rsidP="00E81D8F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lastRenderedPageBreak/>
        <w:t>Mr. David Bierschied UMass Memorial Health, Inc.</w:t>
      </w:r>
    </w:p>
    <w:p w:rsidR="00E81D8F" w:rsidRPr="00B82050" w:rsidRDefault="00E81D8F" w:rsidP="00E81D8F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 w:rsidRPr="00B82050">
        <w:rPr>
          <w:color w:val="231F20"/>
          <w:w w:val="95"/>
        </w:rPr>
        <w:t>March 9, 2022</w:t>
      </w:r>
    </w:p>
    <w:p w:rsidR="00E81D8F" w:rsidRDefault="00E81D8F" w:rsidP="00E81D8F">
      <w:pPr>
        <w:pStyle w:val="BodyText"/>
        <w:spacing w:before="100"/>
        <w:ind w:left="476" w:right="818"/>
        <w:jc w:val="both"/>
        <w:rPr>
          <w:color w:val="231F20"/>
          <w:w w:val="95"/>
        </w:rPr>
      </w:pPr>
      <w:r>
        <w:rPr>
          <w:color w:val="231F20"/>
          <w:w w:val="95"/>
        </w:rPr>
        <w:t>Page 13</w:t>
      </w:r>
    </w:p>
    <w:p w:rsidR="008606F6" w:rsidRDefault="008606F6">
      <w:pPr>
        <w:pStyle w:val="BodyText"/>
        <w:spacing w:before="6"/>
      </w:pPr>
    </w:p>
    <w:p w:rsidR="008606F6" w:rsidRDefault="0021323E" w:rsidP="001109A2">
      <w:pPr>
        <w:pStyle w:val="Heading1"/>
        <w:numPr>
          <w:ilvl w:val="0"/>
          <w:numId w:val="3"/>
        </w:numPr>
        <w:tabs>
          <w:tab w:val="left" w:pos="1196"/>
          <w:tab w:val="left" w:pos="1197"/>
        </w:tabs>
        <w:spacing w:before="100"/>
        <w:rPr>
          <w:b w:val="0"/>
          <w:sz w:val="17"/>
        </w:rPr>
      </w:pPr>
      <w:bookmarkStart w:id="5" w:name="_TOC_250000"/>
      <w:bookmarkEnd w:id="5"/>
      <w:r>
        <w:rPr>
          <w:color w:val="231F20"/>
          <w:u w:val="thick" w:color="231F20"/>
        </w:rPr>
        <w:t>FEASIBILITY</w:t>
      </w:r>
      <w:r w:rsidR="001109A2">
        <w:rPr>
          <w:u w:val="none"/>
        </w:rPr>
        <w:tab/>
      </w:r>
    </w:p>
    <w:p w:rsidR="008606F6" w:rsidRDefault="0021323E">
      <w:pPr>
        <w:pStyle w:val="BodyText"/>
        <w:spacing w:before="99" w:line="480" w:lineRule="auto"/>
        <w:ind w:left="476" w:right="821"/>
        <w:jc w:val="both"/>
      </w:pPr>
      <w:r>
        <w:rPr>
          <w:color w:val="231F20"/>
        </w:rPr>
        <w:t>We analyzed the Projections and Key Metrics for the Proposed Project. In preparing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analysis we considered multiple sources of information including industry metrics, historical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results, and Management expectations. It is important to note that the Projections do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account for any anticipated changes in accounting standards. These standards, which 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a material impact on individual future years, are not anticipated to have a material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aggregate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Projections.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"/>
        <w:rPr>
          <w:sz w:val="20"/>
        </w:rPr>
      </w:pPr>
    </w:p>
    <w:p w:rsidR="008606F6" w:rsidRDefault="0021323E">
      <w:pPr>
        <w:pStyle w:val="BodyText"/>
        <w:spacing w:line="480" w:lineRule="auto"/>
        <w:ind w:left="476" w:right="818"/>
        <w:jc w:val="both"/>
      </w:pPr>
      <w:r>
        <w:rPr>
          <w:color w:val="231F20"/>
        </w:rPr>
        <w:t>Within the projected financial information, the Projections exhibit a cumulative operating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EBITDA surplus of approximately 5.2 percent of cumulative projected operating revenue for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2027.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documents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analysis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Projections,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EBITDA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surplus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expectation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feasible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assumptions.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Accordingly,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the Projections are reasonable and feasible, and not likely to have a negative impact on the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result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liquidation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assets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UMMH.</w:t>
      </w:r>
    </w:p>
    <w:p w:rsidR="008606F6" w:rsidRDefault="008606F6">
      <w:pPr>
        <w:pStyle w:val="BodyText"/>
        <w:rPr>
          <w:sz w:val="24"/>
        </w:rPr>
      </w:pPr>
    </w:p>
    <w:p w:rsidR="008606F6" w:rsidRDefault="008606F6">
      <w:pPr>
        <w:pStyle w:val="BodyText"/>
        <w:spacing w:before="1"/>
        <w:rPr>
          <w:sz w:val="20"/>
        </w:rPr>
      </w:pPr>
    </w:p>
    <w:p w:rsidR="008606F6" w:rsidRDefault="0021323E">
      <w:pPr>
        <w:pStyle w:val="BodyText"/>
        <w:ind w:left="476"/>
        <w:jc w:val="both"/>
        <w:rPr>
          <w:color w:val="231F20"/>
        </w:rPr>
      </w:pPr>
      <w:r>
        <w:rPr>
          <w:color w:val="231F20"/>
        </w:rPr>
        <w:t>Respectively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submitted,</w:t>
      </w:r>
    </w:p>
    <w:p w:rsidR="005A2028" w:rsidRDefault="005A2028">
      <w:pPr>
        <w:pStyle w:val="BodyText"/>
        <w:ind w:left="476"/>
        <w:jc w:val="both"/>
        <w:rPr>
          <w:color w:val="231F20"/>
        </w:rPr>
      </w:pPr>
    </w:p>
    <w:p w:rsidR="005A2028" w:rsidRDefault="005A2028">
      <w:pPr>
        <w:pStyle w:val="BodyText"/>
        <w:ind w:left="476"/>
        <w:jc w:val="both"/>
      </w:pPr>
      <w:r>
        <w:rPr>
          <w:color w:val="231F20"/>
        </w:rPr>
        <w:t>&lt;signature on file&gt;</w:t>
      </w:r>
    </w:p>
    <w:p w:rsidR="008606F6" w:rsidRDefault="008606F6">
      <w:pPr>
        <w:pStyle w:val="BodyText"/>
        <w:spacing w:before="5"/>
        <w:rPr>
          <w:sz w:val="5"/>
        </w:rPr>
      </w:pPr>
    </w:p>
    <w:p w:rsidR="008606F6" w:rsidRDefault="0021323E">
      <w:pPr>
        <w:pStyle w:val="BodyText"/>
        <w:spacing w:before="89"/>
        <w:ind w:left="476"/>
        <w:jc w:val="both"/>
      </w:pPr>
      <w:r>
        <w:rPr>
          <w:color w:val="231F20"/>
        </w:rPr>
        <w:t>Erik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Lynch</w:t>
      </w:r>
    </w:p>
    <w:p w:rsidR="008606F6" w:rsidRDefault="0021323E">
      <w:pPr>
        <w:pStyle w:val="BodyText"/>
        <w:ind w:left="476"/>
        <w:jc w:val="both"/>
      </w:pPr>
      <w:r>
        <w:rPr>
          <w:color w:val="231F20"/>
          <w:spacing w:val="-1"/>
        </w:rPr>
        <w:t>Partner,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BDO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LLP</w:t>
      </w:r>
    </w:p>
    <w:sectPr w:rsidR="008606F6">
      <w:pgSz w:w="12240" w:h="15840"/>
      <w:pgMar w:top="1520" w:right="620" w:bottom="280" w:left="11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0C" w:rsidRDefault="009E3C0C">
      <w:r>
        <w:separator/>
      </w:r>
    </w:p>
  </w:endnote>
  <w:endnote w:type="continuationSeparator" w:id="0">
    <w:p w:rsidR="009E3C0C" w:rsidRDefault="009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8606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0C" w:rsidRDefault="009E3C0C">
      <w:r>
        <w:separator/>
      </w:r>
    </w:p>
  </w:footnote>
  <w:footnote w:type="continuationSeparator" w:id="0">
    <w:p w:rsidR="009E3C0C" w:rsidRDefault="009E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2132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0448" behindDoc="1" locked="0" layoutInCell="1" allowOverlap="1">
          <wp:simplePos x="0" y="0"/>
          <wp:positionH relativeFrom="page">
            <wp:posOffset>1039494</wp:posOffset>
          </wp:positionH>
          <wp:positionV relativeFrom="page">
            <wp:posOffset>503555</wp:posOffset>
          </wp:positionV>
          <wp:extent cx="980071" cy="370840"/>
          <wp:effectExtent l="0" t="0" r="0" b="0"/>
          <wp:wrapNone/>
          <wp:docPr id="1" name="image1.jpeg" descr="BDO logo" title="B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071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8606F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2132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3520" behindDoc="1" locked="0" layoutInCell="1" allowOverlap="1">
          <wp:simplePos x="0" y="0"/>
          <wp:positionH relativeFrom="page">
            <wp:posOffset>1071880</wp:posOffset>
          </wp:positionH>
          <wp:positionV relativeFrom="page">
            <wp:posOffset>502919</wp:posOffset>
          </wp:positionV>
          <wp:extent cx="981075" cy="371475"/>
          <wp:effectExtent l="0" t="0" r="9525" b="9525"/>
          <wp:wrapNone/>
          <wp:docPr id="7" name="image3.jpeg" descr="B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2132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1984" behindDoc="1" locked="0" layoutInCell="1" allowOverlap="1">
          <wp:simplePos x="0" y="0"/>
          <wp:positionH relativeFrom="page">
            <wp:posOffset>1039494</wp:posOffset>
          </wp:positionH>
          <wp:positionV relativeFrom="page">
            <wp:posOffset>503681</wp:posOffset>
          </wp:positionV>
          <wp:extent cx="980071" cy="370713"/>
          <wp:effectExtent l="0" t="0" r="0" b="0"/>
          <wp:wrapNone/>
          <wp:docPr id="5" name="image1.jpeg" descr="B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071" cy="370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2132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5568" behindDoc="1" locked="0" layoutInCell="1" allowOverlap="1">
          <wp:simplePos x="0" y="0"/>
          <wp:positionH relativeFrom="page">
            <wp:posOffset>1071880</wp:posOffset>
          </wp:positionH>
          <wp:positionV relativeFrom="page">
            <wp:posOffset>502919</wp:posOffset>
          </wp:positionV>
          <wp:extent cx="981075" cy="371475"/>
          <wp:effectExtent l="0" t="0" r="9525" b="9525"/>
          <wp:wrapNone/>
          <wp:docPr id="11" name="image3.jpeg" descr="B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6" w:rsidRDefault="002132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4544" behindDoc="1" locked="0" layoutInCell="1" allowOverlap="1">
          <wp:simplePos x="0" y="0"/>
          <wp:positionH relativeFrom="page">
            <wp:posOffset>1071880</wp:posOffset>
          </wp:positionH>
          <wp:positionV relativeFrom="page">
            <wp:posOffset>502919</wp:posOffset>
          </wp:positionV>
          <wp:extent cx="981075" cy="371475"/>
          <wp:effectExtent l="0" t="0" r="9525" b="9525"/>
          <wp:wrapNone/>
          <wp:docPr id="9" name="image3.jpeg" descr="B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EFF"/>
    <w:multiLevelType w:val="hybridMultilevel"/>
    <w:tmpl w:val="F69448CE"/>
    <w:lvl w:ilvl="0" w:tplc="8DCEB98E">
      <w:start w:val="1"/>
      <w:numFmt w:val="decimal"/>
      <w:lvlText w:val="%1."/>
      <w:lvlJc w:val="left"/>
      <w:pPr>
        <w:ind w:left="836" w:hanging="36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-1"/>
        <w:w w:val="99"/>
        <w:sz w:val="22"/>
        <w:szCs w:val="22"/>
      </w:rPr>
    </w:lvl>
    <w:lvl w:ilvl="1" w:tplc="F8D48BE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85A2FBE0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5400F25E">
      <w:numFmt w:val="bullet"/>
      <w:lvlText w:val="•"/>
      <w:lvlJc w:val="left"/>
      <w:pPr>
        <w:ind w:left="3720" w:hanging="361"/>
      </w:pPr>
      <w:rPr>
        <w:rFonts w:hint="default"/>
      </w:rPr>
    </w:lvl>
    <w:lvl w:ilvl="4" w:tplc="92E02A88">
      <w:numFmt w:val="bullet"/>
      <w:lvlText w:val="•"/>
      <w:lvlJc w:val="left"/>
      <w:pPr>
        <w:ind w:left="4680" w:hanging="361"/>
      </w:pPr>
      <w:rPr>
        <w:rFonts w:hint="default"/>
      </w:rPr>
    </w:lvl>
    <w:lvl w:ilvl="5" w:tplc="2CAA01E6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48A8B7C0">
      <w:numFmt w:val="bullet"/>
      <w:lvlText w:val="•"/>
      <w:lvlJc w:val="left"/>
      <w:pPr>
        <w:ind w:left="6600" w:hanging="361"/>
      </w:pPr>
      <w:rPr>
        <w:rFonts w:hint="default"/>
      </w:rPr>
    </w:lvl>
    <w:lvl w:ilvl="7" w:tplc="E8CA319A">
      <w:numFmt w:val="bullet"/>
      <w:lvlText w:val="•"/>
      <w:lvlJc w:val="left"/>
      <w:pPr>
        <w:ind w:left="7560" w:hanging="361"/>
      </w:pPr>
      <w:rPr>
        <w:rFonts w:hint="default"/>
      </w:rPr>
    </w:lvl>
    <w:lvl w:ilvl="8" w:tplc="497A25E6">
      <w:numFmt w:val="bullet"/>
      <w:lvlText w:val="•"/>
      <w:lvlJc w:val="left"/>
      <w:pPr>
        <w:ind w:left="8520" w:hanging="361"/>
      </w:pPr>
      <w:rPr>
        <w:rFonts w:hint="default"/>
      </w:rPr>
    </w:lvl>
  </w:abstractNum>
  <w:abstractNum w:abstractNumId="1" w15:restartNumberingAfterBreak="0">
    <w:nsid w:val="23F228DF"/>
    <w:multiLevelType w:val="hybridMultilevel"/>
    <w:tmpl w:val="5282C3FC"/>
    <w:lvl w:ilvl="0" w:tplc="0FF0CB10">
      <w:start w:val="1"/>
      <w:numFmt w:val="decimal"/>
      <w:lvlText w:val="(%1)"/>
      <w:lvlJc w:val="left"/>
      <w:pPr>
        <w:ind w:left="623" w:hanging="12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97"/>
        <w:sz w:val="8"/>
        <w:szCs w:val="8"/>
      </w:rPr>
    </w:lvl>
    <w:lvl w:ilvl="1" w:tplc="D69EE50E">
      <w:numFmt w:val="bullet"/>
      <w:lvlText w:val="•"/>
      <w:lvlJc w:val="left"/>
      <w:pPr>
        <w:ind w:left="1602" w:hanging="122"/>
      </w:pPr>
      <w:rPr>
        <w:rFonts w:hint="default"/>
      </w:rPr>
    </w:lvl>
    <w:lvl w:ilvl="2" w:tplc="01520EE8">
      <w:numFmt w:val="bullet"/>
      <w:lvlText w:val="•"/>
      <w:lvlJc w:val="left"/>
      <w:pPr>
        <w:ind w:left="2584" w:hanging="122"/>
      </w:pPr>
      <w:rPr>
        <w:rFonts w:hint="default"/>
      </w:rPr>
    </w:lvl>
    <w:lvl w:ilvl="3" w:tplc="5DF87966">
      <w:numFmt w:val="bullet"/>
      <w:lvlText w:val="•"/>
      <w:lvlJc w:val="left"/>
      <w:pPr>
        <w:ind w:left="3566" w:hanging="122"/>
      </w:pPr>
      <w:rPr>
        <w:rFonts w:hint="default"/>
      </w:rPr>
    </w:lvl>
    <w:lvl w:ilvl="4" w:tplc="A3A476C2">
      <w:numFmt w:val="bullet"/>
      <w:lvlText w:val="•"/>
      <w:lvlJc w:val="left"/>
      <w:pPr>
        <w:ind w:left="4548" w:hanging="122"/>
      </w:pPr>
      <w:rPr>
        <w:rFonts w:hint="default"/>
      </w:rPr>
    </w:lvl>
    <w:lvl w:ilvl="5" w:tplc="63866248">
      <w:numFmt w:val="bullet"/>
      <w:lvlText w:val="•"/>
      <w:lvlJc w:val="left"/>
      <w:pPr>
        <w:ind w:left="5530" w:hanging="122"/>
      </w:pPr>
      <w:rPr>
        <w:rFonts w:hint="default"/>
      </w:rPr>
    </w:lvl>
    <w:lvl w:ilvl="6" w:tplc="B858AB0A">
      <w:numFmt w:val="bullet"/>
      <w:lvlText w:val="•"/>
      <w:lvlJc w:val="left"/>
      <w:pPr>
        <w:ind w:left="6512" w:hanging="122"/>
      </w:pPr>
      <w:rPr>
        <w:rFonts w:hint="default"/>
      </w:rPr>
    </w:lvl>
    <w:lvl w:ilvl="7" w:tplc="29645C88">
      <w:numFmt w:val="bullet"/>
      <w:lvlText w:val="•"/>
      <w:lvlJc w:val="left"/>
      <w:pPr>
        <w:ind w:left="7494" w:hanging="122"/>
      </w:pPr>
      <w:rPr>
        <w:rFonts w:hint="default"/>
      </w:rPr>
    </w:lvl>
    <w:lvl w:ilvl="8" w:tplc="3724EE38">
      <w:numFmt w:val="bullet"/>
      <w:lvlText w:val="•"/>
      <w:lvlJc w:val="left"/>
      <w:pPr>
        <w:ind w:left="8476" w:hanging="122"/>
      </w:pPr>
      <w:rPr>
        <w:rFonts w:hint="default"/>
      </w:rPr>
    </w:lvl>
  </w:abstractNum>
  <w:abstractNum w:abstractNumId="2" w15:restartNumberingAfterBreak="0">
    <w:nsid w:val="30432FCC"/>
    <w:multiLevelType w:val="hybridMultilevel"/>
    <w:tmpl w:val="DA14C684"/>
    <w:lvl w:ilvl="0" w:tplc="39B43878">
      <w:start w:val="2"/>
      <w:numFmt w:val="upperRoman"/>
      <w:lvlText w:val="%1."/>
      <w:lvlJc w:val="left"/>
      <w:pPr>
        <w:ind w:left="980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"/>
        <w:w w:val="99"/>
        <w:sz w:val="22"/>
        <w:szCs w:val="22"/>
      </w:rPr>
    </w:lvl>
    <w:lvl w:ilvl="1" w:tplc="DAB87CB4">
      <w:numFmt w:val="bullet"/>
      <w:lvlText w:val="•"/>
      <w:lvlJc w:val="left"/>
      <w:pPr>
        <w:ind w:left="1926" w:hanging="721"/>
      </w:pPr>
      <w:rPr>
        <w:rFonts w:hint="default"/>
      </w:rPr>
    </w:lvl>
    <w:lvl w:ilvl="2" w:tplc="9370AEEA">
      <w:numFmt w:val="bullet"/>
      <w:lvlText w:val="•"/>
      <w:lvlJc w:val="left"/>
      <w:pPr>
        <w:ind w:left="2872" w:hanging="721"/>
      </w:pPr>
      <w:rPr>
        <w:rFonts w:hint="default"/>
      </w:rPr>
    </w:lvl>
    <w:lvl w:ilvl="3" w:tplc="C51C36CC">
      <w:numFmt w:val="bullet"/>
      <w:lvlText w:val="•"/>
      <w:lvlJc w:val="left"/>
      <w:pPr>
        <w:ind w:left="3818" w:hanging="721"/>
      </w:pPr>
      <w:rPr>
        <w:rFonts w:hint="default"/>
      </w:rPr>
    </w:lvl>
    <w:lvl w:ilvl="4" w:tplc="9C5E494A">
      <w:numFmt w:val="bullet"/>
      <w:lvlText w:val="•"/>
      <w:lvlJc w:val="left"/>
      <w:pPr>
        <w:ind w:left="4764" w:hanging="721"/>
      </w:pPr>
      <w:rPr>
        <w:rFonts w:hint="default"/>
      </w:rPr>
    </w:lvl>
    <w:lvl w:ilvl="5" w:tplc="2D4C1408">
      <w:numFmt w:val="bullet"/>
      <w:lvlText w:val="•"/>
      <w:lvlJc w:val="left"/>
      <w:pPr>
        <w:ind w:left="5710" w:hanging="721"/>
      </w:pPr>
      <w:rPr>
        <w:rFonts w:hint="default"/>
      </w:rPr>
    </w:lvl>
    <w:lvl w:ilvl="6" w:tplc="BAD057F2">
      <w:numFmt w:val="bullet"/>
      <w:lvlText w:val="•"/>
      <w:lvlJc w:val="left"/>
      <w:pPr>
        <w:ind w:left="6656" w:hanging="721"/>
      </w:pPr>
      <w:rPr>
        <w:rFonts w:hint="default"/>
      </w:rPr>
    </w:lvl>
    <w:lvl w:ilvl="7" w:tplc="6382FC6A">
      <w:numFmt w:val="bullet"/>
      <w:lvlText w:val="•"/>
      <w:lvlJc w:val="left"/>
      <w:pPr>
        <w:ind w:left="7602" w:hanging="721"/>
      </w:pPr>
      <w:rPr>
        <w:rFonts w:hint="default"/>
      </w:rPr>
    </w:lvl>
    <w:lvl w:ilvl="8" w:tplc="3616393C">
      <w:numFmt w:val="bullet"/>
      <w:lvlText w:val="•"/>
      <w:lvlJc w:val="left"/>
      <w:pPr>
        <w:ind w:left="8548" w:hanging="721"/>
      </w:pPr>
      <w:rPr>
        <w:rFonts w:hint="default"/>
      </w:rPr>
    </w:lvl>
  </w:abstractNum>
  <w:abstractNum w:abstractNumId="3" w15:restartNumberingAfterBreak="0">
    <w:nsid w:val="4C785FC1"/>
    <w:multiLevelType w:val="hybridMultilevel"/>
    <w:tmpl w:val="983A86DE"/>
    <w:lvl w:ilvl="0" w:tplc="962813BE">
      <w:start w:val="1"/>
      <w:numFmt w:val="upperRoman"/>
      <w:lvlText w:val="%1."/>
      <w:lvlJc w:val="left"/>
      <w:pPr>
        <w:ind w:left="1196" w:hanging="72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99"/>
        <w:sz w:val="22"/>
        <w:szCs w:val="22"/>
      </w:rPr>
    </w:lvl>
    <w:lvl w:ilvl="1" w:tplc="B9C8E550">
      <w:start w:val="1"/>
      <w:numFmt w:val="decimal"/>
      <w:lvlText w:val="%2."/>
      <w:lvlJc w:val="left"/>
      <w:pPr>
        <w:ind w:left="1196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"/>
        <w:w w:val="99"/>
        <w:sz w:val="22"/>
        <w:szCs w:val="22"/>
      </w:rPr>
    </w:lvl>
    <w:lvl w:ilvl="2" w:tplc="F4703762">
      <w:numFmt w:val="bullet"/>
      <w:lvlText w:val="•"/>
      <w:lvlJc w:val="left"/>
      <w:pPr>
        <w:ind w:left="3048" w:hanging="361"/>
      </w:pPr>
      <w:rPr>
        <w:rFonts w:hint="default"/>
      </w:rPr>
    </w:lvl>
    <w:lvl w:ilvl="3" w:tplc="159C5D84">
      <w:numFmt w:val="bullet"/>
      <w:lvlText w:val="•"/>
      <w:lvlJc w:val="left"/>
      <w:pPr>
        <w:ind w:left="3972" w:hanging="361"/>
      </w:pPr>
      <w:rPr>
        <w:rFonts w:hint="default"/>
      </w:rPr>
    </w:lvl>
    <w:lvl w:ilvl="4" w:tplc="2C96E006">
      <w:numFmt w:val="bullet"/>
      <w:lvlText w:val="•"/>
      <w:lvlJc w:val="left"/>
      <w:pPr>
        <w:ind w:left="4896" w:hanging="361"/>
      </w:pPr>
      <w:rPr>
        <w:rFonts w:hint="default"/>
      </w:rPr>
    </w:lvl>
    <w:lvl w:ilvl="5" w:tplc="D616C59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64A46928"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B492BC74">
      <w:numFmt w:val="bullet"/>
      <w:lvlText w:val="•"/>
      <w:lvlJc w:val="left"/>
      <w:pPr>
        <w:ind w:left="7668" w:hanging="361"/>
      </w:pPr>
      <w:rPr>
        <w:rFonts w:hint="default"/>
      </w:rPr>
    </w:lvl>
    <w:lvl w:ilvl="8" w:tplc="223CC926">
      <w:numFmt w:val="bullet"/>
      <w:lvlText w:val="•"/>
      <w:lvlJc w:val="left"/>
      <w:pPr>
        <w:ind w:left="8592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F6"/>
    <w:rsid w:val="00090176"/>
    <w:rsid w:val="000A355F"/>
    <w:rsid w:val="000A4CFA"/>
    <w:rsid w:val="001109A2"/>
    <w:rsid w:val="001378E8"/>
    <w:rsid w:val="001A2783"/>
    <w:rsid w:val="0021323E"/>
    <w:rsid w:val="00232276"/>
    <w:rsid w:val="00257313"/>
    <w:rsid w:val="00267A76"/>
    <w:rsid w:val="002A5DA4"/>
    <w:rsid w:val="002C390E"/>
    <w:rsid w:val="002C6CC2"/>
    <w:rsid w:val="002D5B9D"/>
    <w:rsid w:val="00331A7C"/>
    <w:rsid w:val="003332FF"/>
    <w:rsid w:val="00334B23"/>
    <w:rsid w:val="003502E8"/>
    <w:rsid w:val="00350577"/>
    <w:rsid w:val="00354807"/>
    <w:rsid w:val="00356809"/>
    <w:rsid w:val="003A3974"/>
    <w:rsid w:val="003E75D6"/>
    <w:rsid w:val="003F7B13"/>
    <w:rsid w:val="00422382"/>
    <w:rsid w:val="0048228E"/>
    <w:rsid w:val="00493FD4"/>
    <w:rsid w:val="004B64C0"/>
    <w:rsid w:val="004F36B1"/>
    <w:rsid w:val="005203D5"/>
    <w:rsid w:val="005A2028"/>
    <w:rsid w:val="005B4FA4"/>
    <w:rsid w:val="005E71C4"/>
    <w:rsid w:val="00613EAA"/>
    <w:rsid w:val="00654F96"/>
    <w:rsid w:val="0067430F"/>
    <w:rsid w:val="0069134E"/>
    <w:rsid w:val="006F3E2B"/>
    <w:rsid w:val="00751BA6"/>
    <w:rsid w:val="00767B71"/>
    <w:rsid w:val="007716FB"/>
    <w:rsid w:val="00782478"/>
    <w:rsid w:val="0078370B"/>
    <w:rsid w:val="00793773"/>
    <w:rsid w:val="00794570"/>
    <w:rsid w:val="008606F6"/>
    <w:rsid w:val="00933468"/>
    <w:rsid w:val="00952AA6"/>
    <w:rsid w:val="00962BFE"/>
    <w:rsid w:val="009A6245"/>
    <w:rsid w:val="009C557F"/>
    <w:rsid w:val="009D4F9E"/>
    <w:rsid w:val="009E3C0C"/>
    <w:rsid w:val="00A26B4D"/>
    <w:rsid w:val="00A429C3"/>
    <w:rsid w:val="00A913E9"/>
    <w:rsid w:val="00AB4DC0"/>
    <w:rsid w:val="00AD2320"/>
    <w:rsid w:val="00AE5893"/>
    <w:rsid w:val="00AF61C0"/>
    <w:rsid w:val="00B30026"/>
    <w:rsid w:val="00B4148A"/>
    <w:rsid w:val="00B74599"/>
    <w:rsid w:val="00B82050"/>
    <w:rsid w:val="00BD177F"/>
    <w:rsid w:val="00C273D6"/>
    <w:rsid w:val="00C81B04"/>
    <w:rsid w:val="00CA780C"/>
    <w:rsid w:val="00CD1D30"/>
    <w:rsid w:val="00CE51D9"/>
    <w:rsid w:val="00D00C13"/>
    <w:rsid w:val="00D3112F"/>
    <w:rsid w:val="00D476B7"/>
    <w:rsid w:val="00D800F9"/>
    <w:rsid w:val="00DA0EFF"/>
    <w:rsid w:val="00DE04B6"/>
    <w:rsid w:val="00E60D9B"/>
    <w:rsid w:val="00E81D8F"/>
    <w:rsid w:val="00EC6875"/>
    <w:rsid w:val="00F229E8"/>
    <w:rsid w:val="00F850B4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F551D"/>
  <w15:docId w15:val="{ABE14DCF-A930-4336-8EED-41DA6AA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"/>
      <w:ind w:left="1196" w:hanging="721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pPr>
      <w:ind w:left="836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80"/>
      <w:ind w:left="979" w:hanging="720"/>
    </w:pPr>
  </w:style>
  <w:style w:type="paragraph" w:styleId="TOC2">
    <w:name w:val="toc 2"/>
    <w:basedOn w:val="Normal"/>
    <w:uiPriority w:val="1"/>
    <w:qFormat/>
    <w:pPr>
      <w:spacing w:before="99"/>
      <w:ind w:left="260" w:right="816" w:firstLine="8903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472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6" w:hanging="721"/>
    </w:pPr>
  </w:style>
  <w:style w:type="paragraph" w:customStyle="1" w:styleId="TableParagraph">
    <w:name w:val="Table Paragraph"/>
    <w:basedOn w:val="Normal"/>
    <w:uiPriority w:val="1"/>
    <w:qFormat/>
    <w:pPr>
      <w:spacing w:line="90" w:lineRule="exact"/>
    </w:pPr>
  </w:style>
  <w:style w:type="paragraph" w:styleId="Header">
    <w:name w:val="header"/>
    <w:basedOn w:val="Normal"/>
    <w:link w:val="HeaderChar"/>
    <w:uiPriority w:val="99"/>
    <w:unhideWhenUsed/>
    <w:rsid w:val="00691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34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91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34E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DA0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do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16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Cioffari-Macphee, Diana (DPH)</dc:creator>
  <cp:lastModifiedBy>Cioffari-Macphee, Diana (DPH)</cp:lastModifiedBy>
  <cp:revision>78</cp:revision>
  <dcterms:created xsi:type="dcterms:W3CDTF">2022-03-10T17:05:00Z</dcterms:created>
  <dcterms:modified xsi:type="dcterms:W3CDTF">2022-03-14T21:03:00Z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