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9DF" w:rsidRPr="00B91B6E" w:rsidRDefault="002E29DF" w:rsidP="00271DD2">
      <w:pPr>
        <w:jc w:val="center"/>
        <w:rPr>
          <w:color w:val="000000" w:themeColor="text1"/>
        </w:rPr>
      </w:pPr>
      <w:bookmarkStart w:id="0" w:name="_GoBack"/>
      <w:bookmarkEnd w:id="0"/>
      <w:r w:rsidRPr="00B91B6E">
        <w:rPr>
          <w:color w:val="000000" w:themeColor="text1"/>
        </w:rPr>
        <w:t>COMMONWEALTH OF MASSACHUSETTS</w:t>
      </w:r>
    </w:p>
    <w:p w:rsidR="002E29DF" w:rsidRPr="00B91B6E" w:rsidRDefault="002E29DF" w:rsidP="002E29DF">
      <w:pPr>
        <w:rPr>
          <w:color w:val="000000" w:themeColor="text1"/>
        </w:rPr>
      </w:pPr>
    </w:p>
    <w:p w:rsidR="002E29DF" w:rsidRPr="00B91B6E" w:rsidRDefault="002E29DF" w:rsidP="002E29DF">
      <w:pPr>
        <w:rPr>
          <w:color w:val="000000" w:themeColor="text1"/>
        </w:rPr>
      </w:pPr>
      <w:proofErr w:type="gramStart"/>
      <w:r w:rsidRPr="00B91B6E">
        <w:rPr>
          <w:color w:val="000000" w:themeColor="text1"/>
        </w:rPr>
        <w:t>Suffolk, ss.</w:t>
      </w:r>
      <w:proofErr w:type="gramEnd"/>
      <w:r w:rsidRPr="00B91B6E">
        <w:rPr>
          <w:color w:val="000000" w:themeColor="text1"/>
        </w:rPr>
        <w:t xml:space="preserve"> </w:t>
      </w:r>
      <w:r w:rsidRPr="00B91B6E">
        <w:rPr>
          <w:color w:val="000000" w:themeColor="text1"/>
        </w:rPr>
        <w:tab/>
      </w:r>
      <w:r w:rsidRPr="00B91B6E">
        <w:rPr>
          <w:color w:val="000000" w:themeColor="text1"/>
        </w:rPr>
        <w:tab/>
      </w:r>
      <w:r w:rsidRPr="00B91B6E">
        <w:rPr>
          <w:color w:val="000000" w:themeColor="text1"/>
        </w:rPr>
        <w:tab/>
      </w:r>
      <w:r w:rsidRPr="00B91B6E">
        <w:rPr>
          <w:color w:val="000000" w:themeColor="text1"/>
        </w:rPr>
        <w:tab/>
      </w:r>
      <w:r w:rsidRPr="00B91B6E">
        <w:rPr>
          <w:color w:val="000000" w:themeColor="text1"/>
        </w:rPr>
        <w:tab/>
      </w:r>
      <w:r w:rsidR="00271DD2" w:rsidRPr="00B91B6E">
        <w:rPr>
          <w:color w:val="000000" w:themeColor="text1"/>
        </w:rPr>
        <w:tab/>
      </w:r>
      <w:r w:rsidRPr="00B91B6E">
        <w:rPr>
          <w:color w:val="000000" w:themeColor="text1"/>
        </w:rPr>
        <w:t>Division of Administrative Law Appeals</w:t>
      </w:r>
    </w:p>
    <w:p w:rsidR="002E29DF" w:rsidRPr="00B91B6E" w:rsidRDefault="002E29DF" w:rsidP="002E29DF">
      <w:pPr>
        <w:rPr>
          <w:color w:val="000000" w:themeColor="text1"/>
        </w:rPr>
      </w:pPr>
      <w:r w:rsidRPr="00B91B6E">
        <w:rPr>
          <w:color w:val="000000" w:themeColor="text1"/>
        </w:rPr>
        <w:tab/>
      </w:r>
      <w:r w:rsidRPr="00B91B6E">
        <w:rPr>
          <w:color w:val="000000" w:themeColor="text1"/>
        </w:rPr>
        <w:tab/>
      </w:r>
      <w:r w:rsidRPr="00B91B6E">
        <w:rPr>
          <w:color w:val="000000" w:themeColor="text1"/>
        </w:rPr>
        <w:tab/>
      </w:r>
      <w:r w:rsidRPr="00B91B6E">
        <w:rPr>
          <w:color w:val="000000" w:themeColor="text1"/>
        </w:rPr>
        <w:tab/>
      </w:r>
      <w:r w:rsidRPr="00B91B6E">
        <w:rPr>
          <w:color w:val="000000" w:themeColor="text1"/>
        </w:rPr>
        <w:tab/>
      </w:r>
      <w:r w:rsidRPr="00B91B6E">
        <w:rPr>
          <w:color w:val="000000" w:themeColor="text1"/>
        </w:rPr>
        <w:tab/>
      </w:r>
      <w:r w:rsidRPr="00B91B6E">
        <w:rPr>
          <w:color w:val="000000" w:themeColor="text1"/>
        </w:rPr>
        <w:tab/>
        <w:t>One Congress Street, 11th Floor</w:t>
      </w:r>
    </w:p>
    <w:p w:rsidR="002E29DF" w:rsidRPr="00B91B6E" w:rsidRDefault="002E29DF" w:rsidP="002E29DF">
      <w:pPr>
        <w:rPr>
          <w:color w:val="000000" w:themeColor="text1"/>
        </w:rPr>
      </w:pPr>
      <w:r w:rsidRPr="00B91B6E">
        <w:rPr>
          <w:color w:val="000000" w:themeColor="text1"/>
        </w:rPr>
        <w:tab/>
      </w:r>
      <w:r w:rsidRPr="00B91B6E">
        <w:rPr>
          <w:color w:val="000000" w:themeColor="text1"/>
        </w:rPr>
        <w:tab/>
      </w:r>
      <w:r w:rsidRPr="00B91B6E">
        <w:rPr>
          <w:color w:val="000000" w:themeColor="text1"/>
        </w:rPr>
        <w:tab/>
      </w:r>
      <w:r w:rsidRPr="00B91B6E">
        <w:rPr>
          <w:color w:val="000000" w:themeColor="text1"/>
        </w:rPr>
        <w:tab/>
      </w:r>
      <w:r w:rsidRPr="00B91B6E">
        <w:rPr>
          <w:color w:val="000000" w:themeColor="text1"/>
        </w:rPr>
        <w:tab/>
      </w:r>
      <w:r w:rsidRPr="00B91B6E">
        <w:rPr>
          <w:color w:val="000000" w:themeColor="text1"/>
        </w:rPr>
        <w:tab/>
      </w:r>
      <w:r w:rsidRPr="00B91B6E">
        <w:rPr>
          <w:color w:val="000000" w:themeColor="text1"/>
        </w:rPr>
        <w:tab/>
        <w:t>Boston, MA 02114</w:t>
      </w:r>
    </w:p>
    <w:p w:rsidR="002E29DF" w:rsidRPr="00B91B6E" w:rsidRDefault="002E29DF" w:rsidP="002E29DF">
      <w:pPr>
        <w:rPr>
          <w:color w:val="000000" w:themeColor="text1"/>
        </w:rPr>
      </w:pPr>
      <w:r w:rsidRPr="00B91B6E">
        <w:rPr>
          <w:color w:val="000000" w:themeColor="text1"/>
        </w:rPr>
        <w:tab/>
      </w:r>
      <w:r w:rsidRPr="00B91B6E">
        <w:rPr>
          <w:color w:val="000000" w:themeColor="text1"/>
        </w:rPr>
        <w:tab/>
      </w:r>
      <w:r w:rsidRPr="00B91B6E">
        <w:rPr>
          <w:color w:val="000000" w:themeColor="text1"/>
        </w:rPr>
        <w:tab/>
      </w:r>
      <w:r w:rsidRPr="00B91B6E">
        <w:rPr>
          <w:color w:val="000000" w:themeColor="text1"/>
        </w:rPr>
        <w:tab/>
      </w:r>
      <w:r w:rsidRPr="00B91B6E">
        <w:rPr>
          <w:color w:val="000000" w:themeColor="text1"/>
        </w:rPr>
        <w:tab/>
      </w:r>
      <w:r w:rsidRPr="00B91B6E">
        <w:rPr>
          <w:color w:val="000000" w:themeColor="text1"/>
        </w:rPr>
        <w:tab/>
      </w:r>
      <w:r w:rsidRPr="00B91B6E">
        <w:rPr>
          <w:color w:val="000000" w:themeColor="text1"/>
        </w:rPr>
        <w:tab/>
        <w:t>(617) 626-7200</w:t>
      </w:r>
    </w:p>
    <w:p w:rsidR="002E29DF" w:rsidRPr="00B91B6E" w:rsidRDefault="00BA4087" w:rsidP="002E29DF">
      <w:pPr>
        <w:rPr>
          <w:color w:val="000000" w:themeColor="text1"/>
        </w:rPr>
      </w:pPr>
      <w:r>
        <w:rPr>
          <w:color w:val="000000" w:themeColor="text1"/>
        </w:rPr>
        <w:t>DEBORAH FAGGIOLI,</w:t>
      </w:r>
      <w:r w:rsidR="002E29DF" w:rsidRPr="00B91B6E">
        <w:rPr>
          <w:color w:val="000000" w:themeColor="text1"/>
        </w:rPr>
        <w:t xml:space="preserve"> </w:t>
      </w:r>
      <w:r w:rsidR="002E29DF" w:rsidRPr="00B91B6E">
        <w:rPr>
          <w:color w:val="000000" w:themeColor="text1"/>
        </w:rPr>
        <w:tab/>
      </w:r>
      <w:r w:rsidR="002E29DF" w:rsidRPr="00B91B6E">
        <w:rPr>
          <w:color w:val="000000" w:themeColor="text1"/>
        </w:rPr>
        <w:tab/>
      </w:r>
      <w:r w:rsidR="002E29DF" w:rsidRPr="00B91B6E">
        <w:rPr>
          <w:color w:val="000000" w:themeColor="text1"/>
        </w:rPr>
        <w:tab/>
      </w:r>
      <w:r w:rsidR="002E29DF" w:rsidRPr="00B91B6E">
        <w:rPr>
          <w:color w:val="000000" w:themeColor="text1"/>
        </w:rPr>
        <w:tab/>
        <w:t>Fax: (617) 626-7220</w:t>
      </w:r>
    </w:p>
    <w:p w:rsidR="002E29DF" w:rsidRPr="00B91B6E" w:rsidRDefault="002E29DF" w:rsidP="00BA4087">
      <w:pPr>
        <w:tabs>
          <w:tab w:val="left" w:pos="360"/>
        </w:tabs>
        <w:rPr>
          <w:b/>
          <w:color w:val="000000" w:themeColor="text1"/>
        </w:rPr>
      </w:pPr>
      <w:r w:rsidRPr="00B91B6E">
        <w:rPr>
          <w:color w:val="000000" w:themeColor="text1"/>
        </w:rPr>
        <w:tab/>
      </w:r>
      <w:r w:rsidRPr="00B91B6E">
        <w:rPr>
          <w:i/>
          <w:color w:val="000000" w:themeColor="text1"/>
        </w:rPr>
        <w:t>Petitioner</w:t>
      </w:r>
      <w:r w:rsidRPr="00B91B6E">
        <w:rPr>
          <w:color w:val="000000" w:themeColor="text1"/>
        </w:rPr>
        <w:tab/>
      </w:r>
      <w:r w:rsidRPr="00B91B6E">
        <w:rPr>
          <w:color w:val="000000" w:themeColor="text1"/>
        </w:rPr>
        <w:tab/>
      </w:r>
      <w:r w:rsidRPr="00B91B6E">
        <w:rPr>
          <w:color w:val="000000" w:themeColor="text1"/>
        </w:rPr>
        <w:tab/>
      </w:r>
      <w:r w:rsidRPr="00B91B6E">
        <w:rPr>
          <w:color w:val="000000" w:themeColor="text1"/>
        </w:rPr>
        <w:tab/>
      </w:r>
      <w:r w:rsidRPr="00B91B6E">
        <w:rPr>
          <w:color w:val="000000" w:themeColor="text1"/>
        </w:rPr>
        <w:tab/>
      </w:r>
      <w:r w:rsidR="00BA4087">
        <w:rPr>
          <w:color w:val="000000" w:themeColor="text1"/>
        </w:rPr>
        <w:tab/>
      </w:r>
      <w:r w:rsidRPr="00B91B6E">
        <w:rPr>
          <w:b/>
          <w:color w:val="000000" w:themeColor="text1"/>
        </w:rPr>
        <w:t>www.mass.gov/dala</w:t>
      </w:r>
      <w:r w:rsidRPr="00B91B6E">
        <w:rPr>
          <w:b/>
          <w:color w:val="000000" w:themeColor="text1"/>
        </w:rPr>
        <w:tab/>
      </w:r>
    </w:p>
    <w:p w:rsidR="002E29DF" w:rsidRPr="00B91B6E" w:rsidRDefault="002E29DF" w:rsidP="002E29DF">
      <w:pPr>
        <w:rPr>
          <w:color w:val="000000" w:themeColor="text1"/>
        </w:rPr>
      </w:pPr>
      <w:r w:rsidRPr="00B91B6E">
        <w:rPr>
          <w:b/>
          <w:color w:val="000000" w:themeColor="text1"/>
        </w:rPr>
        <w:tab/>
      </w:r>
      <w:r w:rsidRPr="00B91B6E">
        <w:rPr>
          <w:b/>
          <w:color w:val="000000" w:themeColor="text1"/>
        </w:rPr>
        <w:tab/>
      </w:r>
      <w:r w:rsidRPr="00B91B6E">
        <w:rPr>
          <w:b/>
          <w:color w:val="000000" w:themeColor="text1"/>
        </w:rPr>
        <w:tab/>
      </w:r>
      <w:r w:rsidRPr="00B91B6E">
        <w:rPr>
          <w:b/>
          <w:color w:val="000000" w:themeColor="text1"/>
        </w:rPr>
        <w:tab/>
      </w:r>
      <w:r w:rsidRPr="00B91B6E">
        <w:rPr>
          <w:b/>
          <w:color w:val="000000" w:themeColor="text1"/>
        </w:rPr>
        <w:tab/>
      </w:r>
      <w:r w:rsidRPr="00B91B6E">
        <w:rPr>
          <w:b/>
          <w:color w:val="000000" w:themeColor="text1"/>
        </w:rPr>
        <w:tab/>
      </w:r>
      <w:r w:rsidRPr="00B91B6E">
        <w:rPr>
          <w:b/>
          <w:color w:val="000000" w:themeColor="text1"/>
        </w:rPr>
        <w:tab/>
      </w:r>
      <w:r w:rsidRPr="00B91B6E">
        <w:rPr>
          <w:color w:val="000000" w:themeColor="text1"/>
        </w:rPr>
        <w:t>Docket No:</w:t>
      </w:r>
      <w:r w:rsidRPr="00B91B6E">
        <w:rPr>
          <w:color w:val="000000" w:themeColor="text1"/>
        </w:rPr>
        <w:tab/>
        <w:t>CR-14-296</w:t>
      </w:r>
    </w:p>
    <w:p w:rsidR="002E29DF" w:rsidRPr="00BA4087" w:rsidRDefault="002E29DF" w:rsidP="002E29DF">
      <w:pPr>
        <w:rPr>
          <w:i/>
          <w:color w:val="000000" w:themeColor="text1"/>
        </w:rPr>
      </w:pPr>
      <w:r w:rsidRPr="00B91B6E">
        <w:rPr>
          <w:color w:val="000000" w:themeColor="text1"/>
        </w:rPr>
        <w:tab/>
      </w:r>
      <w:proofErr w:type="gramStart"/>
      <w:r w:rsidRPr="00BA4087">
        <w:rPr>
          <w:i/>
          <w:color w:val="000000" w:themeColor="text1"/>
        </w:rPr>
        <w:t>v</w:t>
      </w:r>
      <w:proofErr w:type="gramEnd"/>
      <w:r w:rsidRPr="00BA4087">
        <w:rPr>
          <w:i/>
          <w:color w:val="000000" w:themeColor="text1"/>
        </w:rPr>
        <w:t>.</w:t>
      </w:r>
    </w:p>
    <w:p w:rsidR="002E29DF" w:rsidRPr="00B91B6E" w:rsidRDefault="002E29DF" w:rsidP="002E29DF">
      <w:pPr>
        <w:rPr>
          <w:color w:val="000000" w:themeColor="text1"/>
        </w:rPr>
      </w:pPr>
    </w:p>
    <w:p w:rsidR="00BA4087" w:rsidRDefault="00BA4087" w:rsidP="002E29DF">
      <w:pPr>
        <w:rPr>
          <w:color w:val="000000" w:themeColor="text1"/>
        </w:rPr>
      </w:pPr>
      <w:r>
        <w:rPr>
          <w:color w:val="000000" w:themeColor="text1"/>
        </w:rPr>
        <w:t>FALL RIVER RETIREMENT BOARD,</w:t>
      </w:r>
      <w:r w:rsidR="002E29DF" w:rsidRPr="00B91B6E">
        <w:rPr>
          <w:color w:val="000000" w:themeColor="text1"/>
        </w:rPr>
        <w:tab/>
      </w:r>
    </w:p>
    <w:p w:rsidR="002E29DF" w:rsidRPr="00B91B6E" w:rsidRDefault="00BA4087" w:rsidP="00BA4087">
      <w:pPr>
        <w:tabs>
          <w:tab w:val="left" w:pos="360"/>
        </w:tabs>
        <w:rPr>
          <w:i/>
          <w:color w:val="000000" w:themeColor="text1"/>
        </w:rPr>
      </w:pPr>
      <w:r>
        <w:rPr>
          <w:i/>
          <w:color w:val="000000" w:themeColor="text1"/>
        </w:rPr>
        <w:tab/>
      </w:r>
      <w:r w:rsidRPr="00BA4087">
        <w:rPr>
          <w:i/>
          <w:color w:val="000000" w:themeColor="text1"/>
        </w:rPr>
        <w:t>R</w:t>
      </w:r>
      <w:r w:rsidR="002E29DF" w:rsidRPr="00B91B6E">
        <w:rPr>
          <w:i/>
          <w:color w:val="000000" w:themeColor="text1"/>
        </w:rPr>
        <w:t>espondent</w:t>
      </w:r>
    </w:p>
    <w:p w:rsidR="002E29DF" w:rsidRPr="00B91B6E" w:rsidRDefault="002E29DF" w:rsidP="002E29DF">
      <w:pPr>
        <w:rPr>
          <w:i/>
          <w:color w:val="000000" w:themeColor="text1"/>
        </w:rPr>
      </w:pPr>
    </w:p>
    <w:p w:rsidR="002E29DF" w:rsidRPr="00B91B6E" w:rsidRDefault="002E29DF" w:rsidP="002E29DF">
      <w:pPr>
        <w:rPr>
          <w:b/>
          <w:color w:val="000000" w:themeColor="text1"/>
        </w:rPr>
      </w:pPr>
      <w:r w:rsidRPr="00B91B6E">
        <w:rPr>
          <w:b/>
          <w:color w:val="000000" w:themeColor="text1"/>
        </w:rPr>
        <w:t>Appearance for Petitioner:</w:t>
      </w:r>
    </w:p>
    <w:p w:rsidR="002E29DF" w:rsidRPr="00B91B6E" w:rsidRDefault="002E29DF" w:rsidP="002E29DF">
      <w:pPr>
        <w:rPr>
          <w:b/>
          <w:color w:val="000000" w:themeColor="text1"/>
        </w:rPr>
      </w:pPr>
    </w:p>
    <w:p w:rsidR="002E29DF" w:rsidRPr="00B91B6E" w:rsidRDefault="002E29DF" w:rsidP="00BA4087">
      <w:pPr>
        <w:tabs>
          <w:tab w:val="left" w:pos="360"/>
        </w:tabs>
        <w:rPr>
          <w:color w:val="000000" w:themeColor="text1"/>
        </w:rPr>
      </w:pPr>
      <w:r w:rsidRPr="00B91B6E">
        <w:rPr>
          <w:color w:val="000000" w:themeColor="text1"/>
        </w:rPr>
        <w:tab/>
        <w:t>Mark A. Azar, Esq.</w:t>
      </w:r>
    </w:p>
    <w:p w:rsidR="002E29DF" w:rsidRPr="00B91B6E" w:rsidRDefault="002E29DF" w:rsidP="00BA4087">
      <w:pPr>
        <w:tabs>
          <w:tab w:val="left" w:pos="360"/>
        </w:tabs>
        <w:rPr>
          <w:color w:val="000000" w:themeColor="text1"/>
        </w:rPr>
      </w:pPr>
      <w:r w:rsidRPr="00B91B6E">
        <w:rPr>
          <w:color w:val="000000" w:themeColor="text1"/>
        </w:rPr>
        <w:tab/>
        <w:t>Azar &amp; Wheatley</w:t>
      </w:r>
    </w:p>
    <w:p w:rsidR="002E29DF" w:rsidRPr="00B91B6E" w:rsidRDefault="002E29DF" w:rsidP="00BA4087">
      <w:pPr>
        <w:tabs>
          <w:tab w:val="left" w:pos="360"/>
        </w:tabs>
        <w:rPr>
          <w:color w:val="000000" w:themeColor="text1"/>
        </w:rPr>
      </w:pPr>
      <w:r w:rsidRPr="00B91B6E">
        <w:rPr>
          <w:color w:val="000000" w:themeColor="text1"/>
        </w:rPr>
        <w:tab/>
        <w:t xml:space="preserve">170 Pleasant </w:t>
      </w:r>
      <w:proofErr w:type="gramStart"/>
      <w:r w:rsidRPr="00B91B6E">
        <w:rPr>
          <w:color w:val="000000" w:themeColor="text1"/>
        </w:rPr>
        <w:t>Street</w:t>
      </w:r>
      <w:proofErr w:type="gramEnd"/>
      <w:r w:rsidRPr="00B91B6E">
        <w:rPr>
          <w:color w:val="000000" w:themeColor="text1"/>
        </w:rPr>
        <w:t>, Suite 203</w:t>
      </w:r>
    </w:p>
    <w:p w:rsidR="002E29DF" w:rsidRPr="00B91B6E" w:rsidRDefault="002E29DF" w:rsidP="00BA4087">
      <w:pPr>
        <w:tabs>
          <w:tab w:val="left" w:pos="360"/>
        </w:tabs>
        <w:rPr>
          <w:color w:val="000000" w:themeColor="text1"/>
        </w:rPr>
      </w:pPr>
      <w:r w:rsidRPr="00B91B6E">
        <w:rPr>
          <w:color w:val="000000" w:themeColor="text1"/>
        </w:rPr>
        <w:tab/>
        <w:t>Fall River, MA 02721</w:t>
      </w:r>
    </w:p>
    <w:p w:rsidR="002E29DF" w:rsidRPr="00B91B6E" w:rsidRDefault="002E29DF" w:rsidP="002E29DF">
      <w:pPr>
        <w:rPr>
          <w:b/>
          <w:color w:val="000000" w:themeColor="text1"/>
        </w:rPr>
      </w:pPr>
    </w:p>
    <w:p w:rsidR="002E29DF" w:rsidRPr="00B91B6E" w:rsidRDefault="002E29DF" w:rsidP="002E29DF">
      <w:pPr>
        <w:rPr>
          <w:b/>
          <w:color w:val="000000" w:themeColor="text1"/>
        </w:rPr>
      </w:pPr>
      <w:r w:rsidRPr="00B91B6E">
        <w:rPr>
          <w:b/>
          <w:color w:val="000000" w:themeColor="text1"/>
        </w:rPr>
        <w:t>Appearance for Respondent:</w:t>
      </w:r>
    </w:p>
    <w:p w:rsidR="002E29DF" w:rsidRPr="00B91B6E" w:rsidRDefault="002E29DF" w:rsidP="002E29DF">
      <w:pPr>
        <w:rPr>
          <w:color w:val="000000" w:themeColor="text1"/>
        </w:rPr>
      </w:pPr>
    </w:p>
    <w:p w:rsidR="002E29DF" w:rsidRPr="00B91B6E" w:rsidRDefault="002E29DF" w:rsidP="00BA4087">
      <w:pPr>
        <w:tabs>
          <w:tab w:val="left" w:pos="360"/>
        </w:tabs>
        <w:rPr>
          <w:color w:val="000000" w:themeColor="text1"/>
        </w:rPr>
      </w:pPr>
      <w:r w:rsidRPr="00B91B6E">
        <w:rPr>
          <w:color w:val="000000" w:themeColor="text1"/>
        </w:rPr>
        <w:tab/>
        <w:t>Chris</w:t>
      </w:r>
      <w:r w:rsidR="00020444">
        <w:rPr>
          <w:color w:val="000000" w:themeColor="text1"/>
        </w:rPr>
        <w:t>topher</w:t>
      </w:r>
      <w:r w:rsidRPr="00B91B6E">
        <w:rPr>
          <w:color w:val="000000" w:themeColor="text1"/>
        </w:rPr>
        <w:t xml:space="preserve"> Collins</w:t>
      </w:r>
      <w:r w:rsidR="00020444">
        <w:rPr>
          <w:color w:val="000000" w:themeColor="text1"/>
        </w:rPr>
        <w:t>, Esq.</w:t>
      </w:r>
    </w:p>
    <w:p w:rsidR="002E29DF" w:rsidRPr="00B91B6E" w:rsidRDefault="002E29DF" w:rsidP="00BA4087">
      <w:pPr>
        <w:tabs>
          <w:tab w:val="left" w:pos="360"/>
        </w:tabs>
        <w:rPr>
          <w:color w:val="000000" w:themeColor="text1"/>
        </w:rPr>
      </w:pPr>
      <w:r w:rsidRPr="00B91B6E">
        <w:rPr>
          <w:color w:val="000000" w:themeColor="text1"/>
        </w:rPr>
        <w:tab/>
      </w:r>
      <w:proofErr w:type="gramStart"/>
      <w:r w:rsidRPr="00B91B6E">
        <w:rPr>
          <w:color w:val="000000" w:themeColor="text1"/>
        </w:rPr>
        <w:t>Law Offices of Michael Sacco, P.C.</w:t>
      </w:r>
      <w:proofErr w:type="gramEnd"/>
    </w:p>
    <w:p w:rsidR="002E29DF" w:rsidRPr="00B91B6E" w:rsidRDefault="002E29DF" w:rsidP="00BA4087">
      <w:pPr>
        <w:tabs>
          <w:tab w:val="left" w:pos="360"/>
        </w:tabs>
        <w:rPr>
          <w:color w:val="000000" w:themeColor="text1"/>
        </w:rPr>
      </w:pPr>
      <w:r w:rsidRPr="00B91B6E">
        <w:rPr>
          <w:color w:val="000000" w:themeColor="text1"/>
        </w:rPr>
        <w:tab/>
        <w:t>P.O. Box 479</w:t>
      </w:r>
    </w:p>
    <w:p w:rsidR="002E29DF" w:rsidRPr="00B91B6E" w:rsidRDefault="002E29DF" w:rsidP="00BA4087">
      <w:pPr>
        <w:tabs>
          <w:tab w:val="left" w:pos="360"/>
        </w:tabs>
        <w:rPr>
          <w:color w:val="000000" w:themeColor="text1"/>
        </w:rPr>
      </w:pPr>
      <w:r w:rsidRPr="00B91B6E">
        <w:rPr>
          <w:color w:val="000000" w:themeColor="text1"/>
        </w:rPr>
        <w:tab/>
        <w:t>Southampton, MA 01073</w:t>
      </w:r>
    </w:p>
    <w:p w:rsidR="002E29DF" w:rsidRPr="00B91B6E" w:rsidRDefault="002E29DF" w:rsidP="002E29DF">
      <w:pPr>
        <w:rPr>
          <w:color w:val="000000" w:themeColor="text1"/>
        </w:rPr>
      </w:pPr>
    </w:p>
    <w:p w:rsidR="002E29DF" w:rsidRPr="00B91B6E" w:rsidRDefault="002E29DF" w:rsidP="002E29DF">
      <w:pPr>
        <w:rPr>
          <w:b/>
          <w:color w:val="000000" w:themeColor="text1"/>
        </w:rPr>
      </w:pPr>
      <w:r w:rsidRPr="00B91B6E">
        <w:rPr>
          <w:b/>
          <w:color w:val="000000" w:themeColor="text1"/>
        </w:rPr>
        <w:t>Administrative Magistrate:</w:t>
      </w:r>
    </w:p>
    <w:p w:rsidR="002E29DF" w:rsidRPr="00B91B6E" w:rsidRDefault="002E29DF" w:rsidP="002E29DF">
      <w:pPr>
        <w:rPr>
          <w:b/>
          <w:color w:val="000000" w:themeColor="text1"/>
        </w:rPr>
      </w:pPr>
    </w:p>
    <w:p w:rsidR="002E29DF" w:rsidRPr="00B91B6E" w:rsidRDefault="002E29DF" w:rsidP="00BA4087">
      <w:pPr>
        <w:tabs>
          <w:tab w:val="left" w:pos="360"/>
        </w:tabs>
        <w:rPr>
          <w:color w:val="000000" w:themeColor="text1"/>
        </w:rPr>
      </w:pPr>
      <w:r w:rsidRPr="00B91B6E">
        <w:rPr>
          <w:b/>
          <w:color w:val="000000" w:themeColor="text1"/>
        </w:rPr>
        <w:tab/>
      </w:r>
      <w:r w:rsidRPr="00B91B6E">
        <w:rPr>
          <w:color w:val="000000" w:themeColor="text1"/>
        </w:rPr>
        <w:t xml:space="preserve">Angela McConney Scheepers, Esq. </w:t>
      </w:r>
    </w:p>
    <w:p w:rsidR="002E29DF" w:rsidRPr="00B91B6E" w:rsidRDefault="002E29DF" w:rsidP="002E29DF">
      <w:pPr>
        <w:rPr>
          <w:color w:val="000000" w:themeColor="text1"/>
        </w:rPr>
      </w:pPr>
    </w:p>
    <w:p w:rsidR="002E29DF" w:rsidRPr="00B91B6E" w:rsidRDefault="002E29DF" w:rsidP="002E29DF">
      <w:pPr>
        <w:jc w:val="center"/>
        <w:rPr>
          <w:b/>
          <w:color w:val="000000" w:themeColor="text1"/>
        </w:rPr>
      </w:pPr>
      <w:r w:rsidRPr="00B91B6E">
        <w:rPr>
          <w:b/>
          <w:color w:val="000000" w:themeColor="text1"/>
        </w:rPr>
        <w:t>SUMMARY</w:t>
      </w:r>
    </w:p>
    <w:p w:rsidR="002E29DF" w:rsidRPr="00B91B6E" w:rsidRDefault="002E29DF" w:rsidP="002E29DF">
      <w:pPr>
        <w:rPr>
          <w:color w:val="000000" w:themeColor="text1"/>
        </w:rPr>
      </w:pPr>
    </w:p>
    <w:p w:rsidR="002E29DF" w:rsidRPr="00B91B6E" w:rsidRDefault="002E29DF" w:rsidP="00AE4888">
      <w:pPr>
        <w:ind w:firstLine="720"/>
        <w:rPr>
          <w:color w:val="000000" w:themeColor="text1"/>
        </w:rPr>
      </w:pPr>
      <w:r w:rsidRPr="00B91B6E">
        <w:rPr>
          <w:color w:val="000000" w:themeColor="text1"/>
        </w:rPr>
        <w:t>The Petitioner has failed to prove by a preponderance</w:t>
      </w:r>
      <w:r w:rsidR="00717498" w:rsidRPr="00B91B6E">
        <w:rPr>
          <w:color w:val="000000" w:themeColor="text1"/>
        </w:rPr>
        <w:t xml:space="preserve"> of the</w:t>
      </w:r>
      <w:r w:rsidR="000A416D">
        <w:rPr>
          <w:color w:val="000000" w:themeColor="text1"/>
        </w:rPr>
        <w:t xml:space="preserve"> evidence that she suffered a </w:t>
      </w:r>
      <w:r w:rsidR="00717498" w:rsidRPr="00B91B6E">
        <w:rPr>
          <w:color w:val="000000" w:themeColor="text1"/>
        </w:rPr>
        <w:t>personal injury or hazard undergone while in the performance of her duties</w:t>
      </w:r>
      <w:r w:rsidRPr="00B91B6E">
        <w:rPr>
          <w:color w:val="000000" w:themeColor="text1"/>
        </w:rPr>
        <w:t>. Th</w:t>
      </w:r>
      <w:r w:rsidR="00143A80">
        <w:rPr>
          <w:color w:val="000000" w:themeColor="text1"/>
        </w:rPr>
        <w:t xml:space="preserve">e Respondent’s decision to deny the Petitioner’s </w:t>
      </w:r>
      <w:r w:rsidRPr="00B91B6E">
        <w:rPr>
          <w:color w:val="000000" w:themeColor="text1"/>
        </w:rPr>
        <w:t xml:space="preserve">accidental disability retirement </w:t>
      </w:r>
      <w:r w:rsidR="00143A80">
        <w:rPr>
          <w:color w:val="000000" w:themeColor="text1"/>
        </w:rPr>
        <w:t>application without convening a medical panel</w:t>
      </w:r>
      <w:r w:rsidRPr="00B91B6E">
        <w:rPr>
          <w:color w:val="000000" w:themeColor="text1"/>
        </w:rPr>
        <w:t xml:space="preserve"> is affirmed. </w:t>
      </w:r>
    </w:p>
    <w:p w:rsidR="002E29DF" w:rsidRPr="00B91B6E" w:rsidRDefault="002E29DF" w:rsidP="002E29DF">
      <w:pPr>
        <w:rPr>
          <w:color w:val="000000" w:themeColor="text1"/>
        </w:rPr>
      </w:pPr>
    </w:p>
    <w:p w:rsidR="002E29DF" w:rsidRPr="00B91B6E" w:rsidRDefault="002E29DF" w:rsidP="002E29DF">
      <w:pPr>
        <w:jc w:val="center"/>
        <w:rPr>
          <w:b/>
          <w:color w:val="000000" w:themeColor="text1"/>
        </w:rPr>
      </w:pPr>
      <w:r w:rsidRPr="00B91B6E">
        <w:rPr>
          <w:b/>
          <w:color w:val="000000" w:themeColor="text1"/>
        </w:rPr>
        <w:t>DECISION</w:t>
      </w:r>
    </w:p>
    <w:p w:rsidR="002E29DF" w:rsidRPr="00B91B6E" w:rsidRDefault="002E29DF" w:rsidP="002E29DF">
      <w:pPr>
        <w:rPr>
          <w:b/>
          <w:color w:val="000000" w:themeColor="text1"/>
        </w:rPr>
      </w:pPr>
    </w:p>
    <w:p w:rsidR="002E29DF" w:rsidRPr="00B91B6E" w:rsidRDefault="002E29DF" w:rsidP="002E29DF">
      <w:pPr>
        <w:spacing w:line="480" w:lineRule="auto"/>
        <w:ind w:firstLine="720"/>
        <w:rPr>
          <w:color w:val="000000" w:themeColor="text1"/>
        </w:rPr>
      </w:pPr>
      <w:r w:rsidRPr="00B91B6E">
        <w:rPr>
          <w:color w:val="000000" w:themeColor="text1"/>
        </w:rPr>
        <w:t>Pursuant to G.L. c. 32, §</w:t>
      </w:r>
      <w:r w:rsidR="00020444">
        <w:rPr>
          <w:color w:val="000000" w:themeColor="text1"/>
        </w:rPr>
        <w:t xml:space="preserve"> </w:t>
      </w:r>
      <w:r w:rsidRPr="00B91B6E">
        <w:rPr>
          <w:color w:val="000000" w:themeColor="text1"/>
        </w:rPr>
        <w:t>16(4), the Petitioner, Deborah Faggioli, appealed the May 22, 2014 decision of the Fa</w:t>
      </w:r>
      <w:r w:rsidR="00BA4087">
        <w:rPr>
          <w:color w:val="000000" w:themeColor="text1"/>
        </w:rPr>
        <w:t>ll River Retirement Board (Board</w:t>
      </w:r>
      <w:r w:rsidRPr="00B91B6E">
        <w:rPr>
          <w:color w:val="000000" w:themeColor="text1"/>
        </w:rPr>
        <w:t xml:space="preserve">), denying her application for accidental disability retirement benefits. </w:t>
      </w:r>
    </w:p>
    <w:p w:rsidR="002E29DF" w:rsidRPr="00B91B6E" w:rsidRDefault="00BA4087" w:rsidP="00BA4087">
      <w:pPr>
        <w:spacing w:line="480" w:lineRule="auto"/>
        <w:ind w:firstLine="720"/>
        <w:rPr>
          <w:color w:val="000000" w:themeColor="text1"/>
        </w:rPr>
      </w:pPr>
      <w:r>
        <w:rPr>
          <w:color w:val="000000" w:themeColor="text1"/>
        </w:rPr>
        <w:lastRenderedPageBreak/>
        <w:t>I</w:t>
      </w:r>
      <w:r w:rsidR="002E29DF" w:rsidRPr="00B91B6E">
        <w:rPr>
          <w:color w:val="000000" w:themeColor="text1"/>
        </w:rPr>
        <w:t xml:space="preserve"> held </w:t>
      </w:r>
      <w:r>
        <w:rPr>
          <w:color w:val="000000" w:themeColor="text1"/>
        </w:rPr>
        <w:t>a hearing at the offices of</w:t>
      </w:r>
      <w:r w:rsidR="002E29DF" w:rsidRPr="00B91B6E">
        <w:rPr>
          <w:color w:val="000000" w:themeColor="text1"/>
        </w:rPr>
        <w:t xml:space="preserve"> the Division </w:t>
      </w:r>
      <w:r>
        <w:rPr>
          <w:color w:val="000000" w:themeColor="text1"/>
        </w:rPr>
        <w:t>of Administrative Law Appeals (DALA</w:t>
      </w:r>
      <w:r w:rsidR="002E29DF" w:rsidRPr="00B91B6E">
        <w:rPr>
          <w:color w:val="000000" w:themeColor="text1"/>
        </w:rPr>
        <w:t xml:space="preserve">) on January 26, 2016. The hearing was digitally recorded. </w:t>
      </w:r>
      <w:r>
        <w:rPr>
          <w:color w:val="000000" w:themeColor="text1"/>
        </w:rPr>
        <w:t xml:space="preserve">Ms. Faggioli called </w:t>
      </w:r>
      <w:r w:rsidR="002E29DF" w:rsidRPr="00B91B6E">
        <w:rPr>
          <w:color w:val="000000" w:themeColor="text1"/>
        </w:rPr>
        <w:t xml:space="preserve">Paul Marshall, the former principal of the BMC </w:t>
      </w:r>
      <w:proofErr w:type="spellStart"/>
      <w:r w:rsidR="002E29DF" w:rsidRPr="00B91B6E">
        <w:rPr>
          <w:color w:val="000000" w:themeColor="text1"/>
        </w:rPr>
        <w:t>Durfee</w:t>
      </w:r>
      <w:proofErr w:type="spellEnd"/>
      <w:r w:rsidR="002E29DF" w:rsidRPr="00B91B6E">
        <w:rPr>
          <w:color w:val="000000" w:themeColor="text1"/>
        </w:rPr>
        <w:t xml:space="preserve"> High School (</w:t>
      </w:r>
      <w:proofErr w:type="spellStart"/>
      <w:r>
        <w:rPr>
          <w:color w:val="000000" w:themeColor="text1"/>
        </w:rPr>
        <w:t>Durfee</w:t>
      </w:r>
      <w:proofErr w:type="spellEnd"/>
      <w:r w:rsidR="002E29DF" w:rsidRPr="00B91B6E">
        <w:rPr>
          <w:color w:val="000000" w:themeColor="text1"/>
        </w:rPr>
        <w:t>)</w:t>
      </w:r>
      <w:r>
        <w:rPr>
          <w:color w:val="000000" w:themeColor="text1"/>
        </w:rPr>
        <w:t>, and testified on her own behalf</w:t>
      </w:r>
      <w:r w:rsidR="002E29DF" w:rsidRPr="00B91B6E">
        <w:rPr>
          <w:color w:val="000000" w:themeColor="text1"/>
        </w:rPr>
        <w:t xml:space="preserve">. </w:t>
      </w:r>
      <w:r w:rsidR="00C22A4C">
        <w:rPr>
          <w:color w:val="000000" w:themeColor="text1"/>
        </w:rPr>
        <w:t xml:space="preserve"> </w:t>
      </w:r>
      <w:r w:rsidR="002E29DF" w:rsidRPr="00B91B6E">
        <w:rPr>
          <w:color w:val="000000" w:themeColor="text1"/>
        </w:rPr>
        <w:t xml:space="preserve">I marked the Petitioner’s Pre-Hearing Memorandum “A” for identification and the Board’s Pre-Hearing Memorandum “B” for identification. </w:t>
      </w:r>
      <w:r w:rsidR="00C22A4C">
        <w:rPr>
          <w:color w:val="000000" w:themeColor="text1"/>
        </w:rPr>
        <w:t xml:space="preserve"> </w:t>
      </w:r>
      <w:r w:rsidR="002E29DF" w:rsidRPr="00B91B6E">
        <w:rPr>
          <w:color w:val="000000" w:themeColor="text1"/>
        </w:rPr>
        <w:t xml:space="preserve">I admitted fifteen exhibits </w:t>
      </w:r>
      <w:r w:rsidRPr="00B91B6E">
        <w:rPr>
          <w:color w:val="000000" w:themeColor="text1"/>
        </w:rPr>
        <w:t>(</w:t>
      </w:r>
      <w:r>
        <w:rPr>
          <w:color w:val="000000" w:themeColor="text1"/>
        </w:rPr>
        <w:t>Exhibits 1-</w:t>
      </w:r>
      <w:r w:rsidRPr="00B91B6E">
        <w:rPr>
          <w:color w:val="000000" w:themeColor="text1"/>
        </w:rPr>
        <w:t xml:space="preserve">15) </w:t>
      </w:r>
      <w:r w:rsidR="002E29DF" w:rsidRPr="00B91B6E">
        <w:rPr>
          <w:color w:val="000000" w:themeColor="text1"/>
        </w:rPr>
        <w:t>into evidence.</w:t>
      </w:r>
    </w:p>
    <w:p w:rsidR="002E29DF" w:rsidRPr="00B91B6E" w:rsidRDefault="002E29DF" w:rsidP="002E29DF">
      <w:pPr>
        <w:spacing w:line="480" w:lineRule="auto"/>
        <w:ind w:firstLine="720"/>
        <w:rPr>
          <w:color w:val="000000" w:themeColor="text1"/>
        </w:rPr>
      </w:pPr>
      <w:r w:rsidRPr="00B91B6E">
        <w:rPr>
          <w:color w:val="000000" w:themeColor="text1"/>
        </w:rPr>
        <w:t xml:space="preserve">Ms. Faggioli submitted a Post-Hearing brief on April 22, 2016. </w:t>
      </w:r>
      <w:r w:rsidR="00C22A4C">
        <w:rPr>
          <w:color w:val="000000" w:themeColor="text1"/>
        </w:rPr>
        <w:t xml:space="preserve"> </w:t>
      </w:r>
      <w:r w:rsidRPr="00B91B6E">
        <w:rPr>
          <w:color w:val="000000" w:themeColor="text1"/>
        </w:rPr>
        <w:t xml:space="preserve">The Board submitted a Post-Hearing Brief on April 28, 2016, whereupon the administrative record closed. </w:t>
      </w:r>
    </w:p>
    <w:p w:rsidR="002E29DF" w:rsidRDefault="002E29DF" w:rsidP="003761FE">
      <w:pPr>
        <w:ind w:firstLine="720"/>
        <w:jc w:val="center"/>
        <w:rPr>
          <w:b/>
          <w:color w:val="000000" w:themeColor="text1"/>
        </w:rPr>
      </w:pPr>
      <w:r w:rsidRPr="00B91B6E">
        <w:rPr>
          <w:b/>
          <w:color w:val="000000" w:themeColor="text1"/>
        </w:rPr>
        <w:t>FINDINGS OF FACT</w:t>
      </w:r>
    </w:p>
    <w:p w:rsidR="00483C15" w:rsidRPr="00B91B6E" w:rsidRDefault="00483C15" w:rsidP="003761FE">
      <w:pPr>
        <w:ind w:firstLine="720"/>
        <w:jc w:val="center"/>
        <w:rPr>
          <w:b/>
          <w:color w:val="000000" w:themeColor="text1"/>
        </w:rPr>
      </w:pPr>
    </w:p>
    <w:p w:rsidR="002E29DF" w:rsidRPr="00B91B6E" w:rsidRDefault="002E29DF" w:rsidP="002E29DF">
      <w:pPr>
        <w:spacing w:line="480" w:lineRule="auto"/>
        <w:ind w:firstLine="720"/>
        <w:rPr>
          <w:color w:val="000000" w:themeColor="text1"/>
        </w:rPr>
      </w:pPr>
      <w:r w:rsidRPr="00B91B6E">
        <w:rPr>
          <w:color w:val="000000" w:themeColor="text1"/>
        </w:rPr>
        <w:t>Based on the documents admitted into evidence and the testimony presented at the hearing, I make the following findings of fact:</w:t>
      </w:r>
    </w:p>
    <w:p w:rsidR="00C82D67" w:rsidRDefault="002E29DF" w:rsidP="00C82D67">
      <w:pPr>
        <w:pStyle w:val="ListParagraph"/>
        <w:numPr>
          <w:ilvl w:val="0"/>
          <w:numId w:val="1"/>
        </w:numPr>
        <w:spacing w:line="480" w:lineRule="auto"/>
        <w:ind w:left="0" w:firstLine="720"/>
        <w:rPr>
          <w:color w:val="000000" w:themeColor="text1"/>
        </w:rPr>
      </w:pPr>
      <w:r w:rsidRPr="00B91B6E">
        <w:rPr>
          <w:color w:val="000000" w:themeColor="text1"/>
        </w:rPr>
        <w:t xml:space="preserve">The Petitioner, Deborah Faggioli (born </w:t>
      </w:r>
      <w:r w:rsidR="00BA4087">
        <w:rPr>
          <w:color w:val="000000" w:themeColor="text1"/>
        </w:rPr>
        <w:t>in</w:t>
      </w:r>
      <w:r w:rsidRPr="00B91B6E">
        <w:rPr>
          <w:color w:val="000000" w:themeColor="text1"/>
        </w:rPr>
        <w:t xml:space="preserve"> 1956), was hired by the</w:t>
      </w:r>
      <w:r w:rsidR="00BA4087">
        <w:rPr>
          <w:color w:val="000000" w:themeColor="text1"/>
        </w:rPr>
        <w:t xml:space="preserve"> Fall River </w:t>
      </w:r>
      <w:r w:rsidR="002602CA">
        <w:rPr>
          <w:color w:val="000000" w:themeColor="text1"/>
        </w:rPr>
        <w:t>Public Schools (FRPS)</w:t>
      </w:r>
      <w:r w:rsidR="00C82D67">
        <w:rPr>
          <w:color w:val="000000" w:themeColor="text1"/>
        </w:rPr>
        <w:t xml:space="preserve"> </w:t>
      </w:r>
      <w:r w:rsidR="0016475D">
        <w:rPr>
          <w:color w:val="000000" w:themeColor="text1"/>
        </w:rPr>
        <w:t>as an Information Systems Clerk in</w:t>
      </w:r>
      <w:r w:rsidR="00C82D67">
        <w:rPr>
          <w:color w:val="000000" w:themeColor="text1"/>
        </w:rPr>
        <w:t xml:space="preserve"> </w:t>
      </w:r>
      <w:r w:rsidR="0016475D">
        <w:rPr>
          <w:color w:val="000000" w:themeColor="text1"/>
        </w:rPr>
        <w:t xml:space="preserve">the Special Education Department in </w:t>
      </w:r>
      <w:r w:rsidR="00C82D67">
        <w:rPr>
          <w:color w:val="000000" w:themeColor="text1"/>
        </w:rPr>
        <w:t>September</w:t>
      </w:r>
      <w:r w:rsidRPr="00B91B6E">
        <w:rPr>
          <w:color w:val="000000" w:themeColor="text1"/>
        </w:rPr>
        <w:t xml:space="preserve"> 2004. </w:t>
      </w:r>
      <w:r w:rsidR="00C22A4C">
        <w:rPr>
          <w:color w:val="000000" w:themeColor="text1"/>
        </w:rPr>
        <w:t xml:space="preserve">  </w:t>
      </w:r>
      <w:r w:rsidRPr="00B91B6E">
        <w:rPr>
          <w:color w:val="000000" w:themeColor="text1"/>
        </w:rPr>
        <w:t xml:space="preserve"> </w:t>
      </w:r>
      <w:r w:rsidR="00BA4087">
        <w:rPr>
          <w:color w:val="000000" w:themeColor="text1"/>
        </w:rPr>
        <w:t>Her last position was as</w:t>
      </w:r>
      <w:r w:rsidRPr="00B91B6E">
        <w:rPr>
          <w:color w:val="000000" w:themeColor="text1"/>
        </w:rPr>
        <w:t xml:space="preserve"> </w:t>
      </w:r>
      <w:r w:rsidR="0016475D">
        <w:rPr>
          <w:color w:val="000000" w:themeColor="text1"/>
        </w:rPr>
        <w:t>the S</w:t>
      </w:r>
      <w:r w:rsidR="00020444">
        <w:rPr>
          <w:color w:val="000000" w:themeColor="text1"/>
        </w:rPr>
        <w:t>pecial Education</w:t>
      </w:r>
      <w:r w:rsidR="0016475D">
        <w:rPr>
          <w:color w:val="000000" w:themeColor="text1"/>
        </w:rPr>
        <w:t xml:space="preserve"> Secretary, with her office located at the </w:t>
      </w:r>
      <w:proofErr w:type="spellStart"/>
      <w:r w:rsidRPr="00B91B6E">
        <w:rPr>
          <w:color w:val="000000" w:themeColor="text1"/>
        </w:rPr>
        <w:t>Durfee</w:t>
      </w:r>
      <w:proofErr w:type="spellEnd"/>
      <w:r w:rsidRPr="00B91B6E">
        <w:rPr>
          <w:color w:val="000000" w:themeColor="text1"/>
        </w:rPr>
        <w:t xml:space="preserve"> High School</w:t>
      </w:r>
      <w:r w:rsidR="0016475D">
        <w:rPr>
          <w:color w:val="000000" w:themeColor="text1"/>
        </w:rPr>
        <w:t xml:space="preserve"> (</w:t>
      </w:r>
      <w:proofErr w:type="spellStart"/>
      <w:r w:rsidR="0016475D">
        <w:rPr>
          <w:color w:val="000000" w:themeColor="text1"/>
        </w:rPr>
        <w:t>Durfee</w:t>
      </w:r>
      <w:proofErr w:type="spellEnd"/>
      <w:r w:rsidR="0016475D">
        <w:rPr>
          <w:color w:val="000000" w:themeColor="text1"/>
        </w:rPr>
        <w:t>)</w:t>
      </w:r>
      <w:r w:rsidR="00935076">
        <w:rPr>
          <w:color w:val="000000" w:themeColor="text1"/>
        </w:rPr>
        <w:t>.</w:t>
      </w:r>
      <w:r w:rsidR="00B9060C">
        <w:rPr>
          <w:color w:val="000000" w:themeColor="text1"/>
        </w:rPr>
        <w:t xml:space="preserve"> </w:t>
      </w:r>
      <w:r w:rsidR="0016475D">
        <w:rPr>
          <w:color w:val="000000" w:themeColor="text1"/>
        </w:rPr>
        <w:t xml:space="preserve">There were four hundred students at the </w:t>
      </w:r>
      <w:proofErr w:type="spellStart"/>
      <w:r w:rsidR="0016475D">
        <w:rPr>
          <w:color w:val="000000" w:themeColor="text1"/>
        </w:rPr>
        <w:t>Durfee</w:t>
      </w:r>
      <w:proofErr w:type="spellEnd"/>
      <w:r w:rsidR="0016475D">
        <w:rPr>
          <w:color w:val="000000" w:themeColor="text1"/>
        </w:rPr>
        <w:t xml:space="preserve">. </w:t>
      </w:r>
      <w:r w:rsidRPr="00B91B6E">
        <w:rPr>
          <w:color w:val="000000" w:themeColor="text1"/>
        </w:rPr>
        <w:t xml:space="preserve"> (Ex</w:t>
      </w:r>
      <w:r w:rsidR="00BA4087">
        <w:rPr>
          <w:color w:val="000000" w:themeColor="text1"/>
        </w:rPr>
        <w:t>hibits 7 and 13; Testimony of Faggioli</w:t>
      </w:r>
      <w:r w:rsidRPr="00B91B6E">
        <w:rPr>
          <w:color w:val="000000" w:themeColor="text1"/>
        </w:rPr>
        <w:t>.</w:t>
      </w:r>
      <w:r w:rsidR="00BA4087">
        <w:rPr>
          <w:color w:val="000000" w:themeColor="text1"/>
        </w:rPr>
        <w:t>)</w:t>
      </w:r>
    </w:p>
    <w:p w:rsidR="00C82D67" w:rsidRPr="00C82D67" w:rsidRDefault="00C82D67" w:rsidP="00C82D67">
      <w:pPr>
        <w:pStyle w:val="ListParagraph"/>
        <w:numPr>
          <w:ilvl w:val="0"/>
          <w:numId w:val="1"/>
        </w:numPr>
        <w:spacing w:line="480" w:lineRule="auto"/>
        <w:ind w:left="0" w:firstLine="720"/>
        <w:rPr>
          <w:color w:val="000000" w:themeColor="text1"/>
        </w:rPr>
      </w:pPr>
      <w:r>
        <w:rPr>
          <w:color w:val="000000" w:themeColor="text1"/>
        </w:rPr>
        <w:t>The Job</w:t>
      </w:r>
      <w:r w:rsidRPr="00C82D67">
        <w:rPr>
          <w:color w:val="000000" w:themeColor="text1"/>
        </w:rPr>
        <w:t xml:space="preserve"> Description Form </w:t>
      </w:r>
      <w:r>
        <w:rPr>
          <w:color w:val="000000" w:themeColor="text1"/>
        </w:rPr>
        <w:t xml:space="preserve">for </w:t>
      </w:r>
      <w:r w:rsidR="002602CA">
        <w:rPr>
          <w:color w:val="000000" w:themeColor="text1"/>
        </w:rPr>
        <w:t>the</w:t>
      </w:r>
      <w:r>
        <w:rPr>
          <w:color w:val="000000" w:themeColor="text1"/>
        </w:rPr>
        <w:t xml:space="preserve"> position of </w:t>
      </w:r>
      <w:r w:rsidRPr="00C82D67">
        <w:rPr>
          <w:color w:val="000000" w:themeColor="text1"/>
        </w:rPr>
        <w:t xml:space="preserve">Clerical/Secretary listed </w:t>
      </w:r>
      <w:r>
        <w:rPr>
          <w:color w:val="000000" w:themeColor="text1"/>
        </w:rPr>
        <w:t>the following essential</w:t>
      </w:r>
      <w:r w:rsidRPr="00C82D67">
        <w:rPr>
          <w:color w:val="000000" w:themeColor="text1"/>
        </w:rPr>
        <w:t xml:space="preserve"> job duties</w:t>
      </w:r>
      <w:r w:rsidR="002602CA">
        <w:rPr>
          <w:color w:val="000000" w:themeColor="text1"/>
        </w:rPr>
        <w:t xml:space="preserve"> for the incumbent</w:t>
      </w:r>
      <w:r w:rsidRPr="00C82D67">
        <w:rPr>
          <w:color w:val="000000" w:themeColor="text1"/>
        </w:rPr>
        <w:t>:</w:t>
      </w:r>
    </w:p>
    <w:p w:rsidR="00C82D67" w:rsidRPr="00B91B6E" w:rsidRDefault="00C82D67" w:rsidP="00C82D67">
      <w:pPr>
        <w:pStyle w:val="ListParagraph"/>
        <w:numPr>
          <w:ilvl w:val="1"/>
          <w:numId w:val="8"/>
        </w:numPr>
        <w:ind w:left="1080" w:right="720"/>
        <w:rPr>
          <w:color w:val="000000" w:themeColor="text1"/>
        </w:rPr>
      </w:pPr>
      <w:r w:rsidRPr="00B91B6E">
        <w:rPr>
          <w:color w:val="000000" w:themeColor="text1"/>
        </w:rPr>
        <w:t>Demonstrated ability to collect, process and maintain confidential data related to staff and/or students</w:t>
      </w:r>
    </w:p>
    <w:p w:rsidR="00C82D67" w:rsidRPr="00B91B6E" w:rsidRDefault="00C82D67" w:rsidP="00C82D67">
      <w:pPr>
        <w:pStyle w:val="ListParagraph"/>
        <w:numPr>
          <w:ilvl w:val="1"/>
          <w:numId w:val="8"/>
        </w:numPr>
        <w:ind w:left="1080" w:right="720"/>
        <w:rPr>
          <w:color w:val="000000" w:themeColor="text1"/>
        </w:rPr>
      </w:pPr>
      <w:r w:rsidRPr="00B91B6E">
        <w:rPr>
          <w:color w:val="000000" w:themeColor="text1"/>
        </w:rPr>
        <w:t>Demonstrated experience in working with various software applications (e.g. Microsoft Office, X2, MUNIS)</w:t>
      </w:r>
    </w:p>
    <w:p w:rsidR="00C82D67" w:rsidRPr="00B91B6E" w:rsidRDefault="00C82D67" w:rsidP="00C82D67">
      <w:pPr>
        <w:pStyle w:val="ListParagraph"/>
        <w:numPr>
          <w:ilvl w:val="1"/>
          <w:numId w:val="8"/>
        </w:numPr>
        <w:ind w:left="1080" w:right="720"/>
        <w:rPr>
          <w:color w:val="000000" w:themeColor="text1"/>
        </w:rPr>
      </w:pPr>
      <w:r w:rsidRPr="00B91B6E">
        <w:rPr>
          <w:color w:val="000000" w:themeColor="text1"/>
        </w:rPr>
        <w:t>Demonstrated ability to communicating effectively with others and to maintain confidentiality at all times</w:t>
      </w:r>
    </w:p>
    <w:p w:rsidR="00C82D67" w:rsidRPr="00B91B6E" w:rsidRDefault="00C82D67" w:rsidP="00C82D67">
      <w:pPr>
        <w:pStyle w:val="ListParagraph"/>
        <w:numPr>
          <w:ilvl w:val="1"/>
          <w:numId w:val="8"/>
        </w:numPr>
        <w:ind w:left="1080" w:right="720"/>
        <w:rPr>
          <w:color w:val="000000" w:themeColor="text1"/>
        </w:rPr>
      </w:pPr>
      <w:r w:rsidRPr="00B91B6E">
        <w:rPr>
          <w:color w:val="000000" w:themeColor="text1"/>
        </w:rPr>
        <w:t>Demonstrated ability to prepare official correspondence, maintain filing system for confidential staffing records and files (e.g. personnel, medical)</w:t>
      </w:r>
    </w:p>
    <w:p w:rsidR="00C82D67" w:rsidRPr="00B91B6E" w:rsidRDefault="00C82D67" w:rsidP="00C82D67">
      <w:pPr>
        <w:pStyle w:val="ListParagraph"/>
        <w:numPr>
          <w:ilvl w:val="1"/>
          <w:numId w:val="8"/>
        </w:numPr>
        <w:ind w:left="1080" w:right="720"/>
        <w:rPr>
          <w:color w:val="000000" w:themeColor="text1"/>
        </w:rPr>
      </w:pPr>
      <w:r w:rsidRPr="00B91B6E">
        <w:rPr>
          <w:color w:val="000000" w:themeColor="text1"/>
        </w:rPr>
        <w:t xml:space="preserve">Demonstrated ability to take initiative and work collaboratively with others within an educational office environment. </w:t>
      </w:r>
    </w:p>
    <w:p w:rsidR="00C82D67" w:rsidRDefault="00C82D67" w:rsidP="00C82D67">
      <w:pPr>
        <w:pStyle w:val="ListParagraph"/>
        <w:numPr>
          <w:ilvl w:val="1"/>
          <w:numId w:val="8"/>
        </w:numPr>
        <w:ind w:left="1080" w:right="720"/>
        <w:rPr>
          <w:color w:val="000000" w:themeColor="text1"/>
        </w:rPr>
      </w:pPr>
      <w:r w:rsidRPr="00B91B6E">
        <w:rPr>
          <w:color w:val="000000" w:themeColor="text1"/>
        </w:rPr>
        <w:lastRenderedPageBreak/>
        <w:t xml:space="preserve">Ability to perform occasional note taking during interview sessions and investigations. </w:t>
      </w:r>
    </w:p>
    <w:p w:rsidR="00C82D67" w:rsidRPr="00B91B6E" w:rsidRDefault="00C82D67" w:rsidP="00C82D67">
      <w:pPr>
        <w:pStyle w:val="ListParagraph"/>
        <w:ind w:left="1080" w:right="720"/>
        <w:rPr>
          <w:color w:val="000000" w:themeColor="text1"/>
        </w:rPr>
      </w:pPr>
    </w:p>
    <w:p w:rsidR="00C82D67" w:rsidRPr="00B91B6E" w:rsidRDefault="00C82D67" w:rsidP="00746DE4">
      <w:pPr>
        <w:spacing w:line="480" w:lineRule="auto"/>
        <w:rPr>
          <w:color w:val="000000" w:themeColor="text1"/>
        </w:rPr>
      </w:pPr>
      <w:proofErr w:type="gramStart"/>
      <w:r>
        <w:rPr>
          <w:color w:val="000000" w:themeColor="text1"/>
        </w:rPr>
        <w:t>(Exhibit 7.)</w:t>
      </w:r>
      <w:proofErr w:type="gramEnd"/>
    </w:p>
    <w:p w:rsidR="00C82D67" w:rsidRDefault="00BE450A" w:rsidP="00BE450A">
      <w:pPr>
        <w:pStyle w:val="ListParagraph"/>
        <w:numPr>
          <w:ilvl w:val="0"/>
          <w:numId w:val="1"/>
        </w:numPr>
        <w:spacing w:line="480" w:lineRule="auto"/>
        <w:ind w:left="0" w:firstLine="720"/>
        <w:rPr>
          <w:color w:val="000000" w:themeColor="text1"/>
        </w:rPr>
      </w:pPr>
      <w:r>
        <w:rPr>
          <w:color w:val="000000" w:themeColor="text1"/>
        </w:rPr>
        <w:t>Ms. Faggioli was also responsible for arranging transportation of the students, opening and sorting mail, answering phones</w:t>
      </w:r>
      <w:r w:rsidR="00020444">
        <w:rPr>
          <w:color w:val="000000" w:themeColor="text1"/>
        </w:rPr>
        <w:t>,</w:t>
      </w:r>
      <w:r>
        <w:rPr>
          <w:color w:val="000000" w:themeColor="text1"/>
        </w:rPr>
        <w:t xml:space="preserve"> and creating meeting agendas for the teachers.  (Testimony of Faggioli.) </w:t>
      </w:r>
    </w:p>
    <w:p w:rsidR="00070174" w:rsidRDefault="00070174" w:rsidP="00BE450A">
      <w:pPr>
        <w:pStyle w:val="ListParagraph"/>
        <w:numPr>
          <w:ilvl w:val="0"/>
          <w:numId w:val="1"/>
        </w:numPr>
        <w:spacing w:line="480" w:lineRule="auto"/>
        <w:ind w:left="0" w:firstLine="720"/>
        <w:rPr>
          <w:color w:val="000000" w:themeColor="text1"/>
        </w:rPr>
      </w:pPr>
      <w:r>
        <w:rPr>
          <w:color w:val="000000" w:themeColor="text1"/>
        </w:rPr>
        <w:t>Ms. Faggioli reported to Gerald Lima, the Special Education Department Head.  (Exhibit 9.)</w:t>
      </w:r>
    </w:p>
    <w:p w:rsidR="0016475D" w:rsidRDefault="0016475D" w:rsidP="00BE450A">
      <w:pPr>
        <w:pStyle w:val="ListParagraph"/>
        <w:numPr>
          <w:ilvl w:val="0"/>
          <w:numId w:val="1"/>
        </w:numPr>
        <w:spacing w:line="480" w:lineRule="auto"/>
        <w:ind w:left="0" w:firstLine="720"/>
        <w:rPr>
          <w:color w:val="000000" w:themeColor="text1"/>
        </w:rPr>
      </w:pPr>
      <w:r>
        <w:rPr>
          <w:color w:val="000000" w:themeColor="text1"/>
        </w:rPr>
        <w:t xml:space="preserve">In the summer of 2010, there were four other </w:t>
      </w:r>
      <w:r w:rsidR="005927BB">
        <w:rPr>
          <w:color w:val="000000" w:themeColor="text1"/>
        </w:rPr>
        <w:t>information systems clerks</w:t>
      </w:r>
      <w:r w:rsidR="00020444">
        <w:rPr>
          <w:color w:val="000000" w:themeColor="text1"/>
        </w:rPr>
        <w:t xml:space="preserve"> </w:t>
      </w:r>
      <w:r>
        <w:rPr>
          <w:color w:val="000000" w:themeColor="text1"/>
        </w:rPr>
        <w:t xml:space="preserve">sharing the </w:t>
      </w:r>
      <w:proofErr w:type="spellStart"/>
      <w:r w:rsidR="00020444">
        <w:rPr>
          <w:color w:val="000000" w:themeColor="text1"/>
        </w:rPr>
        <w:t>Depertment’s</w:t>
      </w:r>
      <w:proofErr w:type="spellEnd"/>
      <w:r w:rsidR="00020444">
        <w:rPr>
          <w:color w:val="000000" w:themeColor="text1"/>
        </w:rPr>
        <w:t xml:space="preserve"> </w:t>
      </w:r>
      <w:r>
        <w:rPr>
          <w:color w:val="000000" w:themeColor="text1"/>
        </w:rPr>
        <w:t>work resp</w:t>
      </w:r>
      <w:r w:rsidR="003B5903">
        <w:rPr>
          <w:color w:val="000000" w:themeColor="text1"/>
        </w:rPr>
        <w:t>onsibilities with Ms. Faggioli. Due to budget cuts, by 2011</w:t>
      </w:r>
      <w:r w:rsidR="00020444">
        <w:rPr>
          <w:color w:val="000000" w:themeColor="text1"/>
        </w:rPr>
        <w:t>,</w:t>
      </w:r>
      <w:r>
        <w:rPr>
          <w:color w:val="000000" w:themeColor="text1"/>
        </w:rPr>
        <w:t xml:space="preserve"> Ms. Faggioli was the only </w:t>
      </w:r>
      <w:r w:rsidR="00622BA3">
        <w:rPr>
          <w:color w:val="000000" w:themeColor="text1"/>
        </w:rPr>
        <w:t xml:space="preserve">clerk </w:t>
      </w:r>
      <w:r>
        <w:rPr>
          <w:color w:val="000000" w:themeColor="text1"/>
        </w:rPr>
        <w:t>performing the work.  (Exhibit 13; Testimony of Faggioli.)</w:t>
      </w:r>
    </w:p>
    <w:p w:rsidR="0016475D" w:rsidRPr="0016475D" w:rsidRDefault="0016475D" w:rsidP="0016475D">
      <w:pPr>
        <w:pStyle w:val="ListParagraph"/>
        <w:numPr>
          <w:ilvl w:val="0"/>
          <w:numId w:val="1"/>
        </w:numPr>
        <w:spacing w:line="480" w:lineRule="auto"/>
        <w:ind w:left="0" w:firstLine="720"/>
        <w:rPr>
          <w:color w:val="000000" w:themeColor="text1"/>
        </w:rPr>
      </w:pPr>
      <w:r>
        <w:rPr>
          <w:color w:val="000000" w:themeColor="text1"/>
        </w:rPr>
        <w:t>When the teaching staff left for vacation in June 2011, the</w:t>
      </w:r>
      <w:r w:rsidR="005927BB">
        <w:rPr>
          <w:color w:val="000000" w:themeColor="text1"/>
        </w:rPr>
        <w:t xml:space="preserve"> clerks</w:t>
      </w:r>
      <w:r>
        <w:rPr>
          <w:color w:val="000000" w:themeColor="text1"/>
        </w:rPr>
        <w:t xml:space="preserve"> had completed 235 out of the 400 individualized education plans needed for the students. This left more than 150 </w:t>
      </w:r>
      <w:r w:rsidR="00A17BD9">
        <w:rPr>
          <w:color w:val="000000" w:themeColor="text1"/>
        </w:rPr>
        <w:t>incomplete plans</w:t>
      </w:r>
      <w:r>
        <w:rPr>
          <w:color w:val="000000" w:themeColor="text1"/>
        </w:rPr>
        <w:t>.  (Exhibit 13; Testimony of Faggioli.)</w:t>
      </w:r>
    </w:p>
    <w:p w:rsidR="00BE450A" w:rsidRDefault="002E29DF" w:rsidP="00BE450A">
      <w:pPr>
        <w:pStyle w:val="ListParagraph"/>
        <w:numPr>
          <w:ilvl w:val="0"/>
          <w:numId w:val="1"/>
        </w:numPr>
        <w:spacing w:line="480" w:lineRule="auto"/>
        <w:ind w:left="0" w:firstLine="720"/>
        <w:rPr>
          <w:color w:val="000000" w:themeColor="text1"/>
        </w:rPr>
      </w:pPr>
      <w:r w:rsidRPr="00BA4087">
        <w:rPr>
          <w:color w:val="000000" w:themeColor="text1"/>
        </w:rPr>
        <w:t xml:space="preserve">On August 2, 2011, Ms. Faggioli was </w:t>
      </w:r>
      <w:r w:rsidR="00BE450A">
        <w:rPr>
          <w:color w:val="000000" w:themeColor="text1"/>
        </w:rPr>
        <w:t>informed</w:t>
      </w:r>
      <w:r w:rsidR="00C82D67">
        <w:rPr>
          <w:color w:val="000000" w:themeColor="text1"/>
        </w:rPr>
        <w:t xml:space="preserve"> by Principal </w:t>
      </w:r>
      <w:r w:rsidR="00BE450A">
        <w:rPr>
          <w:color w:val="000000" w:themeColor="text1"/>
        </w:rPr>
        <w:t xml:space="preserve">Paul </w:t>
      </w:r>
      <w:r w:rsidR="00C82D67">
        <w:rPr>
          <w:color w:val="000000" w:themeColor="text1"/>
        </w:rPr>
        <w:t>Marshall that in addi</w:t>
      </w:r>
      <w:r w:rsidR="0016475D">
        <w:rPr>
          <w:color w:val="000000" w:themeColor="text1"/>
        </w:rPr>
        <w:t xml:space="preserve">tion to her regular job duties and the more than 150 individualized education plans, </w:t>
      </w:r>
      <w:r w:rsidR="00C82D67">
        <w:rPr>
          <w:color w:val="000000" w:themeColor="text1"/>
        </w:rPr>
        <w:t>she was now responsible for completing</w:t>
      </w:r>
      <w:r w:rsidRPr="00BA4087">
        <w:rPr>
          <w:color w:val="000000" w:themeColor="text1"/>
        </w:rPr>
        <w:t xml:space="preserve"> the middle school transportation list.  Ms. Faggioli felt </w:t>
      </w:r>
      <w:r w:rsidR="00C82D67">
        <w:rPr>
          <w:color w:val="000000" w:themeColor="text1"/>
        </w:rPr>
        <w:t xml:space="preserve">that this information </w:t>
      </w:r>
      <w:r w:rsidR="003B5903">
        <w:rPr>
          <w:color w:val="000000" w:themeColor="text1"/>
        </w:rPr>
        <w:t xml:space="preserve">had been communicated </w:t>
      </w:r>
      <w:r w:rsidR="00C82D67">
        <w:rPr>
          <w:color w:val="000000" w:themeColor="text1"/>
        </w:rPr>
        <w:t xml:space="preserve">to her in </w:t>
      </w:r>
      <w:r w:rsidR="00BE450A">
        <w:rPr>
          <w:color w:val="000000" w:themeColor="text1"/>
        </w:rPr>
        <w:t>strident</w:t>
      </w:r>
      <w:r w:rsidR="00C82D67">
        <w:rPr>
          <w:color w:val="000000" w:themeColor="text1"/>
        </w:rPr>
        <w:t xml:space="preserve"> tones. She felt o</w:t>
      </w:r>
      <w:r w:rsidRPr="00BA4087">
        <w:rPr>
          <w:color w:val="000000" w:themeColor="text1"/>
        </w:rPr>
        <w:t xml:space="preserve">verwhelmed by this great </w:t>
      </w:r>
      <w:r w:rsidR="00C82D67">
        <w:rPr>
          <w:color w:val="000000" w:themeColor="text1"/>
        </w:rPr>
        <w:t xml:space="preserve">expansion of her work duties, and experienced </w:t>
      </w:r>
      <w:r w:rsidRPr="00BA4087">
        <w:rPr>
          <w:color w:val="000000" w:themeColor="text1"/>
        </w:rPr>
        <w:t>various symptoms including dizziness, increased anxiety and stress</w:t>
      </w:r>
      <w:r w:rsidR="00C82D67">
        <w:rPr>
          <w:color w:val="000000" w:themeColor="text1"/>
        </w:rPr>
        <w:t xml:space="preserve">. She left during her lunch break, and </w:t>
      </w:r>
      <w:r w:rsidR="003B5903">
        <w:rPr>
          <w:color w:val="000000" w:themeColor="text1"/>
        </w:rPr>
        <w:t xml:space="preserve">went home. There, she called the school and said that she would not be returning to </w:t>
      </w:r>
      <w:r w:rsidR="00C82D67">
        <w:rPr>
          <w:color w:val="000000" w:themeColor="text1"/>
        </w:rPr>
        <w:t xml:space="preserve">work. </w:t>
      </w:r>
      <w:r w:rsidRPr="00BA4087">
        <w:rPr>
          <w:color w:val="000000" w:themeColor="text1"/>
        </w:rPr>
        <w:t xml:space="preserve"> </w:t>
      </w:r>
      <w:r w:rsidR="00C82D67">
        <w:rPr>
          <w:color w:val="000000" w:themeColor="text1"/>
        </w:rPr>
        <w:t xml:space="preserve">(Exhibit </w:t>
      </w:r>
      <w:r w:rsidRPr="00BA4087">
        <w:rPr>
          <w:color w:val="000000" w:themeColor="text1"/>
        </w:rPr>
        <w:t>13</w:t>
      </w:r>
      <w:r w:rsidR="00C82D67">
        <w:rPr>
          <w:color w:val="000000" w:themeColor="text1"/>
        </w:rPr>
        <w:t>; Testimony of Faggioli.)</w:t>
      </w:r>
      <w:r w:rsidRPr="00BA4087">
        <w:rPr>
          <w:color w:val="000000" w:themeColor="text1"/>
        </w:rPr>
        <w:t xml:space="preserve"> </w:t>
      </w:r>
    </w:p>
    <w:p w:rsidR="00BE450A" w:rsidRDefault="002E29DF" w:rsidP="00BE450A">
      <w:pPr>
        <w:pStyle w:val="ListParagraph"/>
        <w:numPr>
          <w:ilvl w:val="0"/>
          <w:numId w:val="1"/>
        </w:numPr>
        <w:spacing w:line="480" w:lineRule="auto"/>
        <w:ind w:left="0" w:firstLine="720"/>
        <w:rPr>
          <w:color w:val="000000" w:themeColor="text1"/>
        </w:rPr>
      </w:pPr>
      <w:r w:rsidRPr="00BE450A">
        <w:rPr>
          <w:color w:val="000000" w:themeColor="text1"/>
        </w:rPr>
        <w:t>On August 5, 2011, Ms. Fagg</w:t>
      </w:r>
      <w:r w:rsidR="00BE450A">
        <w:rPr>
          <w:color w:val="000000" w:themeColor="text1"/>
        </w:rPr>
        <w:t>ioli’s Primary Care Physician (PCP</w:t>
      </w:r>
      <w:r w:rsidRPr="00BE450A">
        <w:rPr>
          <w:color w:val="000000" w:themeColor="text1"/>
        </w:rPr>
        <w:t>), Christine Pacheco, M.D.</w:t>
      </w:r>
      <w:r w:rsidR="00BE450A">
        <w:rPr>
          <w:color w:val="000000" w:themeColor="text1"/>
        </w:rPr>
        <w:t>,</w:t>
      </w:r>
      <w:r w:rsidR="002E2EA5">
        <w:rPr>
          <w:color w:val="000000" w:themeColor="text1"/>
        </w:rPr>
        <w:t xml:space="preserve"> </w:t>
      </w:r>
      <w:r w:rsidR="00746DE4">
        <w:rPr>
          <w:color w:val="000000" w:themeColor="text1"/>
        </w:rPr>
        <w:t xml:space="preserve">diagnosed her with adjustment disorder associated with work. The physician </w:t>
      </w:r>
      <w:r w:rsidR="002E2EA5">
        <w:rPr>
          <w:color w:val="000000" w:themeColor="text1"/>
        </w:rPr>
        <w:t xml:space="preserve">advised </w:t>
      </w:r>
      <w:r w:rsidR="00BE450A">
        <w:rPr>
          <w:color w:val="000000" w:themeColor="text1"/>
        </w:rPr>
        <w:t xml:space="preserve">that </w:t>
      </w:r>
      <w:r w:rsidR="00746DE4">
        <w:rPr>
          <w:color w:val="000000" w:themeColor="text1"/>
        </w:rPr>
        <w:t>Ms. Faggioli</w:t>
      </w:r>
      <w:r w:rsidRPr="00BE450A">
        <w:rPr>
          <w:color w:val="000000" w:themeColor="text1"/>
        </w:rPr>
        <w:t xml:space="preserve"> not return to work until further notice </w:t>
      </w:r>
      <w:r w:rsidR="00BE450A">
        <w:rPr>
          <w:color w:val="000000" w:themeColor="text1"/>
        </w:rPr>
        <w:t xml:space="preserve">due to stress. </w:t>
      </w:r>
      <w:r w:rsidR="00BF7559">
        <w:rPr>
          <w:color w:val="000000" w:themeColor="text1"/>
        </w:rPr>
        <w:t xml:space="preserve"> Ms. Faggioli saw</w:t>
      </w:r>
      <w:r w:rsidR="00746DE4">
        <w:rPr>
          <w:color w:val="000000" w:themeColor="text1"/>
        </w:rPr>
        <w:t xml:space="preserve"> </w:t>
      </w:r>
      <w:r w:rsidR="00746DE4">
        <w:rPr>
          <w:color w:val="000000" w:themeColor="text1"/>
        </w:rPr>
        <w:lastRenderedPageBreak/>
        <w:t>Dr. Pacheco again on August 19 and</w:t>
      </w:r>
      <w:r w:rsidR="00BF7559">
        <w:rPr>
          <w:color w:val="000000" w:themeColor="text1"/>
        </w:rPr>
        <w:t xml:space="preserve"> September 2</w:t>
      </w:r>
      <w:r w:rsidR="00746DE4">
        <w:rPr>
          <w:color w:val="000000" w:themeColor="text1"/>
        </w:rPr>
        <w:t xml:space="preserve">, 2011. On September 2, 2011, Dr. Pacheco faxed a note to the FRPS that Ms. Faggioli could return to work after the week of September 12, 2011. </w:t>
      </w:r>
      <w:r w:rsidR="00BF7559">
        <w:rPr>
          <w:color w:val="000000" w:themeColor="text1"/>
        </w:rPr>
        <w:t xml:space="preserve"> </w:t>
      </w:r>
      <w:r w:rsidR="00746DE4">
        <w:rPr>
          <w:color w:val="000000" w:themeColor="text1"/>
        </w:rPr>
        <w:t xml:space="preserve">On September 14, 2011, </w:t>
      </w:r>
      <w:r w:rsidR="00BF7559">
        <w:rPr>
          <w:color w:val="000000" w:themeColor="text1"/>
        </w:rPr>
        <w:t xml:space="preserve">Dr. Pacheco advised that Ms. Faggioli return to work in a part-time or light duty capacity in October 2011.  </w:t>
      </w:r>
      <w:r w:rsidR="00BE450A">
        <w:rPr>
          <w:color w:val="000000" w:themeColor="text1"/>
        </w:rPr>
        <w:t>(</w:t>
      </w:r>
      <w:r w:rsidR="00746DE4">
        <w:rPr>
          <w:color w:val="000000" w:themeColor="text1"/>
        </w:rPr>
        <w:t xml:space="preserve">Exhibits 10 and </w:t>
      </w:r>
      <w:r w:rsidR="00BF7559">
        <w:rPr>
          <w:color w:val="000000" w:themeColor="text1"/>
        </w:rPr>
        <w:t xml:space="preserve">13; </w:t>
      </w:r>
      <w:r w:rsidR="00BE450A">
        <w:rPr>
          <w:color w:val="000000" w:themeColor="text1"/>
        </w:rPr>
        <w:t>Testimony of Faggioli.)</w:t>
      </w:r>
    </w:p>
    <w:p w:rsidR="00BF7559" w:rsidRPr="003B5903" w:rsidRDefault="002E29DF" w:rsidP="00BE450A">
      <w:pPr>
        <w:pStyle w:val="ListParagraph"/>
        <w:numPr>
          <w:ilvl w:val="0"/>
          <w:numId w:val="1"/>
        </w:numPr>
        <w:spacing w:line="480" w:lineRule="auto"/>
        <w:ind w:left="0" w:firstLine="720"/>
        <w:rPr>
          <w:color w:val="000000" w:themeColor="text1"/>
        </w:rPr>
      </w:pPr>
      <w:r w:rsidRPr="003B5903">
        <w:rPr>
          <w:color w:val="000000" w:themeColor="text1"/>
        </w:rPr>
        <w:t>On September 20, 2011, Ms. Faggioli met with the Employee Assistance Program</w:t>
      </w:r>
      <w:r w:rsidR="00BE450A" w:rsidRPr="003B5903">
        <w:rPr>
          <w:color w:val="000000" w:themeColor="text1"/>
        </w:rPr>
        <w:t xml:space="preserve"> (EAP)</w:t>
      </w:r>
      <w:r w:rsidRPr="003B5903">
        <w:rPr>
          <w:color w:val="000000" w:themeColor="text1"/>
        </w:rPr>
        <w:t>.</w:t>
      </w:r>
      <w:r w:rsidR="00AC489C" w:rsidRPr="003B5903">
        <w:rPr>
          <w:color w:val="000000" w:themeColor="text1"/>
        </w:rPr>
        <w:t xml:space="preserve"> </w:t>
      </w:r>
      <w:r w:rsidRPr="003B5903">
        <w:rPr>
          <w:color w:val="000000" w:themeColor="text1"/>
        </w:rPr>
        <w:t xml:space="preserve"> </w:t>
      </w:r>
      <w:r w:rsidR="003B5903" w:rsidRPr="003B5903">
        <w:rPr>
          <w:color w:val="000000" w:themeColor="text1"/>
        </w:rPr>
        <w:t>Ronald G. Pelletier, LICSW, assessed that Ms. Faggioli</w:t>
      </w:r>
      <w:r w:rsidRPr="003B5903">
        <w:rPr>
          <w:color w:val="000000" w:themeColor="text1"/>
        </w:rPr>
        <w:t xml:space="preserve"> expressed “frustration about multiple work issues</w:t>
      </w:r>
      <w:r w:rsidR="00BE450A" w:rsidRPr="003B5903">
        <w:rPr>
          <w:color w:val="000000" w:themeColor="text1"/>
        </w:rPr>
        <w:t>,</w:t>
      </w:r>
      <w:r w:rsidRPr="003B5903">
        <w:rPr>
          <w:color w:val="000000" w:themeColor="text1"/>
        </w:rPr>
        <w:t xml:space="preserve">” including but not limited to “work overload and staffing communication.” </w:t>
      </w:r>
      <w:r w:rsidR="00497592" w:rsidRPr="003B5903">
        <w:rPr>
          <w:color w:val="000000" w:themeColor="text1"/>
        </w:rPr>
        <w:t xml:space="preserve"> </w:t>
      </w:r>
      <w:r w:rsidRPr="003B5903">
        <w:rPr>
          <w:color w:val="000000" w:themeColor="text1"/>
        </w:rPr>
        <w:t>(Ex</w:t>
      </w:r>
      <w:r w:rsidR="00BE450A" w:rsidRPr="003B5903">
        <w:rPr>
          <w:color w:val="000000" w:themeColor="text1"/>
        </w:rPr>
        <w:t>hibit</w:t>
      </w:r>
      <w:r w:rsidR="00746DE4" w:rsidRPr="003B5903">
        <w:rPr>
          <w:color w:val="000000" w:themeColor="text1"/>
        </w:rPr>
        <w:t>s 10 and</w:t>
      </w:r>
      <w:r w:rsidR="003B5903">
        <w:rPr>
          <w:color w:val="000000" w:themeColor="text1"/>
        </w:rPr>
        <w:t xml:space="preserve"> 11).  </w:t>
      </w:r>
      <w:r w:rsidR="00BF7559" w:rsidRPr="003B5903">
        <w:rPr>
          <w:color w:val="000000" w:themeColor="text1"/>
        </w:rPr>
        <w:t>(Exhibit 13.)</w:t>
      </w:r>
    </w:p>
    <w:p w:rsidR="00174C46" w:rsidRDefault="00174C46" w:rsidP="00247E28">
      <w:pPr>
        <w:pStyle w:val="ListParagraph"/>
        <w:numPr>
          <w:ilvl w:val="0"/>
          <w:numId w:val="1"/>
        </w:numPr>
        <w:spacing w:line="480" w:lineRule="auto"/>
        <w:ind w:left="0" w:firstLine="720"/>
        <w:rPr>
          <w:color w:val="000000" w:themeColor="text1"/>
        </w:rPr>
      </w:pPr>
      <w:r>
        <w:rPr>
          <w:color w:val="000000" w:themeColor="text1"/>
        </w:rPr>
        <w:t>In the meantime, Ms. Faggioli’s father-in-law had passed away, and she was responsible for making funeral arrangements.  (Exhibit 13; Testimony of Faggioli.)</w:t>
      </w:r>
    </w:p>
    <w:p w:rsidR="00247E28" w:rsidRDefault="002E29DF" w:rsidP="00247E28">
      <w:pPr>
        <w:pStyle w:val="ListParagraph"/>
        <w:numPr>
          <w:ilvl w:val="0"/>
          <w:numId w:val="1"/>
        </w:numPr>
        <w:spacing w:line="480" w:lineRule="auto"/>
        <w:ind w:left="0" w:firstLine="720"/>
        <w:rPr>
          <w:color w:val="000000" w:themeColor="text1"/>
        </w:rPr>
      </w:pPr>
      <w:r w:rsidRPr="00BE450A">
        <w:rPr>
          <w:color w:val="000000" w:themeColor="text1"/>
        </w:rPr>
        <w:t xml:space="preserve">On October </w:t>
      </w:r>
      <w:r w:rsidR="00174C46">
        <w:rPr>
          <w:color w:val="000000" w:themeColor="text1"/>
        </w:rPr>
        <w:t xml:space="preserve">24, 2011, Ms. Faggioli met with Mr. Marshall, </w:t>
      </w:r>
      <w:r w:rsidR="00070174">
        <w:rPr>
          <w:color w:val="000000" w:themeColor="text1"/>
        </w:rPr>
        <w:t>Mr.</w:t>
      </w:r>
      <w:r w:rsidRPr="00BE450A">
        <w:rPr>
          <w:color w:val="000000" w:themeColor="text1"/>
        </w:rPr>
        <w:t xml:space="preserve"> Lima</w:t>
      </w:r>
      <w:r w:rsidR="00174C46">
        <w:rPr>
          <w:color w:val="000000" w:themeColor="text1"/>
        </w:rPr>
        <w:t>, an EAP counselor and a representative from the Human Resources (HR) office in order to plan her return to work</w:t>
      </w:r>
      <w:r w:rsidR="00BE450A">
        <w:rPr>
          <w:color w:val="000000" w:themeColor="text1"/>
        </w:rPr>
        <w:t xml:space="preserve">. Ms. Faggioli </w:t>
      </w:r>
      <w:r w:rsidRPr="00BE450A">
        <w:rPr>
          <w:color w:val="000000" w:themeColor="text1"/>
        </w:rPr>
        <w:t>request</w:t>
      </w:r>
      <w:r w:rsidR="00BE450A">
        <w:rPr>
          <w:color w:val="000000" w:themeColor="text1"/>
        </w:rPr>
        <w:t>ed</w:t>
      </w:r>
      <w:r w:rsidRPr="00BE450A">
        <w:rPr>
          <w:color w:val="000000" w:themeColor="text1"/>
        </w:rPr>
        <w:t xml:space="preserve"> personal and vacation days</w:t>
      </w:r>
      <w:r w:rsidR="00174C46">
        <w:rPr>
          <w:color w:val="000000" w:themeColor="text1"/>
        </w:rPr>
        <w:t xml:space="preserve"> in addition to bereavement time. </w:t>
      </w:r>
      <w:r w:rsidRPr="00BE450A">
        <w:rPr>
          <w:color w:val="000000" w:themeColor="text1"/>
        </w:rPr>
        <w:t xml:space="preserve"> </w:t>
      </w:r>
      <w:r w:rsidR="00174C46">
        <w:rPr>
          <w:color w:val="000000" w:themeColor="text1"/>
        </w:rPr>
        <w:t>Mr.</w:t>
      </w:r>
      <w:r w:rsidR="0015317D" w:rsidRPr="00BE450A">
        <w:rPr>
          <w:color w:val="000000" w:themeColor="text1"/>
        </w:rPr>
        <w:t xml:space="preserve"> </w:t>
      </w:r>
      <w:r w:rsidRPr="00BE450A">
        <w:rPr>
          <w:color w:val="000000" w:themeColor="text1"/>
        </w:rPr>
        <w:t xml:space="preserve">Marshall informed Ms. Faggioli that </w:t>
      </w:r>
      <w:r w:rsidR="00174C46">
        <w:rPr>
          <w:color w:val="000000" w:themeColor="text1"/>
        </w:rPr>
        <w:t xml:space="preserve">he </w:t>
      </w:r>
      <w:r w:rsidR="00BE450A">
        <w:rPr>
          <w:color w:val="000000" w:themeColor="text1"/>
        </w:rPr>
        <w:t>expected her</w:t>
      </w:r>
      <w:r w:rsidR="00421F40">
        <w:rPr>
          <w:color w:val="000000" w:themeColor="text1"/>
        </w:rPr>
        <w:t xml:space="preserve"> to</w:t>
      </w:r>
      <w:r w:rsidRPr="00BE450A">
        <w:rPr>
          <w:color w:val="000000" w:themeColor="text1"/>
        </w:rPr>
        <w:t xml:space="preserve"> return to </w:t>
      </w:r>
      <w:r w:rsidR="00BE450A">
        <w:rPr>
          <w:color w:val="000000" w:themeColor="text1"/>
        </w:rPr>
        <w:t xml:space="preserve">work </w:t>
      </w:r>
      <w:r w:rsidRPr="00BE450A">
        <w:rPr>
          <w:color w:val="000000" w:themeColor="text1"/>
        </w:rPr>
        <w:t>on Monday, November 7, 2011</w:t>
      </w:r>
      <w:r w:rsidR="00BE450A">
        <w:rPr>
          <w:color w:val="000000" w:themeColor="text1"/>
        </w:rPr>
        <w:t xml:space="preserve">, </w:t>
      </w:r>
      <w:r w:rsidR="00174C46">
        <w:rPr>
          <w:color w:val="000000" w:themeColor="text1"/>
        </w:rPr>
        <w:t>and to</w:t>
      </w:r>
      <w:r w:rsidR="00BE450A">
        <w:rPr>
          <w:color w:val="000000" w:themeColor="text1"/>
        </w:rPr>
        <w:t xml:space="preserve"> contact Mr. Lima if she needed extra time. </w:t>
      </w:r>
      <w:r w:rsidR="00497592" w:rsidRPr="00BE450A">
        <w:rPr>
          <w:color w:val="000000" w:themeColor="text1"/>
        </w:rPr>
        <w:t xml:space="preserve"> </w:t>
      </w:r>
      <w:r w:rsidRPr="00BE450A">
        <w:rPr>
          <w:color w:val="000000" w:themeColor="text1"/>
        </w:rPr>
        <w:t>(Ex</w:t>
      </w:r>
      <w:r w:rsidR="00BE450A">
        <w:rPr>
          <w:color w:val="000000" w:themeColor="text1"/>
        </w:rPr>
        <w:t>hibit</w:t>
      </w:r>
      <w:r w:rsidR="00174C46">
        <w:rPr>
          <w:color w:val="000000" w:themeColor="text1"/>
        </w:rPr>
        <w:t>s</w:t>
      </w:r>
      <w:r w:rsidR="00BE450A">
        <w:rPr>
          <w:color w:val="000000" w:themeColor="text1"/>
        </w:rPr>
        <w:t xml:space="preserve"> 8</w:t>
      </w:r>
      <w:r w:rsidR="00174C46">
        <w:rPr>
          <w:color w:val="000000" w:themeColor="text1"/>
        </w:rPr>
        <w:t xml:space="preserve"> and 13</w:t>
      </w:r>
      <w:r w:rsidR="00BE450A">
        <w:rPr>
          <w:color w:val="000000" w:themeColor="text1"/>
        </w:rPr>
        <w:t>; Testimony of Faggioli.)</w:t>
      </w:r>
    </w:p>
    <w:p w:rsidR="00174C46" w:rsidRDefault="00174C46" w:rsidP="00247E28">
      <w:pPr>
        <w:pStyle w:val="ListParagraph"/>
        <w:numPr>
          <w:ilvl w:val="0"/>
          <w:numId w:val="1"/>
        </w:numPr>
        <w:spacing w:line="480" w:lineRule="auto"/>
        <w:ind w:left="0" w:firstLine="720"/>
        <w:rPr>
          <w:color w:val="000000" w:themeColor="text1"/>
        </w:rPr>
      </w:pPr>
      <w:r>
        <w:rPr>
          <w:color w:val="000000" w:themeColor="text1"/>
        </w:rPr>
        <w:t xml:space="preserve">On October 26, 2011, Ms. Faggioli went to the </w:t>
      </w:r>
      <w:proofErr w:type="spellStart"/>
      <w:r>
        <w:rPr>
          <w:color w:val="000000" w:themeColor="text1"/>
        </w:rPr>
        <w:t>Durfee</w:t>
      </w:r>
      <w:proofErr w:type="spellEnd"/>
      <w:r>
        <w:rPr>
          <w:color w:val="000000" w:themeColor="text1"/>
        </w:rPr>
        <w:t xml:space="preserve"> to see Mr. Lima. He advised her to see Mr. Marshall. Mr. Marshall </w:t>
      </w:r>
      <w:proofErr w:type="gramStart"/>
      <w:r>
        <w:rPr>
          <w:color w:val="000000" w:themeColor="text1"/>
        </w:rPr>
        <w:t>spoke</w:t>
      </w:r>
      <w:proofErr w:type="gramEnd"/>
      <w:r>
        <w:rPr>
          <w:color w:val="000000" w:themeColor="text1"/>
        </w:rPr>
        <w:t xml:space="preserve"> to Ms. Faggioli in strident language, making her </w:t>
      </w:r>
      <w:r w:rsidR="003B5903">
        <w:rPr>
          <w:color w:val="000000" w:themeColor="text1"/>
        </w:rPr>
        <w:t xml:space="preserve">feel </w:t>
      </w:r>
      <w:r>
        <w:rPr>
          <w:color w:val="000000" w:themeColor="text1"/>
        </w:rPr>
        <w:t xml:space="preserve">that she was not welcome to return to work. </w:t>
      </w:r>
      <w:r w:rsidR="00622BA3">
        <w:rPr>
          <w:color w:val="000000" w:themeColor="text1"/>
        </w:rPr>
        <w:t xml:space="preserve"> (Testimony of Faggioli.)</w:t>
      </w:r>
    </w:p>
    <w:p w:rsidR="00247E28" w:rsidRDefault="00A64350" w:rsidP="00247E28">
      <w:pPr>
        <w:pStyle w:val="ListParagraph"/>
        <w:numPr>
          <w:ilvl w:val="0"/>
          <w:numId w:val="1"/>
        </w:numPr>
        <w:spacing w:line="480" w:lineRule="auto"/>
        <w:ind w:left="0" w:firstLine="720"/>
        <w:rPr>
          <w:color w:val="000000" w:themeColor="text1"/>
        </w:rPr>
      </w:pPr>
      <w:r>
        <w:rPr>
          <w:color w:val="000000" w:themeColor="text1"/>
        </w:rPr>
        <w:t>On November 2, 2011, M</w:t>
      </w:r>
      <w:r w:rsidR="002E29DF" w:rsidRPr="00247E28">
        <w:rPr>
          <w:color w:val="000000" w:themeColor="text1"/>
        </w:rPr>
        <w:t xml:space="preserve">s. Faggioli received a phone call from </w:t>
      </w:r>
      <w:r w:rsidR="00247E28">
        <w:rPr>
          <w:color w:val="000000" w:themeColor="text1"/>
        </w:rPr>
        <w:t xml:space="preserve">the high school </w:t>
      </w:r>
      <w:r w:rsidR="00174C46">
        <w:rPr>
          <w:color w:val="000000" w:themeColor="text1"/>
        </w:rPr>
        <w:t>reminding</w:t>
      </w:r>
      <w:r w:rsidR="00247E28">
        <w:rPr>
          <w:color w:val="000000" w:themeColor="text1"/>
        </w:rPr>
        <w:t xml:space="preserve"> her to report for work</w:t>
      </w:r>
      <w:r w:rsidR="00174C46">
        <w:rPr>
          <w:color w:val="000000" w:themeColor="text1"/>
        </w:rPr>
        <w:t xml:space="preserve"> on November 7, 2011</w:t>
      </w:r>
      <w:r w:rsidR="00247E28">
        <w:rPr>
          <w:color w:val="000000" w:themeColor="text1"/>
        </w:rPr>
        <w:t>. Ms</w:t>
      </w:r>
      <w:r w:rsidR="002E29DF" w:rsidRPr="00247E28">
        <w:rPr>
          <w:color w:val="000000" w:themeColor="text1"/>
        </w:rPr>
        <w:t xml:space="preserve">. Faggioli responded that </w:t>
      </w:r>
      <w:r w:rsidR="00247E28">
        <w:rPr>
          <w:color w:val="000000" w:themeColor="text1"/>
        </w:rPr>
        <w:t>Mr.</w:t>
      </w:r>
      <w:r w:rsidR="002E29DF" w:rsidRPr="00247E28">
        <w:rPr>
          <w:color w:val="000000" w:themeColor="text1"/>
        </w:rPr>
        <w:t xml:space="preserve"> Marshall did not want her to report to work.</w:t>
      </w:r>
      <w:r w:rsidR="00497592" w:rsidRPr="00247E28">
        <w:rPr>
          <w:color w:val="000000" w:themeColor="text1"/>
        </w:rPr>
        <w:t xml:space="preserve"> </w:t>
      </w:r>
      <w:r w:rsidR="002E29DF" w:rsidRPr="00247E28">
        <w:rPr>
          <w:color w:val="000000" w:themeColor="text1"/>
        </w:rPr>
        <w:t xml:space="preserve"> (Ex</w:t>
      </w:r>
      <w:r w:rsidR="00247E28">
        <w:rPr>
          <w:color w:val="000000" w:themeColor="text1"/>
        </w:rPr>
        <w:t>hibit 13; Testimony of Faggiol</w:t>
      </w:r>
      <w:r w:rsidR="00125D7B">
        <w:rPr>
          <w:color w:val="000000" w:themeColor="text1"/>
        </w:rPr>
        <w:t>i</w:t>
      </w:r>
      <w:r w:rsidR="00247E28">
        <w:rPr>
          <w:color w:val="000000" w:themeColor="text1"/>
        </w:rPr>
        <w:t>.)</w:t>
      </w:r>
      <w:r w:rsidR="002E29DF" w:rsidRPr="00247E28">
        <w:rPr>
          <w:color w:val="000000" w:themeColor="text1"/>
        </w:rPr>
        <w:t xml:space="preserve"> </w:t>
      </w:r>
    </w:p>
    <w:p w:rsidR="00247E28" w:rsidRDefault="002E29DF" w:rsidP="00247E28">
      <w:pPr>
        <w:pStyle w:val="ListParagraph"/>
        <w:numPr>
          <w:ilvl w:val="0"/>
          <w:numId w:val="1"/>
        </w:numPr>
        <w:spacing w:line="480" w:lineRule="auto"/>
        <w:ind w:left="0" w:firstLine="720"/>
        <w:rPr>
          <w:color w:val="000000" w:themeColor="text1"/>
        </w:rPr>
      </w:pPr>
      <w:r w:rsidRPr="00247E28">
        <w:rPr>
          <w:color w:val="000000" w:themeColor="text1"/>
        </w:rPr>
        <w:lastRenderedPageBreak/>
        <w:t xml:space="preserve">On November 7, 2011, Ms. Faggioli did not </w:t>
      </w:r>
      <w:r w:rsidR="00247E28">
        <w:rPr>
          <w:color w:val="000000" w:themeColor="text1"/>
        </w:rPr>
        <w:t>appear for work</w:t>
      </w:r>
      <w:r w:rsidRPr="00247E28">
        <w:rPr>
          <w:color w:val="000000" w:themeColor="text1"/>
        </w:rPr>
        <w:t>.</w:t>
      </w:r>
      <w:r w:rsidR="00497592" w:rsidRPr="00247E28">
        <w:rPr>
          <w:color w:val="000000" w:themeColor="text1"/>
        </w:rPr>
        <w:t xml:space="preserve"> </w:t>
      </w:r>
      <w:r w:rsidRPr="00247E28">
        <w:rPr>
          <w:color w:val="000000" w:themeColor="text1"/>
        </w:rPr>
        <w:t xml:space="preserve"> (Ex</w:t>
      </w:r>
      <w:r w:rsidR="00247E28">
        <w:rPr>
          <w:color w:val="000000" w:themeColor="text1"/>
        </w:rPr>
        <w:t>hibits 8 and 9; Testimony of Faggioli.)</w:t>
      </w:r>
      <w:r w:rsidRPr="00247E28">
        <w:rPr>
          <w:color w:val="000000" w:themeColor="text1"/>
        </w:rPr>
        <w:t xml:space="preserve"> </w:t>
      </w:r>
    </w:p>
    <w:p w:rsidR="00070174" w:rsidRDefault="00070174" w:rsidP="002E2EA5">
      <w:pPr>
        <w:pStyle w:val="ListParagraph"/>
        <w:numPr>
          <w:ilvl w:val="0"/>
          <w:numId w:val="1"/>
        </w:numPr>
        <w:spacing w:line="480" w:lineRule="auto"/>
        <w:ind w:left="0" w:firstLine="720"/>
        <w:rPr>
          <w:color w:val="000000" w:themeColor="text1"/>
        </w:rPr>
      </w:pPr>
      <w:r>
        <w:rPr>
          <w:color w:val="000000" w:themeColor="text1"/>
        </w:rPr>
        <w:t xml:space="preserve">On November 8, 2011, the </w:t>
      </w:r>
      <w:r w:rsidR="00174C46">
        <w:rPr>
          <w:color w:val="000000" w:themeColor="text1"/>
        </w:rPr>
        <w:t xml:space="preserve">HR </w:t>
      </w:r>
      <w:r>
        <w:rPr>
          <w:color w:val="000000" w:themeColor="text1"/>
        </w:rPr>
        <w:t xml:space="preserve">Executive Director, </w:t>
      </w:r>
      <w:proofErr w:type="spellStart"/>
      <w:r>
        <w:rPr>
          <w:color w:val="000000" w:themeColor="text1"/>
        </w:rPr>
        <w:t>Joany</w:t>
      </w:r>
      <w:proofErr w:type="spellEnd"/>
      <w:r>
        <w:rPr>
          <w:color w:val="000000" w:themeColor="text1"/>
        </w:rPr>
        <w:t xml:space="preserve"> Santa</w:t>
      </w:r>
      <w:r w:rsidR="0027668C">
        <w:rPr>
          <w:color w:val="000000" w:themeColor="text1"/>
        </w:rPr>
        <w:t>,</w:t>
      </w:r>
      <w:r>
        <w:rPr>
          <w:color w:val="000000" w:themeColor="text1"/>
        </w:rPr>
        <w:t xml:space="preserve"> </w:t>
      </w:r>
      <w:r w:rsidR="0027668C">
        <w:rPr>
          <w:color w:val="000000" w:themeColor="text1"/>
        </w:rPr>
        <w:t>telephoned</w:t>
      </w:r>
      <w:r>
        <w:rPr>
          <w:color w:val="000000" w:themeColor="text1"/>
        </w:rPr>
        <w:t xml:space="preserve"> Ms. Faggioli. Ms. Santa told Ms. Faggioli that she was not on an approved leave, and had been expected to return to work on November 7, 2011. Ms. Santa asked Ms. Faggioli to report to Mr. Lima on November 9, 2011 at 7:30 a.m., and also sent Ms. Faggioli an electronic mail message confirming the conversation.  (Exhibit 9.)</w:t>
      </w:r>
    </w:p>
    <w:p w:rsidR="00070174" w:rsidRDefault="00070174" w:rsidP="002E2EA5">
      <w:pPr>
        <w:pStyle w:val="ListParagraph"/>
        <w:numPr>
          <w:ilvl w:val="0"/>
          <w:numId w:val="1"/>
        </w:numPr>
        <w:spacing w:line="480" w:lineRule="auto"/>
        <w:ind w:left="0" w:firstLine="720"/>
        <w:rPr>
          <w:color w:val="000000" w:themeColor="text1"/>
        </w:rPr>
      </w:pPr>
      <w:r>
        <w:rPr>
          <w:color w:val="000000" w:themeColor="text1"/>
        </w:rPr>
        <w:t>When Ms. Faggioli failed to appear at work on November 9, 2011, Ms. Santa sent her another electronic mail message reminding her of the conversation they had had the day before.  (Exhibit 9.)</w:t>
      </w:r>
    </w:p>
    <w:p w:rsidR="002E2EA5" w:rsidRDefault="002E29DF" w:rsidP="002E2EA5">
      <w:pPr>
        <w:pStyle w:val="ListParagraph"/>
        <w:numPr>
          <w:ilvl w:val="0"/>
          <w:numId w:val="1"/>
        </w:numPr>
        <w:spacing w:line="480" w:lineRule="auto"/>
        <w:ind w:left="0" w:firstLine="720"/>
        <w:rPr>
          <w:color w:val="000000" w:themeColor="text1"/>
        </w:rPr>
      </w:pPr>
      <w:r w:rsidRPr="00247E28">
        <w:rPr>
          <w:color w:val="000000" w:themeColor="text1"/>
        </w:rPr>
        <w:t xml:space="preserve">On November 14, 2011, </w:t>
      </w:r>
      <w:r w:rsidR="00247E28">
        <w:rPr>
          <w:color w:val="000000" w:themeColor="text1"/>
        </w:rPr>
        <w:t>Mr. Marshall issued Ms. Faggioli</w:t>
      </w:r>
      <w:r w:rsidRPr="00247E28">
        <w:rPr>
          <w:color w:val="000000" w:themeColor="text1"/>
        </w:rPr>
        <w:t xml:space="preserve"> a written reprimand for </w:t>
      </w:r>
      <w:r w:rsidR="00B72FA2" w:rsidRPr="00247E28">
        <w:rPr>
          <w:color w:val="000000" w:themeColor="text1"/>
        </w:rPr>
        <w:t>failing</w:t>
      </w:r>
      <w:r w:rsidRPr="00247E28">
        <w:rPr>
          <w:color w:val="000000" w:themeColor="text1"/>
        </w:rPr>
        <w:t xml:space="preserve"> to report to work on November 7, 2011 and for failing to </w:t>
      </w:r>
      <w:r w:rsidR="00247E28">
        <w:rPr>
          <w:color w:val="000000" w:themeColor="text1"/>
        </w:rPr>
        <w:t>contact the school.  (Exhibits 8 and 9.)</w:t>
      </w:r>
      <w:r w:rsidRPr="00247E28">
        <w:rPr>
          <w:color w:val="000000" w:themeColor="text1"/>
        </w:rPr>
        <w:t xml:space="preserve"> </w:t>
      </w:r>
    </w:p>
    <w:p w:rsidR="00070174" w:rsidRDefault="00070174" w:rsidP="002E2EA5">
      <w:pPr>
        <w:pStyle w:val="ListParagraph"/>
        <w:numPr>
          <w:ilvl w:val="0"/>
          <w:numId w:val="1"/>
        </w:numPr>
        <w:spacing w:line="480" w:lineRule="auto"/>
        <w:ind w:left="0" w:firstLine="720"/>
        <w:rPr>
          <w:color w:val="000000" w:themeColor="text1"/>
        </w:rPr>
      </w:pPr>
      <w:r>
        <w:rPr>
          <w:color w:val="000000" w:themeColor="text1"/>
        </w:rPr>
        <w:t>Ms. Faggioli met with Ms. Santa on November 18, 2011. Ms. Santa inquired about Ms. Faggioli’s intentions since she ha</w:t>
      </w:r>
      <w:r w:rsidR="00421F40">
        <w:rPr>
          <w:color w:val="000000" w:themeColor="text1"/>
        </w:rPr>
        <w:t>d</w:t>
      </w:r>
      <w:r>
        <w:rPr>
          <w:color w:val="000000" w:themeColor="text1"/>
        </w:rPr>
        <w:t xml:space="preserve"> not reported to work in over ten days, informed her that termination proceedings had begun, and advised her to see the FRPS superintendent. Ms. Faggioli declined to meet with Mr. Marshall.  (Exhibit 9.)</w:t>
      </w:r>
    </w:p>
    <w:p w:rsidR="00070174" w:rsidRPr="00070174" w:rsidRDefault="00070174" w:rsidP="00070174">
      <w:pPr>
        <w:pStyle w:val="ListParagraph"/>
        <w:numPr>
          <w:ilvl w:val="0"/>
          <w:numId w:val="1"/>
        </w:numPr>
        <w:spacing w:line="480" w:lineRule="auto"/>
        <w:ind w:left="0" w:firstLine="720"/>
        <w:rPr>
          <w:color w:val="000000" w:themeColor="text1"/>
        </w:rPr>
      </w:pPr>
      <w:r w:rsidRPr="002E2EA5">
        <w:rPr>
          <w:color w:val="000000" w:themeColor="text1"/>
        </w:rPr>
        <w:t>On November 18, 2011, Ms. Faggioli applied for unemployment</w:t>
      </w:r>
      <w:r>
        <w:rPr>
          <w:color w:val="000000" w:themeColor="text1"/>
        </w:rPr>
        <w:t xml:space="preserve"> insurance benefits.  (Exhibit 9.)</w:t>
      </w:r>
    </w:p>
    <w:p w:rsidR="002602CA" w:rsidRDefault="002E2EA5" w:rsidP="002602CA">
      <w:pPr>
        <w:pStyle w:val="ListParagraph"/>
        <w:numPr>
          <w:ilvl w:val="0"/>
          <w:numId w:val="1"/>
        </w:numPr>
        <w:spacing w:line="480" w:lineRule="auto"/>
        <w:ind w:left="0" w:firstLine="720"/>
        <w:rPr>
          <w:color w:val="000000" w:themeColor="text1"/>
        </w:rPr>
      </w:pPr>
      <w:r>
        <w:rPr>
          <w:color w:val="000000" w:themeColor="text1"/>
        </w:rPr>
        <w:t>By letter dated</w:t>
      </w:r>
      <w:r w:rsidR="002E29DF" w:rsidRPr="002E2EA5">
        <w:rPr>
          <w:color w:val="000000" w:themeColor="text1"/>
        </w:rPr>
        <w:t xml:space="preserve"> December 1, 2011, </w:t>
      </w:r>
      <w:r w:rsidR="002602CA">
        <w:rPr>
          <w:color w:val="000000" w:themeColor="text1"/>
        </w:rPr>
        <w:t xml:space="preserve">FRPS Superintendent Meg Mayo Brown informed </w:t>
      </w:r>
      <w:r w:rsidR="00A64350">
        <w:rPr>
          <w:color w:val="000000" w:themeColor="text1"/>
        </w:rPr>
        <w:t>M</w:t>
      </w:r>
      <w:r w:rsidR="002E29DF" w:rsidRPr="002E2EA5">
        <w:rPr>
          <w:color w:val="000000" w:themeColor="text1"/>
        </w:rPr>
        <w:t xml:space="preserve">s. Faggioli </w:t>
      </w:r>
      <w:r w:rsidR="002602CA">
        <w:rPr>
          <w:color w:val="000000" w:themeColor="text1"/>
        </w:rPr>
        <w:t xml:space="preserve">that she was </w:t>
      </w:r>
      <w:r w:rsidR="002E29DF" w:rsidRPr="002E2EA5">
        <w:rPr>
          <w:color w:val="000000" w:themeColor="text1"/>
        </w:rPr>
        <w:t>involuntarily terminated for position abandonment</w:t>
      </w:r>
      <w:r w:rsidR="002602CA">
        <w:rPr>
          <w:color w:val="000000" w:themeColor="text1"/>
        </w:rPr>
        <w:t xml:space="preserve">, effective </w:t>
      </w:r>
      <w:r w:rsidR="002E29DF" w:rsidRPr="002E2EA5">
        <w:rPr>
          <w:color w:val="000000" w:themeColor="text1"/>
        </w:rPr>
        <w:t>December 5, 2011</w:t>
      </w:r>
      <w:r w:rsidR="00070174">
        <w:rPr>
          <w:color w:val="000000" w:themeColor="text1"/>
        </w:rPr>
        <w:t>, due to her failure to return to work or contact the Human Resource Officer in order to resign</w:t>
      </w:r>
      <w:r w:rsidR="002E29DF" w:rsidRPr="002E2EA5">
        <w:rPr>
          <w:color w:val="000000" w:themeColor="text1"/>
        </w:rPr>
        <w:t>.</w:t>
      </w:r>
      <w:r w:rsidR="00497592" w:rsidRPr="002E2EA5">
        <w:rPr>
          <w:color w:val="000000" w:themeColor="text1"/>
        </w:rPr>
        <w:t xml:space="preserve"> </w:t>
      </w:r>
      <w:r w:rsidR="002E29DF" w:rsidRPr="002E2EA5">
        <w:rPr>
          <w:color w:val="000000" w:themeColor="text1"/>
        </w:rPr>
        <w:t xml:space="preserve"> (Ex</w:t>
      </w:r>
      <w:r w:rsidR="002602CA">
        <w:rPr>
          <w:color w:val="000000" w:themeColor="text1"/>
        </w:rPr>
        <w:t>hibit 9.)</w:t>
      </w:r>
    </w:p>
    <w:p w:rsidR="002A5340" w:rsidRDefault="00A64350" w:rsidP="002A5340">
      <w:pPr>
        <w:pStyle w:val="ListParagraph"/>
        <w:numPr>
          <w:ilvl w:val="0"/>
          <w:numId w:val="1"/>
        </w:numPr>
        <w:spacing w:line="480" w:lineRule="auto"/>
        <w:ind w:left="0" w:firstLine="720"/>
        <w:rPr>
          <w:color w:val="000000" w:themeColor="text1"/>
        </w:rPr>
      </w:pPr>
      <w:r>
        <w:rPr>
          <w:color w:val="000000" w:themeColor="text1"/>
        </w:rPr>
        <w:lastRenderedPageBreak/>
        <w:t>On December 14, 2011, M</w:t>
      </w:r>
      <w:r w:rsidR="008A5653" w:rsidRPr="002602CA">
        <w:rPr>
          <w:color w:val="000000" w:themeColor="text1"/>
        </w:rPr>
        <w:t xml:space="preserve">s. Faggioli filed a </w:t>
      </w:r>
      <w:r w:rsidR="002D2020" w:rsidRPr="002602CA">
        <w:rPr>
          <w:color w:val="000000" w:themeColor="text1"/>
        </w:rPr>
        <w:t>w</w:t>
      </w:r>
      <w:r w:rsidR="008A5653" w:rsidRPr="002602CA">
        <w:rPr>
          <w:color w:val="000000" w:themeColor="text1"/>
        </w:rPr>
        <w:t xml:space="preserve">orkers’ </w:t>
      </w:r>
      <w:r w:rsidR="002D2020" w:rsidRPr="002602CA">
        <w:rPr>
          <w:color w:val="000000" w:themeColor="text1"/>
        </w:rPr>
        <w:t>c</w:t>
      </w:r>
      <w:r w:rsidR="008A5653" w:rsidRPr="002602CA">
        <w:rPr>
          <w:color w:val="000000" w:themeColor="text1"/>
        </w:rPr>
        <w:t xml:space="preserve">ompensation </w:t>
      </w:r>
      <w:r w:rsidR="002D2020" w:rsidRPr="002602CA">
        <w:rPr>
          <w:color w:val="000000" w:themeColor="text1"/>
        </w:rPr>
        <w:t>c</w:t>
      </w:r>
      <w:r w:rsidR="008A5653" w:rsidRPr="002602CA">
        <w:rPr>
          <w:color w:val="000000" w:themeColor="text1"/>
        </w:rPr>
        <w:t xml:space="preserve">laim </w:t>
      </w:r>
      <w:r w:rsidR="00847480" w:rsidRPr="002602CA">
        <w:rPr>
          <w:color w:val="000000" w:themeColor="text1"/>
        </w:rPr>
        <w:t>related to her August 2, 2011 injury.</w:t>
      </w:r>
      <w:r w:rsidR="00497592" w:rsidRPr="002602CA">
        <w:rPr>
          <w:color w:val="000000" w:themeColor="text1"/>
        </w:rPr>
        <w:t xml:space="preserve"> </w:t>
      </w:r>
      <w:r w:rsidR="00847480" w:rsidRPr="002602CA">
        <w:rPr>
          <w:color w:val="000000" w:themeColor="text1"/>
        </w:rPr>
        <w:t xml:space="preserve"> </w:t>
      </w:r>
      <w:r w:rsidR="006467BB" w:rsidRPr="002602CA">
        <w:rPr>
          <w:color w:val="000000" w:themeColor="text1"/>
        </w:rPr>
        <w:t>(Ex</w:t>
      </w:r>
      <w:r w:rsidR="002602CA">
        <w:rPr>
          <w:color w:val="000000" w:themeColor="text1"/>
        </w:rPr>
        <w:t>hibit 13.)</w:t>
      </w:r>
    </w:p>
    <w:p w:rsidR="009B71BE" w:rsidRDefault="002E29DF" w:rsidP="00BF7559">
      <w:pPr>
        <w:pStyle w:val="ListParagraph"/>
        <w:numPr>
          <w:ilvl w:val="0"/>
          <w:numId w:val="1"/>
        </w:numPr>
        <w:spacing w:line="480" w:lineRule="auto"/>
        <w:ind w:left="0" w:firstLine="720"/>
        <w:rPr>
          <w:color w:val="000000" w:themeColor="text1"/>
        </w:rPr>
      </w:pPr>
      <w:r w:rsidRPr="002A5340">
        <w:rPr>
          <w:color w:val="000000" w:themeColor="text1"/>
        </w:rPr>
        <w:t xml:space="preserve">Michael Rater, M.D. </w:t>
      </w:r>
      <w:r w:rsidR="002A5340">
        <w:rPr>
          <w:color w:val="000000" w:themeColor="text1"/>
        </w:rPr>
        <w:t>conducted an Independent Medical Examination (IME) for Ms. Faggio</w:t>
      </w:r>
      <w:r w:rsidR="0016475D">
        <w:rPr>
          <w:color w:val="000000" w:themeColor="text1"/>
        </w:rPr>
        <w:t>li’s workers</w:t>
      </w:r>
      <w:r w:rsidR="00421F40">
        <w:rPr>
          <w:color w:val="000000" w:themeColor="text1"/>
        </w:rPr>
        <w:t>’</w:t>
      </w:r>
      <w:r w:rsidR="0016475D">
        <w:rPr>
          <w:color w:val="000000" w:themeColor="text1"/>
        </w:rPr>
        <w:t xml:space="preserve"> compensation claim on February 10, 2012. </w:t>
      </w:r>
      <w:r w:rsidR="00DD6A37">
        <w:rPr>
          <w:color w:val="000000" w:themeColor="text1"/>
        </w:rPr>
        <w:t xml:space="preserve">He </w:t>
      </w:r>
      <w:r w:rsidR="009B71BE">
        <w:rPr>
          <w:color w:val="000000" w:themeColor="text1"/>
        </w:rPr>
        <w:t xml:space="preserve">spoke with Ms. Faggioli and examined Dr. </w:t>
      </w:r>
      <w:proofErr w:type="spellStart"/>
      <w:r w:rsidR="009B71BE">
        <w:rPr>
          <w:color w:val="000000" w:themeColor="text1"/>
        </w:rPr>
        <w:t>Pacheo’s</w:t>
      </w:r>
      <w:proofErr w:type="spellEnd"/>
      <w:r w:rsidR="009B71BE">
        <w:rPr>
          <w:color w:val="000000" w:themeColor="text1"/>
        </w:rPr>
        <w:t xml:space="preserve"> records and the EAP counseling records.  (Exhibit 13.)</w:t>
      </w:r>
    </w:p>
    <w:p w:rsidR="00BF7559" w:rsidRDefault="009B71BE" w:rsidP="00BF7559">
      <w:pPr>
        <w:pStyle w:val="ListParagraph"/>
        <w:numPr>
          <w:ilvl w:val="0"/>
          <w:numId w:val="1"/>
        </w:numPr>
        <w:spacing w:line="480" w:lineRule="auto"/>
        <w:ind w:left="0" w:firstLine="720"/>
        <w:rPr>
          <w:color w:val="000000" w:themeColor="text1"/>
        </w:rPr>
      </w:pPr>
      <w:r>
        <w:rPr>
          <w:color w:val="000000" w:themeColor="text1"/>
        </w:rPr>
        <w:t xml:space="preserve">Ms. Faggioli reported that when she left work, she had been performing the work of four other people in addition to her own job responsibilities. Based on Ms. Faggioli’s statements, Dr. Rater could not discern her specific job assignments, and whether they were unreasonable. He </w:t>
      </w:r>
      <w:r w:rsidR="00DD6A37">
        <w:rPr>
          <w:color w:val="000000" w:themeColor="text1"/>
        </w:rPr>
        <w:t xml:space="preserve">found that Ms. Faggioli’s claims were vague and made in the guise of allegations and second-hand information.  </w:t>
      </w:r>
      <w:r>
        <w:rPr>
          <w:color w:val="000000" w:themeColor="text1"/>
        </w:rPr>
        <w:t>It was clear to him that she was in conflict with people at her job.</w:t>
      </w:r>
      <w:r w:rsidR="002A5340">
        <w:rPr>
          <w:color w:val="000000" w:themeColor="text1"/>
        </w:rPr>
        <w:t xml:space="preserve">  (Exhibit </w:t>
      </w:r>
      <w:r w:rsidR="002E29DF" w:rsidRPr="002A5340">
        <w:rPr>
          <w:color w:val="000000" w:themeColor="text1"/>
        </w:rPr>
        <w:t xml:space="preserve">13). </w:t>
      </w:r>
    </w:p>
    <w:p w:rsidR="003E6AD1" w:rsidRPr="009B71BE" w:rsidRDefault="00E06221" w:rsidP="009B71BE">
      <w:pPr>
        <w:pStyle w:val="ListParagraph"/>
        <w:numPr>
          <w:ilvl w:val="0"/>
          <w:numId w:val="1"/>
        </w:numPr>
        <w:spacing w:line="480" w:lineRule="auto"/>
        <w:ind w:left="0" w:firstLine="720"/>
        <w:rPr>
          <w:color w:val="000000" w:themeColor="text1"/>
        </w:rPr>
      </w:pPr>
      <w:r w:rsidRPr="00BF7559">
        <w:rPr>
          <w:color w:val="000000" w:themeColor="text1"/>
        </w:rPr>
        <w:t xml:space="preserve">Dr. Rater </w:t>
      </w:r>
      <w:r w:rsidR="009B71BE">
        <w:rPr>
          <w:color w:val="000000" w:themeColor="text1"/>
        </w:rPr>
        <w:t>wrote</w:t>
      </w:r>
      <w:r w:rsidRPr="00BF7559">
        <w:rPr>
          <w:color w:val="000000" w:themeColor="text1"/>
        </w:rPr>
        <w:t>:</w:t>
      </w:r>
    </w:p>
    <w:p w:rsidR="00490C6A" w:rsidRPr="00B91B6E" w:rsidRDefault="00666519" w:rsidP="009B71BE">
      <w:pPr>
        <w:pStyle w:val="ListParagraph"/>
        <w:ind w:right="720"/>
        <w:rPr>
          <w:color w:val="000000" w:themeColor="text1"/>
        </w:rPr>
      </w:pPr>
      <w:r w:rsidRPr="00B91B6E">
        <w:rPr>
          <w:color w:val="000000" w:themeColor="text1"/>
        </w:rPr>
        <w:t xml:space="preserve">Assuming the school was acting in good faith with Ms. Faggioli and having her work reasonable job </w:t>
      </w:r>
      <w:r w:rsidR="0054566D" w:rsidRPr="00B91B6E">
        <w:rPr>
          <w:color w:val="000000" w:themeColor="text1"/>
        </w:rPr>
        <w:t>assignments</w:t>
      </w:r>
      <w:r w:rsidRPr="00B91B6E">
        <w:rPr>
          <w:color w:val="000000" w:themeColor="text1"/>
        </w:rPr>
        <w:t xml:space="preserve"> there has got to be other information that I am not aware of regarding Ms. Faggioli’s work performance that has led her employer to have concerns about her work performance</w:t>
      </w:r>
      <w:r w:rsidR="003E6AD1" w:rsidRPr="00B91B6E">
        <w:rPr>
          <w:color w:val="000000" w:themeColor="text1"/>
        </w:rPr>
        <w:t>.</w:t>
      </w:r>
      <w:r w:rsidR="009B71BE">
        <w:rPr>
          <w:color w:val="000000" w:themeColor="text1"/>
        </w:rPr>
        <w:t xml:space="preserve"> ...</w:t>
      </w:r>
    </w:p>
    <w:p w:rsidR="003E6AD1" w:rsidRPr="009B71BE" w:rsidRDefault="003E6AD1" w:rsidP="009B71BE">
      <w:pPr>
        <w:ind w:right="720"/>
        <w:rPr>
          <w:color w:val="000000" w:themeColor="text1"/>
        </w:rPr>
      </w:pPr>
    </w:p>
    <w:p w:rsidR="00730AA7" w:rsidRDefault="00A9411E" w:rsidP="009B71BE">
      <w:pPr>
        <w:ind w:left="720" w:right="720"/>
        <w:rPr>
          <w:color w:val="000000" w:themeColor="text1"/>
        </w:rPr>
      </w:pPr>
      <w:r w:rsidRPr="009B71BE">
        <w:rPr>
          <w:color w:val="000000" w:themeColor="text1"/>
        </w:rPr>
        <w:t>She stated that she had gone from a “10 to a 5” regarding the intensity of her symptoms</w:t>
      </w:r>
      <w:r w:rsidR="009A4EE3" w:rsidRPr="009B71BE">
        <w:rPr>
          <w:color w:val="000000" w:themeColor="text1"/>
        </w:rPr>
        <w:t xml:space="preserve">, though it was not clear from the records over what period of time </w:t>
      </w:r>
      <w:r w:rsidR="00064168" w:rsidRPr="009B71BE">
        <w:rPr>
          <w:color w:val="000000" w:themeColor="text1"/>
        </w:rPr>
        <w:t xml:space="preserve">that was. Ms. </w:t>
      </w:r>
      <w:r w:rsidR="00FA7C8C" w:rsidRPr="009B71BE">
        <w:rPr>
          <w:color w:val="000000" w:themeColor="text1"/>
        </w:rPr>
        <w:t>Faggioli</w:t>
      </w:r>
      <w:r w:rsidR="00064168" w:rsidRPr="009B71BE">
        <w:rPr>
          <w:color w:val="000000" w:themeColor="text1"/>
        </w:rPr>
        <w:t xml:space="preserve"> was not down and depressed</w:t>
      </w:r>
      <w:r w:rsidR="003B2ACA" w:rsidRPr="009B71BE">
        <w:rPr>
          <w:color w:val="000000" w:themeColor="text1"/>
        </w:rPr>
        <w:t xml:space="preserve"> most of the day most every day. She had good energy and </w:t>
      </w:r>
      <w:r w:rsidR="00C147DB" w:rsidRPr="009B71BE">
        <w:rPr>
          <w:color w:val="000000" w:themeColor="text1"/>
        </w:rPr>
        <w:t xml:space="preserve">initiative and motivation. She described a very active daily life that included exercise, family, responsibilities, social engagement, church attendance, and special areas of interest that she pursued. The history was not consistent with someone with a significant mental condition. </w:t>
      </w:r>
    </w:p>
    <w:p w:rsidR="009B71BE" w:rsidRDefault="009B71BE" w:rsidP="009B71BE">
      <w:pPr>
        <w:ind w:right="720"/>
        <w:rPr>
          <w:color w:val="000000" w:themeColor="text1"/>
        </w:rPr>
      </w:pPr>
    </w:p>
    <w:p w:rsidR="009B71BE" w:rsidRPr="009B71BE" w:rsidRDefault="009B71BE" w:rsidP="009B71BE">
      <w:pPr>
        <w:ind w:right="720"/>
        <w:rPr>
          <w:color w:val="000000" w:themeColor="text1"/>
        </w:rPr>
      </w:pPr>
      <w:proofErr w:type="gramStart"/>
      <w:r>
        <w:rPr>
          <w:color w:val="000000" w:themeColor="text1"/>
        </w:rPr>
        <w:t>(Exhibit 13.)</w:t>
      </w:r>
      <w:proofErr w:type="gramEnd"/>
    </w:p>
    <w:p w:rsidR="003E6AD1" w:rsidRPr="00B91B6E" w:rsidRDefault="003E6AD1" w:rsidP="00A77F16">
      <w:pPr>
        <w:pStyle w:val="ListParagraph"/>
        <w:ind w:left="1440" w:right="720"/>
        <w:rPr>
          <w:color w:val="000000" w:themeColor="text1"/>
        </w:rPr>
      </w:pPr>
    </w:p>
    <w:p w:rsidR="005D24D0" w:rsidRDefault="009B71BE" w:rsidP="005F34AB">
      <w:pPr>
        <w:pStyle w:val="ListParagraph"/>
        <w:numPr>
          <w:ilvl w:val="0"/>
          <w:numId w:val="1"/>
        </w:numPr>
        <w:spacing w:line="480" w:lineRule="auto"/>
        <w:ind w:left="0" w:firstLine="720"/>
        <w:rPr>
          <w:color w:val="000000" w:themeColor="text1"/>
        </w:rPr>
      </w:pPr>
      <w:r w:rsidRPr="009B71BE">
        <w:rPr>
          <w:color w:val="000000" w:themeColor="text1"/>
        </w:rPr>
        <w:t>In regard to treatment, Dr. Rater wrote, “Ms. Faggioli does not require any further mental health treatment. She has a condition that is in remission or has resolved.”  (Exhibit 13.)</w:t>
      </w:r>
    </w:p>
    <w:p w:rsidR="008C0B00" w:rsidRDefault="002E29DF" w:rsidP="005F34AB">
      <w:pPr>
        <w:pStyle w:val="ListParagraph"/>
        <w:numPr>
          <w:ilvl w:val="0"/>
          <w:numId w:val="1"/>
        </w:numPr>
        <w:spacing w:line="480" w:lineRule="auto"/>
        <w:ind w:left="0" w:firstLine="720"/>
        <w:rPr>
          <w:color w:val="000000" w:themeColor="text1"/>
        </w:rPr>
      </w:pPr>
      <w:r w:rsidRPr="005D24D0">
        <w:rPr>
          <w:color w:val="000000" w:themeColor="text1"/>
        </w:rPr>
        <w:t>On February 15, 2013, Mrs. Faggiol</w:t>
      </w:r>
      <w:r w:rsidR="005D24D0">
        <w:rPr>
          <w:color w:val="000000" w:themeColor="text1"/>
        </w:rPr>
        <w:t>i submitted an application for accidental disability r</w:t>
      </w:r>
      <w:r w:rsidRPr="005D24D0">
        <w:rPr>
          <w:color w:val="000000" w:themeColor="text1"/>
        </w:rPr>
        <w:t>etirement</w:t>
      </w:r>
      <w:r w:rsidR="005D24D0">
        <w:rPr>
          <w:color w:val="000000" w:themeColor="text1"/>
        </w:rPr>
        <w:t xml:space="preserve"> </w:t>
      </w:r>
      <w:r w:rsidRPr="005D24D0">
        <w:rPr>
          <w:color w:val="000000" w:themeColor="text1"/>
        </w:rPr>
        <w:t>benefits</w:t>
      </w:r>
      <w:r w:rsidR="001D3356" w:rsidRPr="005D24D0">
        <w:rPr>
          <w:color w:val="000000" w:themeColor="text1"/>
        </w:rPr>
        <w:t>.</w:t>
      </w:r>
      <w:r w:rsidR="005D24D0">
        <w:rPr>
          <w:color w:val="000000" w:themeColor="text1"/>
        </w:rPr>
        <w:t xml:space="preserve">  </w:t>
      </w:r>
      <w:r w:rsidR="008C0B00">
        <w:rPr>
          <w:color w:val="000000" w:themeColor="text1"/>
        </w:rPr>
        <w:t xml:space="preserve"> </w:t>
      </w:r>
      <w:r w:rsidR="005D24D0">
        <w:rPr>
          <w:color w:val="000000" w:themeColor="text1"/>
        </w:rPr>
        <w:t>(Exhibit 3.)</w:t>
      </w:r>
    </w:p>
    <w:p w:rsidR="001D763D" w:rsidRDefault="00A64350" w:rsidP="005F34AB">
      <w:pPr>
        <w:pStyle w:val="ListParagraph"/>
        <w:numPr>
          <w:ilvl w:val="0"/>
          <w:numId w:val="1"/>
        </w:numPr>
        <w:spacing w:line="480" w:lineRule="auto"/>
        <w:ind w:left="0" w:firstLine="720"/>
        <w:rPr>
          <w:color w:val="000000" w:themeColor="text1"/>
        </w:rPr>
      </w:pPr>
      <w:r>
        <w:rPr>
          <w:color w:val="000000" w:themeColor="text1"/>
        </w:rPr>
        <w:lastRenderedPageBreak/>
        <w:t>On her application, M</w:t>
      </w:r>
      <w:r w:rsidR="000B3FC3" w:rsidRPr="008C0B00">
        <w:rPr>
          <w:color w:val="000000" w:themeColor="text1"/>
        </w:rPr>
        <w:t>s. Faggioli</w:t>
      </w:r>
      <w:r w:rsidR="001D3356" w:rsidRPr="008C0B00">
        <w:rPr>
          <w:color w:val="000000" w:themeColor="text1"/>
        </w:rPr>
        <w:t xml:space="preserve"> cited Post-Traumatic Stress Disorder</w:t>
      </w:r>
      <w:r w:rsidR="008C0B00">
        <w:rPr>
          <w:color w:val="000000" w:themeColor="text1"/>
        </w:rPr>
        <w:t xml:space="preserve"> (PTSD</w:t>
      </w:r>
      <w:r w:rsidR="001D3356" w:rsidRPr="008C0B00">
        <w:rPr>
          <w:color w:val="000000" w:themeColor="text1"/>
        </w:rPr>
        <w:t>)</w:t>
      </w:r>
      <w:r w:rsidR="00E71C71">
        <w:rPr>
          <w:color w:val="000000" w:themeColor="text1"/>
        </w:rPr>
        <w:t xml:space="preserve"> injury</w:t>
      </w:r>
      <w:r w:rsidR="008C0B00">
        <w:rPr>
          <w:color w:val="000000" w:themeColor="text1"/>
        </w:rPr>
        <w:t xml:space="preserve">, claiming </w:t>
      </w:r>
      <w:r w:rsidR="00812D64" w:rsidRPr="008C0B00">
        <w:rPr>
          <w:color w:val="000000" w:themeColor="text1"/>
        </w:rPr>
        <w:t xml:space="preserve">that she </w:t>
      </w:r>
      <w:r w:rsidR="00D326D1" w:rsidRPr="008C0B00">
        <w:rPr>
          <w:color w:val="000000" w:themeColor="text1"/>
        </w:rPr>
        <w:t xml:space="preserve">was “unable to go back into school,” had a “fear of harsh treatment,” was “unable to stay focused,” experienced “sleepless nights, </w:t>
      </w:r>
      <w:r w:rsidR="007910F8" w:rsidRPr="008C0B00">
        <w:rPr>
          <w:color w:val="000000" w:themeColor="text1"/>
        </w:rPr>
        <w:t>nightmares</w:t>
      </w:r>
      <w:r w:rsidR="00D326D1" w:rsidRPr="008C0B00">
        <w:rPr>
          <w:color w:val="000000" w:themeColor="text1"/>
        </w:rPr>
        <w:t>, depression, anxiety, a short fuse” and “headaches</w:t>
      </w:r>
      <w:r w:rsidR="007910F8" w:rsidRPr="008C0B00">
        <w:rPr>
          <w:color w:val="000000" w:themeColor="text1"/>
        </w:rPr>
        <w:t>.</w:t>
      </w:r>
      <w:r w:rsidR="00D326D1" w:rsidRPr="008C0B00">
        <w:rPr>
          <w:color w:val="000000" w:themeColor="text1"/>
        </w:rPr>
        <w:t>”</w:t>
      </w:r>
      <w:r w:rsidR="000F3F74" w:rsidRPr="008C0B00">
        <w:rPr>
          <w:color w:val="000000" w:themeColor="text1"/>
        </w:rPr>
        <w:t xml:space="preserve"> </w:t>
      </w:r>
      <w:r w:rsidR="008C0B00">
        <w:rPr>
          <w:color w:val="000000" w:themeColor="text1"/>
        </w:rPr>
        <w:t xml:space="preserve"> Under the heading, “P</w:t>
      </w:r>
      <w:r w:rsidR="004072F5" w:rsidRPr="008C0B00">
        <w:rPr>
          <w:color w:val="000000" w:themeColor="text1"/>
        </w:rPr>
        <w:t>lease describe the duties that you were required to perform in your current</w:t>
      </w:r>
      <w:r w:rsidR="008C0B00">
        <w:rPr>
          <w:color w:val="000000" w:themeColor="text1"/>
        </w:rPr>
        <w:t xml:space="preserve"> position,” Ms. Faggioli</w:t>
      </w:r>
      <w:r w:rsidR="001D763D">
        <w:rPr>
          <w:color w:val="000000" w:themeColor="text1"/>
        </w:rPr>
        <w:t xml:space="preserve"> wrote that she was required to,</w:t>
      </w:r>
      <w:r w:rsidR="008C0B00">
        <w:rPr>
          <w:color w:val="000000" w:themeColor="text1"/>
        </w:rPr>
        <w:t xml:space="preserve"> </w:t>
      </w:r>
      <w:r w:rsidR="004072F5" w:rsidRPr="008C0B00">
        <w:rPr>
          <w:color w:val="000000" w:themeColor="text1"/>
        </w:rPr>
        <w:t>“Greet parents, answer phones, process IEP’s</w:t>
      </w:r>
      <w:r w:rsidR="00421F40">
        <w:rPr>
          <w:color w:val="000000" w:themeColor="text1"/>
        </w:rPr>
        <w:t>,</w:t>
      </w:r>
      <w:r w:rsidR="00FC60DD" w:rsidRPr="008C0B00">
        <w:rPr>
          <w:color w:val="000000" w:themeColor="text1"/>
        </w:rPr>
        <w:t xml:space="preserve"> maint</w:t>
      </w:r>
      <w:r w:rsidR="001D763D">
        <w:rPr>
          <w:color w:val="000000" w:themeColor="text1"/>
        </w:rPr>
        <w:t>ain logs, and schedule meetings</w:t>
      </w:r>
      <w:r w:rsidR="009C370C" w:rsidRPr="008C0B00">
        <w:rPr>
          <w:color w:val="000000" w:themeColor="text1"/>
        </w:rPr>
        <w:t>”</w:t>
      </w:r>
      <w:r w:rsidR="00FE0C8F" w:rsidRPr="008C0B00">
        <w:rPr>
          <w:color w:val="000000" w:themeColor="text1"/>
        </w:rPr>
        <w:t xml:space="preserve"> </w:t>
      </w:r>
      <w:proofErr w:type="spellStart"/>
      <w:r w:rsidR="001D763D">
        <w:rPr>
          <w:color w:val="000000" w:themeColor="text1"/>
        </w:rPr>
        <w:t>everyday</w:t>
      </w:r>
      <w:proofErr w:type="spellEnd"/>
      <w:r w:rsidR="001D763D">
        <w:rPr>
          <w:color w:val="000000" w:themeColor="text1"/>
        </w:rPr>
        <w:t>.</w:t>
      </w:r>
      <w:r w:rsidR="009C370C" w:rsidRPr="008C0B00">
        <w:rPr>
          <w:color w:val="000000" w:themeColor="text1"/>
        </w:rPr>
        <w:t xml:space="preserve"> </w:t>
      </w:r>
      <w:r w:rsidR="001D763D">
        <w:rPr>
          <w:color w:val="000000" w:themeColor="text1"/>
        </w:rPr>
        <w:t>She stated that</w:t>
      </w:r>
      <w:r w:rsidR="009C370C" w:rsidRPr="008C0B00">
        <w:rPr>
          <w:color w:val="000000" w:themeColor="text1"/>
        </w:rPr>
        <w:t xml:space="preserve"> she was last able to perform all of the essential du</w:t>
      </w:r>
      <w:r w:rsidR="008C0B00">
        <w:rPr>
          <w:color w:val="000000" w:themeColor="text1"/>
        </w:rPr>
        <w:t xml:space="preserve">ties of her position on August 2, </w:t>
      </w:r>
      <w:r w:rsidR="009C370C" w:rsidRPr="008C0B00">
        <w:rPr>
          <w:color w:val="000000" w:themeColor="text1"/>
        </w:rPr>
        <w:t>2011.</w:t>
      </w:r>
      <w:r w:rsidR="00FE0C8F" w:rsidRPr="008C0B00">
        <w:rPr>
          <w:color w:val="000000" w:themeColor="text1"/>
        </w:rPr>
        <w:t xml:space="preserve"> </w:t>
      </w:r>
      <w:r w:rsidR="007910F8" w:rsidRPr="008C0B00">
        <w:rPr>
          <w:color w:val="000000" w:themeColor="text1"/>
        </w:rPr>
        <w:t xml:space="preserve"> (Ex</w:t>
      </w:r>
      <w:r w:rsidR="008C0B00">
        <w:rPr>
          <w:color w:val="000000" w:themeColor="text1"/>
        </w:rPr>
        <w:t>hibit 3.)</w:t>
      </w:r>
      <w:r w:rsidR="007910F8" w:rsidRPr="008C0B00">
        <w:rPr>
          <w:color w:val="000000" w:themeColor="text1"/>
        </w:rPr>
        <w:t xml:space="preserve"> </w:t>
      </w:r>
    </w:p>
    <w:p w:rsidR="001D763D" w:rsidRDefault="002E29DF" w:rsidP="005F34AB">
      <w:pPr>
        <w:pStyle w:val="ListParagraph"/>
        <w:numPr>
          <w:ilvl w:val="0"/>
          <w:numId w:val="1"/>
        </w:numPr>
        <w:spacing w:line="480" w:lineRule="auto"/>
        <w:ind w:left="0" w:firstLine="720"/>
        <w:rPr>
          <w:color w:val="000000" w:themeColor="text1"/>
        </w:rPr>
      </w:pPr>
      <w:r w:rsidRPr="001D763D">
        <w:rPr>
          <w:color w:val="000000" w:themeColor="text1"/>
        </w:rPr>
        <w:t xml:space="preserve">Mrs. Faggioli cited August 2, 2011 and October 26, 2011 as the </w:t>
      </w:r>
      <w:r w:rsidR="006C7231" w:rsidRPr="001D763D">
        <w:rPr>
          <w:color w:val="000000" w:themeColor="text1"/>
        </w:rPr>
        <w:t>dates</w:t>
      </w:r>
      <w:r w:rsidRPr="001D763D">
        <w:rPr>
          <w:color w:val="000000" w:themeColor="text1"/>
        </w:rPr>
        <w:t xml:space="preserve"> of her disability.</w:t>
      </w:r>
      <w:r w:rsidR="00E86DC7" w:rsidRPr="001D763D">
        <w:rPr>
          <w:color w:val="000000" w:themeColor="text1"/>
        </w:rPr>
        <w:t xml:space="preserve"> </w:t>
      </w:r>
      <w:r w:rsidRPr="001D763D">
        <w:rPr>
          <w:color w:val="000000" w:themeColor="text1"/>
        </w:rPr>
        <w:t xml:space="preserve"> </w:t>
      </w:r>
      <w:r w:rsidR="00C810B1" w:rsidRPr="001D763D">
        <w:rPr>
          <w:color w:val="000000" w:themeColor="text1"/>
        </w:rPr>
        <w:t xml:space="preserve">Under “Description of Incident(s) </w:t>
      </w:r>
      <w:r w:rsidR="001D763D">
        <w:rPr>
          <w:color w:val="000000" w:themeColor="text1"/>
        </w:rPr>
        <w:t xml:space="preserve">or hazard,” Ms. Faggioli wrote, </w:t>
      </w:r>
      <w:r w:rsidR="00C810B1" w:rsidRPr="001D763D">
        <w:rPr>
          <w:color w:val="000000" w:themeColor="text1"/>
        </w:rPr>
        <w:t xml:space="preserve">“Verbally abused by my principal – After hearing remarks felt horror and helplessness.” </w:t>
      </w:r>
      <w:r w:rsidR="00C713B4" w:rsidRPr="001D763D">
        <w:rPr>
          <w:color w:val="000000" w:themeColor="text1"/>
        </w:rPr>
        <w:t xml:space="preserve"> </w:t>
      </w:r>
      <w:r w:rsidR="00EE3273" w:rsidRPr="001D763D">
        <w:rPr>
          <w:color w:val="000000" w:themeColor="text1"/>
        </w:rPr>
        <w:t xml:space="preserve">(Ex. </w:t>
      </w:r>
      <w:r w:rsidR="00D615AB" w:rsidRPr="001D763D">
        <w:rPr>
          <w:color w:val="000000" w:themeColor="text1"/>
        </w:rPr>
        <w:t>3</w:t>
      </w:r>
      <w:r w:rsidR="00EE3273" w:rsidRPr="001D763D">
        <w:rPr>
          <w:color w:val="000000" w:themeColor="text1"/>
        </w:rPr>
        <w:t>).</w:t>
      </w:r>
    </w:p>
    <w:p w:rsidR="0072630C" w:rsidRDefault="001D763D" w:rsidP="005F34AB">
      <w:pPr>
        <w:pStyle w:val="ListParagraph"/>
        <w:numPr>
          <w:ilvl w:val="0"/>
          <w:numId w:val="1"/>
        </w:numPr>
        <w:spacing w:line="480" w:lineRule="auto"/>
        <w:ind w:left="0" w:firstLine="720"/>
        <w:rPr>
          <w:color w:val="000000" w:themeColor="text1"/>
        </w:rPr>
      </w:pPr>
      <w:r>
        <w:rPr>
          <w:color w:val="000000" w:themeColor="text1"/>
        </w:rPr>
        <w:t xml:space="preserve">Ms. Faggioli submitted a January 31, 2013 Physician’s Statement from Lucille Bess </w:t>
      </w:r>
      <w:proofErr w:type="spellStart"/>
      <w:r>
        <w:rPr>
          <w:color w:val="000000" w:themeColor="text1"/>
        </w:rPr>
        <w:t>Mehring</w:t>
      </w:r>
      <w:proofErr w:type="spellEnd"/>
      <w:r>
        <w:rPr>
          <w:color w:val="000000" w:themeColor="text1"/>
        </w:rPr>
        <w:t>, a psychiatrist.</w:t>
      </w:r>
      <w:r w:rsidR="00F8482A" w:rsidRPr="001D763D">
        <w:rPr>
          <w:color w:val="000000" w:themeColor="text1"/>
        </w:rPr>
        <w:t xml:space="preserve"> </w:t>
      </w:r>
      <w:r>
        <w:rPr>
          <w:color w:val="000000" w:themeColor="text1"/>
        </w:rPr>
        <w:t xml:space="preserve">Dr. </w:t>
      </w:r>
      <w:proofErr w:type="spellStart"/>
      <w:r>
        <w:rPr>
          <w:color w:val="000000" w:themeColor="text1"/>
        </w:rPr>
        <w:t>Mehring</w:t>
      </w:r>
      <w:proofErr w:type="spellEnd"/>
      <w:r>
        <w:rPr>
          <w:color w:val="000000" w:themeColor="text1"/>
        </w:rPr>
        <w:t xml:space="preserve"> diagnosed the petitioner </w:t>
      </w:r>
      <w:r w:rsidR="005B2B42" w:rsidRPr="001D763D">
        <w:rPr>
          <w:color w:val="000000" w:themeColor="text1"/>
        </w:rPr>
        <w:t xml:space="preserve">with </w:t>
      </w:r>
      <w:r w:rsidR="00DD4280" w:rsidRPr="001D763D">
        <w:rPr>
          <w:color w:val="000000" w:themeColor="text1"/>
        </w:rPr>
        <w:t xml:space="preserve">post-traumatic </w:t>
      </w:r>
      <w:r>
        <w:rPr>
          <w:color w:val="000000" w:themeColor="text1"/>
        </w:rPr>
        <w:t>stress disorder (PTSD</w:t>
      </w:r>
      <w:r w:rsidR="00DD4280" w:rsidRPr="001D763D">
        <w:rPr>
          <w:color w:val="000000" w:themeColor="text1"/>
        </w:rPr>
        <w:t>)</w:t>
      </w:r>
      <w:r w:rsidR="0072630C">
        <w:rPr>
          <w:color w:val="000000" w:themeColor="text1"/>
        </w:rPr>
        <w:t>,</w:t>
      </w:r>
      <w:r>
        <w:rPr>
          <w:color w:val="000000" w:themeColor="text1"/>
        </w:rPr>
        <w:t xml:space="preserve"> </w:t>
      </w:r>
      <w:r w:rsidR="0072630C">
        <w:rPr>
          <w:color w:val="000000" w:themeColor="text1"/>
        </w:rPr>
        <w:t xml:space="preserve">and noted that Ms. Faggioli’s symptoms “easily met DSM IV criteria for PTSD. In response to the heading, “Applicant’s Date(s) of Injury(s) of exposure(s), Dr. </w:t>
      </w:r>
      <w:proofErr w:type="spellStart"/>
      <w:r w:rsidR="0072630C">
        <w:rPr>
          <w:color w:val="000000" w:themeColor="text1"/>
        </w:rPr>
        <w:t>Mehring</w:t>
      </w:r>
      <w:proofErr w:type="spellEnd"/>
      <w:r w:rsidR="0072630C">
        <w:rPr>
          <w:color w:val="000000" w:themeColor="text1"/>
        </w:rPr>
        <w:t xml:space="preserve"> wrote August 2, 2011 as the date of injury. Later in the same document, Dr. </w:t>
      </w:r>
      <w:proofErr w:type="spellStart"/>
      <w:r w:rsidR="0072630C">
        <w:rPr>
          <w:color w:val="000000" w:themeColor="text1"/>
        </w:rPr>
        <w:t>Mehring</w:t>
      </w:r>
      <w:proofErr w:type="spellEnd"/>
      <w:r w:rsidR="0072630C">
        <w:rPr>
          <w:color w:val="000000" w:themeColor="text1"/>
        </w:rPr>
        <w:t xml:space="preserve"> certified causation of Ms. Faggioli’s condition due to the “main incident [on] … October 26, 2011, when patient was verbally attacked and intimidated by superior. A hostile work environment was experienced in the months preceding this incident.” Dr. </w:t>
      </w:r>
      <w:proofErr w:type="spellStart"/>
      <w:r w:rsidR="0072630C">
        <w:rPr>
          <w:color w:val="000000" w:themeColor="text1"/>
        </w:rPr>
        <w:t>Mehring</w:t>
      </w:r>
      <w:proofErr w:type="spellEnd"/>
      <w:r w:rsidR="0072630C">
        <w:rPr>
          <w:color w:val="000000" w:themeColor="text1"/>
        </w:rPr>
        <w:t xml:space="preserve"> prescribed a daily drug regimen of </w:t>
      </w:r>
      <w:r>
        <w:rPr>
          <w:color w:val="000000" w:themeColor="text1"/>
        </w:rPr>
        <w:t xml:space="preserve">Prazosin 3mg and </w:t>
      </w:r>
      <w:r w:rsidR="0072630C">
        <w:rPr>
          <w:color w:val="000000" w:themeColor="text1"/>
        </w:rPr>
        <w:t xml:space="preserve">citalopram 30mg. She wrote that Ms. Faggioli was undergoing </w:t>
      </w:r>
      <w:r w:rsidR="009E50CC" w:rsidRPr="001D763D">
        <w:rPr>
          <w:color w:val="000000" w:themeColor="text1"/>
        </w:rPr>
        <w:t>“psychotherapy EMDR</w:t>
      </w:r>
      <w:r w:rsidR="0072630C">
        <w:rPr>
          <w:color w:val="000000" w:themeColor="text1"/>
        </w:rPr>
        <w:t>,</w:t>
      </w:r>
      <w:r w:rsidR="00202E91" w:rsidRPr="001D763D">
        <w:rPr>
          <w:color w:val="000000" w:themeColor="text1"/>
        </w:rPr>
        <w:t xml:space="preserve">” </w:t>
      </w:r>
      <w:r w:rsidR="0072630C">
        <w:rPr>
          <w:color w:val="000000" w:themeColor="text1"/>
        </w:rPr>
        <w:t xml:space="preserve">and had made mild improvement in the previous year. </w:t>
      </w:r>
      <w:r>
        <w:rPr>
          <w:color w:val="000000" w:themeColor="text1"/>
        </w:rPr>
        <w:t xml:space="preserve">Dr. </w:t>
      </w:r>
      <w:proofErr w:type="spellStart"/>
      <w:r>
        <w:rPr>
          <w:color w:val="000000" w:themeColor="text1"/>
        </w:rPr>
        <w:t>Mehring</w:t>
      </w:r>
      <w:proofErr w:type="spellEnd"/>
      <w:r>
        <w:rPr>
          <w:color w:val="000000" w:themeColor="text1"/>
        </w:rPr>
        <w:t xml:space="preserve"> certified permanency, finding that the </w:t>
      </w:r>
      <w:r w:rsidR="00C411D6" w:rsidRPr="001D763D">
        <w:rPr>
          <w:color w:val="000000" w:themeColor="text1"/>
        </w:rPr>
        <w:t>“Patient has not made significant progress in the 18 months of treatment.</w:t>
      </w:r>
      <w:r w:rsidR="00DD064C" w:rsidRPr="001D763D">
        <w:rPr>
          <w:color w:val="000000" w:themeColor="text1"/>
        </w:rPr>
        <w:t xml:space="preserve">” </w:t>
      </w:r>
      <w:r w:rsidR="005E4955" w:rsidRPr="001D763D">
        <w:rPr>
          <w:color w:val="000000" w:themeColor="text1"/>
        </w:rPr>
        <w:t xml:space="preserve"> </w:t>
      </w:r>
      <w:r w:rsidRPr="001D763D">
        <w:rPr>
          <w:color w:val="000000" w:themeColor="text1"/>
        </w:rPr>
        <w:t>(Exhibit 4.)</w:t>
      </w:r>
    </w:p>
    <w:p w:rsidR="00C435B1" w:rsidRDefault="00DC7DA8" w:rsidP="00C435B1">
      <w:pPr>
        <w:pStyle w:val="ListParagraph"/>
        <w:numPr>
          <w:ilvl w:val="0"/>
          <w:numId w:val="1"/>
        </w:numPr>
        <w:spacing w:line="480" w:lineRule="auto"/>
        <w:ind w:left="0" w:firstLine="720"/>
        <w:rPr>
          <w:color w:val="000000" w:themeColor="text1"/>
        </w:rPr>
      </w:pPr>
      <w:r>
        <w:rPr>
          <w:color w:val="000000" w:themeColor="text1"/>
        </w:rPr>
        <w:lastRenderedPageBreak/>
        <w:t>The FRPS submitted the Employer’s Statement, signed by Mr. Marshall on July 30, 2013. Mr. Marshall stated that Ms. Faggioli was discharged on December 5, 2011</w:t>
      </w:r>
      <w:r w:rsidR="00C435B1">
        <w:rPr>
          <w:color w:val="000000" w:themeColor="text1"/>
        </w:rPr>
        <w:t xml:space="preserve"> for job abandonment</w:t>
      </w:r>
      <w:r>
        <w:rPr>
          <w:color w:val="000000" w:themeColor="text1"/>
        </w:rPr>
        <w:t>, and alleged PTSD “</w:t>
      </w:r>
      <w:r w:rsidR="002E29DF" w:rsidRPr="0072630C">
        <w:rPr>
          <w:color w:val="000000" w:themeColor="text1"/>
        </w:rPr>
        <w:t xml:space="preserve">due to workplace/supervisor.” </w:t>
      </w:r>
      <w:r w:rsidR="00C22B42" w:rsidRPr="0072630C">
        <w:rPr>
          <w:color w:val="000000" w:themeColor="text1"/>
        </w:rPr>
        <w:t xml:space="preserve"> </w:t>
      </w:r>
      <w:r>
        <w:rPr>
          <w:color w:val="000000" w:themeColor="text1"/>
        </w:rPr>
        <w:t xml:space="preserve"> (Exhibit 6.)</w:t>
      </w:r>
      <w:r w:rsidR="002E29DF" w:rsidRPr="0072630C">
        <w:rPr>
          <w:color w:val="000000" w:themeColor="text1"/>
        </w:rPr>
        <w:t xml:space="preserve"> </w:t>
      </w:r>
    </w:p>
    <w:p w:rsidR="00C435B1" w:rsidRDefault="002E29DF" w:rsidP="00C435B1">
      <w:pPr>
        <w:pStyle w:val="ListParagraph"/>
        <w:numPr>
          <w:ilvl w:val="0"/>
          <w:numId w:val="1"/>
        </w:numPr>
        <w:spacing w:line="480" w:lineRule="auto"/>
        <w:ind w:left="0" w:firstLine="720"/>
        <w:rPr>
          <w:color w:val="000000" w:themeColor="text1"/>
        </w:rPr>
      </w:pPr>
      <w:r w:rsidRPr="00C435B1">
        <w:rPr>
          <w:color w:val="000000" w:themeColor="text1"/>
        </w:rPr>
        <w:t xml:space="preserve">On May 22, 2014, </w:t>
      </w:r>
      <w:r w:rsidR="00545979" w:rsidRPr="00C435B1">
        <w:rPr>
          <w:color w:val="000000" w:themeColor="text1"/>
        </w:rPr>
        <w:t xml:space="preserve">the </w:t>
      </w:r>
      <w:r w:rsidR="00C435B1">
        <w:rPr>
          <w:color w:val="000000" w:themeColor="text1"/>
        </w:rPr>
        <w:t>Board</w:t>
      </w:r>
      <w:r w:rsidR="00545979" w:rsidRPr="00C435B1">
        <w:rPr>
          <w:color w:val="000000" w:themeColor="text1"/>
        </w:rPr>
        <w:t xml:space="preserve"> denied Ms. Faggioli’s </w:t>
      </w:r>
      <w:r w:rsidR="00C435B1">
        <w:rPr>
          <w:color w:val="000000" w:themeColor="text1"/>
        </w:rPr>
        <w:t>application for accidental disability</w:t>
      </w:r>
      <w:r w:rsidR="00AB5DB7" w:rsidRPr="00C435B1">
        <w:rPr>
          <w:color w:val="000000" w:themeColor="text1"/>
        </w:rPr>
        <w:t xml:space="preserve"> benefits</w:t>
      </w:r>
      <w:r w:rsidR="00545979" w:rsidRPr="00C435B1">
        <w:rPr>
          <w:color w:val="000000" w:themeColor="text1"/>
        </w:rPr>
        <w:t xml:space="preserve"> without convening a medical panel. </w:t>
      </w:r>
      <w:r w:rsidR="00C435B1">
        <w:rPr>
          <w:color w:val="000000" w:themeColor="text1"/>
        </w:rPr>
        <w:t>In its letter, the Board wrote, “</w:t>
      </w:r>
      <w:r w:rsidR="00492F71" w:rsidRPr="00C435B1">
        <w:rPr>
          <w:color w:val="000000" w:themeColor="text1"/>
        </w:rPr>
        <w:t xml:space="preserve">Ms. Faggioli’s claim does not constitute a personal injury or hazard undergone while in the performance of her duties.” </w:t>
      </w:r>
      <w:r w:rsidR="00C22B42" w:rsidRPr="00C435B1">
        <w:rPr>
          <w:color w:val="000000" w:themeColor="text1"/>
        </w:rPr>
        <w:t xml:space="preserve"> </w:t>
      </w:r>
      <w:r w:rsidR="00C435B1">
        <w:rPr>
          <w:color w:val="000000" w:themeColor="text1"/>
        </w:rPr>
        <w:t>(Exhibit 1.)</w:t>
      </w:r>
    </w:p>
    <w:p w:rsidR="00FC0421" w:rsidRPr="00C435B1" w:rsidRDefault="00C435B1" w:rsidP="00C435B1">
      <w:pPr>
        <w:pStyle w:val="ListParagraph"/>
        <w:numPr>
          <w:ilvl w:val="0"/>
          <w:numId w:val="1"/>
        </w:numPr>
        <w:spacing w:line="480" w:lineRule="auto"/>
        <w:ind w:left="0" w:firstLine="720"/>
        <w:rPr>
          <w:color w:val="000000" w:themeColor="text1"/>
        </w:rPr>
      </w:pPr>
      <w:r>
        <w:rPr>
          <w:color w:val="000000" w:themeColor="text1"/>
        </w:rPr>
        <w:t>On</w:t>
      </w:r>
      <w:r w:rsidR="00FC0421" w:rsidRPr="00C435B1">
        <w:rPr>
          <w:color w:val="000000" w:themeColor="text1"/>
        </w:rPr>
        <w:t xml:space="preserve"> </w:t>
      </w:r>
      <w:r w:rsidR="00321617" w:rsidRPr="00C435B1">
        <w:rPr>
          <w:color w:val="000000" w:themeColor="text1"/>
        </w:rPr>
        <w:t xml:space="preserve">June 6, 2014, Ms. Faggioli </w:t>
      </w:r>
      <w:r>
        <w:rPr>
          <w:color w:val="000000" w:themeColor="text1"/>
        </w:rPr>
        <w:t>filed a timely appeal</w:t>
      </w:r>
      <w:r w:rsidR="00321617" w:rsidRPr="00C435B1">
        <w:rPr>
          <w:color w:val="000000" w:themeColor="text1"/>
        </w:rPr>
        <w:t>.</w:t>
      </w:r>
      <w:r>
        <w:rPr>
          <w:color w:val="000000" w:themeColor="text1"/>
        </w:rPr>
        <w:t xml:space="preserve"> </w:t>
      </w:r>
      <w:r w:rsidR="00321617" w:rsidRPr="00C435B1">
        <w:rPr>
          <w:color w:val="000000" w:themeColor="text1"/>
        </w:rPr>
        <w:t xml:space="preserve"> </w:t>
      </w:r>
      <w:r>
        <w:rPr>
          <w:color w:val="000000" w:themeColor="text1"/>
        </w:rPr>
        <w:t>(Exhibit 2.)</w:t>
      </w:r>
    </w:p>
    <w:p w:rsidR="008A454E" w:rsidRPr="00B91B6E" w:rsidRDefault="00E76ABF" w:rsidP="00853D6D">
      <w:pPr>
        <w:jc w:val="center"/>
        <w:rPr>
          <w:b/>
          <w:color w:val="000000" w:themeColor="text1"/>
        </w:rPr>
      </w:pPr>
      <w:r w:rsidRPr="00B91B6E">
        <w:rPr>
          <w:b/>
          <w:color w:val="000000" w:themeColor="text1"/>
        </w:rPr>
        <w:t>CONCLUSION AND ORDER</w:t>
      </w:r>
    </w:p>
    <w:p w:rsidR="009177B7" w:rsidRPr="00B91B6E" w:rsidRDefault="009177B7" w:rsidP="009177B7">
      <w:pPr>
        <w:rPr>
          <w:color w:val="000000" w:themeColor="text1"/>
        </w:rPr>
      </w:pPr>
    </w:p>
    <w:p w:rsidR="00E2342C" w:rsidRPr="00B91B6E" w:rsidRDefault="001C782E" w:rsidP="001A1CEA">
      <w:pPr>
        <w:spacing w:line="480" w:lineRule="auto"/>
        <w:ind w:firstLine="720"/>
        <w:rPr>
          <w:color w:val="000000" w:themeColor="text1"/>
        </w:rPr>
      </w:pPr>
      <w:r w:rsidRPr="00B91B6E">
        <w:rPr>
          <w:color w:val="000000" w:themeColor="text1"/>
        </w:rPr>
        <w:t>The decision of the Fall River Retirement Board to deny the accidental retirement applic</w:t>
      </w:r>
      <w:r w:rsidR="006D1AC5" w:rsidRPr="00B91B6E">
        <w:rPr>
          <w:color w:val="000000" w:themeColor="text1"/>
        </w:rPr>
        <w:t>ation filed by Deborah Faggioli, without first convening a regional medical panel, is affirmed.</w:t>
      </w:r>
      <w:r w:rsidR="00F32156">
        <w:rPr>
          <w:color w:val="000000" w:themeColor="text1"/>
        </w:rPr>
        <w:t xml:space="preserve">  </w:t>
      </w:r>
    </w:p>
    <w:p w:rsidR="001A1CEA" w:rsidRPr="001A1CEA" w:rsidRDefault="001A1CEA" w:rsidP="001A1CEA">
      <w:pPr>
        <w:shd w:val="clear" w:color="auto" w:fill="FFFFFF"/>
        <w:spacing w:line="480" w:lineRule="auto"/>
        <w:ind w:firstLine="720"/>
        <w:rPr>
          <w:rFonts w:eastAsia="Times New Roman"/>
          <w:color w:val="000000" w:themeColor="text1"/>
        </w:rPr>
      </w:pPr>
      <w:r w:rsidRPr="00B91B6E">
        <w:rPr>
          <w:rFonts w:eastAsia="Times New Roman"/>
          <w:noProof/>
          <w:color w:val="000000" w:themeColor="text1"/>
        </w:rPr>
        <w:drawing>
          <wp:inline distT="0" distB="0" distL="0" distR="0" wp14:anchorId="76054A7D" wp14:editId="4407972B">
            <wp:extent cx="10795" cy="10795"/>
            <wp:effectExtent l="0" t="0" r="0" b="0"/>
            <wp:docPr id="1" name="Picture 1" descr="http://sll.gvpi.net/images/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l.gvpi.net/images/1x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1A1CEA">
        <w:rPr>
          <w:rFonts w:eastAsia="Times New Roman"/>
          <w:color w:val="000000" w:themeColor="text1"/>
        </w:rPr>
        <w:t xml:space="preserve">To qualify for accidental disability retirement, the Petitioner must prove </w:t>
      </w:r>
      <w:r w:rsidR="003F62F9">
        <w:rPr>
          <w:rFonts w:eastAsia="Times New Roman"/>
          <w:color w:val="000000" w:themeColor="text1"/>
        </w:rPr>
        <w:t>that s</w:t>
      </w:r>
      <w:r w:rsidRPr="001A1CEA">
        <w:rPr>
          <w:rFonts w:eastAsia="Times New Roman"/>
          <w:color w:val="000000" w:themeColor="text1"/>
        </w:rPr>
        <w:t>he is permanently a</w:t>
      </w:r>
      <w:r w:rsidR="00B444E0">
        <w:rPr>
          <w:rFonts w:eastAsia="Times New Roman"/>
          <w:color w:val="000000" w:themeColor="text1"/>
        </w:rPr>
        <w:t>nd totally disabled “</w:t>
      </w:r>
      <w:r w:rsidRPr="001A1CEA">
        <w:rPr>
          <w:rFonts w:eastAsia="Times New Roman"/>
          <w:color w:val="000000" w:themeColor="text1"/>
        </w:rPr>
        <w:t>by reason of a personal</w:t>
      </w:r>
      <w:r w:rsidR="003B759C">
        <w:rPr>
          <w:rFonts w:eastAsia="Times New Roman"/>
          <w:color w:val="000000" w:themeColor="text1"/>
        </w:rPr>
        <w:t xml:space="preserve"> injury</w:t>
      </w:r>
      <w:r w:rsidRPr="001A1CEA">
        <w:rPr>
          <w:rFonts w:eastAsia="Times New Roman"/>
          <w:color w:val="000000" w:themeColor="text1"/>
        </w:rPr>
        <w:t xml:space="preserve"> sustained or a hazard undergone as a result of, and while in the performance of, </w:t>
      </w:r>
      <w:r w:rsidR="004A6099">
        <w:rPr>
          <w:rFonts w:eastAsia="Times New Roman"/>
          <w:color w:val="000000" w:themeColor="text1"/>
        </w:rPr>
        <w:t>[her]</w:t>
      </w:r>
      <w:r w:rsidRPr="001A1CEA">
        <w:rPr>
          <w:rFonts w:eastAsia="Times New Roman"/>
          <w:color w:val="000000" w:themeColor="text1"/>
        </w:rPr>
        <w:t xml:space="preserve"> duties at some definite </w:t>
      </w:r>
      <w:r w:rsidR="00061B96">
        <w:rPr>
          <w:rFonts w:eastAsia="Times New Roman"/>
          <w:color w:val="000000" w:themeColor="text1"/>
        </w:rPr>
        <w:t>place and at some definite time</w:t>
      </w:r>
      <w:r w:rsidR="00A64350">
        <w:rPr>
          <w:rFonts w:eastAsia="Times New Roman"/>
          <w:color w:val="000000" w:themeColor="text1"/>
        </w:rPr>
        <w:t xml:space="preserve"> </w:t>
      </w:r>
      <w:proofErr w:type="gramStart"/>
      <w:r w:rsidR="00B444E0">
        <w:rPr>
          <w:rFonts w:eastAsia="Times New Roman"/>
          <w:color w:val="000000" w:themeColor="text1"/>
        </w:rPr>
        <w:t>... .”</w:t>
      </w:r>
      <w:proofErr w:type="gramEnd"/>
      <w:r w:rsidRPr="001A1CEA">
        <w:rPr>
          <w:rFonts w:eastAsia="Times New Roman"/>
          <w:color w:val="000000" w:themeColor="text1"/>
        </w:rPr>
        <w:t xml:space="preserve"> </w:t>
      </w:r>
      <w:proofErr w:type="gramStart"/>
      <w:r w:rsidRPr="001A1CEA">
        <w:rPr>
          <w:rFonts w:eastAsia="Times New Roman"/>
          <w:color w:val="000000" w:themeColor="text1"/>
        </w:rPr>
        <w:t>G.L. c. 32, § 7(1)</w:t>
      </w:r>
      <w:r w:rsidR="005129AA">
        <w:rPr>
          <w:rFonts w:eastAsia="Times New Roman"/>
          <w:color w:val="000000" w:themeColor="text1"/>
        </w:rPr>
        <w:t>.</w:t>
      </w:r>
      <w:proofErr w:type="gramEnd"/>
      <w:r w:rsidR="00845FC7">
        <w:rPr>
          <w:rFonts w:eastAsia="Times New Roman"/>
          <w:color w:val="000000" w:themeColor="text1"/>
        </w:rPr>
        <w:t xml:space="preserve"> </w:t>
      </w:r>
      <w:r w:rsidR="009A6FFA">
        <w:rPr>
          <w:rFonts w:eastAsia="Times New Roman"/>
          <w:color w:val="000000" w:themeColor="text1"/>
        </w:rPr>
        <w:t xml:space="preserve"> </w:t>
      </w:r>
      <w:r w:rsidR="00A8027B" w:rsidRPr="00B91B6E">
        <w:rPr>
          <w:rFonts w:eastAsia="Times New Roman"/>
          <w:color w:val="000000" w:themeColor="text1"/>
        </w:rPr>
        <w:t>An applicant bears the burden of proving her entitlement to accidental disability retirement by a preponderance of the evidence.</w:t>
      </w:r>
      <w:r w:rsidR="00845FC7">
        <w:rPr>
          <w:rFonts w:eastAsia="Times New Roman"/>
          <w:color w:val="000000" w:themeColor="text1"/>
        </w:rPr>
        <w:t xml:space="preserve"> </w:t>
      </w:r>
      <w:r w:rsidR="00A8027B" w:rsidRPr="00B91B6E">
        <w:rPr>
          <w:rFonts w:eastAsia="Times New Roman"/>
          <w:color w:val="000000" w:themeColor="text1"/>
        </w:rPr>
        <w:t xml:space="preserve"> </w:t>
      </w:r>
      <w:proofErr w:type="gramStart"/>
      <w:r w:rsidR="00A8027B" w:rsidRPr="00B91B6E">
        <w:rPr>
          <w:rFonts w:eastAsia="Times New Roman"/>
          <w:i/>
          <w:color w:val="000000" w:themeColor="text1"/>
        </w:rPr>
        <w:t>Lisbon v. Contributory Retirement Appeal Bd</w:t>
      </w:r>
      <w:r w:rsidR="00A8027B" w:rsidRPr="00B91B6E">
        <w:rPr>
          <w:rFonts w:eastAsia="Times New Roman"/>
          <w:color w:val="000000" w:themeColor="text1"/>
        </w:rPr>
        <w:t xml:space="preserve">., </w:t>
      </w:r>
      <w:hyperlink r:id="rId10" w:history="1">
        <w:r w:rsidR="00A8027B" w:rsidRPr="00B91B6E">
          <w:rPr>
            <w:rFonts w:eastAsia="Times New Roman"/>
            <w:color w:val="000000" w:themeColor="text1"/>
          </w:rPr>
          <w:t>41 Mass. App. Ct. 246</w:t>
        </w:r>
      </w:hyperlink>
      <w:r w:rsidR="00A8027B" w:rsidRPr="00B91B6E">
        <w:rPr>
          <w:rFonts w:eastAsia="Times New Roman"/>
          <w:color w:val="000000" w:themeColor="text1"/>
        </w:rPr>
        <w:t>, 255 (1996).</w:t>
      </w:r>
      <w:proofErr w:type="gramEnd"/>
    </w:p>
    <w:p w:rsidR="003A52DB" w:rsidRPr="00EE6A9D" w:rsidRDefault="00EC5B2F" w:rsidP="003A52DB">
      <w:pPr>
        <w:spacing w:line="480" w:lineRule="auto"/>
        <w:ind w:firstLine="720"/>
        <w:rPr>
          <w:lang w:val="en"/>
        </w:rPr>
      </w:pPr>
      <w:r w:rsidRPr="0078114B">
        <w:rPr>
          <w:rFonts w:eastAsia="Times New Roman"/>
          <w:color w:val="000000" w:themeColor="text1"/>
        </w:rPr>
        <w:t xml:space="preserve">Although </w:t>
      </w:r>
      <w:r w:rsidR="005129AA">
        <w:rPr>
          <w:rFonts w:eastAsia="Times New Roman"/>
          <w:color w:val="000000" w:themeColor="text1"/>
        </w:rPr>
        <w:t xml:space="preserve">the term </w:t>
      </w:r>
      <w:r w:rsidR="00B444E0">
        <w:rPr>
          <w:rFonts w:eastAsia="Times New Roman"/>
          <w:color w:val="000000" w:themeColor="text1"/>
        </w:rPr>
        <w:t>“personal injury”</w:t>
      </w:r>
      <w:r w:rsidRPr="0078114B">
        <w:rPr>
          <w:rFonts w:eastAsia="Times New Roman"/>
          <w:color w:val="000000" w:themeColor="text1"/>
        </w:rPr>
        <w:t xml:space="preserve"> is not defined in chapter 32, courts have consiste</w:t>
      </w:r>
      <w:r w:rsidR="00B444E0">
        <w:rPr>
          <w:rFonts w:eastAsia="Times New Roman"/>
          <w:color w:val="000000" w:themeColor="text1"/>
        </w:rPr>
        <w:t>ntly applied the definition of “personal injury”</w:t>
      </w:r>
      <w:r w:rsidRPr="0078114B">
        <w:rPr>
          <w:rFonts w:eastAsia="Times New Roman"/>
          <w:color w:val="000000" w:themeColor="text1"/>
        </w:rPr>
        <w:t xml:space="preserve"> from G.L. c. 152, § 1(7A). </w:t>
      </w:r>
      <w:r w:rsidR="000C045E">
        <w:rPr>
          <w:rFonts w:eastAsia="Times New Roman"/>
          <w:color w:val="000000" w:themeColor="text1"/>
        </w:rPr>
        <w:t xml:space="preserve"> </w:t>
      </w:r>
      <w:proofErr w:type="gramStart"/>
      <w:r w:rsidRPr="0078114B">
        <w:rPr>
          <w:rFonts w:eastAsia="Times New Roman"/>
          <w:i/>
          <w:color w:val="000000" w:themeColor="text1"/>
        </w:rPr>
        <w:t>See, e.g.,</w:t>
      </w:r>
      <w:r w:rsidRPr="0078114B">
        <w:rPr>
          <w:rFonts w:eastAsia="Times New Roman"/>
          <w:color w:val="000000" w:themeColor="text1"/>
        </w:rPr>
        <w:t xml:space="preserve"> </w:t>
      </w:r>
      <w:proofErr w:type="spellStart"/>
      <w:r w:rsidRPr="0078114B">
        <w:rPr>
          <w:rFonts w:eastAsia="Times New Roman"/>
          <w:i/>
          <w:color w:val="000000" w:themeColor="text1"/>
        </w:rPr>
        <w:t>Zavaglia</w:t>
      </w:r>
      <w:proofErr w:type="spellEnd"/>
      <w:r w:rsidRPr="0078114B">
        <w:rPr>
          <w:rFonts w:eastAsia="Times New Roman"/>
          <w:i/>
          <w:color w:val="000000" w:themeColor="text1"/>
        </w:rPr>
        <w:t xml:space="preserve"> v. Contributory Retirement Appeal </w:t>
      </w:r>
      <w:proofErr w:type="spellStart"/>
      <w:r w:rsidRPr="0078114B">
        <w:rPr>
          <w:rFonts w:eastAsia="Times New Roman"/>
          <w:i/>
          <w:color w:val="000000" w:themeColor="text1"/>
        </w:rPr>
        <w:t>Bd</w:t>
      </w:r>
      <w:proofErr w:type="spellEnd"/>
      <w:r w:rsidRPr="00C24BB1">
        <w:rPr>
          <w:rFonts w:eastAsia="Times New Roman"/>
          <w:color w:val="000000" w:themeColor="text1"/>
        </w:rPr>
        <w:t>, </w:t>
      </w:r>
      <w:hyperlink r:id="rId11" w:history="1">
        <w:r w:rsidRPr="00C24BB1">
          <w:rPr>
            <w:rFonts w:eastAsia="Times New Roman"/>
            <w:color w:val="000000" w:themeColor="text1"/>
          </w:rPr>
          <w:t>345 Mass. 483</w:t>
        </w:r>
      </w:hyperlink>
      <w:r w:rsidRPr="00C24BB1">
        <w:rPr>
          <w:rFonts w:eastAsia="Times New Roman"/>
          <w:color w:val="000000" w:themeColor="text1"/>
        </w:rPr>
        <w:t> (1963)</w:t>
      </w:r>
      <w:r w:rsidR="00B91B6E" w:rsidRPr="00C24BB1">
        <w:rPr>
          <w:rFonts w:eastAsia="Times New Roman"/>
          <w:color w:val="000000" w:themeColor="text1"/>
        </w:rPr>
        <w:t>.</w:t>
      </w:r>
      <w:proofErr w:type="gramEnd"/>
      <w:r w:rsidR="000C045E">
        <w:rPr>
          <w:rFonts w:eastAsia="Times New Roman"/>
          <w:color w:val="000000" w:themeColor="text1"/>
        </w:rPr>
        <w:t xml:space="preserve"> </w:t>
      </w:r>
      <w:r w:rsidR="00B91B6E" w:rsidRPr="0078114B">
        <w:rPr>
          <w:rFonts w:eastAsia="Times New Roman"/>
          <w:color w:val="000000" w:themeColor="text1"/>
        </w:rPr>
        <w:t xml:space="preserve"> </w:t>
      </w:r>
      <w:r w:rsidR="003A52DB" w:rsidRPr="00EE6A9D">
        <w:rPr>
          <w:lang w:val="en"/>
        </w:rPr>
        <w:t>General Laws c. 152, § 1(7A) provides, “[p]</w:t>
      </w:r>
      <w:proofErr w:type="spellStart"/>
      <w:r w:rsidR="003A52DB" w:rsidRPr="00EE6A9D">
        <w:rPr>
          <w:lang w:val="en"/>
        </w:rPr>
        <w:t>ersonal</w:t>
      </w:r>
      <w:proofErr w:type="spellEnd"/>
      <w:r w:rsidR="003A52DB" w:rsidRPr="00EE6A9D">
        <w:rPr>
          <w:lang w:val="en"/>
        </w:rPr>
        <w:t xml:space="preserve"> injuries shall include mental or emotional</w:t>
      </w:r>
      <w:bookmarkStart w:id="1" w:name="hit17"/>
      <w:bookmarkEnd w:id="1"/>
      <w:r w:rsidR="003A52DB" w:rsidRPr="00EE6A9D">
        <w:rPr>
          <w:lang w:val="en"/>
        </w:rPr>
        <w:t xml:space="preserve"> disabilities only where the predominant contributing cause of such disability is an event or series of events occurring within </w:t>
      </w:r>
      <w:r w:rsidR="003A52DB" w:rsidRPr="00EE6A9D">
        <w:rPr>
          <w:lang w:val="en"/>
        </w:rPr>
        <w:lastRenderedPageBreak/>
        <w:t xml:space="preserve">any employment.” Thus, </w:t>
      </w:r>
      <w:bookmarkStart w:id="2" w:name="hit18"/>
      <w:bookmarkEnd w:id="2"/>
      <w:r w:rsidR="003A52DB" w:rsidRPr="00EE6A9D">
        <w:rPr>
          <w:lang w:val="en"/>
        </w:rPr>
        <w:t>emotional</w:t>
      </w:r>
      <w:r w:rsidR="003A52DB" w:rsidRPr="00EE6A9D">
        <w:rPr>
          <w:noProof/>
        </w:rPr>
        <w:drawing>
          <wp:inline distT="0" distB="0" distL="0" distR="0" wp14:anchorId="222768A4" wp14:editId="5CE61C17">
            <wp:extent cx="6350" cy="6350"/>
            <wp:effectExtent l="0" t="0" r="0" b="0"/>
            <wp:docPr id="201" name="Picture 201" descr="Next Hi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Next Hit">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3A52DB" w:rsidRPr="00EE6A9D">
        <w:rPr>
          <w:lang w:val="en"/>
        </w:rPr>
        <w:t xml:space="preserve"> and/or mental disabilities may qualify as personal injuries. </w:t>
      </w:r>
      <w:r w:rsidR="003A52DB" w:rsidRPr="00EE6A9D">
        <w:rPr>
          <w:i/>
          <w:lang w:val="en"/>
        </w:rPr>
        <w:t>See, e.g</w:t>
      </w:r>
      <w:r w:rsidR="003A52DB" w:rsidRPr="00EE6A9D">
        <w:rPr>
          <w:lang w:val="en"/>
        </w:rPr>
        <w:t xml:space="preserve">., </w:t>
      </w:r>
      <w:r w:rsidR="003A52DB" w:rsidRPr="00EE6A9D">
        <w:rPr>
          <w:i/>
          <w:lang w:val="en"/>
        </w:rPr>
        <w:t>Albanese</w:t>
      </w:r>
      <w:r w:rsidR="003A52DB">
        <w:rPr>
          <w:i/>
          <w:lang w:val="en"/>
        </w:rPr>
        <w:t>’</w:t>
      </w:r>
      <w:r w:rsidR="003A52DB" w:rsidRPr="00EE6A9D">
        <w:rPr>
          <w:i/>
          <w:lang w:val="en"/>
        </w:rPr>
        <w:t>s Case</w:t>
      </w:r>
      <w:r w:rsidR="003A52DB" w:rsidRPr="00EE6A9D">
        <w:rPr>
          <w:lang w:val="en"/>
        </w:rPr>
        <w:t xml:space="preserve">, </w:t>
      </w:r>
      <w:hyperlink r:id="rId14" w:history="1">
        <w:r w:rsidR="003A52DB" w:rsidRPr="003A52DB">
          <w:rPr>
            <w:rStyle w:val="Hyperlink"/>
            <w:color w:val="auto"/>
            <w:u w:val="none"/>
            <w:lang w:val="en"/>
          </w:rPr>
          <w:t>378 Mass. 14</w:t>
        </w:r>
      </w:hyperlink>
      <w:r w:rsidR="003A52DB" w:rsidRPr="003A52DB">
        <w:rPr>
          <w:lang w:val="en"/>
        </w:rPr>
        <w:t>,</w:t>
      </w:r>
      <w:r w:rsidR="003A52DB" w:rsidRPr="00EE6A9D">
        <w:rPr>
          <w:lang w:val="en"/>
        </w:rPr>
        <w:t xml:space="preserve"> 14-15 (1979) (holding employee is entitled to compensation if incapacitated by a mental or</w:t>
      </w:r>
      <w:bookmarkStart w:id="3" w:name="hit19"/>
      <w:bookmarkEnd w:id="3"/>
      <w:r w:rsidR="003A52DB" w:rsidRPr="00EE6A9D">
        <w:rPr>
          <w:noProof/>
        </w:rPr>
        <w:drawing>
          <wp:inline distT="0" distB="0" distL="0" distR="0" wp14:anchorId="02D08742" wp14:editId="14E1ADD8">
            <wp:extent cx="6350" cy="6350"/>
            <wp:effectExtent l="0" t="0" r="0" b="0"/>
            <wp:docPr id="200" name="Picture 200" descr="Previous Hi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Previous Hit">
                      <a:hlinkClick r:id="rId15"/>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3A52DB" w:rsidRPr="00EE6A9D">
        <w:rPr>
          <w:lang w:val="en"/>
        </w:rPr>
        <w:t xml:space="preserve"> emotional disorder causally related to a series of specific stressful work-related incidents).</w:t>
      </w:r>
    </w:p>
    <w:p w:rsidR="00F71070" w:rsidRPr="00F71070" w:rsidRDefault="00EC5B2F" w:rsidP="00061B96">
      <w:pPr>
        <w:shd w:val="clear" w:color="auto" w:fill="FFFFFF"/>
        <w:spacing w:line="480" w:lineRule="auto"/>
        <w:ind w:firstLine="720"/>
        <w:rPr>
          <w:rFonts w:eastAsia="Times New Roman"/>
          <w:color w:val="000000" w:themeColor="text1"/>
        </w:rPr>
      </w:pPr>
      <w:r w:rsidRPr="0078114B">
        <w:rPr>
          <w:rFonts w:eastAsia="Times New Roman"/>
          <w:color w:val="000000" w:themeColor="text1"/>
        </w:rPr>
        <w:t>However,</w:t>
      </w:r>
      <w:r w:rsidR="003C50BF" w:rsidRPr="0078114B">
        <w:rPr>
          <w:color w:val="000000" w:themeColor="text1"/>
        </w:rPr>
        <w:t xml:space="preserve"> </w:t>
      </w:r>
      <w:r w:rsidR="00B91B6E" w:rsidRPr="0078114B">
        <w:rPr>
          <w:color w:val="000000" w:themeColor="text1"/>
        </w:rPr>
        <w:t>“</w:t>
      </w:r>
      <w:r w:rsidR="003C50BF" w:rsidRPr="0078114B">
        <w:rPr>
          <w:rFonts w:eastAsia="Times New Roman"/>
          <w:color w:val="000000" w:themeColor="text1"/>
        </w:rPr>
        <w:t>[n]o</w:t>
      </w:r>
      <w:r w:rsidR="00546B44" w:rsidRPr="0078114B">
        <w:rPr>
          <w:rFonts w:eastAsia="Times New Roman"/>
          <w:color w:val="000000" w:themeColor="text1"/>
        </w:rPr>
        <w:t xml:space="preserve"> mental or emotional disability </w:t>
      </w:r>
      <w:r w:rsidR="00E13F89" w:rsidRPr="0078114B">
        <w:rPr>
          <w:rFonts w:eastAsia="Times New Roman"/>
          <w:color w:val="000000" w:themeColor="text1"/>
        </w:rPr>
        <w:t xml:space="preserve">that arises </w:t>
      </w:r>
      <w:r w:rsidR="003C50BF" w:rsidRPr="0078114B">
        <w:rPr>
          <w:rFonts w:eastAsia="Times New Roman"/>
          <w:color w:val="000000" w:themeColor="text1"/>
        </w:rPr>
        <w:t>principally out of a bona fide, personnel action including a transfer, promotion, demotion, or termination except such action which is the intentional infliction of emotional harm shall be deemed to be a personal injury within the meaning of this chapter.</w:t>
      </w:r>
      <w:r w:rsidR="00B91B6E" w:rsidRPr="0078114B">
        <w:rPr>
          <w:rFonts w:eastAsia="Times New Roman"/>
          <w:color w:val="000000" w:themeColor="text1"/>
        </w:rPr>
        <w:t xml:space="preserve">” </w:t>
      </w:r>
      <w:r w:rsidR="000C045E">
        <w:rPr>
          <w:rFonts w:eastAsia="Times New Roman"/>
          <w:color w:val="000000" w:themeColor="text1"/>
        </w:rPr>
        <w:t xml:space="preserve"> </w:t>
      </w:r>
      <w:proofErr w:type="gramStart"/>
      <w:r w:rsidR="00B91B6E" w:rsidRPr="0078114B">
        <w:rPr>
          <w:color w:val="000000" w:themeColor="text1"/>
          <w:shd w:val="clear" w:color="auto" w:fill="FFFFFF"/>
        </w:rPr>
        <w:t>G.L. c. 152, § 1(7A)</w:t>
      </w:r>
      <w:r w:rsidR="005A6E49" w:rsidRPr="0078114B">
        <w:rPr>
          <w:color w:val="000000" w:themeColor="text1"/>
          <w:shd w:val="clear" w:color="auto" w:fill="FFFFFF"/>
        </w:rPr>
        <w:t>.</w:t>
      </w:r>
      <w:proofErr w:type="gramEnd"/>
      <w:r w:rsidR="005A6E49" w:rsidRPr="0078114B">
        <w:rPr>
          <w:color w:val="000000" w:themeColor="text1"/>
          <w:shd w:val="clear" w:color="auto" w:fill="FFFFFF"/>
        </w:rPr>
        <w:t xml:space="preserve"> </w:t>
      </w:r>
      <w:r w:rsidR="000C045E">
        <w:rPr>
          <w:color w:val="000000" w:themeColor="text1"/>
          <w:shd w:val="clear" w:color="auto" w:fill="FFFFFF"/>
        </w:rPr>
        <w:t xml:space="preserve"> </w:t>
      </w:r>
      <w:r w:rsidR="00F71070">
        <w:rPr>
          <w:color w:val="000000" w:themeColor="text1"/>
          <w:shd w:val="clear" w:color="auto" w:fill="FFFFFF"/>
        </w:rPr>
        <w:t xml:space="preserve"> S</w:t>
      </w:r>
      <w:r w:rsidR="00F71070" w:rsidRPr="00F71070">
        <w:rPr>
          <w:rFonts w:eastAsia="Times New Roman"/>
          <w:color w:val="000000" w:themeColor="text1"/>
        </w:rPr>
        <w:t>uch bona fide personnel actions include preliminary actions such as investigatory meetings with an employee and similar activities that could lead to any of the enumerated personnel actions:</w:t>
      </w:r>
    </w:p>
    <w:p w:rsidR="00F71070" w:rsidRDefault="00F71070" w:rsidP="00042AA3">
      <w:pPr>
        <w:shd w:val="clear" w:color="auto" w:fill="FFFFFF"/>
        <w:ind w:left="720" w:right="720"/>
        <w:rPr>
          <w:rFonts w:eastAsia="Times New Roman"/>
          <w:color w:val="000000" w:themeColor="text1"/>
        </w:rPr>
      </w:pPr>
      <w:r w:rsidRPr="00F71070">
        <w:rPr>
          <w:rFonts w:eastAsia="Times New Roman"/>
          <w:color w:val="000000" w:themeColor="text1"/>
        </w:rPr>
        <w:t xml:space="preserve">[I]t appears improbable that the Legislature would purposefully prohibit compensation for such serious and formal events as transfer, </w:t>
      </w:r>
      <w:r w:rsidR="00B129B2" w:rsidRPr="00F71070">
        <w:rPr>
          <w:rFonts w:eastAsia="Times New Roman"/>
          <w:color w:val="000000" w:themeColor="text1"/>
        </w:rPr>
        <w:t>promotion, demotion</w:t>
      </w:r>
      <w:r w:rsidRPr="00F71070">
        <w:rPr>
          <w:rFonts w:eastAsia="Times New Roman"/>
          <w:color w:val="000000" w:themeColor="text1"/>
        </w:rPr>
        <w:t>, and termination, but then allow compensation for the preliminary and tentative events of investigation and fact finding about the employment relationship or performance. A formal change of employment status is far more likely to cause emotional or mental health consequences than supervision, criticism, and investigation. Those preliminary activities may cause concern for an employee, but they do not inflict the impact of a final job action. If the Legislature intended to bar coverage for emotional injury caused by status-altering action, it most logically intended to bar coverage for emotional injury caused by the preliminary and less serious processes of supervision, criticism, and investigation.</w:t>
      </w:r>
    </w:p>
    <w:p w:rsidR="009D2DD4" w:rsidRDefault="009D2DD4" w:rsidP="00042AA3">
      <w:pPr>
        <w:shd w:val="clear" w:color="auto" w:fill="FFFFFF"/>
        <w:ind w:left="720" w:right="720"/>
        <w:rPr>
          <w:rFonts w:eastAsia="Times New Roman"/>
          <w:color w:val="000000" w:themeColor="text1"/>
        </w:rPr>
      </w:pPr>
    </w:p>
    <w:p w:rsidR="003A52DB" w:rsidRDefault="00B129B2" w:rsidP="00B129B2">
      <w:pPr>
        <w:shd w:val="clear" w:color="auto" w:fill="FFFFFF"/>
        <w:ind w:right="720"/>
        <w:rPr>
          <w:color w:val="000000" w:themeColor="text1"/>
          <w:shd w:val="clear" w:color="auto" w:fill="FFFFFF"/>
        </w:rPr>
      </w:pPr>
      <w:proofErr w:type="gramStart"/>
      <w:r w:rsidRPr="00B129B2">
        <w:rPr>
          <w:i/>
          <w:color w:val="000000" w:themeColor="text1"/>
          <w:shd w:val="clear" w:color="auto" w:fill="FFFFFF"/>
        </w:rPr>
        <w:t>Upton's Case,</w:t>
      </w:r>
      <w:r w:rsidRPr="00B129B2">
        <w:rPr>
          <w:rStyle w:val="apple-converted-space"/>
          <w:i/>
          <w:color w:val="000000" w:themeColor="text1"/>
          <w:shd w:val="clear" w:color="auto" w:fill="FFFFFF"/>
        </w:rPr>
        <w:t> </w:t>
      </w:r>
      <w:hyperlink r:id="rId16" w:history="1">
        <w:r w:rsidRPr="003A52DB">
          <w:rPr>
            <w:rStyle w:val="Hyperlink"/>
            <w:color w:val="000000" w:themeColor="text1"/>
            <w:u w:val="none"/>
            <w:shd w:val="clear" w:color="auto" w:fill="FFFFFF"/>
          </w:rPr>
          <w:t>84 Mass. App. Ct. 411</w:t>
        </w:r>
      </w:hyperlink>
      <w:r w:rsidRPr="003A52DB">
        <w:rPr>
          <w:color w:val="000000" w:themeColor="text1"/>
          <w:shd w:val="clear" w:color="auto" w:fill="FFFFFF"/>
        </w:rPr>
        <w:t>, 414 (2013)</w:t>
      </w:r>
      <w:r w:rsidR="003A52DB">
        <w:rPr>
          <w:color w:val="000000" w:themeColor="text1"/>
          <w:shd w:val="clear" w:color="auto" w:fill="FFFFFF"/>
        </w:rPr>
        <w:t>.</w:t>
      </w:r>
      <w:proofErr w:type="gramEnd"/>
    </w:p>
    <w:p w:rsidR="00F71070" w:rsidRPr="00B129B2" w:rsidRDefault="00F71070" w:rsidP="00B129B2">
      <w:pPr>
        <w:shd w:val="clear" w:color="auto" w:fill="FFFFFF"/>
        <w:ind w:right="720"/>
        <w:rPr>
          <w:rFonts w:eastAsia="Times New Roman"/>
          <w:i/>
          <w:color w:val="000000" w:themeColor="text1"/>
        </w:rPr>
      </w:pPr>
      <w:r w:rsidRPr="003A52DB">
        <w:rPr>
          <w:rFonts w:eastAsia="Times New Roman"/>
          <w:color w:val="000000" w:themeColor="text1"/>
        </w:rPr>
        <w:t> </w:t>
      </w:r>
    </w:p>
    <w:p w:rsidR="00E71C71" w:rsidRDefault="003A52DB" w:rsidP="00E71C71">
      <w:pPr>
        <w:spacing w:line="480" w:lineRule="auto"/>
        <w:ind w:firstLine="720"/>
        <w:rPr>
          <w:color w:val="000000" w:themeColor="text1"/>
          <w:shd w:val="clear" w:color="auto" w:fill="FFFFFF"/>
        </w:rPr>
      </w:pPr>
      <w:r w:rsidRPr="006E3ACC">
        <w:rPr>
          <w:lang w:val="en"/>
        </w:rPr>
        <w:t> </w:t>
      </w:r>
      <w:r w:rsidR="00E71C71">
        <w:rPr>
          <w:noProof/>
        </w:rPr>
        <w:t>Ms. Faggioli</w:t>
      </w:r>
      <w:r w:rsidR="00E71C71">
        <w:rPr>
          <w:lang w:val="en"/>
        </w:rPr>
        <w:t xml:space="preserve"> checked the “personal injury”</w:t>
      </w:r>
      <w:r w:rsidR="00E71C71" w:rsidRPr="006E3ACC">
        <w:rPr>
          <w:lang w:val="en"/>
        </w:rPr>
        <w:t xml:space="preserve"> box on h</w:t>
      </w:r>
      <w:r w:rsidR="00E71C71">
        <w:rPr>
          <w:lang w:val="en"/>
        </w:rPr>
        <w:t>er</w:t>
      </w:r>
      <w:r w:rsidR="00E71C71" w:rsidRPr="006E3ACC">
        <w:rPr>
          <w:lang w:val="en"/>
        </w:rPr>
        <w:t xml:space="preserve"> appli</w:t>
      </w:r>
      <w:r w:rsidR="00E71C71">
        <w:rPr>
          <w:lang w:val="en"/>
        </w:rPr>
        <w:t>cation</w:t>
      </w:r>
      <w:r w:rsidR="00421988">
        <w:rPr>
          <w:lang w:val="en"/>
        </w:rPr>
        <w:t xml:space="preserve">. Both the application and the Physician’s Statement referenced a hostile work environment, verbal attacks and intimidation. Ms. Faggioli specifically </w:t>
      </w:r>
      <w:r w:rsidR="00E71C71">
        <w:rPr>
          <w:color w:val="000000" w:themeColor="text1"/>
          <w:shd w:val="clear" w:color="auto" w:fill="FFFFFF"/>
        </w:rPr>
        <w:t xml:space="preserve">cited </w:t>
      </w:r>
      <w:r w:rsidR="00421988">
        <w:rPr>
          <w:color w:val="000000" w:themeColor="text1"/>
          <w:shd w:val="clear" w:color="auto" w:fill="FFFFFF"/>
        </w:rPr>
        <w:t>incidents</w:t>
      </w:r>
      <w:r w:rsidR="00AA4A09">
        <w:rPr>
          <w:color w:val="000000" w:themeColor="text1"/>
          <w:shd w:val="clear" w:color="auto" w:fill="FFFFFF"/>
        </w:rPr>
        <w:t xml:space="preserve"> on August 2, 2011 and</w:t>
      </w:r>
      <w:r w:rsidR="00E71C71">
        <w:rPr>
          <w:color w:val="000000" w:themeColor="text1"/>
          <w:shd w:val="clear" w:color="auto" w:fill="FFFFFF"/>
        </w:rPr>
        <w:t xml:space="preserve"> October 26, 2011 as the sources of her disability, which included PTSD, headaches, anxiety, and depression. There were no witnesses to these incidents</w:t>
      </w:r>
      <w:r w:rsidR="00AA4A09">
        <w:rPr>
          <w:color w:val="000000" w:themeColor="text1"/>
          <w:shd w:val="clear" w:color="auto" w:fill="FFFFFF"/>
        </w:rPr>
        <w:t xml:space="preserve">, and there is </w:t>
      </w:r>
      <w:r w:rsidR="00E71C71">
        <w:rPr>
          <w:color w:val="000000" w:themeColor="text1"/>
          <w:shd w:val="clear" w:color="auto" w:fill="FFFFFF"/>
        </w:rPr>
        <w:t>no evidence that the two events took place</w:t>
      </w:r>
      <w:r w:rsidR="00AA4A09">
        <w:rPr>
          <w:color w:val="000000" w:themeColor="text1"/>
          <w:shd w:val="clear" w:color="auto" w:fill="FFFFFF"/>
        </w:rPr>
        <w:t>.</w:t>
      </w:r>
      <w:r w:rsidR="00E71C71">
        <w:rPr>
          <w:color w:val="000000" w:themeColor="text1"/>
          <w:shd w:val="clear" w:color="auto" w:fill="FFFFFF"/>
        </w:rPr>
        <w:t xml:space="preserve">  </w:t>
      </w:r>
      <w:r w:rsidR="00E71C71">
        <w:rPr>
          <w:color w:val="000000" w:themeColor="text1"/>
          <w:shd w:val="clear" w:color="auto" w:fill="FFFFFF"/>
        </w:rPr>
        <w:lastRenderedPageBreak/>
        <w:t xml:space="preserve">There is no </w:t>
      </w:r>
      <w:r w:rsidR="00622BA3">
        <w:rPr>
          <w:color w:val="000000" w:themeColor="text1"/>
          <w:shd w:val="clear" w:color="auto" w:fill="FFFFFF"/>
        </w:rPr>
        <w:t xml:space="preserve">corroborating </w:t>
      </w:r>
      <w:r w:rsidR="00E71C71">
        <w:rPr>
          <w:color w:val="000000" w:themeColor="text1"/>
          <w:shd w:val="clear" w:color="auto" w:fill="FFFFFF"/>
        </w:rPr>
        <w:t xml:space="preserve">evidence that </w:t>
      </w:r>
      <w:r w:rsidR="00622BA3">
        <w:rPr>
          <w:color w:val="000000" w:themeColor="text1"/>
          <w:shd w:val="clear" w:color="auto" w:fill="FFFFFF"/>
        </w:rPr>
        <w:t xml:space="preserve">Mr. </w:t>
      </w:r>
      <w:r w:rsidR="00E71C71">
        <w:rPr>
          <w:color w:val="000000" w:themeColor="text1"/>
          <w:shd w:val="clear" w:color="auto" w:fill="FFFFFF"/>
        </w:rPr>
        <w:t xml:space="preserve">Marshall, or any other member of the </w:t>
      </w:r>
      <w:proofErr w:type="spellStart"/>
      <w:r w:rsidR="00E71C71">
        <w:rPr>
          <w:color w:val="000000" w:themeColor="text1"/>
          <w:shd w:val="clear" w:color="auto" w:fill="FFFFFF"/>
        </w:rPr>
        <w:t>Durfee</w:t>
      </w:r>
      <w:proofErr w:type="spellEnd"/>
      <w:r w:rsidR="00E71C71">
        <w:rPr>
          <w:color w:val="000000" w:themeColor="text1"/>
          <w:shd w:val="clear" w:color="auto" w:fill="FFFFFF"/>
        </w:rPr>
        <w:t xml:space="preserve"> </w:t>
      </w:r>
      <w:r w:rsidR="00AA4A09">
        <w:rPr>
          <w:color w:val="000000" w:themeColor="text1"/>
          <w:shd w:val="clear" w:color="auto" w:fill="FFFFFF"/>
        </w:rPr>
        <w:t xml:space="preserve">or FRPS </w:t>
      </w:r>
      <w:r w:rsidR="00E71C71">
        <w:rPr>
          <w:color w:val="000000" w:themeColor="text1"/>
          <w:shd w:val="clear" w:color="auto" w:fill="FFFFFF"/>
        </w:rPr>
        <w:t xml:space="preserve">staff, ever verbally accosted Ms. Faggioli. </w:t>
      </w:r>
    </w:p>
    <w:p w:rsidR="00E71C71" w:rsidRDefault="00E71C71" w:rsidP="00E71C71">
      <w:pPr>
        <w:shd w:val="clear" w:color="auto" w:fill="FFFFFF"/>
        <w:spacing w:line="480" w:lineRule="auto"/>
        <w:rPr>
          <w:color w:val="000000" w:themeColor="text1"/>
          <w:shd w:val="clear" w:color="auto" w:fill="FFFFFF"/>
        </w:rPr>
      </w:pPr>
      <w:r>
        <w:rPr>
          <w:color w:val="000000" w:themeColor="text1"/>
          <w:shd w:val="clear" w:color="auto" w:fill="FFFFFF"/>
        </w:rPr>
        <w:tab/>
        <w:t xml:space="preserve">Even if Ms. Faggioli had felt depressed or anxious as a result of these alleged interactions of Mr. Marshall and her former coworkers, these communications about her new job duties constituted bona fide personnel actions.  The addition of the middle school transportation lists to Ms. Faggioli’s duties on August 2, 2011 was a bona fide personnel action, as the FRPS wrestled with budgetary cuts.  </w:t>
      </w:r>
    </w:p>
    <w:p w:rsidR="00421988" w:rsidRPr="00421988" w:rsidRDefault="00421988" w:rsidP="00421988">
      <w:pPr>
        <w:spacing w:line="480" w:lineRule="auto"/>
        <w:ind w:firstLine="720"/>
        <w:rPr>
          <w:lang w:val="en"/>
        </w:rPr>
      </w:pPr>
      <w:r>
        <w:rPr>
          <w:lang w:val="en"/>
        </w:rPr>
        <w:t>Ms. Faggioli</w:t>
      </w:r>
      <w:r w:rsidRPr="006E3ACC">
        <w:rPr>
          <w:lang w:val="en"/>
        </w:rPr>
        <w:t xml:space="preserve"> </w:t>
      </w:r>
      <w:r w:rsidR="00AA4A09">
        <w:rPr>
          <w:lang w:val="en"/>
        </w:rPr>
        <w:t>failed to introduce</w:t>
      </w:r>
      <w:r w:rsidRPr="006E3ACC">
        <w:rPr>
          <w:lang w:val="en"/>
        </w:rPr>
        <w:t xml:space="preserve"> any evidence to support a claim that </w:t>
      </w:r>
      <w:r>
        <w:rPr>
          <w:lang w:val="en"/>
        </w:rPr>
        <w:t xml:space="preserve">her employment at the </w:t>
      </w:r>
      <w:proofErr w:type="spellStart"/>
      <w:r>
        <w:rPr>
          <w:lang w:val="en"/>
        </w:rPr>
        <w:t>Durfee</w:t>
      </w:r>
      <w:proofErr w:type="spellEnd"/>
      <w:r>
        <w:rPr>
          <w:lang w:val="en"/>
        </w:rPr>
        <w:t xml:space="preserve"> subjected her to such an “</w:t>
      </w:r>
      <w:r w:rsidRPr="006E3ACC">
        <w:rPr>
          <w:lang w:val="en"/>
        </w:rPr>
        <w:t xml:space="preserve">identifiable condition </w:t>
      </w:r>
      <w:r>
        <w:rPr>
          <w:lang w:val="en"/>
        </w:rPr>
        <w:t>…</w:t>
      </w:r>
      <w:r w:rsidRPr="006E3ACC">
        <w:rPr>
          <w:lang w:val="en"/>
        </w:rPr>
        <w:t xml:space="preserve"> that is not common and necessary to al</w:t>
      </w:r>
      <w:r>
        <w:rPr>
          <w:lang w:val="en"/>
        </w:rPr>
        <w:t xml:space="preserve">l or a great many occupations.” </w:t>
      </w:r>
      <w:proofErr w:type="spellStart"/>
      <w:proofErr w:type="gramStart"/>
      <w:r w:rsidRPr="00324922">
        <w:rPr>
          <w:i/>
          <w:lang w:val="en"/>
        </w:rPr>
        <w:t>Blanchette</w:t>
      </w:r>
      <w:proofErr w:type="spellEnd"/>
      <w:r w:rsidRPr="006E3ACC">
        <w:rPr>
          <w:lang w:val="en"/>
        </w:rPr>
        <w:t>, 20 Mass. App. Ct. at 485.</w:t>
      </w:r>
      <w:proofErr w:type="gramEnd"/>
      <w:r w:rsidRPr="006E3ACC">
        <w:rPr>
          <w:lang w:val="en"/>
        </w:rPr>
        <w:t xml:space="preserve"> Such a failure of proof is understandable in light of the long established principle, first articulated in </w:t>
      </w:r>
      <w:proofErr w:type="spellStart"/>
      <w:r w:rsidRPr="001926BE">
        <w:rPr>
          <w:i/>
          <w:lang w:val="en"/>
        </w:rPr>
        <w:t>Blanchette</w:t>
      </w:r>
      <w:proofErr w:type="spellEnd"/>
      <w:r w:rsidRPr="006E3ACC">
        <w:rPr>
          <w:lang w:val="en"/>
        </w:rPr>
        <w:t xml:space="preserve">, </w:t>
      </w:r>
      <w:proofErr w:type="gramStart"/>
      <w:r w:rsidRPr="006E3ACC">
        <w:rPr>
          <w:lang w:val="en"/>
        </w:rPr>
        <w:t>that conflicts</w:t>
      </w:r>
      <w:proofErr w:type="gramEnd"/>
      <w:r w:rsidRPr="006E3ACC">
        <w:rPr>
          <w:lang w:val="en"/>
        </w:rPr>
        <w:t xml:space="preserve"> with management and other co-employees do</w:t>
      </w:r>
      <w:r>
        <w:rPr>
          <w:lang w:val="en"/>
        </w:rPr>
        <w:t xml:space="preserve"> not meet the criteria for such </w:t>
      </w:r>
      <w:r w:rsidRPr="006E3ACC">
        <w:rPr>
          <w:lang w:val="en"/>
        </w:rPr>
        <w:t xml:space="preserve">a claim. This has often been reiterated. For example, in </w:t>
      </w:r>
      <w:proofErr w:type="spellStart"/>
      <w:r w:rsidRPr="00421988">
        <w:rPr>
          <w:i/>
          <w:lang w:val="en"/>
        </w:rPr>
        <w:t>Sugrue</w:t>
      </w:r>
      <w:proofErr w:type="spellEnd"/>
      <w:r w:rsidRPr="00421988">
        <w:rPr>
          <w:i/>
          <w:lang w:val="en"/>
        </w:rPr>
        <w:t xml:space="preserve"> v. Contributory Retirement Appeal Bd</w:t>
      </w:r>
      <w:r w:rsidRPr="00421988">
        <w:rPr>
          <w:lang w:val="en"/>
        </w:rPr>
        <w:t xml:space="preserve">., </w:t>
      </w:r>
      <w:hyperlink r:id="rId17" w:history="1">
        <w:r w:rsidRPr="00421988">
          <w:rPr>
            <w:rStyle w:val="Hyperlink"/>
            <w:color w:val="auto"/>
            <w:u w:val="none"/>
            <w:lang w:val="en"/>
          </w:rPr>
          <w:t>45 Mass. App. Ct. 1</w:t>
        </w:r>
      </w:hyperlink>
      <w:r w:rsidRPr="00421988">
        <w:rPr>
          <w:lang w:val="en"/>
        </w:rPr>
        <w:t>, 5-6 (1998), the Appeals Court noted:</w:t>
      </w:r>
    </w:p>
    <w:p w:rsidR="00421988" w:rsidRDefault="00421988" w:rsidP="00421988">
      <w:pPr>
        <w:ind w:left="720" w:right="720"/>
        <w:rPr>
          <w:lang w:val="en"/>
        </w:rPr>
      </w:pPr>
      <w:r w:rsidRPr="00421988">
        <w:rPr>
          <w:lang w:val="en"/>
        </w:rPr>
        <w:t>[T]he cumulative stress created by [</w:t>
      </w:r>
      <w:proofErr w:type="spellStart"/>
      <w:r w:rsidRPr="00421988">
        <w:rPr>
          <w:lang w:val="en"/>
        </w:rPr>
        <w:t>Sugrue's</w:t>
      </w:r>
      <w:proofErr w:type="spellEnd"/>
      <w:r w:rsidRPr="00421988">
        <w:rPr>
          <w:lang w:val="en"/>
        </w:rPr>
        <w:t xml:space="preserve">] humiliating encounters and job conflicts with his superiors was not an “identifiable condition . . . that is not common and necessary to all or a great many occupations.” </w:t>
      </w:r>
      <w:proofErr w:type="spellStart"/>
      <w:proofErr w:type="gramStart"/>
      <w:r w:rsidRPr="00421988">
        <w:rPr>
          <w:i/>
          <w:lang w:val="en"/>
        </w:rPr>
        <w:t>Blanchette</w:t>
      </w:r>
      <w:proofErr w:type="spellEnd"/>
      <w:r w:rsidRPr="00421988">
        <w:rPr>
          <w:i/>
          <w:lang w:val="en"/>
        </w:rPr>
        <w:t xml:space="preserve"> v. Contributory Retirement Appeal Bd</w:t>
      </w:r>
      <w:r w:rsidRPr="00421988">
        <w:rPr>
          <w:lang w:val="en"/>
        </w:rPr>
        <w:t>., 20 Mass. App. Ct. at 487(citations omitted).</w:t>
      </w:r>
      <w:proofErr w:type="gramEnd"/>
      <w:r w:rsidRPr="00421988">
        <w:rPr>
          <w:lang w:val="en"/>
        </w:rPr>
        <w:t xml:space="preserve"> As </w:t>
      </w:r>
      <w:proofErr w:type="spellStart"/>
      <w:r w:rsidRPr="00421988">
        <w:rPr>
          <w:i/>
          <w:lang w:val="en"/>
        </w:rPr>
        <w:t>Blanchette</w:t>
      </w:r>
      <w:proofErr w:type="spellEnd"/>
      <w:r w:rsidRPr="00421988">
        <w:rPr>
          <w:lang w:val="en"/>
        </w:rPr>
        <w:t xml:space="preserve"> teaches, job conflicts and arguments with superiors and subordinates, including a series of incidents over several years creating feelings of “persecution” and unfair treatment and ultimately a diagnosed mental illness, do not ”distinguish [the applicant's] occupation from a wide variety of other occupations where employees face similar pressures and demands.” </w:t>
      </w:r>
      <w:proofErr w:type="gramStart"/>
      <w:r w:rsidRPr="00421988">
        <w:rPr>
          <w:lang w:val="en"/>
        </w:rPr>
        <w:t>20 Mass. App. Ct. at 480, 484-485, 487.</w:t>
      </w:r>
      <w:proofErr w:type="gramEnd"/>
      <w:r w:rsidRPr="00421988">
        <w:rPr>
          <w:lang w:val="en"/>
        </w:rPr>
        <w:t xml:space="preserve"> Cf</w:t>
      </w:r>
      <w:r w:rsidR="00206EC6">
        <w:rPr>
          <w:lang w:val="en"/>
        </w:rPr>
        <w:t>.</w:t>
      </w:r>
      <w:r w:rsidRPr="00421988">
        <w:rPr>
          <w:lang w:val="en"/>
        </w:rPr>
        <w:t xml:space="preserve"> </w:t>
      </w:r>
      <w:r w:rsidRPr="00421988">
        <w:rPr>
          <w:i/>
          <w:lang w:val="en"/>
        </w:rPr>
        <w:t>Adams v. Contributory Retirement Appeal Bd</w:t>
      </w:r>
      <w:r w:rsidRPr="00421988">
        <w:rPr>
          <w:lang w:val="en"/>
        </w:rPr>
        <w:t xml:space="preserve">., </w:t>
      </w:r>
      <w:hyperlink r:id="rId18" w:history="1">
        <w:r w:rsidRPr="00421988">
          <w:rPr>
            <w:rStyle w:val="Hyperlink"/>
            <w:color w:val="auto"/>
            <w:u w:val="none"/>
            <w:lang w:val="en"/>
          </w:rPr>
          <w:t>414 Mass. 360</w:t>
        </w:r>
      </w:hyperlink>
      <w:r w:rsidRPr="00421988">
        <w:rPr>
          <w:lang w:val="en"/>
        </w:rPr>
        <w:t xml:space="preserve">, 366-367, 609 (1993), and cases cited (discussing distinction between physical activities unique to job, contrasted with those required in a “wide variety of other occupations”). Under </w:t>
      </w:r>
      <w:proofErr w:type="spellStart"/>
      <w:r w:rsidRPr="00421988">
        <w:rPr>
          <w:i/>
          <w:lang w:val="en"/>
        </w:rPr>
        <w:t>Blanchette</w:t>
      </w:r>
      <w:proofErr w:type="spellEnd"/>
      <w:r w:rsidRPr="00421988">
        <w:rPr>
          <w:lang w:val="en"/>
        </w:rPr>
        <w:t>, supra at 484, such “long standing problems in [the plaintiff</w:t>
      </w:r>
      <w:r w:rsidR="00206EC6">
        <w:rPr>
          <w:lang w:val="en"/>
        </w:rPr>
        <w:t>’</w:t>
      </w:r>
      <w:r w:rsidRPr="00421988">
        <w:rPr>
          <w:lang w:val="en"/>
        </w:rPr>
        <w:t xml:space="preserve">s] ability to get along with people,” </w:t>
      </w:r>
      <w:proofErr w:type="gramStart"/>
      <w:r w:rsidRPr="00421988">
        <w:rPr>
          <w:lang w:val="en"/>
        </w:rPr>
        <w:t>do</w:t>
      </w:r>
      <w:proofErr w:type="gramEnd"/>
      <w:r w:rsidRPr="00421988">
        <w:rPr>
          <w:lang w:val="en"/>
        </w:rPr>
        <w:t xml:space="preserve"> not, standing alone, satisfy the “cumulative effects” hypothesis that underlay </w:t>
      </w:r>
      <w:proofErr w:type="spellStart"/>
      <w:r w:rsidRPr="00421988">
        <w:rPr>
          <w:lang w:val="en"/>
        </w:rPr>
        <w:t>Sugrue’s</w:t>
      </w:r>
      <w:proofErr w:type="spellEnd"/>
      <w:r w:rsidRPr="00421988">
        <w:rPr>
          <w:lang w:val="en"/>
        </w:rPr>
        <w:t xml:space="preserve"> claim.</w:t>
      </w:r>
    </w:p>
    <w:p w:rsidR="00421988" w:rsidRPr="00421988" w:rsidRDefault="00421988" w:rsidP="00421988">
      <w:pPr>
        <w:ind w:left="720" w:right="720"/>
        <w:rPr>
          <w:lang w:val="en"/>
        </w:rPr>
      </w:pPr>
    </w:p>
    <w:p w:rsidR="00FC2769" w:rsidRPr="00421988" w:rsidRDefault="00E71C71" w:rsidP="00421988">
      <w:pPr>
        <w:spacing w:line="480" w:lineRule="auto"/>
        <w:ind w:firstLine="720"/>
        <w:rPr>
          <w:color w:val="000000" w:themeColor="text1"/>
        </w:rPr>
      </w:pPr>
      <w:r>
        <w:rPr>
          <w:color w:val="000000" w:themeColor="text1"/>
        </w:rPr>
        <w:lastRenderedPageBreak/>
        <w:t>Ms. Faggioli testified that d</w:t>
      </w:r>
      <w:r w:rsidRPr="00247E28">
        <w:rPr>
          <w:color w:val="000000" w:themeColor="text1"/>
        </w:rPr>
        <w:t xml:space="preserve">uring her October 26, 2011 meeting with </w:t>
      </w:r>
      <w:r>
        <w:rPr>
          <w:color w:val="000000" w:themeColor="text1"/>
        </w:rPr>
        <w:t>Mr.</w:t>
      </w:r>
      <w:r w:rsidRPr="00247E28">
        <w:rPr>
          <w:color w:val="000000" w:themeColor="text1"/>
        </w:rPr>
        <w:t xml:space="preserve"> Marshall and Mr. Lima, </w:t>
      </w:r>
      <w:r>
        <w:rPr>
          <w:color w:val="000000" w:themeColor="text1"/>
        </w:rPr>
        <w:t xml:space="preserve">the principal said, </w:t>
      </w:r>
      <w:r w:rsidRPr="00247E28">
        <w:rPr>
          <w:color w:val="000000" w:themeColor="text1"/>
        </w:rPr>
        <w:t>“I don’t want you in the building.  The job is not yours and nobod</w:t>
      </w:r>
      <w:r>
        <w:rPr>
          <w:color w:val="000000" w:themeColor="text1"/>
        </w:rPr>
        <w:t xml:space="preserve">y likes you.” </w:t>
      </w:r>
      <w:r w:rsidR="00AA4A09">
        <w:rPr>
          <w:color w:val="000000" w:themeColor="text1"/>
          <w:shd w:val="clear" w:color="auto" w:fill="FFFFFF"/>
        </w:rPr>
        <w:t>E</w:t>
      </w:r>
      <w:r>
        <w:rPr>
          <w:color w:val="000000" w:themeColor="text1"/>
          <w:shd w:val="clear" w:color="auto" w:fill="FFFFFF"/>
        </w:rPr>
        <w:t xml:space="preserve">ven if </w:t>
      </w:r>
      <w:r w:rsidR="00AA4A09">
        <w:rPr>
          <w:color w:val="000000" w:themeColor="text1"/>
          <w:shd w:val="clear" w:color="auto" w:fill="FFFFFF"/>
        </w:rPr>
        <w:t>this interaction had occurred, it does not</w:t>
      </w:r>
      <w:r>
        <w:rPr>
          <w:color w:val="000000" w:themeColor="text1"/>
          <w:shd w:val="clear" w:color="auto" w:fill="FFFFFF"/>
        </w:rPr>
        <w:t xml:space="preserve"> amount to the intentional infliction of emotional distress. For actions to meet the standard of intentional infliction of emotional distress, they must be “extreme and outrageous, beyond all possible bounds of decency, and utterly intolerable in a civilized society.”  </w:t>
      </w:r>
      <w:r>
        <w:rPr>
          <w:i/>
          <w:color w:val="000000" w:themeColor="text1"/>
          <w:shd w:val="clear" w:color="auto" w:fill="FFFFFF"/>
        </w:rPr>
        <w:t>See Barnacle v. Winthrop Retirement Bd</w:t>
      </w:r>
      <w:r>
        <w:rPr>
          <w:color w:val="000000" w:themeColor="text1"/>
          <w:shd w:val="clear" w:color="auto" w:fill="FFFFFF"/>
        </w:rPr>
        <w:t xml:space="preserve">., CR-13-367 (Mass. Div. of Admin. Law App., Aug. 21, 2015), citing </w:t>
      </w:r>
      <w:r w:rsidRPr="003F1E87">
        <w:rPr>
          <w:color w:val="000000" w:themeColor="text1"/>
          <w:shd w:val="clear" w:color="auto" w:fill="FFFFFF"/>
        </w:rPr>
        <w:t>Foley</w:t>
      </w:r>
      <w:r>
        <w:rPr>
          <w:i/>
          <w:color w:val="000000" w:themeColor="text1"/>
          <w:shd w:val="clear" w:color="auto" w:fill="FFFFFF"/>
        </w:rPr>
        <w:t xml:space="preserve"> v. Polaroid Corp.</w:t>
      </w:r>
      <w:r>
        <w:rPr>
          <w:color w:val="000000" w:themeColor="text1"/>
          <w:shd w:val="clear" w:color="auto" w:fill="FFFFFF"/>
        </w:rPr>
        <w:t>, 400 Mass. 82, 99 (1987).  Further, liability “cannot be predicated upon ‘mere insults, indignities, threats, annoyances, petty oppressions, or other trivialities,’ nor even is it enough ‘that the defendant has acted with an intent which is tortious or even criminal, or that he has intended to inflict emotional distress, or even that h</w:t>
      </w:r>
      <w:r w:rsidR="00206EC6">
        <w:rPr>
          <w:color w:val="000000" w:themeColor="text1"/>
          <w:shd w:val="clear" w:color="auto" w:fill="FFFFFF"/>
        </w:rPr>
        <w:t>i</w:t>
      </w:r>
      <w:r>
        <w:rPr>
          <w:color w:val="000000" w:themeColor="text1"/>
          <w:shd w:val="clear" w:color="auto" w:fill="FFFFFF"/>
        </w:rPr>
        <w:t xml:space="preserve">s conduct has been characterized by ‘malice.’”  </w:t>
      </w:r>
      <w:r>
        <w:rPr>
          <w:i/>
          <w:color w:val="000000" w:themeColor="text1"/>
          <w:shd w:val="clear" w:color="auto" w:fill="FFFFFF"/>
        </w:rPr>
        <w:t>Id.</w:t>
      </w:r>
      <w:r>
        <w:rPr>
          <w:color w:val="000000" w:themeColor="text1"/>
          <w:shd w:val="clear" w:color="auto" w:fill="FFFFFF"/>
        </w:rPr>
        <w:t xml:space="preserve">; </w:t>
      </w:r>
      <w:r>
        <w:rPr>
          <w:i/>
          <w:color w:val="000000" w:themeColor="text1"/>
          <w:shd w:val="clear" w:color="auto" w:fill="FFFFFF"/>
        </w:rPr>
        <w:t>see e.g.</w:t>
      </w:r>
      <w:r>
        <w:rPr>
          <w:color w:val="000000" w:themeColor="text1"/>
          <w:shd w:val="clear" w:color="auto" w:fill="FFFFFF"/>
        </w:rPr>
        <w:t xml:space="preserve"> Restatement (Second) of Torts § 46, comment d (1965). </w:t>
      </w:r>
      <w:r w:rsidR="003666DE">
        <w:rPr>
          <w:color w:val="000000" w:themeColor="text1"/>
          <w:shd w:val="clear" w:color="auto" w:fill="FFFFFF"/>
        </w:rPr>
        <w:t>Even if Ms. Faggioli felt anxious or depressed, the acts of asking someone to do something they are not ordinarily responsible for doing</w:t>
      </w:r>
      <w:r w:rsidR="008070DD">
        <w:rPr>
          <w:color w:val="000000" w:themeColor="text1"/>
          <w:shd w:val="clear" w:color="auto" w:fill="FFFFFF"/>
        </w:rPr>
        <w:t xml:space="preserve"> in workplace</w:t>
      </w:r>
      <w:r w:rsidR="003666DE">
        <w:rPr>
          <w:color w:val="000000" w:themeColor="text1"/>
          <w:shd w:val="clear" w:color="auto" w:fill="FFFFFF"/>
        </w:rPr>
        <w:t>, or allegedly telling them that they are not welcome at a job anymore are not “extreme and outrageous.”</w:t>
      </w:r>
      <w:r w:rsidR="001F58B0">
        <w:rPr>
          <w:color w:val="000000" w:themeColor="text1"/>
          <w:shd w:val="clear" w:color="auto" w:fill="FFFFFF"/>
        </w:rPr>
        <w:t xml:space="preserve"> </w:t>
      </w:r>
      <w:r w:rsidR="001F58B0">
        <w:rPr>
          <w:i/>
          <w:color w:val="000000" w:themeColor="text1"/>
          <w:shd w:val="clear" w:color="auto" w:fill="FFFFFF"/>
        </w:rPr>
        <w:t>See O’Connor v. State Board of Retirement</w:t>
      </w:r>
      <w:r w:rsidR="001F58B0">
        <w:rPr>
          <w:color w:val="000000" w:themeColor="text1"/>
          <w:shd w:val="clear" w:color="auto" w:fill="FFFFFF"/>
        </w:rPr>
        <w:t>, CR-</w:t>
      </w:r>
      <w:r w:rsidR="00F31706">
        <w:rPr>
          <w:color w:val="000000" w:themeColor="text1"/>
          <w:shd w:val="clear" w:color="auto" w:fill="FFFFFF"/>
        </w:rPr>
        <w:t>13-372 (Mass. Div. of Admin</w:t>
      </w:r>
      <w:r w:rsidR="00C10E89">
        <w:rPr>
          <w:color w:val="000000" w:themeColor="text1"/>
          <w:shd w:val="clear" w:color="auto" w:fill="FFFFFF"/>
        </w:rPr>
        <w:t>. Law App.</w:t>
      </w:r>
      <w:r w:rsidR="00F31706">
        <w:rPr>
          <w:color w:val="000000" w:themeColor="text1"/>
          <w:shd w:val="clear" w:color="auto" w:fill="FFFFFF"/>
        </w:rPr>
        <w:t xml:space="preserve">, </w:t>
      </w:r>
      <w:r w:rsidR="005F2DCA">
        <w:rPr>
          <w:color w:val="000000" w:themeColor="text1"/>
          <w:shd w:val="clear" w:color="auto" w:fill="FFFFFF"/>
        </w:rPr>
        <w:t>Jun. 16, 2017)</w:t>
      </w:r>
      <w:r w:rsidR="00EA775C">
        <w:rPr>
          <w:color w:val="000000" w:themeColor="text1"/>
          <w:shd w:val="clear" w:color="auto" w:fill="FFFFFF"/>
        </w:rPr>
        <w:t xml:space="preserve"> (“to support a claim for an emotional disability, a petitioner must show that her injury amounts to more than her own feelings of persecution and personal victimization</w:t>
      </w:r>
      <w:r w:rsidR="00421988">
        <w:rPr>
          <w:color w:val="000000" w:themeColor="text1"/>
          <w:shd w:val="clear" w:color="auto" w:fill="FFFFFF"/>
        </w:rPr>
        <w:t>.”)</w:t>
      </w:r>
    </w:p>
    <w:p w:rsidR="00822A9F" w:rsidRPr="00A64350" w:rsidRDefault="00822A9F" w:rsidP="00822A9F">
      <w:pPr>
        <w:pStyle w:val="le-normal-32-level"/>
        <w:spacing w:line="480" w:lineRule="auto"/>
        <w:ind w:firstLine="720"/>
        <w:rPr>
          <w:rFonts w:ascii="Times New Roman" w:hAnsi="Times New Roman" w:cs="Times New Roman"/>
          <w:color w:val="auto"/>
        </w:rPr>
      </w:pPr>
      <w:r w:rsidRPr="000F115D">
        <w:rPr>
          <w:rFonts w:ascii="Times New Roman" w:hAnsi="Times New Roman"/>
        </w:rPr>
        <w:t xml:space="preserve">Ms. </w:t>
      </w:r>
      <w:proofErr w:type="spellStart"/>
      <w:r w:rsidR="00421988">
        <w:rPr>
          <w:rFonts w:ascii="Times New Roman" w:hAnsi="Times New Roman"/>
        </w:rPr>
        <w:t>Faggiloi</w:t>
      </w:r>
      <w:proofErr w:type="spellEnd"/>
      <w:r w:rsidRPr="000F115D">
        <w:rPr>
          <w:rFonts w:ascii="Times New Roman" w:hAnsi="Times New Roman"/>
        </w:rPr>
        <w:t xml:space="preserve"> </w:t>
      </w:r>
      <w:r w:rsidR="00A64350">
        <w:rPr>
          <w:rFonts w:ascii="Times New Roman" w:hAnsi="Times New Roman"/>
        </w:rPr>
        <w:t>left work</w:t>
      </w:r>
      <w:r w:rsidRPr="000F115D">
        <w:rPr>
          <w:rFonts w:ascii="Times New Roman" w:hAnsi="Times New Roman"/>
        </w:rPr>
        <w:t xml:space="preserve"> </w:t>
      </w:r>
      <w:r>
        <w:rPr>
          <w:rFonts w:ascii="Times New Roman" w:hAnsi="Times New Roman"/>
        </w:rPr>
        <w:t xml:space="preserve">on </w:t>
      </w:r>
      <w:r w:rsidR="00421988">
        <w:rPr>
          <w:rFonts w:ascii="Times New Roman" w:hAnsi="Times New Roman"/>
        </w:rPr>
        <w:t>August 2, 2011</w:t>
      </w:r>
      <w:r w:rsidR="00A64350">
        <w:rPr>
          <w:rFonts w:ascii="Times New Roman" w:hAnsi="Times New Roman"/>
        </w:rPr>
        <w:t>, t</w:t>
      </w:r>
      <w:r w:rsidRPr="000F115D">
        <w:rPr>
          <w:rFonts w:ascii="Times New Roman" w:hAnsi="Times New Roman"/>
        </w:rPr>
        <w:t xml:space="preserve">he date to be used in determining disability. </w:t>
      </w:r>
      <w:r w:rsidRPr="000F115D">
        <w:rPr>
          <w:rFonts w:ascii="Times New Roman" w:hAnsi="Times New Roman"/>
          <w:i/>
        </w:rPr>
        <w:t xml:space="preserve">See, e.g. </w:t>
      </w:r>
      <w:proofErr w:type="spellStart"/>
      <w:r w:rsidRPr="000F115D">
        <w:rPr>
          <w:rFonts w:ascii="Times New Roman" w:hAnsi="Times New Roman"/>
          <w:i/>
        </w:rPr>
        <w:t>McGrail</w:t>
      </w:r>
      <w:proofErr w:type="spellEnd"/>
      <w:r w:rsidRPr="000F115D">
        <w:rPr>
          <w:rFonts w:ascii="Times New Roman" w:hAnsi="Times New Roman"/>
          <w:i/>
        </w:rPr>
        <w:t xml:space="preserve"> v. Boston Retirement Bd.</w:t>
      </w:r>
      <w:r w:rsidRPr="000F115D">
        <w:rPr>
          <w:rFonts w:ascii="Times New Roman" w:hAnsi="Times New Roman"/>
        </w:rPr>
        <w:t xml:space="preserve">, CR-90-296 </w:t>
      </w:r>
      <w:r w:rsidR="00A64350" w:rsidRPr="00A64350">
        <w:rPr>
          <w:rFonts w:ascii="Times New Roman" w:hAnsi="Times New Roman" w:cs="Times New Roman"/>
          <w:color w:val="000000" w:themeColor="text1"/>
          <w:shd w:val="clear" w:color="auto" w:fill="FFFFFF"/>
        </w:rPr>
        <w:t xml:space="preserve">(Mass. Div. of Admin. Law App., </w:t>
      </w:r>
      <w:r w:rsidR="00C22413">
        <w:rPr>
          <w:rFonts w:ascii="Times New Roman" w:hAnsi="Times New Roman" w:cs="Times New Roman"/>
          <w:color w:val="000000" w:themeColor="text1"/>
          <w:shd w:val="clear" w:color="auto" w:fill="FFFFFF"/>
        </w:rPr>
        <w:t>Feb. 6, 1992</w:t>
      </w:r>
      <w:r w:rsidR="00A64350" w:rsidRPr="00A64350">
        <w:rPr>
          <w:rFonts w:ascii="Times New Roman" w:hAnsi="Times New Roman" w:cs="Times New Roman"/>
          <w:color w:val="000000" w:themeColor="text1"/>
          <w:shd w:val="clear" w:color="auto" w:fill="FFFFFF"/>
        </w:rPr>
        <w:t>.</w:t>
      </w:r>
      <w:r w:rsidR="00A64350">
        <w:rPr>
          <w:rFonts w:ascii="Times New Roman" w:hAnsi="Times New Roman" w:cs="Times New Roman"/>
          <w:color w:val="000000" w:themeColor="text1"/>
          <w:shd w:val="clear" w:color="auto" w:fill="FFFFFF"/>
        </w:rPr>
        <w:t>)</w:t>
      </w:r>
      <w:r w:rsidR="00A64350" w:rsidRPr="00A64350">
        <w:rPr>
          <w:rFonts w:ascii="Times New Roman" w:hAnsi="Times New Roman" w:cs="Times New Roman"/>
          <w:color w:val="000000" w:themeColor="text1"/>
          <w:shd w:val="clear" w:color="auto" w:fill="FFFFFF"/>
        </w:rPr>
        <w:t xml:space="preserve"> </w:t>
      </w:r>
      <w:r w:rsidRPr="00A64350">
        <w:rPr>
          <w:rFonts w:ascii="Times New Roman" w:hAnsi="Times New Roman" w:cs="Times New Roman"/>
        </w:rPr>
        <w:t>Ther</w:t>
      </w:r>
      <w:r w:rsidRPr="000F115D">
        <w:rPr>
          <w:rFonts w:ascii="Times New Roman" w:hAnsi="Times New Roman"/>
        </w:rPr>
        <w:t xml:space="preserve">e has to be some evidence to demonstrate that Ms. </w:t>
      </w:r>
      <w:r w:rsidR="00421988">
        <w:rPr>
          <w:rFonts w:ascii="Times New Roman" w:hAnsi="Times New Roman"/>
        </w:rPr>
        <w:t>Faggioli</w:t>
      </w:r>
      <w:r w:rsidRPr="000F115D">
        <w:rPr>
          <w:rFonts w:ascii="Times New Roman" w:hAnsi="Times New Roman"/>
        </w:rPr>
        <w:t xml:space="preserve"> stopped working due to the medical condition on which her application is based. Here, Ms. </w:t>
      </w:r>
      <w:r w:rsidR="00421988">
        <w:rPr>
          <w:rFonts w:ascii="Times New Roman" w:hAnsi="Times New Roman"/>
        </w:rPr>
        <w:t>Faggioli</w:t>
      </w:r>
      <w:r w:rsidRPr="000F115D">
        <w:rPr>
          <w:rFonts w:ascii="Times New Roman" w:hAnsi="Times New Roman"/>
        </w:rPr>
        <w:t xml:space="preserve"> has not presented a prima facie case in support of her application for accidental disability retirement. </w:t>
      </w:r>
      <w:r w:rsidRPr="000F115D">
        <w:rPr>
          <w:rFonts w:ascii="Times New Roman" w:hAnsi="Times New Roman"/>
          <w:i/>
        </w:rPr>
        <w:t xml:space="preserve">See Forrest v. </w:t>
      </w:r>
      <w:r w:rsidRPr="000F115D">
        <w:rPr>
          <w:rFonts w:ascii="Times New Roman" w:hAnsi="Times New Roman"/>
          <w:i/>
        </w:rPr>
        <w:lastRenderedPageBreak/>
        <w:t>Weymouth Retirement Bd</w:t>
      </w:r>
      <w:r w:rsidRPr="000F115D">
        <w:rPr>
          <w:rFonts w:ascii="Times New Roman" w:hAnsi="Times New Roman"/>
        </w:rPr>
        <w:t>., CR-12-69</w:t>
      </w:r>
      <w:r w:rsidR="00A64350">
        <w:rPr>
          <w:rFonts w:ascii="Times New Roman" w:hAnsi="Times New Roman"/>
        </w:rPr>
        <w:t>0</w:t>
      </w:r>
      <w:r w:rsidRPr="000F115D">
        <w:rPr>
          <w:rFonts w:ascii="Times New Roman" w:hAnsi="Times New Roman"/>
        </w:rPr>
        <w:t xml:space="preserve">, </w:t>
      </w:r>
      <w:proofErr w:type="gramStart"/>
      <w:r w:rsidR="00A64350" w:rsidRPr="00A64350">
        <w:rPr>
          <w:rFonts w:ascii="Times New Roman" w:hAnsi="Times New Roman" w:cs="Times New Roman"/>
          <w:color w:val="000000" w:themeColor="text1"/>
          <w:shd w:val="clear" w:color="auto" w:fill="FFFFFF"/>
        </w:rPr>
        <w:t>(</w:t>
      </w:r>
      <w:proofErr w:type="gramEnd"/>
      <w:r w:rsidR="00A64350" w:rsidRPr="00A64350">
        <w:rPr>
          <w:rFonts w:ascii="Times New Roman" w:hAnsi="Times New Roman" w:cs="Times New Roman"/>
          <w:color w:val="000000" w:themeColor="text1"/>
          <w:shd w:val="clear" w:color="auto" w:fill="FFFFFF"/>
        </w:rPr>
        <w:t xml:space="preserve">Mass. Div. of Admin. Law App., </w:t>
      </w:r>
      <w:r w:rsidR="00A64350">
        <w:rPr>
          <w:rFonts w:ascii="Times New Roman" w:hAnsi="Times New Roman" w:cs="Times New Roman"/>
          <w:color w:val="000000" w:themeColor="text1"/>
          <w:shd w:val="clear" w:color="auto" w:fill="FFFFFF"/>
        </w:rPr>
        <w:t>Feb. 27,</w:t>
      </w:r>
      <w:r w:rsidR="00A64350" w:rsidRPr="00A64350">
        <w:rPr>
          <w:rFonts w:ascii="Times New Roman" w:hAnsi="Times New Roman" w:cs="Times New Roman"/>
          <w:color w:val="000000" w:themeColor="text1"/>
          <w:shd w:val="clear" w:color="auto" w:fill="FFFFFF"/>
        </w:rPr>
        <w:t xml:space="preserve"> </w:t>
      </w:r>
      <w:r w:rsidRPr="00A64350">
        <w:rPr>
          <w:rFonts w:ascii="Times New Roman" w:hAnsi="Times New Roman" w:cs="Times New Roman"/>
        </w:rPr>
        <w:t xml:space="preserve">2014), </w:t>
      </w:r>
      <w:r w:rsidRPr="00A64350">
        <w:rPr>
          <w:rFonts w:ascii="Times New Roman" w:hAnsi="Times New Roman" w:cs="Times New Roman"/>
          <w:i/>
        </w:rPr>
        <w:t>aff’d</w:t>
      </w:r>
      <w:r w:rsidRPr="00A64350">
        <w:rPr>
          <w:rFonts w:ascii="Times New Roman" w:hAnsi="Times New Roman" w:cs="Times New Roman"/>
        </w:rPr>
        <w:t xml:space="preserve"> (C</w:t>
      </w:r>
      <w:r w:rsidR="00E437C7">
        <w:rPr>
          <w:rFonts w:ascii="Times New Roman" w:hAnsi="Times New Roman" w:cs="Times New Roman"/>
        </w:rPr>
        <w:t>ontributory Retirement App. Bd.,</w:t>
      </w:r>
      <w:r w:rsidRPr="00A64350">
        <w:rPr>
          <w:rFonts w:ascii="Times New Roman" w:hAnsi="Times New Roman" w:cs="Times New Roman"/>
        </w:rPr>
        <w:t xml:space="preserve"> </w:t>
      </w:r>
      <w:r w:rsidR="00A64350">
        <w:rPr>
          <w:rFonts w:ascii="Times New Roman" w:hAnsi="Times New Roman" w:cs="Times New Roman"/>
        </w:rPr>
        <w:t xml:space="preserve">April 13, </w:t>
      </w:r>
      <w:r w:rsidRPr="00A64350">
        <w:rPr>
          <w:rFonts w:ascii="Times New Roman" w:hAnsi="Times New Roman" w:cs="Times New Roman"/>
        </w:rPr>
        <w:t xml:space="preserve">2015). </w:t>
      </w:r>
    </w:p>
    <w:p w:rsidR="00822A9F" w:rsidRPr="000F115D" w:rsidRDefault="00822A9F" w:rsidP="00822A9F">
      <w:pPr>
        <w:spacing w:line="480" w:lineRule="auto"/>
        <w:ind w:firstLine="720"/>
        <w:rPr>
          <w:rFonts w:eastAsia="Times New Roman"/>
        </w:rPr>
      </w:pPr>
      <w:r>
        <w:rPr>
          <w:rFonts w:eastAsia="Times New Roman"/>
        </w:rPr>
        <w:t xml:space="preserve">Even if Ms. </w:t>
      </w:r>
      <w:r w:rsidR="00421988">
        <w:rPr>
          <w:rFonts w:eastAsia="Times New Roman"/>
        </w:rPr>
        <w:t>Faggioli</w:t>
      </w:r>
      <w:r>
        <w:rPr>
          <w:rFonts w:eastAsia="Times New Roman"/>
        </w:rPr>
        <w:t xml:space="preserve"> began </w:t>
      </w:r>
      <w:r w:rsidRPr="000F115D">
        <w:rPr>
          <w:rFonts w:eastAsia="Times New Roman"/>
        </w:rPr>
        <w:t>experiencing symptoms after h</w:t>
      </w:r>
      <w:r>
        <w:rPr>
          <w:rFonts w:eastAsia="Times New Roman"/>
        </w:rPr>
        <w:t>er</w:t>
      </w:r>
      <w:r w:rsidRPr="000F115D">
        <w:rPr>
          <w:rFonts w:eastAsia="Times New Roman"/>
        </w:rPr>
        <w:t xml:space="preserve"> last day performing h</w:t>
      </w:r>
      <w:r>
        <w:rPr>
          <w:rFonts w:eastAsia="Times New Roman"/>
        </w:rPr>
        <w:t>er</w:t>
      </w:r>
      <w:r w:rsidRPr="000F115D">
        <w:rPr>
          <w:rFonts w:eastAsia="Times New Roman"/>
        </w:rPr>
        <w:t xml:space="preserve"> duties, </w:t>
      </w:r>
      <w:r>
        <w:rPr>
          <w:rFonts w:eastAsia="Times New Roman"/>
        </w:rPr>
        <w:t>it would be irrelevant. A</w:t>
      </w:r>
      <w:r w:rsidRPr="000F115D">
        <w:rPr>
          <w:rFonts w:eastAsia="Times New Roman"/>
        </w:rPr>
        <w:t xml:space="preserve">t best </w:t>
      </w:r>
      <w:r>
        <w:rPr>
          <w:rFonts w:eastAsia="Times New Roman"/>
        </w:rPr>
        <w:t>s</w:t>
      </w:r>
      <w:r w:rsidRPr="000F115D">
        <w:rPr>
          <w:rFonts w:eastAsia="Times New Roman"/>
        </w:rPr>
        <w:t xml:space="preserve">he would have a “subsequently matured disability,” which cannot form the basis for a disability retirement. </w:t>
      </w:r>
      <w:r w:rsidRPr="000F115D">
        <w:rPr>
          <w:rFonts w:eastAsia="Times New Roman"/>
          <w:i/>
        </w:rPr>
        <w:t>See Forrest</w:t>
      </w:r>
      <w:r w:rsidRPr="000F115D">
        <w:rPr>
          <w:rFonts w:eastAsia="Times New Roman"/>
        </w:rPr>
        <w:t>, CR-12-690.</w:t>
      </w:r>
      <w:r>
        <w:rPr>
          <w:rFonts w:eastAsia="Times New Roman"/>
        </w:rPr>
        <w:t xml:space="preserve"> </w:t>
      </w:r>
      <w:r w:rsidRPr="000F115D">
        <w:rPr>
          <w:rFonts w:eastAsia="Times New Roman"/>
          <w:i/>
        </w:rPr>
        <w:t>Vest v</w:t>
      </w:r>
      <w:r w:rsidR="00E437C7">
        <w:rPr>
          <w:rFonts w:eastAsia="Times New Roman"/>
          <w:i/>
        </w:rPr>
        <w:t>. Contributory Retirement App.</w:t>
      </w:r>
      <w:r w:rsidRPr="000F115D">
        <w:rPr>
          <w:rFonts w:eastAsia="Times New Roman"/>
          <w:i/>
        </w:rPr>
        <w:t xml:space="preserve"> Bd.</w:t>
      </w:r>
      <w:r>
        <w:rPr>
          <w:rFonts w:eastAsia="Times New Roman"/>
        </w:rPr>
        <w:t xml:space="preserve"> </w:t>
      </w:r>
      <w:r w:rsidRPr="000F115D">
        <w:rPr>
          <w:rFonts w:eastAsia="Times New Roman"/>
        </w:rPr>
        <w:t xml:space="preserve">stands for the proposition that a disability must mature no later than the last day that the member performs </w:t>
      </w:r>
      <w:r>
        <w:rPr>
          <w:rFonts w:eastAsia="Times New Roman"/>
        </w:rPr>
        <w:t>her</w:t>
      </w:r>
      <w:r w:rsidRPr="000F115D">
        <w:rPr>
          <w:rFonts w:eastAsia="Times New Roman"/>
        </w:rPr>
        <w:t xml:space="preserve"> duties. </w:t>
      </w:r>
      <w:proofErr w:type="gramStart"/>
      <w:r w:rsidRPr="000F115D">
        <w:rPr>
          <w:rFonts w:eastAsia="Times New Roman"/>
        </w:rPr>
        <w:t>41 Mass. App. Ct. 19</w:t>
      </w:r>
      <w:r>
        <w:rPr>
          <w:rFonts w:eastAsia="Times New Roman"/>
        </w:rPr>
        <w:t>1, 19</w:t>
      </w:r>
      <w:r w:rsidRPr="000F115D">
        <w:rPr>
          <w:rFonts w:eastAsia="Times New Roman"/>
        </w:rPr>
        <w:t>2.</w:t>
      </w:r>
      <w:proofErr w:type="gramEnd"/>
      <w:r w:rsidRPr="000F115D">
        <w:rPr>
          <w:rFonts w:eastAsia="Times New Roman"/>
        </w:rPr>
        <w:t xml:space="preserve"> </w:t>
      </w:r>
      <w:r>
        <w:rPr>
          <w:rFonts w:eastAsia="Times New Roman"/>
        </w:rPr>
        <w:t xml:space="preserve">In </w:t>
      </w:r>
      <w:r w:rsidRPr="00F46023">
        <w:rPr>
          <w:rFonts w:eastAsia="Times New Roman"/>
          <w:i/>
        </w:rPr>
        <w:t>Vest</w:t>
      </w:r>
      <w:r>
        <w:rPr>
          <w:rFonts w:eastAsia="Times New Roman"/>
        </w:rPr>
        <w:t>, the member</w:t>
      </w:r>
      <w:r w:rsidRPr="000F115D">
        <w:rPr>
          <w:rFonts w:eastAsia="Times New Roman"/>
        </w:rPr>
        <w:t xml:space="preserve"> police officer became disabled due to hypertension four years after he left the police department. The officer had been diagnosed with hypertension 12 years before his last day of service. Nevertheless, he was able to perform the essential duties of a police officer until his s</w:t>
      </w:r>
      <w:r>
        <w:rPr>
          <w:rFonts w:eastAsia="Times New Roman"/>
        </w:rPr>
        <w:t>everance for nonmedical reasons</w:t>
      </w:r>
      <w:r w:rsidRPr="000F115D">
        <w:rPr>
          <w:rFonts w:eastAsia="Times New Roman"/>
        </w:rPr>
        <w:t xml:space="preserve">. The court concluded that the injury had not matured into a disabling one while the officer was a member in service, and held that the officer “could not claim accidental disability retirement status on the basis of a subsequently matured disability.” </w:t>
      </w:r>
      <w:r w:rsidRPr="000F115D">
        <w:rPr>
          <w:rFonts w:eastAsia="Times New Roman"/>
          <w:i/>
        </w:rPr>
        <w:t>Id</w:t>
      </w:r>
      <w:r w:rsidRPr="000F115D">
        <w:rPr>
          <w:rFonts w:eastAsia="Times New Roman"/>
        </w:rPr>
        <w:t xml:space="preserve">. at </w:t>
      </w:r>
      <w:r>
        <w:rPr>
          <w:rFonts w:eastAsia="Times New Roman"/>
        </w:rPr>
        <w:t>192-</w:t>
      </w:r>
      <w:r w:rsidRPr="000F115D">
        <w:rPr>
          <w:rFonts w:eastAsia="Times New Roman"/>
        </w:rPr>
        <w:t>194.</w:t>
      </w:r>
    </w:p>
    <w:p w:rsidR="008D42BA" w:rsidRPr="00421988" w:rsidRDefault="00822A9F" w:rsidP="00421988">
      <w:pPr>
        <w:spacing w:line="480" w:lineRule="auto"/>
        <w:ind w:firstLine="720"/>
        <w:rPr>
          <w:rFonts w:eastAsia="Times New Roman"/>
        </w:rPr>
      </w:pPr>
      <w:r w:rsidRPr="000F115D">
        <w:rPr>
          <w:lang w:val="en"/>
        </w:rPr>
        <w:t xml:space="preserve">Ms. </w:t>
      </w:r>
      <w:r w:rsidR="00421988">
        <w:rPr>
          <w:lang w:val="en"/>
        </w:rPr>
        <w:t>Faggioli</w:t>
      </w:r>
      <w:r w:rsidRPr="000F115D">
        <w:rPr>
          <w:lang w:val="en"/>
        </w:rPr>
        <w:t xml:space="preserve"> is not eligible for accidental disability benefits because she was not totally and permanently disabled on her last day </w:t>
      </w:r>
      <w:r w:rsidR="005A75C1">
        <w:rPr>
          <w:lang w:val="en"/>
        </w:rPr>
        <w:t xml:space="preserve">of </w:t>
      </w:r>
      <w:r w:rsidRPr="000F115D">
        <w:rPr>
          <w:lang w:val="en"/>
        </w:rPr>
        <w:t>work due to a work-related disabling condition or incapacity. She was unable to prove that her condition was due to a work-related injury, and thus could not be so injured on the last day of her employment.</w:t>
      </w:r>
      <w:r w:rsidR="00421988">
        <w:rPr>
          <w:rFonts w:eastAsia="Times New Roman"/>
        </w:rPr>
        <w:t xml:space="preserve"> </w:t>
      </w:r>
      <w:r w:rsidR="008D42BA" w:rsidRPr="007B7286">
        <w:rPr>
          <w:rFonts w:eastAsia="Times New Roman"/>
          <w:color w:val="000000" w:themeColor="text1"/>
        </w:rPr>
        <w:t>In processing a disability retirement application, the Board is permitted at any stage of the proce</w:t>
      </w:r>
      <w:r w:rsidR="00421988">
        <w:rPr>
          <w:rFonts w:eastAsia="Times New Roman"/>
          <w:color w:val="000000" w:themeColor="text1"/>
        </w:rPr>
        <w:t>edings to deny the application “</w:t>
      </w:r>
      <w:r w:rsidR="008D42BA" w:rsidRPr="007B7286">
        <w:rPr>
          <w:rFonts w:eastAsia="Times New Roman"/>
          <w:color w:val="000000" w:themeColor="text1"/>
        </w:rPr>
        <w:t>if it determines that the member cannot be retired as a matter of law</w:t>
      </w:r>
      <w:r w:rsidR="008F6637">
        <w:rPr>
          <w:rFonts w:eastAsia="Times New Roman"/>
          <w:color w:val="000000" w:themeColor="text1"/>
        </w:rPr>
        <w:t>.</w:t>
      </w:r>
      <w:r w:rsidR="00421988">
        <w:rPr>
          <w:rFonts w:eastAsia="Times New Roman"/>
          <w:color w:val="000000" w:themeColor="text1"/>
        </w:rPr>
        <w:t>”</w:t>
      </w:r>
      <w:r w:rsidR="00F006A2">
        <w:rPr>
          <w:rFonts w:eastAsia="Times New Roman"/>
          <w:color w:val="000000" w:themeColor="text1"/>
        </w:rPr>
        <w:t xml:space="preserve"> </w:t>
      </w:r>
      <w:proofErr w:type="gramStart"/>
      <w:r w:rsidR="008D42BA" w:rsidRPr="007B7286">
        <w:rPr>
          <w:rFonts w:eastAsia="Times New Roman"/>
          <w:color w:val="000000" w:themeColor="text1"/>
        </w:rPr>
        <w:t>840 CMR 10.09(2).</w:t>
      </w:r>
      <w:proofErr w:type="gramEnd"/>
      <w:r w:rsidR="00AC4B7B">
        <w:rPr>
          <w:rStyle w:val="FootnoteReference"/>
          <w:rFonts w:eastAsia="Times New Roman"/>
          <w:color w:val="000000" w:themeColor="text1"/>
        </w:rPr>
        <w:footnoteReference w:id="1"/>
      </w:r>
      <w:r w:rsidR="008A4F5C">
        <w:rPr>
          <w:rFonts w:eastAsia="Times New Roman"/>
          <w:color w:val="000000" w:themeColor="text1"/>
        </w:rPr>
        <w:t xml:space="preserve"> </w:t>
      </w:r>
      <w:r w:rsidR="005720EC" w:rsidRPr="007B7286">
        <w:rPr>
          <w:rFonts w:eastAsia="Times New Roman"/>
          <w:color w:val="000000" w:themeColor="text1"/>
        </w:rPr>
        <w:t xml:space="preserve">As such, the Board’s denial of Ms. </w:t>
      </w:r>
      <w:r w:rsidR="008F40A3" w:rsidRPr="007B7286">
        <w:rPr>
          <w:rFonts w:eastAsia="Times New Roman"/>
          <w:color w:val="000000" w:themeColor="text1"/>
        </w:rPr>
        <w:t>Faggioli’s</w:t>
      </w:r>
      <w:r w:rsidR="005720EC" w:rsidRPr="007B7286">
        <w:rPr>
          <w:rFonts w:eastAsia="Times New Roman"/>
          <w:color w:val="000000" w:themeColor="text1"/>
        </w:rPr>
        <w:t xml:space="preserve"> application for accidental disability retirement was proper. </w:t>
      </w:r>
    </w:p>
    <w:p w:rsidR="00E90656" w:rsidRPr="00C961DC" w:rsidRDefault="008F40A3" w:rsidP="00421988">
      <w:pPr>
        <w:shd w:val="clear" w:color="auto" w:fill="FFFFFF"/>
        <w:spacing w:line="480" w:lineRule="auto"/>
        <w:ind w:firstLine="720"/>
        <w:rPr>
          <w:rFonts w:eastAsia="Times New Roman"/>
          <w:color w:val="000000" w:themeColor="text1"/>
        </w:rPr>
      </w:pPr>
      <w:r w:rsidRPr="00C961DC">
        <w:rPr>
          <w:rFonts w:eastAsia="Times New Roman"/>
          <w:color w:val="000000" w:themeColor="text1"/>
        </w:rPr>
        <w:lastRenderedPageBreak/>
        <w:t>Accordingly, the Fall River Retirement Board’s denial of Deborah Faggioli’s application for accidental disability retirement is affirmed.</w:t>
      </w:r>
    </w:p>
    <w:p w:rsidR="00064B3E" w:rsidRDefault="00064B3E" w:rsidP="00064B3E">
      <w:pPr>
        <w:spacing w:line="480" w:lineRule="auto"/>
      </w:pPr>
      <w:proofErr w:type="gramStart"/>
      <w:r>
        <w:t>SO ORDERED.</w:t>
      </w:r>
      <w:proofErr w:type="gramEnd"/>
    </w:p>
    <w:p w:rsidR="00064B3E" w:rsidRDefault="00064B3E" w:rsidP="00064B3E">
      <w:pPr>
        <w:spacing w:line="480" w:lineRule="auto"/>
      </w:pPr>
      <w:r>
        <w:t>DIVISION OF ADMINISTRATIVE LAW APPEALS</w:t>
      </w:r>
    </w:p>
    <w:p w:rsidR="00064B3E" w:rsidRDefault="00064B3E" w:rsidP="00064B3E">
      <w:pPr>
        <w:spacing w:line="480" w:lineRule="auto"/>
      </w:pPr>
    </w:p>
    <w:p w:rsidR="00064B3E" w:rsidRDefault="00064B3E" w:rsidP="00064B3E">
      <w:pPr>
        <w:contextualSpacing/>
      </w:pPr>
      <w:r>
        <w:t>_____________________________________________</w:t>
      </w:r>
    </w:p>
    <w:p w:rsidR="00064B3E" w:rsidRDefault="00064B3E" w:rsidP="00064B3E">
      <w:pPr>
        <w:contextualSpacing/>
      </w:pPr>
      <w:r>
        <w:t xml:space="preserve">Angela McConney Scheepers </w:t>
      </w:r>
    </w:p>
    <w:p w:rsidR="000C2B97" w:rsidRDefault="00BA4087" w:rsidP="00BA4087">
      <w:pPr>
        <w:contextualSpacing/>
      </w:pPr>
      <w:r>
        <w:t>Administrative Magistrate</w:t>
      </w:r>
    </w:p>
    <w:p w:rsidR="00BA4087" w:rsidRDefault="00BA4087" w:rsidP="00BA4087">
      <w:pPr>
        <w:contextualSpacing/>
      </w:pPr>
    </w:p>
    <w:p w:rsidR="00BA4087" w:rsidRPr="00BA4087" w:rsidRDefault="00BA4087" w:rsidP="00BA4087">
      <w:pPr>
        <w:contextualSpacing/>
      </w:pPr>
      <w:r>
        <w:t>DATED: August 1</w:t>
      </w:r>
      <w:r w:rsidR="000053BD">
        <w:t>8</w:t>
      </w:r>
      <w:r>
        <w:t>, 2017</w:t>
      </w:r>
    </w:p>
    <w:p w:rsidR="00AC76C9" w:rsidRPr="00B91B6E" w:rsidRDefault="00AC76C9" w:rsidP="00AC76C9">
      <w:pPr>
        <w:ind w:right="720"/>
        <w:rPr>
          <w:rFonts w:eastAsia="Times New Roman"/>
          <w:color w:val="000000" w:themeColor="text1"/>
        </w:rPr>
      </w:pPr>
    </w:p>
    <w:p w:rsidR="00C04496" w:rsidRPr="00B91B6E" w:rsidRDefault="00C04496" w:rsidP="00E120DC">
      <w:pPr>
        <w:spacing w:line="480" w:lineRule="auto"/>
        <w:ind w:right="720"/>
        <w:rPr>
          <w:rFonts w:eastAsia="Times New Roman"/>
          <w:color w:val="000000" w:themeColor="text1"/>
        </w:rPr>
      </w:pPr>
    </w:p>
    <w:p w:rsidR="00BB7C22" w:rsidRPr="00B91B6E" w:rsidRDefault="00BB7C22">
      <w:pPr>
        <w:spacing w:line="480" w:lineRule="auto"/>
        <w:ind w:right="720"/>
        <w:rPr>
          <w:rFonts w:eastAsia="Times New Roman"/>
          <w:color w:val="000000" w:themeColor="text1"/>
        </w:rPr>
      </w:pPr>
    </w:p>
    <w:sectPr w:rsidR="00BB7C22" w:rsidRPr="00B91B6E" w:rsidSect="00BB7C22">
      <w:headerReference w:type="default" r:id="rId19"/>
      <w:footerReference w:type="defaul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631" w:rsidRDefault="008B6631" w:rsidP="003D5283">
      <w:r>
        <w:separator/>
      </w:r>
    </w:p>
  </w:endnote>
  <w:endnote w:type="continuationSeparator" w:id="0">
    <w:p w:rsidR="008B6631" w:rsidRDefault="008B6631" w:rsidP="003D5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4388835"/>
      <w:docPartObj>
        <w:docPartGallery w:val="Page Numbers (Bottom of Page)"/>
        <w:docPartUnique/>
      </w:docPartObj>
    </w:sdtPr>
    <w:sdtEndPr>
      <w:rPr>
        <w:noProof/>
      </w:rPr>
    </w:sdtEndPr>
    <w:sdtContent>
      <w:p w:rsidR="00BB7C22" w:rsidRDefault="00BB7C22">
        <w:pPr>
          <w:pStyle w:val="Footer"/>
          <w:jc w:val="center"/>
        </w:pPr>
        <w:r>
          <w:fldChar w:fldCharType="begin"/>
        </w:r>
        <w:r>
          <w:instrText xml:space="preserve"> PAGE   \* MERGEFORMAT </w:instrText>
        </w:r>
        <w:r>
          <w:fldChar w:fldCharType="separate"/>
        </w:r>
        <w:r w:rsidR="00AE5B2E">
          <w:rPr>
            <w:noProof/>
          </w:rPr>
          <w:t>13</w:t>
        </w:r>
        <w:r>
          <w:rPr>
            <w:noProof/>
          </w:rPr>
          <w:fldChar w:fldCharType="end"/>
        </w:r>
      </w:p>
    </w:sdtContent>
  </w:sdt>
  <w:p w:rsidR="003C2C1F" w:rsidRDefault="003C2C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631" w:rsidRDefault="008B6631" w:rsidP="003D5283">
      <w:r>
        <w:separator/>
      </w:r>
    </w:p>
  </w:footnote>
  <w:footnote w:type="continuationSeparator" w:id="0">
    <w:p w:rsidR="008B6631" w:rsidRDefault="008B6631" w:rsidP="003D5283">
      <w:r>
        <w:continuationSeparator/>
      </w:r>
    </w:p>
  </w:footnote>
  <w:footnote w:id="1">
    <w:p w:rsidR="00AC4B7B" w:rsidRPr="00B10046" w:rsidRDefault="00AC4B7B" w:rsidP="00AC4B7B">
      <w:pPr>
        <w:pStyle w:val="FootnoteText"/>
      </w:pPr>
      <w:r>
        <w:rPr>
          <w:rStyle w:val="FootnoteReference"/>
        </w:rPr>
        <w:footnoteRef/>
      </w:r>
      <w:r>
        <w:t xml:space="preserve">  </w:t>
      </w:r>
      <w:r>
        <w:rPr>
          <w:i/>
        </w:rPr>
        <w:t>See</w:t>
      </w:r>
      <w:r>
        <w:t xml:space="preserve"> 840 CMR 10.9 (2) (providing the rules, as promulgated by PERAC, as to when a local retirement board may dismiss an accidental or ordinary retirement application). “At any stage of a proceeding on an ordinary or accidental disability retirement application the retirement board may terminate the proceeding and deny the application if it determines that the member cannot be retired as a matter of law.” </w:t>
      </w:r>
      <w:r>
        <w:rPr>
          <w:i/>
        </w:rPr>
        <w:t>Id.</w:t>
      </w:r>
    </w:p>
    <w:p w:rsidR="00AC4B7B" w:rsidRDefault="00AC4B7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C1F" w:rsidRPr="00BB7C22" w:rsidRDefault="003C2C1F">
    <w:pPr>
      <w:pStyle w:val="Header"/>
      <w:rPr>
        <w:i/>
      </w:rPr>
    </w:pPr>
    <w:r w:rsidRPr="00BB7C22">
      <w:rPr>
        <w:i/>
      </w:rPr>
      <w:t>Deborah Faggioli v. Fall River Retirement Board</w:t>
    </w:r>
    <w:r w:rsidR="00BB7C22" w:rsidRPr="00BB7C22">
      <w:rPr>
        <w:i/>
      </w:rPr>
      <w:tab/>
      <w:t>CR-14-296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http://sll.gvpi.net/images/1x1.png" style="width:.65pt;height:.65pt;visibility:visible" o:bullet="t">
        <v:imagedata r:id="rId1" o:title="1x1"/>
      </v:shape>
    </w:pict>
  </w:numPicBullet>
  <w:abstractNum w:abstractNumId="0">
    <w:nsid w:val="071A2507"/>
    <w:multiLevelType w:val="hybridMultilevel"/>
    <w:tmpl w:val="88A0CB46"/>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8E1228"/>
    <w:multiLevelType w:val="hybridMultilevel"/>
    <w:tmpl w:val="83248F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0A295E"/>
    <w:multiLevelType w:val="hybridMultilevel"/>
    <w:tmpl w:val="9772645A"/>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41F022D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EC68D1"/>
    <w:multiLevelType w:val="hybridMultilevel"/>
    <w:tmpl w:val="DF4C05FA"/>
    <w:lvl w:ilvl="0" w:tplc="81622A32">
      <w:start w:val="1"/>
      <w:numFmt w:val="bullet"/>
      <w:lvlText w:val=""/>
      <w:lvlPicBulletId w:val="0"/>
      <w:lvlJc w:val="left"/>
      <w:pPr>
        <w:tabs>
          <w:tab w:val="num" w:pos="720"/>
        </w:tabs>
        <w:ind w:left="720" w:hanging="360"/>
      </w:pPr>
      <w:rPr>
        <w:rFonts w:ascii="Symbol" w:hAnsi="Symbol" w:hint="default"/>
      </w:rPr>
    </w:lvl>
    <w:lvl w:ilvl="1" w:tplc="2992423A">
      <w:start w:val="1"/>
      <w:numFmt w:val="bullet"/>
      <w:lvlText w:val=""/>
      <w:lvlJc w:val="left"/>
      <w:pPr>
        <w:tabs>
          <w:tab w:val="num" w:pos="1440"/>
        </w:tabs>
        <w:ind w:left="1440" w:hanging="360"/>
      </w:pPr>
      <w:rPr>
        <w:rFonts w:ascii="Symbol" w:hAnsi="Symbol" w:hint="default"/>
      </w:rPr>
    </w:lvl>
    <w:lvl w:ilvl="2" w:tplc="1E8A09C8" w:tentative="1">
      <w:start w:val="1"/>
      <w:numFmt w:val="bullet"/>
      <w:lvlText w:val=""/>
      <w:lvlJc w:val="left"/>
      <w:pPr>
        <w:tabs>
          <w:tab w:val="num" w:pos="2160"/>
        </w:tabs>
        <w:ind w:left="2160" w:hanging="360"/>
      </w:pPr>
      <w:rPr>
        <w:rFonts w:ascii="Symbol" w:hAnsi="Symbol" w:hint="default"/>
      </w:rPr>
    </w:lvl>
    <w:lvl w:ilvl="3" w:tplc="A2F07EA0" w:tentative="1">
      <w:start w:val="1"/>
      <w:numFmt w:val="bullet"/>
      <w:lvlText w:val=""/>
      <w:lvlJc w:val="left"/>
      <w:pPr>
        <w:tabs>
          <w:tab w:val="num" w:pos="2880"/>
        </w:tabs>
        <w:ind w:left="2880" w:hanging="360"/>
      </w:pPr>
      <w:rPr>
        <w:rFonts w:ascii="Symbol" w:hAnsi="Symbol" w:hint="default"/>
      </w:rPr>
    </w:lvl>
    <w:lvl w:ilvl="4" w:tplc="1DF0C11C" w:tentative="1">
      <w:start w:val="1"/>
      <w:numFmt w:val="bullet"/>
      <w:lvlText w:val=""/>
      <w:lvlJc w:val="left"/>
      <w:pPr>
        <w:tabs>
          <w:tab w:val="num" w:pos="3600"/>
        </w:tabs>
        <w:ind w:left="3600" w:hanging="360"/>
      </w:pPr>
      <w:rPr>
        <w:rFonts w:ascii="Symbol" w:hAnsi="Symbol" w:hint="default"/>
      </w:rPr>
    </w:lvl>
    <w:lvl w:ilvl="5" w:tplc="BF968A4E" w:tentative="1">
      <w:start w:val="1"/>
      <w:numFmt w:val="bullet"/>
      <w:lvlText w:val=""/>
      <w:lvlJc w:val="left"/>
      <w:pPr>
        <w:tabs>
          <w:tab w:val="num" w:pos="4320"/>
        </w:tabs>
        <w:ind w:left="4320" w:hanging="360"/>
      </w:pPr>
      <w:rPr>
        <w:rFonts w:ascii="Symbol" w:hAnsi="Symbol" w:hint="default"/>
      </w:rPr>
    </w:lvl>
    <w:lvl w:ilvl="6" w:tplc="7A9C38FE" w:tentative="1">
      <w:start w:val="1"/>
      <w:numFmt w:val="bullet"/>
      <w:lvlText w:val=""/>
      <w:lvlJc w:val="left"/>
      <w:pPr>
        <w:tabs>
          <w:tab w:val="num" w:pos="5040"/>
        </w:tabs>
        <w:ind w:left="5040" w:hanging="360"/>
      </w:pPr>
      <w:rPr>
        <w:rFonts w:ascii="Symbol" w:hAnsi="Symbol" w:hint="default"/>
      </w:rPr>
    </w:lvl>
    <w:lvl w:ilvl="7" w:tplc="B09CCE52" w:tentative="1">
      <w:start w:val="1"/>
      <w:numFmt w:val="bullet"/>
      <w:lvlText w:val=""/>
      <w:lvlJc w:val="left"/>
      <w:pPr>
        <w:tabs>
          <w:tab w:val="num" w:pos="5760"/>
        </w:tabs>
        <w:ind w:left="5760" w:hanging="360"/>
      </w:pPr>
      <w:rPr>
        <w:rFonts w:ascii="Symbol" w:hAnsi="Symbol" w:hint="default"/>
      </w:rPr>
    </w:lvl>
    <w:lvl w:ilvl="8" w:tplc="C1B027DC" w:tentative="1">
      <w:start w:val="1"/>
      <w:numFmt w:val="bullet"/>
      <w:lvlText w:val=""/>
      <w:lvlJc w:val="left"/>
      <w:pPr>
        <w:tabs>
          <w:tab w:val="num" w:pos="6480"/>
        </w:tabs>
        <w:ind w:left="6480" w:hanging="360"/>
      </w:pPr>
      <w:rPr>
        <w:rFonts w:ascii="Symbol" w:hAnsi="Symbol" w:hint="default"/>
      </w:rPr>
    </w:lvl>
  </w:abstractNum>
  <w:abstractNum w:abstractNumId="4">
    <w:nsid w:val="365F22D8"/>
    <w:multiLevelType w:val="hybridMultilevel"/>
    <w:tmpl w:val="E3688752"/>
    <w:lvl w:ilvl="0" w:tplc="C8D41FD2">
      <w:start w:val="1"/>
      <w:numFmt w:val="bullet"/>
      <w:lvlText w:val=""/>
      <w:lvlPicBulletId w:val="0"/>
      <w:lvlJc w:val="left"/>
      <w:pPr>
        <w:tabs>
          <w:tab w:val="num" w:pos="720"/>
        </w:tabs>
        <w:ind w:left="720" w:hanging="360"/>
      </w:pPr>
      <w:rPr>
        <w:rFonts w:ascii="Symbol" w:hAnsi="Symbol" w:hint="default"/>
      </w:rPr>
    </w:lvl>
    <w:lvl w:ilvl="1" w:tplc="0D862B80">
      <w:start w:val="1"/>
      <w:numFmt w:val="bullet"/>
      <w:lvlText w:val=""/>
      <w:lvlJc w:val="left"/>
      <w:pPr>
        <w:tabs>
          <w:tab w:val="num" w:pos="1440"/>
        </w:tabs>
        <w:ind w:left="1440" w:hanging="360"/>
      </w:pPr>
      <w:rPr>
        <w:rFonts w:ascii="Symbol" w:hAnsi="Symbol" w:hint="default"/>
      </w:rPr>
    </w:lvl>
    <w:lvl w:ilvl="2" w:tplc="2312CB58" w:tentative="1">
      <w:start w:val="1"/>
      <w:numFmt w:val="bullet"/>
      <w:lvlText w:val=""/>
      <w:lvlJc w:val="left"/>
      <w:pPr>
        <w:tabs>
          <w:tab w:val="num" w:pos="2160"/>
        </w:tabs>
        <w:ind w:left="2160" w:hanging="360"/>
      </w:pPr>
      <w:rPr>
        <w:rFonts w:ascii="Symbol" w:hAnsi="Symbol" w:hint="default"/>
      </w:rPr>
    </w:lvl>
    <w:lvl w:ilvl="3" w:tplc="7732360A" w:tentative="1">
      <w:start w:val="1"/>
      <w:numFmt w:val="bullet"/>
      <w:lvlText w:val=""/>
      <w:lvlJc w:val="left"/>
      <w:pPr>
        <w:tabs>
          <w:tab w:val="num" w:pos="2880"/>
        </w:tabs>
        <w:ind w:left="2880" w:hanging="360"/>
      </w:pPr>
      <w:rPr>
        <w:rFonts w:ascii="Symbol" w:hAnsi="Symbol" w:hint="default"/>
      </w:rPr>
    </w:lvl>
    <w:lvl w:ilvl="4" w:tplc="958CC266" w:tentative="1">
      <w:start w:val="1"/>
      <w:numFmt w:val="bullet"/>
      <w:lvlText w:val=""/>
      <w:lvlJc w:val="left"/>
      <w:pPr>
        <w:tabs>
          <w:tab w:val="num" w:pos="3600"/>
        </w:tabs>
        <w:ind w:left="3600" w:hanging="360"/>
      </w:pPr>
      <w:rPr>
        <w:rFonts w:ascii="Symbol" w:hAnsi="Symbol" w:hint="default"/>
      </w:rPr>
    </w:lvl>
    <w:lvl w:ilvl="5" w:tplc="6FFA62E8" w:tentative="1">
      <w:start w:val="1"/>
      <w:numFmt w:val="bullet"/>
      <w:lvlText w:val=""/>
      <w:lvlJc w:val="left"/>
      <w:pPr>
        <w:tabs>
          <w:tab w:val="num" w:pos="4320"/>
        </w:tabs>
        <w:ind w:left="4320" w:hanging="360"/>
      </w:pPr>
      <w:rPr>
        <w:rFonts w:ascii="Symbol" w:hAnsi="Symbol" w:hint="default"/>
      </w:rPr>
    </w:lvl>
    <w:lvl w:ilvl="6" w:tplc="CBDEB6B6" w:tentative="1">
      <w:start w:val="1"/>
      <w:numFmt w:val="bullet"/>
      <w:lvlText w:val=""/>
      <w:lvlJc w:val="left"/>
      <w:pPr>
        <w:tabs>
          <w:tab w:val="num" w:pos="5040"/>
        </w:tabs>
        <w:ind w:left="5040" w:hanging="360"/>
      </w:pPr>
      <w:rPr>
        <w:rFonts w:ascii="Symbol" w:hAnsi="Symbol" w:hint="default"/>
      </w:rPr>
    </w:lvl>
    <w:lvl w:ilvl="7" w:tplc="0FD271BA" w:tentative="1">
      <w:start w:val="1"/>
      <w:numFmt w:val="bullet"/>
      <w:lvlText w:val=""/>
      <w:lvlJc w:val="left"/>
      <w:pPr>
        <w:tabs>
          <w:tab w:val="num" w:pos="5760"/>
        </w:tabs>
        <w:ind w:left="5760" w:hanging="360"/>
      </w:pPr>
      <w:rPr>
        <w:rFonts w:ascii="Symbol" w:hAnsi="Symbol" w:hint="default"/>
      </w:rPr>
    </w:lvl>
    <w:lvl w:ilvl="8" w:tplc="6792BDD4" w:tentative="1">
      <w:start w:val="1"/>
      <w:numFmt w:val="bullet"/>
      <w:lvlText w:val=""/>
      <w:lvlJc w:val="left"/>
      <w:pPr>
        <w:tabs>
          <w:tab w:val="num" w:pos="6480"/>
        </w:tabs>
        <w:ind w:left="6480" w:hanging="360"/>
      </w:pPr>
      <w:rPr>
        <w:rFonts w:ascii="Symbol" w:hAnsi="Symbol" w:hint="default"/>
      </w:rPr>
    </w:lvl>
  </w:abstractNum>
  <w:abstractNum w:abstractNumId="5">
    <w:nsid w:val="64EB6551"/>
    <w:multiLevelType w:val="hybridMultilevel"/>
    <w:tmpl w:val="37425842"/>
    <w:lvl w:ilvl="0" w:tplc="75EC50E8">
      <w:start w:val="1"/>
      <w:numFmt w:val="bullet"/>
      <w:lvlText w:val=""/>
      <w:lvlPicBulletId w:val="0"/>
      <w:lvlJc w:val="left"/>
      <w:pPr>
        <w:tabs>
          <w:tab w:val="num" w:pos="720"/>
        </w:tabs>
        <w:ind w:left="720" w:hanging="360"/>
      </w:pPr>
      <w:rPr>
        <w:rFonts w:ascii="Symbol" w:hAnsi="Symbol" w:hint="default"/>
      </w:rPr>
    </w:lvl>
    <w:lvl w:ilvl="1" w:tplc="50AE9AC8" w:tentative="1">
      <w:start w:val="1"/>
      <w:numFmt w:val="bullet"/>
      <w:lvlText w:val=""/>
      <w:lvlJc w:val="left"/>
      <w:pPr>
        <w:tabs>
          <w:tab w:val="num" w:pos="1440"/>
        </w:tabs>
        <w:ind w:left="1440" w:hanging="360"/>
      </w:pPr>
      <w:rPr>
        <w:rFonts w:ascii="Symbol" w:hAnsi="Symbol" w:hint="default"/>
      </w:rPr>
    </w:lvl>
    <w:lvl w:ilvl="2" w:tplc="815AF74A" w:tentative="1">
      <w:start w:val="1"/>
      <w:numFmt w:val="bullet"/>
      <w:lvlText w:val=""/>
      <w:lvlJc w:val="left"/>
      <w:pPr>
        <w:tabs>
          <w:tab w:val="num" w:pos="2160"/>
        </w:tabs>
        <w:ind w:left="2160" w:hanging="360"/>
      </w:pPr>
      <w:rPr>
        <w:rFonts w:ascii="Symbol" w:hAnsi="Symbol" w:hint="default"/>
      </w:rPr>
    </w:lvl>
    <w:lvl w:ilvl="3" w:tplc="777EBA02" w:tentative="1">
      <w:start w:val="1"/>
      <w:numFmt w:val="bullet"/>
      <w:lvlText w:val=""/>
      <w:lvlJc w:val="left"/>
      <w:pPr>
        <w:tabs>
          <w:tab w:val="num" w:pos="2880"/>
        </w:tabs>
        <w:ind w:left="2880" w:hanging="360"/>
      </w:pPr>
      <w:rPr>
        <w:rFonts w:ascii="Symbol" w:hAnsi="Symbol" w:hint="default"/>
      </w:rPr>
    </w:lvl>
    <w:lvl w:ilvl="4" w:tplc="77880E36" w:tentative="1">
      <w:start w:val="1"/>
      <w:numFmt w:val="bullet"/>
      <w:lvlText w:val=""/>
      <w:lvlJc w:val="left"/>
      <w:pPr>
        <w:tabs>
          <w:tab w:val="num" w:pos="3600"/>
        </w:tabs>
        <w:ind w:left="3600" w:hanging="360"/>
      </w:pPr>
      <w:rPr>
        <w:rFonts w:ascii="Symbol" w:hAnsi="Symbol" w:hint="default"/>
      </w:rPr>
    </w:lvl>
    <w:lvl w:ilvl="5" w:tplc="AA4A5954" w:tentative="1">
      <w:start w:val="1"/>
      <w:numFmt w:val="bullet"/>
      <w:lvlText w:val=""/>
      <w:lvlJc w:val="left"/>
      <w:pPr>
        <w:tabs>
          <w:tab w:val="num" w:pos="4320"/>
        </w:tabs>
        <w:ind w:left="4320" w:hanging="360"/>
      </w:pPr>
      <w:rPr>
        <w:rFonts w:ascii="Symbol" w:hAnsi="Symbol" w:hint="default"/>
      </w:rPr>
    </w:lvl>
    <w:lvl w:ilvl="6" w:tplc="53763F60" w:tentative="1">
      <w:start w:val="1"/>
      <w:numFmt w:val="bullet"/>
      <w:lvlText w:val=""/>
      <w:lvlJc w:val="left"/>
      <w:pPr>
        <w:tabs>
          <w:tab w:val="num" w:pos="5040"/>
        </w:tabs>
        <w:ind w:left="5040" w:hanging="360"/>
      </w:pPr>
      <w:rPr>
        <w:rFonts w:ascii="Symbol" w:hAnsi="Symbol" w:hint="default"/>
      </w:rPr>
    </w:lvl>
    <w:lvl w:ilvl="7" w:tplc="C7408178" w:tentative="1">
      <w:start w:val="1"/>
      <w:numFmt w:val="bullet"/>
      <w:lvlText w:val=""/>
      <w:lvlJc w:val="left"/>
      <w:pPr>
        <w:tabs>
          <w:tab w:val="num" w:pos="5760"/>
        </w:tabs>
        <w:ind w:left="5760" w:hanging="360"/>
      </w:pPr>
      <w:rPr>
        <w:rFonts w:ascii="Symbol" w:hAnsi="Symbol" w:hint="default"/>
      </w:rPr>
    </w:lvl>
    <w:lvl w:ilvl="8" w:tplc="7ABAC116" w:tentative="1">
      <w:start w:val="1"/>
      <w:numFmt w:val="bullet"/>
      <w:lvlText w:val=""/>
      <w:lvlJc w:val="left"/>
      <w:pPr>
        <w:tabs>
          <w:tab w:val="num" w:pos="6480"/>
        </w:tabs>
        <w:ind w:left="6480" w:hanging="360"/>
      </w:pPr>
      <w:rPr>
        <w:rFonts w:ascii="Symbol" w:hAnsi="Symbol" w:hint="default"/>
      </w:rPr>
    </w:lvl>
  </w:abstractNum>
  <w:abstractNum w:abstractNumId="6">
    <w:nsid w:val="70FD65BD"/>
    <w:multiLevelType w:val="hybridMultilevel"/>
    <w:tmpl w:val="83248F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F92EE2"/>
    <w:multiLevelType w:val="hybridMultilevel"/>
    <w:tmpl w:val="B34E674E"/>
    <w:lvl w:ilvl="0" w:tplc="7B0AB186">
      <w:start w:val="1"/>
      <w:numFmt w:val="bullet"/>
      <w:lvlText w:val=""/>
      <w:lvlPicBulletId w:val="0"/>
      <w:lvlJc w:val="left"/>
      <w:pPr>
        <w:tabs>
          <w:tab w:val="num" w:pos="720"/>
        </w:tabs>
        <w:ind w:left="720" w:hanging="360"/>
      </w:pPr>
      <w:rPr>
        <w:rFonts w:ascii="Symbol" w:hAnsi="Symbol" w:hint="default"/>
      </w:rPr>
    </w:lvl>
    <w:lvl w:ilvl="1" w:tplc="F4A04E4C" w:tentative="1">
      <w:start w:val="1"/>
      <w:numFmt w:val="bullet"/>
      <w:lvlText w:val=""/>
      <w:lvlJc w:val="left"/>
      <w:pPr>
        <w:tabs>
          <w:tab w:val="num" w:pos="1440"/>
        </w:tabs>
        <w:ind w:left="1440" w:hanging="360"/>
      </w:pPr>
      <w:rPr>
        <w:rFonts w:ascii="Symbol" w:hAnsi="Symbol" w:hint="default"/>
      </w:rPr>
    </w:lvl>
    <w:lvl w:ilvl="2" w:tplc="470CFB34" w:tentative="1">
      <w:start w:val="1"/>
      <w:numFmt w:val="bullet"/>
      <w:lvlText w:val=""/>
      <w:lvlJc w:val="left"/>
      <w:pPr>
        <w:tabs>
          <w:tab w:val="num" w:pos="2160"/>
        </w:tabs>
        <w:ind w:left="2160" w:hanging="360"/>
      </w:pPr>
      <w:rPr>
        <w:rFonts w:ascii="Symbol" w:hAnsi="Symbol" w:hint="default"/>
      </w:rPr>
    </w:lvl>
    <w:lvl w:ilvl="3" w:tplc="9DDC7572" w:tentative="1">
      <w:start w:val="1"/>
      <w:numFmt w:val="bullet"/>
      <w:lvlText w:val=""/>
      <w:lvlJc w:val="left"/>
      <w:pPr>
        <w:tabs>
          <w:tab w:val="num" w:pos="2880"/>
        </w:tabs>
        <w:ind w:left="2880" w:hanging="360"/>
      </w:pPr>
      <w:rPr>
        <w:rFonts w:ascii="Symbol" w:hAnsi="Symbol" w:hint="default"/>
      </w:rPr>
    </w:lvl>
    <w:lvl w:ilvl="4" w:tplc="1C0E8478" w:tentative="1">
      <w:start w:val="1"/>
      <w:numFmt w:val="bullet"/>
      <w:lvlText w:val=""/>
      <w:lvlJc w:val="left"/>
      <w:pPr>
        <w:tabs>
          <w:tab w:val="num" w:pos="3600"/>
        </w:tabs>
        <w:ind w:left="3600" w:hanging="360"/>
      </w:pPr>
      <w:rPr>
        <w:rFonts w:ascii="Symbol" w:hAnsi="Symbol" w:hint="default"/>
      </w:rPr>
    </w:lvl>
    <w:lvl w:ilvl="5" w:tplc="5926745C" w:tentative="1">
      <w:start w:val="1"/>
      <w:numFmt w:val="bullet"/>
      <w:lvlText w:val=""/>
      <w:lvlJc w:val="left"/>
      <w:pPr>
        <w:tabs>
          <w:tab w:val="num" w:pos="4320"/>
        </w:tabs>
        <w:ind w:left="4320" w:hanging="360"/>
      </w:pPr>
      <w:rPr>
        <w:rFonts w:ascii="Symbol" w:hAnsi="Symbol" w:hint="default"/>
      </w:rPr>
    </w:lvl>
    <w:lvl w:ilvl="6" w:tplc="89F4C0F8" w:tentative="1">
      <w:start w:val="1"/>
      <w:numFmt w:val="bullet"/>
      <w:lvlText w:val=""/>
      <w:lvlJc w:val="left"/>
      <w:pPr>
        <w:tabs>
          <w:tab w:val="num" w:pos="5040"/>
        </w:tabs>
        <w:ind w:left="5040" w:hanging="360"/>
      </w:pPr>
      <w:rPr>
        <w:rFonts w:ascii="Symbol" w:hAnsi="Symbol" w:hint="default"/>
      </w:rPr>
    </w:lvl>
    <w:lvl w:ilvl="7" w:tplc="6E203D0C" w:tentative="1">
      <w:start w:val="1"/>
      <w:numFmt w:val="bullet"/>
      <w:lvlText w:val=""/>
      <w:lvlJc w:val="left"/>
      <w:pPr>
        <w:tabs>
          <w:tab w:val="num" w:pos="5760"/>
        </w:tabs>
        <w:ind w:left="5760" w:hanging="360"/>
      </w:pPr>
      <w:rPr>
        <w:rFonts w:ascii="Symbol" w:hAnsi="Symbol" w:hint="default"/>
      </w:rPr>
    </w:lvl>
    <w:lvl w:ilvl="8" w:tplc="81C60534" w:tentative="1">
      <w:start w:val="1"/>
      <w:numFmt w:val="bullet"/>
      <w:lvlText w:val=""/>
      <w:lvlJc w:val="left"/>
      <w:pPr>
        <w:tabs>
          <w:tab w:val="num" w:pos="6480"/>
        </w:tabs>
        <w:ind w:left="6480" w:hanging="360"/>
      </w:pPr>
      <w:rPr>
        <w:rFonts w:ascii="Symbol" w:hAnsi="Symbol" w:hint="default"/>
      </w:rPr>
    </w:lvl>
  </w:abstractNum>
  <w:abstractNum w:abstractNumId="8">
    <w:nsid w:val="7EEF6618"/>
    <w:multiLevelType w:val="hybridMultilevel"/>
    <w:tmpl w:val="D780E89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7"/>
  </w:num>
  <w:num w:numId="5">
    <w:abstractNumId w:val="3"/>
  </w:num>
  <w:num w:numId="6">
    <w:abstractNumId w:val="4"/>
  </w:num>
  <w:num w:numId="7">
    <w:abstractNumId w:val="5"/>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9DF"/>
    <w:rsid w:val="000013F1"/>
    <w:rsid w:val="000017E6"/>
    <w:rsid w:val="00001D72"/>
    <w:rsid w:val="000053BD"/>
    <w:rsid w:val="00005E27"/>
    <w:rsid w:val="00006EA4"/>
    <w:rsid w:val="0000722C"/>
    <w:rsid w:val="00015669"/>
    <w:rsid w:val="00020444"/>
    <w:rsid w:val="00020F51"/>
    <w:rsid w:val="00023DB0"/>
    <w:rsid w:val="00041DF3"/>
    <w:rsid w:val="00042AA3"/>
    <w:rsid w:val="0005159D"/>
    <w:rsid w:val="00061B96"/>
    <w:rsid w:val="00064168"/>
    <w:rsid w:val="00064B3E"/>
    <w:rsid w:val="00070174"/>
    <w:rsid w:val="00071327"/>
    <w:rsid w:val="0007732A"/>
    <w:rsid w:val="000827C9"/>
    <w:rsid w:val="0008567B"/>
    <w:rsid w:val="000A416D"/>
    <w:rsid w:val="000B3FC3"/>
    <w:rsid w:val="000B501C"/>
    <w:rsid w:val="000B5222"/>
    <w:rsid w:val="000B6510"/>
    <w:rsid w:val="000C045E"/>
    <w:rsid w:val="000C2B97"/>
    <w:rsid w:val="000C4E04"/>
    <w:rsid w:val="000C56D9"/>
    <w:rsid w:val="000D3C82"/>
    <w:rsid w:val="000D595D"/>
    <w:rsid w:val="000D74B9"/>
    <w:rsid w:val="000F3C8C"/>
    <w:rsid w:val="000F3F74"/>
    <w:rsid w:val="000F495F"/>
    <w:rsid w:val="001022D2"/>
    <w:rsid w:val="00116F6C"/>
    <w:rsid w:val="00123107"/>
    <w:rsid w:val="00125D7B"/>
    <w:rsid w:val="00143A80"/>
    <w:rsid w:val="00152873"/>
    <w:rsid w:val="0015317D"/>
    <w:rsid w:val="0016475D"/>
    <w:rsid w:val="00164880"/>
    <w:rsid w:val="00164E96"/>
    <w:rsid w:val="00174C46"/>
    <w:rsid w:val="00176D46"/>
    <w:rsid w:val="0018039D"/>
    <w:rsid w:val="001825AE"/>
    <w:rsid w:val="00187139"/>
    <w:rsid w:val="00195438"/>
    <w:rsid w:val="001961D9"/>
    <w:rsid w:val="001A1CEA"/>
    <w:rsid w:val="001B0B32"/>
    <w:rsid w:val="001B297B"/>
    <w:rsid w:val="001B41C3"/>
    <w:rsid w:val="001B57CC"/>
    <w:rsid w:val="001B7EBD"/>
    <w:rsid w:val="001C5A49"/>
    <w:rsid w:val="001C782E"/>
    <w:rsid w:val="001D3356"/>
    <w:rsid w:val="001D5AC5"/>
    <w:rsid w:val="001D763D"/>
    <w:rsid w:val="001E01E6"/>
    <w:rsid w:val="001E79EE"/>
    <w:rsid w:val="001F2F99"/>
    <w:rsid w:val="001F4F41"/>
    <w:rsid w:val="001F58B0"/>
    <w:rsid w:val="001F5989"/>
    <w:rsid w:val="001F6838"/>
    <w:rsid w:val="00202E91"/>
    <w:rsid w:val="00204A44"/>
    <w:rsid w:val="002062F6"/>
    <w:rsid w:val="00206EC6"/>
    <w:rsid w:val="00207361"/>
    <w:rsid w:val="002136E9"/>
    <w:rsid w:val="00223664"/>
    <w:rsid w:val="00226D47"/>
    <w:rsid w:val="00231FA6"/>
    <w:rsid w:val="0023569C"/>
    <w:rsid w:val="00247E28"/>
    <w:rsid w:val="00250F91"/>
    <w:rsid w:val="002543FE"/>
    <w:rsid w:val="002602CA"/>
    <w:rsid w:val="00261B5F"/>
    <w:rsid w:val="00271DD2"/>
    <w:rsid w:val="0027668C"/>
    <w:rsid w:val="002774AE"/>
    <w:rsid w:val="002A5340"/>
    <w:rsid w:val="002C17E2"/>
    <w:rsid w:val="002D2020"/>
    <w:rsid w:val="002D5153"/>
    <w:rsid w:val="002E29DF"/>
    <w:rsid w:val="002E2EA5"/>
    <w:rsid w:val="003044C6"/>
    <w:rsid w:val="00306209"/>
    <w:rsid w:val="00314FFF"/>
    <w:rsid w:val="003161AD"/>
    <w:rsid w:val="00316A33"/>
    <w:rsid w:val="00321617"/>
    <w:rsid w:val="00321D3E"/>
    <w:rsid w:val="003256D9"/>
    <w:rsid w:val="00327202"/>
    <w:rsid w:val="00337EF2"/>
    <w:rsid w:val="00340E01"/>
    <w:rsid w:val="003555AB"/>
    <w:rsid w:val="003557BA"/>
    <w:rsid w:val="003612D5"/>
    <w:rsid w:val="00361D88"/>
    <w:rsid w:val="003666DE"/>
    <w:rsid w:val="003761FE"/>
    <w:rsid w:val="0037769B"/>
    <w:rsid w:val="00386C6E"/>
    <w:rsid w:val="00387910"/>
    <w:rsid w:val="00397225"/>
    <w:rsid w:val="00397896"/>
    <w:rsid w:val="003A2BF9"/>
    <w:rsid w:val="003A2DDC"/>
    <w:rsid w:val="003A52DB"/>
    <w:rsid w:val="003A62B1"/>
    <w:rsid w:val="003B2ACA"/>
    <w:rsid w:val="003B3502"/>
    <w:rsid w:val="003B44ED"/>
    <w:rsid w:val="003B5903"/>
    <w:rsid w:val="003B759C"/>
    <w:rsid w:val="003C2C1F"/>
    <w:rsid w:val="003C50BF"/>
    <w:rsid w:val="003D5283"/>
    <w:rsid w:val="003D5BF9"/>
    <w:rsid w:val="003D6565"/>
    <w:rsid w:val="003E08E0"/>
    <w:rsid w:val="003E5DD4"/>
    <w:rsid w:val="003E6AD1"/>
    <w:rsid w:val="003F1E87"/>
    <w:rsid w:val="003F5632"/>
    <w:rsid w:val="003F62F9"/>
    <w:rsid w:val="003F7D03"/>
    <w:rsid w:val="00400B71"/>
    <w:rsid w:val="004072F5"/>
    <w:rsid w:val="00421988"/>
    <w:rsid w:val="00421F40"/>
    <w:rsid w:val="004272F6"/>
    <w:rsid w:val="00433F57"/>
    <w:rsid w:val="0044053E"/>
    <w:rsid w:val="00442FAB"/>
    <w:rsid w:val="0045085E"/>
    <w:rsid w:val="00461A73"/>
    <w:rsid w:val="00475A46"/>
    <w:rsid w:val="00483C15"/>
    <w:rsid w:val="00490C6A"/>
    <w:rsid w:val="00492F71"/>
    <w:rsid w:val="00497592"/>
    <w:rsid w:val="004A03FE"/>
    <w:rsid w:val="004A6099"/>
    <w:rsid w:val="004B144F"/>
    <w:rsid w:val="004B4D2F"/>
    <w:rsid w:val="004B52EB"/>
    <w:rsid w:val="004C61EF"/>
    <w:rsid w:val="004D1EF0"/>
    <w:rsid w:val="004D4E1E"/>
    <w:rsid w:val="004E106C"/>
    <w:rsid w:val="004E3DE2"/>
    <w:rsid w:val="004F4F73"/>
    <w:rsid w:val="00503D34"/>
    <w:rsid w:val="00504048"/>
    <w:rsid w:val="0050680C"/>
    <w:rsid w:val="005129AA"/>
    <w:rsid w:val="005204F5"/>
    <w:rsid w:val="005211AA"/>
    <w:rsid w:val="00523D6E"/>
    <w:rsid w:val="00526EF9"/>
    <w:rsid w:val="00536B87"/>
    <w:rsid w:val="00537F55"/>
    <w:rsid w:val="0054566D"/>
    <w:rsid w:val="00545979"/>
    <w:rsid w:val="00546B44"/>
    <w:rsid w:val="00560D0D"/>
    <w:rsid w:val="00562561"/>
    <w:rsid w:val="0056382E"/>
    <w:rsid w:val="00567722"/>
    <w:rsid w:val="00567B70"/>
    <w:rsid w:val="005720EC"/>
    <w:rsid w:val="00572FA0"/>
    <w:rsid w:val="0057483A"/>
    <w:rsid w:val="0058144D"/>
    <w:rsid w:val="005838D3"/>
    <w:rsid w:val="0058486D"/>
    <w:rsid w:val="0058656E"/>
    <w:rsid w:val="005927BB"/>
    <w:rsid w:val="00596164"/>
    <w:rsid w:val="005A4F6B"/>
    <w:rsid w:val="005A6E49"/>
    <w:rsid w:val="005A75C1"/>
    <w:rsid w:val="005B2B42"/>
    <w:rsid w:val="005B4B87"/>
    <w:rsid w:val="005B4B90"/>
    <w:rsid w:val="005C1675"/>
    <w:rsid w:val="005D0F23"/>
    <w:rsid w:val="005D1BCF"/>
    <w:rsid w:val="005D24D0"/>
    <w:rsid w:val="005E07AF"/>
    <w:rsid w:val="005E4955"/>
    <w:rsid w:val="005E794C"/>
    <w:rsid w:val="005F2DCA"/>
    <w:rsid w:val="005F34AB"/>
    <w:rsid w:val="005F4FDC"/>
    <w:rsid w:val="00614A9B"/>
    <w:rsid w:val="00622BA3"/>
    <w:rsid w:val="00623137"/>
    <w:rsid w:val="00623F95"/>
    <w:rsid w:val="00627713"/>
    <w:rsid w:val="00642079"/>
    <w:rsid w:val="00642141"/>
    <w:rsid w:val="00643A05"/>
    <w:rsid w:val="006467BB"/>
    <w:rsid w:val="006511B7"/>
    <w:rsid w:val="0065244D"/>
    <w:rsid w:val="00666519"/>
    <w:rsid w:val="00672AB2"/>
    <w:rsid w:val="0069016E"/>
    <w:rsid w:val="00692230"/>
    <w:rsid w:val="006A08DC"/>
    <w:rsid w:val="006A17E8"/>
    <w:rsid w:val="006A5CAA"/>
    <w:rsid w:val="006B7211"/>
    <w:rsid w:val="006C34B8"/>
    <w:rsid w:val="006C7231"/>
    <w:rsid w:val="006D1AC5"/>
    <w:rsid w:val="006D1EED"/>
    <w:rsid w:val="006D34F4"/>
    <w:rsid w:val="006F0DD2"/>
    <w:rsid w:val="006F4EB7"/>
    <w:rsid w:val="006F6CC4"/>
    <w:rsid w:val="006F77E3"/>
    <w:rsid w:val="00706DA3"/>
    <w:rsid w:val="00707AA0"/>
    <w:rsid w:val="007157FE"/>
    <w:rsid w:val="00716DB0"/>
    <w:rsid w:val="00717498"/>
    <w:rsid w:val="007203D1"/>
    <w:rsid w:val="00721DCA"/>
    <w:rsid w:val="0072212C"/>
    <w:rsid w:val="0072630C"/>
    <w:rsid w:val="00730AA7"/>
    <w:rsid w:val="00737F95"/>
    <w:rsid w:val="007455B1"/>
    <w:rsid w:val="00746DE4"/>
    <w:rsid w:val="00755E6D"/>
    <w:rsid w:val="00764978"/>
    <w:rsid w:val="007657DB"/>
    <w:rsid w:val="00772460"/>
    <w:rsid w:val="0078030B"/>
    <w:rsid w:val="0078114B"/>
    <w:rsid w:val="007815D9"/>
    <w:rsid w:val="00785E0D"/>
    <w:rsid w:val="007910F8"/>
    <w:rsid w:val="007923AF"/>
    <w:rsid w:val="00792DF2"/>
    <w:rsid w:val="007A1401"/>
    <w:rsid w:val="007A3FD6"/>
    <w:rsid w:val="007A474E"/>
    <w:rsid w:val="007A612C"/>
    <w:rsid w:val="007B29F1"/>
    <w:rsid w:val="007B7286"/>
    <w:rsid w:val="007F101A"/>
    <w:rsid w:val="007F6C5D"/>
    <w:rsid w:val="008012E8"/>
    <w:rsid w:val="00804F1B"/>
    <w:rsid w:val="008070DD"/>
    <w:rsid w:val="008076A8"/>
    <w:rsid w:val="00812D64"/>
    <w:rsid w:val="00817C0C"/>
    <w:rsid w:val="00820519"/>
    <w:rsid w:val="00822A9F"/>
    <w:rsid w:val="00830941"/>
    <w:rsid w:val="00832CDE"/>
    <w:rsid w:val="008358A2"/>
    <w:rsid w:val="00837A7D"/>
    <w:rsid w:val="00845FC7"/>
    <w:rsid w:val="00847480"/>
    <w:rsid w:val="0084761A"/>
    <w:rsid w:val="0085368A"/>
    <w:rsid w:val="00853D6D"/>
    <w:rsid w:val="0086164B"/>
    <w:rsid w:val="00867E68"/>
    <w:rsid w:val="00873895"/>
    <w:rsid w:val="00874555"/>
    <w:rsid w:val="00881463"/>
    <w:rsid w:val="00887828"/>
    <w:rsid w:val="00891E2B"/>
    <w:rsid w:val="008920A0"/>
    <w:rsid w:val="008A452E"/>
    <w:rsid w:val="008A454E"/>
    <w:rsid w:val="008A4F5C"/>
    <w:rsid w:val="008A5653"/>
    <w:rsid w:val="008A7DF7"/>
    <w:rsid w:val="008B3F85"/>
    <w:rsid w:val="008B4035"/>
    <w:rsid w:val="008B6631"/>
    <w:rsid w:val="008C0B00"/>
    <w:rsid w:val="008D42BA"/>
    <w:rsid w:val="008E01E4"/>
    <w:rsid w:val="008E1C53"/>
    <w:rsid w:val="008E5673"/>
    <w:rsid w:val="008F40A3"/>
    <w:rsid w:val="008F6637"/>
    <w:rsid w:val="008F7423"/>
    <w:rsid w:val="008F7CEA"/>
    <w:rsid w:val="0091009D"/>
    <w:rsid w:val="0091062D"/>
    <w:rsid w:val="009139E6"/>
    <w:rsid w:val="009177B7"/>
    <w:rsid w:val="009315ED"/>
    <w:rsid w:val="00935076"/>
    <w:rsid w:val="009355E8"/>
    <w:rsid w:val="009357FE"/>
    <w:rsid w:val="009658C6"/>
    <w:rsid w:val="009942B2"/>
    <w:rsid w:val="00996E47"/>
    <w:rsid w:val="009A4EE3"/>
    <w:rsid w:val="009A6FFA"/>
    <w:rsid w:val="009B0EC9"/>
    <w:rsid w:val="009B1094"/>
    <w:rsid w:val="009B4D02"/>
    <w:rsid w:val="009B51BD"/>
    <w:rsid w:val="009B71BE"/>
    <w:rsid w:val="009C0D89"/>
    <w:rsid w:val="009C370C"/>
    <w:rsid w:val="009D16B1"/>
    <w:rsid w:val="009D2DD4"/>
    <w:rsid w:val="009E1093"/>
    <w:rsid w:val="009E2DDC"/>
    <w:rsid w:val="009E50CC"/>
    <w:rsid w:val="009E53B0"/>
    <w:rsid w:val="009F7CAC"/>
    <w:rsid w:val="00A0383F"/>
    <w:rsid w:val="00A13E9D"/>
    <w:rsid w:val="00A1522A"/>
    <w:rsid w:val="00A15B39"/>
    <w:rsid w:val="00A17A92"/>
    <w:rsid w:val="00A17BD9"/>
    <w:rsid w:val="00A17FF9"/>
    <w:rsid w:val="00A2001A"/>
    <w:rsid w:val="00A2652A"/>
    <w:rsid w:val="00A53F4C"/>
    <w:rsid w:val="00A64350"/>
    <w:rsid w:val="00A644B8"/>
    <w:rsid w:val="00A66CF8"/>
    <w:rsid w:val="00A773EF"/>
    <w:rsid w:val="00A77F16"/>
    <w:rsid w:val="00A8027B"/>
    <w:rsid w:val="00A81198"/>
    <w:rsid w:val="00A86AB0"/>
    <w:rsid w:val="00A91A80"/>
    <w:rsid w:val="00A93488"/>
    <w:rsid w:val="00A9411E"/>
    <w:rsid w:val="00A96293"/>
    <w:rsid w:val="00AA4A09"/>
    <w:rsid w:val="00AB3357"/>
    <w:rsid w:val="00AB5DB7"/>
    <w:rsid w:val="00AC2EC1"/>
    <w:rsid w:val="00AC489C"/>
    <w:rsid w:val="00AC4B7B"/>
    <w:rsid w:val="00AC76C9"/>
    <w:rsid w:val="00AD0174"/>
    <w:rsid w:val="00AD2CA0"/>
    <w:rsid w:val="00AE1780"/>
    <w:rsid w:val="00AE4888"/>
    <w:rsid w:val="00AE5B2E"/>
    <w:rsid w:val="00B06565"/>
    <w:rsid w:val="00B06925"/>
    <w:rsid w:val="00B10046"/>
    <w:rsid w:val="00B129B2"/>
    <w:rsid w:val="00B136AE"/>
    <w:rsid w:val="00B223D8"/>
    <w:rsid w:val="00B444E0"/>
    <w:rsid w:val="00B45D3E"/>
    <w:rsid w:val="00B462F9"/>
    <w:rsid w:val="00B52ECD"/>
    <w:rsid w:val="00B62FA9"/>
    <w:rsid w:val="00B72FA2"/>
    <w:rsid w:val="00B80072"/>
    <w:rsid w:val="00B9060C"/>
    <w:rsid w:val="00B91B6E"/>
    <w:rsid w:val="00BA1C98"/>
    <w:rsid w:val="00BA4087"/>
    <w:rsid w:val="00BA5801"/>
    <w:rsid w:val="00BA5B02"/>
    <w:rsid w:val="00BB3832"/>
    <w:rsid w:val="00BB4A83"/>
    <w:rsid w:val="00BB63EC"/>
    <w:rsid w:val="00BB7C22"/>
    <w:rsid w:val="00BC23F0"/>
    <w:rsid w:val="00BC3681"/>
    <w:rsid w:val="00BC445F"/>
    <w:rsid w:val="00BD70AA"/>
    <w:rsid w:val="00BE450A"/>
    <w:rsid w:val="00BF2896"/>
    <w:rsid w:val="00BF4BE7"/>
    <w:rsid w:val="00BF7559"/>
    <w:rsid w:val="00BF7EC4"/>
    <w:rsid w:val="00C01D5B"/>
    <w:rsid w:val="00C03234"/>
    <w:rsid w:val="00C04496"/>
    <w:rsid w:val="00C10E89"/>
    <w:rsid w:val="00C147DB"/>
    <w:rsid w:val="00C22252"/>
    <w:rsid w:val="00C22413"/>
    <w:rsid w:val="00C22736"/>
    <w:rsid w:val="00C22A4C"/>
    <w:rsid w:val="00C22B42"/>
    <w:rsid w:val="00C24BB1"/>
    <w:rsid w:val="00C32EE2"/>
    <w:rsid w:val="00C37635"/>
    <w:rsid w:val="00C411D6"/>
    <w:rsid w:val="00C435B1"/>
    <w:rsid w:val="00C519D3"/>
    <w:rsid w:val="00C535B1"/>
    <w:rsid w:val="00C65A71"/>
    <w:rsid w:val="00C713B4"/>
    <w:rsid w:val="00C810B1"/>
    <w:rsid w:val="00C82D67"/>
    <w:rsid w:val="00C8380C"/>
    <w:rsid w:val="00C94842"/>
    <w:rsid w:val="00C961DC"/>
    <w:rsid w:val="00C96CFB"/>
    <w:rsid w:val="00CA4A7B"/>
    <w:rsid w:val="00CC6497"/>
    <w:rsid w:val="00CE5ACE"/>
    <w:rsid w:val="00CF53AA"/>
    <w:rsid w:val="00CF5605"/>
    <w:rsid w:val="00D03845"/>
    <w:rsid w:val="00D10DAD"/>
    <w:rsid w:val="00D14799"/>
    <w:rsid w:val="00D235E7"/>
    <w:rsid w:val="00D26B5B"/>
    <w:rsid w:val="00D326D1"/>
    <w:rsid w:val="00D36C7A"/>
    <w:rsid w:val="00D40CE2"/>
    <w:rsid w:val="00D4370D"/>
    <w:rsid w:val="00D44C83"/>
    <w:rsid w:val="00D45C1D"/>
    <w:rsid w:val="00D52485"/>
    <w:rsid w:val="00D615AB"/>
    <w:rsid w:val="00D65440"/>
    <w:rsid w:val="00D66854"/>
    <w:rsid w:val="00D669FB"/>
    <w:rsid w:val="00D70F9A"/>
    <w:rsid w:val="00D81660"/>
    <w:rsid w:val="00D86A0D"/>
    <w:rsid w:val="00D90C48"/>
    <w:rsid w:val="00D91934"/>
    <w:rsid w:val="00D92E2E"/>
    <w:rsid w:val="00D96C5C"/>
    <w:rsid w:val="00DA1721"/>
    <w:rsid w:val="00DA5B29"/>
    <w:rsid w:val="00DB0229"/>
    <w:rsid w:val="00DC0989"/>
    <w:rsid w:val="00DC7DA8"/>
    <w:rsid w:val="00DD064C"/>
    <w:rsid w:val="00DD16B2"/>
    <w:rsid w:val="00DD4280"/>
    <w:rsid w:val="00DD6A37"/>
    <w:rsid w:val="00DE08B3"/>
    <w:rsid w:val="00DE2E86"/>
    <w:rsid w:val="00DF0940"/>
    <w:rsid w:val="00DF23FF"/>
    <w:rsid w:val="00DF7F57"/>
    <w:rsid w:val="00E03216"/>
    <w:rsid w:val="00E04AEB"/>
    <w:rsid w:val="00E06221"/>
    <w:rsid w:val="00E120DC"/>
    <w:rsid w:val="00E12595"/>
    <w:rsid w:val="00E13F89"/>
    <w:rsid w:val="00E166C2"/>
    <w:rsid w:val="00E22F7C"/>
    <w:rsid w:val="00E2342C"/>
    <w:rsid w:val="00E437C7"/>
    <w:rsid w:val="00E515EC"/>
    <w:rsid w:val="00E52F8F"/>
    <w:rsid w:val="00E5344E"/>
    <w:rsid w:val="00E603F0"/>
    <w:rsid w:val="00E61A29"/>
    <w:rsid w:val="00E64822"/>
    <w:rsid w:val="00E7156F"/>
    <w:rsid w:val="00E71C71"/>
    <w:rsid w:val="00E76ABF"/>
    <w:rsid w:val="00E8540D"/>
    <w:rsid w:val="00E86DC7"/>
    <w:rsid w:val="00E90656"/>
    <w:rsid w:val="00E930F7"/>
    <w:rsid w:val="00E958E8"/>
    <w:rsid w:val="00EA775C"/>
    <w:rsid w:val="00EB0236"/>
    <w:rsid w:val="00EB0FFE"/>
    <w:rsid w:val="00EB2C92"/>
    <w:rsid w:val="00EC0F74"/>
    <w:rsid w:val="00EC59E4"/>
    <w:rsid w:val="00EC5B2F"/>
    <w:rsid w:val="00ED3154"/>
    <w:rsid w:val="00ED59B8"/>
    <w:rsid w:val="00EE3273"/>
    <w:rsid w:val="00EE5A16"/>
    <w:rsid w:val="00EE6F33"/>
    <w:rsid w:val="00EF2CCA"/>
    <w:rsid w:val="00EF3603"/>
    <w:rsid w:val="00EF5757"/>
    <w:rsid w:val="00EF5C49"/>
    <w:rsid w:val="00F006A2"/>
    <w:rsid w:val="00F00840"/>
    <w:rsid w:val="00F00C70"/>
    <w:rsid w:val="00F1015D"/>
    <w:rsid w:val="00F146D9"/>
    <w:rsid w:val="00F254D4"/>
    <w:rsid w:val="00F263F9"/>
    <w:rsid w:val="00F304DB"/>
    <w:rsid w:val="00F31706"/>
    <w:rsid w:val="00F3200F"/>
    <w:rsid w:val="00F32156"/>
    <w:rsid w:val="00F3508A"/>
    <w:rsid w:val="00F456AD"/>
    <w:rsid w:val="00F625C0"/>
    <w:rsid w:val="00F626D6"/>
    <w:rsid w:val="00F62FEB"/>
    <w:rsid w:val="00F64C84"/>
    <w:rsid w:val="00F65E94"/>
    <w:rsid w:val="00F673F7"/>
    <w:rsid w:val="00F71070"/>
    <w:rsid w:val="00F73846"/>
    <w:rsid w:val="00F8108A"/>
    <w:rsid w:val="00F82883"/>
    <w:rsid w:val="00F8482A"/>
    <w:rsid w:val="00F86B90"/>
    <w:rsid w:val="00F93C34"/>
    <w:rsid w:val="00F96B9B"/>
    <w:rsid w:val="00FA4D72"/>
    <w:rsid w:val="00FA7C8C"/>
    <w:rsid w:val="00FB2882"/>
    <w:rsid w:val="00FC0421"/>
    <w:rsid w:val="00FC2769"/>
    <w:rsid w:val="00FC5097"/>
    <w:rsid w:val="00FC5F5C"/>
    <w:rsid w:val="00FC60DD"/>
    <w:rsid w:val="00FE0C8F"/>
    <w:rsid w:val="00FE254E"/>
    <w:rsid w:val="00FF333B"/>
    <w:rsid w:val="00FF5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9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9DF"/>
    <w:pPr>
      <w:ind w:left="720"/>
      <w:contextualSpacing/>
    </w:pPr>
  </w:style>
  <w:style w:type="paragraph" w:styleId="BalloonText">
    <w:name w:val="Balloon Text"/>
    <w:basedOn w:val="Normal"/>
    <w:link w:val="BalloonTextChar"/>
    <w:uiPriority w:val="99"/>
    <w:semiHidden/>
    <w:unhideWhenUsed/>
    <w:rsid w:val="00C519D3"/>
    <w:rPr>
      <w:rFonts w:ascii="Tahoma" w:hAnsi="Tahoma" w:cs="Tahoma"/>
      <w:sz w:val="16"/>
      <w:szCs w:val="16"/>
    </w:rPr>
  </w:style>
  <w:style w:type="character" w:customStyle="1" w:styleId="BalloonTextChar">
    <w:name w:val="Balloon Text Char"/>
    <w:basedOn w:val="DefaultParagraphFont"/>
    <w:link w:val="BalloonText"/>
    <w:uiPriority w:val="99"/>
    <w:semiHidden/>
    <w:rsid w:val="00C519D3"/>
    <w:rPr>
      <w:rFonts w:ascii="Tahoma" w:hAnsi="Tahoma" w:cs="Tahoma"/>
      <w:sz w:val="16"/>
      <w:szCs w:val="16"/>
    </w:rPr>
  </w:style>
  <w:style w:type="paragraph" w:styleId="FootnoteText">
    <w:name w:val="footnote text"/>
    <w:basedOn w:val="Normal"/>
    <w:link w:val="FootnoteTextChar"/>
    <w:uiPriority w:val="99"/>
    <w:semiHidden/>
    <w:unhideWhenUsed/>
    <w:rsid w:val="003D5283"/>
    <w:rPr>
      <w:sz w:val="20"/>
      <w:szCs w:val="20"/>
    </w:rPr>
  </w:style>
  <w:style w:type="character" w:customStyle="1" w:styleId="FootnoteTextChar">
    <w:name w:val="Footnote Text Char"/>
    <w:basedOn w:val="DefaultParagraphFont"/>
    <w:link w:val="FootnoteText"/>
    <w:uiPriority w:val="99"/>
    <w:semiHidden/>
    <w:rsid w:val="003D5283"/>
    <w:rPr>
      <w:sz w:val="20"/>
      <w:szCs w:val="20"/>
    </w:rPr>
  </w:style>
  <w:style w:type="character" w:styleId="FootnoteReference">
    <w:name w:val="footnote reference"/>
    <w:basedOn w:val="DefaultParagraphFont"/>
    <w:uiPriority w:val="99"/>
    <w:semiHidden/>
    <w:unhideWhenUsed/>
    <w:rsid w:val="003D5283"/>
    <w:rPr>
      <w:vertAlign w:val="superscript"/>
    </w:rPr>
  </w:style>
  <w:style w:type="character" w:customStyle="1" w:styleId="apple-converted-space">
    <w:name w:val="apple-converted-space"/>
    <w:basedOn w:val="DefaultParagraphFont"/>
    <w:rsid w:val="00EC5B2F"/>
  </w:style>
  <w:style w:type="character" w:styleId="Hyperlink">
    <w:name w:val="Hyperlink"/>
    <w:basedOn w:val="DefaultParagraphFont"/>
    <w:uiPriority w:val="99"/>
    <w:semiHidden/>
    <w:unhideWhenUsed/>
    <w:rsid w:val="00EC5B2F"/>
    <w:rPr>
      <w:color w:val="0000FF"/>
      <w:u w:val="single"/>
    </w:rPr>
  </w:style>
  <w:style w:type="paragraph" w:styleId="Header">
    <w:name w:val="header"/>
    <w:basedOn w:val="Normal"/>
    <w:link w:val="HeaderChar"/>
    <w:uiPriority w:val="99"/>
    <w:unhideWhenUsed/>
    <w:rsid w:val="003C2C1F"/>
    <w:pPr>
      <w:tabs>
        <w:tab w:val="center" w:pos="4680"/>
        <w:tab w:val="right" w:pos="9360"/>
      </w:tabs>
    </w:pPr>
  </w:style>
  <w:style w:type="character" w:customStyle="1" w:styleId="HeaderChar">
    <w:name w:val="Header Char"/>
    <w:basedOn w:val="DefaultParagraphFont"/>
    <w:link w:val="Header"/>
    <w:uiPriority w:val="99"/>
    <w:rsid w:val="003C2C1F"/>
  </w:style>
  <w:style w:type="paragraph" w:styleId="Footer">
    <w:name w:val="footer"/>
    <w:basedOn w:val="Normal"/>
    <w:link w:val="FooterChar"/>
    <w:uiPriority w:val="99"/>
    <w:unhideWhenUsed/>
    <w:rsid w:val="003C2C1F"/>
    <w:pPr>
      <w:tabs>
        <w:tab w:val="center" w:pos="4680"/>
        <w:tab w:val="right" w:pos="9360"/>
      </w:tabs>
    </w:pPr>
  </w:style>
  <w:style w:type="character" w:customStyle="1" w:styleId="FooterChar">
    <w:name w:val="Footer Char"/>
    <w:basedOn w:val="DefaultParagraphFont"/>
    <w:link w:val="Footer"/>
    <w:uiPriority w:val="99"/>
    <w:rsid w:val="003C2C1F"/>
  </w:style>
  <w:style w:type="paragraph" w:customStyle="1" w:styleId="le-normal-32-level">
    <w:name w:val="le-normal-32-level"/>
    <w:basedOn w:val="Normal"/>
    <w:rsid w:val="00822A9F"/>
    <w:pPr>
      <w:spacing w:before="20" w:after="20"/>
    </w:pPr>
    <w:rPr>
      <w:rFonts w:ascii="Courier New" w:eastAsia="Times New Roman" w:hAnsi="Courier New" w:cs="Courier New"/>
      <w:color w:val="000000"/>
    </w:rPr>
  </w:style>
  <w:style w:type="character" w:styleId="CommentReference">
    <w:name w:val="annotation reference"/>
    <w:basedOn w:val="DefaultParagraphFont"/>
    <w:uiPriority w:val="99"/>
    <w:semiHidden/>
    <w:unhideWhenUsed/>
    <w:rsid w:val="00020444"/>
    <w:rPr>
      <w:sz w:val="16"/>
      <w:szCs w:val="16"/>
    </w:rPr>
  </w:style>
  <w:style w:type="paragraph" w:styleId="CommentText">
    <w:name w:val="annotation text"/>
    <w:basedOn w:val="Normal"/>
    <w:link w:val="CommentTextChar"/>
    <w:uiPriority w:val="99"/>
    <w:semiHidden/>
    <w:unhideWhenUsed/>
    <w:rsid w:val="00020444"/>
    <w:rPr>
      <w:sz w:val="20"/>
      <w:szCs w:val="20"/>
    </w:rPr>
  </w:style>
  <w:style w:type="character" w:customStyle="1" w:styleId="CommentTextChar">
    <w:name w:val="Comment Text Char"/>
    <w:basedOn w:val="DefaultParagraphFont"/>
    <w:link w:val="CommentText"/>
    <w:uiPriority w:val="99"/>
    <w:semiHidden/>
    <w:rsid w:val="00020444"/>
    <w:rPr>
      <w:sz w:val="20"/>
      <w:szCs w:val="20"/>
    </w:rPr>
  </w:style>
  <w:style w:type="paragraph" w:styleId="CommentSubject">
    <w:name w:val="annotation subject"/>
    <w:basedOn w:val="CommentText"/>
    <w:next w:val="CommentText"/>
    <w:link w:val="CommentSubjectChar"/>
    <w:uiPriority w:val="99"/>
    <w:semiHidden/>
    <w:unhideWhenUsed/>
    <w:rsid w:val="00020444"/>
    <w:rPr>
      <w:b/>
      <w:bCs/>
    </w:rPr>
  </w:style>
  <w:style w:type="character" w:customStyle="1" w:styleId="CommentSubjectChar">
    <w:name w:val="Comment Subject Char"/>
    <w:basedOn w:val="CommentTextChar"/>
    <w:link w:val="CommentSubject"/>
    <w:uiPriority w:val="99"/>
    <w:semiHidden/>
    <w:rsid w:val="0002044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9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9DF"/>
    <w:pPr>
      <w:ind w:left="720"/>
      <w:contextualSpacing/>
    </w:pPr>
  </w:style>
  <w:style w:type="paragraph" w:styleId="BalloonText">
    <w:name w:val="Balloon Text"/>
    <w:basedOn w:val="Normal"/>
    <w:link w:val="BalloonTextChar"/>
    <w:uiPriority w:val="99"/>
    <w:semiHidden/>
    <w:unhideWhenUsed/>
    <w:rsid w:val="00C519D3"/>
    <w:rPr>
      <w:rFonts w:ascii="Tahoma" w:hAnsi="Tahoma" w:cs="Tahoma"/>
      <w:sz w:val="16"/>
      <w:szCs w:val="16"/>
    </w:rPr>
  </w:style>
  <w:style w:type="character" w:customStyle="1" w:styleId="BalloonTextChar">
    <w:name w:val="Balloon Text Char"/>
    <w:basedOn w:val="DefaultParagraphFont"/>
    <w:link w:val="BalloonText"/>
    <w:uiPriority w:val="99"/>
    <w:semiHidden/>
    <w:rsid w:val="00C519D3"/>
    <w:rPr>
      <w:rFonts w:ascii="Tahoma" w:hAnsi="Tahoma" w:cs="Tahoma"/>
      <w:sz w:val="16"/>
      <w:szCs w:val="16"/>
    </w:rPr>
  </w:style>
  <w:style w:type="paragraph" w:styleId="FootnoteText">
    <w:name w:val="footnote text"/>
    <w:basedOn w:val="Normal"/>
    <w:link w:val="FootnoteTextChar"/>
    <w:uiPriority w:val="99"/>
    <w:semiHidden/>
    <w:unhideWhenUsed/>
    <w:rsid w:val="003D5283"/>
    <w:rPr>
      <w:sz w:val="20"/>
      <w:szCs w:val="20"/>
    </w:rPr>
  </w:style>
  <w:style w:type="character" w:customStyle="1" w:styleId="FootnoteTextChar">
    <w:name w:val="Footnote Text Char"/>
    <w:basedOn w:val="DefaultParagraphFont"/>
    <w:link w:val="FootnoteText"/>
    <w:uiPriority w:val="99"/>
    <w:semiHidden/>
    <w:rsid w:val="003D5283"/>
    <w:rPr>
      <w:sz w:val="20"/>
      <w:szCs w:val="20"/>
    </w:rPr>
  </w:style>
  <w:style w:type="character" w:styleId="FootnoteReference">
    <w:name w:val="footnote reference"/>
    <w:basedOn w:val="DefaultParagraphFont"/>
    <w:uiPriority w:val="99"/>
    <w:semiHidden/>
    <w:unhideWhenUsed/>
    <w:rsid w:val="003D5283"/>
    <w:rPr>
      <w:vertAlign w:val="superscript"/>
    </w:rPr>
  </w:style>
  <w:style w:type="character" w:customStyle="1" w:styleId="apple-converted-space">
    <w:name w:val="apple-converted-space"/>
    <w:basedOn w:val="DefaultParagraphFont"/>
    <w:rsid w:val="00EC5B2F"/>
  </w:style>
  <w:style w:type="character" w:styleId="Hyperlink">
    <w:name w:val="Hyperlink"/>
    <w:basedOn w:val="DefaultParagraphFont"/>
    <w:uiPriority w:val="99"/>
    <w:semiHidden/>
    <w:unhideWhenUsed/>
    <w:rsid w:val="00EC5B2F"/>
    <w:rPr>
      <w:color w:val="0000FF"/>
      <w:u w:val="single"/>
    </w:rPr>
  </w:style>
  <w:style w:type="paragraph" w:styleId="Header">
    <w:name w:val="header"/>
    <w:basedOn w:val="Normal"/>
    <w:link w:val="HeaderChar"/>
    <w:uiPriority w:val="99"/>
    <w:unhideWhenUsed/>
    <w:rsid w:val="003C2C1F"/>
    <w:pPr>
      <w:tabs>
        <w:tab w:val="center" w:pos="4680"/>
        <w:tab w:val="right" w:pos="9360"/>
      </w:tabs>
    </w:pPr>
  </w:style>
  <w:style w:type="character" w:customStyle="1" w:styleId="HeaderChar">
    <w:name w:val="Header Char"/>
    <w:basedOn w:val="DefaultParagraphFont"/>
    <w:link w:val="Header"/>
    <w:uiPriority w:val="99"/>
    <w:rsid w:val="003C2C1F"/>
  </w:style>
  <w:style w:type="paragraph" w:styleId="Footer">
    <w:name w:val="footer"/>
    <w:basedOn w:val="Normal"/>
    <w:link w:val="FooterChar"/>
    <w:uiPriority w:val="99"/>
    <w:unhideWhenUsed/>
    <w:rsid w:val="003C2C1F"/>
    <w:pPr>
      <w:tabs>
        <w:tab w:val="center" w:pos="4680"/>
        <w:tab w:val="right" w:pos="9360"/>
      </w:tabs>
    </w:pPr>
  </w:style>
  <w:style w:type="character" w:customStyle="1" w:styleId="FooterChar">
    <w:name w:val="Footer Char"/>
    <w:basedOn w:val="DefaultParagraphFont"/>
    <w:link w:val="Footer"/>
    <w:uiPriority w:val="99"/>
    <w:rsid w:val="003C2C1F"/>
  </w:style>
  <w:style w:type="paragraph" w:customStyle="1" w:styleId="le-normal-32-level">
    <w:name w:val="le-normal-32-level"/>
    <w:basedOn w:val="Normal"/>
    <w:rsid w:val="00822A9F"/>
    <w:pPr>
      <w:spacing w:before="20" w:after="20"/>
    </w:pPr>
    <w:rPr>
      <w:rFonts w:ascii="Courier New" w:eastAsia="Times New Roman" w:hAnsi="Courier New" w:cs="Courier New"/>
      <w:color w:val="000000"/>
    </w:rPr>
  </w:style>
  <w:style w:type="character" w:styleId="CommentReference">
    <w:name w:val="annotation reference"/>
    <w:basedOn w:val="DefaultParagraphFont"/>
    <w:uiPriority w:val="99"/>
    <w:semiHidden/>
    <w:unhideWhenUsed/>
    <w:rsid w:val="00020444"/>
    <w:rPr>
      <w:sz w:val="16"/>
      <w:szCs w:val="16"/>
    </w:rPr>
  </w:style>
  <w:style w:type="paragraph" w:styleId="CommentText">
    <w:name w:val="annotation text"/>
    <w:basedOn w:val="Normal"/>
    <w:link w:val="CommentTextChar"/>
    <w:uiPriority w:val="99"/>
    <w:semiHidden/>
    <w:unhideWhenUsed/>
    <w:rsid w:val="00020444"/>
    <w:rPr>
      <w:sz w:val="20"/>
      <w:szCs w:val="20"/>
    </w:rPr>
  </w:style>
  <w:style w:type="character" w:customStyle="1" w:styleId="CommentTextChar">
    <w:name w:val="Comment Text Char"/>
    <w:basedOn w:val="DefaultParagraphFont"/>
    <w:link w:val="CommentText"/>
    <w:uiPriority w:val="99"/>
    <w:semiHidden/>
    <w:rsid w:val="00020444"/>
    <w:rPr>
      <w:sz w:val="20"/>
      <w:szCs w:val="20"/>
    </w:rPr>
  </w:style>
  <w:style w:type="paragraph" w:styleId="CommentSubject">
    <w:name w:val="annotation subject"/>
    <w:basedOn w:val="CommentText"/>
    <w:next w:val="CommentText"/>
    <w:link w:val="CommentSubjectChar"/>
    <w:uiPriority w:val="99"/>
    <w:semiHidden/>
    <w:unhideWhenUsed/>
    <w:rsid w:val="00020444"/>
    <w:rPr>
      <w:b/>
      <w:bCs/>
    </w:rPr>
  </w:style>
  <w:style w:type="character" w:customStyle="1" w:styleId="CommentSubjectChar">
    <w:name w:val="Comment Subject Char"/>
    <w:basedOn w:val="CommentTextChar"/>
    <w:link w:val="CommentSubject"/>
    <w:uiPriority w:val="99"/>
    <w:semiHidden/>
    <w:rsid w:val="000204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035010">
      <w:bodyDiv w:val="1"/>
      <w:marLeft w:val="0"/>
      <w:marRight w:val="0"/>
      <w:marTop w:val="0"/>
      <w:marBottom w:val="0"/>
      <w:divBdr>
        <w:top w:val="none" w:sz="0" w:space="0" w:color="auto"/>
        <w:left w:val="none" w:sz="0" w:space="0" w:color="auto"/>
        <w:bottom w:val="none" w:sz="0" w:space="0" w:color="auto"/>
        <w:right w:val="none" w:sz="0" w:space="0" w:color="auto"/>
      </w:divBdr>
      <w:divsChild>
        <w:div w:id="2121948423">
          <w:marLeft w:val="0"/>
          <w:marRight w:val="0"/>
          <w:marTop w:val="0"/>
          <w:marBottom w:val="0"/>
          <w:divBdr>
            <w:top w:val="none" w:sz="0" w:space="0" w:color="auto"/>
            <w:left w:val="none" w:sz="0" w:space="0" w:color="auto"/>
            <w:bottom w:val="none" w:sz="0" w:space="0" w:color="auto"/>
            <w:right w:val="none" w:sz="0" w:space="0" w:color="auto"/>
          </w:divBdr>
        </w:div>
      </w:divsChild>
    </w:div>
    <w:div w:id="475074730">
      <w:bodyDiv w:val="1"/>
      <w:marLeft w:val="0"/>
      <w:marRight w:val="0"/>
      <w:marTop w:val="0"/>
      <w:marBottom w:val="0"/>
      <w:divBdr>
        <w:top w:val="none" w:sz="0" w:space="0" w:color="auto"/>
        <w:left w:val="none" w:sz="0" w:space="0" w:color="auto"/>
        <w:bottom w:val="none" w:sz="0" w:space="0" w:color="auto"/>
        <w:right w:val="none" w:sz="0" w:space="0" w:color="auto"/>
      </w:divBdr>
      <w:divsChild>
        <w:div w:id="352539694">
          <w:marLeft w:val="0"/>
          <w:marRight w:val="0"/>
          <w:marTop w:val="0"/>
          <w:marBottom w:val="0"/>
          <w:divBdr>
            <w:top w:val="none" w:sz="0" w:space="0" w:color="auto"/>
            <w:left w:val="none" w:sz="0" w:space="0" w:color="auto"/>
            <w:bottom w:val="none" w:sz="0" w:space="0" w:color="auto"/>
            <w:right w:val="none" w:sz="0" w:space="0" w:color="auto"/>
          </w:divBdr>
        </w:div>
      </w:divsChild>
    </w:div>
    <w:div w:id="537010021">
      <w:bodyDiv w:val="1"/>
      <w:marLeft w:val="0"/>
      <w:marRight w:val="0"/>
      <w:marTop w:val="0"/>
      <w:marBottom w:val="0"/>
      <w:divBdr>
        <w:top w:val="none" w:sz="0" w:space="0" w:color="auto"/>
        <w:left w:val="none" w:sz="0" w:space="0" w:color="auto"/>
        <w:bottom w:val="none" w:sz="0" w:space="0" w:color="auto"/>
        <w:right w:val="none" w:sz="0" w:space="0" w:color="auto"/>
      </w:divBdr>
      <w:divsChild>
        <w:div w:id="277875442">
          <w:marLeft w:val="720"/>
          <w:marRight w:val="0"/>
          <w:marTop w:val="0"/>
          <w:marBottom w:val="0"/>
          <w:divBdr>
            <w:top w:val="none" w:sz="0" w:space="0" w:color="auto"/>
            <w:left w:val="none" w:sz="0" w:space="0" w:color="auto"/>
            <w:bottom w:val="none" w:sz="0" w:space="0" w:color="auto"/>
            <w:right w:val="none" w:sz="0" w:space="0" w:color="auto"/>
          </w:divBdr>
        </w:div>
        <w:div w:id="937252375">
          <w:marLeft w:val="0"/>
          <w:marRight w:val="0"/>
          <w:marTop w:val="0"/>
          <w:marBottom w:val="0"/>
          <w:divBdr>
            <w:top w:val="none" w:sz="0" w:space="0" w:color="auto"/>
            <w:left w:val="none" w:sz="0" w:space="0" w:color="auto"/>
            <w:bottom w:val="none" w:sz="0" w:space="0" w:color="auto"/>
            <w:right w:val="none" w:sz="0" w:space="0" w:color="auto"/>
          </w:divBdr>
        </w:div>
        <w:div w:id="1406799008">
          <w:marLeft w:val="0"/>
          <w:marRight w:val="0"/>
          <w:marTop w:val="0"/>
          <w:marBottom w:val="0"/>
          <w:divBdr>
            <w:top w:val="none" w:sz="0" w:space="0" w:color="auto"/>
            <w:left w:val="none" w:sz="0" w:space="0" w:color="auto"/>
            <w:bottom w:val="none" w:sz="0" w:space="0" w:color="auto"/>
            <w:right w:val="none" w:sz="0" w:space="0" w:color="auto"/>
          </w:divBdr>
        </w:div>
        <w:div w:id="1532568739">
          <w:marLeft w:val="0"/>
          <w:marRight w:val="0"/>
          <w:marTop w:val="0"/>
          <w:marBottom w:val="0"/>
          <w:divBdr>
            <w:top w:val="none" w:sz="0" w:space="0" w:color="auto"/>
            <w:left w:val="none" w:sz="0" w:space="0" w:color="auto"/>
            <w:bottom w:val="none" w:sz="0" w:space="0" w:color="auto"/>
            <w:right w:val="none" w:sz="0" w:space="0" w:color="auto"/>
          </w:divBdr>
        </w:div>
        <w:div w:id="1748189188">
          <w:marLeft w:val="720"/>
          <w:marRight w:val="0"/>
          <w:marTop w:val="0"/>
          <w:marBottom w:val="0"/>
          <w:divBdr>
            <w:top w:val="none" w:sz="0" w:space="0" w:color="auto"/>
            <w:left w:val="none" w:sz="0" w:space="0" w:color="auto"/>
            <w:bottom w:val="none" w:sz="0" w:space="0" w:color="auto"/>
            <w:right w:val="none" w:sz="0" w:space="0" w:color="auto"/>
          </w:divBdr>
        </w:div>
        <w:div w:id="1792817085">
          <w:marLeft w:val="0"/>
          <w:marRight w:val="0"/>
          <w:marTop w:val="0"/>
          <w:marBottom w:val="0"/>
          <w:divBdr>
            <w:top w:val="none" w:sz="0" w:space="0" w:color="auto"/>
            <w:left w:val="none" w:sz="0" w:space="0" w:color="auto"/>
            <w:bottom w:val="none" w:sz="0" w:space="0" w:color="auto"/>
            <w:right w:val="none" w:sz="0" w:space="0" w:color="auto"/>
          </w:divBdr>
        </w:div>
        <w:div w:id="1897205588">
          <w:marLeft w:val="0"/>
          <w:marRight w:val="0"/>
          <w:marTop w:val="0"/>
          <w:marBottom w:val="0"/>
          <w:divBdr>
            <w:top w:val="none" w:sz="0" w:space="0" w:color="auto"/>
            <w:left w:val="none" w:sz="0" w:space="0" w:color="auto"/>
            <w:bottom w:val="none" w:sz="0" w:space="0" w:color="auto"/>
            <w:right w:val="none" w:sz="0" w:space="0" w:color="auto"/>
          </w:divBdr>
        </w:div>
      </w:divsChild>
    </w:div>
    <w:div w:id="599720221">
      <w:bodyDiv w:val="1"/>
      <w:marLeft w:val="0"/>
      <w:marRight w:val="0"/>
      <w:marTop w:val="0"/>
      <w:marBottom w:val="0"/>
      <w:divBdr>
        <w:top w:val="none" w:sz="0" w:space="0" w:color="auto"/>
        <w:left w:val="none" w:sz="0" w:space="0" w:color="auto"/>
        <w:bottom w:val="none" w:sz="0" w:space="0" w:color="auto"/>
        <w:right w:val="none" w:sz="0" w:space="0" w:color="auto"/>
      </w:divBdr>
      <w:divsChild>
        <w:div w:id="1676298239">
          <w:marLeft w:val="720"/>
          <w:marRight w:val="0"/>
          <w:marTop w:val="0"/>
          <w:marBottom w:val="0"/>
          <w:divBdr>
            <w:top w:val="none" w:sz="0" w:space="0" w:color="auto"/>
            <w:left w:val="none" w:sz="0" w:space="0" w:color="auto"/>
            <w:bottom w:val="none" w:sz="0" w:space="0" w:color="auto"/>
            <w:right w:val="none" w:sz="0" w:space="0" w:color="auto"/>
          </w:divBdr>
        </w:div>
      </w:divsChild>
    </w:div>
    <w:div w:id="665785993">
      <w:bodyDiv w:val="1"/>
      <w:marLeft w:val="0"/>
      <w:marRight w:val="0"/>
      <w:marTop w:val="0"/>
      <w:marBottom w:val="0"/>
      <w:divBdr>
        <w:top w:val="none" w:sz="0" w:space="0" w:color="auto"/>
        <w:left w:val="none" w:sz="0" w:space="0" w:color="auto"/>
        <w:bottom w:val="none" w:sz="0" w:space="0" w:color="auto"/>
        <w:right w:val="none" w:sz="0" w:space="0" w:color="auto"/>
      </w:divBdr>
      <w:divsChild>
        <w:div w:id="1969889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sll.gvpi.net/document.php?id=sjcapp:41_mass_app_ct_246"/>
  <Relationship Id="rId11" Type="http://schemas.openxmlformats.org/officeDocument/2006/relationships/hyperlink" TargetMode="External" Target="http://sll.gvpi.net/document.php?id=sjcapp:345_mass_483"/>
  <Relationship Id="rId12" Type="http://schemas.openxmlformats.org/officeDocument/2006/relationships/hyperlink" TargetMode="External" Target="http://sll.gvpi.net/document.php?id=crab:crab14f-29&amp;type=hitlist&amp;num=1#hit19"/>
  <Relationship Id="rId13" Type="http://schemas.openxmlformats.org/officeDocument/2006/relationships/image" Target="media/image3.gif"/>
  <Relationship Id="rId14" Type="http://schemas.openxmlformats.org/officeDocument/2006/relationships/hyperlink" TargetMode="External" Target="http://sll.gvpi.net/document.php?id=sjcapp:378_mass_14"/>
  <Relationship Id="rId15" Type="http://schemas.openxmlformats.org/officeDocument/2006/relationships/hyperlink" TargetMode="External" Target="http://sll.gvpi.net/document.php?id=crab:crab14f-29&amp;type=hitlist&amp;num=1#hit18"/>
  <Relationship Id="rId16" Type="http://schemas.openxmlformats.org/officeDocument/2006/relationships/hyperlink" TargetMode="External" Target="http://sll.gvpi.net/document.php?id=sjcapp:app13k-2"/>
  <Relationship Id="rId17" Type="http://schemas.openxmlformats.org/officeDocument/2006/relationships/hyperlink" TargetMode="External" Target="http://sll.gvpi.net/document.php?id=sjcapp:45_mass_app_ct_1"/>
  <Relationship Id="rId18" Type="http://schemas.openxmlformats.org/officeDocument/2006/relationships/hyperlink" TargetMode="External" Target="http://sll.gvpi.net/document.php?id=sjcapp:414_mass_360"/>
  <Relationship Id="rId19" Type="http://schemas.openxmlformats.org/officeDocument/2006/relationships/header" Target="header1.xml"/>
  <Relationship Id="rId2" Type="http://schemas.openxmlformats.org/officeDocument/2006/relationships/numbering" Target="numbering.xml"/>
  <Relationship Id="rId20" Type="http://schemas.openxmlformats.org/officeDocument/2006/relationships/footer" Target="footer1.xml"/>
  <Relationship Id="rId21" Type="http://schemas.openxmlformats.org/officeDocument/2006/relationships/fontTable" Target="fontTable.xml"/>
  <Relationship Id="rId22"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2.png"/>
</Relationships>

</file>

<file path=word/_rels/numbering.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B9252-F381-4978-BED8-E2E38B37A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3483</Words>
  <Characters>19854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2017-08-21T23:21:00Z</dcterms:created>
  <dc:creator>ANF</dc:creator>
  <lastModifiedBy>ANF</lastModifiedBy>
  <lastPrinted>2017-08-21T23:18:00Z</lastPrinted>
  <dcterms:modified xsi:type="dcterms:W3CDTF">2017-08-21T23:21:00Z</dcterms:modified>
  <revision>2</revision>
</coreProperties>
</file>