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EF" w:rsidRPr="00015760" w:rsidRDefault="007F43EF" w:rsidP="007F43EF">
      <w:pPr>
        <w:widowControl w:val="0"/>
        <w:spacing w:after="0" w:line="240" w:lineRule="auto"/>
        <w:jc w:val="center"/>
        <w:rPr>
          <w:b/>
          <w:bCs/>
          <w:color w:val="1F497D" w:themeColor="text2"/>
          <w:sz w:val="44"/>
          <w:szCs w:val="44"/>
          <w14:ligatures w14:val="none"/>
        </w:rPr>
      </w:pPr>
      <w:r w:rsidRPr="00015760">
        <w:rPr>
          <w:b/>
          <w:bCs/>
          <w:color w:val="1F497D" w:themeColor="text2"/>
          <w:sz w:val="44"/>
          <w:szCs w:val="44"/>
          <w14:ligatures w14:val="none"/>
        </w:rPr>
        <w:t xml:space="preserve">Data Brief: </w:t>
      </w:r>
    </w:p>
    <w:p w:rsidR="007F43EF" w:rsidRPr="00015760" w:rsidRDefault="007F43EF" w:rsidP="007F43EF">
      <w:pPr>
        <w:widowControl w:val="0"/>
        <w:spacing w:after="0" w:line="240" w:lineRule="auto"/>
        <w:jc w:val="center"/>
        <w:rPr>
          <w:b/>
          <w:bCs/>
          <w:color w:val="1F497D" w:themeColor="text2"/>
          <w:sz w:val="44"/>
          <w:szCs w:val="44"/>
          <w14:ligatures w14:val="none"/>
        </w:rPr>
      </w:pPr>
      <w:r w:rsidRPr="00015760">
        <w:rPr>
          <w:b/>
          <w:bCs/>
          <w:color w:val="1F497D" w:themeColor="text2"/>
          <w:sz w:val="44"/>
          <w:szCs w:val="44"/>
          <w14:ligatures w14:val="none"/>
        </w:rPr>
        <w:t>Occupational Lung Disease Bulletin</w:t>
      </w:r>
    </w:p>
    <w:p w:rsidR="007F43EF" w:rsidRPr="00015760" w:rsidRDefault="007F43EF" w:rsidP="007F43EF">
      <w:pPr>
        <w:spacing w:after="0" w:line="240" w:lineRule="auto"/>
        <w:jc w:val="center"/>
        <w:rPr>
          <w:b/>
          <w:bCs/>
          <w:color w:val="1F497D" w:themeColor="text2"/>
          <w:sz w:val="44"/>
          <w:szCs w:val="44"/>
          <w14:ligatures w14:val="none"/>
        </w:rPr>
      </w:pPr>
      <w:r w:rsidRPr="00015760">
        <w:rPr>
          <w:b/>
          <w:bCs/>
          <w:color w:val="1F497D" w:themeColor="text2"/>
          <w:sz w:val="44"/>
          <w:szCs w:val="44"/>
          <w14:ligatures w14:val="none"/>
        </w:rPr>
        <w:t>Asthma in Massachusetts Home Care Aides</w:t>
      </w:r>
    </w:p>
    <w:p w:rsidR="007F43EF" w:rsidRDefault="007F43EF" w:rsidP="007F43EF">
      <w:pPr>
        <w:widowControl w:val="0"/>
        <w:rPr>
          <w14:ligatures w14:val="none"/>
        </w:rPr>
      </w:pPr>
      <w:r>
        <w:rPr>
          <w14:ligatures w14:val="none"/>
        </w:rPr>
        <w:t> </w:t>
      </w:r>
    </w:p>
    <w:p w:rsidR="00A57E5F" w:rsidRPr="00BB7287" w:rsidRDefault="00A57E5F" w:rsidP="00A57E5F">
      <w:pPr>
        <w:widowControl w:val="0"/>
        <w:rPr>
          <w:color w:val="auto"/>
          <w:sz w:val="22"/>
          <w:szCs w:val="22"/>
          <w14:ligatures w14:val="none"/>
        </w:rPr>
      </w:pPr>
      <w:r w:rsidRPr="00BB7287">
        <w:rPr>
          <w:color w:val="auto"/>
          <w:sz w:val="22"/>
          <w:szCs w:val="22"/>
          <w14:ligatures w14:val="none"/>
        </w:rPr>
        <w:t>Massachusetts Department of Public Health</w:t>
      </w:r>
      <w:r w:rsidRPr="00BB7287">
        <w:rPr>
          <w:color w:val="auto"/>
          <w:sz w:val="22"/>
          <w:szCs w:val="22"/>
          <w14:ligatures w14:val="none"/>
        </w:rPr>
        <w:tab/>
      </w:r>
      <w:r w:rsidRPr="00BB7287">
        <w:rPr>
          <w:color w:val="auto"/>
          <w:sz w:val="22"/>
          <w:szCs w:val="22"/>
          <w14:ligatures w14:val="none"/>
        </w:rPr>
        <w:tab/>
      </w:r>
      <w:r w:rsidRPr="00BB7287">
        <w:rPr>
          <w:color w:val="auto"/>
          <w:sz w:val="22"/>
          <w:szCs w:val="22"/>
          <w14:ligatures w14:val="none"/>
        </w:rPr>
        <w:tab/>
      </w:r>
      <w:r w:rsidRPr="00BB7287">
        <w:rPr>
          <w:color w:val="auto"/>
          <w:sz w:val="22"/>
          <w:szCs w:val="22"/>
          <w14:ligatures w14:val="none"/>
        </w:rPr>
        <w:tab/>
      </w:r>
      <w:r w:rsidRPr="00BB7287">
        <w:rPr>
          <w:color w:val="auto"/>
          <w:sz w:val="22"/>
          <w:szCs w:val="22"/>
          <w14:ligatures w14:val="none"/>
        </w:rPr>
        <w:tab/>
      </w:r>
      <w:r w:rsidRPr="00BB7287">
        <w:rPr>
          <w:color w:val="auto"/>
          <w:sz w:val="22"/>
          <w:szCs w:val="22"/>
          <w14:ligatures w14:val="none"/>
        </w:rPr>
        <w:tab/>
      </w:r>
      <w:r w:rsidRPr="00BB7287">
        <w:rPr>
          <w:color w:val="auto"/>
          <w:sz w:val="22"/>
          <w:szCs w:val="22"/>
          <w14:ligatures w14:val="none"/>
        </w:rPr>
        <w:tab/>
        <w:t xml:space="preserve">           </w:t>
      </w:r>
      <w:r w:rsidR="00F71542">
        <w:rPr>
          <w:color w:val="auto"/>
          <w:sz w:val="22"/>
          <w:szCs w:val="22"/>
          <w14:ligatures w14:val="none"/>
        </w:rPr>
        <w:tab/>
        <w:t xml:space="preserve">     Fall </w:t>
      </w:r>
      <w:r w:rsidRPr="00BB7287">
        <w:rPr>
          <w:color w:val="auto"/>
          <w:sz w:val="22"/>
          <w:szCs w:val="22"/>
          <w14:ligatures w14:val="none"/>
        </w:rPr>
        <w:t>2016</w:t>
      </w:r>
    </w:p>
    <w:p w:rsidR="00AF3A29" w:rsidRDefault="00AF3A29" w:rsidP="00D62125">
      <w:pPr>
        <w:rPr>
          <w:i/>
          <w:iCs/>
          <w:sz w:val="22"/>
          <w:szCs w:val="22"/>
          <w14:ligatures w14:val="none"/>
        </w:rPr>
      </w:pPr>
    </w:p>
    <w:p w:rsidR="00D62125" w:rsidRPr="00D62125" w:rsidRDefault="00D62125" w:rsidP="00D62125">
      <w:pPr>
        <w:rPr>
          <w:i/>
          <w:iCs/>
          <w:sz w:val="22"/>
          <w:szCs w:val="22"/>
          <w14:ligatures w14:val="none"/>
        </w:rPr>
      </w:pPr>
      <w:r>
        <w:rPr>
          <w:i/>
          <w:iCs/>
          <w:sz w:val="22"/>
          <w:szCs w:val="22"/>
          <w14:ligatures w14:val="none"/>
        </w:rPr>
        <w:t xml:space="preserve">Dear Healthcare Provider, </w:t>
      </w:r>
    </w:p>
    <w:p w:rsidR="00D62125" w:rsidRPr="00D62125" w:rsidRDefault="00D62125" w:rsidP="00D62125">
      <w:pPr>
        <w:rPr>
          <w:i/>
          <w:iCs/>
          <w:sz w:val="22"/>
          <w:szCs w:val="22"/>
          <w14:ligatures w14:val="none"/>
        </w:rPr>
      </w:pPr>
      <w:r w:rsidRPr="00D62125">
        <w:rPr>
          <w:i/>
          <w:iCs/>
          <w:sz w:val="22"/>
          <w:szCs w:val="22"/>
          <w14:ligatures w14:val="none"/>
        </w:rPr>
        <w:t xml:space="preserve">    In recent years, questions about occupation and industry have been included in the Massachusetts Behavioral Risk Factor Surveillance System (BRFSS), a population-based survey of residents.  The BRFSS can now be used to examine a variety of health indicators among occupation groups.  This Bulletin presents data on asthma in home care aides — a group of workers that is projected to grow considerably in the coming years.</w:t>
      </w:r>
    </w:p>
    <w:p w:rsidR="00D62125" w:rsidRDefault="00D62125" w:rsidP="00D62125">
      <w:pPr>
        <w:rPr>
          <w:i/>
          <w:iCs/>
          <w:sz w:val="22"/>
          <w:szCs w:val="22"/>
          <w14:ligatures w14:val="none"/>
        </w:rPr>
      </w:pPr>
      <w:r w:rsidRPr="00D62125">
        <w:rPr>
          <w:i/>
          <w:iCs/>
          <w:sz w:val="22"/>
          <w:szCs w:val="22"/>
          <w14:ligatures w14:val="none"/>
        </w:rPr>
        <w:t xml:space="preserve">    Please continue to report suspected cases of work-related lung disease using the enclosed form. To receive your Bulletin by e-mail, to provide comments, or to contribute an article to the Bulletin, cont</w:t>
      </w:r>
      <w:r>
        <w:rPr>
          <w:i/>
          <w:iCs/>
          <w:sz w:val="22"/>
          <w:szCs w:val="22"/>
          <w14:ligatures w14:val="none"/>
        </w:rPr>
        <w:t xml:space="preserve">act us at </w:t>
      </w:r>
      <w:r w:rsidR="00AF3A29" w:rsidRPr="00AF3A29">
        <w:rPr>
          <w:i/>
          <w:iCs/>
          <w:sz w:val="22"/>
          <w:szCs w:val="22"/>
          <w14:ligatures w14:val="none"/>
        </w:rPr>
        <w:t>MDPH.OHSP@state.ma.us</w:t>
      </w:r>
    </w:p>
    <w:p w:rsidR="00AF3A29" w:rsidRPr="00D62125" w:rsidRDefault="00AF3A29" w:rsidP="00D62125">
      <w:pPr>
        <w:rPr>
          <w:i/>
          <w:iCs/>
          <w:sz w:val="22"/>
          <w:szCs w:val="22"/>
          <w14:ligatures w14:val="none"/>
        </w:rPr>
      </w:pPr>
    </w:p>
    <w:p w:rsidR="00D62125" w:rsidRPr="00D62125" w:rsidRDefault="00D62125" w:rsidP="00D62125">
      <w:pPr>
        <w:spacing w:line="240" w:lineRule="auto"/>
        <w:rPr>
          <w:i/>
          <w:iCs/>
          <w:sz w:val="22"/>
          <w:szCs w:val="22"/>
          <w14:ligatures w14:val="none"/>
        </w:rPr>
      </w:pPr>
      <w:r w:rsidRPr="00D62125">
        <w:rPr>
          <w:i/>
          <w:iCs/>
          <w:sz w:val="22"/>
          <w:szCs w:val="22"/>
          <w14:ligatures w14:val="none"/>
        </w:rPr>
        <w:t>Kathleen Fitzsimmons, MPH</w:t>
      </w:r>
    </w:p>
    <w:p w:rsidR="00DD3A3D" w:rsidRDefault="00D62125" w:rsidP="00D62125">
      <w:pPr>
        <w:spacing w:line="240" w:lineRule="auto"/>
        <w:rPr>
          <w:b/>
          <w:bCs/>
          <w14:ligatures w14:val="none"/>
        </w:rPr>
      </w:pPr>
      <w:r w:rsidRPr="00D62125">
        <w:rPr>
          <w:i/>
          <w:iCs/>
          <w:sz w:val="22"/>
          <w:szCs w:val="22"/>
          <w14:ligatures w14:val="none"/>
        </w:rPr>
        <w:t>Epidemiologist</w:t>
      </w:r>
      <w:r w:rsidR="009C70C5">
        <w:rPr>
          <w:b/>
          <w:bCs/>
          <w14:ligatures w14:val="none"/>
        </w:rPr>
        <w:t> </w:t>
      </w:r>
      <w:r w:rsidR="00DD3A3D">
        <w:rPr>
          <w:b/>
          <w:bCs/>
          <w14:ligatures w14:val="none"/>
        </w:rPr>
        <w:t> </w:t>
      </w:r>
    </w:p>
    <w:p w:rsidR="00D62125" w:rsidRDefault="00D62125" w:rsidP="00DD3A3D">
      <w:pPr>
        <w:spacing w:after="160" w:line="266" w:lineRule="auto"/>
        <w:rPr>
          <w:b/>
          <w:bCs/>
          <w:sz w:val="24"/>
          <w:szCs w:val="24"/>
          <w14:ligatures w14:val="none"/>
        </w:rPr>
      </w:pPr>
    </w:p>
    <w:p w:rsidR="00DD3A3D" w:rsidRDefault="00DD3A3D" w:rsidP="00DD3A3D">
      <w:pPr>
        <w:spacing w:after="160" w:line="266" w:lineRule="auto"/>
        <w:rPr>
          <w:b/>
          <w:bCs/>
          <w:sz w:val="24"/>
          <w:szCs w:val="24"/>
          <w14:ligatures w14:val="none"/>
        </w:rPr>
      </w:pPr>
      <w:r>
        <w:rPr>
          <w:b/>
          <w:bCs/>
          <w:sz w:val="24"/>
          <w:szCs w:val="24"/>
          <w14:ligatures w14:val="none"/>
        </w:rPr>
        <w:t>Introduction</w:t>
      </w:r>
    </w:p>
    <w:p w:rsidR="0004033C" w:rsidRDefault="0004033C" w:rsidP="0004033C">
      <w:pPr>
        <w:widowControl w:val="0"/>
        <w:spacing w:after="160" w:line="266" w:lineRule="auto"/>
        <w:rPr>
          <w:sz w:val="22"/>
          <w:szCs w:val="22"/>
          <w14:ligatures w14:val="none"/>
        </w:rPr>
      </w:pPr>
      <w:r>
        <w:rPr>
          <w:sz w:val="22"/>
          <w:szCs w:val="22"/>
          <w14:ligatures w14:val="none"/>
        </w:rPr>
        <w:t>Due in part to the aging population in the United States, the demand for workers who provide home care is increasing.</w:t>
      </w:r>
      <w:r>
        <w:rPr>
          <w:sz w:val="15"/>
          <w:szCs w:val="15"/>
          <w:vertAlign w:val="superscript"/>
          <w14:ligatures w14:val="none"/>
        </w:rPr>
        <w:t>1-3</w:t>
      </w:r>
      <w:r>
        <w:rPr>
          <w:sz w:val="22"/>
          <w:szCs w:val="22"/>
          <w14:ligatures w14:val="none"/>
        </w:rPr>
        <w:t xml:space="preserve">  Home care aides perform a variety of tasks  to assist clients – primarily older adults and persons with disabilities – with everyday activities, like </w:t>
      </w:r>
      <w:r w:rsidR="00B415CA">
        <w:rPr>
          <w:sz w:val="22"/>
          <w:szCs w:val="22"/>
          <w14:ligatures w14:val="none"/>
        </w:rPr>
        <w:t xml:space="preserve">cleaning house,  </w:t>
      </w:r>
      <w:r>
        <w:rPr>
          <w:sz w:val="22"/>
          <w:szCs w:val="22"/>
          <w14:ligatures w14:val="none"/>
        </w:rPr>
        <w:t xml:space="preserve">bathing, dressing, laundry, preparing meals, </w:t>
      </w:r>
      <w:r w:rsidR="00B415CA">
        <w:rPr>
          <w:sz w:val="22"/>
          <w:szCs w:val="22"/>
          <w14:ligatures w14:val="none"/>
        </w:rPr>
        <w:t xml:space="preserve">and </w:t>
      </w:r>
      <w:r>
        <w:rPr>
          <w:sz w:val="22"/>
          <w:szCs w:val="22"/>
          <w14:ligatures w14:val="none"/>
        </w:rPr>
        <w:t xml:space="preserve">grocery </w:t>
      </w:r>
      <w:r w:rsidR="00B415CA">
        <w:rPr>
          <w:sz w:val="22"/>
          <w:szCs w:val="22"/>
          <w14:ligatures w14:val="none"/>
        </w:rPr>
        <w:t>shopping</w:t>
      </w:r>
      <w:r>
        <w:rPr>
          <w:sz w:val="22"/>
          <w:szCs w:val="22"/>
          <w14:ligatures w14:val="none"/>
        </w:rPr>
        <w:t>.</w:t>
      </w:r>
      <w:r>
        <w:rPr>
          <w:sz w:val="15"/>
          <w:szCs w:val="15"/>
          <w:vertAlign w:val="superscript"/>
          <w14:ligatures w14:val="none"/>
        </w:rPr>
        <w:t>4,5</w:t>
      </w:r>
      <w:r>
        <w:rPr>
          <w:sz w:val="22"/>
          <w:szCs w:val="22"/>
          <w14:ligatures w14:val="none"/>
        </w:rPr>
        <w:t xml:space="preserve">  Some home care aides also perform health care-related tasks such as checking vital signs, monitoring medications, and documenting changes in health status.</w:t>
      </w:r>
      <w:r>
        <w:rPr>
          <w:sz w:val="15"/>
          <w:szCs w:val="15"/>
          <w:vertAlign w:val="superscript"/>
          <w14:ligatures w14:val="none"/>
        </w:rPr>
        <w:t xml:space="preserve">5 </w:t>
      </w:r>
    </w:p>
    <w:p w:rsidR="0004033C" w:rsidRDefault="0004033C" w:rsidP="0004033C">
      <w:pPr>
        <w:widowControl w:val="0"/>
        <w:spacing w:after="160" w:line="266" w:lineRule="auto"/>
        <w:rPr>
          <w:sz w:val="22"/>
          <w:szCs w:val="22"/>
          <w14:ligatures w14:val="none"/>
        </w:rPr>
      </w:pPr>
      <w:r>
        <w:rPr>
          <w:sz w:val="22"/>
          <w:szCs w:val="22"/>
          <w14:ligatures w14:val="none"/>
        </w:rPr>
        <w:t>In the US, home care aide occupations (home health aides and personal care aides) are projected to experience substantial growth over the coming decade, adding an estimated 800,000 new jobs by 2024.</w:t>
      </w:r>
      <w:r>
        <w:rPr>
          <w:sz w:val="15"/>
          <w:szCs w:val="15"/>
          <w:vertAlign w:val="superscript"/>
          <w14:ligatures w14:val="none"/>
        </w:rPr>
        <w:t>3</w:t>
      </w:r>
      <w:r>
        <w:rPr>
          <w:sz w:val="22"/>
          <w:szCs w:val="22"/>
          <w14:ligatures w14:val="none"/>
        </w:rPr>
        <w:t xml:space="preserve">  These occupations are expected to grow much faster than average between 2014 and 2024 (Figure 1).  </w:t>
      </w:r>
    </w:p>
    <w:p w:rsidR="0004033C" w:rsidRDefault="0004033C" w:rsidP="0004033C">
      <w:pPr>
        <w:widowControl w:val="0"/>
        <w:rPr>
          <w14:ligatures w14:val="none"/>
        </w:rPr>
      </w:pPr>
      <w:r>
        <w:rPr>
          <w14:ligatures w14:val="none"/>
        </w:rPr>
        <w:t> </w:t>
      </w:r>
    </w:p>
    <w:p w:rsidR="00DF2502" w:rsidRDefault="00DF2502" w:rsidP="0004033C">
      <w:pPr>
        <w:widowControl w:val="0"/>
        <w:rPr>
          <w14:ligatures w14:val="none"/>
        </w:rPr>
      </w:pPr>
    </w:p>
    <w:p w:rsidR="00DF2502" w:rsidRDefault="00DF2502" w:rsidP="0004033C">
      <w:pPr>
        <w:widowControl w:val="0"/>
        <w:rPr>
          <w14:ligatures w14:val="none"/>
        </w:rPr>
      </w:pPr>
    </w:p>
    <w:p w:rsidR="00DF2502" w:rsidRDefault="00DF2502" w:rsidP="0004033C">
      <w:pPr>
        <w:widowControl w:val="0"/>
        <w:rPr>
          <w14:ligatures w14:val="none"/>
        </w:rPr>
      </w:pPr>
    </w:p>
    <w:p w:rsidR="00DF2502" w:rsidRDefault="00DF2502" w:rsidP="0004033C">
      <w:pPr>
        <w:widowControl w:val="0"/>
        <w:rPr>
          <w14:ligatures w14:val="none"/>
        </w:rPr>
      </w:pPr>
    </w:p>
    <w:p w:rsidR="00A57E5F" w:rsidRDefault="00DD3A3D" w:rsidP="00DD3A3D">
      <w:pPr>
        <w:widowControl w:val="0"/>
      </w:pPr>
      <w:r>
        <w:rPr>
          <w14:ligatures w14:val="none"/>
        </w:rPr>
        <w:lastRenderedPageBreak/>
        <w:t> </w:t>
      </w:r>
      <w:proofErr w:type="gramStart"/>
      <w:r>
        <w:rPr>
          <w:b/>
          <w:bCs/>
          <w:sz w:val="22"/>
          <w:szCs w:val="22"/>
          <w14:ligatures w14:val="none"/>
        </w:rPr>
        <w:t>Figure 1.</w:t>
      </w:r>
      <w:proofErr w:type="gramEnd"/>
      <w:r>
        <w:rPr>
          <w:b/>
          <w:bCs/>
          <w:sz w:val="22"/>
          <w:szCs w:val="22"/>
          <w14:ligatures w14:val="none"/>
        </w:rPr>
        <w:t xml:space="preserve"> Projected employment growth, </w:t>
      </w:r>
      <w:r w:rsidR="0045554D">
        <w:rPr>
          <w:b/>
          <w:bCs/>
          <w:sz w:val="22"/>
          <w:szCs w:val="22"/>
          <w14:ligatures w14:val="none"/>
        </w:rPr>
        <w:t xml:space="preserve">US, </w:t>
      </w:r>
      <w:r>
        <w:rPr>
          <w:b/>
          <w:bCs/>
          <w:sz w:val="22"/>
          <w:szCs w:val="22"/>
          <w14:ligatures w14:val="none"/>
        </w:rPr>
        <w:t xml:space="preserve">2014-2024 </w:t>
      </w:r>
      <w:r w:rsidR="00B33519">
        <w:rPr>
          <w:noProof/>
          <w:color w:val="auto"/>
          <w14:ligatures w14:val="none"/>
          <w14:cntxtAlts w14:val="0"/>
        </w:rPr>
        <w:drawing>
          <wp:inline distT="0" distB="0" distL="0" distR="0" wp14:anchorId="30926CA6" wp14:editId="7C5EF192">
            <wp:extent cx="3410685" cy="1945105"/>
            <wp:effectExtent l="0" t="0" r="0" b="0"/>
            <wp:docPr id="2" name="Picture 3" descr="Home health aides 38.1% growth&#10;Personal care aides 25.9%&#10;All occupations 6.5%" title="Figure 1. Projected employment growth, 2014-2024, 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0685" cy="1945105"/>
                    </a:xfrm>
                    <a:prstGeom prst="rect">
                      <a:avLst/>
                    </a:prstGeom>
                    <a:noFill/>
                    <a:ln>
                      <a:noFill/>
                    </a:ln>
                    <a:effectLst/>
                  </pic:spPr>
                </pic:pic>
              </a:graphicData>
            </a:graphic>
          </wp:inline>
        </w:drawing>
      </w:r>
    </w:p>
    <w:p w:rsidR="002D303B" w:rsidRPr="00BB7287" w:rsidRDefault="002D303B" w:rsidP="002D303B">
      <w:pPr>
        <w:widowControl w:val="0"/>
        <w:spacing w:after="0"/>
        <w:rPr>
          <w:color w:val="auto"/>
          <w:sz w:val="14"/>
          <w:szCs w:val="14"/>
          <w14:ligatures w14:val="none"/>
        </w:rPr>
      </w:pPr>
      <w:r>
        <w:rPr>
          <w:color w:val="auto"/>
          <w:sz w:val="14"/>
          <w:szCs w:val="14"/>
          <w14:ligatures w14:val="none"/>
        </w:rPr>
        <w:t>Source</w:t>
      </w:r>
      <w:r w:rsidRPr="00BB7287">
        <w:rPr>
          <w:color w:val="auto"/>
          <w:sz w:val="14"/>
          <w:szCs w:val="14"/>
          <w14:ligatures w14:val="none"/>
        </w:rPr>
        <w:t xml:space="preserve">: </w:t>
      </w:r>
      <w:r>
        <w:rPr>
          <w:color w:val="auto"/>
          <w:sz w:val="14"/>
          <w:szCs w:val="14"/>
          <w14:ligatures w14:val="none"/>
        </w:rPr>
        <w:t>US BLS, 2014-2024 Projections</w:t>
      </w:r>
    </w:p>
    <w:p w:rsidR="002D303B" w:rsidRDefault="002D303B" w:rsidP="00C4110F">
      <w:pPr>
        <w:widowControl w:val="0"/>
        <w:spacing w:after="160" w:line="266" w:lineRule="auto"/>
        <w:rPr>
          <w:sz w:val="22"/>
          <w:szCs w:val="22"/>
          <w14:ligatures w14:val="none"/>
        </w:rPr>
      </w:pPr>
    </w:p>
    <w:p w:rsidR="00C4110F" w:rsidRDefault="00C4110F" w:rsidP="00C4110F">
      <w:pPr>
        <w:widowControl w:val="0"/>
        <w:spacing w:after="160" w:line="266" w:lineRule="auto"/>
        <w:rPr>
          <w:sz w:val="22"/>
          <w:szCs w:val="22"/>
          <w14:ligatures w14:val="none"/>
        </w:rPr>
      </w:pPr>
      <w:r>
        <w:rPr>
          <w:sz w:val="22"/>
          <w:szCs w:val="22"/>
          <w14:ligatures w14:val="none"/>
        </w:rPr>
        <w:t>According to the US Bureau of Labor Statistics, an estimated 48,000 workers are employed as home care aides in Massachusetts.</w:t>
      </w:r>
      <w:r>
        <w:rPr>
          <w:sz w:val="15"/>
          <w:szCs w:val="15"/>
          <w:vertAlign w:val="superscript"/>
          <w14:ligatures w14:val="none"/>
        </w:rPr>
        <w:t xml:space="preserve"> </w:t>
      </w:r>
      <w:r>
        <w:rPr>
          <w:sz w:val="22"/>
          <w:szCs w:val="22"/>
          <w14:ligatures w14:val="none"/>
        </w:rPr>
        <w:t xml:space="preserve"> These workers, on average, make just over $26,000 per year, which is equivalent to $12.72 per hour.  While slightly higher than the national average income for workers in home care occupations, this is less than half the average annual income of all Massachusetts workers ($57,000/year, $27.70/hour).</w:t>
      </w:r>
      <w:r>
        <w:rPr>
          <w:sz w:val="15"/>
          <w:szCs w:val="15"/>
          <w:vertAlign w:val="superscript"/>
          <w14:ligatures w14:val="none"/>
        </w:rPr>
        <w:t>6</w:t>
      </w:r>
    </w:p>
    <w:p w:rsidR="00C4110F" w:rsidRDefault="00C4110F" w:rsidP="00C4110F">
      <w:pPr>
        <w:spacing w:after="160" w:line="266" w:lineRule="auto"/>
        <w:rPr>
          <w:sz w:val="22"/>
          <w:szCs w:val="22"/>
          <w14:ligatures w14:val="none"/>
        </w:rPr>
      </w:pPr>
      <w:r>
        <w:rPr>
          <w:sz w:val="22"/>
          <w:szCs w:val="22"/>
          <w14:ligatures w14:val="none"/>
        </w:rPr>
        <w:t>In their profession, home care aides may come into contact with a variety of hazards, including those that impact respiratory health.  One recent s</w:t>
      </w:r>
      <w:r w:rsidR="00BD637A">
        <w:rPr>
          <w:sz w:val="22"/>
          <w:szCs w:val="22"/>
          <w14:ligatures w14:val="none"/>
        </w:rPr>
        <w:t>tudy</w:t>
      </w:r>
      <w:r>
        <w:rPr>
          <w:sz w:val="22"/>
          <w:szCs w:val="22"/>
          <w14:ligatures w14:val="none"/>
        </w:rPr>
        <w:t xml:space="preserve"> in Massachusetts found that 17.0% of home care visits involved exposure to cluttered conditions, 9.9% to a client who smoked indoors, 3.6% to pets, and 10.2% to pet waste.</w:t>
      </w:r>
      <w:r>
        <w:rPr>
          <w:sz w:val="15"/>
          <w:szCs w:val="15"/>
          <w:vertAlign w:val="superscript"/>
          <w14:ligatures w14:val="none"/>
        </w:rPr>
        <w:t>2</w:t>
      </w:r>
      <w:r>
        <w:rPr>
          <w:sz w:val="22"/>
          <w:szCs w:val="22"/>
          <w14:ligatures w14:val="none"/>
        </w:rPr>
        <w:t xml:space="preserve">  Perhaps most notable, the vast majority of visits (80.3%) involved cleaning of a bathroom or kitchen.  Bleach, a known asthma-causing agent, was the most frequently used disinfectant (23.8% of visits); use of other strong cleaning chemicals was also noted.</w:t>
      </w:r>
      <w:r>
        <w:rPr>
          <w:sz w:val="15"/>
          <w:szCs w:val="15"/>
          <w:vertAlign w:val="superscript"/>
          <w14:ligatures w14:val="none"/>
        </w:rPr>
        <w:t>2</w:t>
      </w:r>
      <w:proofErr w:type="gramStart"/>
      <w:r>
        <w:rPr>
          <w:sz w:val="15"/>
          <w:szCs w:val="15"/>
          <w:vertAlign w:val="superscript"/>
          <w14:ligatures w14:val="none"/>
        </w:rPr>
        <w:t>,7,8</w:t>
      </w:r>
      <w:proofErr w:type="gramEnd"/>
      <w:r>
        <w:rPr>
          <w:sz w:val="15"/>
          <w:szCs w:val="15"/>
          <w:vertAlign w:val="superscript"/>
          <w14:ligatures w14:val="none"/>
        </w:rPr>
        <w:t xml:space="preserve"> </w:t>
      </w:r>
    </w:p>
    <w:p w:rsidR="00C4110F" w:rsidRDefault="00C4110F" w:rsidP="00C4110F">
      <w:pPr>
        <w:widowControl w:val="0"/>
        <w:rPr>
          <w14:ligatures w14:val="none"/>
        </w:rPr>
      </w:pPr>
      <w:r>
        <w:rPr>
          <w:sz w:val="22"/>
          <w:szCs w:val="22"/>
          <w14:ligatures w14:val="none"/>
        </w:rPr>
        <w:t>The burden of asthma among home care aides in Massachusetts has not been previously reported. This Data Brief presents estimates of the prevalence of asthma among this group of workers compared to asthma prevalence among all other workers in the state.</w:t>
      </w:r>
    </w:p>
    <w:p w:rsidR="002D303B" w:rsidRDefault="002D303B" w:rsidP="002D303B">
      <w:pPr>
        <w:spacing w:after="160" w:line="266" w:lineRule="auto"/>
        <w:rPr>
          <w:b/>
          <w:bCs/>
          <w:sz w:val="24"/>
          <w:szCs w:val="24"/>
          <w14:ligatures w14:val="none"/>
        </w:rPr>
      </w:pPr>
    </w:p>
    <w:p w:rsidR="002D303B" w:rsidRDefault="002D303B" w:rsidP="002D303B">
      <w:pPr>
        <w:spacing w:after="160" w:line="266" w:lineRule="auto"/>
        <w:rPr>
          <w:b/>
          <w:bCs/>
          <w:sz w:val="24"/>
          <w:szCs w:val="24"/>
          <w14:ligatures w14:val="none"/>
        </w:rPr>
      </w:pPr>
      <w:r>
        <w:rPr>
          <w:b/>
          <w:bCs/>
          <w:sz w:val="24"/>
          <w:szCs w:val="24"/>
          <w14:ligatures w14:val="none"/>
        </w:rPr>
        <w:t>Methods</w:t>
      </w:r>
    </w:p>
    <w:p w:rsidR="002D303B" w:rsidRDefault="002D303B" w:rsidP="002D303B">
      <w:pPr>
        <w:spacing w:after="160" w:line="266" w:lineRule="auto"/>
        <w:rPr>
          <w:sz w:val="22"/>
          <w:szCs w:val="22"/>
          <w14:ligatures w14:val="none"/>
        </w:rPr>
      </w:pPr>
      <w:r>
        <w:rPr>
          <w:sz w:val="22"/>
          <w:szCs w:val="22"/>
          <w14:ligatures w14:val="none"/>
        </w:rPr>
        <w:t>Data w</w:t>
      </w:r>
      <w:r w:rsidR="00C236D3">
        <w:rPr>
          <w:sz w:val="22"/>
          <w:szCs w:val="22"/>
          <w14:ligatures w14:val="none"/>
        </w:rPr>
        <w:t>ere</w:t>
      </w:r>
      <w:r>
        <w:rPr>
          <w:sz w:val="22"/>
          <w:szCs w:val="22"/>
          <w14:ligatures w14:val="none"/>
        </w:rPr>
        <w:t xml:space="preserve"> obtained from the Massachusetts Behavioral Risk Factor Surveillance System (BRFSS) for the years 2011-2014.  The BRFSS is a continuous multimode telephone survey of adults ages 18 and older, and is conducted in all states as </w:t>
      </w:r>
      <w:proofErr w:type="gramStart"/>
      <w:r>
        <w:rPr>
          <w:sz w:val="22"/>
          <w:szCs w:val="22"/>
          <w14:ligatures w14:val="none"/>
        </w:rPr>
        <w:t>a collaboration</w:t>
      </w:r>
      <w:proofErr w:type="gramEnd"/>
      <w:r>
        <w:rPr>
          <w:sz w:val="22"/>
          <w:szCs w:val="22"/>
          <w14:ligatures w14:val="none"/>
        </w:rPr>
        <w:t xml:space="preserve"> between the federal Centers for Disease Control and Prevention (CDC) and state health departments.  Massachusetts BRFSS data are weighted to represent the state’s adult population. Additional information is available at </w:t>
      </w:r>
      <w:hyperlink r:id="rId7" w:history="1">
        <w:r>
          <w:rPr>
            <w:rStyle w:val="Hyperlink"/>
            <w:sz w:val="22"/>
            <w:szCs w:val="22"/>
            <w14:ligatures w14:val="none"/>
          </w:rPr>
          <w:t>www.mass.gov/dph/hsp</w:t>
        </w:r>
      </w:hyperlink>
      <w:r>
        <w:rPr>
          <w:sz w:val="22"/>
          <w:szCs w:val="22"/>
          <w14:ligatures w14:val="none"/>
        </w:rPr>
        <w:t xml:space="preserve">. </w:t>
      </w:r>
    </w:p>
    <w:p w:rsidR="002D303B" w:rsidRDefault="002D303B" w:rsidP="002D303B">
      <w:pPr>
        <w:spacing w:after="160" w:line="266" w:lineRule="auto"/>
        <w:rPr>
          <w:sz w:val="22"/>
          <w:szCs w:val="22"/>
          <w14:ligatures w14:val="none"/>
        </w:rPr>
      </w:pPr>
      <w:r>
        <w:rPr>
          <w:sz w:val="22"/>
          <w:szCs w:val="22"/>
          <w14:ligatures w14:val="none"/>
        </w:rPr>
        <w:t>Workers were identified as respondents who reported being employed for wages, self-employed, or out of work for less than one year.  Open-ended questions about occupation and industry were asked of workers and the responses were assigned 2002 Census occupation (COC) and industry (CIC) codes by the National Institute for Occupational Safety and Health (NIOSH) at CDC using computer-assisted methods.</w:t>
      </w:r>
    </w:p>
    <w:p w:rsidR="002D303B" w:rsidRDefault="002D303B" w:rsidP="002D303B">
      <w:pPr>
        <w:spacing w:after="160" w:line="266" w:lineRule="auto"/>
        <w:rPr>
          <w:sz w:val="22"/>
          <w:szCs w:val="22"/>
          <w14:ligatures w14:val="none"/>
        </w:rPr>
      </w:pPr>
      <w:r>
        <w:rPr>
          <w:sz w:val="22"/>
          <w:szCs w:val="22"/>
          <w14:ligatures w14:val="none"/>
        </w:rPr>
        <w:t xml:space="preserve">For this analysis, only those workers with both industry and occupation codes were included (n=32,875; 94% of those eligible).  A combination of CIC and COC codes was used to define home care aides.  A worker was </w:t>
      </w:r>
      <w:r>
        <w:rPr>
          <w:sz w:val="22"/>
          <w:szCs w:val="22"/>
          <w14:ligatures w14:val="none"/>
        </w:rPr>
        <w:lastRenderedPageBreak/>
        <w:t xml:space="preserve">classified as a home care aide (n=368) if his/her response to the industry question coded to Home Health Care Services (CIC 8170) or Individual and Family Services (CIC 8370) or Private Households (CIC 9290), </w:t>
      </w:r>
      <w:r>
        <w:rPr>
          <w:i/>
          <w:iCs/>
          <w:sz w:val="22"/>
          <w:szCs w:val="22"/>
          <w:u w:val="single"/>
          <w14:ligatures w14:val="none"/>
        </w:rPr>
        <w:t>and</w:t>
      </w:r>
      <w:r>
        <w:rPr>
          <w:i/>
          <w:iCs/>
          <w:sz w:val="22"/>
          <w:szCs w:val="22"/>
          <w14:ligatures w14:val="none"/>
        </w:rPr>
        <w:t xml:space="preserve"> </w:t>
      </w:r>
      <w:r>
        <w:rPr>
          <w:sz w:val="22"/>
          <w:szCs w:val="22"/>
          <w14:ligatures w14:val="none"/>
        </w:rPr>
        <w:t xml:space="preserve">the occupation response coded to Nursing, Psychiatric, and Home Health Aides (COC 3600) or Personal Care Aides (COC 4610).  Respondents who had ever been diagnosed with asthma were asked if they still have asthma; those answering ‘yes’ were considered to have current asthma.  Estimates of current asthma prevalence and corresponding 95% confidence intervals for home care aides and all other workers were calculated. </w:t>
      </w:r>
    </w:p>
    <w:p w:rsidR="002D303B" w:rsidRPr="002D303B" w:rsidRDefault="002D303B" w:rsidP="002D303B">
      <w:pPr>
        <w:spacing w:after="160" w:line="266" w:lineRule="auto"/>
        <w:rPr>
          <w:sz w:val="22"/>
          <w:szCs w:val="22"/>
          <w14:ligatures w14:val="none"/>
        </w:rPr>
      </w:pPr>
    </w:p>
    <w:p w:rsidR="00DD3A3D" w:rsidRDefault="00DD3A3D" w:rsidP="00DD3A3D">
      <w:pPr>
        <w:spacing w:after="160" w:line="266" w:lineRule="auto"/>
        <w:rPr>
          <w:b/>
          <w:bCs/>
          <w:sz w:val="24"/>
          <w:szCs w:val="24"/>
          <w14:ligatures w14:val="none"/>
        </w:rPr>
      </w:pPr>
      <w:r>
        <w:rPr>
          <w:b/>
          <w:bCs/>
          <w:sz w:val="24"/>
          <w:szCs w:val="24"/>
          <w14:ligatures w14:val="none"/>
        </w:rPr>
        <w:t>Results</w:t>
      </w:r>
    </w:p>
    <w:p w:rsidR="00DD3A3D" w:rsidRDefault="00DD3A3D" w:rsidP="00DD3A3D">
      <w:pPr>
        <w:spacing w:after="160" w:line="266" w:lineRule="auto"/>
        <w:rPr>
          <w:sz w:val="22"/>
          <w:szCs w:val="22"/>
          <w14:ligatures w14:val="none"/>
        </w:rPr>
      </w:pPr>
      <w:r>
        <w:rPr>
          <w:sz w:val="22"/>
          <w:szCs w:val="22"/>
          <w14:ligatures w14:val="none"/>
        </w:rPr>
        <w:t xml:space="preserve">As shown in Table 1, compared to all other workers, those in home care were significantly more likely to be female (92.5 vs. 48.3%), age 45 years or older (57.0 vs. 49.0%), Hispanic (15.1 vs. 8.2%), have an education level of high school or lower (51.5 vs. 30.4%) and be current smokers (26.4 vs. 15.9%).  They were no more likely to report having received the influenza vaccination in the prior 12 months (41.6 vs. 41.7%). </w:t>
      </w:r>
    </w:p>
    <w:p w:rsidR="00DD3A3D" w:rsidRDefault="00DD3A3D" w:rsidP="00DD3A3D">
      <w:pPr>
        <w:spacing w:after="160" w:line="266" w:lineRule="auto"/>
        <w:rPr>
          <w:sz w:val="22"/>
          <w:szCs w:val="22"/>
          <w14:ligatures w14:val="none"/>
        </w:rPr>
      </w:pPr>
      <w:r>
        <w:rPr>
          <w:sz w:val="22"/>
          <w:szCs w:val="22"/>
          <w14:ligatures w14:val="none"/>
        </w:rPr>
        <w:t xml:space="preserve">One in five (20.0%) home care aides reported current asthma compared to just one in ten (10.0%) of all other workers, demonstrating that asthma prevalence was twice as high among home care aides (Figure 2). </w:t>
      </w:r>
    </w:p>
    <w:p w:rsidR="00A57E5F" w:rsidRPr="00BB7287" w:rsidRDefault="00DD3A3D" w:rsidP="00A57E5F">
      <w:pPr>
        <w:widowControl w:val="0"/>
        <w:rPr>
          <w:color w:val="auto"/>
          <w14:ligatures w14:val="none"/>
        </w:rPr>
      </w:pPr>
      <w:r>
        <w:rPr>
          <w14:ligatures w14:val="none"/>
        </w:rPr>
        <w:t> </w:t>
      </w:r>
      <w:proofErr w:type="gramStart"/>
      <w:r w:rsidR="00A57E5F" w:rsidRPr="00BB7287">
        <w:rPr>
          <w:b/>
          <w:bCs/>
          <w:color w:val="auto"/>
          <w:sz w:val="22"/>
          <w:szCs w:val="22"/>
          <w14:ligatures w14:val="none"/>
        </w:rPr>
        <w:t>Figure 2.</w:t>
      </w:r>
      <w:proofErr w:type="gramEnd"/>
      <w:r w:rsidR="00A57E5F" w:rsidRPr="00BB7287">
        <w:rPr>
          <w:b/>
          <w:bCs/>
          <w:color w:val="auto"/>
          <w:sz w:val="22"/>
          <w:szCs w:val="22"/>
          <w14:ligatures w14:val="none"/>
        </w:rPr>
        <w:t xml:space="preserve">  Current asthma prevalence among home care aides vs. all other workers, M</w:t>
      </w:r>
      <w:r w:rsidR="0086583C">
        <w:rPr>
          <w:b/>
          <w:bCs/>
          <w:color w:val="auto"/>
          <w:sz w:val="22"/>
          <w:szCs w:val="22"/>
          <w14:ligatures w14:val="none"/>
        </w:rPr>
        <w:t>A</w:t>
      </w:r>
      <w:r w:rsidR="00A57E5F" w:rsidRPr="00BB7287">
        <w:rPr>
          <w:b/>
          <w:bCs/>
          <w:color w:val="auto"/>
          <w:sz w:val="22"/>
          <w:szCs w:val="22"/>
          <w14:ligatures w14:val="none"/>
        </w:rPr>
        <w:t xml:space="preserve">, 2011-2014 </w:t>
      </w:r>
    </w:p>
    <w:p w:rsidR="00A57E5F" w:rsidRPr="00BB7287" w:rsidRDefault="00A57E5F" w:rsidP="00A57E5F">
      <w:pPr>
        <w:rPr>
          <w:color w:val="auto"/>
        </w:rPr>
      </w:pPr>
      <w:r w:rsidRPr="00BB7287">
        <w:rPr>
          <w:noProof/>
          <w:color w:val="auto"/>
          <w14:ligatures w14:val="none"/>
          <w14:cntxtAlts w14:val="0"/>
        </w:rPr>
        <w:drawing>
          <wp:inline distT="0" distB="0" distL="0" distR="0" wp14:anchorId="04E1A976" wp14:editId="602EB92E">
            <wp:extent cx="3123446" cy="1976805"/>
            <wp:effectExtent l="0" t="0" r="0" b="4445"/>
            <wp:docPr id="8" name="Picture 13" descr="Home care 20.0%&#10;All other 10.0%" title="Figure 2.  Current asthma prevalence among home care aides vs. all other workers, Massachusetts, 2011-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5602" cy="1978170"/>
                    </a:xfrm>
                    <a:prstGeom prst="rect">
                      <a:avLst/>
                    </a:prstGeom>
                    <a:noFill/>
                    <a:ln>
                      <a:noFill/>
                    </a:ln>
                    <a:effectLst/>
                  </pic:spPr>
                </pic:pic>
              </a:graphicData>
            </a:graphic>
          </wp:inline>
        </w:drawing>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A57E5F" w:rsidRDefault="00A57E5F"/>
    <w:p w:rsidR="00DF2502" w:rsidRDefault="00DF2502">
      <w:pPr>
        <w:spacing w:after="200" w:line="276" w:lineRule="auto"/>
        <w:rPr>
          <w:b/>
          <w:bCs/>
          <w:color w:val="auto"/>
          <w:sz w:val="22"/>
          <w:szCs w:val="22"/>
          <w14:ligatures w14:val="none"/>
        </w:rPr>
      </w:pPr>
      <w:r>
        <w:rPr>
          <w:b/>
          <w:bCs/>
          <w:color w:val="auto"/>
          <w:sz w:val="22"/>
          <w:szCs w:val="22"/>
          <w14:ligatures w14:val="none"/>
        </w:rPr>
        <w:br w:type="page"/>
      </w:r>
    </w:p>
    <w:p w:rsidR="00A57E5F" w:rsidRPr="00BB7287" w:rsidRDefault="00A57E5F" w:rsidP="00A57E5F">
      <w:pPr>
        <w:spacing w:after="200" w:line="264" w:lineRule="auto"/>
        <w:rPr>
          <w:b/>
          <w:bCs/>
          <w:color w:val="auto"/>
          <w:sz w:val="22"/>
          <w:szCs w:val="22"/>
          <w14:ligatures w14:val="none"/>
        </w:rPr>
      </w:pPr>
      <w:proofErr w:type="gramStart"/>
      <w:r w:rsidRPr="00BB7287">
        <w:rPr>
          <w:b/>
          <w:bCs/>
          <w:color w:val="auto"/>
          <w:sz w:val="22"/>
          <w:szCs w:val="22"/>
          <w14:ligatures w14:val="none"/>
        </w:rPr>
        <w:lastRenderedPageBreak/>
        <w:t>Table 1.</w:t>
      </w:r>
      <w:proofErr w:type="gramEnd"/>
      <w:r w:rsidRPr="00BB7287">
        <w:rPr>
          <w:b/>
          <w:bCs/>
          <w:color w:val="auto"/>
          <w:sz w:val="22"/>
          <w:szCs w:val="22"/>
          <w14:ligatures w14:val="none"/>
        </w:rPr>
        <w:t xml:space="preserve"> Characteristics of home care aides vs. all other workers, </w:t>
      </w:r>
      <w:r w:rsidR="0086583C">
        <w:rPr>
          <w:b/>
          <w:bCs/>
          <w:color w:val="auto"/>
          <w:sz w:val="22"/>
          <w:szCs w:val="22"/>
          <w14:ligatures w14:val="none"/>
        </w:rPr>
        <w:t xml:space="preserve">MA, </w:t>
      </w:r>
      <w:r w:rsidRPr="00BB7287">
        <w:rPr>
          <w:b/>
          <w:bCs/>
          <w:color w:val="auto"/>
          <w:sz w:val="22"/>
          <w:szCs w:val="22"/>
          <w14:ligatures w14:val="none"/>
        </w:rPr>
        <w:t>2011-2014</w:t>
      </w:r>
    </w:p>
    <w:tbl>
      <w:tblPr>
        <w:tblW w:w="11456" w:type="dxa"/>
        <w:tblInd w:w="-252" w:type="dxa"/>
        <w:tblLook w:val="04A0" w:firstRow="1" w:lastRow="0" w:firstColumn="1" w:lastColumn="0" w:noHBand="0" w:noVBand="1"/>
      </w:tblPr>
      <w:tblGrid>
        <w:gridCol w:w="2993"/>
        <w:gridCol w:w="942"/>
        <w:gridCol w:w="1195"/>
        <w:gridCol w:w="607"/>
        <w:gridCol w:w="607"/>
        <w:gridCol w:w="331"/>
        <w:gridCol w:w="1231"/>
        <w:gridCol w:w="1149"/>
        <w:gridCol w:w="607"/>
        <w:gridCol w:w="607"/>
        <w:gridCol w:w="965"/>
        <w:gridCol w:w="222"/>
      </w:tblGrid>
      <w:tr w:rsidR="00A57E5F" w:rsidRPr="00774F02" w:rsidTr="00E8674F">
        <w:trPr>
          <w:trHeight w:val="300"/>
        </w:trPr>
        <w:tc>
          <w:tcPr>
            <w:tcW w:w="11456" w:type="dxa"/>
            <w:gridSpan w:val="12"/>
            <w:tcBorders>
              <w:top w:val="nil"/>
              <w:left w:val="nil"/>
              <w:bottom w:val="nil"/>
              <w:right w:val="nil"/>
            </w:tcBorders>
            <w:shd w:val="clear" w:color="auto" w:fill="auto"/>
            <w:vAlign w:val="bottom"/>
            <w:hideMark/>
          </w:tcPr>
          <w:p w:rsidR="00A57E5F" w:rsidRPr="00774F02" w:rsidRDefault="00A57E5F" w:rsidP="00E8674F">
            <w:pPr>
              <w:spacing w:after="0" w:line="240" w:lineRule="auto"/>
              <w:rPr>
                <w:b/>
                <w:bCs/>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3351" w:type="dxa"/>
            <w:gridSpan w:val="4"/>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 xml:space="preserve">Homecare aides     </w:t>
            </w:r>
          </w:p>
        </w:tc>
        <w:tc>
          <w:tcPr>
            <w:tcW w:w="331" w:type="dxa"/>
            <w:tcBorders>
              <w:top w:val="nil"/>
              <w:left w:val="nil"/>
              <w:bottom w:val="nil"/>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3594" w:type="dxa"/>
            <w:gridSpan w:val="4"/>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All other workers</w:t>
            </w:r>
          </w:p>
        </w:tc>
        <w:tc>
          <w:tcPr>
            <w:tcW w:w="965" w:type="dxa"/>
            <w:tcBorders>
              <w:top w:val="nil"/>
              <w:left w:val="nil"/>
              <w:bottom w:val="nil"/>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600"/>
        </w:trPr>
        <w:tc>
          <w:tcPr>
            <w:tcW w:w="2993" w:type="dxa"/>
            <w:tcBorders>
              <w:top w:val="nil"/>
              <w:left w:val="nil"/>
              <w:bottom w:val="single" w:sz="4" w:space="0" w:color="auto"/>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Characteristic</w:t>
            </w:r>
          </w:p>
        </w:tc>
        <w:tc>
          <w:tcPr>
            <w:tcW w:w="942" w:type="dxa"/>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Sample N</w:t>
            </w:r>
          </w:p>
        </w:tc>
        <w:tc>
          <w:tcPr>
            <w:tcW w:w="1195" w:type="dxa"/>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Weighted %</w:t>
            </w:r>
          </w:p>
        </w:tc>
        <w:tc>
          <w:tcPr>
            <w:tcW w:w="1214" w:type="dxa"/>
            <w:gridSpan w:val="2"/>
            <w:tcBorders>
              <w:top w:val="single" w:sz="4" w:space="0" w:color="auto"/>
              <w:left w:val="nil"/>
              <w:bottom w:val="single" w:sz="4" w:space="0" w:color="auto"/>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95% CI</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231" w:type="dxa"/>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Sample N</w:t>
            </w:r>
          </w:p>
        </w:tc>
        <w:tc>
          <w:tcPr>
            <w:tcW w:w="1149" w:type="dxa"/>
            <w:tcBorders>
              <w:top w:val="nil"/>
              <w:left w:val="nil"/>
              <w:bottom w:val="single" w:sz="4" w:space="0" w:color="auto"/>
              <w:right w:val="nil"/>
            </w:tcBorders>
            <w:shd w:val="clear" w:color="auto" w:fill="auto"/>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Weighted %</w:t>
            </w:r>
          </w:p>
        </w:tc>
        <w:tc>
          <w:tcPr>
            <w:tcW w:w="1214" w:type="dxa"/>
            <w:gridSpan w:val="2"/>
            <w:tcBorders>
              <w:top w:val="single" w:sz="4" w:space="0" w:color="auto"/>
              <w:left w:val="nil"/>
              <w:bottom w:val="single" w:sz="4" w:space="0" w:color="auto"/>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95% CI</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Sex</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368</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32507</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Female*</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92.5</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88.8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96.2</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48.3</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47.5</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49.2</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Age</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361</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32143</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18-44*</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43.0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35.2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50.8</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51.0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50.1</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51.8</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(p&lt;0.05)</w:t>
            </w: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45+*</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57.0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49.2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64.8</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49.0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48.2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49.9</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Race/Ethnicity</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364</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32126</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White, non-</w:t>
            </w:r>
            <w:proofErr w:type="spellStart"/>
            <w:r w:rsidRPr="00774F02">
              <w:rPr>
                <w:kern w:val="0"/>
                <w:sz w:val="22"/>
                <w:szCs w:val="22"/>
                <w14:ligatures w14:val="none"/>
                <w14:cntxtAlts w14:val="0"/>
              </w:rPr>
              <w:t>Hisp</w:t>
            </w:r>
            <w:proofErr w:type="spellEnd"/>
            <w:r w:rsidRPr="00774F02">
              <w:rPr>
                <w:kern w:val="0"/>
                <w:sz w:val="22"/>
                <w:szCs w:val="22"/>
                <w14:ligatures w14:val="none"/>
                <w14:cntxtAlts w14:val="0"/>
              </w:rPr>
              <w:t>*</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70.0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63.1</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76.9</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79.8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79.0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80.5</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Hispanic*</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15.1</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9.8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20.4</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 xml:space="preserve">  8.2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7.7</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8.7</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Other, non-</w:t>
            </w:r>
            <w:proofErr w:type="spellStart"/>
            <w:r w:rsidRPr="00774F02">
              <w:rPr>
                <w:kern w:val="0"/>
                <w:sz w:val="22"/>
                <w:szCs w:val="22"/>
                <w14:ligatures w14:val="none"/>
                <w14:cntxtAlts w14:val="0"/>
              </w:rPr>
              <w:t>Hisp</w:t>
            </w:r>
            <w:proofErr w:type="spellEnd"/>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14.9</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9.6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20.2</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12.1</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11.4</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12.7</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Education Level</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368</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32458</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&lt;=HS*</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51.5</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43.8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59.2</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30.4</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29.5</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31.3</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&gt;HS*</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48.5</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40.8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56.2</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69.6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68.7</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70.5</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Smoking status</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368</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32313</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b/>
                <w:bCs/>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Current*</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26.4</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19.4</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33.5</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15.9</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15.2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16.6</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Former</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24.2</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17.6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30.8</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25.3</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24.6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26.0</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ind w:firstLineChars="100" w:firstLine="220"/>
              <w:rPr>
                <w:kern w:val="0"/>
                <w:sz w:val="22"/>
                <w:szCs w:val="22"/>
                <w14:ligatures w14:val="none"/>
                <w14:cntxtAlts w14:val="0"/>
              </w:rPr>
            </w:pPr>
            <w:r w:rsidRPr="00774F02">
              <w:rPr>
                <w:kern w:val="0"/>
                <w:sz w:val="22"/>
                <w:szCs w:val="22"/>
                <w14:ligatures w14:val="none"/>
                <w14:cntxtAlts w14:val="0"/>
              </w:rPr>
              <w:t>Never*</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49.3</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41.6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57.1</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58.8</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58.0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59.7</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r w:rsidR="00A57E5F" w:rsidRPr="00774F02" w:rsidTr="00E8674F">
        <w:trPr>
          <w:trHeight w:val="300"/>
        </w:trPr>
        <w:tc>
          <w:tcPr>
            <w:tcW w:w="2993"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r w:rsidRPr="00774F02">
              <w:rPr>
                <w:kern w:val="0"/>
                <w:sz w:val="22"/>
                <w:szCs w:val="22"/>
                <w14:ligatures w14:val="none"/>
                <w14:cntxtAlts w14:val="0"/>
              </w:rPr>
              <w:t>Flu vaccination, past 12 mos.</w:t>
            </w:r>
          </w:p>
        </w:tc>
        <w:tc>
          <w:tcPr>
            <w:tcW w:w="94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367</w:t>
            </w:r>
          </w:p>
        </w:tc>
        <w:tc>
          <w:tcPr>
            <w:tcW w:w="119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41.6</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34.0</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49.2</w:t>
            </w:r>
          </w:p>
        </w:tc>
        <w:tc>
          <w:tcPr>
            <w:tcW w:w="3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1231"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32413</w:t>
            </w:r>
          </w:p>
        </w:tc>
        <w:tc>
          <w:tcPr>
            <w:tcW w:w="1149"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center"/>
              <w:rPr>
                <w:kern w:val="0"/>
                <w:sz w:val="22"/>
                <w:szCs w:val="22"/>
                <w14:ligatures w14:val="none"/>
                <w14:cntxtAlts w14:val="0"/>
              </w:rPr>
            </w:pPr>
            <w:r w:rsidRPr="00774F02">
              <w:rPr>
                <w:kern w:val="0"/>
                <w:sz w:val="22"/>
                <w:szCs w:val="22"/>
                <w14:ligatures w14:val="none"/>
                <w14:cntxtAlts w14:val="0"/>
              </w:rPr>
              <w:t>41.7</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40.9</w:t>
            </w:r>
          </w:p>
        </w:tc>
        <w:tc>
          <w:tcPr>
            <w:tcW w:w="607"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jc w:val="right"/>
              <w:rPr>
                <w:kern w:val="0"/>
                <w:sz w:val="22"/>
                <w:szCs w:val="22"/>
                <w14:ligatures w14:val="none"/>
                <w14:cntxtAlts w14:val="0"/>
              </w:rPr>
            </w:pPr>
            <w:r w:rsidRPr="00774F02">
              <w:rPr>
                <w:kern w:val="0"/>
                <w:sz w:val="22"/>
                <w:szCs w:val="22"/>
                <w14:ligatures w14:val="none"/>
                <w14:cntxtAlts w14:val="0"/>
              </w:rPr>
              <w:t>42.6</w:t>
            </w:r>
          </w:p>
        </w:tc>
        <w:tc>
          <w:tcPr>
            <w:tcW w:w="965"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c>
          <w:tcPr>
            <w:tcW w:w="222" w:type="dxa"/>
            <w:tcBorders>
              <w:top w:val="nil"/>
              <w:left w:val="nil"/>
              <w:bottom w:val="nil"/>
              <w:right w:val="nil"/>
            </w:tcBorders>
            <w:shd w:val="clear" w:color="auto" w:fill="auto"/>
            <w:noWrap/>
            <w:vAlign w:val="bottom"/>
            <w:hideMark/>
          </w:tcPr>
          <w:p w:rsidR="00A57E5F" w:rsidRPr="00774F02" w:rsidRDefault="00A57E5F" w:rsidP="00E8674F">
            <w:pPr>
              <w:spacing w:after="0" w:line="240" w:lineRule="auto"/>
              <w:rPr>
                <w:kern w:val="0"/>
                <w:sz w:val="22"/>
                <w:szCs w:val="22"/>
                <w14:ligatures w14:val="none"/>
                <w14:cntxtAlts w14:val="0"/>
              </w:rPr>
            </w:pPr>
          </w:p>
        </w:tc>
      </w:tr>
    </w:tbl>
    <w:p w:rsidR="0086583C" w:rsidRPr="00BB7287" w:rsidRDefault="0086583C" w:rsidP="0086583C">
      <w:pPr>
        <w:widowControl w:val="0"/>
        <w:spacing w:after="0"/>
        <w:rPr>
          <w:color w:val="auto"/>
          <w14:ligatures w14:val="none"/>
        </w:rPr>
      </w:pPr>
    </w:p>
    <w:p w:rsidR="00A57E5F" w:rsidRDefault="00A57E5F" w:rsidP="0086583C">
      <w:pPr>
        <w:spacing w:after="0"/>
        <w:rPr>
          <w:color w:val="auto"/>
        </w:rPr>
      </w:pPr>
      <w:r w:rsidRPr="00774F02">
        <w:rPr>
          <w:color w:val="auto"/>
          <w:vertAlign w:val="superscript"/>
        </w:rPr>
        <w:t>1</w:t>
      </w:r>
      <w:r>
        <w:rPr>
          <w:color w:val="auto"/>
        </w:rPr>
        <w:t xml:space="preserve"> The number (unweighted) of individuals who responded to the specific BRFSS question.</w:t>
      </w:r>
    </w:p>
    <w:p w:rsidR="00A57E5F" w:rsidRDefault="00A57E5F" w:rsidP="0086583C">
      <w:pPr>
        <w:spacing w:after="0"/>
        <w:rPr>
          <w:color w:val="auto"/>
        </w:rPr>
      </w:pPr>
      <w:r w:rsidRPr="00774F02">
        <w:rPr>
          <w:color w:val="auto"/>
          <w:vertAlign w:val="superscript"/>
        </w:rPr>
        <w:t>2</w:t>
      </w:r>
      <w:r>
        <w:rPr>
          <w:color w:val="auto"/>
        </w:rPr>
        <w:t xml:space="preserve"> Weighted percent.</w:t>
      </w:r>
    </w:p>
    <w:p w:rsidR="0086583C" w:rsidRDefault="00A57E5F" w:rsidP="0086583C">
      <w:pPr>
        <w:spacing w:after="0"/>
        <w:rPr>
          <w:color w:val="auto"/>
          <w14:ligatures w14:val="none"/>
        </w:rPr>
      </w:pPr>
      <w:proofErr w:type="gramStart"/>
      <w:r w:rsidRPr="00774F02">
        <w:rPr>
          <w:color w:val="auto"/>
          <w:vertAlign w:val="superscript"/>
        </w:rPr>
        <w:t>3</w:t>
      </w:r>
      <w:r>
        <w:rPr>
          <w:color w:val="auto"/>
          <w:vertAlign w:val="superscript"/>
        </w:rPr>
        <w:t xml:space="preserve"> </w:t>
      </w:r>
      <w:r>
        <w:rPr>
          <w:color w:val="auto"/>
        </w:rPr>
        <w:t>95% confidence interval for the weighted percent.</w:t>
      </w:r>
      <w:proofErr w:type="gramEnd"/>
      <w:r w:rsidR="0086583C" w:rsidRPr="0086583C">
        <w:rPr>
          <w:color w:val="auto"/>
          <w14:ligatures w14:val="none"/>
        </w:rPr>
        <w:t xml:space="preserve"> </w:t>
      </w:r>
    </w:p>
    <w:p w:rsidR="00A57E5F" w:rsidRPr="00BB7287" w:rsidRDefault="0086583C" w:rsidP="0086583C">
      <w:pPr>
        <w:spacing w:after="0"/>
        <w:rPr>
          <w:color w:val="auto"/>
        </w:rPr>
      </w:pPr>
      <w:r w:rsidRPr="0086583C">
        <w:rPr>
          <w:color w:val="auto"/>
          <w14:ligatures w14:val="none"/>
        </w:rPr>
        <w:t>Source: Massachusetts Behavioral Risk Factor Surveillance System, MDPH</w:t>
      </w:r>
    </w:p>
    <w:p w:rsidR="002D303B" w:rsidRDefault="002D303B" w:rsidP="002D303B">
      <w:pPr>
        <w:rPr>
          <w:sz w:val="22"/>
          <w:szCs w:val="22"/>
          <w:lang w:eastAsia="ko-KR"/>
          <w14:ligatures w14:val="none"/>
        </w:rPr>
      </w:pPr>
    </w:p>
    <w:p w:rsidR="002D303B" w:rsidRDefault="002D303B" w:rsidP="002D303B">
      <w:pPr>
        <w:rPr>
          <w:sz w:val="22"/>
          <w:szCs w:val="22"/>
          <w:lang w:eastAsia="ko-KR"/>
          <w14:ligatures w14:val="none"/>
        </w:rPr>
      </w:pPr>
      <w:r>
        <w:rPr>
          <w:sz w:val="22"/>
          <w:szCs w:val="22"/>
          <w:lang w:eastAsia="ko-KR"/>
          <w14:ligatures w14:val="none"/>
        </w:rPr>
        <w:t>Stratified analyses were used to examine factors that are more common among home care aides and are also associated with asthma (Figures 3a-e).  For instance, women have been shown to consistently have higher asthma prevalence than men, both nationally and in Massachusetts.</w:t>
      </w:r>
      <w:r>
        <w:rPr>
          <w:sz w:val="15"/>
          <w:szCs w:val="15"/>
          <w:vertAlign w:val="superscript"/>
          <w:lang w:eastAsia="ko-KR"/>
          <w14:ligatures w14:val="none"/>
        </w:rPr>
        <w:t>9</w:t>
      </w:r>
      <w:proofErr w:type="gramStart"/>
      <w:r>
        <w:rPr>
          <w:sz w:val="15"/>
          <w:szCs w:val="15"/>
          <w:vertAlign w:val="superscript"/>
          <w:lang w:eastAsia="ko-KR"/>
          <w14:ligatures w14:val="none"/>
        </w:rPr>
        <w:t>,10</w:t>
      </w:r>
      <w:proofErr w:type="gramEnd"/>
      <w:r>
        <w:rPr>
          <w:sz w:val="22"/>
          <w:szCs w:val="22"/>
          <w:lang w:eastAsia="ko-KR"/>
          <w14:ligatures w14:val="none"/>
        </w:rPr>
        <w:t xml:space="preserve">  Additionally, in Massachusetts, women have higher age-adjusted rates of emergency department visits, hospitalizations, and deaths due to asthma.</w:t>
      </w:r>
      <w:r>
        <w:rPr>
          <w:sz w:val="15"/>
          <w:szCs w:val="15"/>
          <w:vertAlign w:val="superscript"/>
          <w:lang w:eastAsia="ko-KR"/>
          <w14:ligatures w14:val="none"/>
        </w:rPr>
        <w:t>10</w:t>
      </w:r>
      <w:r>
        <w:rPr>
          <w:sz w:val="22"/>
          <w:szCs w:val="22"/>
          <w:lang w:eastAsia="ko-KR"/>
          <w14:ligatures w14:val="none"/>
        </w:rPr>
        <w:t xml:space="preserve">  Current asthma prevalence among home care aides was compared to the prevalence among all other workers, stratified by sex, age, race/ethnicity, education level and smoking status.  Findings are presented below. </w:t>
      </w:r>
    </w:p>
    <w:p w:rsidR="004B79F5" w:rsidRDefault="002D303B" w:rsidP="002D303B">
      <w:pPr>
        <w:rPr>
          <w14:ligatures w14:val="none"/>
        </w:rPr>
      </w:pPr>
      <w:r>
        <w:rPr>
          <w:sz w:val="22"/>
          <w:szCs w:val="22"/>
          <w:lang w:eastAsia="ko-KR"/>
          <w14:ligatures w14:val="none"/>
        </w:rPr>
        <w:t> </w:t>
      </w:r>
      <w:r w:rsidR="004B79F5">
        <w:rPr>
          <w14:ligatures w14:val="none"/>
        </w:rPr>
        <w:t> </w:t>
      </w:r>
    </w:p>
    <w:p w:rsidR="00DF2502" w:rsidRDefault="00DF2502" w:rsidP="00A57E5F">
      <w:pPr>
        <w:rPr>
          <w:b/>
          <w:bCs/>
          <w:color w:val="auto"/>
          <w:sz w:val="22"/>
          <w:szCs w:val="22"/>
          <w14:ligatures w14:val="none"/>
        </w:rPr>
      </w:pPr>
    </w:p>
    <w:p w:rsidR="00DF2502" w:rsidRDefault="00DF2502" w:rsidP="00A57E5F">
      <w:pPr>
        <w:rPr>
          <w:b/>
          <w:bCs/>
          <w:color w:val="auto"/>
          <w:sz w:val="22"/>
          <w:szCs w:val="22"/>
          <w14:ligatures w14:val="none"/>
        </w:rPr>
      </w:pPr>
    </w:p>
    <w:p w:rsidR="00DF2502" w:rsidRDefault="00DF2502" w:rsidP="00A57E5F">
      <w:pPr>
        <w:rPr>
          <w:b/>
          <w:bCs/>
          <w:color w:val="auto"/>
          <w:sz w:val="22"/>
          <w:szCs w:val="22"/>
          <w14:ligatures w14:val="none"/>
        </w:rPr>
      </w:pPr>
    </w:p>
    <w:p w:rsidR="00DF2502" w:rsidRDefault="00DF2502" w:rsidP="00A57E5F">
      <w:pPr>
        <w:rPr>
          <w:b/>
          <w:bCs/>
          <w:color w:val="auto"/>
          <w:sz w:val="22"/>
          <w:szCs w:val="22"/>
          <w14:ligatures w14:val="none"/>
        </w:rPr>
      </w:pPr>
    </w:p>
    <w:p w:rsidR="00DF2502" w:rsidRDefault="00DF2502" w:rsidP="00A57E5F">
      <w:pPr>
        <w:rPr>
          <w:b/>
          <w:bCs/>
          <w:color w:val="auto"/>
          <w:sz w:val="22"/>
          <w:szCs w:val="22"/>
          <w14:ligatures w14:val="none"/>
        </w:rPr>
      </w:pPr>
    </w:p>
    <w:p w:rsidR="00A57E5F" w:rsidRPr="00BB7287" w:rsidRDefault="00A57E5F" w:rsidP="00A57E5F">
      <w:pPr>
        <w:rPr>
          <w:b/>
          <w:bCs/>
          <w:color w:val="auto"/>
          <w:sz w:val="22"/>
          <w:szCs w:val="22"/>
          <w14:ligatures w14:val="none"/>
        </w:rPr>
      </w:pPr>
      <w:proofErr w:type="gramStart"/>
      <w:r w:rsidRPr="00BB7287">
        <w:rPr>
          <w:b/>
          <w:bCs/>
          <w:color w:val="auto"/>
          <w:sz w:val="22"/>
          <w:szCs w:val="22"/>
          <w14:ligatures w14:val="none"/>
        </w:rPr>
        <w:lastRenderedPageBreak/>
        <w:t>Figure 3a.</w:t>
      </w:r>
      <w:proofErr w:type="gramEnd"/>
      <w:r w:rsidRPr="00BB7287">
        <w:rPr>
          <w:b/>
          <w:bCs/>
          <w:color w:val="auto"/>
          <w:sz w:val="22"/>
          <w:szCs w:val="22"/>
          <w14:ligatures w14:val="none"/>
        </w:rPr>
        <w:t xml:space="preserve">  Current asthma prevalence among home care aides vs. all other workers by sex, M</w:t>
      </w:r>
      <w:r w:rsidR="0086583C">
        <w:rPr>
          <w:b/>
          <w:bCs/>
          <w:color w:val="auto"/>
          <w:sz w:val="22"/>
          <w:szCs w:val="22"/>
          <w14:ligatures w14:val="none"/>
        </w:rPr>
        <w:t>A</w:t>
      </w:r>
      <w:r w:rsidRPr="00BB7287">
        <w:rPr>
          <w:b/>
          <w:bCs/>
          <w:color w:val="auto"/>
          <w:sz w:val="22"/>
          <w:szCs w:val="22"/>
          <w14:ligatures w14:val="none"/>
        </w:rPr>
        <w:t>, 2011-2014</w:t>
      </w:r>
    </w:p>
    <w:p w:rsidR="00A57E5F" w:rsidRPr="00BB7287" w:rsidRDefault="00A57E5F" w:rsidP="00A57E5F">
      <w:pPr>
        <w:widowControl w:val="0"/>
        <w:spacing w:after="0"/>
        <w:rPr>
          <w:color w:val="auto"/>
          <w:sz w:val="14"/>
          <w:szCs w:val="14"/>
          <w14:ligatures w14:val="none"/>
        </w:rPr>
      </w:pPr>
      <w:r w:rsidRPr="00BB7287">
        <w:rPr>
          <w:noProof/>
          <w:color w:val="auto"/>
          <w:sz w:val="14"/>
          <w:szCs w:val="14"/>
          <w14:ligatures w14:val="none"/>
          <w14:cntxtAlts w14:val="0"/>
        </w:rPr>
        <w:drawing>
          <wp:inline distT="0" distB="0" distL="0" distR="0" wp14:anchorId="5309BD71" wp14:editId="37B57FD4">
            <wp:extent cx="2933323" cy="2026288"/>
            <wp:effectExtent l="0" t="0" r="635" b="0"/>
            <wp:docPr id="6" name="Picture 7" descr="&#10;Female     Male&#10;Home care 20.0%     suppressed&#10;All other 12.9%     7.3%" title="Figure 3a.  Current asthma prevalence among home care aides vs. all other workers, by sex, Massachusetts, 2011-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4531" cy="2027123"/>
                    </a:xfrm>
                    <a:prstGeom prst="rect">
                      <a:avLst/>
                    </a:prstGeom>
                    <a:noFill/>
                    <a:ln>
                      <a:noFill/>
                    </a:ln>
                    <a:effectLst/>
                  </pic:spPr>
                </pic:pic>
              </a:graphicData>
            </a:graphic>
          </wp:inline>
        </w:drawing>
      </w:r>
      <w:r w:rsidRPr="00BB7287">
        <w:rPr>
          <w:color w:val="auto"/>
          <w:sz w:val="14"/>
          <w:szCs w:val="14"/>
          <w14:ligatures w14:val="none"/>
        </w:rPr>
        <w:t xml:space="preserve"> </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Estimate for home care suppressed due to insufficient data</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A57E5F" w:rsidRDefault="00A57E5F"/>
    <w:p w:rsidR="004B79F5" w:rsidRDefault="004B79F5" w:rsidP="00DF2502">
      <w:pPr>
        <w:spacing w:line="264" w:lineRule="auto"/>
        <w:ind w:left="90" w:hanging="90"/>
        <w:rPr>
          <w:sz w:val="22"/>
          <w:szCs w:val="22"/>
          <w14:ligatures w14:val="none"/>
        </w:rPr>
      </w:pPr>
      <w:r>
        <w:rPr>
          <w:rFonts w:ascii="Symbol" w:hAnsi="Symbol"/>
          <w:lang w:val="x-none"/>
        </w:rPr>
        <w:t></w:t>
      </w:r>
      <w:r>
        <w:t> </w:t>
      </w:r>
      <w:r>
        <w:rPr>
          <w:sz w:val="22"/>
          <w:szCs w:val="22"/>
          <w14:ligatures w14:val="none"/>
        </w:rPr>
        <w:t>Among females, home care aides had significantly higher current asthma p</w:t>
      </w:r>
      <w:r w:rsidR="00DF2502">
        <w:rPr>
          <w:sz w:val="22"/>
          <w:szCs w:val="22"/>
          <w14:ligatures w14:val="none"/>
        </w:rPr>
        <w:t xml:space="preserve">revalence compared to all other </w:t>
      </w:r>
      <w:r>
        <w:rPr>
          <w:sz w:val="22"/>
          <w:szCs w:val="22"/>
          <w14:ligatures w14:val="none"/>
        </w:rPr>
        <w:t xml:space="preserve">workers (20.0 vs. </w:t>
      </w:r>
      <w:proofErr w:type="gramStart"/>
      <w:r>
        <w:rPr>
          <w:sz w:val="22"/>
          <w:szCs w:val="22"/>
          <w14:ligatures w14:val="none"/>
        </w:rPr>
        <w:t>12.9%).</w:t>
      </w:r>
      <w:proofErr w:type="gramEnd"/>
      <w:r>
        <w:rPr>
          <w:sz w:val="22"/>
          <w:szCs w:val="22"/>
          <w14:ligatures w14:val="none"/>
        </w:rPr>
        <w:t xml:space="preserve">  The estimate among male home care aides was suppressed due to insufficient data (Figure 3a).</w:t>
      </w:r>
    </w:p>
    <w:p w:rsidR="00DF2502" w:rsidRDefault="00DF2502" w:rsidP="004B79F5">
      <w:pPr>
        <w:widowControl w:val="0"/>
        <w:rPr>
          <w14:ligatures w14:val="none"/>
        </w:rPr>
      </w:pPr>
    </w:p>
    <w:p w:rsidR="00A57E5F" w:rsidRPr="00BB7287" w:rsidRDefault="004B79F5" w:rsidP="004B79F5">
      <w:pPr>
        <w:widowControl w:val="0"/>
        <w:rPr>
          <w:b/>
          <w:bCs/>
          <w:color w:val="auto"/>
          <w:sz w:val="22"/>
          <w:szCs w:val="22"/>
          <w14:ligatures w14:val="none"/>
        </w:rPr>
      </w:pPr>
      <w:r>
        <w:rPr>
          <w14:ligatures w14:val="none"/>
        </w:rPr>
        <w:t> </w:t>
      </w:r>
      <w:proofErr w:type="gramStart"/>
      <w:r w:rsidR="00A57E5F" w:rsidRPr="00BB7287">
        <w:rPr>
          <w:b/>
          <w:bCs/>
          <w:color w:val="auto"/>
          <w:sz w:val="22"/>
          <w:szCs w:val="22"/>
          <w14:ligatures w14:val="none"/>
        </w:rPr>
        <w:t>Figure 3b.</w:t>
      </w:r>
      <w:proofErr w:type="gramEnd"/>
      <w:r w:rsidR="00A57E5F" w:rsidRPr="00BB7287">
        <w:rPr>
          <w:b/>
          <w:bCs/>
          <w:color w:val="auto"/>
          <w:sz w:val="22"/>
          <w:szCs w:val="22"/>
          <w14:ligatures w14:val="none"/>
        </w:rPr>
        <w:t xml:space="preserve">  Current asthma prevalence among home care aides vs. all other workers by age, M</w:t>
      </w:r>
      <w:r w:rsidR="0086583C">
        <w:rPr>
          <w:b/>
          <w:bCs/>
          <w:color w:val="auto"/>
          <w:sz w:val="22"/>
          <w:szCs w:val="22"/>
          <w14:ligatures w14:val="none"/>
        </w:rPr>
        <w:t>A</w:t>
      </w:r>
      <w:r w:rsidR="00A57E5F" w:rsidRPr="00BB7287">
        <w:rPr>
          <w:b/>
          <w:bCs/>
          <w:color w:val="auto"/>
          <w:sz w:val="22"/>
          <w:szCs w:val="22"/>
          <w14:ligatures w14:val="none"/>
        </w:rPr>
        <w:t xml:space="preserve">, 2011-2014 </w:t>
      </w:r>
    </w:p>
    <w:p w:rsidR="00A57E5F" w:rsidRPr="00BB7287" w:rsidRDefault="00A57E5F" w:rsidP="00A57E5F">
      <w:pPr>
        <w:rPr>
          <w:b/>
          <w:bCs/>
          <w:color w:val="auto"/>
          <w:sz w:val="22"/>
          <w:szCs w:val="22"/>
          <w14:ligatures w14:val="none"/>
        </w:rPr>
      </w:pPr>
      <w:r w:rsidRPr="00BB7287">
        <w:rPr>
          <w:b/>
          <w:bCs/>
          <w:noProof/>
          <w:color w:val="auto"/>
          <w:sz w:val="22"/>
          <w:szCs w:val="22"/>
          <w14:ligatures w14:val="none"/>
          <w14:cntxtAlts w14:val="0"/>
        </w:rPr>
        <w:drawing>
          <wp:inline distT="0" distB="0" distL="0" distR="0" wp14:anchorId="2E8D8A51" wp14:editId="07001886">
            <wp:extent cx="3345815" cy="2216150"/>
            <wp:effectExtent l="0" t="0" r="6985" b="0"/>
            <wp:docPr id="12" name="Picture 10" descr="18-44 years     &gt;=45 years&#10;Home care 21.2%     19.5%&#10;All other 11.2%     8.9%" title="Figure 3b.  Current asthma prevalence among home care aides vs. all other workers, by age, Massachusetts, 2011-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5815" cy="2216150"/>
                    </a:xfrm>
                    <a:prstGeom prst="rect">
                      <a:avLst/>
                    </a:prstGeom>
                    <a:noFill/>
                    <a:ln>
                      <a:noFill/>
                    </a:ln>
                    <a:effectLst/>
                  </pic:spPr>
                </pic:pic>
              </a:graphicData>
            </a:graphic>
          </wp:inline>
        </w:drawing>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4B79F5" w:rsidRPr="00BB7287" w:rsidRDefault="004B79F5" w:rsidP="00A57E5F">
      <w:pPr>
        <w:widowControl w:val="0"/>
        <w:spacing w:after="0"/>
        <w:rPr>
          <w:color w:val="auto"/>
          <w:sz w:val="14"/>
          <w:szCs w:val="14"/>
          <w14:ligatures w14:val="none"/>
        </w:rPr>
      </w:pPr>
    </w:p>
    <w:p w:rsidR="004B79F5" w:rsidRDefault="004B79F5" w:rsidP="00DF2502">
      <w:pPr>
        <w:spacing w:line="264" w:lineRule="auto"/>
        <w:ind w:left="90" w:hanging="90"/>
        <w:rPr>
          <w:sz w:val="22"/>
          <w:szCs w:val="22"/>
          <w14:ligatures w14:val="none"/>
        </w:rPr>
      </w:pPr>
      <w:r>
        <w:rPr>
          <w:rFonts w:ascii="Symbol" w:hAnsi="Symbol"/>
          <w:lang w:val="x-none"/>
        </w:rPr>
        <w:t></w:t>
      </w:r>
      <w:r>
        <w:t> </w:t>
      </w:r>
      <w:r>
        <w:rPr>
          <w:sz w:val="22"/>
          <w:szCs w:val="22"/>
          <w14:ligatures w14:val="none"/>
        </w:rPr>
        <w:t>In the two age groups examined, current asthma prevalence was higher among home care aides, although the difference was not statistically significant among the younger age group (Figure 3b).</w:t>
      </w:r>
    </w:p>
    <w:p w:rsidR="004B79F5" w:rsidRDefault="004B79F5" w:rsidP="004B79F5">
      <w:pPr>
        <w:widowControl w:val="0"/>
      </w:pPr>
      <w:r>
        <w:rPr>
          <w14:ligatures w14:val="none"/>
        </w:rPr>
        <w:t> </w:t>
      </w:r>
    </w:p>
    <w:p w:rsidR="00DF2502" w:rsidRDefault="00DF2502" w:rsidP="00A57E5F">
      <w:pPr>
        <w:rPr>
          <w:b/>
          <w:bCs/>
          <w:color w:val="auto"/>
          <w:sz w:val="22"/>
          <w:szCs w:val="22"/>
          <w14:ligatures w14:val="none"/>
        </w:rPr>
      </w:pPr>
    </w:p>
    <w:p w:rsidR="00DF2502" w:rsidRDefault="00DF2502" w:rsidP="00A57E5F">
      <w:pPr>
        <w:rPr>
          <w:b/>
          <w:bCs/>
          <w:color w:val="auto"/>
          <w:sz w:val="22"/>
          <w:szCs w:val="22"/>
          <w14:ligatures w14:val="none"/>
        </w:rPr>
      </w:pPr>
    </w:p>
    <w:p w:rsidR="00A57E5F" w:rsidRPr="00BB7287" w:rsidRDefault="00A57E5F" w:rsidP="00A57E5F">
      <w:pPr>
        <w:rPr>
          <w:b/>
          <w:bCs/>
          <w:color w:val="auto"/>
          <w:sz w:val="22"/>
          <w:szCs w:val="22"/>
          <w14:ligatures w14:val="none"/>
        </w:rPr>
      </w:pPr>
      <w:proofErr w:type="gramStart"/>
      <w:r w:rsidRPr="00BB7287">
        <w:rPr>
          <w:b/>
          <w:bCs/>
          <w:color w:val="auto"/>
          <w:sz w:val="22"/>
          <w:szCs w:val="22"/>
          <w14:ligatures w14:val="none"/>
        </w:rPr>
        <w:lastRenderedPageBreak/>
        <w:t>Figure 3c.</w:t>
      </w:r>
      <w:proofErr w:type="gramEnd"/>
      <w:r w:rsidRPr="00BB7287">
        <w:rPr>
          <w:b/>
          <w:bCs/>
          <w:color w:val="auto"/>
          <w:sz w:val="22"/>
          <w:szCs w:val="22"/>
          <w14:ligatures w14:val="none"/>
        </w:rPr>
        <w:t xml:space="preserve">  Current asthma prevalence among home care aides vs. all oth</w:t>
      </w:r>
      <w:r w:rsidR="0086583C">
        <w:rPr>
          <w:b/>
          <w:bCs/>
          <w:color w:val="auto"/>
          <w:sz w:val="22"/>
          <w:szCs w:val="22"/>
          <w14:ligatures w14:val="none"/>
        </w:rPr>
        <w:t xml:space="preserve">er workers by race/ethnicity, </w:t>
      </w:r>
      <w:r w:rsidRPr="00BB7287">
        <w:rPr>
          <w:b/>
          <w:bCs/>
          <w:color w:val="auto"/>
          <w:sz w:val="22"/>
          <w:szCs w:val="22"/>
          <w14:ligatures w14:val="none"/>
        </w:rPr>
        <w:t>M</w:t>
      </w:r>
      <w:r w:rsidR="0086583C">
        <w:rPr>
          <w:b/>
          <w:bCs/>
          <w:color w:val="auto"/>
          <w:sz w:val="22"/>
          <w:szCs w:val="22"/>
          <w14:ligatures w14:val="none"/>
        </w:rPr>
        <w:t>A</w:t>
      </w:r>
      <w:r w:rsidRPr="00BB7287">
        <w:rPr>
          <w:b/>
          <w:bCs/>
          <w:color w:val="auto"/>
          <w:sz w:val="22"/>
          <w:szCs w:val="22"/>
          <w14:ligatures w14:val="none"/>
        </w:rPr>
        <w:t xml:space="preserve">, 2011-2014 </w:t>
      </w:r>
    </w:p>
    <w:p w:rsidR="00A57E5F" w:rsidRPr="00BB7287" w:rsidRDefault="00A57E5F" w:rsidP="00A57E5F">
      <w:pPr>
        <w:rPr>
          <w:b/>
          <w:bCs/>
          <w:color w:val="auto"/>
          <w:sz w:val="22"/>
          <w:szCs w:val="22"/>
          <w14:ligatures w14:val="none"/>
        </w:rPr>
      </w:pPr>
      <w:r w:rsidRPr="00BB7287">
        <w:rPr>
          <w:b/>
          <w:bCs/>
          <w:noProof/>
          <w:color w:val="auto"/>
          <w:sz w:val="22"/>
          <w:szCs w:val="22"/>
          <w14:ligatures w14:val="none"/>
          <w14:cntxtAlts w14:val="0"/>
        </w:rPr>
        <w:drawing>
          <wp:inline distT="0" distB="0" distL="0" distR="0" wp14:anchorId="38E3C4F1" wp14:editId="15071630">
            <wp:extent cx="3344010" cy="2233009"/>
            <wp:effectExtent l="0" t="0" r="8890" b="0"/>
            <wp:docPr id="15" name="Picture 22" descr="White, Non-Hispanic     All other&#10;Home care 20.5%     19.6%&#10;All other 10.2%     9.5%" title="Figure 3c.  Current asthma prevalence among home care aides vs. all other workers, by race/ethnicity,  Massachusetts, 2011-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010" cy="2233009"/>
                    </a:xfrm>
                    <a:prstGeom prst="rect">
                      <a:avLst/>
                    </a:prstGeom>
                    <a:noFill/>
                    <a:ln>
                      <a:noFill/>
                    </a:ln>
                    <a:effectLst/>
                  </pic:spPr>
                </pic:pic>
              </a:graphicData>
            </a:graphic>
          </wp:inline>
        </w:drawing>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A57E5F" w:rsidRDefault="00A57E5F"/>
    <w:p w:rsidR="004B79F5" w:rsidRPr="00DF2502" w:rsidRDefault="004B79F5" w:rsidP="00DF2502">
      <w:pPr>
        <w:spacing w:line="264" w:lineRule="auto"/>
        <w:ind w:left="90" w:hanging="90"/>
        <w:rPr>
          <w:sz w:val="22"/>
          <w:szCs w:val="22"/>
          <w14:ligatures w14:val="none"/>
        </w:rPr>
      </w:pPr>
      <w:r>
        <w:rPr>
          <w:rFonts w:ascii="Symbol" w:hAnsi="Symbol"/>
          <w:lang w:val="x-none"/>
        </w:rPr>
        <w:t></w:t>
      </w:r>
      <w:r>
        <w:t> </w:t>
      </w:r>
      <w:r>
        <w:rPr>
          <w:sz w:val="22"/>
          <w:szCs w:val="22"/>
          <w14:ligatures w14:val="none"/>
        </w:rPr>
        <w:t xml:space="preserve">The pattern looked similar when we stratified by race/ethnicity, with home care aides in both groups having higher asthma prevalence.  However, among the ‘all other’ race/ethnicity group, the difference was not statistically significant (Figure 3c). </w:t>
      </w:r>
    </w:p>
    <w:p w:rsidR="00DF2502" w:rsidRDefault="00DF2502" w:rsidP="00A57E5F">
      <w:pPr>
        <w:rPr>
          <w:b/>
          <w:bCs/>
          <w:color w:val="auto"/>
          <w:sz w:val="22"/>
          <w:szCs w:val="22"/>
          <w14:ligatures w14:val="none"/>
        </w:rPr>
      </w:pPr>
    </w:p>
    <w:p w:rsidR="00A57E5F" w:rsidRPr="00BB7287" w:rsidRDefault="00A57E5F" w:rsidP="00A57E5F">
      <w:pPr>
        <w:rPr>
          <w:b/>
          <w:bCs/>
          <w:color w:val="auto"/>
          <w:sz w:val="22"/>
          <w:szCs w:val="22"/>
          <w14:ligatures w14:val="none"/>
        </w:rPr>
      </w:pPr>
      <w:proofErr w:type="gramStart"/>
      <w:r w:rsidRPr="00BB7287">
        <w:rPr>
          <w:b/>
          <w:bCs/>
          <w:color w:val="auto"/>
          <w:sz w:val="22"/>
          <w:szCs w:val="22"/>
          <w14:ligatures w14:val="none"/>
        </w:rPr>
        <w:t>Figure 3d.</w:t>
      </w:r>
      <w:proofErr w:type="gramEnd"/>
      <w:r w:rsidRPr="00BB7287">
        <w:rPr>
          <w:b/>
          <w:bCs/>
          <w:color w:val="auto"/>
          <w:sz w:val="22"/>
          <w:szCs w:val="22"/>
          <w14:ligatures w14:val="none"/>
        </w:rPr>
        <w:t xml:space="preserve">  Current asthma prevalence among home care aides vs. all other workers by education level, M</w:t>
      </w:r>
      <w:r w:rsidR="0086583C">
        <w:rPr>
          <w:b/>
          <w:bCs/>
          <w:color w:val="auto"/>
          <w:sz w:val="22"/>
          <w:szCs w:val="22"/>
          <w14:ligatures w14:val="none"/>
        </w:rPr>
        <w:t>A</w:t>
      </w:r>
      <w:r w:rsidRPr="00BB7287">
        <w:rPr>
          <w:b/>
          <w:bCs/>
          <w:color w:val="auto"/>
          <w:sz w:val="22"/>
          <w:szCs w:val="22"/>
          <w14:ligatures w14:val="none"/>
        </w:rPr>
        <w:t xml:space="preserve">, 2011-2014 </w:t>
      </w:r>
    </w:p>
    <w:p w:rsidR="00A57E5F" w:rsidRPr="00BB7287" w:rsidRDefault="00A57E5F" w:rsidP="00A57E5F">
      <w:pPr>
        <w:rPr>
          <w:b/>
          <w:bCs/>
          <w:color w:val="auto"/>
          <w:sz w:val="22"/>
          <w:szCs w:val="22"/>
          <w14:ligatures w14:val="none"/>
        </w:rPr>
      </w:pPr>
      <w:r w:rsidRPr="00BB7287">
        <w:rPr>
          <w:b/>
          <w:bCs/>
          <w:noProof/>
          <w:color w:val="auto"/>
          <w:sz w:val="22"/>
          <w:szCs w:val="22"/>
          <w14:ligatures w14:val="none"/>
          <w14:cntxtAlts w14:val="0"/>
        </w:rPr>
        <w:drawing>
          <wp:inline distT="0" distB="0" distL="0" distR="0" wp14:anchorId="79A17FE2" wp14:editId="43B4093F">
            <wp:extent cx="3350260" cy="2254985"/>
            <wp:effectExtent l="0" t="0" r="2540" b="0"/>
            <wp:docPr id="18" name="Picture 25" descr="&lt;=High school     &gt;High school&#10;Home care 17.7%     26.6%&#10;All other 10.2%     9.9%" title="Figure 3d.  Current asthma prevalence among home care aides vs. all other workers, by education level,  Massachusetts, 2011-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0260" cy="2254985"/>
                    </a:xfrm>
                    <a:prstGeom prst="rect">
                      <a:avLst/>
                    </a:prstGeom>
                    <a:noFill/>
                    <a:ln>
                      <a:noFill/>
                    </a:ln>
                    <a:effectLst/>
                  </pic:spPr>
                </pic:pic>
              </a:graphicData>
            </a:graphic>
          </wp:inline>
        </w:drawing>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A57E5F" w:rsidRDefault="00A57E5F"/>
    <w:p w:rsidR="004B79F5" w:rsidRDefault="004B79F5" w:rsidP="00DF2502">
      <w:pPr>
        <w:spacing w:line="264" w:lineRule="auto"/>
        <w:ind w:left="90" w:hanging="90"/>
        <w:rPr>
          <w:sz w:val="22"/>
          <w:szCs w:val="22"/>
          <w14:ligatures w14:val="none"/>
        </w:rPr>
      </w:pPr>
      <w:r>
        <w:rPr>
          <w:rFonts w:ascii="Symbol" w:hAnsi="Symbol"/>
          <w:lang w:val="x-none"/>
        </w:rPr>
        <w:t></w:t>
      </w:r>
      <w:r>
        <w:t> </w:t>
      </w:r>
      <w:r>
        <w:rPr>
          <w:sz w:val="22"/>
          <w:szCs w:val="22"/>
          <w14:ligatures w14:val="none"/>
        </w:rPr>
        <w:t xml:space="preserve">There were differences by education level.  Among those with more than a high school education, home care aides had significantly higher asthma prevalence compared with all other workers, whereas the prevalence was similar for </w:t>
      </w:r>
      <w:proofErr w:type="gramStart"/>
      <w:r>
        <w:rPr>
          <w:sz w:val="22"/>
          <w:szCs w:val="22"/>
          <w14:ligatures w14:val="none"/>
        </w:rPr>
        <w:t>both groups of workers with a high school education or</w:t>
      </w:r>
      <w:proofErr w:type="gramEnd"/>
      <w:r>
        <w:rPr>
          <w:sz w:val="22"/>
          <w:szCs w:val="22"/>
          <w14:ligatures w14:val="none"/>
        </w:rPr>
        <w:t xml:space="preserve"> lower (Figure 3d).  </w:t>
      </w:r>
    </w:p>
    <w:p w:rsidR="00DF2502" w:rsidRDefault="00DF2502" w:rsidP="004B79F5">
      <w:pPr>
        <w:widowControl w:val="0"/>
        <w:rPr>
          <w:b/>
          <w:bCs/>
          <w:color w:val="auto"/>
          <w:sz w:val="22"/>
          <w:szCs w:val="22"/>
          <w14:ligatures w14:val="none"/>
        </w:rPr>
      </w:pPr>
    </w:p>
    <w:p w:rsidR="00A57E5F" w:rsidRPr="00BB7287" w:rsidRDefault="00A57E5F" w:rsidP="004B79F5">
      <w:pPr>
        <w:widowControl w:val="0"/>
        <w:rPr>
          <w:b/>
          <w:bCs/>
          <w:color w:val="auto"/>
          <w:sz w:val="22"/>
          <w:szCs w:val="22"/>
          <w14:ligatures w14:val="none"/>
        </w:rPr>
      </w:pPr>
      <w:proofErr w:type="gramStart"/>
      <w:r w:rsidRPr="00BB7287">
        <w:rPr>
          <w:b/>
          <w:bCs/>
          <w:color w:val="auto"/>
          <w:sz w:val="22"/>
          <w:szCs w:val="22"/>
          <w14:ligatures w14:val="none"/>
        </w:rPr>
        <w:lastRenderedPageBreak/>
        <w:t>Figure 3e.</w:t>
      </w:r>
      <w:proofErr w:type="gramEnd"/>
      <w:r w:rsidRPr="00BB7287">
        <w:rPr>
          <w:b/>
          <w:bCs/>
          <w:color w:val="auto"/>
          <w:sz w:val="22"/>
          <w:szCs w:val="22"/>
          <w14:ligatures w14:val="none"/>
        </w:rPr>
        <w:t xml:space="preserve">  Current asthma prevalence among home care aides vs. all other workers by smoking status, M</w:t>
      </w:r>
      <w:r w:rsidR="0086583C">
        <w:rPr>
          <w:b/>
          <w:bCs/>
          <w:color w:val="auto"/>
          <w:sz w:val="22"/>
          <w:szCs w:val="22"/>
          <w14:ligatures w14:val="none"/>
        </w:rPr>
        <w:t>A</w:t>
      </w:r>
      <w:r w:rsidRPr="00BB7287">
        <w:rPr>
          <w:b/>
          <w:bCs/>
          <w:color w:val="auto"/>
          <w:sz w:val="22"/>
          <w:szCs w:val="22"/>
          <w14:ligatures w14:val="none"/>
        </w:rPr>
        <w:t xml:space="preserve">, 2011-2014 </w:t>
      </w:r>
    </w:p>
    <w:p w:rsidR="00A57E5F" w:rsidRPr="00BB7287" w:rsidRDefault="00A57E5F" w:rsidP="00A57E5F">
      <w:pPr>
        <w:rPr>
          <w:b/>
          <w:bCs/>
          <w:color w:val="auto"/>
          <w:sz w:val="22"/>
          <w:szCs w:val="22"/>
          <w14:ligatures w14:val="none"/>
        </w:rPr>
      </w:pPr>
      <w:r w:rsidRPr="00BB7287">
        <w:rPr>
          <w:b/>
          <w:bCs/>
          <w:noProof/>
          <w:color w:val="auto"/>
          <w:sz w:val="22"/>
          <w:szCs w:val="22"/>
          <w14:ligatures w14:val="none"/>
          <w14:cntxtAlts w14:val="0"/>
        </w:rPr>
        <w:drawing>
          <wp:inline distT="0" distB="0" distL="0" distR="0" wp14:anchorId="4671BD95" wp14:editId="1482E189">
            <wp:extent cx="3353435" cy="2350135"/>
            <wp:effectExtent l="0" t="0" r="0" b="0"/>
            <wp:docPr id="24" name="Picture 16" descr="Not current smokers     Current smokers&#10;Home care 24.1%     suppressed&#10;All other 9.9%     10.5%" title=" Figure 3e.  Current asthma prevalence among home care aides vs. all other workers, by smoking status, Massachusetts, 2011-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3435" cy="2350135"/>
                    </a:xfrm>
                    <a:prstGeom prst="rect">
                      <a:avLst/>
                    </a:prstGeom>
                    <a:noFill/>
                    <a:ln>
                      <a:noFill/>
                    </a:ln>
                    <a:effectLst/>
                  </pic:spPr>
                </pic:pic>
              </a:graphicData>
            </a:graphic>
          </wp:inline>
        </w:drawing>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*Estimate for home care suppressed due to insufficient data</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Note: Error bars are 95% confidence intervals</w:t>
      </w:r>
    </w:p>
    <w:p w:rsidR="00A57E5F" w:rsidRPr="00BB7287" w:rsidRDefault="00A57E5F" w:rsidP="00A57E5F">
      <w:pPr>
        <w:widowControl w:val="0"/>
        <w:spacing w:after="0"/>
        <w:rPr>
          <w:color w:val="auto"/>
          <w:sz w:val="14"/>
          <w:szCs w:val="14"/>
          <w14:ligatures w14:val="none"/>
        </w:rPr>
      </w:pPr>
      <w:r w:rsidRPr="00BB7287">
        <w:rPr>
          <w:color w:val="auto"/>
          <w:sz w:val="14"/>
          <w:szCs w:val="14"/>
          <w14:ligatures w14:val="none"/>
        </w:rPr>
        <w:t>Source: Massachusetts Behavioral Risk Factor Surveillance System, MDPH</w:t>
      </w:r>
    </w:p>
    <w:p w:rsidR="00A57E5F" w:rsidRDefault="00A57E5F"/>
    <w:p w:rsidR="004B79F5" w:rsidRDefault="004B79F5" w:rsidP="00DF2502">
      <w:pPr>
        <w:spacing w:after="160" w:line="264" w:lineRule="auto"/>
        <w:ind w:left="90" w:hanging="90"/>
        <w:rPr>
          <w:sz w:val="22"/>
          <w:szCs w:val="22"/>
          <w14:ligatures w14:val="none"/>
        </w:rPr>
      </w:pPr>
      <w:r>
        <w:rPr>
          <w:rFonts w:ascii="Symbol" w:hAnsi="Symbol"/>
          <w:lang w:val="x-none"/>
        </w:rPr>
        <w:t></w:t>
      </w:r>
      <w:r>
        <w:t> </w:t>
      </w:r>
      <w:r>
        <w:rPr>
          <w:sz w:val="22"/>
          <w:szCs w:val="22"/>
          <w14:ligatures w14:val="none"/>
        </w:rPr>
        <w:t xml:space="preserve">Among non-smokers, current asthma prevalence was significantly higher among home care aides compared to all other workers (24.1 vs. </w:t>
      </w:r>
      <w:proofErr w:type="gramStart"/>
      <w:r>
        <w:rPr>
          <w:sz w:val="22"/>
          <w:szCs w:val="22"/>
          <w14:ligatures w14:val="none"/>
        </w:rPr>
        <w:t>9.9%).</w:t>
      </w:r>
      <w:proofErr w:type="gramEnd"/>
      <w:r>
        <w:rPr>
          <w:sz w:val="22"/>
          <w:szCs w:val="22"/>
          <w14:ligatures w14:val="none"/>
        </w:rPr>
        <w:t xml:space="preserve">  The estimate among home care aides who were current smokers was suppressed due to insufficient data (Figure 3e). </w:t>
      </w:r>
    </w:p>
    <w:p w:rsidR="00DF2502" w:rsidRDefault="00DF2502" w:rsidP="004B79F5">
      <w:pPr>
        <w:spacing w:after="160" w:line="264" w:lineRule="auto"/>
        <w:rPr>
          <w:b/>
          <w:bCs/>
          <w:sz w:val="24"/>
          <w:szCs w:val="24"/>
          <w14:ligatures w14:val="none"/>
        </w:rPr>
      </w:pPr>
    </w:p>
    <w:p w:rsidR="004B79F5" w:rsidRDefault="004B79F5" w:rsidP="004B79F5">
      <w:pPr>
        <w:spacing w:after="160" w:line="264" w:lineRule="auto"/>
        <w:rPr>
          <w:b/>
          <w:bCs/>
          <w:sz w:val="14"/>
          <w:szCs w:val="14"/>
          <w14:ligatures w14:val="none"/>
        </w:rPr>
      </w:pPr>
      <w:r>
        <w:rPr>
          <w:b/>
          <w:bCs/>
          <w:sz w:val="24"/>
          <w:szCs w:val="24"/>
          <w14:ligatures w14:val="none"/>
        </w:rPr>
        <w:t>Conclusion</w:t>
      </w:r>
    </w:p>
    <w:p w:rsidR="00DF2502" w:rsidRDefault="00DF2502" w:rsidP="00A57E5F">
      <w:pPr>
        <w:widowControl w:val="0"/>
        <w:rPr>
          <w:sz w:val="22"/>
          <w:szCs w:val="22"/>
          <w14:ligatures w14:val="none"/>
        </w:rPr>
      </w:pPr>
      <w:r w:rsidRPr="00DF2502">
        <w:rPr>
          <w:sz w:val="22"/>
          <w:szCs w:val="22"/>
          <w14:ligatures w14:val="none"/>
        </w:rPr>
        <w:t>Home care aides have higher asthma prevalence compared to other workers in Massachusetts, even after considering additional factors known to be associated with asthma.  While it is impossible to assess the proportion of asthma that may be attributed to work, occupational exposures could contribute to the excess of asthma in this group. Harmful environmental exposures at home or in the community might also play a role.  More research is needed to identify factors that cause or exacerbate asthma among home care aides.  In the meantime, steps can be taken now to reduce exposures to known respiratory hazards in clients’ homes that could protect workers and clients alike.</w:t>
      </w:r>
    </w:p>
    <w:p w:rsidR="00DF2502" w:rsidRDefault="00DF2502" w:rsidP="00A57E5F">
      <w:pPr>
        <w:widowControl w:val="0"/>
        <w:rPr>
          <w:sz w:val="22"/>
          <w:szCs w:val="22"/>
          <w14:ligatures w14:val="none"/>
        </w:rPr>
      </w:pPr>
    </w:p>
    <w:p w:rsidR="00DF2502" w:rsidRDefault="004B79F5" w:rsidP="00A57E5F">
      <w:pPr>
        <w:widowControl w:val="0"/>
        <w:rPr>
          <w14:ligatures w14:val="none"/>
        </w:rPr>
      </w:pPr>
      <w:r>
        <w:rPr>
          <w14:ligatures w14:val="none"/>
        </w:rPr>
        <w:t> </w:t>
      </w:r>
    </w:p>
    <w:p w:rsidR="00DF2502" w:rsidRDefault="00DF2502" w:rsidP="00A57E5F">
      <w:pPr>
        <w:widowControl w:val="0"/>
        <w:rPr>
          <w14:ligatures w14:val="none"/>
        </w:rPr>
      </w:pPr>
    </w:p>
    <w:p w:rsidR="00DF2502" w:rsidRDefault="00DF2502" w:rsidP="00A57E5F">
      <w:pPr>
        <w:widowControl w:val="0"/>
        <w:rPr>
          <w14:ligatures w14:val="none"/>
        </w:rPr>
      </w:pPr>
    </w:p>
    <w:p w:rsidR="00DF2502" w:rsidRDefault="00DF2502" w:rsidP="00A57E5F">
      <w:pPr>
        <w:widowControl w:val="0"/>
        <w:rPr>
          <w14:ligatures w14:val="none"/>
        </w:rPr>
      </w:pPr>
    </w:p>
    <w:p w:rsidR="00DF2502" w:rsidRDefault="00DF2502" w:rsidP="00A57E5F">
      <w:pPr>
        <w:widowControl w:val="0"/>
        <w:rPr>
          <w14:ligatures w14:val="none"/>
        </w:rPr>
      </w:pPr>
    </w:p>
    <w:p w:rsidR="00DF2502" w:rsidRDefault="00DF2502" w:rsidP="00A57E5F">
      <w:pPr>
        <w:widowControl w:val="0"/>
        <w:rPr>
          <w14:ligatures w14:val="none"/>
        </w:rPr>
      </w:pPr>
    </w:p>
    <w:p w:rsidR="00DF2502" w:rsidRDefault="00DF2502" w:rsidP="00A57E5F">
      <w:pPr>
        <w:widowControl w:val="0"/>
        <w:rPr>
          <w14:ligatures w14:val="none"/>
        </w:rPr>
      </w:pPr>
    </w:p>
    <w:p w:rsidR="00A57E5F" w:rsidRDefault="00A57E5F" w:rsidP="00A57E5F">
      <w:pPr>
        <w:widowControl w:val="0"/>
        <w:rPr>
          <w:b/>
          <w:bCs/>
          <w:sz w:val="22"/>
          <w:szCs w:val="22"/>
          <w14:ligatures w14:val="none"/>
        </w:rPr>
      </w:pPr>
      <w:r>
        <w:rPr>
          <w:b/>
          <w:bCs/>
          <w:sz w:val="22"/>
          <w:szCs w:val="22"/>
          <w14:ligatures w14:val="none"/>
        </w:rPr>
        <w:lastRenderedPageBreak/>
        <w:t>Resources</w:t>
      </w:r>
    </w:p>
    <w:p w:rsidR="00A57E5F" w:rsidRDefault="00A57E5F" w:rsidP="00A57E5F">
      <w:pPr>
        <w:widowControl w:val="0"/>
        <w:spacing w:after="160" w:line="264" w:lineRule="auto"/>
        <w:ind w:left="360" w:hanging="360"/>
        <w:rPr>
          <w:b/>
          <w:bCs/>
          <w14:ligatures w14:val="none"/>
        </w:rPr>
      </w:pPr>
      <w:r>
        <w:rPr>
          <w:rFonts w:ascii="Symbol" w:hAnsi="Symbol"/>
          <w:lang w:val="x-none"/>
        </w:rPr>
        <w:t></w:t>
      </w:r>
      <w:r>
        <w:t> </w:t>
      </w:r>
      <w:r>
        <w:rPr>
          <w:sz w:val="22"/>
          <w:szCs w:val="22"/>
          <w14:ligatures w14:val="none"/>
        </w:rPr>
        <w:t xml:space="preserve">CDC-NIOSH’s  </w:t>
      </w:r>
      <w:r>
        <w:rPr>
          <w:i/>
          <w:iCs/>
          <w:sz w:val="22"/>
          <w:szCs w:val="22"/>
          <w14:ligatures w14:val="none"/>
        </w:rPr>
        <w:t xml:space="preserve">Caring for Yourself While Caring for Others </w:t>
      </w:r>
      <w:r>
        <w:rPr>
          <w:sz w:val="22"/>
          <w:szCs w:val="22"/>
          <w14:ligatures w14:val="none"/>
        </w:rPr>
        <w:t xml:space="preserve">provides recommendations </w:t>
      </w:r>
      <w:r w:rsidR="005D6A94">
        <w:rPr>
          <w:sz w:val="22"/>
          <w:szCs w:val="22"/>
          <w14:ligatures w14:val="none"/>
        </w:rPr>
        <w:t>on</w:t>
      </w:r>
      <w:r>
        <w:rPr>
          <w:sz w:val="22"/>
          <w:szCs w:val="22"/>
          <w14:ligatures w14:val="none"/>
        </w:rPr>
        <w:t xml:space="preserve"> keep</w:t>
      </w:r>
      <w:r w:rsidR="005D6A94">
        <w:rPr>
          <w:sz w:val="22"/>
          <w:szCs w:val="22"/>
          <w14:ligatures w14:val="none"/>
        </w:rPr>
        <w:t>ing</w:t>
      </w:r>
      <w:r>
        <w:rPr>
          <w:sz w:val="22"/>
          <w:szCs w:val="22"/>
          <w14:ligatures w14:val="none"/>
        </w:rPr>
        <w:t xml:space="preserve"> the home environment safe for both home care aides and their clients.  </w:t>
      </w:r>
    </w:p>
    <w:p w:rsidR="00A57E5F" w:rsidRDefault="00A57E5F" w:rsidP="00A57E5F">
      <w:pPr>
        <w:pStyle w:val="Pa0"/>
        <w:widowControl w:val="0"/>
        <w:spacing w:after="120"/>
        <w:ind w:left="625" w:hanging="272"/>
        <w:rPr>
          <w14:ligatures w14:val="none"/>
        </w:rPr>
      </w:pPr>
      <w:r>
        <w:rPr>
          <w:rFonts w:ascii="Symbol" w:hAnsi="Symbol"/>
          <w:lang w:val="x-none"/>
        </w:rPr>
        <w:t></w:t>
      </w:r>
      <w:r>
        <w:t> </w:t>
      </w:r>
      <w:r>
        <w:rPr>
          <w:sz w:val="22"/>
          <w:szCs w:val="22"/>
          <w14:ligatures w14:val="none"/>
        </w:rPr>
        <w:t xml:space="preserve">Handbook: </w:t>
      </w:r>
      <w:hyperlink r:id="rId14" w:history="1">
        <w:r>
          <w:rPr>
            <w:rStyle w:val="Hyperlink"/>
            <w14:ligatures w14:val="none"/>
          </w:rPr>
          <w:t>www.cdc.gov/niosh/docs/2015-103/pdf/2015-103.pdf</w:t>
        </w:r>
      </w:hyperlink>
    </w:p>
    <w:p w:rsidR="00A57E5F" w:rsidRDefault="00A57E5F" w:rsidP="00A57E5F">
      <w:pPr>
        <w:pStyle w:val="Pa0"/>
        <w:widowControl w:val="0"/>
        <w:spacing w:after="120"/>
        <w:ind w:left="625" w:hanging="272"/>
      </w:pPr>
      <w:r>
        <w:rPr>
          <w:rFonts w:ascii="Symbol" w:hAnsi="Symbol"/>
          <w:lang w:val="x-none"/>
        </w:rPr>
        <w:t></w:t>
      </w:r>
      <w:r>
        <w:t> </w:t>
      </w:r>
      <w:r>
        <w:rPr>
          <w:sz w:val="22"/>
          <w:szCs w:val="22"/>
          <w14:ligatures w14:val="none"/>
        </w:rPr>
        <w:t xml:space="preserve">7-module training curriculum: </w:t>
      </w:r>
      <w:hyperlink r:id="rId15" w:history="1">
        <w:r>
          <w:rPr>
            <w:rStyle w:val="Hyperlink"/>
            <w14:ligatures w14:val="none"/>
          </w:rPr>
          <w:t>www.cdc.gov/niosh/docs/2015-102/default.html</w:t>
        </w:r>
      </w:hyperlink>
    </w:p>
    <w:p w:rsidR="00A57E5F" w:rsidRDefault="00A57E5F" w:rsidP="00A57E5F">
      <w:pPr>
        <w:pStyle w:val="Pa0"/>
        <w:widowControl w:val="0"/>
        <w:spacing w:after="120"/>
        <w:ind w:left="625" w:hanging="272"/>
        <w:rPr>
          <w14:ligatures w14:val="none"/>
        </w:rPr>
      </w:pPr>
    </w:p>
    <w:p w:rsidR="00A57E5F" w:rsidRDefault="00A57E5F" w:rsidP="00A57E5F">
      <w:pPr>
        <w:pStyle w:val="Pa0"/>
        <w:widowControl w:val="0"/>
        <w:spacing w:after="160" w:line="264" w:lineRule="auto"/>
        <w:ind w:left="367" w:hanging="367"/>
        <w:rPr>
          <w14:ligatures w14:val="none"/>
        </w:rPr>
      </w:pPr>
      <w:r>
        <w:rPr>
          <w:rFonts w:ascii="Symbol" w:hAnsi="Symbol"/>
          <w:lang w:val="x-none"/>
        </w:rPr>
        <w:t></w:t>
      </w:r>
      <w:r>
        <w:t> </w:t>
      </w:r>
      <w:r>
        <w:rPr>
          <w:sz w:val="22"/>
          <w:szCs w:val="22"/>
          <w14:ligatures w14:val="none"/>
        </w:rPr>
        <w:t xml:space="preserve">University of Massachusetts Lowell’s NIOSH-funded Safe Home Care Project conducts research promoting health, safety and well-being of home care aides.  They developed a module on cleaning for clients with asthma for the Massachusetts Personal and Home Care Aide State Training (PHCAST) Program and wrote an article for the Massachusetts Rehabilitation Commission’s Resource newsletter.  </w:t>
      </w:r>
    </w:p>
    <w:p w:rsidR="00A57E5F" w:rsidRDefault="00A57E5F" w:rsidP="00A57E5F">
      <w:pPr>
        <w:pStyle w:val="Pa0"/>
        <w:widowControl w:val="0"/>
        <w:spacing w:after="120"/>
        <w:ind w:left="625" w:hanging="367"/>
        <w:rPr>
          <w14:ligatures w14:val="none"/>
        </w:rPr>
      </w:pPr>
      <w:r>
        <w:rPr>
          <w:rFonts w:ascii="Symbol" w:hAnsi="Symbol"/>
          <w:lang w:val="x-none"/>
        </w:rPr>
        <w:t></w:t>
      </w:r>
      <w:r>
        <w:t> </w:t>
      </w:r>
      <w:r>
        <w:rPr>
          <w:sz w:val="22"/>
          <w:szCs w:val="22"/>
          <w14:ligatures w14:val="none"/>
        </w:rPr>
        <w:t xml:space="preserve">Project website: </w:t>
      </w:r>
      <w:hyperlink r:id="rId16" w:history="1">
        <w:r>
          <w:rPr>
            <w:rStyle w:val="Hyperlink"/>
            <w14:ligatures w14:val="none"/>
          </w:rPr>
          <w:t>www.uml.edu/safeHC</w:t>
        </w:r>
      </w:hyperlink>
      <w:r>
        <w:rPr>
          <w14:ligatures w14:val="none"/>
        </w:rPr>
        <w:t xml:space="preserve">  </w:t>
      </w:r>
    </w:p>
    <w:p w:rsidR="00A57E5F" w:rsidRDefault="00A57E5F" w:rsidP="00A57E5F">
      <w:pPr>
        <w:pStyle w:val="Pa0"/>
        <w:widowControl w:val="0"/>
        <w:spacing w:after="120"/>
        <w:ind w:left="625" w:hanging="367"/>
        <w:rPr>
          <w:sz w:val="22"/>
          <w:szCs w:val="22"/>
          <w14:ligatures w14:val="none"/>
        </w:rPr>
      </w:pPr>
      <w:r>
        <w:rPr>
          <w:rFonts w:ascii="Symbol" w:hAnsi="Symbol"/>
          <w:lang w:val="x-none"/>
        </w:rPr>
        <w:t></w:t>
      </w:r>
      <w:r>
        <w:t> </w:t>
      </w:r>
      <w:r>
        <w:rPr>
          <w:sz w:val="22"/>
          <w:szCs w:val="22"/>
          <w14:ligatures w14:val="none"/>
        </w:rPr>
        <w:t xml:space="preserve">Cleaning module: </w:t>
      </w:r>
      <w:hyperlink r:id="rId17" w:history="1">
        <w:r>
          <w:rPr>
            <w:rStyle w:val="Hyperlink"/>
            <w14:ligatures w14:val="none"/>
          </w:rPr>
          <w:t>http://madirectcare.com/online-learning/cleaning-for-consumers-with-asthma</w:t>
        </w:r>
      </w:hyperlink>
    </w:p>
    <w:p w:rsidR="00A57E5F" w:rsidRDefault="00A57E5F" w:rsidP="00A57E5F">
      <w:pPr>
        <w:pStyle w:val="Pa0"/>
        <w:widowControl w:val="0"/>
        <w:spacing w:after="120"/>
        <w:ind w:left="625" w:hanging="367"/>
        <w:rPr>
          <w:sz w:val="22"/>
          <w:szCs w:val="22"/>
          <w14:ligatures w14:val="none"/>
        </w:rPr>
      </w:pPr>
      <w:r>
        <w:rPr>
          <w:rFonts w:ascii="Symbol" w:hAnsi="Symbol"/>
          <w:lang w:val="x-none"/>
        </w:rPr>
        <w:t></w:t>
      </w:r>
      <w:r>
        <w:t> </w:t>
      </w:r>
      <w:r>
        <w:rPr>
          <w:sz w:val="22"/>
          <w:szCs w:val="22"/>
          <w14:ligatures w14:val="none"/>
        </w:rPr>
        <w:t xml:space="preserve">Newsletter: </w:t>
      </w:r>
      <w:hyperlink r:id="rId18" w:history="1">
        <w:r>
          <w:rPr>
            <w:rStyle w:val="Hyperlink"/>
            <w14:ligatures w14:val="none"/>
          </w:rPr>
          <w:t>www.uml.edu/docs/Safe-HC-Resources-Cleaning-for-home_tcm18-187363.pdf</w:t>
        </w:r>
      </w:hyperlink>
    </w:p>
    <w:p w:rsidR="00A57E5F" w:rsidRDefault="00A57E5F" w:rsidP="00A57E5F">
      <w:pPr>
        <w:widowControl w:val="0"/>
        <w:rPr>
          <w14:ligatures w14:val="none"/>
        </w:rPr>
      </w:pPr>
      <w:r>
        <w:rPr>
          <w14:ligatures w14:val="none"/>
        </w:rPr>
        <w:t> </w:t>
      </w:r>
    </w:p>
    <w:p w:rsidR="00A57E5F" w:rsidRPr="00BB7287" w:rsidRDefault="00A57E5F" w:rsidP="00A57E5F">
      <w:pPr>
        <w:spacing w:after="160" w:line="264" w:lineRule="auto"/>
        <w:rPr>
          <w:b/>
          <w:bCs/>
          <w:color w:val="auto"/>
          <w:sz w:val="24"/>
          <w:szCs w:val="24"/>
          <w14:ligatures w14:val="none"/>
        </w:rPr>
      </w:pPr>
      <w:r w:rsidRPr="00BB7287">
        <w:rPr>
          <w:b/>
          <w:bCs/>
          <w:color w:val="auto"/>
          <w:sz w:val="24"/>
          <w:szCs w:val="24"/>
          <w14:ligatures w14:val="none"/>
        </w:rPr>
        <w:t> References</w:t>
      </w:r>
    </w:p>
    <w:p w:rsidR="00A57E5F" w:rsidRPr="00BB7287" w:rsidRDefault="00A57E5F" w:rsidP="00A57E5F">
      <w:pPr>
        <w:rPr>
          <w:color w:val="auto"/>
          <w:sz w:val="18"/>
          <w:szCs w:val="18"/>
          <w14:ligatures w14:val="none"/>
        </w:rPr>
      </w:pPr>
      <w:r w:rsidRPr="00BB7287">
        <w:rPr>
          <w:color w:val="auto"/>
          <w:sz w:val="18"/>
          <w:szCs w:val="18"/>
          <w14:ligatures w14:val="none"/>
        </w:rPr>
        <w:t xml:space="preserve">1. </w:t>
      </w:r>
      <w:proofErr w:type="spellStart"/>
      <w:r w:rsidRPr="00BB7287">
        <w:rPr>
          <w:color w:val="auto"/>
          <w:sz w:val="18"/>
          <w:szCs w:val="18"/>
          <w14:ligatures w14:val="none"/>
        </w:rPr>
        <w:t>Ortman</w:t>
      </w:r>
      <w:proofErr w:type="spellEnd"/>
      <w:r w:rsidRPr="00BB7287">
        <w:rPr>
          <w:color w:val="auto"/>
          <w:sz w:val="18"/>
          <w:szCs w:val="18"/>
          <w14:ligatures w14:val="none"/>
        </w:rPr>
        <w:t xml:space="preserve"> et al. An Aging Nation: The Older Population in the United States, Current Population Reports, P25-1140. </w:t>
      </w:r>
      <w:proofErr w:type="gramStart"/>
      <w:r w:rsidRPr="00BB7287">
        <w:rPr>
          <w:color w:val="auto"/>
          <w:sz w:val="18"/>
          <w:szCs w:val="18"/>
          <w14:ligatures w14:val="none"/>
        </w:rPr>
        <w:t>US Census Bureau, Washington, DC.</w:t>
      </w:r>
      <w:proofErr w:type="gramEnd"/>
      <w:r w:rsidRPr="00BB7287">
        <w:rPr>
          <w:color w:val="auto"/>
          <w:sz w:val="18"/>
          <w:szCs w:val="18"/>
          <w14:ligatures w14:val="none"/>
        </w:rPr>
        <w:t xml:space="preserve"> 2014. </w:t>
      </w:r>
    </w:p>
    <w:p w:rsidR="00A57E5F" w:rsidRPr="00BB7287" w:rsidRDefault="00A57E5F" w:rsidP="00A57E5F">
      <w:pPr>
        <w:rPr>
          <w:color w:val="auto"/>
          <w:sz w:val="18"/>
          <w:szCs w:val="18"/>
          <w14:ligatures w14:val="none"/>
        </w:rPr>
      </w:pPr>
      <w:r w:rsidRPr="00BB7287">
        <w:rPr>
          <w:color w:val="auto"/>
          <w:sz w:val="18"/>
          <w:szCs w:val="18"/>
          <w14:ligatures w14:val="none"/>
        </w:rPr>
        <w:t xml:space="preserve">2. Quinn et al. Occupational health of home care aides: results of the safe home care survey. </w:t>
      </w:r>
      <w:proofErr w:type="spellStart"/>
      <w:r w:rsidRPr="00BB7287">
        <w:rPr>
          <w:color w:val="auto"/>
          <w:sz w:val="18"/>
          <w:szCs w:val="18"/>
          <w14:ligatures w14:val="none"/>
        </w:rPr>
        <w:t>Occup</w:t>
      </w:r>
      <w:proofErr w:type="spellEnd"/>
      <w:r w:rsidRPr="00BB7287">
        <w:rPr>
          <w:color w:val="auto"/>
          <w:sz w:val="18"/>
          <w:szCs w:val="18"/>
          <w14:ligatures w14:val="none"/>
        </w:rPr>
        <w:t xml:space="preserve"> Environ Med. 2015</w:t>
      </w:r>
      <w:proofErr w:type="gramStart"/>
      <w:r w:rsidRPr="00BB7287">
        <w:rPr>
          <w:color w:val="auto"/>
          <w:sz w:val="18"/>
          <w:szCs w:val="18"/>
          <w14:ligatures w14:val="none"/>
        </w:rPr>
        <w:t>;0:1</w:t>
      </w:r>
      <w:proofErr w:type="gramEnd"/>
      <w:r w:rsidRPr="00BB7287">
        <w:rPr>
          <w:color w:val="auto"/>
          <w:sz w:val="18"/>
          <w:szCs w:val="18"/>
          <w14:ligatures w14:val="none"/>
        </w:rPr>
        <w:t>-9.</w:t>
      </w:r>
    </w:p>
    <w:p w:rsidR="00A57E5F" w:rsidRPr="00BB7287" w:rsidRDefault="00A57E5F" w:rsidP="00A57E5F">
      <w:pPr>
        <w:rPr>
          <w:color w:val="auto"/>
          <w:sz w:val="18"/>
          <w:szCs w:val="18"/>
          <w14:ligatures w14:val="none"/>
        </w:rPr>
      </w:pPr>
      <w:r w:rsidRPr="00BB7287">
        <w:rPr>
          <w:color w:val="auto"/>
          <w:sz w:val="18"/>
          <w:szCs w:val="18"/>
          <w14:ligatures w14:val="none"/>
        </w:rPr>
        <w:t xml:space="preserve">3. U.S. Bureau of Labor Statistics [2015]. </w:t>
      </w:r>
      <w:proofErr w:type="gramStart"/>
      <w:r w:rsidRPr="00BB7287">
        <w:rPr>
          <w:color w:val="auto"/>
          <w:sz w:val="18"/>
          <w:szCs w:val="18"/>
          <w14:ligatures w14:val="none"/>
        </w:rPr>
        <w:t>Table 6.</w:t>
      </w:r>
      <w:proofErr w:type="gramEnd"/>
      <w:r w:rsidRPr="00BB7287">
        <w:rPr>
          <w:color w:val="auto"/>
          <w:sz w:val="18"/>
          <w:szCs w:val="18"/>
          <w14:ligatures w14:val="none"/>
        </w:rPr>
        <w:t xml:space="preserve">  </w:t>
      </w:r>
      <w:hyperlink r:id="rId19" w:history="1">
        <w:r w:rsidRPr="00BB7287">
          <w:rPr>
            <w:rStyle w:val="Hyperlink"/>
            <w:color w:val="auto"/>
            <w:sz w:val="18"/>
            <w:szCs w:val="18"/>
            <w14:ligatures w14:val="none"/>
          </w:rPr>
          <w:t>www.bls.gov/news.release/ecopro.toc.htm</w:t>
        </w:r>
      </w:hyperlink>
    </w:p>
    <w:p w:rsidR="00A57E5F" w:rsidRPr="00BB7287" w:rsidRDefault="00A57E5F" w:rsidP="00A57E5F">
      <w:pPr>
        <w:rPr>
          <w:color w:val="auto"/>
          <w:sz w:val="18"/>
          <w:szCs w:val="18"/>
          <w14:ligatures w14:val="none"/>
        </w:rPr>
      </w:pPr>
      <w:r w:rsidRPr="00BB7287">
        <w:rPr>
          <w:color w:val="auto"/>
          <w:sz w:val="18"/>
          <w:szCs w:val="18"/>
          <w14:ligatures w14:val="none"/>
        </w:rPr>
        <w:t xml:space="preserve">4. Paraprofessional Healthcare Institute. [2014]. Facts 5: Home Care Aides at a Glance. </w:t>
      </w:r>
      <w:hyperlink r:id="rId20" w:history="1">
        <w:r w:rsidRPr="00BB7287">
          <w:rPr>
            <w:rStyle w:val="Hyperlink"/>
            <w:color w:val="auto"/>
            <w:sz w:val="18"/>
            <w:szCs w:val="18"/>
            <w14:ligatures w14:val="none"/>
          </w:rPr>
          <w:t>www.phinational.org</w:t>
        </w:r>
      </w:hyperlink>
    </w:p>
    <w:p w:rsidR="00A57E5F" w:rsidRPr="00BB7287" w:rsidRDefault="00A57E5F" w:rsidP="00A57E5F">
      <w:pPr>
        <w:rPr>
          <w:color w:val="auto"/>
          <w:sz w:val="18"/>
          <w:szCs w:val="18"/>
          <w14:ligatures w14:val="none"/>
        </w:rPr>
      </w:pPr>
      <w:r w:rsidRPr="00BB7287">
        <w:rPr>
          <w:color w:val="auto"/>
          <w:sz w:val="18"/>
          <w:szCs w:val="18"/>
          <w14:ligatures w14:val="none"/>
        </w:rPr>
        <w:t xml:space="preserve">5. O*NET. </w:t>
      </w:r>
      <w:hyperlink r:id="rId21" w:history="1">
        <w:r w:rsidRPr="00BB7287">
          <w:rPr>
            <w:rStyle w:val="Hyperlink"/>
            <w:color w:val="auto"/>
            <w:sz w:val="18"/>
            <w:szCs w:val="18"/>
            <w14:ligatures w14:val="none"/>
          </w:rPr>
          <w:t>www.onetonline.org/find/</w:t>
        </w:r>
      </w:hyperlink>
    </w:p>
    <w:p w:rsidR="00A57E5F" w:rsidRPr="00BB7287" w:rsidRDefault="00A57E5F" w:rsidP="00A57E5F">
      <w:pPr>
        <w:rPr>
          <w:color w:val="auto"/>
          <w:sz w:val="18"/>
          <w:szCs w:val="18"/>
          <w14:ligatures w14:val="none"/>
        </w:rPr>
      </w:pPr>
      <w:r w:rsidRPr="00BB7287">
        <w:rPr>
          <w:color w:val="auto"/>
          <w:sz w:val="18"/>
          <w:szCs w:val="18"/>
          <w14:ligatures w14:val="none"/>
        </w:rPr>
        <w:t xml:space="preserve">6. U.S. Bureau of Labor </w:t>
      </w:r>
      <w:proofErr w:type="gramStart"/>
      <w:r w:rsidRPr="00BB7287">
        <w:rPr>
          <w:color w:val="auto"/>
          <w:sz w:val="18"/>
          <w:szCs w:val="18"/>
          <w14:ligatures w14:val="none"/>
        </w:rPr>
        <w:t>Statistics  [</w:t>
      </w:r>
      <w:proofErr w:type="gramEnd"/>
      <w:r w:rsidRPr="00BB7287">
        <w:rPr>
          <w:color w:val="auto"/>
          <w:sz w:val="18"/>
          <w:szCs w:val="18"/>
          <w14:ligatures w14:val="none"/>
        </w:rPr>
        <w:t xml:space="preserve">2014]. </w:t>
      </w:r>
      <w:proofErr w:type="gramStart"/>
      <w:r w:rsidRPr="00BB7287">
        <w:rPr>
          <w:color w:val="auto"/>
          <w:sz w:val="18"/>
          <w:szCs w:val="18"/>
          <w14:ligatures w14:val="none"/>
        </w:rPr>
        <w:t>Occupational Employment Statistics.</w:t>
      </w:r>
      <w:proofErr w:type="gramEnd"/>
      <w:r w:rsidRPr="00BB7287">
        <w:rPr>
          <w:color w:val="auto"/>
          <w:sz w:val="18"/>
          <w:szCs w:val="18"/>
          <w14:ligatures w14:val="none"/>
        </w:rPr>
        <w:t xml:space="preserve"> </w:t>
      </w:r>
      <w:hyperlink r:id="rId22" w:history="1">
        <w:r w:rsidRPr="00BB7287">
          <w:rPr>
            <w:rStyle w:val="Hyperlink"/>
            <w:color w:val="auto"/>
            <w:sz w:val="18"/>
            <w:szCs w:val="18"/>
            <w14:ligatures w14:val="none"/>
          </w:rPr>
          <w:t>http://data.bls.gov/cgi-bin/print.pl/oes/current/oes_ma.htm</w:t>
        </w:r>
      </w:hyperlink>
    </w:p>
    <w:p w:rsidR="00A57E5F" w:rsidRPr="00BB7287" w:rsidRDefault="00A57E5F" w:rsidP="00A57E5F">
      <w:pPr>
        <w:rPr>
          <w:color w:val="auto"/>
          <w:sz w:val="18"/>
          <w:szCs w:val="18"/>
          <w14:ligatures w14:val="none"/>
        </w:rPr>
      </w:pPr>
      <w:r w:rsidRPr="00BB7287">
        <w:rPr>
          <w:color w:val="auto"/>
          <w:sz w:val="18"/>
          <w:szCs w:val="18"/>
          <w14:ligatures w14:val="none"/>
        </w:rPr>
        <w:t xml:space="preserve">7. Association of Occupational and Environmental Clinics. </w:t>
      </w:r>
      <w:hyperlink r:id="rId23" w:history="1">
        <w:r w:rsidRPr="00BB7287">
          <w:rPr>
            <w:rStyle w:val="Hyperlink"/>
            <w:color w:val="auto"/>
            <w:sz w:val="18"/>
            <w:szCs w:val="18"/>
            <w14:ligatures w14:val="none"/>
          </w:rPr>
          <w:t>www.aoecdata.org/ExpCodeLookup.aspx</w:t>
        </w:r>
      </w:hyperlink>
    </w:p>
    <w:p w:rsidR="00A57E5F" w:rsidRPr="00BB7287" w:rsidRDefault="00A57E5F" w:rsidP="00A57E5F">
      <w:pPr>
        <w:rPr>
          <w:color w:val="auto"/>
          <w:sz w:val="18"/>
          <w:szCs w:val="18"/>
          <w14:ligatures w14:val="none"/>
        </w:rPr>
      </w:pPr>
      <w:r w:rsidRPr="00BB7287">
        <w:rPr>
          <w:color w:val="auto"/>
          <w:sz w:val="18"/>
          <w:szCs w:val="18"/>
          <w14:ligatures w14:val="none"/>
        </w:rPr>
        <w:t xml:space="preserve">8. </w:t>
      </w:r>
      <w:proofErr w:type="spellStart"/>
      <w:r w:rsidRPr="00BB7287">
        <w:rPr>
          <w:color w:val="auto"/>
          <w:sz w:val="18"/>
          <w:szCs w:val="18"/>
          <w14:ligatures w14:val="none"/>
        </w:rPr>
        <w:t>Sastre</w:t>
      </w:r>
      <w:proofErr w:type="spellEnd"/>
      <w:r w:rsidRPr="00BB7287">
        <w:rPr>
          <w:color w:val="auto"/>
          <w:sz w:val="18"/>
          <w:szCs w:val="18"/>
          <w14:ligatures w14:val="none"/>
        </w:rPr>
        <w:t xml:space="preserve"> et al. Airway response to chlorine inhalation (bleach) among cleaning workers with and without bronchial </w:t>
      </w:r>
      <w:proofErr w:type="spellStart"/>
      <w:r w:rsidRPr="00BB7287">
        <w:rPr>
          <w:color w:val="auto"/>
          <w:sz w:val="18"/>
          <w:szCs w:val="18"/>
          <w14:ligatures w14:val="none"/>
        </w:rPr>
        <w:t>hyperrespon</w:t>
      </w:r>
      <w:r w:rsidR="00687E54">
        <w:rPr>
          <w:color w:val="auto"/>
          <w:sz w:val="18"/>
          <w:szCs w:val="18"/>
          <w14:ligatures w14:val="none"/>
        </w:rPr>
        <w:t>siveness</w:t>
      </w:r>
      <w:proofErr w:type="spellEnd"/>
      <w:r w:rsidR="00687E54">
        <w:rPr>
          <w:color w:val="auto"/>
          <w:sz w:val="18"/>
          <w:szCs w:val="18"/>
          <w14:ligatures w14:val="none"/>
        </w:rPr>
        <w:t xml:space="preserve">. Am J </w:t>
      </w:r>
      <w:proofErr w:type="spellStart"/>
      <w:r w:rsidR="00687E54">
        <w:rPr>
          <w:color w:val="auto"/>
          <w:sz w:val="18"/>
          <w:szCs w:val="18"/>
          <w14:ligatures w14:val="none"/>
        </w:rPr>
        <w:t>Ind</w:t>
      </w:r>
      <w:proofErr w:type="spellEnd"/>
      <w:r w:rsidR="00687E54">
        <w:rPr>
          <w:color w:val="auto"/>
          <w:sz w:val="18"/>
          <w:szCs w:val="18"/>
          <w14:ligatures w14:val="none"/>
        </w:rPr>
        <w:t xml:space="preserve"> Med. 2011</w:t>
      </w:r>
      <w:bookmarkStart w:id="0" w:name="_GoBack"/>
      <w:bookmarkEnd w:id="0"/>
      <w:r w:rsidRPr="00BB7287">
        <w:rPr>
          <w:color w:val="auto"/>
          <w:sz w:val="18"/>
          <w:szCs w:val="18"/>
          <w14:ligatures w14:val="none"/>
        </w:rPr>
        <w:t>;54(4):293-9.</w:t>
      </w:r>
    </w:p>
    <w:p w:rsidR="00A57E5F" w:rsidRPr="00BB7287" w:rsidRDefault="00A57E5F" w:rsidP="00A57E5F">
      <w:pPr>
        <w:rPr>
          <w:color w:val="auto"/>
          <w:sz w:val="18"/>
          <w:szCs w:val="18"/>
          <w14:ligatures w14:val="none"/>
        </w:rPr>
      </w:pPr>
      <w:r w:rsidRPr="00BB7287">
        <w:rPr>
          <w:color w:val="auto"/>
          <w:sz w:val="18"/>
          <w:szCs w:val="18"/>
          <w14:ligatures w14:val="none"/>
        </w:rPr>
        <w:t xml:space="preserve">9. Moorman et al. National Surveillance of Asthma: United </w:t>
      </w:r>
    </w:p>
    <w:p w:rsidR="00A57E5F" w:rsidRPr="00BB7287" w:rsidRDefault="00A57E5F" w:rsidP="00A57E5F">
      <w:pPr>
        <w:rPr>
          <w:color w:val="auto"/>
          <w:sz w:val="18"/>
          <w:szCs w:val="18"/>
          <w14:ligatures w14:val="none"/>
        </w:rPr>
      </w:pPr>
      <w:r w:rsidRPr="00BB7287">
        <w:rPr>
          <w:color w:val="auto"/>
          <w:sz w:val="18"/>
          <w:szCs w:val="18"/>
          <w14:ligatures w14:val="none"/>
        </w:rPr>
        <w:t xml:space="preserve">States, 2001–2010. </w:t>
      </w:r>
      <w:proofErr w:type="gramStart"/>
      <w:r w:rsidRPr="00BB7287">
        <w:rPr>
          <w:color w:val="auto"/>
          <w:sz w:val="18"/>
          <w:szCs w:val="18"/>
          <w14:ligatures w14:val="none"/>
        </w:rPr>
        <w:t>National Center for Health Statistics.</w:t>
      </w:r>
      <w:proofErr w:type="gramEnd"/>
      <w:r w:rsidRPr="00BB7287">
        <w:rPr>
          <w:color w:val="auto"/>
          <w:sz w:val="18"/>
          <w:szCs w:val="18"/>
          <w14:ligatures w14:val="none"/>
        </w:rPr>
        <w:t xml:space="preserve"> </w:t>
      </w:r>
      <w:proofErr w:type="gramStart"/>
      <w:r w:rsidRPr="00BB7287">
        <w:rPr>
          <w:color w:val="auto"/>
          <w:sz w:val="18"/>
          <w:szCs w:val="18"/>
          <w14:ligatures w14:val="none"/>
        </w:rPr>
        <w:t>Vital Health Stat 3(35).</w:t>
      </w:r>
      <w:proofErr w:type="gramEnd"/>
      <w:r w:rsidRPr="00BB7287">
        <w:rPr>
          <w:color w:val="auto"/>
          <w:sz w:val="18"/>
          <w:szCs w:val="18"/>
          <w14:ligatures w14:val="none"/>
        </w:rPr>
        <w:t xml:space="preserve"> 2012.</w:t>
      </w:r>
    </w:p>
    <w:p w:rsidR="00A57E5F" w:rsidRPr="00BB7287" w:rsidRDefault="00A57E5F" w:rsidP="00A57E5F">
      <w:pPr>
        <w:rPr>
          <w:rFonts w:ascii="Times New Roman" w:hAnsi="Times New Roman"/>
          <w:color w:val="auto"/>
          <w14:ligatures w14:val="none"/>
        </w:rPr>
      </w:pPr>
      <w:proofErr w:type="gramStart"/>
      <w:r w:rsidRPr="00BB7287">
        <w:rPr>
          <w:color w:val="auto"/>
          <w:sz w:val="18"/>
          <w:szCs w:val="18"/>
          <w14:ligatures w14:val="none"/>
        </w:rPr>
        <w:t>10. Massachusetts Department of Public Health.</w:t>
      </w:r>
      <w:proofErr w:type="gramEnd"/>
      <w:r w:rsidRPr="00BB7287">
        <w:rPr>
          <w:color w:val="auto"/>
          <w:sz w:val="18"/>
          <w:szCs w:val="18"/>
          <w14:ligatures w14:val="none"/>
        </w:rPr>
        <w:t xml:space="preserve"> </w:t>
      </w:r>
      <w:proofErr w:type="gramStart"/>
      <w:r w:rsidRPr="00BB7287">
        <w:rPr>
          <w:color w:val="auto"/>
          <w:sz w:val="18"/>
          <w:szCs w:val="18"/>
          <w14:ligatures w14:val="none"/>
        </w:rPr>
        <w:t>[2009]. Burden of Asthma in Massachusetts.</w:t>
      </w:r>
      <w:proofErr w:type="gramEnd"/>
      <w:r w:rsidRPr="00BB7287">
        <w:rPr>
          <w:color w:val="auto"/>
          <w:sz w:val="18"/>
          <w:szCs w:val="18"/>
          <w14:ligatures w14:val="none"/>
        </w:rPr>
        <w:t xml:space="preserve">  </w:t>
      </w:r>
      <w:hyperlink r:id="rId24" w:history="1">
        <w:r w:rsidRPr="00BB7287">
          <w:rPr>
            <w:rStyle w:val="Hyperlink"/>
            <w:color w:val="auto"/>
            <w:sz w:val="18"/>
            <w:szCs w:val="18"/>
            <w14:ligatures w14:val="none"/>
          </w:rPr>
          <w:t>www.mass.gov/dph/asthma</w:t>
        </w:r>
      </w:hyperlink>
    </w:p>
    <w:p w:rsidR="00A57E5F" w:rsidRPr="00BB7287" w:rsidRDefault="00A57E5F" w:rsidP="00A57E5F">
      <w:pPr>
        <w:widowControl w:val="0"/>
        <w:rPr>
          <w:color w:val="auto"/>
          <w14:ligatures w14:val="none"/>
        </w:rPr>
      </w:pPr>
      <w:r w:rsidRPr="00BB7287">
        <w:rPr>
          <w:color w:val="auto"/>
          <w14:ligatures w14:val="none"/>
        </w:rPr>
        <w:t> </w:t>
      </w:r>
    </w:p>
    <w:p w:rsidR="00A57E5F" w:rsidRPr="00BB7287" w:rsidRDefault="00A57E5F" w:rsidP="00A57E5F">
      <w:pPr>
        <w:pStyle w:val="Footer"/>
        <w:rPr>
          <w:i/>
          <w:iCs/>
          <w:color w:val="auto"/>
          <w:sz w:val="16"/>
          <w:szCs w:val="16"/>
          <w14:ligatures w14:val="none"/>
        </w:rPr>
      </w:pPr>
      <w:r w:rsidRPr="00BB7287">
        <w:rPr>
          <w:i/>
          <w:iCs/>
          <w:color w:val="auto"/>
          <w:sz w:val="16"/>
          <w:szCs w:val="16"/>
          <w14:ligatures w14:val="none"/>
        </w:rPr>
        <w:t>This work was supported by CDC Cooperative Agreement 5U60/OH008490. Contents are solely the responsibility of the authors and do not necessarily      represent the official views of CDC.</w:t>
      </w:r>
    </w:p>
    <w:p w:rsidR="00A57E5F" w:rsidRPr="00BB7287" w:rsidRDefault="00A57E5F" w:rsidP="00A57E5F">
      <w:pPr>
        <w:widowControl w:val="0"/>
        <w:rPr>
          <w:color w:val="auto"/>
          <w14:ligatures w14:val="none"/>
        </w:rPr>
      </w:pPr>
      <w:r w:rsidRPr="00BB7287">
        <w:rPr>
          <w:color w:val="auto"/>
          <w14:ligatures w14:val="none"/>
        </w:rPr>
        <w:t> </w:t>
      </w:r>
    </w:p>
    <w:p w:rsidR="00A57E5F" w:rsidRPr="00BB7287" w:rsidRDefault="00A57E5F" w:rsidP="00A57E5F">
      <w:pPr>
        <w:jc w:val="center"/>
        <w:rPr>
          <w:color w:val="auto"/>
          <w14:ligatures w14:val="none"/>
        </w:rPr>
      </w:pPr>
      <w:r w:rsidRPr="00BB7287">
        <w:rPr>
          <w:color w:val="auto"/>
          <w14:ligatures w14:val="none"/>
        </w:rPr>
        <w:t xml:space="preserve">Occupational Health Surveillance Program, 250 Washington St, 4th Floor, Boston, MA 02108 </w:t>
      </w:r>
    </w:p>
    <w:p w:rsidR="00A57E5F" w:rsidRPr="00BB7287" w:rsidRDefault="00A57E5F" w:rsidP="00A57E5F">
      <w:pPr>
        <w:jc w:val="center"/>
        <w:rPr>
          <w:color w:val="auto"/>
          <w14:ligatures w14:val="none"/>
        </w:rPr>
      </w:pPr>
      <w:r w:rsidRPr="00BB7287">
        <w:rPr>
          <w:color w:val="auto"/>
          <w14:ligatures w14:val="none"/>
        </w:rPr>
        <w:t>Tel: (617) 624-</w:t>
      </w:r>
      <w:proofErr w:type="gramStart"/>
      <w:r w:rsidRPr="00BB7287">
        <w:rPr>
          <w:color w:val="auto"/>
          <w14:ligatures w14:val="none"/>
        </w:rPr>
        <w:t>5632  |</w:t>
      </w:r>
      <w:proofErr w:type="gramEnd"/>
      <w:r w:rsidRPr="00BB7287">
        <w:rPr>
          <w:color w:val="auto"/>
          <w14:ligatures w14:val="none"/>
        </w:rPr>
        <w:t xml:space="preserve">  Fax: (617) 624-5696  |  www.mass.gov/dph/ohsp</w:t>
      </w:r>
    </w:p>
    <w:p w:rsidR="00A57E5F" w:rsidRDefault="00A57E5F"/>
    <w:sectPr w:rsidR="00A57E5F" w:rsidSect="00B33519">
      <w:pgSz w:w="12240" w:h="15840"/>
      <w:pgMar w:top="108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19"/>
    <w:rsid w:val="00015760"/>
    <w:rsid w:val="0004033C"/>
    <w:rsid w:val="002D303B"/>
    <w:rsid w:val="0045554D"/>
    <w:rsid w:val="004B79F5"/>
    <w:rsid w:val="005D6A94"/>
    <w:rsid w:val="00667A19"/>
    <w:rsid w:val="00687E54"/>
    <w:rsid w:val="00773399"/>
    <w:rsid w:val="007F43EF"/>
    <w:rsid w:val="0086583C"/>
    <w:rsid w:val="009C70C5"/>
    <w:rsid w:val="009E4AAE"/>
    <w:rsid w:val="00A02DF0"/>
    <w:rsid w:val="00A57E5F"/>
    <w:rsid w:val="00AF3A29"/>
    <w:rsid w:val="00B07E65"/>
    <w:rsid w:val="00B33519"/>
    <w:rsid w:val="00B415CA"/>
    <w:rsid w:val="00BD637A"/>
    <w:rsid w:val="00C236D3"/>
    <w:rsid w:val="00C4110F"/>
    <w:rsid w:val="00D62125"/>
    <w:rsid w:val="00DD3A3D"/>
    <w:rsid w:val="00DF2502"/>
    <w:rsid w:val="00F71542"/>
    <w:rsid w:val="00F8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5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E5F"/>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A57E5F"/>
    <w:rPr>
      <w:rFonts w:ascii="Tahoma" w:hAnsi="Tahoma" w:cs="Tahoma"/>
      <w:sz w:val="16"/>
      <w:szCs w:val="16"/>
    </w:rPr>
  </w:style>
  <w:style w:type="character" w:styleId="CommentReference">
    <w:name w:val="annotation reference"/>
    <w:basedOn w:val="DefaultParagraphFont"/>
    <w:uiPriority w:val="99"/>
    <w:semiHidden/>
    <w:unhideWhenUsed/>
    <w:rsid w:val="00A57E5F"/>
    <w:rPr>
      <w:sz w:val="16"/>
      <w:szCs w:val="16"/>
    </w:rPr>
  </w:style>
  <w:style w:type="paragraph" w:styleId="CommentText">
    <w:name w:val="annotation text"/>
    <w:basedOn w:val="Normal"/>
    <w:link w:val="CommentTextChar"/>
    <w:uiPriority w:val="99"/>
    <w:semiHidden/>
    <w:unhideWhenUsed/>
    <w:rsid w:val="00A57E5F"/>
    <w:pPr>
      <w:spacing w:line="240" w:lineRule="auto"/>
    </w:pPr>
  </w:style>
  <w:style w:type="character" w:customStyle="1" w:styleId="CommentTextChar">
    <w:name w:val="Comment Text Char"/>
    <w:basedOn w:val="DefaultParagraphFont"/>
    <w:link w:val="CommentText"/>
    <w:uiPriority w:val="99"/>
    <w:semiHidden/>
    <w:rsid w:val="00A57E5F"/>
    <w:rPr>
      <w:rFonts w:ascii="Calibri" w:eastAsia="Times New Roman" w:hAnsi="Calibri" w:cs="Times New Roman"/>
      <w:color w:val="000000"/>
      <w:kern w:val="28"/>
      <w:sz w:val="20"/>
      <w:szCs w:val="20"/>
      <w14:ligatures w14:val="standard"/>
      <w14:cntxtAlts/>
    </w:rPr>
  </w:style>
  <w:style w:type="character" w:styleId="Hyperlink">
    <w:name w:val="Hyperlink"/>
    <w:basedOn w:val="DefaultParagraphFont"/>
    <w:uiPriority w:val="99"/>
    <w:unhideWhenUsed/>
    <w:rsid w:val="00A57E5F"/>
    <w:rPr>
      <w:color w:val="0000FF"/>
      <w:u w:val="single"/>
    </w:rPr>
  </w:style>
  <w:style w:type="paragraph" w:styleId="Footer">
    <w:name w:val="footer"/>
    <w:basedOn w:val="Normal"/>
    <w:link w:val="FooterChar"/>
    <w:uiPriority w:val="99"/>
    <w:semiHidden/>
    <w:unhideWhenUsed/>
    <w:rsid w:val="00A57E5F"/>
    <w:pPr>
      <w:tabs>
        <w:tab w:val="center" w:pos="4320"/>
        <w:tab w:val="right" w:pos="8640"/>
      </w:tabs>
      <w:spacing w:after="0"/>
    </w:pPr>
    <w:rPr>
      <w:rFonts w:ascii="Times New Roman" w:hAnsi="Times New Roman"/>
    </w:rPr>
  </w:style>
  <w:style w:type="character" w:customStyle="1" w:styleId="FooterChar">
    <w:name w:val="Footer Char"/>
    <w:basedOn w:val="DefaultParagraphFont"/>
    <w:link w:val="Footer"/>
    <w:uiPriority w:val="99"/>
    <w:semiHidden/>
    <w:rsid w:val="00A57E5F"/>
    <w:rPr>
      <w:rFonts w:ascii="Times New Roman" w:eastAsia="Times New Roman" w:hAnsi="Times New Roman" w:cs="Times New Roman"/>
      <w:color w:val="000000"/>
      <w:kern w:val="28"/>
      <w:sz w:val="20"/>
      <w:szCs w:val="20"/>
      <w14:ligatures w14:val="standard"/>
      <w14:cntxtAlts/>
    </w:rPr>
  </w:style>
  <w:style w:type="paragraph" w:customStyle="1" w:styleId="Pa0">
    <w:name w:val="Pa0"/>
    <w:basedOn w:val="Normal"/>
    <w:rsid w:val="00A57E5F"/>
    <w:pPr>
      <w:spacing w:after="0" w:line="231"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5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E5F"/>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A57E5F"/>
    <w:rPr>
      <w:rFonts w:ascii="Tahoma" w:hAnsi="Tahoma" w:cs="Tahoma"/>
      <w:sz w:val="16"/>
      <w:szCs w:val="16"/>
    </w:rPr>
  </w:style>
  <w:style w:type="character" w:styleId="CommentReference">
    <w:name w:val="annotation reference"/>
    <w:basedOn w:val="DefaultParagraphFont"/>
    <w:uiPriority w:val="99"/>
    <w:semiHidden/>
    <w:unhideWhenUsed/>
    <w:rsid w:val="00A57E5F"/>
    <w:rPr>
      <w:sz w:val="16"/>
      <w:szCs w:val="16"/>
    </w:rPr>
  </w:style>
  <w:style w:type="paragraph" w:styleId="CommentText">
    <w:name w:val="annotation text"/>
    <w:basedOn w:val="Normal"/>
    <w:link w:val="CommentTextChar"/>
    <w:uiPriority w:val="99"/>
    <w:semiHidden/>
    <w:unhideWhenUsed/>
    <w:rsid w:val="00A57E5F"/>
    <w:pPr>
      <w:spacing w:line="240" w:lineRule="auto"/>
    </w:pPr>
  </w:style>
  <w:style w:type="character" w:customStyle="1" w:styleId="CommentTextChar">
    <w:name w:val="Comment Text Char"/>
    <w:basedOn w:val="DefaultParagraphFont"/>
    <w:link w:val="CommentText"/>
    <w:uiPriority w:val="99"/>
    <w:semiHidden/>
    <w:rsid w:val="00A57E5F"/>
    <w:rPr>
      <w:rFonts w:ascii="Calibri" w:eastAsia="Times New Roman" w:hAnsi="Calibri" w:cs="Times New Roman"/>
      <w:color w:val="000000"/>
      <w:kern w:val="28"/>
      <w:sz w:val="20"/>
      <w:szCs w:val="20"/>
      <w14:ligatures w14:val="standard"/>
      <w14:cntxtAlts/>
    </w:rPr>
  </w:style>
  <w:style w:type="character" w:styleId="Hyperlink">
    <w:name w:val="Hyperlink"/>
    <w:basedOn w:val="DefaultParagraphFont"/>
    <w:uiPriority w:val="99"/>
    <w:unhideWhenUsed/>
    <w:rsid w:val="00A57E5F"/>
    <w:rPr>
      <w:color w:val="0000FF"/>
      <w:u w:val="single"/>
    </w:rPr>
  </w:style>
  <w:style w:type="paragraph" w:styleId="Footer">
    <w:name w:val="footer"/>
    <w:basedOn w:val="Normal"/>
    <w:link w:val="FooterChar"/>
    <w:uiPriority w:val="99"/>
    <w:semiHidden/>
    <w:unhideWhenUsed/>
    <w:rsid w:val="00A57E5F"/>
    <w:pPr>
      <w:tabs>
        <w:tab w:val="center" w:pos="4320"/>
        <w:tab w:val="right" w:pos="8640"/>
      </w:tabs>
      <w:spacing w:after="0"/>
    </w:pPr>
    <w:rPr>
      <w:rFonts w:ascii="Times New Roman" w:hAnsi="Times New Roman"/>
    </w:rPr>
  </w:style>
  <w:style w:type="character" w:customStyle="1" w:styleId="FooterChar">
    <w:name w:val="Footer Char"/>
    <w:basedOn w:val="DefaultParagraphFont"/>
    <w:link w:val="Footer"/>
    <w:uiPriority w:val="99"/>
    <w:semiHidden/>
    <w:rsid w:val="00A57E5F"/>
    <w:rPr>
      <w:rFonts w:ascii="Times New Roman" w:eastAsia="Times New Roman" w:hAnsi="Times New Roman" w:cs="Times New Roman"/>
      <w:color w:val="000000"/>
      <w:kern w:val="28"/>
      <w:sz w:val="20"/>
      <w:szCs w:val="20"/>
      <w14:ligatures w14:val="standard"/>
      <w14:cntxtAlts/>
    </w:rPr>
  </w:style>
  <w:style w:type="paragraph" w:customStyle="1" w:styleId="Pa0">
    <w:name w:val="Pa0"/>
    <w:basedOn w:val="Normal"/>
    <w:rsid w:val="00A57E5F"/>
    <w:pPr>
      <w:spacing w:after="0" w:line="23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9419">
      <w:bodyDiv w:val="1"/>
      <w:marLeft w:val="0"/>
      <w:marRight w:val="0"/>
      <w:marTop w:val="0"/>
      <w:marBottom w:val="0"/>
      <w:divBdr>
        <w:top w:val="none" w:sz="0" w:space="0" w:color="auto"/>
        <w:left w:val="none" w:sz="0" w:space="0" w:color="auto"/>
        <w:bottom w:val="none" w:sz="0" w:space="0" w:color="auto"/>
        <w:right w:val="none" w:sz="0" w:space="0" w:color="auto"/>
      </w:divBdr>
    </w:div>
    <w:div w:id="396249336">
      <w:bodyDiv w:val="1"/>
      <w:marLeft w:val="0"/>
      <w:marRight w:val="0"/>
      <w:marTop w:val="0"/>
      <w:marBottom w:val="0"/>
      <w:divBdr>
        <w:top w:val="none" w:sz="0" w:space="0" w:color="auto"/>
        <w:left w:val="none" w:sz="0" w:space="0" w:color="auto"/>
        <w:bottom w:val="none" w:sz="0" w:space="0" w:color="auto"/>
        <w:right w:val="none" w:sz="0" w:space="0" w:color="auto"/>
      </w:divBdr>
    </w:div>
    <w:div w:id="413821679">
      <w:bodyDiv w:val="1"/>
      <w:marLeft w:val="0"/>
      <w:marRight w:val="0"/>
      <w:marTop w:val="0"/>
      <w:marBottom w:val="0"/>
      <w:divBdr>
        <w:top w:val="none" w:sz="0" w:space="0" w:color="auto"/>
        <w:left w:val="none" w:sz="0" w:space="0" w:color="auto"/>
        <w:bottom w:val="none" w:sz="0" w:space="0" w:color="auto"/>
        <w:right w:val="none" w:sz="0" w:space="0" w:color="auto"/>
      </w:divBdr>
    </w:div>
    <w:div w:id="540479239">
      <w:bodyDiv w:val="1"/>
      <w:marLeft w:val="0"/>
      <w:marRight w:val="0"/>
      <w:marTop w:val="0"/>
      <w:marBottom w:val="0"/>
      <w:divBdr>
        <w:top w:val="none" w:sz="0" w:space="0" w:color="auto"/>
        <w:left w:val="none" w:sz="0" w:space="0" w:color="auto"/>
        <w:bottom w:val="none" w:sz="0" w:space="0" w:color="auto"/>
        <w:right w:val="none" w:sz="0" w:space="0" w:color="auto"/>
      </w:divBdr>
    </w:div>
    <w:div w:id="596258845">
      <w:bodyDiv w:val="1"/>
      <w:marLeft w:val="0"/>
      <w:marRight w:val="0"/>
      <w:marTop w:val="0"/>
      <w:marBottom w:val="0"/>
      <w:divBdr>
        <w:top w:val="none" w:sz="0" w:space="0" w:color="auto"/>
        <w:left w:val="none" w:sz="0" w:space="0" w:color="auto"/>
        <w:bottom w:val="none" w:sz="0" w:space="0" w:color="auto"/>
        <w:right w:val="none" w:sz="0" w:space="0" w:color="auto"/>
      </w:divBdr>
    </w:div>
    <w:div w:id="636031972">
      <w:bodyDiv w:val="1"/>
      <w:marLeft w:val="0"/>
      <w:marRight w:val="0"/>
      <w:marTop w:val="0"/>
      <w:marBottom w:val="0"/>
      <w:divBdr>
        <w:top w:val="none" w:sz="0" w:space="0" w:color="auto"/>
        <w:left w:val="none" w:sz="0" w:space="0" w:color="auto"/>
        <w:bottom w:val="none" w:sz="0" w:space="0" w:color="auto"/>
        <w:right w:val="none" w:sz="0" w:space="0" w:color="auto"/>
      </w:divBdr>
    </w:div>
    <w:div w:id="747769447">
      <w:bodyDiv w:val="1"/>
      <w:marLeft w:val="0"/>
      <w:marRight w:val="0"/>
      <w:marTop w:val="0"/>
      <w:marBottom w:val="0"/>
      <w:divBdr>
        <w:top w:val="none" w:sz="0" w:space="0" w:color="auto"/>
        <w:left w:val="none" w:sz="0" w:space="0" w:color="auto"/>
        <w:bottom w:val="none" w:sz="0" w:space="0" w:color="auto"/>
        <w:right w:val="none" w:sz="0" w:space="0" w:color="auto"/>
      </w:divBdr>
    </w:div>
    <w:div w:id="841553379">
      <w:bodyDiv w:val="1"/>
      <w:marLeft w:val="0"/>
      <w:marRight w:val="0"/>
      <w:marTop w:val="0"/>
      <w:marBottom w:val="0"/>
      <w:divBdr>
        <w:top w:val="none" w:sz="0" w:space="0" w:color="auto"/>
        <w:left w:val="none" w:sz="0" w:space="0" w:color="auto"/>
        <w:bottom w:val="none" w:sz="0" w:space="0" w:color="auto"/>
        <w:right w:val="none" w:sz="0" w:space="0" w:color="auto"/>
      </w:divBdr>
    </w:div>
    <w:div w:id="858466131">
      <w:bodyDiv w:val="1"/>
      <w:marLeft w:val="0"/>
      <w:marRight w:val="0"/>
      <w:marTop w:val="0"/>
      <w:marBottom w:val="0"/>
      <w:divBdr>
        <w:top w:val="none" w:sz="0" w:space="0" w:color="auto"/>
        <w:left w:val="none" w:sz="0" w:space="0" w:color="auto"/>
        <w:bottom w:val="none" w:sz="0" w:space="0" w:color="auto"/>
        <w:right w:val="none" w:sz="0" w:space="0" w:color="auto"/>
      </w:divBdr>
    </w:div>
    <w:div w:id="1245844071">
      <w:bodyDiv w:val="1"/>
      <w:marLeft w:val="0"/>
      <w:marRight w:val="0"/>
      <w:marTop w:val="0"/>
      <w:marBottom w:val="0"/>
      <w:divBdr>
        <w:top w:val="none" w:sz="0" w:space="0" w:color="auto"/>
        <w:left w:val="none" w:sz="0" w:space="0" w:color="auto"/>
        <w:bottom w:val="none" w:sz="0" w:space="0" w:color="auto"/>
        <w:right w:val="none" w:sz="0" w:space="0" w:color="auto"/>
      </w:divBdr>
    </w:div>
    <w:div w:id="1367170280">
      <w:bodyDiv w:val="1"/>
      <w:marLeft w:val="0"/>
      <w:marRight w:val="0"/>
      <w:marTop w:val="0"/>
      <w:marBottom w:val="0"/>
      <w:divBdr>
        <w:top w:val="none" w:sz="0" w:space="0" w:color="auto"/>
        <w:left w:val="none" w:sz="0" w:space="0" w:color="auto"/>
        <w:bottom w:val="none" w:sz="0" w:space="0" w:color="auto"/>
        <w:right w:val="none" w:sz="0" w:space="0" w:color="auto"/>
      </w:divBdr>
    </w:div>
    <w:div w:id="1810593337">
      <w:bodyDiv w:val="1"/>
      <w:marLeft w:val="0"/>
      <w:marRight w:val="0"/>
      <w:marTop w:val="0"/>
      <w:marBottom w:val="0"/>
      <w:divBdr>
        <w:top w:val="none" w:sz="0" w:space="0" w:color="auto"/>
        <w:left w:val="none" w:sz="0" w:space="0" w:color="auto"/>
        <w:bottom w:val="none" w:sz="0" w:space="0" w:color="auto"/>
        <w:right w:val="none" w:sz="0" w:space="0" w:color="auto"/>
      </w:divBdr>
    </w:div>
    <w:div w:id="1918512181">
      <w:bodyDiv w:val="1"/>
      <w:marLeft w:val="0"/>
      <w:marRight w:val="0"/>
      <w:marTop w:val="0"/>
      <w:marBottom w:val="0"/>
      <w:divBdr>
        <w:top w:val="none" w:sz="0" w:space="0" w:color="auto"/>
        <w:left w:val="none" w:sz="0" w:space="0" w:color="auto"/>
        <w:bottom w:val="none" w:sz="0" w:space="0" w:color="auto"/>
        <w:right w:val="none" w:sz="0" w:space="0" w:color="auto"/>
      </w:divBdr>
    </w:div>
    <w:div w:id="1988320527">
      <w:bodyDiv w:val="1"/>
      <w:marLeft w:val="0"/>
      <w:marRight w:val="0"/>
      <w:marTop w:val="0"/>
      <w:marBottom w:val="0"/>
      <w:divBdr>
        <w:top w:val="none" w:sz="0" w:space="0" w:color="auto"/>
        <w:left w:val="none" w:sz="0" w:space="0" w:color="auto"/>
        <w:bottom w:val="none" w:sz="0" w:space="0" w:color="auto"/>
        <w:right w:val="none" w:sz="0" w:space="0" w:color="auto"/>
      </w:divBdr>
    </w:div>
    <w:div w:id="1992368986">
      <w:bodyDiv w:val="1"/>
      <w:marLeft w:val="0"/>
      <w:marRight w:val="0"/>
      <w:marTop w:val="0"/>
      <w:marBottom w:val="0"/>
      <w:divBdr>
        <w:top w:val="none" w:sz="0" w:space="0" w:color="auto"/>
        <w:left w:val="none" w:sz="0" w:space="0" w:color="auto"/>
        <w:bottom w:val="none" w:sz="0" w:space="0" w:color="auto"/>
        <w:right w:val="none" w:sz="0" w:space="0" w:color="auto"/>
      </w:divBdr>
    </w:div>
    <w:div w:id="20714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yperlink" TargetMode="External" Target="http://www.cdc.gov/niosh/docs/2015-103/pdf/2015-103.pdf"/>
  <Relationship Id="rId15" Type="http://schemas.openxmlformats.org/officeDocument/2006/relationships/hyperlink" TargetMode="External" Target="http://www.cdc.gov/niosh/docs/2015-102/default.html"/>
  <Relationship Id="rId16" Type="http://schemas.openxmlformats.org/officeDocument/2006/relationships/hyperlink" TargetMode="External" Target="http://www.uml.edu/safeHC"/>
  <Relationship Id="rId17" Type="http://schemas.openxmlformats.org/officeDocument/2006/relationships/hyperlink" TargetMode="External" Target="https://urldefense.proofpoint.com/v2/url?u=http-3A__madirectcare.com_online-2Dlearning_cleaning-2Dfor-2Dconsumers-2Dwith-2Dasthma&amp;d=AwMFAg&amp;c=TqceLeU8_c9CVUat-eLTFu19-lyGiWSvB_skZXlxt8Q&amp;r=V32GGflOJzJ5a2k28m3IGOfcANpsYEkR4H0Vayo-OMo&amp;m=jiSC5cum9bHOw969XMHQIF0JNJ52viuK5I41NjjA0A0&amp;s=zz82yf_n23zYUB-xQkc34OB47xeSb5rbuXQGpp3Xlpk&amp;e="/>
  <Relationship Id="rId18" Type="http://schemas.openxmlformats.org/officeDocument/2006/relationships/hyperlink" TargetMode="External" Target="https://www.uml.edu/docs/Safe-HC-Resources-Cleaning-for-home_tcm18-187363.pdf"/>
  <Relationship Id="rId19" Type="http://schemas.openxmlformats.org/officeDocument/2006/relationships/hyperlink" TargetMode="External" Target="http://www.bls.gov/news.release/ecopro.toc.htmC:/Users/KFitzsimmons/Documents/My%20Meetings"/>
  <Relationship Id="rId2" Type="http://schemas.openxmlformats.org/officeDocument/2006/relationships/styles" Target="styles.xml"/>
  <Relationship Id="rId20" Type="http://schemas.openxmlformats.org/officeDocument/2006/relationships/hyperlink" TargetMode="External" Target="http://www.phinational.org/"/>
  <Relationship Id="rId21" Type="http://schemas.openxmlformats.org/officeDocument/2006/relationships/hyperlink" TargetMode="External" Target="http://www.onetonline.org/find/"/>
  <Relationship Id="rId22" Type="http://schemas.openxmlformats.org/officeDocument/2006/relationships/hyperlink" TargetMode="External" Target="http://data.bls.gov/cgi-bin/print.pl/oes/current/oes_ma.htm"/>
  <Relationship Id="rId23" Type="http://schemas.openxmlformats.org/officeDocument/2006/relationships/hyperlink" TargetMode="External" Target="http://www.aoecdata.org/ExpCodeLookup.aspx"/>
  <Relationship Id="rId24" Type="http://schemas.openxmlformats.org/officeDocument/2006/relationships/hyperlink" TargetMode="External" Target="http://www.mass.gov/dph/asthma"/>
  <Relationship Id="rId25" Type="http://schemas.openxmlformats.org/officeDocument/2006/relationships/fontTable" Target="fontTable.xml"/>
  <Relationship Id="rId26"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hyperlink" TargetMode="External" Target="http://www.mass.gov/dph/hsp"/>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0387-06F4-4E0C-91F1-A8CEC6ED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2016-09-19T13:53:00Z</dcterms:created>
  <dc:creator>JL</dc:creator>
  <lastModifiedBy>Kathleen.Fitzsimmons</lastModifiedBy>
  <dcterms:modified xsi:type="dcterms:W3CDTF">2016-09-19T14:15:00Z</dcterms:modified>
  <revision>7</revision>
</coreProperties>
</file>