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500B" w14:textId="34EB8EBC" w:rsidR="00A11BD9" w:rsidRPr="00015F31" w:rsidRDefault="000664C6" w:rsidP="003E619E">
      <w:pPr>
        <w:spacing w:after="0" w:line="240" w:lineRule="auto"/>
        <w:rPr>
          <w:rFonts w:cstheme="minorHAnsi"/>
          <w:b/>
          <w:bCs/>
        </w:rPr>
      </w:pPr>
      <w:r w:rsidRPr="00015F31">
        <w:rPr>
          <w:rFonts w:cstheme="minorHAnsi"/>
          <w:b/>
          <w:bCs/>
        </w:rPr>
        <w:t xml:space="preserve">Banner- </w:t>
      </w:r>
      <w:r w:rsidR="00971EDD" w:rsidRPr="00015F31">
        <w:rPr>
          <w:rFonts w:cstheme="minorHAnsi"/>
          <w:b/>
          <w:bCs/>
        </w:rPr>
        <w:t xml:space="preserve">Occupational </w:t>
      </w:r>
      <w:r w:rsidR="00C53F19" w:rsidRPr="00015F31">
        <w:rPr>
          <w:rFonts w:cstheme="minorHAnsi"/>
          <w:b/>
          <w:bCs/>
        </w:rPr>
        <w:t>Lung Disease Bulletin</w:t>
      </w:r>
      <w:r w:rsidR="00F37AB1" w:rsidRPr="00015F31">
        <w:rPr>
          <w:rFonts w:cstheme="minorHAnsi"/>
          <w:b/>
          <w:bCs/>
        </w:rPr>
        <w:t xml:space="preserve"> for Healthcare Providers</w:t>
      </w:r>
    </w:p>
    <w:p w14:paraId="4BCF8F9F" w14:textId="2C04E0CA" w:rsidR="00B15D9A" w:rsidRPr="00015F31" w:rsidRDefault="00B15D9A" w:rsidP="003E619E">
      <w:pPr>
        <w:spacing w:after="0" w:line="240" w:lineRule="auto"/>
        <w:rPr>
          <w:rFonts w:cstheme="minorHAnsi"/>
        </w:rPr>
      </w:pPr>
      <w:r w:rsidRPr="00015F31">
        <w:rPr>
          <w:rFonts w:cstheme="minorHAnsi"/>
        </w:rPr>
        <w:t xml:space="preserve">Massachusetts Department of Public Health </w:t>
      </w:r>
    </w:p>
    <w:p w14:paraId="52306658" w14:textId="375699E5" w:rsidR="00B15D9A" w:rsidRPr="00015F31" w:rsidRDefault="00D02998" w:rsidP="003E619E">
      <w:pPr>
        <w:spacing w:after="0" w:line="240" w:lineRule="auto"/>
        <w:rPr>
          <w:rFonts w:cstheme="minorHAnsi"/>
        </w:rPr>
      </w:pPr>
      <w:r w:rsidRPr="00015F31">
        <w:rPr>
          <w:rFonts w:cstheme="minorHAnsi"/>
        </w:rPr>
        <w:t>Fall 2023</w:t>
      </w:r>
    </w:p>
    <w:p w14:paraId="6D995F28" w14:textId="77777777" w:rsidR="00907F91" w:rsidRPr="00015F31" w:rsidRDefault="00907F91" w:rsidP="00B15D9A">
      <w:pPr>
        <w:rPr>
          <w:rFonts w:cstheme="minorHAnsi"/>
        </w:rPr>
      </w:pPr>
    </w:p>
    <w:p w14:paraId="5302A4B5" w14:textId="07AF356A" w:rsidR="00FA2BBC" w:rsidRPr="00323DC2" w:rsidRDefault="00D02998" w:rsidP="00D02998">
      <w:pPr>
        <w:rPr>
          <w:rFonts w:cstheme="minorHAnsi"/>
          <w:b/>
          <w:bCs/>
          <w:sz w:val="28"/>
          <w:szCs w:val="28"/>
        </w:rPr>
      </w:pPr>
      <w:r w:rsidRPr="00323DC2">
        <w:rPr>
          <w:rFonts w:cstheme="minorHAnsi"/>
          <w:b/>
          <w:bCs/>
          <w:sz w:val="28"/>
          <w:szCs w:val="28"/>
        </w:rPr>
        <w:t>Death of Cannabis Production Worker Highlights the Under-Recognition of Work-Related Asthma: Healthcare Providers are Key Partners in Prevention</w:t>
      </w:r>
    </w:p>
    <w:p w14:paraId="62FC9AF1" w14:textId="28AA7623" w:rsidR="00FA2BBC" w:rsidRPr="00015F31" w:rsidRDefault="00FA2BBC" w:rsidP="00FA2BBC">
      <w:pPr>
        <w:rPr>
          <w:rFonts w:cstheme="minorHAnsi"/>
          <w:b/>
          <w:bCs/>
        </w:rPr>
      </w:pPr>
      <w:r w:rsidRPr="00015F31">
        <w:rPr>
          <w:rFonts w:cstheme="minorHAnsi"/>
          <w:b/>
          <w:bCs/>
        </w:rPr>
        <w:t>Case</w:t>
      </w:r>
      <w:r w:rsidR="00D02998" w:rsidRPr="00015F31">
        <w:rPr>
          <w:rFonts w:cstheme="minorHAnsi"/>
          <w:b/>
          <w:bCs/>
        </w:rPr>
        <w:t xml:space="preserve"> Story</w:t>
      </w:r>
    </w:p>
    <w:p w14:paraId="4F8F1069" w14:textId="77777777" w:rsidR="00D70AD6" w:rsidRPr="00015F31" w:rsidRDefault="00D70AD6" w:rsidP="00D70AD6">
      <w:pPr>
        <w:widowControl w:val="0"/>
        <w:spacing w:line="256" w:lineRule="auto"/>
        <w:rPr>
          <w:rFonts w:cstheme="minorHAnsi"/>
        </w:rPr>
      </w:pPr>
      <w:r w:rsidRPr="00015F31">
        <w:rPr>
          <w:rFonts w:cstheme="minorHAnsi"/>
        </w:rPr>
        <w:t xml:space="preserve">A 27-year-old White, non-Hispanic female with no history of asthma started work at an indoor cannabis* cultivation and processing facility in May 2021 – seven months later, she suffered a fatal work-related asthma attack. </w:t>
      </w:r>
    </w:p>
    <w:p w14:paraId="3E7564C9" w14:textId="77777777" w:rsidR="00D70AD6" w:rsidRPr="00015F31" w:rsidRDefault="00D70AD6" w:rsidP="00D70AD6">
      <w:pPr>
        <w:widowControl w:val="0"/>
        <w:spacing w:line="256" w:lineRule="auto"/>
        <w:rPr>
          <w:rFonts w:cstheme="minorHAnsi"/>
        </w:rPr>
      </w:pPr>
      <w:r w:rsidRPr="00015F31">
        <w:rPr>
          <w:rFonts w:cstheme="minorHAnsi"/>
        </w:rPr>
        <w:t xml:space="preserve">Upon starting employment, she counted final packaged cannabis products in storage vaults throughout the facility. Within 4 months, she reportedly experienced work-related cough, dyspnea, and rhinitis that worsened throughout the workday. In late July, her employer required SARS-CoV-2 testing due to respiratory and gastrointestinal symptoms. She was seen by urgent care and tested negative for SARS-CoV-2 but returned a week later with ongoing symptoms. Bilateral diffuse wheezes were noted. Chest </w:t>
      </w:r>
      <w:r w:rsidRPr="00015F31">
        <w:rPr>
          <w:rFonts w:cstheme="minorHAnsi"/>
        </w:rPr>
        <w:br/>
        <w:t xml:space="preserve">X-ray was normal. No information about her job (e.g., occupation, employer, industry) was noted in the urgent care records. </w:t>
      </w:r>
    </w:p>
    <w:p w14:paraId="38A8484A" w14:textId="6C6E1D1E" w:rsidR="00D70AD6" w:rsidRPr="00015F31" w:rsidRDefault="00D70AD6" w:rsidP="00D70AD6">
      <w:pPr>
        <w:widowControl w:val="0"/>
        <w:spacing w:line="256" w:lineRule="auto"/>
        <w:rPr>
          <w:rFonts w:cstheme="minorHAnsi"/>
        </w:rPr>
      </w:pPr>
      <w:r w:rsidRPr="00015F31">
        <w:rPr>
          <w:rFonts w:cstheme="minorHAnsi"/>
        </w:rPr>
        <w:t xml:space="preserve">Her respiratory symptoms became worse when she moved to a job in flower production, where dried cannabis was ground, and pre-rolls (i.e., cannabis cigarettes) were made. In November, after five weeks in flower production, she became acutely dyspneic at work and was transported by ambulance to an emergency department (ED). Her symptoms resolved with an albuterol nebulizer </w:t>
      </w:r>
      <w:proofErr w:type="spellStart"/>
      <w:r w:rsidRPr="00015F31">
        <w:rPr>
          <w:rFonts w:cstheme="minorHAnsi"/>
        </w:rPr>
        <w:t>en</w:t>
      </w:r>
      <w:proofErr w:type="spellEnd"/>
      <w:r w:rsidRPr="00015F31">
        <w:rPr>
          <w:rFonts w:cstheme="minorHAnsi"/>
        </w:rPr>
        <w:t xml:space="preserve"> route. She tested negative for SARS-CoV-2 and had a normal chest X-ray. Scattered faint bilateral wheezes were present. She told the ED provider she was concerned that she was allergic to something at work. The provider noted that she might be developing asthma, although no other information about her work or potential exposures was discussed. She was discharged with an albuterol inhaler, a five-day course of prednisone and cetirizine. She was instructed to follow up with her primary care provider and to return with worsening symptoms. No primary care provider was noted in the medical record. According to her mother, she continued using the prescribed inhaler almost exclusively at work and had noted that it was almost empty just prior to her fatal event.</w:t>
      </w:r>
    </w:p>
    <w:p w14:paraId="2AEA0D7C" w14:textId="2482379F" w:rsidR="00D70AD6" w:rsidRPr="00015F31" w:rsidRDefault="00D70AD6" w:rsidP="00D70AD6">
      <w:pPr>
        <w:widowControl w:val="0"/>
        <w:spacing w:line="256" w:lineRule="auto"/>
        <w:rPr>
          <w:rFonts w:cstheme="minorHAnsi"/>
        </w:rPr>
      </w:pPr>
      <w:r w:rsidRPr="00015F31">
        <w:rPr>
          <w:rFonts w:cstheme="minorHAnsi"/>
        </w:rPr>
        <w:t>On January 4, 2022, she became acutely dyspneic at work and ultimately stopped breathing and lost consciousness. She was transported to a hospital, where she remained on life support until she died three days later. It was concluded that a severe asthma attack resulted in respiratory failure, cardiac arrest and ultimately death</w:t>
      </w:r>
      <w:r w:rsidRPr="00BC6BFF">
        <w:rPr>
          <w:rFonts w:cstheme="minorHAnsi"/>
        </w:rPr>
        <w:t xml:space="preserve">. </w:t>
      </w:r>
      <w:r w:rsidR="00BC6BFF" w:rsidRPr="00BC6BFF">
        <w:t xml:space="preserve">For more information, </w:t>
      </w:r>
      <w:hyperlink r:id="rId8" w:history="1">
        <w:r w:rsidR="00BC6BFF" w:rsidRPr="00BC6BFF">
          <w:rPr>
            <w:rStyle w:val="Hyperlink"/>
          </w:rPr>
          <w:t>read the full report</w:t>
        </w:r>
      </w:hyperlink>
      <w:r w:rsidR="00BC6BFF" w:rsidRPr="00BC6BFF">
        <w:t>.</w:t>
      </w:r>
    </w:p>
    <w:p w14:paraId="35440F91" w14:textId="77777777" w:rsidR="00323DC2" w:rsidRDefault="00323DC2" w:rsidP="000C124F">
      <w:pPr>
        <w:widowControl w:val="0"/>
        <w:rPr>
          <w:rFonts w:cstheme="minorHAnsi"/>
          <w:b/>
          <w:bCs/>
        </w:rPr>
      </w:pPr>
    </w:p>
    <w:p w14:paraId="73BCA6D6" w14:textId="3B6538E2" w:rsidR="000C124F" w:rsidRPr="00015F31" w:rsidRDefault="000C124F" w:rsidP="000C124F">
      <w:pPr>
        <w:widowControl w:val="0"/>
        <w:rPr>
          <w:rFonts w:cstheme="minorHAnsi"/>
          <w:lang w:eastAsia="ko-KR"/>
        </w:rPr>
      </w:pPr>
      <w:r w:rsidRPr="00015F31">
        <w:rPr>
          <w:rFonts w:cstheme="minorHAnsi"/>
          <w:b/>
          <w:bCs/>
        </w:rPr>
        <w:t>How is the case relevant to you and your patients?</w:t>
      </w:r>
    </w:p>
    <w:p w14:paraId="27595A1A" w14:textId="77777777" w:rsidR="000C124F" w:rsidRPr="00015F31" w:rsidRDefault="000C124F" w:rsidP="000C124F">
      <w:pPr>
        <w:rPr>
          <w:rFonts w:cstheme="minorHAnsi"/>
          <w:b/>
          <w:bCs/>
        </w:rPr>
      </w:pPr>
      <w:r w:rsidRPr="00015F31">
        <w:rPr>
          <w:rFonts w:cstheme="minorHAnsi"/>
          <w:b/>
          <w:bCs/>
        </w:rPr>
        <w:t>Work-related asthma is common but often underrecognized.</w:t>
      </w:r>
      <w:r w:rsidRPr="00015F31">
        <w:rPr>
          <w:rFonts w:cstheme="minorHAnsi"/>
        </w:rPr>
        <w:br/>
        <w:t xml:space="preserve">Work-related asthma (WRA), which is asthma caused or exacerbated by exposures at work, is underrecognized in part because work-relatedness of symptoms and/or industry and occupation data are not routinely collected as part of the physical exam or documented in the medical record. </w:t>
      </w:r>
      <w:r w:rsidRPr="00015F31">
        <w:rPr>
          <w:rFonts w:cstheme="minorHAnsi"/>
        </w:rPr>
        <w:lastRenderedPageBreak/>
        <w:t>Approximately 17% of new-onset adult asthma cases are related to workplace exposures.</w:t>
      </w:r>
      <w:r w:rsidRPr="00015F31">
        <w:rPr>
          <w:rFonts w:cstheme="minorHAnsi"/>
          <w:vertAlign w:val="superscript"/>
        </w:rPr>
        <w:t xml:space="preserve">1 </w:t>
      </w:r>
      <w:r w:rsidRPr="00015F31">
        <w:rPr>
          <w:rFonts w:cstheme="minorHAnsi"/>
        </w:rPr>
        <w:t>Regardless of cause, it is estimated 22 to 58% of adults with asthma suffer work-related exacerbations.</w:t>
      </w:r>
      <w:r w:rsidRPr="00015F31">
        <w:rPr>
          <w:rFonts w:cstheme="minorHAnsi"/>
          <w:vertAlign w:val="superscript"/>
        </w:rPr>
        <w:t>1</w:t>
      </w:r>
      <w:r w:rsidRPr="00015F31">
        <w:rPr>
          <w:rFonts w:cstheme="minorHAnsi"/>
        </w:rPr>
        <w:t xml:space="preserve"> In Massachusetts, an estimated 200,000 adults have WRA.</w:t>
      </w:r>
      <w:r w:rsidRPr="00015F31">
        <w:rPr>
          <w:rFonts w:cstheme="minorHAnsi"/>
          <w:vertAlign w:val="superscript"/>
        </w:rPr>
        <w:t>2</w:t>
      </w:r>
    </w:p>
    <w:p w14:paraId="29E262C0" w14:textId="77777777" w:rsidR="000C124F" w:rsidRPr="00015F31" w:rsidDel="00F66AC4" w:rsidRDefault="000C124F" w:rsidP="000C124F">
      <w:pPr>
        <w:rPr>
          <w:rFonts w:cstheme="minorHAnsi"/>
          <w:b/>
          <w:bCs/>
        </w:rPr>
      </w:pPr>
      <w:r w:rsidRPr="00015F31">
        <w:rPr>
          <w:rFonts w:cstheme="minorHAnsi"/>
        </w:rPr>
        <w:t xml:space="preserve">Early recognition of WRA can lead to both medical and workplace interventions that improve patient outcomes and mitigate exposure to the source. With respect to the fatality in the case, early recognition of her WRA could have led to interventions that may have saved her life. </w:t>
      </w:r>
      <w:r w:rsidRPr="00015F31">
        <w:rPr>
          <w:rFonts w:cstheme="minorHAnsi"/>
        </w:rPr>
        <w:br/>
      </w:r>
    </w:p>
    <w:p w14:paraId="783F57A0" w14:textId="77777777" w:rsidR="008B6543" w:rsidRPr="00A132CC" w:rsidRDefault="008B6543" w:rsidP="008B6543">
      <w:pPr>
        <w:widowControl w:val="0"/>
        <w:rPr>
          <w:rFonts w:cstheme="minorHAnsi"/>
          <w:sz w:val="28"/>
          <w:szCs w:val="28"/>
          <w:lang w:eastAsia="ko-KR"/>
        </w:rPr>
      </w:pPr>
      <w:r w:rsidRPr="00A132CC">
        <w:rPr>
          <w:rFonts w:cstheme="minorHAnsi"/>
          <w:b/>
          <w:bCs/>
          <w:sz w:val="28"/>
          <w:szCs w:val="28"/>
        </w:rPr>
        <w:t>How is the case relevant to you and your patients?</w:t>
      </w:r>
    </w:p>
    <w:p w14:paraId="31119D92" w14:textId="77777777" w:rsidR="008B6543" w:rsidRPr="00015F31" w:rsidRDefault="008B6543" w:rsidP="008B6543">
      <w:pPr>
        <w:rPr>
          <w:rFonts w:cstheme="minorHAnsi"/>
          <w:b/>
          <w:bCs/>
        </w:rPr>
      </w:pPr>
      <w:r w:rsidRPr="00015F31">
        <w:rPr>
          <w:rFonts w:cstheme="minorHAnsi"/>
          <w:b/>
          <w:bCs/>
        </w:rPr>
        <w:t>Work-related asthma is common but often underrecognized.</w:t>
      </w:r>
      <w:r w:rsidRPr="00015F31">
        <w:rPr>
          <w:rFonts w:cstheme="minorHAnsi"/>
        </w:rPr>
        <w:br/>
        <w:t>Work-related asthma (WRA), which is asthma caused or exacerbated by exposures at work, is underrecognized in part because work-relatedness of symptoms and/or industry and occupation data are not routinely collected as part of the physical exam or documented in the medical record. Approximately 17% of new-onset adult asthma cases are related to workplace exposures.</w:t>
      </w:r>
      <w:r w:rsidRPr="00015F31">
        <w:rPr>
          <w:rFonts w:cstheme="minorHAnsi"/>
          <w:vertAlign w:val="superscript"/>
        </w:rPr>
        <w:t xml:space="preserve">1 </w:t>
      </w:r>
      <w:r w:rsidRPr="00015F31">
        <w:rPr>
          <w:rFonts w:cstheme="minorHAnsi"/>
        </w:rPr>
        <w:t>Regardless of cause, it is estimated 22 to 58% of adults with asthma suffer work-related exacerbations.</w:t>
      </w:r>
      <w:r w:rsidRPr="00015F31">
        <w:rPr>
          <w:rFonts w:cstheme="minorHAnsi"/>
          <w:vertAlign w:val="superscript"/>
        </w:rPr>
        <w:t>1</w:t>
      </w:r>
      <w:r w:rsidRPr="00015F31">
        <w:rPr>
          <w:rFonts w:cstheme="minorHAnsi"/>
        </w:rPr>
        <w:t xml:space="preserve"> In Massachusetts, an estimated 200,000 adults have WRA.</w:t>
      </w:r>
      <w:r w:rsidRPr="00015F31">
        <w:rPr>
          <w:rFonts w:cstheme="minorHAnsi"/>
          <w:vertAlign w:val="superscript"/>
        </w:rPr>
        <w:t>2</w:t>
      </w:r>
    </w:p>
    <w:p w14:paraId="6419E594" w14:textId="0925B961" w:rsidR="007E366E" w:rsidRPr="00015F31" w:rsidRDefault="008B6543" w:rsidP="00DD4B15">
      <w:pPr>
        <w:rPr>
          <w:rFonts w:cstheme="minorHAnsi"/>
        </w:rPr>
      </w:pPr>
      <w:r w:rsidRPr="00015F31">
        <w:rPr>
          <w:rFonts w:cstheme="minorHAnsi"/>
        </w:rPr>
        <w:t xml:space="preserve">Early recognition of WRA can lead to both medical and workplace interventions that improve patient outcomes and mitigate exposure to the source. With respect to the fatality in the case, early recognition of her WRA could have led to interventions that may have saved her life. </w:t>
      </w:r>
    </w:p>
    <w:p w14:paraId="3492B01A" w14:textId="77777777" w:rsidR="00806B7B" w:rsidRDefault="00806B7B" w:rsidP="00C45C01">
      <w:pPr>
        <w:rPr>
          <w:rFonts w:cstheme="minorHAnsi"/>
          <w:b/>
          <w:bCs/>
        </w:rPr>
      </w:pPr>
    </w:p>
    <w:p w14:paraId="61757113" w14:textId="13796E8C" w:rsidR="00C45C01" w:rsidRPr="00A132CC" w:rsidRDefault="00C45C01" w:rsidP="00C45C01">
      <w:pPr>
        <w:rPr>
          <w:rFonts w:cstheme="minorHAnsi"/>
          <w:sz w:val="28"/>
          <w:szCs w:val="28"/>
          <w:lang w:eastAsia="ko-KR"/>
        </w:rPr>
      </w:pPr>
      <w:r w:rsidRPr="00A132CC">
        <w:rPr>
          <w:rFonts w:cstheme="minorHAnsi"/>
          <w:b/>
          <w:bCs/>
          <w:sz w:val="28"/>
          <w:szCs w:val="28"/>
        </w:rPr>
        <w:t>How is the cannabis industry relevant to you and your patients?</w:t>
      </w:r>
    </w:p>
    <w:p w14:paraId="717FE341" w14:textId="2086CFB7" w:rsidR="00C45C01" w:rsidRPr="00015F31" w:rsidRDefault="00C45C01" w:rsidP="00C45C01">
      <w:pPr>
        <w:rPr>
          <w:rFonts w:cstheme="minorHAnsi"/>
          <w:b/>
          <w:bCs/>
        </w:rPr>
      </w:pPr>
      <w:r w:rsidRPr="00015F31">
        <w:rPr>
          <w:rFonts w:cstheme="minorHAnsi"/>
          <w:b/>
          <w:bCs/>
        </w:rPr>
        <w:t>Cannabis legalization in Massachusetts led to new jobs – and new work-related hazards.</w:t>
      </w:r>
    </w:p>
    <w:p w14:paraId="4B75FF8C" w14:textId="14120C95" w:rsidR="00806B7B" w:rsidRDefault="00806B7B" w:rsidP="00C45C01">
      <w:pPr>
        <w:rPr>
          <w:rFonts w:cstheme="minorHAnsi"/>
        </w:rPr>
      </w:pPr>
      <w:r>
        <w:rPr>
          <w:rFonts w:cstheme="minorHAnsi"/>
        </w:rPr>
        <w:t xml:space="preserve">There is an </w:t>
      </w:r>
      <w:r w:rsidR="00C45C01" w:rsidRPr="00015F31">
        <w:rPr>
          <w:rFonts w:cstheme="minorHAnsi"/>
        </w:rPr>
        <w:t xml:space="preserve">image showing </w:t>
      </w:r>
      <w:r w:rsidR="00C26E3D" w:rsidRPr="00015F31">
        <w:rPr>
          <w:rFonts w:cstheme="minorHAnsi"/>
        </w:rPr>
        <w:t>timeline of cannabis legalization milestones</w:t>
      </w:r>
      <w:r>
        <w:rPr>
          <w:rFonts w:cstheme="minorHAnsi"/>
        </w:rPr>
        <w:t>:</w:t>
      </w:r>
      <w:r w:rsidR="00C35127" w:rsidRPr="00015F31">
        <w:rPr>
          <w:rFonts w:cstheme="minorHAnsi"/>
        </w:rPr>
        <w:t xml:space="preserve"> </w:t>
      </w:r>
    </w:p>
    <w:p w14:paraId="7519A200" w14:textId="77777777" w:rsidR="00806B7B" w:rsidRDefault="00C26E3D" w:rsidP="00C45C01">
      <w:pPr>
        <w:rPr>
          <w:rFonts w:cstheme="minorHAnsi"/>
        </w:rPr>
      </w:pPr>
      <w:r w:rsidRPr="00015F31">
        <w:rPr>
          <w:rFonts w:cstheme="minorHAnsi"/>
        </w:rPr>
        <w:t>20</w:t>
      </w:r>
      <w:r w:rsidR="00C35127" w:rsidRPr="00015F31">
        <w:rPr>
          <w:rFonts w:cstheme="minorHAnsi"/>
        </w:rPr>
        <w:t>1</w:t>
      </w:r>
      <w:r w:rsidRPr="00015F31">
        <w:rPr>
          <w:rFonts w:cstheme="minorHAnsi"/>
        </w:rPr>
        <w:t>2 – Legalization of medical marijuana use passes the vote</w:t>
      </w:r>
    </w:p>
    <w:p w14:paraId="3CC2B896" w14:textId="77777777" w:rsidR="00806B7B" w:rsidRDefault="00C26E3D" w:rsidP="00C45C01">
      <w:pPr>
        <w:rPr>
          <w:rFonts w:cstheme="minorHAnsi"/>
        </w:rPr>
      </w:pPr>
      <w:r w:rsidRPr="00015F31">
        <w:rPr>
          <w:rFonts w:cstheme="minorHAnsi"/>
        </w:rPr>
        <w:t>20</w:t>
      </w:r>
      <w:r w:rsidR="00C35127" w:rsidRPr="00015F31">
        <w:rPr>
          <w:rFonts w:cstheme="minorHAnsi"/>
        </w:rPr>
        <w:t>14 – First medical marijuana for cultivation granted, creating a new workforce in cannabis production,</w:t>
      </w:r>
    </w:p>
    <w:p w14:paraId="7463A793" w14:textId="77777777" w:rsidR="00806B7B" w:rsidRDefault="00C35127" w:rsidP="00C45C01">
      <w:pPr>
        <w:rPr>
          <w:rFonts w:cstheme="minorHAnsi"/>
        </w:rPr>
      </w:pPr>
      <w:r w:rsidRPr="00015F31">
        <w:rPr>
          <w:rFonts w:cstheme="minorHAnsi"/>
        </w:rPr>
        <w:t xml:space="preserve">2016 – Legalization of recreational </w:t>
      </w:r>
      <w:r w:rsidR="004570F2" w:rsidRPr="00015F31">
        <w:rPr>
          <w:rFonts w:cstheme="minorHAnsi"/>
        </w:rPr>
        <w:t>marijuana use passes the vote</w:t>
      </w:r>
      <w:r w:rsidR="004C7350" w:rsidRPr="00015F31">
        <w:rPr>
          <w:rFonts w:cstheme="minorHAnsi"/>
        </w:rPr>
        <w:t xml:space="preserve">, </w:t>
      </w:r>
    </w:p>
    <w:p w14:paraId="79DD2533" w14:textId="77777777" w:rsidR="00A132CC" w:rsidRDefault="004C7350" w:rsidP="00C45C01">
      <w:pPr>
        <w:rPr>
          <w:rFonts w:cstheme="minorHAnsi"/>
        </w:rPr>
      </w:pPr>
      <w:r w:rsidRPr="00015F31">
        <w:rPr>
          <w:rFonts w:cstheme="minorHAnsi"/>
        </w:rPr>
        <w:t>20</w:t>
      </w:r>
      <w:r w:rsidR="00C67D43" w:rsidRPr="00015F31">
        <w:rPr>
          <w:rFonts w:cstheme="minorHAnsi"/>
        </w:rPr>
        <w:t xml:space="preserve">18 - Forst recreational license for cultivation granted, expanding the cannabis production workforce, </w:t>
      </w:r>
    </w:p>
    <w:p w14:paraId="34AAB5ED" w14:textId="6DFC0F20" w:rsidR="00806B7B" w:rsidRDefault="00C67D43" w:rsidP="00C45C01">
      <w:pPr>
        <w:rPr>
          <w:rFonts w:cstheme="minorHAnsi"/>
        </w:rPr>
      </w:pPr>
      <w:r w:rsidRPr="00015F31">
        <w:rPr>
          <w:rFonts w:cstheme="minorHAnsi"/>
        </w:rPr>
        <w:t xml:space="preserve">2022 – First fatality among cannabis production workers. </w:t>
      </w:r>
    </w:p>
    <w:p w14:paraId="04254F3E" w14:textId="2E20A019" w:rsidR="00C67D43" w:rsidRPr="00015F31" w:rsidRDefault="00C67D43" w:rsidP="00C45C01">
      <w:pPr>
        <w:rPr>
          <w:rFonts w:cstheme="minorHAnsi"/>
        </w:rPr>
      </w:pPr>
      <w:r w:rsidRPr="00015F31">
        <w:rPr>
          <w:rFonts w:cstheme="minorHAnsi"/>
        </w:rPr>
        <w:t>As of July 2023, Massachusetts has more than 500 licensed cannabis industry employers that provide jobs to about 22,000 workers in cultivation (indoor and outdoor), manufacturing, delivery, retail, and independent testing settings</w:t>
      </w:r>
      <w:r w:rsidRPr="00015F31">
        <w:rPr>
          <w:rFonts w:cstheme="minorHAnsi"/>
          <w:vertAlign w:val="superscript"/>
        </w:rPr>
        <w:t>3</w:t>
      </w:r>
      <w:r w:rsidRPr="00015F31">
        <w:rPr>
          <w:rFonts w:cstheme="minorHAnsi"/>
        </w:rPr>
        <w:t>.</w:t>
      </w:r>
      <w:r w:rsidR="00CC7836" w:rsidRPr="00015F31">
        <w:rPr>
          <w:rFonts w:cstheme="minorHAnsi"/>
        </w:rPr>
        <w:t>]</w:t>
      </w:r>
    </w:p>
    <w:p w14:paraId="3CD75EFA" w14:textId="77777777" w:rsidR="00052C9A" w:rsidRDefault="00052C9A" w:rsidP="00891C74">
      <w:pPr>
        <w:rPr>
          <w:rFonts w:cstheme="minorHAnsi"/>
          <w:b/>
          <w:bCs/>
        </w:rPr>
      </w:pPr>
    </w:p>
    <w:p w14:paraId="32EE4834" w14:textId="4A97CE6F" w:rsidR="00891C74" w:rsidRPr="00015F31" w:rsidRDefault="00891C74" w:rsidP="00891C74">
      <w:pPr>
        <w:rPr>
          <w:rFonts w:cstheme="minorHAnsi"/>
        </w:rPr>
      </w:pPr>
      <w:r w:rsidRPr="00015F31">
        <w:rPr>
          <w:rFonts w:cstheme="minorHAnsi"/>
          <w:b/>
          <w:bCs/>
        </w:rPr>
        <w:t>Your patients might work in the cannabis production industry.</w:t>
      </w:r>
      <w:r w:rsidRPr="00015F31">
        <w:rPr>
          <w:rFonts w:cstheme="minorHAnsi"/>
        </w:rPr>
        <w:br/>
        <w:t xml:space="preserve">The legalized cannabis industry in Massachusetts is relatively new and continues to evolve. As the workforce continues to expand, you may see more patients who work in this sector. </w:t>
      </w:r>
    </w:p>
    <w:p w14:paraId="5AEBCD27" w14:textId="77777777" w:rsidR="00052C9A" w:rsidRDefault="00052C9A" w:rsidP="00891C74">
      <w:pPr>
        <w:rPr>
          <w:rFonts w:cstheme="minorHAnsi"/>
          <w:b/>
          <w:bCs/>
        </w:rPr>
      </w:pPr>
    </w:p>
    <w:p w14:paraId="7A54CB87" w14:textId="2D6370D1" w:rsidR="00891C74" w:rsidRPr="00015F31" w:rsidRDefault="00891C74" w:rsidP="00891C74">
      <w:pPr>
        <w:rPr>
          <w:rFonts w:cstheme="minorHAnsi"/>
        </w:rPr>
      </w:pPr>
      <w:r w:rsidRPr="00015F31">
        <w:rPr>
          <w:rFonts w:cstheme="minorHAnsi"/>
          <w:b/>
          <w:bCs/>
        </w:rPr>
        <w:t>They might be exposed to respiratory hazards at work.</w:t>
      </w:r>
      <w:r w:rsidRPr="00015F31">
        <w:rPr>
          <w:rFonts w:cstheme="minorHAnsi"/>
        </w:rPr>
        <w:br/>
        <w:t>In addition to the tragic fatality discussed above, we are also aware of non-fatal respiratory disease cases among Massachusetts workers in this industry. Cannabis industry workers can be routinely exposed to various occupational respiratory hazards, including cannabis dust, mold, volatile organic compounds (VOCs), pollen, bacterial endotoxins, pesticides, soil components, and cleaning disinfectants</w:t>
      </w:r>
      <w:r w:rsidRPr="00015F31">
        <w:rPr>
          <w:rFonts w:cstheme="minorHAnsi"/>
          <w:vertAlign w:val="superscript"/>
        </w:rPr>
        <w:t>4-5</w:t>
      </w:r>
      <w:r w:rsidRPr="00015F31">
        <w:rPr>
          <w:rFonts w:cstheme="minorHAnsi"/>
        </w:rPr>
        <w:t xml:space="preserve">, which can cause chronic disease, like asthma, if not addressed. Accurately identifying the cause of your patients’ respiratory symptoms is imperative to the management of disease processes. </w:t>
      </w:r>
    </w:p>
    <w:p w14:paraId="1BCE56F2" w14:textId="7ED1791D" w:rsidR="003C5B3F" w:rsidRPr="00015F31" w:rsidRDefault="00015F31" w:rsidP="00891C74">
      <w:pPr>
        <w:rPr>
          <w:rFonts w:cstheme="minorHAnsi"/>
        </w:rPr>
      </w:pPr>
      <w:r>
        <w:rPr>
          <w:rFonts w:cstheme="minorHAnsi"/>
        </w:rPr>
        <w:t>There is an image of a c</w:t>
      </w:r>
      <w:r w:rsidRPr="00015F31">
        <w:rPr>
          <w:rFonts w:cstheme="minorHAnsi"/>
        </w:rPr>
        <w:t>annabis production worker trimming marijuana leaves from dry buds</w:t>
      </w:r>
    </w:p>
    <w:p w14:paraId="6F4B5489" w14:textId="61EB80DA" w:rsidR="00CC7836" w:rsidRPr="00015F31" w:rsidRDefault="00CC7836" w:rsidP="00C45C01">
      <w:pPr>
        <w:rPr>
          <w:rFonts w:cstheme="minorHAnsi"/>
        </w:rPr>
      </w:pPr>
    </w:p>
    <w:p w14:paraId="28A3539F" w14:textId="0B5C3662" w:rsidR="002864AE" w:rsidRPr="00052C9A" w:rsidRDefault="006A0BC4" w:rsidP="00395CBE">
      <w:pPr>
        <w:rPr>
          <w:rFonts w:cstheme="minorHAnsi"/>
          <w:sz w:val="28"/>
          <w:szCs w:val="28"/>
        </w:rPr>
      </w:pPr>
      <w:r w:rsidRPr="00052C9A">
        <w:rPr>
          <w:rFonts w:cstheme="minorHAnsi"/>
          <w:b/>
          <w:bCs/>
          <w:sz w:val="28"/>
          <w:szCs w:val="28"/>
        </w:rPr>
        <w:t>How can you help your patients? </w:t>
      </w:r>
    </w:p>
    <w:p w14:paraId="01DB462B" w14:textId="7F88DB30" w:rsidR="00016344" w:rsidRPr="00015F31" w:rsidRDefault="00016344" w:rsidP="00016344">
      <w:pPr>
        <w:widowControl w:val="0"/>
        <w:rPr>
          <w:rFonts w:cstheme="minorHAnsi"/>
        </w:rPr>
      </w:pPr>
      <w:r w:rsidRPr="00015F31">
        <w:rPr>
          <w:rFonts w:cstheme="minorHAnsi"/>
          <w:b/>
          <w:bCs/>
        </w:rPr>
        <w:t>Ask your patients about the type of work they do and the conditions at their workplace. </w:t>
      </w:r>
      <w:r w:rsidRPr="00015F31">
        <w:rPr>
          <w:rFonts w:cstheme="minorHAnsi"/>
          <w:b/>
          <w:bCs/>
        </w:rPr>
        <w:br/>
      </w:r>
      <w:r w:rsidRPr="00015F31">
        <w:rPr>
          <w:rFonts w:cstheme="minorHAnsi"/>
        </w:rPr>
        <w:t>Ask your patients with new or worsening respiratory or allergic symptoms what they do for work and how it affects their health. WRA is underdiagnosed. Healthcare providers need to inquire about the work-relatedness of symptoms, even those that are mild since allergic symptoms can be precursors to respiratory disease. Determining the causal exposures will help guide diagnosis, treatment, and long-term management of the disease. </w:t>
      </w:r>
    </w:p>
    <w:p w14:paraId="541F82EA" w14:textId="6AB8CE32" w:rsidR="00016344" w:rsidRDefault="00073826" w:rsidP="00016344">
      <w:pPr>
        <w:spacing w:after="0"/>
        <w:rPr>
          <w:rFonts w:cstheme="minorHAnsi"/>
        </w:rPr>
      </w:pPr>
      <w:r>
        <w:rPr>
          <w:rFonts w:cstheme="minorHAnsi"/>
        </w:rPr>
        <w:t>There is an image of a healthcare provider talking to a patient.</w:t>
      </w:r>
    </w:p>
    <w:p w14:paraId="4ECB3AE4" w14:textId="77777777" w:rsidR="00073826" w:rsidRPr="00015F31" w:rsidRDefault="00073826" w:rsidP="00016344">
      <w:pPr>
        <w:spacing w:after="0"/>
        <w:rPr>
          <w:rFonts w:cstheme="minorHAnsi"/>
          <w:b/>
          <w:bCs/>
        </w:rPr>
      </w:pPr>
    </w:p>
    <w:p w14:paraId="57EE2AAF" w14:textId="7E6EAF1B" w:rsidR="00016344" w:rsidRPr="00015F31" w:rsidRDefault="00016344" w:rsidP="00016344">
      <w:pPr>
        <w:widowControl w:val="0"/>
        <w:spacing w:after="0"/>
        <w:rPr>
          <w:rFonts w:cstheme="minorHAnsi"/>
        </w:rPr>
      </w:pPr>
      <w:r w:rsidRPr="00015F31">
        <w:rPr>
          <w:rFonts w:cstheme="minorHAnsi"/>
          <w:b/>
          <w:bCs/>
        </w:rPr>
        <w:t>Perform diagnostic testing, as appropriate.</w:t>
      </w:r>
      <w:r w:rsidRPr="00015F31">
        <w:rPr>
          <w:rFonts w:cstheme="minorHAnsi"/>
        </w:rPr>
        <w:t xml:space="preserve"> </w:t>
      </w:r>
      <w:r w:rsidRPr="00015F31">
        <w:rPr>
          <w:rFonts w:cstheme="minorHAnsi"/>
        </w:rPr>
        <w:br/>
        <w:t>Diagnosis of workplace respiratory disease often requires additional testing such as allergy testing, pulmonary imaging, and/or spirometry.</w:t>
      </w:r>
      <w:r w:rsidRPr="00015F31">
        <w:rPr>
          <w:rFonts w:cstheme="minorHAnsi"/>
          <w:vertAlign w:val="superscript"/>
        </w:rPr>
        <w:t>6</w:t>
      </w:r>
      <w:r w:rsidRPr="00015F31">
        <w:rPr>
          <w:rFonts w:cstheme="minorHAnsi"/>
        </w:rPr>
        <w:t xml:space="preserve"> In general, allergies and sensitivities to substances in the workplace are diagnosed clinically by a temporal and spatial relationship to exposure and symptoms. Appropriate testing is used to confirm a diagnosis. Testing options include serial peak expiratory flow, pulmonary function testing, spirometry with response to a bronchodilator, bronchoprovocation, exhaled nitric oxide and skin prick testing.</w:t>
      </w:r>
    </w:p>
    <w:p w14:paraId="66E87269" w14:textId="77777777" w:rsidR="00016344" w:rsidRPr="00015F31" w:rsidRDefault="00016344" w:rsidP="00016344">
      <w:pPr>
        <w:widowControl w:val="0"/>
        <w:spacing w:after="0"/>
        <w:rPr>
          <w:rFonts w:cstheme="minorHAnsi"/>
        </w:rPr>
      </w:pPr>
    </w:p>
    <w:p w14:paraId="7E7A0321" w14:textId="77777777" w:rsidR="00016344" w:rsidRPr="00015F31" w:rsidRDefault="00016344" w:rsidP="00016344">
      <w:pPr>
        <w:rPr>
          <w:rFonts w:cstheme="minorHAnsi"/>
        </w:rPr>
      </w:pPr>
      <w:r w:rsidRPr="00015F31">
        <w:rPr>
          <w:rFonts w:cstheme="minorHAnsi"/>
          <w:i/>
          <w:iCs/>
        </w:rPr>
        <w:t>Currently, specific diagnostic testing of cannabis allergies is limited due to the novelty of the industry, the various non-cannabis exposures in the production process, and the large number (over 10,000) of cannabis strains with potentially unique allergens.</w:t>
      </w:r>
      <w:r w:rsidRPr="00015F31">
        <w:rPr>
          <w:rFonts w:cstheme="minorHAnsi"/>
          <w:i/>
          <w:iCs/>
          <w:vertAlign w:val="superscript"/>
        </w:rPr>
        <w:t>7-9</w:t>
      </w:r>
      <w:r w:rsidRPr="00015F31">
        <w:rPr>
          <w:rFonts w:cstheme="minorHAnsi"/>
          <w:i/>
          <w:iCs/>
        </w:rPr>
        <w:t xml:space="preserve"> However, suspected cases should still be</w:t>
      </w:r>
      <w:hyperlink r:id="rId9" w:history="1">
        <w:r w:rsidRPr="00015F31">
          <w:rPr>
            <w:rStyle w:val="Hyperlink"/>
            <w:rFonts w:cstheme="minorHAnsi"/>
            <w:i/>
            <w:iCs/>
          </w:rPr>
          <w:t xml:space="preserve"> reported</w:t>
        </w:r>
      </w:hyperlink>
      <w:r w:rsidRPr="00015F31">
        <w:rPr>
          <w:rFonts w:cstheme="minorHAnsi"/>
          <w:i/>
          <w:iCs/>
        </w:rPr>
        <w:t xml:space="preserve"> (see below).</w:t>
      </w:r>
      <w:r w:rsidRPr="00015F31">
        <w:rPr>
          <w:rFonts w:cstheme="minorHAnsi"/>
          <w:i/>
          <w:iCs/>
        </w:rPr>
        <w:br/>
      </w:r>
      <w:r w:rsidRPr="00015F31">
        <w:rPr>
          <w:rFonts w:cstheme="minorHAnsi"/>
        </w:rPr>
        <w:br/>
      </w:r>
      <w:r w:rsidRPr="00015F31">
        <w:rPr>
          <w:rFonts w:cstheme="minorHAnsi"/>
          <w:b/>
          <w:bCs/>
        </w:rPr>
        <w:t>Recommend workplace changes to avoid further exposure.</w:t>
      </w:r>
      <w:r w:rsidRPr="00015F31">
        <w:rPr>
          <w:rFonts w:cstheme="minorHAnsi"/>
        </w:rPr>
        <w:br/>
        <w:t>Respiratory symptoms warrant further inquiry about potential exposures to reduce the risk of any illnesses or death. If workplace-related illness is suspected or confirmed, avoidance of workplace exposure is imperative.</w:t>
      </w:r>
      <w:r w:rsidRPr="00015F31">
        <w:rPr>
          <w:rFonts w:cstheme="minorHAnsi"/>
          <w:vertAlign w:val="superscript"/>
        </w:rPr>
        <w:t>7</w:t>
      </w:r>
      <w:r w:rsidRPr="00015F31">
        <w:rPr>
          <w:rFonts w:cstheme="minorHAnsi"/>
        </w:rPr>
        <w:t xml:space="preserve"> Healthcare providers can and should recommend changes in workplace practices, adjustment of job tasks, and/or a change in job/role to their patient’s employer to help reduce disease progression,</w:t>
      </w:r>
      <w:r w:rsidRPr="00015F31">
        <w:rPr>
          <w:rFonts w:cstheme="minorHAnsi"/>
          <w:vertAlign w:val="superscript"/>
        </w:rPr>
        <w:t>9</w:t>
      </w:r>
      <w:r w:rsidRPr="00015F31">
        <w:rPr>
          <w:rFonts w:cstheme="minorHAnsi"/>
        </w:rPr>
        <w:t xml:space="preserve"> which may include writing a note to the employer. Determining if the etiology of symptoms is irritant or allergic in nature is essential and will guide interventions. </w:t>
      </w:r>
    </w:p>
    <w:p w14:paraId="2516ABAA" w14:textId="77777777" w:rsidR="00052C9A" w:rsidRDefault="00052C9A" w:rsidP="00016344">
      <w:pPr>
        <w:widowControl w:val="0"/>
        <w:spacing w:after="0" w:line="240" w:lineRule="auto"/>
        <w:rPr>
          <w:rFonts w:cstheme="minorHAnsi"/>
          <w:b/>
          <w:bCs/>
        </w:rPr>
      </w:pPr>
    </w:p>
    <w:p w14:paraId="29D6F2CA" w14:textId="4FC3C984" w:rsidR="00016344" w:rsidRPr="00015F31" w:rsidRDefault="00016344" w:rsidP="00016344">
      <w:pPr>
        <w:widowControl w:val="0"/>
        <w:spacing w:after="0" w:line="240" w:lineRule="auto"/>
        <w:rPr>
          <w:rFonts w:cstheme="minorHAnsi"/>
        </w:rPr>
      </w:pPr>
      <w:r w:rsidRPr="00015F31">
        <w:rPr>
          <w:rFonts w:cstheme="minorHAnsi"/>
          <w:b/>
          <w:bCs/>
        </w:rPr>
        <w:lastRenderedPageBreak/>
        <w:t>Report cases to the Massachusetts Department of Public</w:t>
      </w:r>
      <w:r w:rsidRPr="00015F31">
        <w:rPr>
          <w:rFonts w:cstheme="minorHAnsi"/>
        </w:rPr>
        <w:t xml:space="preserve"> </w:t>
      </w:r>
      <w:r w:rsidRPr="00015F31">
        <w:rPr>
          <w:rFonts w:cstheme="minorHAnsi"/>
          <w:b/>
          <w:bCs/>
        </w:rPr>
        <w:t>Health, as required by law.</w:t>
      </w:r>
      <w:r w:rsidRPr="00015F31">
        <w:rPr>
          <w:rFonts w:cstheme="minorHAnsi"/>
        </w:rPr>
        <w:t xml:space="preserve"> </w:t>
      </w:r>
      <w:r w:rsidRPr="00015F31">
        <w:rPr>
          <w:rFonts w:cstheme="minorHAnsi"/>
        </w:rPr>
        <w:br/>
        <w:t>Healthcare providers are mandated to report suspected cases of WRA or other work-related respiratory disease to the Department of Public Health (DPH) (</w:t>
      </w:r>
      <w:hyperlink r:id="rId10" w:history="1">
        <w:r w:rsidRPr="00015F31">
          <w:rPr>
            <w:rStyle w:val="Hyperlink"/>
            <w:rFonts w:cstheme="minorHAnsi"/>
          </w:rPr>
          <w:t>105 CMR 300.180</w:t>
        </w:r>
      </w:hyperlink>
      <w:r w:rsidRPr="00015F31">
        <w:rPr>
          <w:rFonts w:cstheme="minorHAnsi"/>
        </w:rPr>
        <w:t xml:space="preserve">). By reporting, healthcare providers play an important role in protecting public health. DPH can use reported cases to describe the burden of work-related respiratory diseases, identify emerging respiratory hazards, protect workers, and promote prevention.  </w:t>
      </w:r>
    </w:p>
    <w:p w14:paraId="362CF524" w14:textId="77777777" w:rsidR="00016344" w:rsidRPr="00015F31" w:rsidRDefault="00016344" w:rsidP="00016344">
      <w:pPr>
        <w:widowControl w:val="0"/>
        <w:spacing w:after="0" w:line="240" w:lineRule="auto"/>
        <w:rPr>
          <w:rFonts w:cstheme="minorHAnsi"/>
        </w:rPr>
      </w:pPr>
    </w:p>
    <w:p w14:paraId="75C54409" w14:textId="77777777" w:rsidR="00016344" w:rsidRPr="00015F31" w:rsidRDefault="00016344" w:rsidP="00016344">
      <w:pPr>
        <w:widowControl w:val="0"/>
        <w:spacing w:after="0" w:line="240" w:lineRule="auto"/>
        <w:rPr>
          <w:rStyle w:val="Hyperlink"/>
          <w:rFonts w:cstheme="minorHAnsi"/>
        </w:rPr>
      </w:pPr>
      <w:r w:rsidRPr="00015F31">
        <w:rPr>
          <w:rFonts w:cstheme="minorHAnsi"/>
        </w:rPr>
        <w:t xml:space="preserve">Read more about reporting cases at </w:t>
      </w:r>
      <w:hyperlink r:id="rId11" w:history="1">
        <w:r w:rsidRPr="00015F31">
          <w:rPr>
            <w:rStyle w:val="Hyperlink"/>
            <w:rFonts w:cstheme="minorHAnsi"/>
          </w:rPr>
          <w:t>www.mass.gov/how-to/report-an-occupational-disease-or-injury</w:t>
        </w:r>
      </w:hyperlink>
      <w:r w:rsidRPr="00015F31">
        <w:rPr>
          <w:rFonts w:cstheme="minorHAnsi"/>
        </w:rPr>
        <w:t xml:space="preserve">  </w:t>
      </w:r>
      <w:r w:rsidRPr="00015F31">
        <w:rPr>
          <w:rFonts w:cstheme="minorHAnsi"/>
        </w:rPr>
        <w:br/>
      </w:r>
      <w:r w:rsidRPr="00015F31" w:rsidDel="00E74BC4">
        <w:rPr>
          <w:rFonts w:cstheme="minorHAnsi"/>
        </w:rPr>
        <w:t xml:space="preserve">Additional information on WRA is available at </w:t>
      </w:r>
      <w:hyperlink r:id="rId12" w:history="1">
        <w:r w:rsidRPr="00015F31" w:rsidDel="00E74BC4">
          <w:rPr>
            <w:rStyle w:val="Hyperlink"/>
            <w:rFonts w:cstheme="minorHAnsi"/>
          </w:rPr>
          <w:t>www.mass.gov/work-related-asthma</w:t>
        </w:r>
      </w:hyperlink>
    </w:p>
    <w:p w14:paraId="34BC80DA" w14:textId="71E3DD4C" w:rsidR="002864AE" w:rsidRPr="00015F31" w:rsidRDefault="002864AE" w:rsidP="00395CBE">
      <w:pPr>
        <w:rPr>
          <w:rFonts w:cstheme="minorHAnsi"/>
        </w:rPr>
      </w:pPr>
    </w:p>
    <w:p w14:paraId="6FFEBBB6" w14:textId="77777777" w:rsidR="00427865" w:rsidRPr="00015F31" w:rsidRDefault="00427865" w:rsidP="00427865">
      <w:pPr>
        <w:widowControl w:val="0"/>
        <w:rPr>
          <w:rFonts w:cstheme="minorHAnsi"/>
        </w:rPr>
      </w:pPr>
      <w:r w:rsidRPr="00015F31">
        <w:rPr>
          <w:rFonts w:cstheme="minorHAnsi"/>
          <w:b/>
          <w:bCs/>
        </w:rPr>
        <w:t xml:space="preserve">Have a case to report? </w:t>
      </w:r>
      <w:r w:rsidRPr="00015F31">
        <w:rPr>
          <w:rFonts w:cstheme="minorHAnsi"/>
        </w:rPr>
        <w:t>Report in one of four ways:</w:t>
      </w:r>
    </w:p>
    <w:p w14:paraId="3713BA8E" w14:textId="77777777" w:rsidR="00427865" w:rsidRPr="00015F31" w:rsidRDefault="00427865" w:rsidP="00427865">
      <w:pPr>
        <w:pStyle w:val="ListParagraph"/>
        <w:widowControl w:val="0"/>
        <w:numPr>
          <w:ilvl w:val="0"/>
          <w:numId w:val="14"/>
        </w:numPr>
        <w:spacing w:after="0"/>
        <w:rPr>
          <w:rFonts w:cstheme="minorHAnsi"/>
        </w:rPr>
      </w:pPr>
      <w:r w:rsidRPr="00015F31">
        <w:rPr>
          <w:rFonts w:cstheme="minorHAnsi"/>
          <w:b/>
          <w:bCs/>
        </w:rPr>
        <w:t>Online:</w:t>
      </w:r>
      <w:r w:rsidRPr="00015F31">
        <w:rPr>
          <w:rFonts w:cstheme="minorHAnsi"/>
        </w:rPr>
        <w:t xml:space="preserve"> Click </w:t>
      </w:r>
      <w:hyperlink r:id="rId13" w:history="1">
        <w:r w:rsidRPr="00015F31">
          <w:rPr>
            <w:rStyle w:val="Hyperlink"/>
            <w:rFonts w:cstheme="minorHAnsi"/>
          </w:rPr>
          <w:t>here</w:t>
        </w:r>
      </w:hyperlink>
      <w:r w:rsidRPr="00015F31">
        <w:rPr>
          <w:rFonts w:cstheme="minorHAnsi"/>
        </w:rPr>
        <w:t xml:space="preserve"> or scan this QR code:</w:t>
      </w:r>
    </w:p>
    <w:p w14:paraId="0AE8BDD8" w14:textId="77777777" w:rsidR="00427865" w:rsidRPr="00015F31" w:rsidRDefault="00427865" w:rsidP="00427865">
      <w:pPr>
        <w:pStyle w:val="ListParagraph"/>
        <w:widowControl w:val="0"/>
        <w:ind w:left="360"/>
        <w:rPr>
          <w:rFonts w:cstheme="minorHAnsi"/>
        </w:rPr>
      </w:pPr>
      <w:r w:rsidRPr="00015F31">
        <w:rPr>
          <w:rFonts w:cstheme="minorHAnsi"/>
          <w:noProof/>
          <w:color w:val="2B579A"/>
          <w:shd w:val="clear" w:color="auto" w:fill="E6E6E6"/>
        </w:rPr>
        <w:drawing>
          <wp:anchor distT="36576" distB="36576" distL="36576" distR="36576" simplePos="0" relativeHeight="251661312" behindDoc="0" locked="0" layoutInCell="1" allowOverlap="1" wp14:anchorId="1DC7BC4C" wp14:editId="128F6543">
            <wp:simplePos x="0" y="0"/>
            <wp:positionH relativeFrom="column">
              <wp:posOffset>754656</wp:posOffset>
            </wp:positionH>
            <wp:positionV relativeFrom="paragraph">
              <wp:posOffset>50692</wp:posOffset>
            </wp:positionV>
            <wp:extent cx="809625" cy="809625"/>
            <wp:effectExtent l="0" t="0" r="9525" b="9525"/>
            <wp:wrapNone/>
            <wp:docPr id="1378279511" name="Picture 13782795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3686" name="Picture 4" descr="Qr cod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DAD95A9" w14:textId="485ACECE" w:rsidR="00427865" w:rsidRPr="00015F31" w:rsidRDefault="00427865" w:rsidP="00395CBE">
      <w:pPr>
        <w:rPr>
          <w:rFonts w:cstheme="minorHAnsi"/>
        </w:rPr>
      </w:pPr>
    </w:p>
    <w:p w14:paraId="5EBC8F7F" w14:textId="02D9F31A" w:rsidR="00816AF5" w:rsidRPr="00015F31" w:rsidRDefault="00816AF5" w:rsidP="00395CBE">
      <w:pPr>
        <w:rPr>
          <w:rFonts w:cstheme="minorHAnsi"/>
        </w:rPr>
      </w:pPr>
    </w:p>
    <w:p w14:paraId="06A59DAB" w14:textId="77777777" w:rsidR="00816AF5" w:rsidRPr="00015F31" w:rsidRDefault="00816AF5" w:rsidP="00816AF5">
      <w:pPr>
        <w:widowControl w:val="0"/>
        <w:rPr>
          <w:rFonts w:cstheme="minorHAnsi"/>
        </w:rPr>
      </w:pPr>
    </w:p>
    <w:p w14:paraId="34975FEB" w14:textId="55D92678" w:rsidR="00816AF5" w:rsidRPr="00015F31" w:rsidRDefault="00816AF5" w:rsidP="00816AF5">
      <w:pPr>
        <w:widowControl w:val="0"/>
        <w:rPr>
          <w:rFonts w:cstheme="minorHAnsi"/>
          <w:b/>
          <w:bCs/>
        </w:rPr>
      </w:pPr>
      <w:r w:rsidRPr="00015F31">
        <w:rPr>
          <w:rFonts w:cstheme="minorHAnsi"/>
        </w:rPr>
        <w:t xml:space="preserve">Or </w:t>
      </w:r>
      <w:hyperlink r:id="rId15" w:history="1">
        <w:r w:rsidRPr="00015F31">
          <w:rPr>
            <w:rStyle w:val="Hyperlink"/>
            <w:rFonts w:cstheme="minorHAnsi"/>
          </w:rPr>
          <w:t>download this form</w:t>
        </w:r>
      </w:hyperlink>
      <w:r w:rsidRPr="00015F31">
        <w:rPr>
          <w:rFonts w:cstheme="minorHAnsi"/>
        </w:rPr>
        <w:t xml:space="preserve"> and report by:</w:t>
      </w:r>
    </w:p>
    <w:p w14:paraId="3E376231" w14:textId="31C2A2D3" w:rsidR="00816AF5" w:rsidRPr="00015F31" w:rsidRDefault="00816AF5" w:rsidP="00816AF5">
      <w:pPr>
        <w:pStyle w:val="ListParagraph"/>
        <w:widowControl w:val="0"/>
        <w:numPr>
          <w:ilvl w:val="0"/>
          <w:numId w:val="14"/>
        </w:numPr>
        <w:spacing w:after="0" w:line="288" w:lineRule="auto"/>
        <w:rPr>
          <w:rFonts w:cstheme="minorHAnsi"/>
        </w:rPr>
      </w:pPr>
      <w:r w:rsidRPr="00015F31">
        <w:rPr>
          <w:rFonts w:cstheme="minorHAnsi"/>
          <w:b/>
          <w:bCs/>
        </w:rPr>
        <w:t>Phone:</w:t>
      </w:r>
      <w:r w:rsidRPr="00015F31">
        <w:rPr>
          <w:rFonts w:cstheme="minorHAnsi"/>
        </w:rPr>
        <w:t xml:space="preserve"> (617) 624-563</w:t>
      </w:r>
      <w:r w:rsidR="00C03AA5">
        <w:rPr>
          <w:rFonts w:cstheme="minorHAnsi"/>
        </w:rPr>
        <w:t>2</w:t>
      </w:r>
    </w:p>
    <w:p w14:paraId="4CF1896B" w14:textId="77777777" w:rsidR="00816AF5" w:rsidRPr="00015F31" w:rsidRDefault="00816AF5" w:rsidP="00816AF5">
      <w:pPr>
        <w:pStyle w:val="ListParagraph"/>
        <w:widowControl w:val="0"/>
        <w:numPr>
          <w:ilvl w:val="0"/>
          <w:numId w:val="14"/>
        </w:numPr>
        <w:spacing w:after="0" w:line="288" w:lineRule="auto"/>
        <w:rPr>
          <w:rFonts w:cstheme="minorHAnsi"/>
        </w:rPr>
      </w:pPr>
      <w:r w:rsidRPr="00015F31">
        <w:rPr>
          <w:rFonts w:cstheme="minorHAnsi"/>
          <w:b/>
          <w:bCs/>
        </w:rPr>
        <w:t>Fax:</w:t>
      </w:r>
      <w:r w:rsidRPr="00015F31">
        <w:rPr>
          <w:rFonts w:cstheme="minorHAnsi"/>
        </w:rPr>
        <w:t xml:space="preserve"> (617) 624-5696</w:t>
      </w:r>
    </w:p>
    <w:p w14:paraId="7E4FD880" w14:textId="609943AC" w:rsidR="00816AF5" w:rsidRPr="00015F31" w:rsidRDefault="00816AF5" w:rsidP="00816AF5">
      <w:pPr>
        <w:pStyle w:val="ListParagraph"/>
        <w:numPr>
          <w:ilvl w:val="0"/>
          <w:numId w:val="14"/>
        </w:numPr>
        <w:rPr>
          <w:rFonts w:cstheme="minorHAnsi"/>
        </w:rPr>
      </w:pPr>
      <w:r w:rsidRPr="00015F31">
        <w:rPr>
          <w:rFonts w:cstheme="minorHAnsi"/>
          <w:b/>
          <w:bCs/>
        </w:rPr>
        <w:t>Mail:</w:t>
      </w:r>
      <w:r w:rsidRPr="00015F31">
        <w:rPr>
          <w:rFonts w:cstheme="minorHAnsi"/>
        </w:rPr>
        <w:t xml:space="preserve">  DPH Occupational Health Surveillance Program</w:t>
      </w:r>
      <w:r w:rsidRPr="00015F31">
        <w:rPr>
          <w:rFonts w:cstheme="minorHAnsi"/>
        </w:rPr>
        <w:br/>
        <w:t xml:space="preserve">           250 Washington Street, 4</w:t>
      </w:r>
      <w:r w:rsidRPr="00015F31">
        <w:rPr>
          <w:rFonts w:cstheme="minorHAnsi"/>
          <w:vertAlign w:val="superscript"/>
        </w:rPr>
        <w:t>th</w:t>
      </w:r>
      <w:r w:rsidRPr="00015F31">
        <w:rPr>
          <w:rFonts w:cstheme="minorHAnsi"/>
        </w:rPr>
        <w:t xml:space="preserve"> floor, Boston, MA 02108</w:t>
      </w:r>
    </w:p>
    <w:p w14:paraId="02B5BD01" w14:textId="77777777" w:rsidR="00816AF5" w:rsidRPr="00015F31" w:rsidRDefault="00816AF5" w:rsidP="00395CBE">
      <w:pPr>
        <w:rPr>
          <w:rFonts w:cstheme="minorHAnsi"/>
        </w:rPr>
      </w:pPr>
    </w:p>
    <w:p w14:paraId="2D895699" w14:textId="77777777" w:rsidR="00083ADB" w:rsidRPr="00015F31" w:rsidRDefault="00083ADB" w:rsidP="00083ADB">
      <w:pPr>
        <w:widowControl w:val="0"/>
        <w:rPr>
          <w:rFonts w:cstheme="minorHAnsi"/>
          <w:b/>
          <w:bCs/>
        </w:rPr>
      </w:pPr>
      <w:r w:rsidRPr="00015F31">
        <w:rPr>
          <w:rFonts w:cstheme="minorHAnsi"/>
          <w:b/>
          <w:bCs/>
        </w:rPr>
        <w:t>References</w:t>
      </w:r>
    </w:p>
    <w:p w14:paraId="08CC05B9"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Epidemiology and Pathophysiology of Work-related Asthma. 2023. The National Institute for Occupational Safety and Health (NIOSH). https://www.cdc.gov/niosh/topics/asthma/epidemiology-and-pathophysiology.html. Accessed on 23 June 2023.</w:t>
      </w:r>
    </w:p>
    <w:p w14:paraId="16045164" w14:textId="77777777" w:rsidR="00083ADB" w:rsidRPr="00015F31" w:rsidRDefault="00083ADB" w:rsidP="00083ADB">
      <w:pPr>
        <w:pStyle w:val="ListParagraph"/>
        <w:widowControl w:val="0"/>
        <w:spacing w:after="0"/>
        <w:ind w:left="360"/>
        <w:rPr>
          <w:rFonts w:cstheme="minorHAnsi"/>
          <w:color w:val="212121"/>
        </w:rPr>
      </w:pPr>
    </w:p>
    <w:p w14:paraId="3EB3323C"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 xml:space="preserve">Occupational Health Surveillance Program. Work-related Asthma. Commonwealth of Massachusetts. Accessed at https://www.mass.gov/work-related-asthma. 26 April 2023. </w:t>
      </w:r>
    </w:p>
    <w:p w14:paraId="7B9AF784" w14:textId="77777777" w:rsidR="00083ADB" w:rsidRPr="00015F31" w:rsidRDefault="00083ADB" w:rsidP="00083ADB">
      <w:pPr>
        <w:pStyle w:val="ListParagraph"/>
        <w:rPr>
          <w:rFonts w:cstheme="minorHAnsi"/>
          <w:color w:val="212121"/>
        </w:rPr>
      </w:pPr>
    </w:p>
    <w:p w14:paraId="03168D5A" w14:textId="77777777" w:rsidR="00083ADB" w:rsidRPr="00015F31" w:rsidRDefault="00083ADB" w:rsidP="00083ADB">
      <w:pPr>
        <w:pStyle w:val="ListParagraph"/>
        <w:widowControl w:val="0"/>
        <w:numPr>
          <w:ilvl w:val="0"/>
          <w:numId w:val="15"/>
        </w:numPr>
        <w:spacing w:after="0"/>
        <w:rPr>
          <w:rFonts w:cstheme="minorHAnsi"/>
          <w:color w:val="212121"/>
        </w:rPr>
      </w:pPr>
      <w:r w:rsidRPr="00015F31">
        <w:rPr>
          <w:rFonts w:cstheme="minorHAnsi"/>
          <w:color w:val="212121"/>
        </w:rPr>
        <w:t xml:space="preserve">Colby A, Laramie O, Pensky H, Sarkis M, Johnson JK. Cannabis Use Trends in Massachusetts, Findings from the International Cannabis Policy Study, 2019 and 2020. Cannabis Control Commission. 2022. https://masscannabiscontrol.com/wp-content/uploads/2022/09/International-Cannabis-Policy-Study-2019-2020.pdf </w:t>
      </w:r>
    </w:p>
    <w:p w14:paraId="133955B1" w14:textId="77777777" w:rsidR="00083ADB" w:rsidRPr="00015F31" w:rsidRDefault="00083ADB" w:rsidP="00083ADB">
      <w:pPr>
        <w:pStyle w:val="ListParagraph"/>
        <w:widowControl w:val="0"/>
        <w:spacing w:after="0"/>
        <w:rPr>
          <w:rFonts w:cstheme="minorHAnsi"/>
          <w:color w:val="212121"/>
        </w:rPr>
      </w:pPr>
      <w:r w:rsidRPr="00015F31">
        <w:rPr>
          <w:rFonts w:cstheme="minorHAnsi"/>
          <w:color w:val="212121"/>
        </w:rPr>
        <w:t xml:space="preserve">  </w:t>
      </w:r>
    </w:p>
    <w:p w14:paraId="19993049"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 xml:space="preserve">Simpson C. Occupational Health and Safety in the Cannabis Industry. Ann Work Expo Health. 2020 Aug 6;64(7):677-678. </w:t>
      </w:r>
      <w:proofErr w:type="spellStart"/>
      <w:r w:rsidRPr="00015F31">
        <w:rPr>
          <w:rFonts w:cstheme="minorHAnsi"/>
        </w:rPr>
        <w:t>doi</w:t>
      </w:r>
      <w:proofErr w:type="spellEnd"/>
      <w:r w:rsidRPr="00015F31">
        <w:rPr>
          <w:rFonts w:cstheme="minorHAnsi"/>
        </w:rPr>
        <w:t>: 10.1093/</w:t>
      </w:r>
      <w:proofErr w:type="spellStart"/>
      <w:r w:rsidRPr="00015F31">
        <w:rPr>
          <w:rFonts w:cstheme="minorHAnsi"/>
        </w:rPr>
        <w:t>annweh</w:t>
      </w:r>
      <w:proofErr w:type="spellEnd"/>
      <w:r w:rsidRPr="00015F31">
        <w:rPr>
          <w:rFonts w:cstheme="minorHAnsi"/>
        </w:rPr>
        <w:t>/wxaa068. PMID: 32696046; PMCID: PMC9769117</w:t>
      </w:r>
    </w:p>
    <w:p w14:paraId="24DE27DA" w14:textId="77777777" w:rsidR="00083ADB" w:rsidRPr="00015F31" w:rsidRDefault="00083ADB" w:rsidP="00083ADB">
      <w:pPr>
        <w:pStyle w:val="ListParagraph"/>
        <w:widowControl w:val="0"/>
        <w:spacing w:after="0"/>
        <w:rPr>
          <w:rFonts w:cstheme="minorHAnsi"/>
          <w:color w:val="000000"/>
        </w:rPr>
      </w:pPr>
    </w:p>
    <w:p w14:paraId="79ABAD09"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 xml:space="preserve">Guide to Worker Safety and Health in the Marijuana Industry. 2017. Colorado Department of Public </w:t>
      </w:r>
      <w:r w:rsidRPr="00015F31">
        <w:rPr>
          <w:rFonts w:cstheme="minorHAnsi"/>
        </w:rPr>
        <w:lastRenderedPageBreak/>
        <w:t>Health and Environment. https://nasdonline.org/static_content/documents/7427/d002588.pdf. Accessed on: 23 March 2023</w:t>
      </w:r>
    </w:p>
    <w:p w14:paraId="4A1A201D" w14:textId="77777777" w:rsidR="00083ADB" w:rsidRPr="00015F31" w:rsidRDefault="00083ADB" w:rsidP="00083ADB">
      <w:pPr>
        <w:widowControl w:val="0"/>
        <w:spacing w:after="0"/>
        <w:rPr>
          <w:rFonts w:cstheme="minorHAnsi"/>
        </w:rPr>
      </w:pPr>
    </w:p>
    <w:p w14:paraId="674EDD76" w14:textId="77777777" w:rsidR="00083ADB" w:rsidRPr="00015F31" w:rsidRDefault="00083ADB" w:rsidP="00083ADB">
      <w:pPr>
        <w:pStyle w:val="ListParagraph"/>
        <w:widowControl w:val="0"/>
        <w:numPr>
          <w:ilvl w:val="0"/>
          <w:numId w:val="15"/>
        </w:numPr>
        <w:spacing w:after="0"/>
        <w:rPr>
          <w:rFonts w:cstheme="minorHAnsi"/>
        </w:rPr>
      </w:pPr>
      <w:proofErr w:type="spellStart"/>
      <w:r w:rsidRPr="00015F31">
        <w:rPr>
          <w:rFonts w:cstheme="minorHAnsi"/>
        </w:rPr>
        <w:t>Decuyper</w:t>
      </w:r>
      <w:proofErr w:type="spellEnd"/>
      <w:r w:rsidRPr="00015F31">
        <w:rPr>
          <w:rFonts w:cstheme="minorHAnsi"/>
        </w:rPr>
        <w:t xml:space="preserve"> II, </w:t>
      </w:r>
      <w:proofErr w:type="spellStart"/>
      <w:r w:rsidRPr="00015F31">
        <w:rPr>
          <w:rFonts w:cstheme="minorHAnsi"/>
        </w:rPr>
        <w:t>Rihs</w:t>
      </w:r>
      <w:proofErr w:type="spellEnd"/>
      <w:r w:rsidRPr="00015F31">
        <w:rPr>
          <w:rFonts w:cstheme="minorHAnsi"/>
        </w:rPr>
        <w:t xml:space="preserve"> HP, Van Gasse AL, et al. Cannabis allergy: what the clinician needs to know in 2019. Expert Rev Clin Immunol. 2019;15(6):599-606. doi:10.1080/1744666X.2019.1600403. PMID: 30946607</w:t>
      </w:r>
    </w:p>
    <w:p w14:paraId="5792EB68" w14:textId="77777777" w:rsidR="00083ADB" w:rsidRPr="00015F31" w:rsidRDefault="00083ADB" w:rsidP="00083ADB">
      <w:pPr>
        <w:widowControl w:val="0"/>
        <w:spacing w:after="0"/>
        <w:rPr>
          <w:rFonts w:cstheme="minorHAnsi"/>
        </w:rPr>
      </w:pPr>
    </w:p>
    <w:p w14:paraId="3A5DD211"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 xml:space="preserve">Jackson B, Cleto E, Jeimy S. An emerging allergen: Cannabis sativa allergy in a climate of recent legalization. Allergy Asthma Clin Immunol. 2020 Jun 26;16:53. </w:t>
      </w:r>
      <w:proofErr w:type="spellStart"/>
      <w:r w:rsidRPr="00015F31">
        <w:rPr>
          <w:rFonts w:cstheme="minorHAnsi"/>
        </w:rPr>
        <w:t>doi</w:t>
      </w:r>
      <w:proofErr w:type="spellEnd"/>
      <w:r w:rsidRPr="00015F31">
        <w:rPr>
          <w:rFonts w:cstheme="minorHAnsi"/>
        </w:rPr>
        <w:t>: 10.1186/s13223-020-00447-9. PMID: 32834822; PMCID: PMC7371810</w:t>
      </w:r>
    </w:p>
    <w:p w14:paraId="3C50B57C" w14:textId="77777777" w:rsidR="00083ADB" w:rsidRPr="00015F31" w:rsidRDefault="00083ADB" w:rsidP="00083ADB">
      <w:pPr>
        <w:widowControl w:val="0"/>
        <w:spacing w:after="0"/>
        <w:rPr>
          <w:rFonts w:cstheme="minorHAnsi"/>
        </w:rPr>
      </w:pPr>
    </w:p>
    <w:p w14:paraId="7F4F31AE" w14:textId="77777777" w:rsidR="00083ADB" w:rsidRPr="00015F31" w:rsidRDefault="00083ADB" w:rsidP="00083ADB">
      <w:pPr>
        <w:pStyle w:val="ListParagraph"/>
        <w:widowControl w:val="0"/>
        <w:numPr>
          <w:ilvl w:val="0"/>
          <w:numId w:val="15"/>
        </w:numPr>
        <w:spacing w:after="0"/>
        <w:rPr>
          <w:rFonts w:cstheme="minorHAnsi"/>
        </w:rPr>
      </w:pPr>
      <w:proofErr w:type="spellStart"/>
      <w:r w:rsidRPr="00015F31">
        <w:rPr>
          <w:rFonts w:cstheme="minorHAnsi"/>
        </w:rPr>
        <w:t>Decuyper</w:t>
      </w:r>
      <w:proofErr w:type="spellEnd"/>
      <w:r w:rsidRPr="00015F31">
        <w:rPr>
          <w:rFonts w:cstheme="minorHAnsi"/>
        </w:rPr>
        <w:t xml:space="preserve"> II, Van Gasse A, Faber MA, et al. Occupational cannabis exposure and allergy risks. </w:t>
      </w:r>
      <w:proofErr w:type="spellStart"/>
      <w:r w:rsidRPr="00015F31">
        <w:rPr>
          <w:rFonts w:cstheme="minorHAnsi"/>
        </w:rPr>
        <w:t>Occup</w:t>
      </w:r>
      <w:proofErr w:type="spellEnd"/>
      <w:r w:rsidRPr="00015F31">
        <w:rPr>
          <w:rFonts w:cstheme="minorHAnsi"/>
        </w:rPr>
        <w:t xml:space="preserve"> Environ Med. 2019;76(2):78-82. doi:10.1136/oemed-2018-105302. PMID: 30554157</w:t>
      </w:r>
    </w:p>
    <w:p w14:paraId="1C31E609" w14:textId="77777777" w:rsidR="00083ADB" w:rsidRPr="00015F31" w:rsidRDefault="00083ADB" w:rsidP="00083ADB">
      <w:pPr>
        <w:pStyle w:val="ListParagraph"/>
        <w:rPr>
          <w:rFonts w:cstheme="minorHAnsi"/>
        </w:rPr>
      </w:pPr>
    </w:p>
    <w:p w14:paraId="4152AAA1" w14:textId="77777777" w:rsidR="00083ADB" w:rsidRPr="00015F31" w:rsidRDefault="00083ADB" w:rsidP="00083ADB">
      <w:pPr>
        <w:pStyle w:val="ListParagraph"/>
        <w:widowControl w:val="0"/>
        <w:numPr>
          <w:ilvl w:val="0"/>
          <w:numId w:val="15"/>
        </w:numPr>
        <w:spacing w:after="0"/>
        <w:rPr>
          <w:rFonts w:cstheme="minorHAnsi"/>
        </w:rPr>
      </w:pPr>
      <w:r w:rsidRPr="00015F31">
        <w:rPr>
          <w:rFonts w:cstheme="minorHAnsi"/>
        </w:rPr>
        <w:t>Centers for Disease Control and Prevention. 2023. Information for Healthcare Professionals on Work-related Asthma. Accessed at https://www.cdc.gov/niosh/topics/asthma/professionals.html. 26 April 2023. </w:t>
      </w:r>
    </w:p>
    <w:p w14:paraId="4B9FE0EE" w14:textId="77777777" w:rsidR="002864AE" w:rsidRPr="00015F31" w:rsidRDefault="002864AE" w:rsidP="00395CBE">
      <w:pPr>
        <w:rPr>
          <w:rFonts w:cstheme="minorHAnsi"/>
        </w:rPr>
      </w:pPr>
    </w:p>
    <w:p w14:paraId="368DC2C9" w14:textId="77777777" w:rsidR="002864AE" w:rsidRPr="00015F31" w:rsidRDefault="002864AE" w:rsidP="00395CBE">
      <w:pPr>
        <w:rPr>
          <w:rFonts w:cstheme="minorHAnsi"/>
        </w:rPr>
      </w:pPr>
    </w:p>
    <w:p w14:paraId="157A7B19" w14:textId="77C4B7F9" w:rsidR="002864AE" w:rsidRPr="00015F31" w:rsidRDefault="006412A2" w:rsidP="00395CBE">
      <w:pPr>
        <w:rPr>
          <w:rFonts w:cstheme="minorHAnsi"/>
          <w:i/>
          <w:iCs/>
        </w:rPr>
      </w:pPr>
      <w:r w:rsidRPr="00015F31">
        <w:rPr>
          <w:rFonts w:cstheme="minorHAnsi"/>
          <w:i/>
          <w:iCs/>
        </w:rPr>
        <w:t>This bulletin was supported by Cooperative Agreement 5U60OH008490 from CDC-NIOSH. Its contents are solely the responsibility of the authors and do not necessarily represent the official views of CDC-NIOSH. Electronic distribution is made possible by collaboration within the Massachusetts Department of Public Health—Bureau of Health Professions Licensure, Board of Registration in Medicine, Office of Preparedness and Emergency Management and Bureau of Community Health and Prevention</w:t>
      </w:r>
    </w:p>
    <w:p w14:paraId="328BFFA4" w14:textId="2712FDDD" w:rsidR="001B7496" w:rsidRPr="00015F31" w:rsidRDefault="001B7496" w:rsidP="003E619E">
      <w:pPr>
        <w:widowControl w:val="0"/>
        <w:rPr>
          <w:rStyle w:val="cf01"/>
          <w:rFonts w:asciiTheme="minorHAnsi" w:hAnsiTheme="minorHAnsi" w:cstheme="minorHAnsi"/>
          <w:sz w:val="22"/>
          <w:szCs w:val="22"/>
        </w:rPr>
      </w:pPr>
      <w:r w:rsidRPr="00015F31">
        <w:rPr>
          <w:rFonts w:cstheme="minorHAnsi"/>
        </w:rPr>
        <w:t xml:space="preserve"> </w:t>
      </w:r>
    </w:p>
    <w:sectPr w:rsidR="001B7496" w:rsidRPr="00015F31" w:rsidSect="00110B1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4425" w14:textId="77777777" w:rsidR="000B42B6" w:rsidRDefault="000B42B6" w:rsidP="008D29B0">
      <w:pPr>
        <w:spacing w:after="0" w:line="240" w:lineRule="auto"/>
      </w:pPr>
      <w:r>
        <w:separator/>
      </w:r>
    </w:p>
  </w:endnote>
  <w:endnote w:type="continuationSeparator" w:id="0">
    <w:p w14:paraId="5AD2B1C0" w14:textId="77777777" w:rsidR="000B42B6" w:rsidRDefault="000B42B6" w:rsidP="008D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68B4" w14:textId="77777777" w:rsidR="008D29B0" w:rsidRDefault="008D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DC2C" w14:textId="77777777" w:rsidR="008D29B0" w:rsidRDefault="008D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726B" w14:textId="77777777" w:rsidR="008D29B0" w:rsidRDefault="008D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0FB8" w14:textId="77777777" w:rsidR="000B42B6" w:rsidRDefault="000B42B6" w:rsidP="008D29B0">
      <w:pPr>
        <w:spacing w:after="0" w:line="240" w:lineRule="auto"/>
      </w:pPr>
      <w:r>
        <w:separator/>
      </w:r>
    </w:p>
  </w:footnote>
  <w:footnote w:type="continuationSeparator" w:id="0">
    <w:p w14:paraId="28767C59" w14:textId="77777777" w:rsidR="000B42B6" w:rsidRDefault="000B42B6" w:rsidP="008D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6447" w14:textId="77777777" w:rsidR="008D29B0" w:rsidRDefault="008D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598E" w14:textId="0690FB33" w:rsidR="008D29B0" w:rsidRDefault="008D2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078E" w14:textId="77777777" w:rsidR="008D29B0" w:rsidRDefault="008D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470"/>
    <w:multiLevelType w:val="hybridMultilevel"/>
    <w:tmpl w:val="8738ECB6"/>
    <w:lvl w:ilvl="0" w:tplc="18560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9CF"/>
    <w:multiLevelType w:val="hybridMultilevel"/>
    <w:tmpl w:val="9C446512"/>
    <w:lvl w:ilvl="0" w:tplc="FA20570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210B"/>
    <w:multiLevelType w:val="hybridMultilevel"/>
    <w:tmpl w:val="01686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811D4"/>
    <w:multiLevelType w:val="hybridMultilevel"/>
    <w:tmpl w:val="3006C1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02742E"/>
    <w:multiLevelType w:val="multilevel"/>
    <w:tmpl w:val="90B8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EE0A1A"/>
    <w:multiLevelType w:val="hybridMultilevel"/>
    <w:tmpl w:val="739EFBF4"/>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465AFD"/>
    <w:multiLevelType w:val="hybridMultilevel"/>
    <w:tmpl w:val="30106248"/>
    <w:lvl w:ilvl="0" w:tplc="0520E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92BFE"/>
    <w:multiLevelType w:val="hybridMultilevel"/>
    <w:tmpl w:val="FBD49808"/>
    <w:lvl w:ilvl="0" w:tplc="6C685236">
      <w:start w:val="1"/>
      <w:numFmt w:val="decimal"/>
      <w:lvlText w:val="%1."/>
      <w:lvlJc w:val="left"/>
      <w:pPr>
        <w:ind w:left="720" w:hanging="360"/>
      </w:pPr>
      <w:rPr>
        <w:rFonts w:ascii="Segoe UI" w:hAnsi="Segoe UI" w:cs="Segoe U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7411C"/>
    <w:multiLevelType w:val="hybridMultilevel"/>
    <w:tmpl w:val="A0E87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3721FF"/>
    <w:multiLevelType w:val="hybridMultilevel"/>
    <w:tmpl w:val="D3AE6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248CF"/>
    <w:multiLevelType w:val="hybridMultilevel"/>
    <w:tmpl w:val="CEE8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93FF2"/>
    <w:multiLevelType w:val="hybridMultilevel"/>
    <w:tmpl w:val="E51642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25C0C36"/>
    <w:multiLevelType w:val="hybridMultilevel"/>
    <w:tmpl w:val="345AD920"/>
    <w:lvl w:ilvl="0" w:tplc="509A87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8E067E"/>
    <w:multiLevelType w:val="hybridMultilevel"/>
    <w:tmpl w:val="01C2B062"/>
    <w:lvl w:ilvl="0" w:tplc="67AC9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37CD2"/>
    <w:multiLevelType w:val="hybridMultilevel"/>
    <w:tmpl w:val="C05890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0693200">
    <w:abstractNumId w:val="10"/>
  </w:num>
  <w:num w:numId="2" w16cid:durableId="558520346">
    <w:abstractNumId w:val="3"/>
  </w:num>
  <w:num w:numId="3" w16cid:durableId="961883792">
    <w:abstractNumId w:val="6"/>
  </w:num>
  <w:num w:numId="4" w16cid:durableId="901869299">
    <w:abstractNumId w:val="13"/>
  </w:num>
  <w:num w:numId="5" w16cid:durableId="15276861">
    <w:abstractNumId w:val="11"/>
  </w:num>
  <w:num w:numId="6" w16cid:durableId="925728592">
    <w:abstractNumId w:val="8"/>
  </w:num>
  <w:num w:numId="7" w16cid:durableId="975380496">
    <w:abstractNumId w:val="7"/>
  </w:num>
  <w:num w:numId="8" w16cid:durableId="1815027236">
    <w:abstractNumId w:val="2"/>
  </w:num>
  <w:num w:numId="9" w16cid:durableId="2071268125">
    <w:abstractNumId w:val="9"/>
  </w:num>
  <w:num w:numId="10" w16cid:durableId="1626884602">
    <w:abstractNumId w:val="4"/>
  </w:num>
  <w:num w:numId="11" w16cid:durableId="12921557">
    <w:abstractNumId w:val="1"/>
  </w:num>
  <w:num w:numId="12" w16cid:durableId="607933462">
    <w:abstractNumId w:val="5"/>
  </w:num>
  <w:num w:numId="13" w16cid:durableId="2004316383">
    <w:abstractNumId w:val="0"/>
  </w:num>
  <w:num w:numId="14" w16cid:durableId="1481656136">
    <w:abstractNumId w:val="12"/>
  </w:num>
  <w:num w:numId="15" w16cid:durableId="125900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2C"/>
    <w:rsid w:val="00010C70"/>
    <w:rsid w:val="00015F31"/>
    <w:rsid w:val="0001620A"/>
    <w:rsid w:val="00016344"/>
    <w:rsid w:val="0002092F"/>
    <w:rsid w:val="00025F93"/>
    <w:rsid w:val="00027147"/>
    <w:rsid w:val="000274D0"/>
    <w:rsid w:val="000303CC"/>
    <w:rsid w:val="000321AC"/>
    <w:rsid w:val="00032C66"/>
    <w:rsid w:val="00034C77"/>
    <w:rsid w:val="00036768"/>
    <w:rsid w:val="000371BC"/>
    <w:rsid w:val="000405B3"/>
    <w:rsid w:val="00041148"/>
    <w:rsid w:val="00043433"/>
    <w:rsid w:val="00044B5E"/>
    <w:rsid w:val="000469D7"/>
    <w:rsid w:val="00051D84"/>
    <w:rsid w:val="00052C9A"/>
    <w:rsid w:val="00061039"/>
    <w:rsid w:val="00061F95"/>
    <w:rsid w:val="00062426"/>
    <w:rsid w:val="000664C6"/>
    <w:rsid w:val="00067E54"/>
    <w:rsid w:val="000710A0"/>
    <w:rsid w:val="00072A58"/>
    <w:rsid w:val="00073826"/>
    <w:rsid w:val="00080F9E"/>
    <w:rsid w:val="000810FF"/>
    <w:rsid w:val="000818C4"/>
    <w:rsid w:val="000825DF"/>
    <w:rsid w:val="00082B3A"/>
    <w:rsid w:val="00083ADB"/>
    <w:rsid w:val="000849E6"/>
    <w:rsid w:val="00084D35"/>
    <w:rsid w:val="000861DE"/>
    <w:rsid w:val="00086ABD"/>
    <w:rsid w:val="000934D7"/>
    <w:rsid w:val="0009674E"/>
    <w:rsid w:val="0009747D"/>
    <w:rsid w:val="00097E24"/>
    <w:rsid w:val="000B1017"/>
    <w:rsid w:val="000B1B5A"/>
    <w:rsid w:val="000B42B6"/>
    <w:rsid w:val="000B6F12"/>
    <w:rsid w:val="000B76FC"/>
    <w:rsid w:val="000C124F"/>
    <w:rsid w:val="000C268E"/>
    <w:rsid w:val="000C3F34"/>
    <w:rsid w:val="000C6801"/>
    <w:rsid w:val="000D0E61"/>
    <w:rsid w:val="000D4231"/>
    <w:rsid w:val="000D4AE2"/>
    <w:rsid w:val="000D6203"/>
    <w:rsid w:val="000D7011"/>
    <w:rsid w:val="000E083B"/>
    <w:rsid w:val="000E3183"/>
    <w:rsid w:val="000F3DD5"/>
    <w:rsid w:val="000F487A"/>
    <w:rsid w:val="000F6183"/>
    <w:rsid w:val="00100193"/>
    <w:rsid w:val="00100547"/>
    <w:rsid w:val="00100E5C"/>
    <w:rsid w:val="00100E7D"/>
    <w:rsid w:val="00110B15"/>
    <w:rsid w:val="001263D2"/>
    <w:rsid w:val="00130D4A"/>
    <w:rsid w:val="00132475"/>
    <w:rsid w:val="0013361D"/>
    <w:rsid w:val="00133F64"/>
    <w:rsid w:val="001346C0"/>
    <w:rsid w:val="0013667B"/>
    <w:rsid w:val="001374EF"/>
    <w:rsid w:val="00140BA6"/>
    <w:rsid w:val="00141404"/>
    <w:rsid w:val="00142B51"/>
    <w:rsid w:val="0014347A"/>
    <w:rsid w:val="00150814"/>
    <w:rsid w:val="001519A8"/>
    <w:rsid w:val="00152CFD"/>
    <w:rsid w:val="00155C98"/>
    <w:rsid w:val="0015750A"/>
    <w:rsid w:val="001576C1"/>
    <w:rsid w:val="00157C19"/>
    <w:rsid w:val="00162801"/>
    <w:rsid w:val="00165A5C"/>
    <w:rsid w:val="00167CBE"/>
    <w:rsid w:val="00170FAE"/>
    <w:rsid w:val="001713AF"/>
    <w:rsid w:val="0017242D"/>
    <w:rsid w:val="0017332F"/>
    <w:rsid w:val="00174D8B"/>
    <w:rsid w:val="00176052"/>
    <w:rsid w:val="0017729A"/>
    <w:rsid w:val="001805D0"/>
    <w:rsid w:val="001830AF"/>
    <w:rsid w:val="0018572E"/>
    <w:rsid w:val="00187ABD"/>
    <w:rsid w:val="001934D9"/>
    <w:rsid w:val="00193DB8"/>
    <w:rsid w:val="001A0C79"/>
    <w:rsid w:val="001A5D40"/>
    <w:rsid w:val="001B0A36"/>
    <w:rsid w:val="001B365B"/>
    <w:rsid w:val="001B5B0A"/>
    <w:rsid w:val="001B7496"/>
    <w:rsid w:val="001C0CA5"/>
    <w:rsid w:val="001C2872"/>
    <w:rsid w:val="001C57C6"/>
    <w:rsid w:val="001D4A54"/>
    <w:rsid w:val="001E213B"/>
    <w:rsid w:val="001E43A6"/>
    <w:rsid w:val="001E479A"/>
    <w:rsid w:val="001E7EB6"/>
    <w:rsid w:val="001F142E"/>
    <w:rsid w:val="001F560B"/>
    <w:rsid w:val="001F77F1"/>
    <w:rsid w:val="002101F5"/>
    <w:rsid w:val="002201B6"/>
    <w:rsid w:val="0022036F"/>
    <w:rsid w:val="002241FC"/>
    <w:rsid w:val="002250A1"/>
    <w:rsid w:val="002251A0"/>
    <w:rsid w:val="0024424D"/>
    <w:rsid w:val="0025034D"/>
    <w:rsid w:val="002507AA"/>
    <w:rsid w:val="00253548"/>
    <w:rsid w:val="00257C9C"/>
    <w:rsid w:val="00257E51"/>
    <w:rsid w:val="00263126"/>
    <w:rsid w:val="00264690"/>
    <w:rsid w:val="0026549E"/>
    <w:rsid w:val="00267B0D"/>
    <w:rsid w:val="00272EB4"/>
    <w:rsid w:val="002732E3"/>
    <w:rsid w:val="002747F2"/>
    <w:rsid w:val="0027780E"/>
    <w:rsid w:val="002821C4"/>
    <w:rsid w:val="00284382"/>
    <w:rsid w:val="002864AE"/>
    <w:rsid w:val="00290217"/>
    <w:rsid w:val="00292A25"/>
    <w:rsid w:val="002A28AC"/>
    <w:rsid w:val="002A4D88"/>
    <w:rsid w:val="002A745C"/>
    <w:rsid w:val="002B2627"/>
    <w:rsid w:val="002B3B3E"/>
    <w:rsid w:val="002B40D9"/>
    <w:rsid w:val="002C0080"/>
    <w:rsid w:val="002C0155"/>
    <w:rsid w:val="002C0D6B"/>
    <w:rsid w:val="002C108A"/>
    <w:rsid w:val="002C1528"/>
    <w:rsid w:val="002C2EEC"/>
    <w:rsid w:val="002C4371"/>
    <w:rsid w:val="002C43EC"/>
    <w:rsid w:val="002C6C6D"/>
    <w:rsid w:val="002D04BA"/>
    <w:rsid w:val="002D1E62"/>
    <w:rsid w:val="002E1CD5"/>
    <w:rsid w:val="002E5D67"/>
    <w:rsid w:val="002F0104"/>
    <w:rsid w:val="002F12FB"/>
    <w:rsid w:val="002F1CA3"/>
    <w:rsid w:val="002F5157"/>
    <w:rsid w:val="00300832"/>
    <w:rsid w:val="00302232"/>
    <w:rsid w:val="00304367"/>
    <w:rsid w:val="0030540A"/>
    <w:rsid w:val="00307E19"/>
    <w:rsid w:val="003158D1"/>
    <w:rsid w:val="00317CE5"/>
    <w:rsid w:val="00320D98"/>
    <w:rsid w:val="00323DC2"/>
    <w:rsid w:val="00326B33"/>
    <w:rsid w:val="003278F9"/>
    <w:rsid w:val="0033114E"/>
    <w:rsid w:val="00336AB8"/>
    <w:rsid w:val="003373A1"/>
    <w:rsid w:val="00341BE5"/>
    <w:rsid w:val="003439B2"/>
    <w:rsid w:val="00343FF8"/>
    <w:rsid w:val="00345CF4"/>
    <w:rsid w:val="00347FA5"/>
    <w:rsid w:val="0035194F"/>
    <w:rsid w:val="00356E4E"/>
    <w:rsid w:val="003614C8"/>
    <w:rsid w:val="003617FD"/>
    <w:rsid w:val="00362057"/>
    <w:rsid w:val="00362E8A"/>
    <w:rsid w:val="003634BB"/>
    <w:rsid w:val="00364E73"/>
    <w:rsid w:val="00367058"/>
    <w:rsid w:val="00370A63"/>
    <w:rsid w:val="00374643"/>
    <w:rsid w:val="00376966"/>
    <w:rsid w:val="00382E09"/>
    <w:rsid w:val="00382F97"/>
    <w:rsid w:val="00386AB3"/>
    <w:rsid w:val="0039149F"/>
    <w:rsid w:val="003914A1"/>
    <w:rsid w:val="00391E7C"/>
    <w:rsid w:val="00395CBE"/>
    <w:rsid w:val="003A703A"/>
    <w:rsid w:val="003B0ACC"/>
    <w:rsid w:val="003B28A6"/>
    <w:rsid w:val="003B443A"/>
    <w:rsid w:val="003B4AC4"/>
    <w:rsid w:val="003C0D60"/>
    <w:rsid w:val="003C5770"/>
    <w:rsid w:val="003C5B3F"/>
    <w:rsid w:val="003D2CDD"/>
    <w:rsid w:val="003D4100"/>
    <w:rsid w:val="003E1880"/>
    <w:rsid w:val="003E619E"/>
    <w:rsid w:val="003F1989"/>
    <w:rsid w:val="003F25B5"/>
    <w:rsid w:val="003F431D"/>
    <w:rsid w:val="003F7CC4"/>
    <w:rsid w:val="00402EBB"/>
    <w:rsid w:val="004037B6"/>
    <w:rsid w:val="004077B5"/>
    <w:rsid w:val="004100E3"/>
    <w:rsid w:val="00412401"/>
    <w:rsid w:val="004167D6"/>
    <w:rsid w:val="0041684F"/>
    <w:rsid w:val="00427865"/>
    <w:rsid w:val="004302D4"/>
    <w:rsid w:val="00433A43"/>
    <w:rsid w:val="00433A6E"/>
    <w:rsid w:val="004349D3"/>
    <w:rsid w:val="00436CB4"/>
    <w:rsid w:val="0043708E"/>
    <w:rsid w:val="00437BE4"/>
    <w:rsid w:val="004414C8"/>
    <w:rsid w:val="0044329B"/>
    <w:rsid w:val="00450CC9"/>
    <w:rsid w:val="004567F0"/>
    <w:rsid w:val="004570F2"/>
    <w:rsid w:val="00461630"/>
    <w:rsid w:val="00462890"/>
    <w:rsid w:val="004634F3"/>
    <w:rsid w:val="00470917"/>
    <w:rsid w:val="00477202"/>
    <w:rsid w:val="00477533"/>
    <w:rsid w:val="004839B5"/>
    <w:rsid w:val="00486CB7"/>
    <w:rsid w:val="0049085D"/>
    <w:rsid w:val="004915AB"/>
    <w:rsid w:val="004916C0"/>
    <w:rsid w:val="00492714"/>
    <w:rsid w:val="00494C60"/>
    <w:rsid w:val="0049664B"/>
    <w:rsid w:val="00497533"/>
    <w:rsid w:val="004A1F68"/>
    <w:rsid w:val="004B4320"/>
    <w:rsid w:val="004B7134"/>
    <w:rsid w:val="004C7350"/>
    <w:rsid w:val="004C79B3"/>
    <w:rsid w:val="004D2C3C"/>
    <w:rsid w:val="004D385D"/>
    <w:rsid w:val="004D6554"/>
    <w:rsid w:val="004E0552"/>
    <w:rsid w:val="004E09F3"/>
    <w:rsid w:val="004E32A4"/>
    <w:rsid w:val="004E7979"/>
    <w:rsid w:val="004F0E29"/>
    <w:rsid w:val="004F265F"/>
    <w:rsid w:val="005034A0"/>
    <w:rsid w:val="00504113"/>
    <w:rsid w:val="00511EF4"/>
    <w:rsid w:val="0051407F"/>
    <w:rsid w:val="00515598"/>
    <w:rsid w:val="005175E5"/>
    <w:rsid w:val="00522441"/>
    <w:rsid w:val="00523DE2"/>
    <w:rsid w:val="00526212"/>
    <w:rsid w:val="005410FC"/>
    <w:rsid w:val="00541C11"/>
    <w:rsid w:val="00543D87"/>
    <w:rsid w:val="00544A8B"/>
    <w:rsid w:val="00546DEB"/>
    <w:rsid w:val="0054720B"/>
    <w:rsid w:val="00552501"/>
    <w:rsid w:val="005546EF"/>
    <w:rsid w:val="0055642A"/>
    <w:rsid w:val="00556694"/>
    <w:rsid w:val="005571BE"/>
    <w:rsid w:val="005602C2"/>
    <w:rsid w:val="00564217"/>
    <w:rsid w:val="00577413"/>
    <w:rsid w:val="0058627C"/>
    <w:rsid w:val="00586CED"/>
    <w:rsid w:val="0059034E"/>
    <w:rsid w:val="00596EB4"/>
    <w:rsid w:val="005A1DBE"/>
    <w:rsid w:val="005A4DF6"/>
    <w:rsid w:val="005A5620"/>
    <w:rsid w:val="005A7357"/>
    <w:rsid w:val="005B02B3"/>
    <w:rsid w:val="005B0728"/>
    <w:rsid w:val="005B3671"/>
    <w:rsid w:val="005B400A"/>
    <w:rsid w:val="005B62DF"/>
    <w:rsid w:val="005B6D79"/>
    <w:rsid w:val="005B78CF"/>
    <w:rsid w:val="005B7E56"/>
    <w:rsid w:val="005C642A"/>
    <w:rsid w:val="005C69B7"/>
    <w:rsid w:val="005C6B68"/>
    <w:rsid w:val="005D6542"/>
    <w:rsid w:val="005E1F84"/>
    <w:rsid w:val="005E3B32"/>
    <w:rsid w:val="005F2109"/>
    <w:rsid w:val="005F75D4"/>
    <w:rsid w:val="00601290"/>
    <w:rsid w:val="0061254F"/>
    <w:rsid w:val="0061273C"/>
    <w:rsid w:val="00615445"/>
    <w:rsid w:val="00615FF4"/>
    <w:rsid w:val="00616654"/>
    <w:rsid w:val="006167E4"/>
    <w:rsid w:val="006200C5"/>
    <w:rsid w:val="006234F5"/>
    <w:rsid w:val="00623E7D"/>
    <w:rsid w:val="00624033"/>
    <w:rsid w:val="0062498F"/>
    <w:rsid w:val="0062529F"/>
    <w:rsid w:val="00625F85"/>
    <w:rsid w:val="00627479"/>
    <w:rsid w:val="00631D5C"/>
    <w:rsid w:val="00635B5A"/>
    <w:rsid w:val="00640889"/>
    <w:rsid w:val="00640BC7"/>
    <w:rsid w:val="006412A2"/>
    <w:rsid w:val="006413D0"/>
    <w:rsid w:val="00642EF6"/>
    <w:rsid w:val="00643C47"/>
    <w:rsid w:val="00645116"/>
    <w:rsid w:val="00650AD7"/>
    <w:rsid w:val="00650E72"/>
    <w:rsid w:val="0065711E"/>
    <w:rsid w:val="006618F0"/>
    <w:rsid w:val="006638ED"/>
    <w:rsid w:val="00663DCD"/>
    <w:rsid w:val="00664F10"/>
    <w:rsid w:val="00665EF9"/>
    <w:rsid w:val="00666A10"/>
    <w:rsid w:val="0067734B"/>
    <w:rsid w:val="00680831"/>
    <w:rsid w:val="0069099D"/>
    <w:rsid w:val="00691D3A"/>
    <w:rsid w:val="00692589"/>
    <w:rsid w:val="006935AB"/>
    <w:rsid w:val="00693FB6"/>
    <w:rsid w:val="00694BE9"/>
    <w:rsid w:val="006963CF"/>
    <w:rsid w:val="00697249"/>
    <w:rsid w:val="0069748E"/>
    <w:rsid w:val="006979AF"/>
    <w:rsid w:val="006A0BC4"/>
    <w:rsid w:val="006B554A"/>
    <w:rsid w:val="006B7AB9"/>
    <w:rsid w:val="006C3E9A"/>
    <w:rsid w:val="006C6F98"/>
    <w:rsid w:val="006D0295"/>
    <w:rsid w:val="006D1747"/>
    <w:rsid w:val="006D1CE3"/>
    <w:rsid w:val="006D34E0"/>
    <w:rsid w:val="006D5112"/>
    <w:rsid w:val="006D5D15"/>
    <w:rsid w:val="006D7C01"/>
    <w:rsid w:val="006E0674"/>
    <w:rsid w:val="006E24E6"/>
    <w:rsid w:val="006E45A4"/>
    <w:rsid w:val="006E7465"/>
    <w:rsid w:val="006F1318"/>
    <w:rsid w:val="006F2C33"/>
    <w:rsid w:val="006F303E"/>
    <w:rsid w:val="0070166D"/>
    <w:rsid w:val="00702A41"/>
    <w:rsid w:val="00703F98"/>
    <w:rsid w:val="0070471C"/>
    <w:rsid w:val="00706495"/>
    <w:rsid w:val="00710B9E"/>
    <w:rsid w:val="0071205D"/>
    <w:rsid w:val="00714179"/>
    <w:rsid w:val="0072192C"/>
    <w:rsid w:val="00722935"/>
    <w:rsid w:val="00730C76"/>
    <w:rsid w:val="00731D0D"/>
    <w:rsid w:val="00733E0E"/>
    <w:rsid w:val="00735872"/>
    <w:rsid w:val="007431D1"/>
    <w:rsid w:val="00746DF4"/>
    <w:rsid w:val="0075380C"/>
    <w:rsid w:val="007543FD"/>
    <w:rsid w:val="00757899"/>
    <w:rsid w:val="00762427"/>
    <w:rsid w:val="00772BDA"/>
    <w:rsid w:val="00777318"/>
    <w:rsid w:val="00782E78"/>
    <w:rsid w:val="00794C00"/>
    <w:rsid w:val="0079520B"/>
    <w:rsid w:val="00796DEE"/>
    <w:rsid w:val="007A02CF"/>
    <w:rsid w:val="007A309D"/>
    <w:rsid w:val="007A3C4B"/>
    <w:rsid w:val="007B2300"/>
    <w:rsid w:val="007B3ED7"/>
    <w:rsid w:val="007B66CE"/>
    <w:rsid w:val="007C0057"/>
    <w:rsid w:val="007C3DDC"/>
    <w:rsid w:val="007C3E3A"/>
    <w:rsid w:val="007C5ECE"/>
    <w:rsid w:val="007D0C54"/>
    <w:rsid w:val="007D101E"/>
    <w:rsid w:val="007D24AE"/>
    <w:rsid w:val="007E02C7"/>
    <w:rsid w:val="007E366E"/>
    <w:rsid w:val="007E4A1D"/>
    <w:rsid w:val="007E594D"/>
    <w:rsid w:val="007F2055"/>
    <w:rsid w:val="007F31F7"/>
    <w:rsid w:val="007F4597"/>
    <w:rsid w:val="008004C6"/>
    <w:rsid w:val="008009BE"/>
    <w:rsid w:val="00801C99"/>
    <w:rsid w:val="00802805"/>
    <w:rsid w:val="00804B03"/>
    <w:rsid w:val="00806B7B"/>
    <w:rsid w:val="008105C6"/>
    <w:rsid w:val="008140F1"/>
    <w:rsid w:val="00815EF9"/>
    <w:rsid w:val="00816AF5"/>
    <w:rsid w:val="008232DF"/>
    <w:rsid w:val="00823BB2"/>
    <w:rsid w:val="008243A5"/>
    <w:rsid w:val="00824691"/>
    <w:rsid w:val="00825EFD"/>
    <w:rsid w:val="00830717"/>
    <w:rsid w:val="00832B16"/>
    <w:rsid w:val="008337EB"/>
    <w:rsid w:val="008356B5"/>
    <w:rsid w:val="00841289"/>
    <w:rsid w:val="0084218E"/>
    <w:rsid w:val="00842B5B"/>
    <w:rsid w:val="008459FE"/>
    <w:rsid w:val="00856CE1"/>
    <w:rsid w:val="00863F96"/>
    <w:rsid w:val="008720FD"/>
    <w:rsid w:val="008757DC"/>
    <w:rsid w:val="0088094F"/>
    <w:rsid w:val="00885F4F"/>
    <w:rsid w:val="0089045F"/>
    <w:rsid w:val="00891C74"/>
    <w:rsid w:val="008929EB"/>
    <w:rsid w:val="00894D88"/>
    <w:rsid w:val="0089512F"/>
    <w:rsid w:val="008A3F34"/>
    <w:rsid w:val="008A5A18"/>
    <w:rsid w:val="008B19CF"/>
    <w:rsid w:val="008B6543"/>
    <w:rsid w:val="008B6E5F"/>
    <w:rsid w:val="008C0BB0"/>
    <w:rsid w:val="008C37BA"/>
    <w:rsid w:val="008C3AAA"/>
    <w:rsid w:val="008C3C56"/>
    <w:rsid w:val="008C4DB0"/>
    <w:rsid w:val="008C5F8B"/>
    <w:rsid w:val="008D29B0"/>
    <w:rsid w:val="008D6546"/>
    <w:rsid w:val="008E1FC1"/>
    <w:rsid w:val="008E2216"/>
    <w:rsid w:val="008F3E18"/>
    <w:rsid w:val="008F500C"/>
    <w:rsid w:val="008F7A10"/>
    <w:rsid w:val="00900BC8"/>
    <w:rsid w:val="00905ED0"/>
    <w:rsid w:val="00907F91"/>
    <w:rsid w:val="00911835"/>
    <w:rsid w:val="00924D76"/>
    <w:rsid w:val="00924E5F"/>
    <w:rsid w:val="009263AA"/>
    <w:rsid w:val="00930097"/>
    <w:rsid w:val="00934FB1"/>
    <w:rsid w:val="00941BF0"/>
    <w:rsid w:val="009428E0"/>
    <w:rsid w:val="009461A5"/>
    <w:rsid w:val="00946FF5"/>
    <w:rsid w:val="009472A5"/>
    <w:rsid w:val="00951406"/>
    <w:rsid w:val="00952774"/>
    <w:rsid w:val="00957582"/>
    <w:rsid w:val="00971EDD"/>
    <w:rsid w:val="00972558"/>
    <w:rsid w:val="00974754"/>
    <w:rsid w:val="0098241C"/>
    <w:rsid w:val="00984119"/>
    <w:rsid w:val="00985B2C"/>
    <w:rsid w:val="00986BE0"/>
    <w:rsid w:val="00987FAB"/>
    <w:rsid w:val="009921C5"/>
    <w:rsid w:val="00992C51"/>
    <w:rsid w:val="009943F1"/>
    <w:rsid w:val="0099499D"/>
    <w:rsid w:val="009A5306"/>
    <w:rsid w:val="009B1F47"/>
    <w:rsid w:val="009B2A86"/>
    <w:rsid w:val="009B4D7E"/>
    <w:rsid w:val="009B7A3B"/>
    <w:rsid w:val="009D3C97"/>
    <w:rsid w:val="009D609A"/>
    <w:rsid w:val="009D65AF"/>
    <w:rsid w:val="009D75F8"/>
    <w:rsid w:val="009E400D"/>
    <w:rsid w:val="009F0361"/>
    <w:rsid w:val="009F1399"/>
    <w:rsid w:val="009F1A9D"/>
    <w:rsid w:val="009F3E44"/>
    <w:rsid w:val="009F5039"/>
    <w:rsid w:val="00A045DE"/>
    <w:rsid w:val="00A10F09"/>
    <w:rsid w:val="00A11BD9"/>
    <w:rsid w:val="00A132CC"/>
    <w:rsid w:val="00A15402"/>
    <w:rsid w:val="00A15592"/>
    <w:rsid w:val="00A15733"/>
    <w:rsid w:val="00A16F78"/>
    <w:rsid w:val="00A22332"/>
    <w:rsid w:val="00A24349"/>
    <w:rsid w:val="00A24A1D"/>
    <w:rsid w:val="00A25749"/>
    <w:rsid w:val="00A27105"/>
    <w:rsid w:val="00A3114B"/>
    <w:rsid w:val="00A463C0"/>
    <w:rsid w:val="00A51BD2"/>
    <w:rsid w:val="00A53639"/>
    <w:rsid w:val="00A55429"/>
    <w:rsid w:val="00A560DC"/>
    <w:rsid w:val="00A620D6"/>
    <w:rsid w:val="00A658E4"/>
    <w:rsid w:val="00A72195"/>
    <w:rsid w:val="00A756FF"/>
    <w:rsid w:val="00A77E3D"/>
    <w:rsid w:val="00A813F1"/>
    <w:rsid w:val="00A86369"/>
    <w:rsid w:val="00A964EA"/>
    <w:rsid w:val="00AA1FDB"/>
    <w:rsid w:val="00AA3889"/>
    <w:rsid w:val="00AA3D39"/>
    <w:rsid w:val="00AA5976"/>
    <w:rsid w:val="00AA7337"/>
    <w:rsid w:val="00AB3DA4"/>
    <w:rsid w:val="00AC02FE"/>
    <w:rsid w:val="00AC4A88"/>
    <w:rsid w:val="00AC4D3F"/>
    <w:rsid w:val="00AC5062"/>
    <w:rsid w:val="00AC6752"/>
    <w:rsid w:val="00AE0328"/>
    <w:rsid w:val="00AE1217"/>
    <w:rsid w:val="00AF3479"/>
    <w:rsid w:val="00AF3F58"/>
    <w:rsid w:val="00AF45C9"/>
    <w:rsid w:val="00B014CC"/>
    <w:rsid w:val="00B0278C"/>
    <w:rsid w:val="00B03934"/>
    <w:rsid w:val="00B05B6C"/>
    <w:rsid w:val="00B06E6E"/>
    <w:rsid w:val="00B1116F"/>
    <w:rsid w:val="00B11B79"/>
    <w:rsid w:val="00B13A6D"/>
    <w:rsid w:val="00B15D9A"/>
    <w:rsid w:val="00B1702A"/>
    <w:rsid w:val="00B17B84"/>
    <w:rsid w:val="00B23F91"/>
    <w:rsid w:val="00B247C9"/>
    <w:rsid w:val="00B2730D"/>
    <w:rsid w:val="00B27AE8"/>
    <w:rsid w:val="00B31D80"/>
    <w:rsid w:val="00B331F4"/>
    <w:rsid w:val="00B337E5"/>
    <w:rsid w:val="00B34E94"/>
    <w:rsid w:val="00B35411"/>
    <w:rsid w:val="00B54C5F"/>
    <w:rsid w:val="00B56776"/>
    <w:rsid w:val="00B56ACC"/>
    <w:rsid w:val="00B57284"/>
    <w:rsid w:val="00B60226"/>
    <w:rsid w:val="00B628CD"/>
    <w:rsid w:val="00B646F8"/>
    <w:rsid w:val="00B7171A"/>
    <w:rsid w:val="00B74AD4"/>
    <w:rsid w:val="00B7611B"/>
    <w:rsid w:val="00B800B3"/>
    <w:rsid w:val="00B80964"/>
    <w:rsid w:val="00B8119C"/>
    <w:rsid w:val="00B87FFC"/>
    <w:rsid w:val="00B90011"/>
    <w:rsid w:val="00B92247"/>
    <w:rsid w:val="00B93458"/>
    <w:rsid w:val="00B960E8"/>
    <w:rsid w:val="00B961EB"/>
    <w:rsid w:val="00B97D37"/>
    <w:rsid w:val="00BA0BAA"/>
    <w:rsid w:val="00BA39D5"/>
    <w:rsid w:val="00BA5B44"/>
    <w:rsid w:val="00BB29D6"/>
    <w:rsid w:val="00BB3AD8"/>
    <w:rsid w:val="00BB4E53"/>
    <w:rsid w:val="00BC0279"/>
    <w:rsid w:val="00BC565F"/>
    <w:rsid w:val="00BC6694"/>
    <w:rsid w:val="00BC6999"/>
    <w:rsid w:val="00BC6BFF"/>
    <w:rsid w:val="00BC7DBD"/>
    <w:rsid w:val="00BD192F"/>
    <w:rsid w:val="00BD2785"/>
    <w:rsid w:val="00BD30E6"/>
    <w:rsid w:val="00BE17DE"/>
    <w:rsid w:val="00BE45B6"/>
    <w:rsid w:val="00BE4E19"/>
    <w:rsid w:val="00BF101F"/>
    <w:rsid w:val="00BF338B"/>
    <w:rsid w:val="00BF3B42"/>
    <w:rsid w:val="00C0152C"/>
    <w:rsid w:val="00C0398B"/>
    <w:rsid w:val="00C03AA5"/>
    <w:rsid w:val="00C041DF"/>
    <w:rsid w:val="00C0791A"/>
    <w:rsid w:val="00C10394"/>
    <w:rsid w:val="00C17ED2"/>
    <w:rsid w:val="00C20BDD"/>
    <w:rsid w:val="00C20ED1"/>
    <w:rsid w:val="00C23AED"/>
    <w:rsid w:val="00C26E3D"/>
    <w:rsid w:val="00C30D2E"/>
    <w:rsid w:val="00C32DD8"/>
    <w:rsid w:val="00C35127"/>
    <w:rsid w:val="00C35322"/>
    <w:rsid w:val="00C35829"/>
    <w:rsid w:val="00C408E5"/>
    <w:rsid w:val="00C439DC"/>
    <w:rsid w:val="00C45C01"/>
    <w:rsid w:val="00C46E4C"/>
    <w:rsid w:val="00C46F82"/>
    <w:rsid w:val="00C477D9"/>
    <w:rsid w:val="00C53530"/>
    <w:rsid w:val="00C53F19"/>
    <w:rsid w:val="00C5612D"/>
    <w:rsid w:val="00C56CBE"/>
    <w:rsid w:val="00C64389"/>
    <w:rsid w:val="00C64607"/>
    <w:rsid w:val="00C646D6"/>
    <w:rsid w:val="00C668EC"/>
    <w:rsid w:val="00C67D43"/>
    <w:rsid w:val="00C7116D"/>
    <w:rsid w:val="00C7146F"/>
    <w:rsid w:val="00C9346F"/>
    <w:rsid w:val="00CA028B"/>
    <w:rsid w:val="00CA2946"/>
    <w:rsid w:val="00CA3B6E"/>
    <w:rsid w:val="00CB3E29"/>
    <w:rsid w:val="00CB57DF"/>
    <w:rsid w:val="00CC160B"/>
    <w:rsid w:val="00CC6146"/>
    <w:rsid w:val="00CC7836"/>
    <w:rsid w:val="00CC7E79"/>
    <w:rsid w:val="00CD12AD"/>
    <w:rsid w:val="00CD6B87"/>
    <w:rsid w:val="00CD7AEF"/>
    <w:rsid w:val="00CE09E8"/>
    <w:rsid w:val="00CE170C"/>
    <w:rsid w:val="00CF1E60"/>
    <w:rsid w:val="00CF3C6A"/>
    <w:rsid w:val="00CF7E84"/>
    <w:rsid w:val="00D01D7B"/>
    <w:rsid w:val="00D02998"/>
    <w:rsid w:val="00D04702"/>
    <w:rsid w:val="00D0478D"/>
    <w:rsid w:val="00D12495"/>
    <w:rsid w:val="00D13518"/>
    <w:rsid w:val="00D16079"/>
    <w:rsid w:val="00D20B2E"/>
    <w:rsid w:val="00D21536"/>
    <w:rsid w:val="00D3058D"/>
    <w:rsid w:val="00D3069A"/>
    <w:rsid w:val="00D332E6"/>
    <w:rsid w:val="00D33A25"/>
    <w:rsid w:val="00D34CA3"/>
    <w:rsid w:val="00D46D89"/>
    <w:rsid w:val="00D54CCD"/>
    <w:rsid w:val="00D6051F"/>
    <w:rsid w:val="00D654B1"/>
    <w:rsid w:val="00D6595D"/>
    <w:rsid w:val="00D70AD6"/>
    <w:rsid w:val="00D743BA"/>
    <w:rsid w:val="00D7458B"/>
    <w:rsid w:val="00D807E4"/>
    <w:rsid w:val="00D8322B"/>
    <w:rsid w:val="00D83407"/>
    <w:rsid w:val="00D845E3"/>
    <w:rsid w:val="00D91957"/>
    <w:rsid w:val="00D9504C"/>
    <w:rsid w:val="00DA46B3"/>
    <w:rsid w:val="00DA60C0"/>
    <w:rsid w:val="00DA6CDE"/>
    <w:rsid w:val="00DC1B10"/>
    <w:rsid w:val="00DC4306"/>
    <w:rsid w:val="00DC50A6"/>
    <w:rsid w:val="00DC6991"/>
    <w:rsid w:val="00DD0A33"/>
    <w:rsid w:val="00DD4B15"/>
    <w:rsid w:val="00DD4E4A"/>
    <w:rsid w:val="00DE0FF9"/>
    <w:rsid w:val="00DE10EB"/>
    <w:rsid w:val="00DE6F3A"/>
    <w:rsid w:val="00DF5DAC"/>
    <w:rsid w:val="00DF6420"/>
    <w:rsid w:val="00DF6452"/>
    <w:rsid w:val="00E00BAC"/>
    <w:rsid w:val="00E00CD9"/>
    <w:rsid w:val="00E01EB7"/>
    <w:rsid w:val="00E04C31"/>
    <w:rsid w:val="00E12B3B"/>
    <w:rsid w:val="00E13670"/>
    <w:rsid w:val="00E17DBC"/>
    <w:rsid w:val="00E21C9D"/>
    <w:rsid w:val="00E237B1"/>
    <w:rsid w:val="00E24B3E"/>
    <w:rsid w:val="00E25DA1"/>
    <w:rsid w:val="00E2691F"/>
    <w:rsid w:val="00E27EDC"/>
    <w:rsid w:val="00E33289"/>
    <w:rsid w:val="00E5084D"/>
    <w:rsid w:val="00E51BFE"/>
    <w:rsid w:val="00E53809"/>
    <w:rsid w:val="00E539D4"/>
    <w:rsid w:val="00E56C49"/>
    <w:rsid w:val="00E6066C"/>
    <w:rsid w:val="00E616F2"/>
    <w:rsid w:val="00E6372F"/>
    <w:rsid w:val="00E71322"/>
    <w:rsid w:val="00E732A5"/>
    <w:rsid w:val="00E7517E"/>
    <w:rsid w:val="00E76686"/>
    <w:rsid w:val="00E82314"/>
    <w:rsid w:val="00E823A2"/>
    <w:rsid w:val="00E82430"/>
    <w:rsid w:val="00E83A56"/>
    <w:rsid w:val="00EA16D8"/>
    <w:rsid w:val="00EA3BBB"/>
    <w:rsid w:val="00EA4165"/>
    <w:rsid w:val="00EA76B4"/>
    <w:rsid w:val="00EA7F51"/>
    <w:rsid w:val="00EB6F9F"/>
    <w:rsid w:val="00EB77F3"/>
    <w:rsid w:val="00EC7012"/>
    <w:rsid w:val="00ED1E9D"/>
    <w:rsid w:val="00ED2401"/>
    <w:rsid w:val="00ED2E72"/>
    <w:rsid w:val="00ED5512"/>
    <w:rsid w:val="00ED5D9B"/>
    <w:rsid w:val="00EE1221"/>
    <w:rsid w:val="00EE56ED"/>
    <w:rsid w:val="00EE7D55"/>
    <w:rsid w:val="00F00AE4"/>
    <w:rsid w:val="00F02F4B"/>
    <w:rsid w:val="00F03680"/>
    <w:rsid w:val="00F11A91"/>
    <w:rsid w:val="00F131C7"/>
    <w:rsid w:val="00F146CA"/>
    <w:rsid w:val="00F16059"/>
    <w:rsid w:val="00F246D4"/>
    <w:rsid w:val="00F30940"/>
    <w:rsid w:val="00F30C1D"/>
    <w:rsid w:val="00F359CA"/>
    <w:rsid w:val="00F36527"/>
    <w:rsid w:val="00F37AB1"/>
    <w:rsid w:val="00F40484"/>
    <w:rsid w:val="00F528F2"/>
    <w:rsid w:val="00F555E4"/>
    <w:rsid w:val="00F56CF8"/>
    <w:rsid w:val="00F60A54"/>
    <w:rsid w:val="00F60E38"/>
    <w:rsid w:val="00F636C2"/>
    <w:rsid w:val="00F65642"/>
    <w:rsid w:val="00F65AD6"/>
    <w:rsid w:val="00F7245A"/>
    <w:rsid w:val="00F74E9D"/>
    <w:rsid w:val="00F8074E"/>
    <w:rsid w:val="00F80905"/>
    <w:rsid w:val="00F81048"/>
    <w:rsid w:val="00F828FC"/>
    <w:rsid w:val="00F83630"/>
    <w:rsid w:val="00F91C72"/>
    <w:rsid w:val="00F92952"/>
    <w:rsid w:val="00F93C9C"/>
    <w:rsid w:val="00F942D6"/>
    <w:rsid w:val="00F96248"/>
    <w:rsid w:val="00F972A7"/>
    <w:rsid w:val="00FA0EA5"/>
    <w:rsid w:val="00FA2BBC"/>
    <w:rsid w:val="00FA3E69"/>
    <w:rsid w:val="00FA6EAC"/>
    <w:rsid w:val="00FB2EF6"/>
    <w:rsid w:val="00FB4F14"/>
    <w:rsid w:val="00FB6080"/>
    <w:rsid w:val="00FB65B4"/>
    <w:rsid w:val="00FC414D"/>
    <w:rsid w:val="00FC51E7"/>
    <w:rsid w:val="00FC6091"/>
    <w:rsid w:val="00FD1F5E"/>
    <w:rsid w:val="00FD322D"/>
    <w:rsid w:val="00FD5FAD"/>
    <w:rsid w:val="00FE15FC"/>
    <w:rsid w:val="00FE3889"/>
    <w:rsid w:val="00FE7F6D"/>
    <w:rsid w:val="00FF125D"/>
    <w:rsid w:val="00FF26E8"/>
    <w:rsid w:val="00FF2768"/>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FFE9"/>
  <w15:chartTrackingRefBased/>
  <w15:docId w15:val="{F06CB7E9-77F8-4A95-90BE-E186EA0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12D"/>
    <w:pPr>
      <w:ind w:left="720"/>
      <w:contextualSpacing/>
    </w:pPr>
  </w:style>
  <w:style w:type="paragraph" w:styleId="Header">
    <w:name w:val="header"/>
    <w:basedOn w:val="Normal"/>
    <w:link w:val="HeaderChar"/>
    <w:uiPriority w:val="99"/>
    <w:unhideWhenUsed/>
    <w:rsid w:val="008D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B0"/>
  </w:style>
  <w:style w:type="paragraph" w:styleId="Footer">
    <w:name w:val="footer"/>
    <w:basedOn w:val="Normal"/>
    <w:link w:val="FooterChar"/>
    <w:uiPriority w:val="99"/>
    <w:unhideWhenUsed/>
    <w:rsid w:val="008D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B0"/>
  </w:style>
  <w:style w:type="character" w:styleId="Hyperlink">
    <w:name w:val="Hyperlink"/>
    <w:basedOn w:val="DefaultParagraphFont"/>
    <w:uiPriority w:val="99"/>
    <w:unhideWhenUsed/>
    <w:rsid w:val="00D6051F"/>
    <w:rPr>
      <w:color w:val="0000FF"/>
      <w:u w:val="single"/>
    </w:rPr>
  </w:style>
  <w:style w:type="character" w:styleId="FollowedHyperlink">
    <w:name w:val="FollowedHyperlink"/>
    <w:basedOn w:val="DefaultParagraphFont"/>
    <w:uiPriority w:val="99"/>
    <w:semiHidden/>
    <w:unhideWhenUsed/>
    <w:rsid w:val="00D6051F"/>
    <w:rPr>
      <w:color w:val="954F72" w:themeColor="followedHyperlink"/>
      <w:u w:val="single"/>
    </w:rPr>
  </w:style>
  <w:style w:type="character" w:styleId="CommentReference">
    <w:name w:val="annotation reference"/>
    <w:basedOn w:val="DefaultParagraphFont"/>
    <w:uiPriority w:val="99"/>
    <w:semiHidden/>
    <w:unhideWhenUsed/>
    <w:rsid w:val="00B17B84"/>
    <w:rPr>
      <w:sz w:val="16"/>
      <w:szCs w:val="16"/>
    </w:rPr>
  </w:style>
  <w:style w:type="paragraph" w:styleId="CommentText">
    <w:name w:val="annotation text"/>
    <w:basedOn w:val="Normal"/>
    <w:link w:val="CommentTextChar"/>
    <w:uiPriority w:val="99"/>
    <w:semiHidden/>
    <w:unhideWhenUsed/>
    <w:rsid w:val="00B17B84"/>
    <w:pPr>
      <w:spacing w:line="240" w:lineRule="auto"/>
    </w:pPr>
    <w:rPr>
      <w:sz w:val="20"/>
      <w:szCs w:val="20"/>
    </w:rPr>
  </w:style>
  <w:style w:type="character" w:customStyle="1" w:styleId="CommentTextChar">
    <w:name w:val="Comment Text Char"/>
    <w:basedOn w:val="DefaultParagraphFont"/>
    <w:link w:val="CommentText"/>
    <w:uiPriority w:val="99"/>
    <w:semiHidden/>
    <w:rsid w:val="00B17B84"/>
    <w:rPr>
      <w:sz w:val="20"/>
      <w:szCs w:val="20"/>
    </w:rPr>
  </w:style>
  <w:style w:type="paragraph" w:styleId="CommentSubject">
    <w:name w:val="annotation subject"/>
    <w:basedOn w:val="CommentText"/>
    <w:next w:val="CommentText"/>
    <w:link w:val="CommentSubjectChar"/>
    <w:uiPriority w:val="99"/>
    <w:semiHidden/>
    <w:unhideWhenUsed/>
    <w:rsid w:val="00B17B84"/>
    <w:rPr>
      <w:b/>
      <w:bCs/>
    </w:rPr>
  </w:style>
  <w:style w:type="character" w:customStyle="1" w:styleId="CommentSubjectChar">
    <w:name w:val="Comment Subject Char"/>
    <w:basedOn w:val="CommentTextChar"/>
    <w:link w:val="CommentSubject"/>
    <w:uiPriority w:val="99"/>
    <w:semiHidden/>
    <w:rsid w:val="00B17B84"/>
    <w:rPr>
      <w:b/>
      <w:bCs/>
      <w:sz w:val="20"/>
      <w:szCs w:val="20"/>
    </w:rPr>
  </w:style>
  <w:style w:type="character" w:styleId="UnresolvedMention">
    <w:name w:val="Unresolved Mention"/>
    <w:basedOn w:val="DefaultParagraphFont"/>
    <w:uiPriority w:val="99"/>
    <w:semiHidden/>
    <w:unhideWhenUsed/>
    <w:rsid w:val="002C0155"/>
    <w:rPr>
      <w:color w:val="605E5C"/>
      <w:shd w:val="clear" w:color="auto" w:fill="E1DFDD"/>
    </w:rPr>
  </w:style>
  <w:style w:type="character" w:customStyle="1" w:styleId="sr-only">
    <w:name w:val="sr-only"/>
    <w:basedOn w:val="DefaultParagraphFont"/>
    <w:rsid w:val="00326B33"/>
  </w:style>
  <w:style w:type="paragraph" w:styleId="Revision">
    <w:name w:val="Revision"/>
    <w:hidden/>
    <w:uiPriority w:val="99"/>
    <w:semiHidden/>
    <w:rsid w:val="0070471C"/>
    <w:pPr>
      <w:spacing w:after="0" w:line="240" w:lineRule="auto"/>
    </w:pPr>
  </w:style>
  <w:style w:type="character" w:customStyle="1" w:styleId="cf01">
    <w:name w:val="cf01"/>
    <w:basedOn w:val="DefaultParagraphFont"/>
    <w:rsid w:val="0098241C"/>
    <w:rPr>
      <w:rFonts w:ascii="Segoe UI" w:hAnsi="Segoe UI" w:cs="Segoe UI" w:hint="default"/>
      <w:sz w:val="18"/>
      <w:szCs w:val="18"/>
    </w:rPr>
  </w:style>
  <w:style w:type="paragraph" w:customStyle="1" w:styleId="pf0">
    <w:name w:val="pf0"/>
    <w:basedOn w:val="Normal"/>
    <w:rsid w:val="00AA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A3889"/>
    <w:rPr>
      <w:rFonts w:ascii="Segoe UI" w:hAnsi="Segoe UI" w:cs="Segoe UI" w:hint="default"/>
      <w:sz w:val="18"/>
      <w:szCs w:val="18"/>
    </w:rPr>
  </w:style>
  <w:style w:type="table" w:styleId="TableGrid">
    <w:name w:val="Table Grid"/>
    <w:basedOn w:val="TableNormal"/>
    <w:uiPriority w:val="39"/>
    <w:rsid w:val="00863F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1010">
      <w:bodyDiv w:val="1"/>
      <w:marLeft w:val="0"/>
      <w:marRight w:val="0"/>
      <w:marTop w:val="0"/>
      <w:marBottom w:val="0"/>
      <w:divBdr>
        <w:top w:val="none" w:sz="0" w:space="0" w:color="auto"/>
        <w:left w:val="none" w:sz="0" w:space="0" w:color="auto"/>
        <w:bottom w:val="none" w:sz="0" w:space="0" w:color="auto"/>
        <w:right w:val="none" w:sz="0" w:space="0" w:color="auto"/>
      </w:divBdr>
    </w:div>
    <w:div w:id="379131195">
      <w:bodyDiv w:val="1"/>
      <w:marLeft w:val="0"/>
      <w:marRight w:val="0"/>
      <w:marTop w:val="0"/>
      <w:marBottom w:val="0"/>
      <w:divBdr>
        <w:top w:val="none" w:sz="0" w:space="0" w:color="auto"/>
        <w:left w:val="none" w:sz="0" w:space="0" w:color="auto"/>
        <w:bottom w:val="none" w:sz="0" w:space="0" w:color="auto"/>
        <w:right w:val="none" w:sz="0" w:space="0" w:color="auto"/>
      </w:divBdr>
    </w:div>
    <w:div w:id="705986278">
      <w:bodyDiv w:val="1"/>
      <w:marLeft w:val="0"/>
      <w:marRight w:val="0"/>
      <w:marTop w:val="0"/>
      <w:marBottom w:val="0"/>
      <w:divBdr>
        <w:top w:val="none" w:sz="0" w:space="0" w:color="auto"/>
        <w:left w:val="none" w:sz="0" w:space="0" w:color="auto"/>
        <w:bottom w:val="none" w:sz="0" w:space="0" w:color="auto"/>
        <w:right w:val="none" w:sz="0" w:space="0" w:color="auto"/>
      </w:divBdr>
    </w:div>
    <w:div w:id="1030574267">
      <w:bodyDiv w:val="1"/>
      <w:marLeft w:val="0"/>
      <w:marRight w:val="0"/>
      <w:marTop w:val="0"/>
      <w:marBottom w:val="0"/>
      <w:divBdr>
        <w:top w:val="none" w:sz="0" w:space="0" w:color="auto"/>
        <w:left w:val="none" w:sz="0" w:space="0" w:color="auto"/>
        <w:bottom w:val="none" w:sz="0" w:space="0" w:color="auto"/>
        <w:right w:val="none" w:sz="0" w:space="0" w:color="auto"/>
      </w:divBdr>
    </w:div>
    <w:div w:id="1044718629">
      <w:bodyDiv w:val="1"/>
      <w:marLeft w:val="0"/>
      <w:marRight w:val="0"/>
      <w:marTop w:val="0"/>
      <w:marBottom w:val="0"/>
      <w:divBdr>
        <w:top w:val="none" w:sz="0" w:space="0" w:color="auto"/>
        <w:left w:val="none" w:sz="0" w:space="0" w:color="auto"/>
        <w:bottom w:val="none" w:sz="0" w:space="0" w:color="auto"/>
        <w:right w:val="none" w:sz="0" w:space="0" w:color="auto"/>
      </w:divBdr>
    </w:div>
    <w:div w:id="1185364719">
      <w:bodyDiv w:val="1"/>
      <w:marLeft w:val="0"/>
      <w:marRight w:val="0"/>
      <w:marTop w:val="0"/>
      <w:marBottom w:val="0"/>
      <w:divBdr>
        <w:top w:val="none" w:sz="0" w:space="0" w:color="auto"/>
        <w:left w:val="none" w:sz="0" w:space="0" w:color="auto"/>
        <w:bottom w:val="none" w:sz="0" w:space="0" w:color="auto"/>
        <w:right w:val="none" w:sz="0" w:space="0" w:color="auto"/>
      </w:divBdr>
    </w:div>
    <w:div w:id="1858881181">
      <w:bodyDiv w:val="1"/>
      <w:marLeft w:val="0"/>
      <w:marRight w:val="0"/>
      <w:marTop w:val="0"/>
      <w:marBottom w:val="0"/>
      <w:divBdr>
        <w:top w:val="none" w:sz="0" w:space="0" w:color="auto"/>
        <w:left w:val="none" w:sz="0" w:space="0" w:color="auto"/>
        <w:bottom w:val="none" w:sz="0" w:space="0" w:color="auto"/>
        <w:right w:val="none" w:sz="0" w:space="0" w:color="auto"/>
      </w:divBdr>
    </w:div>
    <w:div w:id="20861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annabis-flower-technician-experiences-fatal-asthma-exacerbation-massachusetts" TargetMode="External"/><Relationship Id="rId13" Type="http://schemas.openxmlformats.org/officeDocument/2006/relationships/hyperlink" Target="https://redcap.ehs.mass.gov/redcap/surveys/?s=CE8RFAH4RPRTC8M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ss.gov/work-related-asthm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how-to/report-an-occupational-disease-or-injury" TargetMode="External"/><Relationship Id="rId5" Type="http://schemas.openxmlformats.org/officeDocument/2006/relationships/webSettings" Target="webSettings.xml"/><Relationship Id="rId15" Type="http://schemas.openxmlformats.org/officeDocument/2006/relationships/hyperlink" Target="https://www.mass.gov/doc/occupational-illness-and-injury-reporting-guidelines-and-confidential-reporting-form-for-faxmail-submission/download" TargetMode="External"/><Relationship Id="rId23" Type="http://schemas.openxmlformats.org/officeDocument/2006/relationships/theme" Target="theme/theme1.xml"/><Relationship Id="rId10" Type="http://schemas.openxmlformats.org/officeDocument/2006/relationships/hyperlink" Target="https://www.mass.gov/regulations/105-CMR-30000-reportable-diseases-surveillance-and-isolation-and-quarantine-require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ss.gov/how-to/report-an-occupational-disease-or-injury"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4DD7B-66A6-471D-A989-EDECC23D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10896</Characters>
  <Application>Microsoft Office Word</Application>
  <DocSecurity>0</DocSecurity>
  <Lines>201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5</cp:revision>
  <dcterms:created xsi:type="dcterms:W3CDTF">2023-10-13T15:28:00Z</dcterms:created>
  <dcterms:modified xsi:type="dcterms:W3CDTF">2023-11-16T19:57:00Z</dcterms:modified>
</cp:coreProperties>
</file>