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8A6" w:rsidRPr="004F0DDF" w:rsidRDefault="00D208A6" w:rsidP="00D208A6">
      <w:pPr>
        <w:spacing w:after="0"/>
        <w:jc w:val="center"/>
        <w:rPr>
          <w:rFonts w:asciiTheme="majorHAnsi" w:hAnsiTheme="majorHAnsi"/>
        </w:rPr>
      </w:pPr>
      <w:bookmarkStart w:id="0" w:name="_GoBack"/>
      <w:bookmarkEnd w:id="0"/>
      <w:r w:rsidRPr="004F0DDF">
        <w:rPr>
          <w:rFonts w:asciiTheme="majorHAnsi" w:hAnsiTheme="majorHAnsi"/>
        </w:rPr>
        <w:t>The Experience of One Care Members Transitioning from Fallon Total Care</w:t>
      </w:r>
    </w:p>
    <w:p w:rsidR="00D208A6" w:rsidRDefault="00D208A6" w:rsidP="00D208A6">
      <w:pPr>
        <w:spacing w:after="0"/>
        <w:jc w:val="center"/>
        <w:rPr>
          <w:rFonts w:asciiTheme="majorHAnsi" w:hAnsiTheme="majorHAnsi"/>
        </w:rPr>
      </w:pPr>
      <w:r w:rsidRPr="004F0DDF">
        <w:rPr>
          <w:rFonts w:asciiTheme="majorHAnsi" w:hAnsiTheme="majorHAnsi"/>
        </w:rPr>
        <w:t>Addendum to the Fallon Transition Survey Report</w:t>
      </w:r>
    </w:p>
    <w:p w:rsidR="007B6839" w:rsidRPr="004F0DDF" w:rsidRDefault="007B6839" w:rsidP="00D208A6">
      <w:pPr>
        <w:spacing w:after="0"/>
        <w:jc w:val="center"/>
        <w:rPr>
          <w:rFonts w:asciiTheme="majorHAnsi" w:hAnsiTheme="majorHAnsi"/>
        </w:rPr>
      </w:pPr>
      <w:r>
        <w:rPr>
          <w:rFonts w:asciiTheme="majorHAnsi" w:hAnsiTheme="majorHAnsi"/>
        </w:rPr>
        <w:t xml:space="preserve">September </w:t>
      </w:r>
      <w:r w:rsidR="00E3720A">
        <w:rPr>
          <w:rFonts w:asciiTheme="majorHAnsi" w:hAnsiTheme="majorHAnsi"/>
        </w:rPr>
        <w:t>2</w:t>
      </w:r>
      <w:r>
        <w:rPr>
          <w:rFonts w:asciiTheme="majorHAnsi" w:hAnsiTheme="majorHAnsi"/>
        </w:rPr>
        <w:t>8, 2017</w:t>
      </w:r>
    </w:p>
    <w:p w:rsidR="00D208A6" w:rsidRPr="004F0DDF" w:rsidRDefault="00D208A6" w:rsidP="00D208A6">
      <w:pPr>
        <w:spacing w:after="0"/>
        <w:rPr>
          <w:rFonts w:asciiTheme="majorHAnsi" w:hAnsiTheme="majorHAnsi"/>
        </w:rPr>
      </w:pPr>
    </w:p>
    <w:p w:rsidR="00BD12C8" w:rsidRPr="004F0DDF" w:rsidRDefault="00BD12C8" w:rsidP="003012AA">
      <w:pPr>
        <w:spacing w:after="0" w:line="240" w:lineRule="auto"/>
        <w:rPr>
          <w:rFonts w:asciiTheme="majorHAnsi" w:hAnsiTheme="majorHAnsi"/>
        </w:rPr>
      </w:pPr>
      <w:r w:rsidRPr="004F0DDF">
        <w:rPr>
          <w:rFonts w:asciiTheme="majorHAnsi" w:hAnsiTheme="majorHAnsi"/>
        </w:rPr>
        <w:t>One Care is designed to integrate care for dually-eligible (Medicare and Medicaid) members age 21 to 64</w:t>
      </w:r>
      <w:r w:rsidR="003E2A70">
        <w:rPr>
          <w:rFonts w:asciiTheme="majorHAnsi" w:hAnsiTheme="majorHAnsi"/>
        </w:rPr>
        <w:t xml:space="preserve"> at the time of enrollment</w:t>
      </w:r>
      <w:r w:rsidRPr="004F0DDF">
        <w:rPr>
          <w:rFonts w:asciiTheme="majorHAnsi" w:hAnsiTheme="majorHAnsi"/>
        </w:rPr>
        <w:t xml:space="preserve">.  One Care provides for members’ primary, acute, specialty, and behavioral health care needs, as well as prescription medications and long-term services and support (LTSS) needs, under a single health plan.  Launched in October 2013, One Care was initially offered by three health plans – Commonwealth Care Alliance (CCA), </w:t>
      </w:r>
      <w:r w:rsidR="005270C0">
        <w:rPr>
          <w:rFonts w:asciiTheme="majorHAnsi" w:hAnsiTheme="majorHAnsi"/>
        </w:rPr>
        <w:t xml:space="preserve">Network Health (now </w:t>
      </w:r>
      <w:r w:rsidRPr="004F0DDF">
        <w:rPr>
          <w:rFonts w:asciiTheme="majorHAnsi" w:hAnsiTheme="majorHAnsi"/>
        </w:rPr>
        <w:t>Tufts-Health Unify (Tufts)</w:t>
      </w:r>
      <w:r w:rsidR="005270C0">
        <w:rPr>
          <w:rFonts w:asciiTheme="majorHAnsi" w:hAnsiTheme="majorHAnsi"/>
        </w:rPr>
        <w:t>)</w:t>
      </w:r>
      <w:r w:rsidRPr="004F0DDF">
        <w:rPr>
          <w:rFonts w:asciiTheme="majorHAnsi" w:hAnsiTheme="majorHAnsi"/>
        </w:rPr>
        <w:t xml:space="preserve">, and Fallon Total Care (FTC).  FTC ended its participation in the One Care program in September 2015.  Members who </w:t>
      </w:r>
      <w:r w:rsidR="00F55ECE" w:rsidRPr="004F0DDF">
        <w:rPr>
          <w:rFonts w:asciiTheme="majorHAnsi" w:hAnsiTheme="majorHAnsi"/>
        </w:rPr>
        <w:t>had been enrolled in FTC could choose to enroll in either CCA or Tufts (if available); enroll in a Medicare Advantage plan; or return to fee-for-service (FFS) MassHealth and original Medicare.  FTC member who did not make a choice were automatically enrolled into MassHealth FFS and Medicare.</w:t>
      </w:r>
    </w:p>
    <w:p w:rsidR="00F55ECE" w:rsidRPr="004F0DDF" w:rsidRDefault="00F55ECE" w:rsidP="00D208A6">
      <w:pPr>
        <w:spacing w:after="0"/>
        <w:rPr>
          <w:rFonts w:asciiTheme="majorHAnsi" w:hAnsiTheme="majorHAnsi"/>
        </w:rPr>
      </w:pPr>
    </w:p>
    <w:p w:rsidR="00093280" w:rsidRPr="004F0DDF" w:rsidRDefault="00F55ECE" w:rsidP="003012AA">
      <w:pPr>
        <w:spacing w:after="0" w:line="240" w:lineRule="auto"/>
        <w:rPr>
          <w:rFonts w:asciiTheme="majorHAnsi" w:hAnsiTheme="majorHAnsi"/>
        </w:rPr>
      </w:pPr>
      <w:r w:rsidRPr="004F0DDF">
        <w:rPr>
          <w:rFonts w:asciiTheme="majorHAnsi" w:hAnsiTheme="majorHAnsi"/>
        </w:rPr>
        <w:t xml:space="preserve">The goals of the Fallon Transition Survey were to </w:t>
      </w:r>
      <w:r w:rsidR="00730F3A" w:rsidRPr="004F0DDF">
        <w:rPr>
          <w:rFonts w:asciiTheme="majorHAnsi" w:hAnsiTheme="majorHAnsi"/>
        </w:rPr>
        <w:t>examine members’ experiences with the transition from FTC to a new One Care plan or back to FFS</w:t>
      </w:r>
      <w:r w:rsidR="003012AA" w:rsidRPr="004F0DDF">
        <w:rPr>
          <w:rFonts w:asciiTheme="majorHAnsi" w:hAnsiTheme="majorHAnsi"/>
        </w:rPr>
        <w:t>;</w:t>
      </w:r>
      <w:r w:rsidR="00730F3A" w:rsidRPr="004F0DDF">
        <w:rPr>
          <w:rFonts w:asciiTheme="majorHAnsi" w:hAnsiTheme="majorHAnsi"/>
        </w:rPr>
        <w:t xml:space="preserve"> </w:t>
      </w:r>
      <w:r w:rsidR="003012AA" w:rsidRPr="004F0DDF">
        <w:rPr>
          <w:rFonts w:asciiTheme="majorHAnsi" w:hAnsiTheme="majorHAnsi"/>
        </w:rPr>
        <w:t>t</w:t>
      </w:r>
      <w:r w:rsidR="00730F3A" w:rsidRPr="004F0DDF">
        <w:rPr>
          <w:rFonts w:asciiTheme="majorHAnsi" w:hAnsiTheme="majorHAnsi"/>
        </w:rPr>
        <w:t xml:space="preserve">o compare members’ experiences </w:t>
      </w:r>
      <w:r w:rsidR="00980922">
        <w:rPr>
          <w:rFonts w:asciiTheme="majorHAnsi" w:hAnsiTheme="majorHAnsi"/>
        </w:rPr>
        <w:t>with and perceptions of</w:t>
      </w:r>
      <w:r w:rsidR="00730F3A" w:rsidRPr="004F0DDF">
        <w:rPr>
          <w:rFonts w:asciiTheme="majorHAnsi" w:hAnsiTheme="majorHAnsi"/>
        </w:rPr>
        <w:t xml:space="preserve"> </w:t>
      </w:r>
      <w:r w:rsidR="00980922">
        <w:rPr>
          <w:rFonts w:asciiTheme="majorHAnsi" w:hAnsiTheme="majorHAnsi"/>
        </w:rPr>
        <w:t xml:space="preserve">their </w:t>
      </w:r>
      <w:r w:rsidR="00730F3A" w:rsidRPr="004F0DDF">
        <w:rPr>
          <w:rFonts w:asciiTheme="majorHAnsi" w:hAnsiTheme="majorHAnsi"/>
        </w:rPr>
        <w:t>care when they were enrolled in FTC with their new care after FTC’s closure</w:t>
      </w:r>
      <w:r w:rsidR="003012AA" w:rsidRPr="004F0DDF">
        <w:rPr>
          <w:rFonts w:asciiTheme="majorHAnsi" w:hAnsiTheme="majorHAnsi"/>
        </w:rPr>
        <w:t>; and to determine if there were differences in the experiences</w:t>
      </w:r>
      <w:r w:rsidR="00980922">
        <w:rPr>
          <w:rFonts w:asciiTheme="majorHAnsi" w:hAnsiTheme="majorHAnsi"/>
        </w:rPr>
        <w:t xml:space="preserve"> and perceptions</w:t>
      </w:r>
      <w:r w:rsidR="003012AA" w:rsidRPr="004F0DDF">
        <w:rPr>
          <w:rFonts w:asciiTheme="majorHAnsi" w:hAnsiTheme="majorHAnsi"/>
        </w:rPr>
        <w:t xml:space="preserve"> of members moving to another One Care plan compared to those returning to FFS.  The survey was administered in the summer of 2016 to 1,532 randomly selected former FTC members</w:t>
      </w:r>
      <w:r w:rsidR="006032F3" w:rsidRPr="004F0DDF">
        <w:rPr>
          <w:rFonts w:asciiTheme="majorHAnsi" w:hAnsiTheme="majorHAnsi"/>
        </w:rPr>
        <w:t>; 65% of members</w:t>
      </w:r>
      <w:r w:rsidR="00093280" w:rsidRPr="004F0DDF">
        <w:rPr>
          <w:rFonts w:asciiTheme="majorHAnsi" w:hAnsiTheme="majorHAnsi"/>
        </w:rPr>
        <w:t xml:space="preserve"> in the sample</w:t>
      </w:r>
      <w:r w:rsidR="006032F3" w:rsidRPr="004F0DDF">
        <w:rPr>
          <w:rFonts w:asciiTheme="majorHAnsi" w:hAnsiTheme="majorHAnsi"/>
        </w:rPr>
        <w:t xml:space="preserve"> had moved back to FFS while 35% had moved to another One Care plan</w:t>
      </w:r>
      <w:r w:rsidR="003012AA" w:rsidRPr="004F0DDF">
        <w:rPr>
          <w:rFonts w:asciiTheme="majorHAnsi" w:hAnsiTheme="majorHAnsi"/>
        </w:rPr>
        <w:t>.</w:t>
      </w:r>
      <w:r w:rsidR="006032F3" w:rsidRPr="004F0DDF">
        <w:rPr>
          <w:rFonts w:asciiTheme="majorHAnsi" w:hAnsiTheme="majorHAnsi"/>
        </w:rPr>
        <w:t xml:space="preserve">  </w:t>
      </w:r>
    </w:p>
    <w:p w:rsidR="00093280" w:rsidRPr="004F0DDF" w:rsidRDefault="00093280" w:rsidP="003012AA">
      <w:pPr>
        <w:spacing w:after="0" w:line="240" w:lineRule="auto"/>
        <w:rPr>
          <w:rFonts w:asciiTheme="majorHAnsi" w:hAnsiTheme="majorHAnsi"/>
        </w:rPr>
      </w:pPr>
    </w:p>
    <w:p w:rsidR="006032F3" w:rsidRPr="004F0DDF" w:rsidRDefault="006032F3" w:rsidP="00D43776">
      <w:pPr>
        <w:spacing w:after="0" w:line="240" w:lineRule="auto"/>
        <w:rPr>
          <w:rFonts w:asciiTheme="majorHAnsi" w:hAnsiTheme="majorHAnsi"/>
        </w:rPr>
      </w:pPr>
      <w:r w:rsidRPr="004F0DDF">
        <w:rPr>
          <w:rFonts w:asciiTheme="majorHAnsi" w:hAnsiTheme="majorHAnsi"/>
        </w:rPr>
        <w:t>A total of 494 members responded to the survey</w:t>
      </w:r>
      <w:r w:rsidR="00093280" w:rsidRPr="004F0DDF">
        <w:rPr>
          <w:rFonts w:asciiTheme="majorHAnsi" w:hAnsiTheme="majorHAnsi"/>
        </w:rPr>
        <w:t xml:space="preserve"> (</w:t>
      </w:r>
      <w:r w:rsidRPr="004F0DDF">
        <w:rPr>
          <w:rFonts w:asciiTheme="majorHAnsi" w:hAnsiTheme="majorHAnsi"/>
        </w:rPr>
        <w:t>an overall response rate of 32%</w:t>
      </w:r>
      <w:r w:rsidR="00093280" w:rsidRPr="004F0DDF">
        <w:rPr>
          <w:rFonts w:asciiTheme="majorHAnsi" w:hAnsiTheme="majorHAnsi"/>
        </w:rPr>
        <w:t>)</w:t>
      </w:r>
      <w:r w:rsidRPr="004F0DDF">
        <w:rPr>
          <w:rFonts w:asciiTheme="majorHAnsi" w:hAnsiTheme="majorHAnsi"/>
        </w:rPr>
        <w:t>.</w:t>
      </w:r>
      <w:r w:rsidR="00093280" w:rsidRPr="004F0DDF">
        <w:rPr>
          <w:rFonts w:asciiTheme="majorHAnsi" w:hAnsiTheme="majorHAnsi"/>
        </w:rPr>
        <w:t xml:space="preserve">  Among responding members, 298 (60%) had moved to FFS and 196 (40%) had moved to another One Care plan, with 134 moving to Tufts and 62 moving to CCA.</w:t>
      </w:r>
      <w:r w:rsidRPr="004F0DDF">
        <w:rPr>
          <w:rFonts w:asciiTheme="majorHAnsi" w:hAnsiTheme="majorHAnsi"/>
        </w:rPr>
        <w:t xml:space="preserve">  A report of findings from the Fallon Transition Survey was provided to MassHealth in June 2017, and a presentation of findings was made to the One Care Implementation Council on July 25, 2017.</w:t>
      </w:r>
      <w:r w:rsidR="00B0019A" w:rsidRPr="004F0DDF">
        <w:rPr>
          <w:rFonts w:asciiTheme="majorHAnsi" w:hAnsiTheme="majorHAnsi"/>
        </w:rPr>
        <w:t xml:space="preserve">  Members of the Implementation Council expressed interest in additional analyses to determine if there were differences in the experiences</w:t>
      </w:r>
      <w:r w:rsidR="00980922">
        <w:rPr>
          <w:rFonts w:asciiTheme="majorHAnsi" w:hAnsiTheme="majorHAnsi"/>
        </w:rPr>
        <w:t xml:space="preserve"> and perceptions</w:t>
      </w:r>
      <w:r w:rsidR="00B0019A" w:rsidRPr="004F0DDF">
        <w:rPr>
          <w:rFonts w:asciiTheme="majorHAnsi" w:hAnsiTheme="majorHAnsi"/>
        </w:rPr>
        <w:t xml:space="preserve"> of members who moved to Tufts in comparison to CCA.  In response to this request, we examined differences between members moving to Tufts </w:t>
      </w:r>
      <w:r w:rsidR="00300E05">
        <w:rPr>
          <w:rFonts w:asciiTheme="majorHAnsi" w:hAnsiTheme="majorHAnsi"/>
        </w:rPr>
        <w:t>and members moving to</w:t>
      </w:r>
      <w:r w:rsidR="00B0019A" w:rsidRPr="004F0DDF">
        <w:rPr>
          <w:rFonts w:asciiTheme="majorHAnsi" w:hAnsiTheme="majorHAnsi"/>
        </w:rPr>
        <w:t xml:space="preserve"> CCA on the following questions</w:t>
      </w:r>
      <w:r w:rsidR="004F0DDF" w:rsidRPr="004F0DDF">
        <w:rPr>
          <w:rFonts w:asciiTheme="majorHAnsi" w:hAnsiTheme="majorHAnsi"/>
        </w:rPr>
        <w:t xml:space="preserve"> </w:t>
      </w:r>
      <w:r w:rsidR="00385B8F">
        <w:rPr>
          <w:rFonts w:asciiTheme="majorHAnsi" w:hAnsiTheme="majorHAnsi"/>
        </w:rPr>
        <w:t>(survey question number is provided</w:t>
      </w:r>
      <w:r w:rsidR="004F0DDF" w:rsidRPr="004F0DDF">
        <w:rPr>
          <w:rFonts w:asciiTheme="majorHAnsi" w:hAnsiTheme="majorHAnsi"/>
        </w:rPr>
        <w:t>)</w:t>
      </w:r>
      <w:r w:rsidR="00B0019A" w:rsidRPr="004F0DDF">
        <w:rPr>
          <w:rFonts w:asciiTheme="majorHAnsi" w:hAnsiTheme="majorHAnsi"/>
        </w:rPr>
        <w:t>:</w:t>
      </w:r>
    </w:p>
    <w:p w:rsidR="004F0DDF" w:rsidRPr="004F0DDF" w:rsidRDefault="004F0DDF" w:rsidP="00D43776">
      <w:pPr>
        <w:pStyle w:val="ListParagraph"/>
        <w:numPr>
          <w:ilvl w:val="0"/>
          <w:numId w:val="3"/>
        </w:numPr>
        <w:rPr>
          <w:rFonts w:asciiTheme="majorHAnsi" w:hAnsiTheme="majorHAnsi" w:cstheme="minorBidi"/>
        </w:rPr>
      </w:pPr>
      <w:r>
        <w:rPr>
          <w:rFonts w:asciiTheme="majorHAnsi" w:hAnsiTheme="majorHAnsi" w:cstheme="minorBidi"/>
        </w:rPr>
        <w:t xml:space="preserve">Q12a - </w:t>
      </w:r>
      <w:r w:rsidRPr="004F0DDF">
        <w:rPr>
          <w:rFonts w:asciiTheme="majorHAnsi" w:hAnsiTheme="majorHAnsi" w:cstheme="minorBidi"/>
        </w:rPr>
        <w:t>Do you use or need prescription medications? (yes or no)</w:t>
      </w:r>
    </w:p>
    <w:p w:rsidR="004F0DDF" w:rsidRPr="004F0DDF" w:rsidRDefault="004F0DDF" w:rsidP="00D43776">
      <w:pPr>
        <w:pStyle w:val="ListParagraph"/>
        <w:numPr>
          <w:ilvl w:val="1"/>
          <w:numId w:val="3"/>
        </w:numPr>
        <w:rPr>
          <w:rFonts w:asciiTheme="majorHAnsi" w:hAnsiTheme="majorHAnsi" w:cstheme="minorBidi"/>
        </w:rPr>
      </w:pPr>
      <w:r>
        <w:rPr>
          <w:rFonts w:asciiTheme="majorHAnsi" w:hAnsiTheme="majorHAnsi" w:cstheme="minorBidi"/>
        </w:rPr>
        <w:t xml:space="preserve">Q12b - </w:t>
      </w:r>
      <w:r w:rsidRPr="004F0DDF">
        <w:rPr>
          <w:rFonts w:asciiTheme="majorHAnsi" w:hAnsiTheme="majorHAnsi" w:cstheme="minorBidi"/>
        </w:rPr>
        <w:t>If yes, compared to FTC how do you rate your new plan in meeting your needs? (much better to much worse)</w:t>
      </w:r>
    </w:p>
    <w:p w:rsidR="004F0DDF" w:rsidRPr="004F0DDF" w:rsidRDefault="004F0DDF" w:rsidP="00D43776">
      <w:pPr>
        <w:pStyle w:val="ListParagraph"/>
        <w:numPr>
          <w:ilvl w:val="0"/>
          <w:numId w:val="3"/>
        </w:numPr>
        <w:rPr>
          <w:rFonts w:asciiTheme="majorHAnsi" w:hAnsiTheme="majorHAnsi" w:cstheme="minorBidi"/>
        </w:rPr>
      </w:pPr>
      <w:r>
        <w:rPr>
          <w:rFonts w:asciiTheme="majorHAnsi" w:hAnsiTheme="majorHAnsi" w:cstheme="minorBidi"/>
        </w:rPr>
        <w:t xml:space="preserve">Q14a - </w:t>
      </w:r>
      <w:r w:rsidRPr="004F0DDF">
        <w:rPr>
          <w:rFonts w:asciiTheme="majorHAnsi" w:hAnsiTheme="majorHAnsi" w:cstheme="minorBidi"/>
        </w:rPr>
        <w:t xml:space="preserve">Do you use or need medical equipment or supplies? (yes or no) </w:t>
      </w:r>
    </w:p>
    <w:p w:rsidR="004F0DDF" w:rsidRPr="004F0DDF" w:rsidRDefault="004F0DDF" w:rsidP="00D43776">
      <w:pPr>
        <w:pStyle w:val="ListParagraph"/>
        <w:numPr>
          <w:ilvl w:val="1"/>
          <w:numId w:val="3"/>
        </w:numPr>
        <w:rPr>
          <w:rFonts w:asciiTheme="majorHAnsi" w:hAnsiTheme="majorHAnsi" w:cstheme="minorBidi"/>
        </w:rPr>
      </w:pPr>
      <w:r>
        <w:rPr>
          <w:rFonts w:asciiTheme="majorHAnsi" w:hAnsiTheme="majorHAnsi" w:cstheme="minorBidi"/>
        </w:rPr>
        <w:t xml:space="preserve">Q14b - </w:t>
      </w:r>
      <w:r w:rsidRPr="004F0DDF">
        <w:rPr>
          <w:rFonts w:asciiTheme="majorHAnsi" w:hAnsiTheme="majorHAnsi" w:cstheme="minorBidi"/>
        </w:rPr>
        <w:t>If yes, compared to FTC how do you rate your new plan in meeting your needs? (much better to much worse)</w:t>
      </w:r>
    </w:p>
    <w:p w:rsidR="00B0019A" w:rsidRPr="004F0DDF" w:rsidRDefault="004F0DDF" w:rsidP="00D43776">
      <w:pPr>
        <w:pStyle w:val="ListParagraph"/>
        <w:numPr>
          <w:ilvl w:val="0"/>
          <w:numId w:val="3"/>
        </w:numPr>
        <w:rPr>
          <w:rFonts w:asciiTheme="majorHAnsi" w:hAnsiTheme="majorHAnsi" w:cstheme="minorBidi"/>
        </w:rPr>
      </w:pPr>
      <w:r>
        <w:rPr>
          <w:rFonts w:asciiTheme="majorHAnsi" w:hAnsiTheme="majorHAnsi" w:cstheme="minorBidi"/>
        </w:rPr>
        <w:t xml:space="preserve">Q15b - </w:t>
      </w:r>
      <w:r w:rsidR="00B0019A" w:rsidRPr="004F0DDF">
        <w:rPr>
          <w:rFonts w:asciiTheme="majorHAnsi" w:hAnsiTheme="majorHAnsi" w:cstheme="minorBidi"/>
        </w:rPr>
        <w:t>How easy or difficult</w:t>
      </w:r>
      <w:r w:rsidR="000E0F52" w:rsidRPr="004F0DDF">
        <w:rPr>
          <w:rFonts w:asciiTheme="majorHAnsi" w:hAnsiTheme="majorHAnsi" w:cstheme="minorBidi"/>
        </w:rPr>
        <w:t xml:space="preserve"> is it to get the care you need?</w:t>
      </w:r>
      <w:r w:rsidR="00B0019A" w:rsidRPr="004F0DDF">
        <w:rPr>
          <w:rFonts w:asciiTheme="majorHAnsi" w:hAnsiTheme="majorHAnsi" w:cstheme="minorBidi"/>
        </w:rPr>
        <w:t xml:space="preserve"> (very easy to very difficult)</w:t>
      </w:r>
      <w:r w:rsidRPr="004F0DDF">
        <w:rPr>
          <w:rFonts w:asciiTheme="majorHAnsi" w:hAnsiTheme="majorHAnsi" w:cstheme="minorBidi"/>
        </w:rPr>
        <w:t xml:space="preserve"> </w:t>
      </w:r>
    </w:p>
    <w:p w:rsidR="004F0DDF" w:rsidRDefault="004F0DDF" w:rsidP="00D43776">
      <w:pPr>
        <w:pStyle w:val="ListParagraph"/>
        <w:numPr>
          <w:ilvl w:val="0"/>
          <w:numId w:val="3"/>
        </w:numPr>
        <w:rPr>
          <w:rFonts w:asciiTheme="majorHAnsi" w:hAnsiTheme="majorHAnsi" w:cstheme="minorBidi"/>
        </w:rPr>
      </w:pPr>
      <w:r>
        <w:rPr>
          <w:rFonts w:asciiTheme="majorHAnsi" w:hAnsiTheme="majorHAnsi" w:cstheme="minorBidi"/>
        </w:rPr>
        <w:t xml:space="preserve">Q15c - </w:t>
      </w:r>
      <w:r w:rsidR="00B0019A" w:rsidRPr="004F0DDF">
        <w:rPr>
          <w:rFonts w:asciiTheme="majorHAnsi" w:hAnsiTheme="majorHAnsi" w:cstheme="minorBidi"/>
        </w:rPr>
        <w:t xml:space="preserve">How </w:t>
      </w:r>
      <w:r w:rsidR="000E0F52" w:rsidRPr="004F0DDF">
        <w:rPr>
          <w:rFonts w:asciiTheme="majorHAnsi" w:hAnsiTheme="majorHAnsi" w:cstheme="minorBidi"/>
        </w:rPr>
        <w:t xml:space="preserve">does </w:t>
      </w:r>
      <w:r w:rsidR="00D43776">
        <w:rPr>
          <w:rFonts w:asciiTheme="majorHAnsi" w:hAnsiTheme="majorHAnsi" w:cstheme="minorBidi"/>
        </w:rPr>
        <w:t xml:space="preserve">care under </w:t>
      </w:r>
      <w:r w:rsidR="000E0F52" w:rsidRPr="004F0DDF">
        <w:rPr>
          <w:rFonts w:asciiTheme="majorHAnsi" w:hAnsiTheme="majorHAnsi" w:cstheme="minorBidi"/>
        </w:rPr>
        <w:t xml:space="preserve">your </w:t>
      </w:r>
      <w:r w:rsidR="00B0019A" w:rsidRPr="004F0DDF">
        <w:rPr>
          <w:rFonts w:asciiTheme="majorHAnsi" w:hAnsiTheme="majorHAnsi" w:cstheme="minorBidi"/>
        </w:rPr>
        <w:t xml:space="preserve">new plan </w:t>
      </w:r>
      <w:r w:rsidR="000E0F52" w:rsidRPr="004F0DDF">
        <w:rPr>
          <w:rFonts w:asciiTheme="majorHAnsi" w:hAnsiTheme="majorHAnsi" w:cstheme="minorBidi"/>
        </w:rPr>
        <w:t>compare to FTC?</w:t>
      </w:r>
      <w:r w:rsidR="00B0019A" w:rsidRPr="004F0DDF">
        <w:rPr>
          <w:rFonts w:asciiTheme="majorHAnsi" w:hAnsiTheme="majorHAnsi" w:cstheme="minorBidi"/>
        </w:rPr>
        <w:t xml:space="preserve"> (much better to </w:t>
      </w:r>
      <w:r w:rsidR="000E0F52" w:rsidRPr="004F0DDF">
        <w:rPr>
          <w:rFonts w:asciiTheme="majorHAnsi" w:hAnsiTheme="majorHAnsi" w:cstheme="minorBidi"/>
        </w:rPr>
        <w:t>much worse</w:t>
      </w:r>
      <w:r w:rsidR="00B0019A" w:rsidRPr="004F0DDF">
        <w:rPr>
          <w:rFonts w:asciiTheme="majorHAnsi" w:hAnsiTheme="majorHAnsi" w:cstheme="minorBidi"/>
        </w:rPr>
        <w:t>)</w:t>
      </w:r>
    </w:p>
    <w:p w:rsidR="00416158" w:rsidRPr="004F0DDF" w:rsidRDefault="004F0DDF" w:rsidP="00D43776">
      <w:pPr>
        <w:pStyle w:val="ListParagraph"/>
        <w:numPr>
          <w:ilvl w:val="0"/>
          <w:numId w:val="3"/>
        </w:numPr>
        <w:rPr>
          <w:rFonts w:asciiTheme="majorHAnsi" w:hAnsiTheme="majorHAnsi" w:cstheme="minorBidi"/>
        </w:rPr>
      </w:pPr>
      <w:r w:rsidRPr="004F0DDF">
        <w:rPr>
          <w:rFonts w:asciiTheme="majorHAnsi" w:hAnsiTheme="majorHAnsi" w:cstheme="minorBidi"/>
        </w:rPr>
        <w:t xml:space="preserve">Q15d - </w:t>
      </w:r>
      <w:r w:rsidR="000E0F52" w:rsidRPr="004F0DDF">
        <w:rPr>
          <w:rFonts w:asciiTheme="majorHAnsi" w:hAnsiTheme="majorHAnsi" w:cstheme="minorBidi"/>
        </w:rPr>
        <w:t>How satisfied are you with your n</w:t>
      </w:r>
      <w:r w:rsidR="00B0019A" w:rsidRPr="004F0DDF">
        <w:rPr>
          <w:rFonts w:asciiTheme="majorHAnsi" w:hAnsiTheme="majorHAnsi" w:cstheme="minorBidi"/>
        </w:rPr>
        <w:t>ew plan</w:t>
      </w:r>
      <w:r w:rsidR="000E0F52" w:rsidRPr="004F0DDF">
        <w:rPr>
          <w:rFonts w:asciiTheme="majorHAnsi" w:hAnsiTheme="majorHAnsi" w:cstheme="minorBidi"/>
        </w:rPr>
        <w:t>?</w:t>
      </w:r>
      <w:r w:rsidR="00B0019A" w:rsidRPr="004F0DDF">
        <w:rPr>
          <w:rFonts w:asciiTheme="majorHAnsi" w:hAnsiTheme="majorHAnsi" w:cstheme="minorBidi"/>
        </w:rPr>
        <w:t xml:space="preserve"> (</w:t>
      </w:r>
      <w:r w:rsidR="000E0F52" w:rsidRPr="004F0DDF">
        <w:rPr>
          <w:rFonts w:asciiTheme="majorHAnsi" w:hAnsiTheme="majorHAnsi" w:cstheme="minorBidi"/>
        </w:rPr>
        <w:t xml:space="preserve">completely satisfied to </w:t>
      </w:r>
      <w:r w:rsidR="00B0019A" w:rsidRPr="004F0DDF">
        <w:rPr>
          <w:rFonts w:asciiTheme="majorHAnsi" w:hAnsiTheme="majorHAnsi" w:cstheme="minorBidi"/>
        </w:rPr>
        <w:t>complete</w:t>
      </w:r>
      <w:r w:rsidR="000E0F52" w:rsidRPr="004F0DDF">
        <w:rPr>
          <w:rFonts w:asciiTheme="majorHAnsi" w:hAnsiTheme="majorHAnsi" w:cstheme="minorBidi"/>
        </w:rPr>
        <w:t>ly</w:t>
      </w:r>
      <w:r w:rsidR="00B0019A" w:rsidRPr="004F0DDF">
        <w:rPr>
          <w:rFonts w:asciiTheme="majorHAnsi" w:hAnsiTheme="majorHAnsi" w:cstheme="minorBidi"/>
        </w:rPr>
        <w:t xml:space="preserve"> </w:t>
      </w:r>
      <w:r w:rsidR="000E0F52" w:rsidRPr="004F0DDF">
        <w:rPr>
          <w:rFonts w:asciiTheme="majorHAnsi" w:hAnsiTheme="majorHAnsi" w:cstheme="minorBidi"/>
        </w:rPr>
        <w:t>dis</w:t>
      </w:r>
      <w:r w:rsidRPr="004F0DDF">
        <w:rPr>
          <w:rFonts w:asciiTheme="majorHAnsi" w:hAnsiTheme="majorHAnsi" w:cstheme="minorBidi"/>
        </w:rPr>
        <w:t>satisfied)</w:t>
      </w:r>
    </w:p>
    <w:p w:rsidR="004F0DDF" w:rsidRDefault="004F0DDF" w:rsidP="00416158">
      <w:pPr>
        <w:spacing w:before="240" w:line="240" w:lineRule="auto"/>
        <w:rPr>
          <w:rFonts w:asciiTheme="majorHAnsi" w:hAnsiTheme="majorHAnsi"/>
        </w:rPr>
      </w:pPr>
      <w:r w:rsidRPr="004F0DDF">
        <w:rPr>
          <w:rFonts w:asciiTheme="majorHAnsi" w:hAnsiTheme="majorHAnsi"/>
        </w:rPr>
        <w:t>There were no statistically significant differences between mem</w:t>
      </w:r>
      <w:r w:rsidR="00385B8F">
        <w:rPr>
          <w:rFonts w:asciiTheme="majorHAnsi" w:hAnsiTheme="majorHAnsi"/>
        </w:rPr>
        <w:t xml:space="preserve">bers moving to Tufts </w:t>
      </w:r>
      <w:r w:rsidR="00300E05">
        <w:rPr>
          <w:rFonts w:asciiTheme="majorHAnsi" w:hAnsiTheme="majorHAnsi"/>
        </w:rPr>
        <w:t>and members moving to</w:t>
      </w:r>
      <w:r w:rsidR="00385B8F">
        <w:rPr>
          <w:rFonts w:asciiTheme="majorHAnsi" w:hAnsiTheme="majorHAnsi"/>
        </w:rPr>
        <w:t xml:space="preserve"> CCA on Q12a, Q12b, Q14a, Q14b, and Q15c. However, members moving from FTC to CCA were significantly more likely to rate their new plan as about the same or better, and were significantly more likely to be completely or somewhat satisfied with their new plan, than members moving to Tufts.</w:t>
      </w:r>
      <w:r w:rsidRPr="004F0DDF">
        <w:rPr>
          <w:rFonts w:asciiTheme="majorHAnsi" w:hAnsiTheme="majorHAnsi"/>
        </w:rPr>
        <w:t xml:space="preserve"> </w:t>
      </w:r>
    </w:p>
    <w:p w:rsidR="0031582F" w:rsidRPr="00416158" w:rsidRDefault="0031582F" w:rsidP="0031582F">
      <w:pPr>
        <w:pStyle w:val="ListParagraph"/>
        <w:ind w:left="0"/>
        <w:rPr>
          <w:rFonts w:asciiTheme="majorHAnsi" w:hAnsiTheme="majorHAnsi"/>
        </w:rPr>
      </w:pPr>
      <w:r w:rsidRPr="00416158">
        <w:rPr>
          <w:rFonts w:asciiTheme="majorHAnsi" w:hAnsiTheme="majorHAnsi"/>
        </w:rPr>
        <w:lastRenderedPageBreak/>
        <w:t xml:space="preserve">We recommend caution in drawing any conclusions about differences in the perceptions of members in CCA compared to Tufts based on these findings.  The major goal of the Fallon Transition Survey was to determine if there were differences in the experiences and perceptions </w:t>
      </w:r>
      <w:r w:rsidRPr="007B6839">
        <w:rPr>
          <w:rFonts w:asciiTheme="majorHAnsi" w:hAnsiTheme="majorHAnsi"/>
        </w:rPr>
        <w:t xml:space="preserve">of members transitioning from FTC to another One Care plan compared to those returning to FFS MassHealth/Medicare, not to compare the experiences of members moving to CCA and Tufts.  The number of members in CCA and Tufts who responded to the Fallon Transition Survey (“n”) </w:t>
      </w:r>
      <w:r w:rsidRPr="00416158">
        <w:rPr>
          <w:rFonts w:asciiTheme="majorHAnsi" w:hAnsiTheme="majorHAnsi"/>
        </w:rPr>
        <w:t>is very small.  Although we did observe statistically significant differences between members in CCA and members in Tufts in their perception of their care compared to FTC and their overall satisfaction with care,</w:t>
      </w:r>
      <w:r w:rsidRPr="007B6839">
        <w:rPr>
          <w:rFonts w:asciiTheme="majorHAnsi" w:hAnsiTheme="majorHAnsi"/>
        </w:rPr>
        <w:t xml:space="preserve"> it will be important to examine whether these differences persist with a larger sample of members.</w:t>
      </w:r>
    </w:p>
    <w:p w:rsidR="0031582F" w:rsidRDefault="0031582F" w:rsidP="00FC7BC6">
      <w:pPr>
        <w:spacing w:after="0"/>
        <w:rPr>
          <w:rFonts w:asciiTheme="majorHAnsi" w:hAnsiTheme="majorHAnsi"/>
        </w:rPr>
      </w:pPr>
    </w:p>
    <w:p w:rsidR="00C34A2C" w:rsidRPr="00D43776" w:rsidRDefault="00385B8F" w:rsidP="00FC7BC6">
      <w:pPr>
        <w:spacing w:after="0"/>
        <w:rPr>
          <w:rFonts w:asciiTheme="majorHAnsi" w:hAnsiTheme="majorHAnsi"/>
        </w:rPr>
      </w:pPr>
      <w:r w:rsidRPr="00D43776">
        <w:rPr>
          <w:rFonts w:asciiTheme="majorHAnsi" w:hAnsiTheme="majorHAnsi"/>
        </w:rPr>
        <w:t>Differences in Perceptions of M</w:t>
      </w:r>
      <w:r w:rsidR="00C34A2C" w:rsidRPr="00D43776">
        <w:rPr>
          <w:rFonts w:asciiTheme="majorHAnsi" w:hAnsiTheme="majorHAnsi"/>
        </w:rPr>
        <w:t xml:space="preserve">embers </w:t>
      </w:r>
      <w:r w:rsidRPr="00D43776">
        <w:rPr>
          <w:rFonts w:asciiTheme="majorHAnsi" w:hAnsiTheme="majorHAnsi"/>
        </w:rPr>
        <w:t xml:space="preserve">Moving from FTC to </w:t>
      </w:r>
      <w:r w:rsidR="00C34A2C" w:rsidRPr="00D43776">
        <w:rPr>
          <w:rFonts w:asciiTheme="majorHAnsi" w:hAnsiTheme="majorHAnsi"/>
        </w:rPr>
        <w:t>CCA or Tufts</w:t>
      </w:r>
    </w:p>
    <w:tbl>
      <w:tblPr>
        <w:tblStyle w:val="TableGrid"/>
        <w:tblW w:w="972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4230"/>
        <w:gridCol w:w="1080"/>
        <w:gridCol w:w="990"/>
      </w:tblGrid>
      <w:tr w:rsidR="005C6390" w:rsidRPr="00D43776" w:rsidTr="005C6390">
        <w:tc>
          <w:tcPr>
            <w:tcW w:w="3420" w:type="dxa"/>
            <w:tcBorders>
              <w:top w:val="single" w:sz="4" w:space="0" w:color="auto"/>
            </w:tcBorders>
          </w:tcPr>
          <w:p w:rsidR="000E0F52" w:rsidRPr="00D43776" w:rsidRDefault="000E0F52">
            <w:pPr>
              <w:rPr>
                <w:rFonts w:asciiTheme="majorHAnsi" w:hAnsiTheme="majorHAnsi"/>
              </w:rPr>
            </w:pPr>
          </w:p>
        </w:tc>
        <w:tc>
          <w:tcPr>
            <w:tcW w:w="4230" w:type="dxa"/>
            <w:tcBorders>
              <w:top w:val="single" w:sz="4" w:space="0" w:color="auto"/>
            </w:tcBorders>
          </w:tcPr>
          <w:p w:rsidR="000E0F52" w:rsidRPr="00D43776" w:rsidRDefault="000E0F52">
            <w:pPr>
              <w:rPr>
                <w:rFonts w:asciiTheme="majorHAnsi" w:hAnsiTheme="majorHAnsi"/>
              </w:rPr>
            </w:pPr>
          </w:p>
        </w:tc>
        <w:tc>
          <w:tcPr>
            <w:tcW w:w="1080" w:type="dxa"/>
            <w:tcBorders>
              <w:top w:val="single" w:sz="4" w:space="0" w:color="auto"/>
            </w:tcBorders>
          </w:tcPr>
          <w:p w:rsidR="000E0F52" w:rsidRPr="00D43776" w:rsidRDefault="000E0F52" w:rsidP="00D43776">
            <w:pPr>
              <w:jc w:val="center"/>
              <w:rPr>
                <w:rFonts w:asciiTheme="majorHAnsi" w:hAnsiTheme="majorHAnsi"/>
                <w:u w:val="single"/>
              </w:rPr>
            </w:pPr>
            <w:r w:rsidRPr="00D43776">
              <w:rPr>
                <w:rFonts w:asciiTheme="majorHAnsi" w:hAnsiTheme="majorHAnsi"/>
                <w:u w:val="single"/>
              </w:rPr>
              <w:t>CCA</w:t>
            </w:r>
          </w:p>
        </w:tc>
        <w:tc>
          <w:tcPr>
            <w:tcW w:w="990" w:type="dxa"/>
            <w:tcBorders>
              <w:top w:val="single" w:sz="4" w:space="0" w:color="auto"/>
            </w:tcBorders>
          </w:tcPr>
          <w:p w:rsidR="000E0F52" w:rsidRPr="00D43776" w:rsidRDefault="000E0F52" w:rsidP="00D43776">
            <w:pPr>
              <w:jc w:val="center"/>
              <w:rPr>
                <w:rFonts w:asciiTheme="majorHAnsi" w:hAnsiTheme="majorHAnsi"/>
                <w:u w:val="single"/>
              </w:rPr>
            </w:pPr>
            <w:r w:rsidRPr="00D43776">
              <w:rPr>
                <w:rFonts w:asciiTheme="majorHAnsi" w:hAnsiTheme="majorHAnsi"/>
                <w:u w:val="single"/>
              </w:rPr>
              <w:t>Tufts</w:t>
            </w:r>
          </w:p>
        </w:tc>
      </w:tr>
      <w:tr w:rsidR="005C6390" w:rsidRPr="00D43776" w:rsidTr="005C6390">
        <w:tc>
          <w:tcPr>
            <w:tcW w:w="3420" w:type="dxa"/>
            <w:tcBorders>
              <w:bottom w:val="single" w:sz="4" w:space="0" w:color="auto"/>
            </w:tcBorders>
          </w:tcPr>
          <w:p w:rsidR="000E0F52" w:rsidRPr="00D43776" w:rsidRDefault="000E0F52">
            <w:pPr>
              <w:rPr>
                <w:rFonts w:asciiTheme="majorHAnsi" w:hAnsiTheme="majorHAnsi"/>
              </w:rPr>
            </w:pPr>
          </w:p>
        </w:tc>
        <w:tc>
          <w:tcPr>
            <w:tcW w:w="4230" w:type="dxa"/>
            <w:tcBorders>
              <w:bottom w:val="single" w:sz="4" w:space="0" w:color="auto"/>
            </w:tcBorders>
          </w:tcPr>
          <w:p w:rsidR="000E0F52" w:rsidRPr="00D43776" w:rsidRDefault="000E0F52">
            <w:pPr>
              <w:rPr>
                <w:rFonts w:asciiTheme="majorHAnsi" w:hAnsiTheme="majorHAnsi"/>
              </w:rPr>
            </w:pPr>
          </w:p>
        </w:tc>
        <w:tc>
          <w:tcPr>
            <w:tcW w:w="1080" w:type="dxa"/>
            <w:tcBorders>
              <w:bottom w:val="single" w:sz="4" w:space="0" w:color="auto"/>
            </w:tcBorders>
          </w:tcPr>
          <w:p w:rsidR="000E0F52" w:rsidRPr="00D43776" w:rsidRDefault="000E0F52" w:rsidP="00E17935">
            <w:pPr>
              <w:jc w:val="center"/>
              <w:rPr>
                <w:rFonts w:asciiTheme="majorHAnsi" w:hAnsiTheme="majorHAnsi"/>
              </w:rPr>
            </w:pPr>
            <w:r w:rsidRPr="00D43776">
              <w:rPr>
                <w:rFonts w:asciiTheme="majorHAnsi" w:hAnsiTheme="majorHAnsi"/>
              </w:rPr>
              <w:t>% (n*)</w:t>
            </w:r>
          </w:p>
        </w:tc>
        <w:tc>
          <w:tcPr>
            <w:tcW w:w="990" w:type="dxa"/>
            <w:tcBorders>
              <w:bottom w:val="single" w:sz="4" w:space="0" w:color="auto"/>
            </w:tcBorders>
          </w:tcPr>
          <w:p w:rsidR="000E0F52" w:rsidRPr="00D43776" w:rsidRDefault="000E0F52" w:rsidP="00E17935">
            <w:pPr>
              <w:jc w:val="center"/>
              <w:rPr>
                <w:rFonts w:asciiTheme="majorHAnsi" w:hAnsiTheme="majorHAnsi"/>
              </w:rPr>
            </w:pPr>
            <w:r w:rsidRPr="00D43776">
              <w:rPr>
                <w:rFonts w:asciiTheme="majorHAnsi" w:hAnsiTheme="majorHAnsi"/>
              </w:rPr>
              <w:t>% (n*)</w:t>
            </w:r>
          </w:p>
        </w:tc>
      </w:tr>
      <w:tr w:rsidR="005C6390" w:rsidRPr="00D43776" w:rsidTr="005C6390">
        <w:tc>
          <w:tcPr>
            <w:tcW w:w="3420" w:type="dxa"/>
          </w:tcPr>
          <w:p w:rsidR="000E0F52" w:rsidRPr="00D43776" w:rsidRDefault="000E0F52" w:rsidP="005C6390">
            <w:pPr>
              <w:rPr>
                <w:rFonts w:asciiTheme="majorHAnsi" w:hAnsiTheme="majorHAnsi"/>
                <w:b/>
              </w:rPr>
            </w:pPr>
            <w:r w:rsidRPr="00D43776">
              <w:rPr>
                <w:rFonts w:asciiTheme="majorHAnsi" w:hAnsiTheme="majorHAnsi"/>
                <w:b/>
              </w:rPr>
              <w:t>Care Compared to FTC</w:t>
            </w:r>
            <w:r w:rsidR="00D43776" w:rsidRPr="00D43776">
              <w:rPr>
                <w:rFonts w:asciiTheme="majorHAnsi" w:hAnsiTheme="majorHAnsi"/>
                <w:b/>
              </w:rPr>
              <w:t>**</w:t>
            </w:r>
          </w:p>
        </w:tc>
        <w:tc>
          <w:tcPr>
            <w:tcW w:w="4230" w:type="dxa"/>
          </w:tcPr>
          <w:p w:rsidR="000E0F52" w:rsidRPr="00D43776" w:rsidRDefault="000E0F52" w:rsidP="00A76E25">
            <w:pPr>
              <w:rPr>
                <w:rFonts w:asciiTheme="majorHAnsi" w:hAnsiTheme="majorHAnsi"/>
                <w:i/>
              </w:rPr>
            </w:pPr>
            <w:r w:rsidRPr="00D43776">
              <w:rPr>
                <w:rFonts w:asciiTheme="majorHAnsi" w:hAnsiTheme="majorHAnsi"/>
                <w:i/>
              </w:rPr>
              <w:t>Much better, little better or about the same</w:t>
            </w:r>
          </w:p>
        </w:tc>
        <w:tc>
          <w:tcPr>
            <w:tcW w:w="1080" w:type="dxa"/>
          </w:tcPr>
          <w:p w:rsidR="000E0F52" w:rsidRPr="00D43776" w:rsidRDefault="000E0F52" w:rsidP="005C6390">
            <w:pPr>
              <w:jc w:val="center"/>
              <w:rPr>
                <w:rFonts w:asciiTheme="majorHAnsi" w:hAnsiTheme="majorHAnsi"/>
              </w:rPr>
            </w:pPr>
            <w:r w:rsidRPr="00D43776">
              <w:rPr>
                <w:rFonts w:asciiTheme="majorHAnsi" w:hAnsiTheme="majorHAnsi"/>
              </w:rPr>
              <w:t>88 (50)</w:t>
            </w:r>
          </w:p>
        </w:tc>
        <w:tc>
          <w:tcPr>
            <w:tcW w:w="990" w:type="dxa"/>
          </w:tcPr>
          <w:p w:rsidR="000E0F52" w:rsidRPr="00D43776" w:rsidRDefault="000E0F52" w:rsidP="005C6390">
            <w:pPr>
              <w:jc w:val="center"/>
              <w:rPr>
                <w:rFonts w:asciiTheme="majorHAnsi" w:hAnsiTheme="majorHAnsi"/>
              </w:rPr>
            </w:pPr>
            <w:r w:rsidRPr="00D43776">
              <w:rPr>
                <w:rFonts w:asciiTheme="majorHAnsi" w:hAnsiTheme="majorHAnsi"/>
              </w:rPr>
              <w:t>75 (98)</w:t>
            </w:r>
          </w:p>
        </w:tc>
      </w:tr>
      <w:tr w:rsidR="005C6390" w:rsidRPr="00D43776" w:rsidTr="005C6390">
        <w:tc>
          <w:tcPr>
            <w:tcW w:w="3420" w:type="dxa"/>
          </w:tcPr>
          <w:p w:rsidR="000E0F52" w:rsidRPr="00D43776" w:rsidRDefault="000E0F52">
            <w:pPr>
              <w:rPr>
                <w:rFonts w:asciiTheme="majorHAnsi" w:hAnsiTheme="majorHAnsi"/>
                <w:b/>
              </w:rPr>
            </w:pPr>
          </w:p>
        </w:tc>
        <w:tc>
          <w:tcPr>
            <w:tcW w:w="4230" w:type="dxa"/>
          </w:tcPr>
          <w:p w:rsidR="00D43776" w:rsidRDefault="00D43776">
            <w:pPr>
              <w:rPr>
                <w:rFonts w:asciiTheme="majorHAnsi" w:hAnsiTheme="majorHAnsi"/>
                <w:i/>
              </w:rPr>
            </w:pPr>
          </w:p>
          <w:p w:rsidR="000E0F52" w:rsidRPr="00D43776" w:rsidRDefault="000E0F52">
            <w:pPr>
              <w:rPr>
                <w:rFonts w:asciiTheme="majorHAnsi" w:hAnsiTheme="majorHAnsi"/>
                <w:i/>
              </w:rPr>
            </w:pPr>
            <w:r w:rsidRPr="00D43776">
              <w:rPr>
                <w:rFonts w:asciiTheme="majorHAnsi" w:hAnsiTheme="majorHAnsi"/>
                <w:i/>
              </w:rPr>
              <w:t>Little worse or much worse</w:t>
            </w:r>
          </w:p>
        </w:tc>
        <w:tc>
          <w:tcPr>
            <w:tcW w:w="1080" w:type="dxa"/>
          </w:tcPr>
          <w:p w:rsidR="00D43776" w:rsidRDefault="00D43776" w:rsidP="005C6390">
            <w:pPr>
              <w:jc w:val="center"/>
              <w:rPr>
                <w:rFonts w:asciiTheme="majorHAnsi" w:hAnsiTheme="majorHAnsi"/>
              </w:rPr>
            </w:pPr>
          </w:p>
          <w:p w:rsidR="000E0F52" w:rsidRPr="00D43776" w:rsidRDefault="000E0F52" w:rsidP="005C6390">
            <w:pPr>
              <w:jc w:val="center"/>
              <w:rPr>
                <w:rFonts w:asciiTheme="majorHAnsi" w:hAnsiTheme="majorHAnsi"/>
              </w:rPr>
            </w:pPr>
            <w:r w:rsidRPr="00D43776">
              <w:rPr>
                <w:rFonts w:asciiTheme="majorHAnsi" w:hAnsiTheme="majorHAnsi"/>
              </w:rPr>
              <w:t>12 (7)</w:t>
            </w:r>
          </w:p>
        </w:tc>
        <w:tc>
          <w:tcPr>
            <w:tcW w:w="990" w:type="dxa"/>
          </w:tcPr>
          <w:p w:rsidR="00D43776" w:rsidRDefault="00D43776" w:rsidP="005C6390">
            <w:pPr>
              <w:jc w:val="center"/>
              <w:rPr>
                <w:rFonts w:asciiTheme="majorHAnsi" w:hAnsiTheme="majorHAnsi"/>
              </w:rPr>
            </w:pPr>
          </w:p>
          <w:p w:rsidR="000E0F52" w:rsidRPr="00D43776" w:rsidRDefault="000E0F52" w:rsidP="005C6390">
            <w:pPr>
              <w:jc w:val="center"/>
              <w:rPr>
                <w:rFonts w:asciiTheme="majorHAnsi" w:hAnsiTheme="majorHAnsi"/>
              </w:rPr>
            </w:pPr>
            <w:r w:rsidRPr="00D43776">
              <w:rPr>
                <w:rFonts w:asciiTheme="majorHAnsi" w:hAnsiTheme="majorHAnsi"/>
              </w:rPr>
              <w:t>25 (33)</w:t>
            </w:r>
          </w:p>
        </w:tc>
      </w:tr>
      <w:tr w:rsidR="005C6390" w:rsidRPr="00D43776" w:rsidTr="005C6390">
        <w:tc>
          <w:tcPr>
            <w:tcW w:w="3420" w:type="dxa"/>
          </w:tcPr>
          <w:p w:rsidR="000E0F52" w:rsidRPr="00D43776" w:rsidRDefault="000E0F52">
            <w:pPr>
              <w:rPr>
                <w:rFonts w:asciiTheme="majorHAnsi" w:hAnsiTheme="majorHAnsi"/>
                <w:b/>
              </w:rPr>
            </w:pPr>
          </w:p>
        </w:tc>
        <w:tc>
          <w:tcPr>
            <w:tcW w:w="4230" w:type="dxa"/>
          </w:tcPr>
          <w:p w:rsidR="000E0F52" w:rsidRPr="00D43776" w:rsidRDefault="000E0F52">
            <w:pPr>
              <w:rPr>
                <w:rFonts w:asciiTheme="majorHAnsi" w:hAnsiTheme="majorHAnsi"/>
                <w:i/>
              </w:rPr>
            </w:pPr>
          </w:p>
        </w:tc>
        <w:tc>
          <w:tcPr>
            <w:tcW w:w="1080" w:type="dxa"/>
          </w:tcPr>
          <w:p w:rsidR="000E0F52" w:rsidRPr="00D43776" w:rsidRDefault="000E0F52" w:rsidP="005C6390">
            <w:pPr>
              <w:jc w:val="center"/>
              <w:rPr>
                <w:rFonts w:asciiTheme="majorHAnsi" w:hAnsiTheme="majorHAnsi"/>
              </w:rPr>
            </w:pPr>
          </w:p>
        </w:tc>
        <w:tc>
          <w:tcPr>
            <w:tcW w:w="990" w:type="dxa"/>
          </w:tcPr>
          <w:p w:rsidR="000E0F52" w:rsidRPr="00D43776" w:rsidRDefault="000E0F52" w:rsidP="005C6390">
            <w:pPr>
              <w:jc w:val="center"/>
              <w:rPr>
                <w:rFonts w:asciiTheme="majorHAnsi" w:hAnsiTheme="majorHAnsi"/>
              </w:rPr>
            </w:pPr>
          </w:p>
        </w:tc>
      </w:tr>
      <w:tr w:rsidR="005C6390" w:rsidRPr="00D43776" w:rsidTr="005C6390">
        <w:tc>
          <w:tcPr>
            <w:tcW w:w="3420" w:type="dxa"/>
          </w:tcPr>
          <w:p w:rsidR="000E0F52" w:rsidRPr="00D43776" w:rsidRDefault="005C6390">
            <w:pPr>
              <w:rPr>
                <w:rFonts w:asciiTheme="majorHAnsi" w:hAnsiTheme="majorHAnsi"/>
                <w:b/>
              </w:rPr>
            </w:pPr>
            <w:r>
              <w:rPr>
                <w:rFonts w:asciiTheme="majorHAnsi" w:hAnsiTheme="majorHAnsi"/>
                <w:b/>
              </w:rPr>
              <w:t xml:space="preserve">Overall Satisfaction with </w:t>
            </w:r>
            <w:r w:rsidR="000E0F52" w:rsidRPr="00D43776">
              <w:rPr>
                <w:rFonts w:asciiTheme="majorHAnsi" w:hAnsiTheme="majorHAnsi"/>
                <w:b/>
              </w:rPr>
              <w:t>Care</w:t>
            </w:r>
            <w:r w:rsidR="00D43776" w:rsidRPr="00D43776">
              <w:rPr>
                <w:rFonts w:asciiTheme="majorHAnsi" w:hAnsiTheme="majorHAnsi"/>
                <w:b/>
              </w:rPr>
              <w:t>**</w:t>
            </w:r>
          </w:p>
        </w:tc>
        <w:tc>
          <w:tcPr>
            <w:tcW w:w="4230" w:type="dxa"/>
          </w:tcPr>
          <w:p w:rsidR="000E0F52" w:rsidRPr="00D43776" w:rsidRDefault="000E0F52">
            <w:pPr>
              <w:rPr>
                <w:rFonts w:asciiTheme="majorHAnsi" w:hAnsiTheme="majorHAnsi"/>
                <w:i/>
              </w:rPr>
            </w:pPr>
            <w:r w:rsidRPr="00D43776">
              <w:rPr>
                <w:rFonts w:asciiTheme="majorHAnsi" w:hAnsiTheme="majorHAnsi"/>
                <w:i/>
              </w:rPr>
              <w:t>Completely or somewhat satisfied</w:t>
            </w:r>
          </w:p>
        </w:tc>
        <w:tc>
          <w:tcPr>
            <w:tcW w:w="1080" w:type="dxa"/>
          </w:tcPr>
          <w:p w:rsidR="000E0F52" w:rsidRPr="00D43776" w:rsidRDefault="000E0F52" w:rsidP="005C6390">
            <w:pPr>
              <w:jc w:val="center"/>
              <w:rPr>
                <w:rFonts w:asciiTheme="majorHAnsi" w:hAnsiTheme="majorHAnsi"/>
              </w:rPr>
            </w:pPr>
            <w:r w:rsidRPr="00D43776">
              <w:rPr>
                <w:rFonts w:asciiTheme="majorHAnsi" w:hAnsiTheme="majorHAnsi"/>
              </w:rPr>
              <w:t>80 (47)</w:t>
            </w:r>
          </w:p>
        </w:tc>
        <w:tc>
          <w:tcPr>
            <w:tcW w:w="990" w:type="dxa"/>
          </w:tcPr>
          <w:p w:rsidR="000E0F52" w:rsidRPr="00D43776" w:rsidRDefault="000E0F52" w:rsidP="005C6390">
            <w:pPr>
              <w:jc w:val="center"/>
              <w:rPr>
                <w:rFonts w:asciiTheme="majorHAnsi" w:hAnsiTheme="majorHAnsi"/>
              </w:rPr>
            </w:pPr>
            <w:r w:rsidRPr="00D43776">
              <w:rPr>
                <w:rFonts w:asciiTheme="majorHAnsi" w:hAnsiTheme="majorHAnsi"/>
              </w:rPr>
              <w:t>65 (86)</w:t>
            </w:r>
          </w:p>
        </w:tc>
      </w:tr>
      <w:tr w:rsidR="005C6390" w:rsidRPr="00D43776" w:rsidTr="005C6390">
        <w:tc>
          <w:tcPr>
            <w:tcW w:w="3420" w:type="dxa"/>
            <w:tcBorders>
              <w:bottom w:val="single" w:sz="4" w:space="0" w:color="auto"/>
            </w:tcBorders>
          </w:tcPr>
          <w:p w:rsidR="000E0F52" w:rsidRPr="00D43776" w:rsidRDefault="000E0F52">
            <w:pPr>
              <w:rPr>
                <w:rFonts w:asciiTheme="majorHAnsi" w:hAnsiTheme="majorHAnsi"/>
                <w:b/>
              </w:rPr>
            </w:pPr>
          </w:p>
        </w:tc>
        <w:tc>
          <w:tcPr>
            <w:tcW w:w="4230" w:type="dxa"/>
            <w:tcBorders>
              <w:bottom w:val="single" w:sz="4" w:space="0" w:color="auto"/>
            </w:tcBorders>
          </w:tcPr>
          <w:p w:rsidR="00D43776" w:rsidRDefault="00D43776" w:rsidP="000E0F52">
            <w:pPr>
              <w:rPr>
                <w:rFonts w:asciiTheme="majorHAnsi" w:hAnsiTheme="majorHAnsi"/>
                <w:i/>
              </w:rPr>
            </w:pPr>
          </w:p>
          <w:p w:rsidR="000E0F52" w:rsidRPr="00D43776" w:rsidRDefault="000E0F52" w:rsidP="000E0F52">
            <w:pPr>
              <w:rPr>
                <w:rFonts w:asciiTheme="majorHAnsi" w:hAnsiTheme="majorHAnsi"/>
                <w:i/>
              </w:rPr>
            </w:pPr>
            <w:r w:rsidRPr="00D43776">
              <w:rPr>
                <w:rFonts w:asciiTheme="majorHAnsi" w:hAnsiTheme="majorHAnsi"/>
                <w:i/>
              </w:rPr>
              <w:t>Neither satisfied nor dissatisfied, somewhat or completely dissatisfied</w:t>
            </w:r>
          </w:p>
        </w:tc>
        <w:tc>
          <w:tcPr>
            <w:tcW w:w="1080" w:type="dxa"/>
            <w:tcBorders>
              <w:bottom w:val="single" w:sz="4" w:space="0" w:color="auto"/>
            </w:tcBorders>
          </w:tcPr>
          <w:p w:rsidR="000E0F52" w:rsidRPr="00D43776" w:rsidRDefault="000E0F52" w:rsidP="005C6390">
            <w:pPr>
              <w:jc w:val="center"/>
              <w:rPr>
                <w:rFonts w:asciiTheme="majorHAnsi" w:hAnsiTheme="majorHAnsi"/>
              </w:rPr>
            </w:pPr>
          </w:p>
          <w:p w:rsidR="00D43776" w:rsidRDefault="00D43776" w:rsidP="005C6390">
            <w:pPr>
              <w:jc w:val="center"/>
              <w:rPr>
                <w:rFonts w:asciiTheme="majorHAnsi" w:hAnsiTheme="majorHAnsi"/>
              </w:rPr>
            </w:pPr>
          </w:p>
          <w:p w:rsidR="000E0F52" w:rsidRPr="00D43776" w:rsidRDefault="000E0F52" w:rsidP="005C6390">
            <w:pPr>
              <w:jc w:val="center"/>
              <w:rPr>
                <w:rFonts w:asciiTheme="majorHAnsi" w:hAnsiTheme="majorHAnsi"/>
              </w:rPr>
            </w:pPr>
            <w:r w:rsidRPr="00D43776">
              <w:rPr>
                <w:rFonts w:asciiTheme="majorHAnsi" w:hAnsiTheme="majorHAnsi"/>
              </w:rPr>
              <w:t>20 (12)</w:t>
            </w:r>
          </w:p>
        </w:tc>
        <w:tc>
          <w:tcPr>
            <w:tcW w:w="990" w:type="dxa"/>
            <w:tcBorders>
              <w:bottom w:val="single" w:sz="4" w:space="0" w:color="auto"/>
            </w:tcBorders>
          </w:tcPr>
          <w:p w:rsidR="000E0F52" w:rsidRPr="00D43776" w:rsidRDefault="000E0F52" w:rsidP="005C6390">
            <w:pPr>
              <w:jc w:val="center"/>
              <w:rPr>
                <w:rFonts w:asciiTheme="majorHAnsi" w:hAnsiTheme="majorHAnsi"/>
              </w:rPr>
            </w:pPr>
          </w:p>
          <w:p w:rsidR="00D43776" w:rsidRDefault="00D43776" w:rsidP="005C6390">
            <w:pPr>
              <w:jc w:val="center"/>
              <w:rPr>
                <w:rFonts w:asciiTheme="majorHAnsi" w:hAnsiTheme="majorHAnsi"/>
              </w:rPr>
            </w:pPr>
          </w:p>
          <w:p w:rsidR="000E0F52" w:rsidRPr="00D43776" w:rsidRDefault="000E0F52" w:rsidP="005C6390">
            <w:pPr>
              <w:jc w:val="center"/>
              <w:rPr>
                <w:rFonts w:asciiTheme="majorHAnsi" w:hAnsiTheme="majorHAnsi"/>
              </w:rPr>
            </w:pPr>
            <w:r w:rsidRPr="00D43776">
              <w:rPr>
                <w:rFonts w:asciiTheme="majorHAnsi" w:hAnsiTheme="majorHAnsi"/>
              </w:rPr>
              <w:t>35 (46)</w:t>
            </w:r>
          </w:p>
        </w:tc>
      </w:tr>
    </w:tbl>
    <w:p w:rsidR="00093280" w:rsidRPr="00D43776" w:rsidRDefault="006A4D03" w:rsidP="00D43776">
      <w:pPr>
        <w:spacing w:after="0"/>
        <w:rPr>
          <w:rFonts w:asciiTheme="majorHAnsi" w:hAnsiTheme="majorHAnsi"/>
        </w:rPr>
      </w:pPr>
      <w:r w:rsidRPr="00D43776">
        <w:rPr>
          <w:rFonts w:asciiTheme="majorHAnsi" w:hAnsiTheme="majorHAnsi"/>
        </w:rPr>
        <w:t xml:space="preserve">*indicates the number of members responding to </w:t>
      </w:r>
      <w:r w:rsidR="00D43776" w:rsidRPr="00D43776">
        <w:rPr>
          <w:rFonts w:asciiTheme="majorHAnsi" w:hAnsiTheme="majorHAnsi"/>
        </w:rPr>
        <w:t xml:space="preserve">the specific </w:t>
      </w:r>
      <w:r w:rsidRPr="00D43776">
        <w:rPr>
          <w:rFonts w:asciiTheme="majorHAnsi" w:hAnsiTheme="majorHAnsi"/>
        </w:rPr>
        <w:t>question</w:t>
      </w:r>
    </w:p>
    <w:p w:rsidR="009E63C4" w:rsidRDefault="009E63C4" w:rsidP="00D43776">
      <w:pPr>
        <w:spacing w:after="0"/>
        <w:rPr>
          <w:rFonts w:asciiTheme="majorHAnsi" w:hAnsiTheme="majorHAnsi"/>
        </w:rPr>
      </w:pPr>
      <w:r>
        <w:rPr>
          <w:rFonts w:asciiTheme="majorHAnsi" w:hAnsiTheme="majorHAnsi"/>
        </w:rPr>
        <w:t>** p&lt;.05</w:t>
      </w:r>
    </w:p>
    <w:p w:rsidR="009E63C4" w:rsidRDefault="009E63C4" w:rsidP="00D43776">
      <w:pPr>
        <w:spacing w:after="0"/>
        <w:rPr>
          <w:rFonts w:asciiTheme="majorHAnsi" w:hAnsiTheme="majorHAnsi"/>
        </w:rPr>
      </w:pPr>
    </w:p>
    <w:p w:rsidR="00513CD2" w:rsidRDefault="00513CD2" w:rsidP="009E63C4">
      <w:pPr>
        <w:spacing w:after="0" w:line="240" w:lineRule="auto"/>
        <w:rPr>
          <w:rFonts w:asciiTheme="majorHAnsi" w:hAnsiTheme="majorHAnsi"/>
        </w:rPr>
      </w:pPr>
    </w:p>
    <w:p w:rsidR="00980922" w:rsidRDefault="00513CD2" w:rsidP="009E63C4">
      <w:pPr>
        <w:spacing w:after="0" w:line="240" w:lineRule="auto"/>
        <w:rPr>
          <w:rFonts w:asciiTheme="majorHAnsi" w:hAnsiTheme="majorHAnsi"/>
        </w:rPr>
      </w:pPr>
      <w:r>
        <w:rPr>
          <w:rFonts w:asciiTheme="majorHAnsi" w:hAnsiTheme="majorHAnsi"/>
        </w:rPr>
        <w:t xml:space="preserve">Other surveys administered to One Care members in 2017, including the One Care Quality of Life Survey, the One Care Member Experience Survey, and the One Care Disenrollment Survey, will offer better sources of data to examine differences in the experiences of members in CCA compared to Tufts.  </w:t>
      </w:r>
      <w:r w:rsidR="003E2A70">
        <w:rPr>
          <w:rFonts w:asciiTheme="majorHAnsi" w:hAnsiTheme="majorHAnsi"/>
        </w:rPr>
        <w:t>MassHealth is currently reviewing a</w:t>
      </w:r>
      <w:r w:rsidR="00730F3A">
        <w:rPr>
          <w:rFonts w:asciiTheme="majorHAnsi" w:hAnsiTheme="majorHAnsi"/>
        </w:rPr>
        <w:t xml:space="preserve"> draft report of findings from the 2017 One Care Quality of Life Survey.  </w:t>
      </w:r>
      <w:r w:rsidR="005270C0">
        <w:rPr>
          <w:rFonts w:asciiTheme="majorHAnsi" w:hAnsiTheme="majorHAnsi"/>
        </w:rPr>
        <w:t>UMMS is currently analyzing d</w:t>
      </w:r>
      <w:r w:rsidR="00730F3A">
        <w:rPr>
          <w:rFonts w:asciiTheme="majorHAnsi" w:hAnsiTheme="majorHAnsi"/>
        </w:rPr>
        <w:t xml:space="preserve">ata from the Member Experience Survey and the Disenrollment Survey; reports of the findings from these surveys will </w:t>
      </w:r>
      <w:r w:rsidR="005270C0">
        <w:rPr>
          <w:rFonts w:asciiTheme="majorHAnsi" w:hAnsiTheme="majorHAnsi"/>
        </w:rPr>
        <w:t xml:space="preserve">are expected to </w:t>
      </w:r>
      <w:r w:rsidR="00730F3A">
        <w:rPr>
          <w:rFonts w:asciiTheme="majorHAnsi" w:hAnsiTheme="majorHAnsi"/>
        </w:rPr>
        <w:t xml:space="preserve">be available later in the fall. </w:t>
      </w:r>
      <w:r>
        <w:rPr>
          <w:rFonts w:asciiTheme="majorHAnsi" w:hAnsiTheme="majorHAnsi"/>
        </w:rPr>
        <w:t xml:space="preserve"> </w:t>
      </w:r>
    </w:p>
    <w:p w:rsidR="00980922" w:rsidRDefault="00980922" w:rsidP="009E63C4">
      <w:pPr>
        <w:spacing w:after="0" w:line="240" w:lineRule="auto"/>
        <w:rPr>
          <w:rFonts w:asciiTheme="majorHAnsi" w:hAnsiTheme="majorHAnsi"/>
        </w:rPr>
      </w:pPr>
    </w:p>
    <w:p w:rsidR="00093280" w:rsidRPr="00730F3A" w:rsidRDefault="00730F3A" w:rsidP="00730F3A">
      <w:pPr>
        <w:spacing w:after="0" w:line="240" w:lineRule="auto"/>
        <w:rPr>
          <w:rFonts w:asciiTheme="majorHAnsi" w:hAnsiTheme="majorHAnsi"/>
        </w:rPr>
      </w:pPr>
      <w:r w:rsidRPr="00730F3A">
        <w:rPr>
          <w:rFonts w:asciiTheme="majorHAnsi" w:hAnsiTheme="majorHAnsi"/>
        </w:rPr>
        <w:t>Prepared by:</w:t>
      </w:r>
    </w:p>
    <w:p w:rsidR="00730F3A" w:rsidRDefault="00730F3A" w:rsidP="00730F3A">
      <w:pPr>
        <w:spacing w:after="0" w:line="240" w:lineRule="auto"/>
        <w:rPr>
          <w:rFonts w:asciiTheme="majorHAnsi" w:hAnsiTheme="majorHAnsi"/>
        </w:rPr>
      </w:pPr>
      <w:r w:rsidRPr="00730F3A">
        <w:rPr>
          <w:rFonts w:asciiTheme="majorHAnsi" w:hAnsiTheme="majorHAnsi"/>
        </w:rPr>
        <w:t>Alexis Henry and Jack Gettens</w:t>
      </w:r>
      <w:r>
        <w:rPr>
          <w:rFonts w:asciiTheme="majorHAnsi" w:hAnsiTheme="majorHAnsi"/>
        </w:rPr>
        <w:t>, Center for Health Policy and Research, UMass Medical School</w:t>
      </w:r>
    </w:p>
    <w:p w:rsidR="00730F3A" w:rsidRPr="00730F3A" w:rsidRDefault="00730F3A" w:rsidP="00730F3A">
      <w:pPr>
        <w:spacing w:after="0" w:line="240" w:lineRule="auto"/>
        <w:rPr>
          <w:rFonts w:asciiTheme="majorHAnsi" w:hAnsiTheme="majorHAnsi"/>
        </w:rPr>
      </w:pPr>
      <w:r>
        <w:rPr>
          <w:rFonts w:asciiTheme="majorHAnsi" w:hAnsiTheme="majorHAnsi"/>
        </w:rPr>
        <w:t xml:space="preserve">September </w:t>
      </w:r>
      <w:r w:rsidR="00E3720A">
        <w:rPr>
          <w:rFonts w:asciiTheme="majorHAnsi" w:hAnsiTheme="majorHAnsi"/>
        </w:rPr>
        <w:t>2</w:t>
      </w:r>
      <w:r>
        <w:rPr>
          <w:rFonts w:asciiTheme="majorHAnsi" w:hAnsiTheme="majorHAnsi"/>
        </w:rPr>
        <w:t>8, 2017</w:t>
      </w:r>
    </w:p>
    <w:p w:rsidR="00730F3A" w:rsidRDefault="00730F3A" w:rsidP="00730F3A">
      <w:pPr>
        <w:spacing w:after="0" w:line="240" w:lineRule="auto"/>
        <w:rPr>
          <w:rFonts w:asciiTheme="majorHAnsi" w:hAnsiTheme="majorHAnsi"/>
        </w:rPr>
      </w:pPr>
      <w:r w:rsidRPr="00730F3A">
        <w:rPr>
          <w:rFonts w:asciiTheme="majorHAnsi" w:hAnsiTheme="majorHAnsi"/>
        </w:rPr>
        <w:t>For</w:t>
      </w:r>
      <w:r>
        <w:rPr>
          <w:rFonts w:asciiTheme="majorHAnsi" w:hAnsiTheme="majorHAnsi"/>
        </w:rPr>
        <w:t xml:space="preserve"> more information, contact: </w:t>
      </w:r>
      <w:hyperlink r:id="rId6" w:history="1">
        <w:r w:rsidRPr="00C15814">
          <w:rPr>
            <w:rStyle w:val="Hyperlink"/>
            <w:rFonts w:asciiTheme="majorHAnsi" w:hAnsiTheme="majorHAnsi"/>
          </w:rPr>
          <w:t>alexis.henry@umassmed.edu</w:t>
        </w:r>
      </w:hyperlink>
    </w:p>
    <w:p w:rsidR="00730F3A" w:rsidRPr="00730F3A" w:rsidRDefault="00730F3A" w:rsidP="00730F3A">
      <w:pPr>
        <w:spacing w:after="0" w:line="240" w:lineRule="auto"/>
        <w:rPr>
          <w:rFonts w:asciiTheme="majorHAnsi" w:hAnsiTheme="majorHAnsi"/>
        </w:rPr>
      </w:pPr>
    </w:p>
    <w:sectPr w:rsidR="00730F3A" w:rsidRPr="00730F3A" w:rsidSect="000E0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1110"/>
    <w:multiLevelType w:val="hybridMultilevel"/>
    <w:tmpl w:val="86DE5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212568D"/>
    <w:multiLevelType w:val="hybridMultilevel"/>
    <w:tmpl w:val="538A52FA"/>
    <w:lvl w:ilvl="0" w:tplc="CCFC615A">
      <w:start w:val="1"/>
      <w:numFmt w:val="bullet"/>
      <w:lvlText w:val=""/>
      <w:lvlJc w:val="left"/>
      <w:pPr>
        <w:tabs>
          <w:tab w:val="num" w:pos="720"/>
        </w:tabs>
        <w:ind w:left="720" w:hanging="360"/>
      </w:pPr>
      <w:rPr>
        <w:rFonts w:ascii="Wingdings 2" w:hAnsi="Wingdings 2" w:hint="default"/>
      </w:rPr>
    </w:lvl>
    <w:lvl w:ilvl="1" w:tplc="1D7A32D0">
      <w:start w:val="1"/>
      <w:numFmt w:val="bullet"/>
      <w:lvlText w:val=""/>
      <w:lvlJc w:val="left"/>
      <w:pPr>
        <w:tabs>
          <w:tab w:val="num" w:pos="1440"/>
        </w:tabs>
        <w:ind w:left="1440" w:hanging="360"/>
      </w:pPr>
      <w:rPr>
        <w:rFonts w:ascii="Wingdings 2" w:hAnsi="Wingdings 2" w:hint="default"/>
      </w:rPr>
    </w:lvl>
    <w:lvl w:ilvl="2" w:tplc="C4986D18" w:tentative="1">
      <w:start w:val="1"/>
      <w:numFmt w:val="bullet"/>
      <w:lvlText w:val=""/>
      <w:lvlJc w:val="left"/>
      <w:pPr>
        <w:tabs>
          <w:tab w:val="num" w:pos="2160"/>
        </w:tabs>
        <w:ind w:left="2160" w:hanging="360"/>
      </w:pPr>
      <w:rPr>
        <w:rFonts w:ascii="Wingdings 2" w:hAnsi="Wingdings 2" w:hint="default"/>
      </w:rPr>
    </w:lvl>
    <w:lvl w:ilvl="3" w:tplc="9CC6EA94" w:tentative="1">
      <w:start w:val="1"/>
      <w:numFmt w:val="bullet"/>
      <w:lvlText w:val=""/>
      <w:lvlJc w:val="left"/>
      <w:pPr>
        <w:tabs>
          <w:tab w:val="num" w:pos="2880"/>
        </w:tabs>
        <w:ind w:left="2880" w:hanging="360"/>
      </w:pPr>
      <w:rPr>
        <w:rFonts w:ascii="Wingdings 2" w:hAnsi="Wingdings 2" w:hint="default"/>
      </w:rPr>
    </w:lvl>
    <w:lvl w:ilvl="4" w:tplc="C4940864" w:tentative="1">
      <w:start w:val="1"/>
      <w:numFmt w:val="bullet"/>
      <w:lvlText w:val=""/>
      <w:lvlJc w:val="left"/>
      <w:pPr>
        <w:tabs>
          <w:tab w:val="num" w:pos="3600"/>
        </w:tabs>
        <w:ind w:left="3600" w:hanging="360"/>
      </w:pPr>
      <w:rPr>
        <w:rFonts w:ascii="Wingdings 2" w:hAnsi="Wingdings 2" w:hint="default"/>
      </w:rPr>
    </w:lvl>
    <w:lvl w:ilvl="5" w:tplc="21621816" w:tentative="1">
      <w:start w:val="1"/>
      <w:numFmt w:val="bullet"/>
      <w:lvlText w:val=""/>
      <w:lvlJc w:val="left"/>
      <w:pPr>
        <w:tabs>
          <w:tab w:val="num" w:pos="4320"/>
        </w:tabs>
        <w:ind w:left="4320" w:hanging="360"/>
      </w:pPr>
      <w:rPr>
        <w:rFonts w:ascii="Wingdings 2" w:hAnsi="Wingdings 2" w:hint="default"/>
      </w:rPr>
    </w:lvl>
    <w:lvl w:ilvl="6" w:tplc="6C0A52A4" w:tentative="1">
      <w:start w:val="1"/>
      <w:numFmt w:val="bullet"/>
      <w:lvlText w:val=""/>
      <w:lvlJc w:val="left"/>
      <w:pPr>
        <w:tabs>
          <w:tab w:val="num" w:pos="5040"/>
        </w:tabs>
        <w:ind w:left="5040" w:hanging="360"/>
      </w:pPr>
      <w:rPr>
        <w:rFonts w:ascii="Wingdings 2" w:hAnsi="Wingdings 2" w:hint="default"/>
      </w:rPr>
    </w:lvl>
    <w:lvl w:ilvl="7" w:tplc="F516F076">
      <w:start w:val="1277"/>
      <w:numFmt w:val="bullet"/>
      <w:lvlText w:val="•"/>
      <w:lvlJc w:val="left"/>
      <w:pPr>
        <w:tabs>
          <w:tab w:val="num" w:pos="5760"/>
        </w:tabs>
        <w:ind w:left="5760" w:hanging="360"/>
      </w:pPr>
      <w:rPr>
        <w:rFonts w:ascii="Arial" w:hAnsi="Arial" w:hint="default"/>
      </w:rPr>
    </w:lvl>
    <w:lvl w:ilvl="8" w:tplc="7A12915A" w:tentative="1">
      <w:start w:val="1"/>
      <w:numFmt w:val="bullet"/>
      <w:lvlText w:val=""/>
      <w:lvlJc w:val="left"/>
      <w:pPr>
        <w:tabs>
          <w:tab w:val="num" w:pos="6480"/>
        </w:tabs>
        <w:ind w:left="6480" w:hanging="360"/>
      </w:pPr>
      <w:rPr>
        <w:rFonts w:ascii="Wingdings 2" w:hAnsi="Wingdings 2" w:hint="default"/>
      </w:rPr>
    </w:lvl>
  </w:abstractNum>
  <w:abstractNum w:abstractNumId="2">
    <w:nsid w:val="74151E7F"/>
    <w:multiLevelType w:val="hybridMultilevel"/>
    <w:tmpl w:val="4176AF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num w:numId="1">
    <w:abstractNumId w:val="2"/>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935"/>
    <w:rsid w:val="00036BAA"/>
    <w:rsid w:val="00054E40"/>
    <w:rsid w:val="00070E39"/>
    <w:rsid w:val="00093280"/>
    <w:rsid w:val="000E0F52"/>
    <w:rsid w:val="00150DA2"/>
    <w:rsid w:val="001A6410"/>
    <w:rsid w:val="001F6F48"/>
    <w:rsid w:val="002E7976"/>
    <w:rsid w:val="00300E05"/>
    <w:rsid w:val="003012AA"/>
    <w:rsid w:val="0031582F"/>
    <w:rsid w:val="00323C3C"/>
    <w:rsid w:val="00385B8F"/>
    <w:rsid w:val="003E2A70"/>
    <w:rsid w:val="00416158"/>
    <w:rsid w:val="004F0DDF"/>
    <w:rsid w:val="00513CD2"/>
    <w:rsid w:val="005270C0"/>
    <w:rsid w:val="0054627E"/>
    <w:rsid w:val="005C6390"/>
    <w:rsid w:val="006032F3"/>
    <w:rsid w:val="006A4D03"/>
    <w:rsid w:val="00730F3A"/>
    <w:rsid w:val="007B6839"/>
    <w:rsid w:val="0084300B"/>
    <w:rsid w:val="00980922"/>
    <w:rsid w:val="009E63C4"/>
    <w:rsid w:val="009F3FC5"/>
    <w:rsid w:val="00A128E3"/>
    <w:rsid w:val="00A76E25"/>
    <w:rsid w:val="00AC18DB"/>
    <w:rsid w:val="00AC3191"/>
    <w:rsid w:val="00B0019A"/>
    <w:rsid w:val="00BD12C8"/>
    <w:rsid w:val="00C06AF7"/>
    <w:rsid w:val="00C31DD7"/>
    <w:rsid w:val="00C34A2C"/>
    <w:rsid w:val="00C90215"/>
    <w:rsid w:val="00CC46A7"/>
    <w:rsid w:val="00D208A6"/>
    <w:rsid w:val="00D43776"/>
    <w:rsid w:val="00E17935"/>
    <w:rsid w:val="00E3720A"/>
    <w:rsid w:val="00F55ECE"/>
    <w:rsid w:val="00FC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7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1DD7"/>
    <w:rPr>
      <w:sz w:val="16"/>
      <w:szCs w:val="16"/>
    </w:rPr>
  </w:style>
  <w:style w:type="paragraph" w:styleId="CommentText">
    <w:name w:val="annotation text"/>
    <w:basedOn w:val="Normal"/>
    <w:link w:val="CommentTextChar"/>
    <w:uiPriority w:val="99"/>
    <w:semiHidden/>
    <w:unhideWhenUsed/>
    <w:rsid w:val="00C31DD7"/>
    <w:pPr>
      <w:spacing w:line="240" w:lineRule="auto"/>
    </w:pPr>
    <w:rPr>
      <w:sz w:val="20"/>
      <w:szCs w:val="20"/>
    </w:rPr>
  </w:style>
  <w:style w:type="character" w:customStyle="1" w:styleId="CommentTextChar">
    <w:name w:val="Comment Text Char"/>
    <w:basedOn w:val="DefaultParagraphFont"/>
    <w:link w:val="CommentText"/>
    <w:uiPriority w:val="99"/>
    <w:semiHidden/>
    <w:rsid w:val="00C31DD7"/>
    <w:rPr>
      <w:sz w:val="20"/>
      <w:szCs w:val="20"/>
    </w:rPr>
  </w:style>
  <w:style w:type="paragraph" w:styleId="CommentSubject">
    <w:name w:val="annotation subject"/>
    <w:basedOn w:val="CommentText"/>
    <w:next w:val="CommentText"/>
    <w:link w:val="CommentSubjectChar"/>
    <w:uiPriority w:val="99"/>
    <w:semiHidden/>
    <w:unhideWhenUsed/>
    <w:rsid w:val="00C31DD7"/>
    <w:rPr>
      <w:b/>
      <w:bCs/>
    </w:rPr>
  </w:style>
  <w:style w:type="character" w:customStyle="1" w:styleId="CommentSubjectChar">
    <w:name w:val="Comment Subject Char"/>
    <w:basedOn w:val="CommentTextChar"/>
    <w:link w:val="CommentSubject"/>
    <w:uiPriority w:val="99"/>
    <w:semiHidden/>
    <w:rsid w:val="00C31DD7"/>
    <w:rPr>
      <w:b/>
      <w:bCs/>
      <w:sz w:val="20"/>
      <w:szCs w:val="20"/>
    </w:rPr>
  </w:style>
  <w:style w:type="paragraph" w:styleId="BalloonText">
    <w:name w:val="Balloon Text"/>
    <w:basedOn w:val="Normal"/>
    <w:link w:val="BalloonTextChar"/>
    <w:uiPriority w:val="99"/>
    <w:semiHidden/>
    <w:unhideWhenUsed/>
    <w:rsid w:val="00C31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DD7"/>
    <w:rPr>
      <w:rFonts w:ascii="Tahoma" w:hAnsi="Tahoma" w:cs="Tahoma"/>
      <w:sz w:val="16"/>
      <w:szCs w:val="16"/>
    </w:rPr>
  </w:style>
  <w:style w:type="paragraph" w:styleId="ListParagraph">
    <w:name w:val="List Paragraph"/>
    <w:basedOn w:val="Normal"/>
    <w:uiPriority w:val="34"/>
    <w:qFormat/>
    <w:rsid w:val="00D208A6"/>
    <w:pPr>
      <w:spacing w:after="0" w:line="240" w:lineRule="auto"/>
      <w:ind w:left="720"/>
    </w:pPr>
    <w:rPr>
      <w:rFonts w:ascii="Calibri" w:hAnsi="Calibri" w:cs="Times New Roman"/>
    </w:rPr>
  </w:style>
  <w:style w:type="character" w:styleId="Hyperlink">
    <w:name w:val="Hyperlink"/>
    <w:basedOn w:val="DefaultParagraphFont"/>
    <w:uiPriority w:val="99"/>
    <w:unhideWhenUsed/>
    <w:rsid w:val="00730F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7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1DD7"/>
    <w:rPr>
      <w:sz w:val="16"/>
      <w:szCs w:val="16"/>
    </w:rPr>
  </w:style>
  <w:style w:type="paragraph" w:styleId="CommentText">
    <w:name w:val="annotation text"/>
    <w:basedOn w:val="Normal"/>
    <w:link w:val="CommentTextChar"/>
    <w:uiPriority w:val="99"/>
    <w:semiHidden/>
    <w:unhideWhenUsed/>
    <w:rsid w:val="00C31DD7"/>
    <w:pPr>
      <w:spacing w:line="240" w:lineRule="auto"/>
    </w:pPr>
    <w:rPr>
      <w:sz w:val="20"/>
      <w:szCs w:val="20"/>
    </w:rPr>
  </w:style>
  <w:style w:type="character" w:customStyle="1" w:styleId="CommentTextChar">
    <w:name w:val="Comment Text Char"/>
    <w:basedOn w:val="DefaultParagraphFont"/>
    <w:link w:val="CommentText"/>
    <w:uiPriority w:val="99"/>
    <w:semiHidden/>
    <w:rsid w:val="00C31DD7"/>
    <w:rPr>
      <w:sz w:val="20"/>
      <w:szCs w:val="20"/>
    </w:rPr>
  </w:style>
  <w:style w:type="paragraph" w:styleId="CommentSubject">
    <w:name w:val="annotation subject"/>
    <w:basedOn w:val="CommentText"/>
    <w:next w:val="CommentText"/>
    <w:link w:val="CommentSubjectChar"/>
    <w:uiPriority w:val="99"/>
    <w:semiHidden/>
    <w:unhideWhenUsed/>
    <w:rsid w:val="00C31DD7"/>
    <w:rPr>
      <w:b/>
      <w:bCs/>
    </w:rPr>
  </w:style>
  <w:style w:type="character" w:customStyle="1" w:styleId="CommentSubjectChar">
    <w:name w:val="Comment Subject Char"/>
    <w:basedOn w:val="CommentTextChar"/>
    <w:link w:val="CommentSubject"/>
    <w:uiPriority w:val="99"/>
    <w:semiHidden/>
    <w:rsid w:val="00C31DD7"/>
    <w:rPr>
      <w:b/>
      <w:bCs/>
      <w:sz w:val="20"/>
      <w:szCs w:val="20"/>
    </w:rPr>
  </w:style>
  <w:style w:type="paragraph" w:styleId="BalloonText">
    <w:name w:val="Balloon Text"/>
    <w:basedOn w:val="Normal"/>
    <w:link w:val="BalloonTextChar"/>
    <w:uiPriority w:val="99"/>
    <w:semiHidden/>
    <w:unhideWhenUsed/>
    <w:rsid w:val="00C31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DD7"/>
    <w:rPr>
      <w:rFonts w:ascii="Tahoma" w:hAnsi="Tahoma" w:cs="Tahoma"/>
      <w:sz w:val="16"/>
      <w:szCs w:val="16"/>
    </w:rPr>
  </w:style>
  <w:style w:type="paragraph" w:styleId="ListParagraph">
    <w:name w:val="List Paragraph"/>
    <w:basedOn w:val="Normal"/>
    <w:uiPriority w:val="34"/>
    <w:qFormat/>
    <w:rsid w:val="00D208A6"/>
    <w:pPr>
      <w:spacing w:after="0" w:line="240" w:lineRule="auto"/>
      <w:ind w:left="720"/>
    </w:pPr>
    <w:rPr>
      <w:rFonts w:ascii="Calibri" w:hAnsi="Calibri" w:cs="Times New Roman"/>
    </w:rPr>
  </w:style>
  <w:style w:type="character" w:styleId="Hyperlink">
    <w:name w:val="Hyperlink"/>
    <w:basedOn w:val="DefaultParagraphFont"/>
    <w:uiPriority w:val="99"/>
    <w:unhideWhenUsed/>
    <w:rsid w:val="00730F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247859">
      <w:bodyDiv w:val="1"/>
      <w:marLeft w:val="0"/>
      <w:marRight w:val="0"/>
      <w:marTop w:val="0"/>
      <w:marBottom w:val="0"/>
      <w:divBdr>
        <w:top w:val="none" w:sz="0" w:space="0" w:color="auto"/>
        <w:left w:val="none" w:sz="0" w:space="0" w:color="auto"/>
        <w:bottom w:val="none" w:sz="0" w:space="0" w:color="auto"/>
        <w:right w:val="none" w:sz="0" w:space="0" w:color="auto"/>
      </w:divBdr>
    </w:div>
    <w:div w:id="1532721702">
      <w:bodyDiv w:val="1"/>
      <w:marLeft w:val="0"/>
      <w:marRight w:val="0"/>
      <w:marTop w:val="0"/>
      <w:marBottom w:val="0"/>
      <w:divBdr>
        <w:top w:val="none" w:sz="0" w:space="0" w:color="auto"/>
        <w:left w:val="none" w:sz="0" w:space="0" w:color="auto"/>
        <w:bottom w:val="none" w:sz="0" w:space="0" w:color="auto"/>
        <w:right w:val="none" w:sz="0" w:space="0" w:color="auto"/>
      </w:divBdr>
    </w:div>
    <w:div w:id="1587300732">
      <w:bodyDiv w:val="1"/>
      <w:marLeft w:val="0"/>
      <w:marRight w:val="0"/>
      <w:marTop w:val="0"/>
      <w:marBottom w:val="0"/>
      <w:divBdr>
        <w:top w:val="none" w:sz="0" w:space="0" w:color="auto"/>
        <w:left w:val="none" w:sz="0" w:space="0" w:color="auto"/>
        <w:bottom w:val="none" w:sz="0" w:space="0" w:color="auto"/>
        <w:right w:val="none" w:sz="0" w:space="0" w:color="auto"/>
      </w:divBdr>
      <w:divsChild>
        <w:div w:id="1440418998">
          <w:marLeft w:val="864"/>
          <w:marRight w:val="0"/>
          <w:marTop w:val="0"/>
          <w:marBottom w:val="240"/>
          <w:divBdr>
            <w:top w:val="none" w:sz="0" w:space="0" w:color="auto"/>
            <w:left w:val="none" w:sz="0" w:space="0" w:color="auto"/>
            <w:bottom w:val="none" w:sz="0" w:space="0" w:color="auto"/>
            <w:right w:val="none" w:sz="0" w:space="0" w:color="auto"/>
          </w:divBdr>
        </w:div>
        <w:div w:id="227691839">
          <w:marLeft w:val="864"/>
          <w:marRight w:val="0"/>
          <w:marTop w:val="0"/>
          <w:marBottom w:val="240"/>
          <w:divBdr>
            <w:top w:val="none" w:sz="0" w:space="0" w:color="auto"/>
            <w:left w:val="none" w:sz="0" w:space="0" w:color="auto"/>
            <w:bottom w:val="none" w:sz="0" w:space="0" w:color="auto"/>
            <w:right w:val="none" w:sz="0" w:space="0" w:color="auto"/>
          </w:divBdr>
        </w:div>
        <w:div w:id="1444299342">
          <w:marLeft w:val="1411"/>
          <w:marRight w:val="0"/>
          <w:marTop w:val="116"/>
          <w:marBottom w:val="0"/>
          <w:divBdr>
            <w:top w:val="none" w:sz="0" w:space="0" w:color="auto"/>
            <w:left w:val="none" w:sz="0" w:space="0" w:color="auto"/>
            <w:bottom w:val="none" w:sz="0" w:space="0" w:color="auto"/>
            <w:right w:val="none" w:sz="0" w:space="0" w:color="auto"/>
          </w:divBdr>
        </w:div>
        <w:div w:id="820463292">
          <w:marLeft w:val="1411"/>
          <w:marRight w:val="0"/>
          <w:marTop w:val="116"/>
          <w:marBottom w:val="0"/>
          <w:divBdr>
            <w:top w:val="none" w:sz="0" w:space="0" w:color="auto"/>
            <w:left w:val="none" w:sz="0" w:space="0" w:color="auto"/>
            <w:bottom w:val="none" w:sz="0" w:space="0" w:color="auto"/>
            <w:right w:val="none" w:sz="0" w:space="0" w:color="auto"/>
          </w:divBdr>
        </w:div>
        <w:div w:id="1477139385">
          <w:marLeft w:val="1411"/>
          <w:marRight w:val="0"/>
          <w:marTop w:val="116"/>
          <w:marBottom w:val="0"/>
          <w:divBdr>
            <w:top w:val="none" w:sz="0" w:space="0" w:color="auto"/>
            <w:left w:val="none" w:sz="0" w:space="0" w:color="auto"/>
            <w:bottom w:val="none" w:sz="0" w:space="0" w:color="auto"/>
            <w:right w:val="none" w:sz="0" w:space="0" w:color="auto"/>
          </w:divBdr>
        </w:div>
      </w:divsChild>
    </w:div>
    <w:div w:id="1628050552">
      <w:bodyDiv w:val="1"/>
      <w:marLeft w:val="0"/>
      <w:marRight w:val="0"/>
      <w:marTop w:val="0"/>
      <w:marBottom w:val="0"/>
      <w:divBdr>
        <w:top w:val="none" w:sz="0" w:space="0" w:color="auto"/>
        <w:left w:val="none" w:sz="0" w:space="0" w:color="auto"/>
        <w:bottom w:val="none" w:sz="0" w:space="0" w:color="auto"/>
        <w:right w:val="none" w:sz="0" w:space="0" w:color="auto"/>
      </w:divBdr>
    </w:div>
    <w:div w:id="198207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xis.henry@umassmed.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Alexis</dc:creator>
  <cp:lastModifiedBy>Jenna</cp:lastModifiedBy>
  <cp:revision>2</cp:revision>
  <cp:lastPrinted>2017-08-28T20:16:00Z</cp:lastPrinted>
  <dcterms:created xsi:type="dcterms:W3CDTF">2017-12-06T19:43:00Z</dcterms:created>
  <dcterms:modified xsi:type="dcterms:W3CDTF">2017-12-06T19:43:00Z</dcterms:modified>
</cp:coreProperties>
</file>