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5"/>
        </w:rPr>
      </w:pPr>
    </w:p>
    <w:p>
      <w:pPr>
        <w:spacing w:after="0"/>
        <w:rPr>
          <w:rFonts w:ascii="Times New Roman"/>
          <w:sz w:val="25"/>
        </w:rPr>
        <w:sectPr>
          <w:type w:val="continuous"/>
          <w:pgSz w:w="12240" w:h="15840"/>
          <w:pgMar w:top="0" w:bottom="280" w:left="0" w:right="0"/>
        </w:sectPr>
      </w:pPr>
    </w:p>
    <w:p>
      <w:pPr>
        <w:pStyle w:val="Heading1"/>
        <w:spacing w:before="128"/>
        <w:ind w:left="720"/>
      </w:pPr>
      <w:r>
        <w:rPr/>
        <w:t>Did</w:t>
      </w:r>
      <w:r>
        <w:rPr>
          <w:spacing w:val="-2"/>
        </w:rPr>
        <w:t> </w:t>
      </w:r>
      <w:r>
        <w:rPr/>
        <w:t>you</w:t>
      </w:r>
      <w:r>
        <w:rPr>
          <w:spacing w:val="-2"/>
        </w:rPr>
        <w:t> Know?</w:t>
      </w:r>
    </w:p>
    <w:p>
      <w:pPr>
        <w:pStyle w:val="BodyText"/>
        <w:spacing w:before="2"/>
        <w:ind w:left="720"/>
      </w:pPr>
      <w:r>
        <w:rPr/>
        <w:t>According to the Division of Early Childhood (DEC</w:t>
      </w:r>
      <w:r>
        <w:rPr>
          <w:rFonts w:ascii="Times New Roman"/>
          <w:sz w:val="24"/>
        </w:rPr>
        <w:t>), </w:t>
      </w:r>
      <w:r>
        <w:rPr/>
        <w:t>interventions should occur within the context</w:t>
      </w:r>
      <w:r>
        <w:rPr>
          <w:spacing w:val="-4"/>
        </w:rPr>
        <w:t> </w:t>
      </w:r>
      <w:r>
        <w:rPr/>
        <w:t>of</w:t>
      </w:r>
      <w:r>
        <w:rPr>
          <w:spacing w:val="-6"/>
        </w:rPr>
        <w:t> </w:t>
      </w:r>
      <w:r>
        <w:rPr/>
        <w:t>child</w:t>
      </w:r>
      <w:r>
        <w:rPr>
          <w:spacing w:val="-3"/>
        </w:rPr>
        <w:t> </w:t>
      </w:r>
      <w:r>
        <w:rPr/>
        <w:t>and</w:t>
      </w:r>
      <w:r>
        <w:rPr>
          <w:spacing w:val="-3"/>
        </w:rPr>
        <w:t> </w:t>
      </w:r>
      <w:r>
        <w:rPr/>
        <w:t>family</w:t>
      </w:r>
      <w:r>
        <w:rPr>
          <w:spacing w:val="-7"/>
        </w:rPr>
        <w:t> </w:t>
      </w:r>
      <w:r>
        <w:rPr/>
        <w:t>routines. This</w:t>
      </w:r>
      <w:r>
        <w:rPr>
          <w:spacing w:val="-10"/>
        </w:rPr>
        <w:t> </w:t>
      </w:r>
      <w:r>
        <w:rPr/>
        <w:t>also</w:t>
      </w:r>
      <w:r>
        <w:rPr>
          <w:spacing w:val="-5"/>
        </w:rPr>
        <w:t> </w:t>
      </w:r>
      <w:r>
        <w:rPr/>
        <w:t>aligns with our MA EI Mission as well as Key Principle 1 and 2. Toy bags brought in by EI Specialists are not part of the daily routine, and therefore, should not be used at home visits with children and families.</w:t>
      </w:r>
    </w:p>
    <w:p>
      <w:pPr>
        <w:pStyle w:val="BodyText"/>
        <w:spacing w:before="8"/>
        <w:rPr>
          <w:sz w:val="17"/>
        </w:rPr>
      </w:pPr>
    </w:p>
    <w:p>
      <w:pPr>
        <w:pStyle w:val="Heading1"/>
        <w:ind w:left="720"/>
      </w:pPr>
      <w:r>
        <w:rPr/>
        <w:t>Tips</w:t>
      </w:r>
      <w:r>
        <w:rPr>
          <w:spacing w:val="2"/>
        </w:rPr>
        <w:t> </w:t>
      </w:r>
      <w:r>
        <w:rPr/>
        <w:t>and</w:t>
      </w:r>
      <w:r>
        <w:rPr>
          <w:spacing w:val="2"/>
        </w:rPr>
        <w:t> </w:t>
      </w:r>
      <w:r>
        <w:rPr>
          <w:spacing w:val="-2"/>
        </w:rPr>
        <w:t>Techniques</w:t>
      </w:r>
    </w:p>
    <w:p>
      <w:pPr>
        <w:pStyle w:val="BodyText"/>
        <w:spacing w:before="1"/>
        <w:ind w:left="720" w:right="58"/>
      </w:pPr>
      <w:r>
        <w:rPr/>
        <w:t>In March of 2020, all Early Intervention programs worked feverishly to pivot from face-to-face services</w:t>
      </w:r>
      <w:r>
        <w:rPr>
          <w:spacing w:val="-2"/>
        </w:rPr>
        <w:t> </w:t>
      </w:r>
      <w:r>
        <w:rPr/>
        <w:t>to</w:t>
      </w:r>
      <w:r>
        <w:rPr>
          <w:spacing w:val="-1"/>
        </w:rPr>
        <w:t> </w:t>
      </w:r>
      <w:r>
        <w:rPr/>
        <w:t>work in</w:t>
      </w:r>
      <w:r>
        <w:rPr>
          <w:spacing w:val="-5"/>
        </w:rPr>
        <w:t> </w:t>
      </w:r>
      <w:r>
        <w:rPr/>
        <w:t>a virtual environment.</w:t>
      </w:r>
      <w:r>
        <w:rPr>
          <w:spacing w:val="-4"/>
        </w:rPr>
        <w:t> </w:t>
      </w:r>
      <w:r>
        <w:rPr/>
        <w:t>This</w:t>
      </w:r>
      <w:r>
        <w:rPr>
          <w:spacing w:val="-2"/>
        </w:rPr>
        <w:t> </w:t>
      </w:r>
      <w:r>
        <w:rPr/>
        <w:t>was a huge undertaking for agencies, programs and staff</w:t>
      </w:r>
      <w:r>
        <w:rPr>
          <w:spacing w:val="-1"/>
        </w:rPr>
        <w:t> </w:t>
      </w:r>
      <w:r>
        <w:rPr/>
        <w:t>and it somehow</w:t>
      </w:r>
      <w:r>
        <w:rPr>
          <w:spacing w:val="-3"/>
        </w:rPr>
        <w:t> </w:t>
      </w:r>
      <w:r>
        <w:rPr/>
        <w:t>all fell into place</w:t>
      </w:r>
      <w:r>
        <w:rPr>
          <w:spacing w:val="-1"/>
        </w:rPr>
        <w:t> </w:t>
      </w:r>
      <w:r>
        <w:rPr/>
        <w:t>within a few weeks</w:t>
      </w:r>
      <w:r>
        <w:rPr>
          <w:spacing w:val="-2"/>
        </w:rPr>
        <w:t> </w:t>
      </w:r>
      <w:r>
        <w:rPr/>
        <w:t>time.</w:t>
      </w:r>
      <w:r>
        <w:rPr>
          <w:spacing w:val="40"/>
        </w:rPr>
        <w:t> </w:t>
      </w:r>
      <w:r>
        <w:rPr/>
        <w:t>EI Specialists</w:t>
      </w:r>
      <w:r>
        <w:rPr>
          <w:spacing w:val="-2"/>
        </w:rPr>
        <w:t> </w:t>
      </w:r>
      <w:r>
        <w:rPr/>
        <w:t>that were</w:t>
      </w:r>
      <w:r>
        <w:rPr>
          <w:spacing w:val="-2"/>
        </w:rPr>
        <w:t> </w:t>
      </w:r>
      <w:r>
        <w:rPr/>
        <w:t>using toy bags on</w:t>
      </w:r>
      <w:r>
        <w:rPr>
          <w:spacing w:val="-4"/>
        </w:rPr>
        <w:t> </w:t>
      </w:r>
      <w:r>
        <w:rPr/>
        <w:t>visits</w:t>
      </w:r>
      <w:r>
        <w:rPr>
          <w:spacing w:val="-5"/>
        </w:rPr>
        <w:t> </w:t>
      </w:r>
      <w:r>
        <w:rPr/>
        <w:t>quickly</w:t>
      </w:r>
      <w:r>
        <w:rPr>
          <w:spacing w:val="-2"/>
        </w:rPr>
        <w:t> </w:t>
      </w:r>
      <w:r>
        <w:rPr/>
        <w:t>had</w:t>
      </w:r>
      <w:r>
        <w:rPr>
          <w:spacing w:val="-6"/>
        </w:rPr>
        <w:t> </w:t>
      </w:r>
      <w:r>
        <w:rPr/>
        <w:t>to</w:t>
      </w:r>
      <w:r>
        <w:rPr>
          <w:spacing w:val="-4"/>
        </w:rPr>
        <w:t> </w:t>
      </w:r>
      <w:r>
        <w:rPr/>
        <w:t>learn</w:t>
      </w:r>
      <w:r>
        <w:rPr>
          <w:spacing w:val="-8"/>
        </w:rPr>
        <w:t> </w:t>
      </w:r>
      <w:r>
        <w:rPr/>
        <w:t>other</w:t>
      </w:r>
      <w:r>
        <w:rPr>
          <w:spacing w:val="-3"/>
        </w:rPr>
        <w:t> </w:t>
      </w:r>
      <w:r>
        <w:rPr/>
        <w:t>ways</w:t>
      </w:r>
      <w:r>
        <w:rPr>
          <w:spacing w:val="-5"/>
        </w:rPr>
        <w:t> </w:t>
      </w:r>
      <w:r>
        <w:rPr/>
        <w:t>to</w:t>
      </w:r>
      <w:r>
        <w:rPr>
          <w:spacing w:val="-4"/>
        </w:rPr>
        <w:t> </w:t>
      </w:r>
      <w:r>
        <w:rPr/>
        <w:t>support children and families. By not having toys bags in the home, it allowed families to be encouraged to use the resources they had in their natural environment. This also encouraged a family- centered approach as well opportunities to use the PIWI philosophy. Fast foward 15 months later and visits are returning to face-to-face.</w:t>
      </w:r>
      <w:r>
        <w:rPr>
          <w:spacing w:val="40"/>
        </w:rPr>
        <w:t> </w:t>
      </w:r>
      <w:r>
        <w:rPr/>
        <w:t>This is an important reminder that using a toy bag still does not support the MA EI Mission, Key Principles, or DEC recommended pratices.</w:t>
      </w:r>
    </w:p>
    <w:p>
      <w:pPr>
        <w:pStyle w:val="BodyText"/>
        <w:ind w:left="720" w:right="58"/>
      </w:pPr>
      <w:r>
        <w:rPr/>
        <w:t>Visits should support daily activities the family does (e.g. eating meals, bath time, watching the garbage truck, etc.). These strategies support participation in the child and family’s community using the resources they have. Together with families,</w:t>
      </w:r>
      <w:r>
        <w:rPr>
          <w:spacing w:val="-6"/>
        </w:rPr>
        <w:t> </w:t>
      </w:r>
      <w:r>
        <w:rPr/>
        <w:t>EI</w:t>
      </w:r>
      <w:r>
        <w:rPr>
          <w:spacing w:val="-9"/>
        </w:rPr>
        <w:t> </w:t>
      </w:r>
      <w:r>
        <w:rPr/>
        <w:t>Specialists</w:t>
      </w:r>
      <w:r>
        <w:rPr>
          <w:spacing w:val="-7"/>
        </w:rPr>
        <w:t> </w:t>
      </w:r>
      <w:r>
        <w:rPr/>
        <w:t>recognize</w:t>
      </w:r>
      <w:r>
        <w:rPr>
          <w:spacing w:val="-8"/>
        </w:rPr>
        <w:t> </w:t>
      </w:r>
      <w:r>
        <w:rPr/>
        <w:t>and</w:t>
      </w:r>
      <w:r>
        <w:rPr>
          <w:spacing w:val="-6"/>
        </w:rPr>
        <w:t> </w:t>
      </w:r>
      <w:r>
        <w:rPr/>
        <w:t>identify</w:t>
      </w:r>
      <w:r>
        <w:rPr>
          <w:spacing w:val="-6"/>
        </w:rPr>
        <w:t> </w:t>
      </w:r>
      <w:r>
        <w:rPr/>
        <w:t>times that are optimal to practice skill development.</w:t>
      </w:r>
    </w:p>
    <w:p>
      <w:pPr>
        <w:pStyle w:val="Heading1"/>
        <w:spacing w:before="24"/>
        <w:jc w:val="both"/>
      </w:pPr>
      <w:r>
        <w:rPr>
          <w:b w:val="0"/>
        </w:rPr>
        <w:br w:type="column"/>
      </w:r>
      <w:r>
        <w:rPr/>
        <w:t>Questions</w:t>
      </w:r>
      <w:r>
        <w:rPr>
          <w:spacing w:val="1"/>
        </w:rPr>
        <w:t> </w:t>
      </w:r>
      <w:r>
        <w:rPr/>
        <w:t>to</w:t>
      </w:r>
      <w:r>
        <w:rPr>
          <w:spacing w:val="1"/>
        </w:rPr>
        <w:t> </w:t>
      </w:r>
      <w:r>
        <w:rPr>
          <w:spacing w:val="-2"/>
        </w:rPr>
        <w:t>Consider</w:t>
      </w:r>
    </w:p>
    <w:p>
      <w:pPr>
        <w:pStyle w:val="ListParagraph"/>
        <w:numPr>
          <w:ilvl w:val="0"/>
          <w:numId w:val="1"/>
        </w:numPr>
        <w:tabs>
          <w:tab w:pos="1406" w:val="left" w:leader="none"/>
        </w:tabs>
        <w:spacing w:line="240" w:lineRule="auto" w:before="2" w:after="0"/>
        <w:ind w:left="1405" w:right="626" w:hanging="361"/>
        <w:jc w:val="both"/>
        <w:rPr>
          <w:sz w:val="22"/>
        </w:rPr>
      </w:pPr>
      <w:r>
        <w:rPr>
          <w:color w:val="006FC0"/>
          <w:sz w:val="22"/>
        </w:rPr>
        <w:t>What</w:t>
      </w:r>
      <w:r>
        <w:rPr>
          <w:color w:val="006FC0"/>
          <w:spacing w:val="-16"/>
          <w:sz w:val="22"/>
        </w:rPr>
        <w:t> </w:t>
      </w:r>
      <w:r>
        <w:rPr>
          <w:color w:val="006FC0"/>
          <w:sz w:val="22"/>
        </w:rPr>
        <w:t>kind</w:t>
      </w:r>
      <w:r>
        <w:rPr>
          <w:color w:val="006FC0"/>
          <w:spacing w:val="-14"/>
          <w:sz w:val="22"/>
        </w:rPr>
        <w:t> </w:t>
      </w:r>
      <w:r>
        <w:rPr>
          <w:color w:val="006FC0"/>
          <w:sz w:val="22"/>
        </w:rPr>
        <w:t>of</w:t>
      </w:r>
      <w:r>
        <w:rPr>
          <w:color w:val="006FC0"/>
          <w:spacing w:val="-14"/>
          <w:sz w:val="22"/>
        </w:rPr>
        <w:t> </w:t>
      </w:r>
      <w:r>
        <w:rPr>
          <w:color w:val="006FC0"/>
          <w:sz w:val="22"/>
        </w:rPr>
        <w:t>message</w:t>
      </w:r>
      <w:r>
        <w:rPr>
          <w:color w:val="006FC0"/>
          <w:spacing w:val="-13"/>
          <w:sz w:val="22"/>
        </w:rPr>
        <w:t> </w:t>
      </w:r>
      <w:r>
        <w:rPr>
          <w:color w:val="006FC0"/>
          <w:sz w:val="22"/>
        </w:rPr>
        <w:t>does</w:t>
      </w:r>
      <w:r>
        <w:rPr>
          <w:color w:val="006FC0"/>
          <w:spacing w:val="-14"/>
          <w:sz w:val="22"/>
        </w:rPr>
        <w:t> </w:t>
      </w:r>
      <w:r>
        <w:rPr>
          <w:color w:val="006FC0"/>
          <w:sz w:val="22"/>
        </w:rPr>
        <w:t>it</w:t>
      </w:r>
      <w:r>
        <w:rPr>
          <w:color w:val="006FC0"/>
          <w:spacing w:val="-14"/>
          <w:sz w:val="22"/>
        </w:rPr>
        <w:t> </w:t>
      </w:r>
      <w:r>
        <w:rPr>
          <w:color w:val="006FC0"/>
          <w:sz w:val="22"/>
        </w:rPr>
        <w:t>send</w:t>
      </w:r>
      <w:r>
        <w:rPr>
          <w:color w:val="006FC0"/>
          <w:spacing w:val="-14"/>
          <w:sz w:val="22"/>
        </w:rPr>
        <w:t> </w:t>
      </w:r>
      <w:r>
        <w:rPr>
          <w:color w:val="006FC0"/>
          <w:sz w:val="22"/>
        </w:rPr>
        <w:t>to</w:t>
      </w:r>
      <w:r>
        <w:rPr>
          <w:color w:val="006FC0"/>
          <w:spacing w:val="-13"/>
          <w:sz w:val="22"/>
        </w:rPr>
        <w:t> </w:t>
      </w:r>
      <w:r>
        <w:rPr>
          <w:color w:val="006FC0"/>
          <w:sz w:val="22"/>
        </w:rPr>
        <w:t>families when</w:t>
      </w:r>
      <w:r>
        <w:rPr>
          <w:color w:val="006FC0"/>
          <w:spacing w:val="-5"/>
          <w:sz w:val="22"/>
        </w:rPr>
        <w:t> </w:t>
      </w:r>
      <w:r>
        <w:rPr>
          <w:color w:val="006FC0"/>
          <w:sz w:val="22"/>
        </w:rPr>
        <w:t>the</w:t>
      </w:r>
      <w:r>
        <w:rPr>
          <w:color w:val="006FC0"/>
          <w:spacing w:val="-6"/>
          <w:sz w:val="22"/>
        </w:rPr>
        <w:t> </w:t>
      </w:r>
      <w:r>
        <w:rPr>
          <w:color w:val="006FC0"/>
          <w:sz w:val="22"/>
        </w:rPr>
        <w:t>EI</w:t>
      </w:r>
      <w:r>
        <w:rPr>
          <w:color w:val="006FC0"/>
          <w:spacing w:val="-3"/>
          <w:sz w:val="22"/>
        </w:rPr>
        <w:t> </w:t>
      </w:r>
      <w:r>
        <w:rPr>
          <w:color w:val="006FC0"/>
          <w:sz w:val="22"/>
        </w:rPr>
        <w:t>Specialist</w:t>
      </w:r>
      <w:r>
        <w:rPr>
          <w:color w:val="006FC0"/>
          <w:spacing w:val="-4"/>
          <w:sz w:val="22"/>
        </w:rPr>
        <w:t> </w:t>
      </w:r>
      <w:r>
        <w:rPr>
          <w:color w:val="006FC0"/>
          <w:sz w:val="22"/>
        </w:rPr>
        <w:t>show</w:t>
      </w:r>
      <w:r>
        <w:rPr>
          <w:color w:val="006FC0"/>
          <w:spacing w:val="-4"/>
          <w:sz w:val="22"/>
        </w:rPr>
        <w:t> </w:t>
      </w:r>
      <w:r>
        <w:rPr>
          <w:color w:val="006FC0"/>
          <w:sz w:val="22"/>
        </w:rPr>
        <w:t>up</w:t>
      </w:r>
      <w:r>
        <w:rPr>
          <w:color w:val="006FC0"/>
          <w:spacing w:val="-8"/>
          <w:sz w:val="22"/>
        </w:rPr>
        <w:t> </w:t>
      </w:r>
      <w:r>
        <w:rPr>
          <w:color w:val="006FC0"/>
          <w:sz w:val="22"/>
        </w:rPr>
        <w:t>with</w:t>
      </w:r>
      <w:r>
        <w:rPr>
          <w:color w:val="006FC0"/>
          <w:spacing w:val="-5"/>
          <w:sz w:val="22"/>
        </w:rPr>
        <w:t> </w:t>
      </w:r>
      <w:r>
        <w:rPr>
          <w:color w:val="006FC0"/>
          <w:sz w:val="22"/>
        </w:rPr>
        <w:t>a</w:t>
      </w:r>
      <w:r>
        <w:rPr>
          <w:color w:val="006FC0"/>
          <w:spacing w:val="-7"/>
          <w:sz w:val="22"/>
        </w:rPr>
        <w:t> </w:t>
      </w:r>
      <w:r>
        <w:rPr>
          <w:color w:val="006FC0"/>
          <w:sz w:val="22"/>
        </w:rPr>
        <w:t>bag</w:t>
      </w:r>
      <w:r>
        <w:rPr>
          <w:color w:val="006FC0"/>
          <w:spacing w:val="-3"/>
          <w:sz w:val="22"/>
        </w:rPr>
        <w:t> </w:t>
      </w:r>
      <w:r>
        <w:rPr>
          <w:color w:val="006FC0"/>
          <w:sz w:val="22"/>
        </w:rPr>
        <w:t>of </w:t>
      </w:r>
      <w:r>
        <w:rPr>
          <w:color w:val="006FC0"/>
          <w:spacing w:val="-2"/>
          <w:sz w:val="22"/>
        </w:rPr>
        <w:t>toys?</w:t>
      </w:r>
    </w:p>
    <w:p>
      <w:pPr>
        <w:pStyle w:val="ListParagraph"/>
        <w:numPr>
          <w:ilvl w:val="0"/>
          <w:numId w:val="1"/>
        </w:numPr>
        <w:tabs>
          <w:tab w:pos="1406" w:val="left" w:leader="none"/>
        </w:tabs>
        <w:spacing w:line="240" w:lineRule="auto" w:before="1" w:after="0"/>
        <w:ind w:left="1405" w:right="626" w:hanging="361"/>
        <w:jc w:val="both"/>
        <w:rPr>
          <w:sz w:val="22"/>
        </w:rPr>
      </w:pPr>
      <w:r>
        <w:rPr>
          <w:color w:val="006FC0"/>
          <w:sz w:val="22"/>
        </w:rPr>
        <w:t>What happens if the EI Specialist bring toys into</w:t>
      </w:r>
      <w:r>
        <w:rPr>
          <w:color w:val="006FC0"/>
          <w:spacing w:val="-14"/>
          <w:sz w:val="22"/>
        </w:rPr>
        <w:t> </w:t>
      </w:r>
      <w:r>
        <w:rPr>
          <w:color w:val="006FC0"/>
          <w:sz w:val="22"/>
        </w:rPr>
        <w:t>the</w:t>
      </w:r>
      <w:r>
        <w:rPr>
          <w:color w:val="006FC0"/>
          <w:spacing w:val="-14"/>
          <w:sz w:val="22"/>
        </w:rPr>
        <w:t> </w:t>
      </w:r>
      <w:r>
        <w:rPr>
          <w:color w:val="006FC0"/>
          <w:sz w:val="22"/>
        </w:rPr>
        <w:t>home</w:t>
      </w:r>
      <w:r>
        <w:rPr>
          <w:color w:val="006FC0"/>
          <w:spacing w:val="-14"/>
          <w:sz w:val="22"/>
        </w:rPr>
        <w:t> </w:t>
      </w:r>
      <w:r>
        <w:rPr>
          <w:color w:val="006FC0"/>
          <w:sz w:val="22"/>
        </w:rPr>
        <w:t>and</w:t>
      </w:r>
      <w:r>
        <w:rPr>
          <w:color w:val="006FC0"/>
          <w:spacing w:val="-13"/>
          <w:sz w:val="22"/>
        </w:rPr>
        <w:t> </w:t>
      </w:r>
      <w:r>
        <w:rPr>
          <w:color w:val="006FC0"/>
          <w:sz w:val="22"/>
        </w:rPr>
        <w:t>leave</w:t>
      </w:r>
      <w:r>
        <w:rPr>
          <w:color w:val="006FC0"/>
          <w:spacing w:val="-14"/>
          <w:sz w:val="22"/>
        </w:rPr>
        <w:t> </w:t>
      </w:r>
      <w:r>
        <w:rPr>
          <w:color w:val="006FC0"/>
          <w:sz w:val="22"/>
        </w:rPr>
        <w:t>them</w:t>
      </w:r>
      <w:r>
        <w:rPr>
          <w:color w:val="006FC0"/>
          <w:spacing w:val="-14"/>
          <w:sz w:val="22"/>
        </w:rPr>
        <w:t> </w:t>
      </w:r>
      <w:r>
        <w:rPr>
          <w:color w:val="006FC0"/>
          <w:sz w:val="22"/>
        </w:rPr>
        <w:t>there?</w:t>
      </w:r>
      <w:r>
        <w:rPr>
          <w:color w:val="006FC0"/>
          <w:spacing w:val="-14"/>
          <w:sz w:val="22"/>
        </w:rPr>
        <w:t> </w:t>
      </w:r>
      <w:r>
        <w:rPr>
          <w:color w:val="006FC0"/>
          <w:sz w:val="22"/>
        </w:rPr>
        <w:t>Are</w:t>
      </w:r>
      <w:r>
        <w:rPr>
          <w:color w:val="006FC0"/>
          <w:spacing w:val="-13"/>
          <w:sz w:val="22"/>
        </w:rPr>
        <w:t> </w:t>
      </w:r>
      <w:r>
        <w:rPr>
          <w:color w:val="006FC0"/>
          <w:sz w:val="22"/>
        </w:rPr>
        <w:t>they culturally appropriate for the child and family?</w:t>
      </w:r>
      <w:r>
        <w:rPr>
          <w:color w:val="006FC0"/>
          <w:spacing w:val="-3"/>
          <w:sz w:val="22"/>
        </w:rPr>
        <w:t> </w:t>
      </w:r>
      <w:r>
        <w:rPr>
          <w:color w:val="006FC0"/>
          <w:sz w:val="22"/>
        </w:rPr>
        <w:t>How</w:t>
      </w:r>
      <w:r>
        <w:rPr>
          <w:color w:val="006FC0"/>
          <w:spacing w:val="-2"/>
          <w:sz w:val="22"/>
        </w:rPr>
        <w:t> </w:t>
      </w:r>
      <w:r>
        <w:rPr>
          <w:color w:val="006FC0"/>
          <w:sz w:val="22"/>
        </w:rPr>
        <w:t>will</w:t>
      </w:r>
      <w:r>
        <w:rPr>
          <w:color w:val="006FC0"/>
          <w:spacing w:val="-5"/>
          <w:sz w:val="22"/>
        </w:rPr>
        <w:t> </w:t>
      </w:r>
      <w:r>
        <w:rPr>
          <w:color w:val="006FC0"/>
          <w:sz w:val="22"/>
        </w:rPr>
        <w:t>the</w:t>
      </w:r>
      <w:r>
        <w:rPr>
          <w:color w:val="006FC0"/>
          <w:spacing w:val="-3"/>
          <w:sz w:val="22"/>
        </w:rPr>
        <w:t> </w:t>
      </w:r>
      <w:r>
        <w:rPr>
          <w:color w:val="006FC0"/>
          <w:sz w:val="22"/>
        </w:rPr>
        <w:t>family</w:t>
      </w:r>
      <w:r>
        <w:rPr>
          <w:color w:val="006FC0"/>
          <w:spacing w:val="-4"/>
          <w:sz w:val="22"/>
        </w:rPr>
        <w:t> </w:t>
      </w:r>
      <w:r>
        <w:rPr>
          <w:color w:val="006FC0"/>
          <w:sz w:val="22"/>
        </w:rPr>
        <w:t>continue</w:t>
      </w:r>
      <w:r>
        <w:rPr>
          <w:color w:val="006FC0"/>
          <w:spacing w:val="-2"/>
          <w:sz w:val="22"/>
        </w:rPr>
        <w:t> </w:t>
      </w:r>
      <w:r>
        <w:rPr>
          <w:color w:val="006FC0"/>
          <w:sz w:val="22"/>
        </w:rPr>
        <w:t>to</w:t>
      </w:r>
      <w:r>
        <w:rPr>
          <w:color w:val="006FC0"/>
          <w:spacing w:val="-3"/>
          <w:sz w:val="22"/>
        </w:rPr>
        <w:t> </w:t>
      </w:r>
      <w:r>
        <w:rPr>
          <w:color w:val="006FC0"/>
          <w:sz w:val="22"/>
        </w:rPr>
        <w:t>find resources for toys when their child turns 3?</w:t>
      </w:r>
    </w:p>
    <w:p>
      <w:pPr>
        <w:pStyle w:val="ListParagraph"/>
        <w:numPr>
          <w:ilvl w:val="0"/>
          <w:numId w:val="1"/>
        </w:numPr>
        <w:tabs>
          <w:tab w:pos="1405" w:val="left" w:leader="none"/>
          <w:tab w:pos="1406" w:val="left" w:leader="none"/>
        </w:tabs>
        <w:spacing w:line="240" w:lineRule="auto" w:before="1" w:after="0"/>
        <w:ind w:left="1405" w:right="881" w:hanging="361"/>
        <w:jc w:val="left"/>
        <w:rPr>
          <w:sz w:val="22"/>
        </w:rPr>
      </w:pPr>
      <w:r>
        <w:rPr>
          <w:color w:val="006FC0"/>
          <w:sz w:val="22"/>
        </w:rPr>
        <w:t>How</w:t>
      </w:r>
      <w:r>
        <w:rPr>
          <w:color w:val="006FC0"/>
          <w:spacing w:val="-4"/>
          <w:sz w:val="22"/>
        </w:rPr>
        <w:t> </w:t>
      </w:r>
      <w:r>
        <w:rPr>
          <w:color w:val="006FC0"/>
          <w:sz w:val="22"/>
        </w:rPr>
        <w:t>is</w:t>
      </w:r>
      <w:r>
        <w:rPr>
          <w:color w:val="006FC0"/>
          <w:spacing w:val="-6"/>
          <w:sz w:val="22"/>
        </w:rPr>
        <w:t> </w:t>
      </w:r>
      <w:r>
        <w:rPr>
          <w:color w:val="006FC0"/>
          <w:sz w:val="22"/>
        </w:rPr>
        <w:t>the</w:t>
      </w:r>
      <w:r>
        <w:rPr>
          <w:color w:val="006FC0"/>
          <w:spacing w:val="-6"/>
          <w:sz w:val="22"/>
        </w:rPr>
        <w:t> </w:t>
      </w:r>
      <w:r>
        <w:rPr>
          <w:color w:val="006FC0"/>
          <w:sz w:val="22"/>
        </w:rPr>
        <w:t>family</w:t>
      </w:r>
      <w:r>
        <w:rPr>
          <w:color w:val="006FC0"/>
          <w:spacing w:val="-4"/>
          <w:sz w:val="22"/>
        </w:rPr>
        <w:t> </w:t>
      </w:r>
      <w:r>
        <w:rPr>
          <w:color w:val="006FC0"/>
          <w:sz w:val="22"/>
        </w:rPr>
        <w:t>able</w:t>
      </w:r>
      <w:r>
        <w:rPr>
          <w:color w:val="006FC0"/>
          <w:spacing w:val="-6"/>
          <w:sz w:val="22"/>
        </w:rPr>
        <w:t> </w:t>
      </w:r>
      <w:r>
        <w:rPr>
          <w:color w:val="006FC0"/>
          <w:sz w:val="22"/>
        </w:rPr>
        <w:t>to</w:t>
      </w:r>
      <w:r>
        <w:rPr>
          <w:color w:val="006FC0"/>
          <w:spacing w:val="-5"/>
          <w:sz w:val="22"/>
        </w:rPr>
        <w:t> </w:t>
      </w:r>
      <w:r>
        <w:rPr>
          <w:color w:val="006FC0"/>
          <w:sz w:val="22"/>
        </w:rPr>
        <w:t>use</w:t>
      </w:r>
      <w:r>
        <w:rPr>
          <w:color w:val="006FC0"/>
          <w:spacing w:val="-6"/>
          <w:sz w:val="22"/>
        </w:rPr>
        <w:t> </w:t>
      </w:r>
      <w:r>
        <w:rPr>
          <w:color w:val="006FC0"/>
          <w:sz w:val="22"/>
        </w:rPr>
        <w:t>the</w:t>
      </w:r>
      <w:r>
        <w:rPr>
          <w:color w:val="006FC0"/>
          <w:spacing w:val="-6"/>
          <w:sz w:val="22"/>
        </w:rPr>
        <w:t> </w:t>
      </w:r>
      <w:r>
        <w:rPr>
          <w:color w:val="006FC0"/>
          <w:sz w:val="22"/>
        </w:rPr>
        <w:t>activities within their daily routines</w:t>
      </w:r>
      <w:r>
        <w:rPr>
          <w:color w:val="006FC0"/>
          <w:spacing w:val="-1"/>
          <w:sz w:val="22"/>
        </w:rPr>
        <w:t> </w:t>
      </w:r>
      <w:r>
        <w:rPr>
          <w:color w:val="006FC0"/>
          <w:sz w:val="22"/>
        </w:rPr>
        <w:t>when there</w:t>
      </w:r>
      <w:r>
        <w:rPr>
          <w:color w:val="006FC0"/>
          <w:spacing w:val="-1"/>
          <w:sz w:val="22"/>
        </w:rPr>
        <w:t> </w:t>
      </w:r>
      <w:r>
        <w:rPr>
          <w:color w:val="006FC0"/>
          <w:sz w:val="22"/>
        </w:rPr>
        <w:t>are toys brought in and then taken out of the home each week?</w:t>
      </w:r>
    </w:p>
    <w:p>
      <w:pPr>
        <w:pStyle w:val="BodyText"/>
        <w:spacing w:before="12"/>
        <w:rPr>
          <w:sz w:val="21"/>
        </w:rPr>
      </w:pPr>
    </w:p>
    <w:p>
      <w:pPr>
        <w:pStyle w:val="Heading1"/>
      </w:pPr>
      <w:r>
        <w:rPr/>
        <w:t>Family</w:t>
      </w:r>
      <w:r>
        <w:rPr>
          <w:spacing w:val="-6"/>
        </w:rPr>
        <w:t> </w:t>
      </w:r>
      <w:r>
        <w:rPr/>
        <w:t>Engagement</w:t>
      </w:r>
      <w:r>
        <w:rPr>
          <w:spacing w:val="-3"/>
        </w:rPr>
        <w:t> </w:t>
      </w:r>
      <w:r>
        <w:rPr>
          <w:spacing w:val="-4"/>
        </w:rPr>
        <w:t>Tips</w:t>
      </w:r>
    </w:p>
    <w:p>
      <w:pPr>
        <w:pStyle w:val="BodyText"/>
        <w:spacing w:before="2"/>
        <w:ind w:left="684" w:right="625"/>
      </w:pPr>
      <w:r>
        <w:rPr>
          <w:color w:val="333333"/>
        </w:rPr>
        <w:t>When a toy bag is used in a home visit, caregivers may not have the opportunity to practice the skills addressed</w:t>
      </w:r>
      <w:r>
        <w:rPr>
          <w:color w:val="333333"/>
          <w:spacing w:val="-4"/>
        </w:rPr>
        <w:t> </w:t>
      </w:r>
      <w:r>
        <w:rPr>
          <w:color w:val="333333"/>
        </w:rPr>
        <w:t>in</w:t>
      </w:r>
      <w:r>
        <w:rPr>
          <w:color w:val="333333"/>
          <w:spacing w:val="-6"/>
        </w:rPr>
        <w:t> </w:t>
      </w:r>
      <w:r>
        <w:rPr>
          <w:color w:val="333333"/>
        </w:rPr>
        <w:t>the</w:t>
      </w:r>
      <w:r>
        <w:rPr>
          <w:color w:val="333333"/>
          <w:spacing w:val="-7"/>
        </w:rPr>
        <w:t> </w:t>
      </w:r>
      <w:r>
        <w:rPr>
          <w:color w:val="333333"/>
        </w:rPr>
        <w:t>visit</w:t>
      </w:r>
      <w:r>
        <w:rPr>
          <w:color w:val="333333"/>
          <w:spacing w:val="-5"/>
        </w:rPr>
        <w:t> </w:t>
      </w:r>
      <w:r>
        <w:rPr>
          <w:color w:val="333333"/>
        </w:rPr>
        <w:t>because</w:t>
      </w:r>
      <w:r>
        <w:rPr>
          <w:color w:val="333333"/>
          <w:spacing w:val="-7"/>
        </w:rPr>
        <w:t> </w:t>
      </w:r>
      <w:r>
        <w:rPr>
          <w:color w:val="333333"/>
        </w:rPr>
        <w:t>the</w:t>
      </w:r>
      <w:r>
        <w:rPr>
          <w:color w:val="333333"/>
          <w:spacing w:val="-3"/>
        </w:rPr>
        <w:t> </w:t>
      </w:r>
      <w:r>
        <w:rPr>
          <w:color w:val="333333"/>
        </w:rPr>
        <w:t>EI</w:t>
      </w:r>
      <w:r>
        <w:rPr>
          <w:color w:val="333333"/>
          <w:spacing w:val="-4"/>
        </w:rPr>
        <w:t> </w:t>
      </w:r>
      <w:r>
        <w:rPr>
          <w:color w:val="333333"/>
        </w:rPr>
        <w:t>Specialist</w:t>
      </w:r>
      <w:r>
        <w:rPr>
          <w:color w:val="333333"/>
          <w:spacing w:val="-5"/>
        </w:rPr>
        <w:t> </w:t>
      </w:r>
      <w:r>
        <w:rPr>
          <w:color w:val="333333"/>
        </w:rPr>
        <w:t>often takes the toys with them at the end of the visit.</w:t>
      </w:r>
    </w:p>
    <w:p>
      <w:pPr>
        <w:pStyle w:val="BodyText"/>
        <w:ind w:left="684" w:right="625"/>
      </w:pPr>
      <w:r>
        <w:rPr>
          <w:color w:val="333333"/>
        </w:rPr>
        <w:t>Through the use of functional assessment, the EI Specialist can learn about the family and the everyday interactions and routines they have with their child. Using the PIWI philosophy and strategies, the EI Specialist can support families to use everyday routines, such as a bath or mealtime, and everyday materials, such as a cup or bowl, to increase</w:t>
      </w:r>
      <w:r>
        <w:rPr>
          <w:color w:val="333333"/>
          <w:spacing w:val="-7"/>
        </w:rPr>
        <w:t> </w:t>
      </w:r>
      <w:r>
        <w:rPr>
          <w:color w:val="333333"/>
        </w:rPr>
        <w:t>their</w:t>
      </w:r>
      <w:r>
        <w:rPr>
          <w:color w:val="333333"/>
          <w:spacing w:val="-5"/>
        </w:rPr>
        <w:t> </w:t>
      </w:r>
      <w:r>
        <w:rPr>
          <w:color w:val="333333"/>
        </w:rPr>
        <w:t>child’s</w:t>
      </w:r>
      <w:r>
        <w:rPr>
          <w:color w:val="333333"/>
          <w:spacing w:val="-7"/>
        </w:rPr>
        <w:t> </w:t>
      </w:r>
      <w:r>
        <w:rPr>
          <w:color w:val="333333"/>
        </w:rPr>
        <w:t>skills</w:t>
      </w:r>
      <w:r>
        <w:rPr>
          <w:color w:val="333333"/>
          <w:spacing w:val="-7"/>
        </w:rPr>
        <w:t> </w:t>
      </w:r>
      <w:r>
        <w:rPr>
          <w:color w:val="333333"/>
        </w:rPr>
        <w:t>and</w:t>
      </w:r>
      <w:r>
        <w:rPr>
          <w:color w:val="333333"/>
          <w:spacing w:val="-5"/>
        </w:rPr>
        <w:t> </w:t>
      </w:r>
      <w:r>
        <w:rPr>
          <w:color w:val="333333"/>
        </w:rPr>
        <w:t>meet</w:t>
      </w:r>
      <w:r>
        <w:rPr>
          <w:color w:val="333333"/>
          <w:spacing w:val="-5"/>
        </w:rPr>
        <w:t> </w:t>
      </w:r>
      <w:r>
        <w:rPr>
          <w:color w:val="333333"/>
        </w:rPr>
        <w:t>IFSP</w:t>
      </w:r>
      <w:r>
        <w:rPr>
          <w:color w:val="333333"/>
          <w:spacing w:val="-10"/>
        </w:rPr>
        <w:t> </w:t>
      </w:r>
      <w:r>
        <w:rPr>
          <w:color w:val="333333"/>
        </w:rPr>
        <w:t>outcomes.</w:t>
      </w:r>
    </w:p>
    <w:p>
      <w:pPr>
        <w:pStyle w:val="BodyText"/>
        <w:spacing w:before="1"/>
        <w:rPr>
          <w:sz w:val="20"/>
        </w:rPr>
      </w:pPr>
    </w:p>
    <w:p>
      <w:pPr>
        <w:spacing w:line="240" w:lineRule="auto" w:before="0"/>
        <w:ind w:left="684" w:right="698" w:firstLine="0"/>
        <w:jc w:val="left"/>
        <w:rPr>
          <w:i/>
          <w:sz w:val="22"/>
        </w:rPr>
      </w:pPr>
      <w:r>
        <w:rPr>
          <w:sz w:val="22"/>
        </w:rPr>
        <w:t>Guiding Principle #4 from </w:t>
      </w:r>
      <w:r>
        <w:rPr>
          <w:i/>
          <w:sz w:val="22"/>
        </w:rPr>
        <w:t>Strengthening</w:t>
      </w:r>
      <w:r>
        <w:rPr>
          <w:i/>
          <w:sz w:val="22"/>
        </w:rPr>
        <w:t> Partnerships:</w:t>
      </w:r>
      <w:r>
        <w:rPr>
          <w:i/>
          <w:spacing w:val="-1"/>
          <w:sz w:val="22"/>
        </w:rPr>
        <w:t> </w:t>
      </w:r>
      <w:r>
        <w:rPr>
          <w:i/>
          <w:sz w:val="22"/>
        </w:rPr>
        <w:t>A</w:t>
      </w:r>
      <w:r>
        <w:rPr>
          <w:i/>
          <w:spacing w:val="-1"/>
          <w:sz w:val="22"/>
        </w:rPr>
        <w:t> </w:t>
      </w:r>
      <w:r>
        <w:rPr>
          <w:i/>
          <w:sz w:val="22"/>
        </w:rPr>
        <w:t>Framework, </w:t>
      </w:r>
      <w:r>
        <w:rPr>
          <w:sz w:val="22"/>
        </w:rPr>
        <w:t>tells</w:t>
      </w:r>
      <w:r>
        <w:rPr>
          <w:spacing w:val="-3"/>
          <w:sz w:val="22"/>
        </w:rPr>
        <w:t> </w:t>
      </w:r>
      <w:r>
        <w:rPr>
          <w:sz w:val="22"/>
        </w:rPr>
        <w:t>us</w:t>
      </w:r>
      <w:r>
        <w:rPr>
          <w:spacing w:val="-3"/>
          <w:sz w:val="22"/>
        </w:rPr>
        <w:t> </w:t>
      </w:r>
      <w:r>
        <w:rPr>
          <w:i/>
          <w:sz w:val="22"/>
        </w:rPr>
        <w:t>Families are</w:t>
      </w:r>
      <w:r>
        <w:rPr>
          <w:i/>
          <w:spacing w:val="-3"/>
          <w:sz w:val="22"/>
        </w:rPr>
        <w:t> </w:t>
      </w:r>
      <w:r>
        <w:rPr>
          <w:i/>
          <w:sz w:val="22"/>
        </w:rPr>
        <w:t>their</w:t>
      </w:r>
      <w:r>
        <w:rPr>
          <w:i/>
          <w:sz w:val="22"/>
        </w:rPr>
        <w:t> child’s first and best advocate. This premier role puts families</w:t>
      </w:r>
      <w:r>
        <w:rPr>
          <w:i/>
          <w:spacing w:val="-7"/>
          <w:sz w:val="22"/>
        </w:rPr>
        <w:t> </w:t>
      </w:r>
      <w:r>
        <w:rPr>
          <w:i/>
          <w:sz w:val="22"/>
        </w:rPr>
        <w:t>in</w:t>
      </w:r>
      <w:r>
        <w:rPr>
          <w:i/>
          <w:spacing w:val="-4"/>
          <w:sz w:val="22"/>
        </w:rPr>
        <w:t> </w:t>
      </w:r>
      <w:r>
        <w:rPr>
          <w:i/>
          <w:sz w:val="22"/>
        </w:rPr>
        <w:t>a</w:t>
      </w:r>
      <w:r>
        <w:rPr>
          <w:i/>
          <w:spacing w:val="-7"/>
          <w:sz w:val="22"/>
        </w:rPr>
        <w:t> </w:t>
      </w:r>
      <w:r>
        <w:rPr>
          <w:i/>
          <w:sz w:val="22"/>
        </w:rPr>
        <w:t>unique</w:t>
      </w:r>
      <w:r>
        <w:rPr>
          <w:i/>
          <w:spacing w:val="-7"/>
          <w:sz w:val="22"/>
        </w:rPr>
        <w:t> </w:t>
      </w:r>
      <w:r>
        <w:rPr>
          <w:i/>
          <w:sz w:val="22"/>
        </w:rPr>
        <w:t>position</w:t>
      </w:r>
      <w:r>
        <w:rPr>
          <w:i/>
          <w:spacing w:val="-4"/>
          <w:sz w:val="22"/>
        </w:rPr>
        <w:t> </w:t>
      </w:r>
      <w:r>
        <w:rPr>
          <w:i/>
          <w:sz w:val="22"/>
        </w:rPr>
        <w:t>to</w:t>
      </w:r>
      <w:r>
        <w:rPr>
          <w:i/>
          <w:spacing w:val="-7"/>
          <w:sz w:val="22"/>
        </w:rPr>
        <w:t> </w:t>
      </w:r>
      <w:r>
        <w:rPr>
          <w:i/>
          <w:sz w:val="22"/>
        </w:rPr>
        <w:t>nurture</w:t>
      </w:r>
      <w:r>
        <w:rPr>
          <w:i/>
          <w:spacing w:val="-7"/>
          <w:sz w:val="22"/>
        </w:rPr>
        <w:t> </w:t>
      </w:r>
      <w:r>
        <w:rPr>
          <w:i/>
          <w:sz w:val="22"/>
        </w:rPr>
        <w:t>their</w:t>
      </w:r>
      <w:r>
        <w:rPr>
          <w:i/>
          <w:spacing w:val="-7"/>
          <w:sz w:val="22"/>
        </w:rPr>
        <w:t> </w:t>
      </w:r>
      <w:r>
        <w:rPr>
          <w:i/>
          <w:sz w:val="22"/>
        </w:rPr>
        <w:t>children’s growth and development and to help practitioners become knowledgeable about their child.</w:t>
      </w:r>
    </w:p>
    <w:p>
      <w:pPr>
        <w:pStyle w:val="BodyText"/>
        <w:spacing w:before="12"/>
        <w:rPr>
          <w:i/>
          <w:sz w:val="21"/>
        </w:rPr>
      </w:pPr>
    </w:p>
    <w:p>
      <w:pPr>
        <w:pStyle w:val="BodyText"/>
        <w:ind w:left="684" w:right="625"/>
      </w:pPr>
      <w:r>
        <w:rPr/>
        <w:t>For</w:t>
      </w:r>
      <w:r>
        <w:rPr>
          <w:spacing w:val="-7"/>
        </w:rPr>
        <w:t> </w:t>
      </w:r>
      <w:r>
        <w:rPr/>
        <w:t>more</w:t>
      </w:r>
      <w:r>
        <w:rPr>
          <w:spacing w:val="-9"/>
        </w:rPr>
        <w:t> </w:t>
      </w:r>
      <w:r>
        <w:rPr/>
        <w:t>information</w:t>
      </w:r>
      <w:r>
        <w:rPr>
          <w:spacing w:val="-5"/>
        </w:rPr>
        <w:t> </w:t>
      </w:r>
      <w:r>
        <w:rPr/>
        <w:t>visit</w:t>
      </w:r>
      <w:hyperlink r:id="rId5">
        <w:r>
          <w:rPr/>
          <w:t>:</w:t>
        </w:r>
        <w:r>
          <w:rPr>
            <w:color w:val="006FC0"/>
            <w:u w:val="single" w:color="006FC0"/>
          </w:rPr>
          <w:t>doe.mass.edu/sfs/family-</w:t>
        </w:r>
      </w:hyperlink>
      <w:r>
        <w:rPr>
          <w:color w:val="006FC0"/>
        </w:rPr>
        <w:t> </w:t>
      </w:r>
      <w:hyperlink r:id="rId5">
        <w:r>
          <w:rPr>
            <w:color w:val="006FC0"/>
            <w:spacing w:val="-2"/>
            <w:u w:val="single" w:color="006FC0"/>
          </w:rPr>
          <w:t>engagement-framework.pdf</w:t>
        </w:r>
      </w:hyperlink>
    </w:p>
    <w:p>
      <w:pPr>
        <w:spacing w:after="0"/>
        <w:sectPr>
          <w:type w:val="continuous"/>
          <w:pgSz w:w="12240" w:h="15840"/>
          <w:pgMar w:top="0" w:bottom="280" w:left="0" w:right="0"/>
          <w:cols w:num="2" w:equalWidth="0">
            <w:col w:w="5802" w:space="40"/>
            <w:col w:w="6398"/>
          </w:cols>
        </w:sectPr>
      </w:pPr>
    </w:p>
    <w:p>
      <w:pPr>
        <w:pStyle w:val="BodyText"/>
        <w:rPr>
          <w:sz w:val="20"/>
        </w:rPr>
      </w:pPr>
      <w:r>
        <w:rPr/>
        <w:pict>
          <v:group style="position:absolute;margin-left:0pt;margin-top:0pt;width:612pt;height:133.8pt;mso-position-horizontal-relative:page;mso-position-vertical-relative:page;z-index:15728640" id="docshapegroup1" coordorigin="0,0" coordsize="12240,2676">
            <v:rect style="position:absolute;left:0;top:0;width:12240;height:2676" id="docshape2" filled="true" fillcolor="#91acf0" stroked="false">
              <v:fill type="solid"/>
            </v:rect>
            <v:shape style="position:absolute;left:1368;top:492;width:1540;height:1380" type="#_x0000_t75" id="docshape3" stroked="false">
              <v:imagedata r:id="rId6" o:title=""/>
            </v:shape>
            <v:shape style="position:absolute;left:9342;top:556;width:1535;height:1315" type="#_x0000_t75" id="docshape4" stroked="false">
              <v:imagedata r:id="rId7" o:title=""/>
            </v:shape>
            <v:shapetype id="_x0000_t202" o:spt="202" coordsize="21600,21600" path="m,l,21600r21600,l21600,xe">
              <v:stroke joinstyle="miter"/>
              <v:path gradientshapeok="t" o:connecttype="rect"/>
            </v:shapetype>
            <v:shape style="position:absolute;left:0;top:0;width:12240;height:2676" type="#_x0000_t202" id="docshape5" filled="false" stroked="false">
              <v:textbox inset="0,0,0,0">
                <w:txbxContent>
                  <w:p>
                    <w:pPr>
                      <w:spacing w:line="240" w:lineRule="auto" w:before="0"/>
                      <w:rPr>
                        <w:rFonts w:ascii="Times New Roman"/>
                        <w:sz w:val="40"/>
                      </w:rPr>
                    </w:pPr>
                  </w:p>
                  <w:p>
                    <w:pPr>
                      <w:spacing w:line="240" w:lineRule="auto" w:before="0"/>
                      <w:rPr>
                        <w:rFonts w:ascii="Times New Roman"/>
                        <w:sz w:val="40"/>
                      </w:rPr>
                    </w:pPr>
                  </w:p>
                  <w:p>
                    <w:pPr>
                      <w:spacing w:line="240" w:lineRule="auto" w:before="7"/>
                      <w:rPr>
                        <w:rFonts w:ascii="Times New Roman"/>
                        <w:sz w:val="46"/>
                      </w:rPr>
                    </w:pPr>
                  </w:p>
                  <w:p>
                    <w:pPr>
                      <w:spacing w:before="1"/>
                      <w:ind w:left="3513" w:right="3588" w:firstLine="0"/>
                      <w:jc w:val="center"/>
                      <w:rPr>
                        <w:b/>
                        <w:sz w:val="40"/>
                      </w:rPr>
                    </w:pPr>
                    <w:r>
                      <w:rPr>
                        <w:b/>
                        <w:sz w:val="40"/>
                      </w:rPr>
                      <w:t>Beyond</w:t>
                    </w:r>
                    <w:r>
                      <w:rPr>
                        <w:b/>
                        <w:spacing w:val="-1"/>
                        <w:sz w:val="40"/>
                      </w:rPr>
                      <w:t> </w:t>
                    </w:r>
                    <w:r>
                      <w:rPr>
                        <w:b/>
                        <w:sz w:val="40"/>
                      </w:rPr>
                      <w:t>Bubbles</w:t>
                    </w:r>
                    <w:r>
                      <w:rPr>
                        <w:b/>
                        <w:spacing w:val="-3"/>
                        <w:sz w:val="40"/>
                      </w:rPr>
                      <w:t> </w:t>
                    </w:r>
                    <w:r>
                      <w:rPr>
                        <w:b/>
                        <w:sz w:val="40"/>
                      </w:rPr>
                      <w:t>and</w:t>
                    </w:r>
                    <w:r>
                      <w:rPr>
                        <w:b/>
                        <w:spacing w:val="1"/>
                        <w:sz w:val="40"/>
                      </w:rPr>
                      <w:t> </w:t>
                    </w:r>
                    <w:r>
                      <w:rPr>
                        <w:b/>
                        <w:spacing w:val="-2"/>
                        <w:sz w:val="40"/>
                      </w:rPr>
                      <w:t>Blocks</w:t>
                    </w:r>
                  </w:p>
                  <w:p>
                    <w:pPr>
                      <w:spacing w:before="0"/>
                      <w:ind w:left="3513" w:right="3513" w:firstLine="0"/>
                      <w:jc w:val="center"/>
                      <w:rPr>
                        <w:sz w:val="32"/>
                      </w:rPr>
                    </w:pPr>
                    <w:r>
                      <w:rPr>
                        <w:sz w:val="32"/>
                      </w:rPr>
                      <w:t>Tips</w:t>
                    </w:r>
                    <w:r>
                      <w:rPr>
                        <w:spacing w:val="-2"/>
                        <w:sz w:val="32"/>
                      </w:rPr>
                      <w:t> </w:t>
                    </w:r>
                    <w:r>
                      <w:rPr>
                        <w:sz w:val="32"/>
                      </w:rPr>
                      <w:t>for</w:t>
                    </w:r>
                    <w:r>
                      <w:rPr>
                        <w:spacing w:val="1"/>
                        <w:sz w:val="32"/>
                      </w:rPr>
                      <w:t> </w:t>
                    </w:r>
                    <w:r>
                      <w:rPr>
                        <w:sz w:val="32"/>
                      </w:rPr>
                      <w:t>EI Home</w:t>
                    </w:r>
                    <w:r>
                      <w:rPr>
                        <w:spacing w:val="-2"/>
                        <w:sz w:val="32"/>
                      </w:rPr>
                      <w:t> Visitors</w:t>
                    </w:r>
                  </w:p>
                </w:txbxContent>
              </v:textbox>
              <w10:wrap type="none"/>
            </v:shape>
            <w10:wrap type="none"/>
          </v:group>
        </w:pict>
      </w:r>
    </w:p>
    <w:p>
      <w:pPr>
        <w:pStyle w:val="BodyText"/>
        <w:rPr>
          <w:sz w:val="20"/>
        </w:rPr>
      </w:pPr>
    </w:p>
    <w:p>
      <w:pPr>
        <w:pStyle w:val="BodyText"/>
        <w:rPr>
          <w:sz w:val="20"/>
        </w:rPr>
      </w:pPr>
    </w:p>
    <w:p>
      <w:pPr>
        <w:pStyle w:val="BodyText"/>
        <w:spacing w:before="1"/>
        <w:rPr>
          <w:sz w:val="28"/>
        </w:rPr>
      </w:pPr>
    </w:p>
    <w:p>
      <w:pPr>
        <w:tabs>
          <w:tab w:pos="10635" w:val="left" w:leader="none"/>
        </w:tabs>
        <w:spacing w:before="90"/>
        <w:ind w:left="720" w:right="0" w:firstLine="0"/>
        <w:jc w:val="left"/>
        <w:rPr>
          <w:rFonts w:ascii="Times New Roman"/>
          <w:sz w:val="24"/>
        </w:rPr>
      </w:pPr>
      <w:r>
        <w:rPr>
          <w:rFonts w:ascii="Times New Roman"/>
          <w:sz w:val="24"/>
        </w:rPr>
        <w:t>Massachusetts</w:t>
      </w:r>
      <w:r>
        <w:rPr>
          <w:rFonts w:ascii="Times New Roman"/>
          <w:spacing w:val="-7"/>
          <w:sz w:val="24"/>
        </w:rPr>
        <w:t> </w:t>
      </w:r>
      <w:r>
        <w:rPr>
          <w:rFonts w:ascii="Times New Roman"/>
          <w:sz w:val="24"/>
        </w:rPr>
        <w:t>Department</w:t>
      </w:r>
      <w:r>
        <w:rPr>
          <w:rFonts w:ascii="Times New Roman"/>
          <w:spacing w:val="-4"/>
          <w:sz w:val="24"/>
        </w:rPr>
        <w:t> </w:t>
      </w:r>
      <w:r>
        <w:rPr>
          <w:rFonts w:ascii="Times New Roman"/>
          <w:sz w:val="24"/>
        </w:rPr>
        <w:t>of</w:t>
      </w:r>
      <w:r>
        <w:rPr>
          <w:rFonts w:ascii="Times New Roman"/>
          <w:spacing w:val="-5"/>
          <w:sz w:val="24"/>
        </w:rPr>
        <w:t> </w:t>
      </w:r>
      <w:r>
        <w:rPr>
          <w:rFonts w:ascii="Times New Roman"/>
          <w:sz w:val="24"/>
        </w:rPr>
        <w:t>Public</w:t>
      </w:r>
      <w:r>
        <w:rPr>
          <w:rFonts w:ascii="Times New Roman"/>
          <w:spacing w:val="-4"/>
          <w:sz w:val="24"/>
        </w:rPr>
        <w:t> </w:t>
      </w:r>
      <w:r>
        <w:rPr>
          <w:rFonts w:ascii="Times New Roman"/>
          <w:sz w:val="24"/>
        </w:rPr>
        <w:t>Health,</w:t>
      </w:r>
      <w:r>
        <w:rPr>
          <w:rFonts w:ascii="Times New Roman"/>
          <w:spacing w:val="-4"/>
          <w:sz w:val="24"/>
        </w:rPr>
        <w:t> </w:t>
      </w:r>
      <w:r>
        <w:rPr>
          <w:rFonts w:ascii="Times New Roman"/>
          <w:sz w:val="24"/>
        </w:rPr>
        <w:t>Early</w:t>
      </w:r>
      <w:r>
        <w:rPr>
          <w:rFonts w:ascii="Times New Roman"/>
          <w:spacing w:val="-5"/>
          <w:sz w:val="24"/>
        </w:rPr>
        <w:t> </w:t>
      </w:r>
      <w:r>
        <w:rPr>
          <w:rFonts w:ascii="Times New Roman"/>
          <w:spacing w:val="-2"/>
          <w:sz w:val="24"/>
        </w:rPr>
        <w:t>Intervention</w:t>
      </w:r>
      <w:r>
        <w:rPr>
          <w:rFonts w:ascii="Times New Roman"/>
          <w:sz w:val="24"/>
        </w:rPr>
        <w:tab/>
        <w:t>June</w:t>
      </w:r>
      <w:r>
        <w:rPr>
          <w:rFonts w:ascii="Times New Roman"/>
          <w:spacing w:val="-2"/>
          <w:sz w:val="24"/>
        </w:rPr>
        <w:t> </w:t>
      </w:r>
      <w:r>
        <w:rPr>
          <w:rFonts w:ascii="Times New Roman"/>
          <w:spacing w:val="-4"/>
          <w:sz w:val="24"/>
        </w:rPr>
        <w:t>2021</w:t>
      </w:r>
    </w:p>
    <w:sectPr>
      <w:type w:val="continuous"/>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05" w:hanging="361"/>
      </w:pPr>
      <w:rPr>
        <w:rFonts w:hint="default" w:ascii="Symbol" w:hAnsi="Symbol" w:eastAsia="Symbol" w:cs="Symbol"/>
        <w:b w:val="0"/>
        <w:bCs w:val="0"/>
        <w:i w:val="0"/>
        <w:iCs w:val="0"/>
        <w:color w:val="006FC0"/>
        <w:w w:val="100"/>
        <w:sz w:val="22"/>
        <w:szCs w:val="22"/>
        <w:lang w:val="en-US" w:eastAsia="en-US" w:bidi="ar-SA"/>
      </w:rPr>
    </w:lvl>
    <w:lvl w:ilvl="1">
      <w:start w:val="0"/>
      <w:numFmt w:val="bullet"/>
      <w:lvlText w:val="•"/>
      <w:lvlJc w:val="left"/>
      <w:pPr>
        <w:ind w:left="1899" w:hanging="361"/>
      </w:pPr>
      <w:rPr>
        <w:rFonts w:hint="default"/>
        <w:lang w:val="en-US" w:eastAsia="en-US" w:bidi="ar-SA"/>
      </w:rPr>
    </w:lvl>
    <w:lvl w:ilvl="2">
      <w:start w:val="0"/>
      <w:numFmt w:val="bullet"/>
      <w:lvlText w:val="•"/>
      <w:lvlJc w:val="left"/>
      <w:pPr>
        <w:ind w:left="2399" w:hanging="361"/>
      </w:pPr>
      <w:rPr>
        <w:rFonts w:hint="default"/>
        <w:lang w:val="en-US" w:eastAsia="en-US" w:bidi="ar-SA"/>
      </w:rPr>
    </w:lvl>
    <w:lvl w:ilvl="3">
      <w:start w:val="0"/>
      <w:numFmt w:val="bullet"/>
      <w:lvlText w:val="•"/>
      <w:lvlJc w:val="left"/>
      <w:pPr>
        <w:ind w:left="2899" w:hanging="361"/>
      </w:pPr>
      <w:rPr>
        <w:rFonts w:hint="default"/>
        <w:lang w:val="en-US" w:eastAsia="en-US" w:bidi="ar-SA"/>
      </w:rPr>
    </w:lvl>
    <w:lvl w:ilvl="4">
      <w:start w:val="0"/>
      <w:numFmt w:val="bullet"/>
      <w:lvlText w:val="•"/>
      <w:lvlJc w:val="left"/>
      <w:pPr>
        <w:ind w:left="3399" w:hanging="361"/>
      </w:pPr>
      <w:rPr>
        <w:rFonts w:hint="default"/>
        <w:lang w:val="en-US" w:eastAsia="en-US" w:bidi="ar-SA"/>
      </w:rPr>
    </w:lvl>
    <w:lvl w:ilvl="5">
      <w:start w:val="0"/>
      <w:numFmt w:val="bullet"/>
      <w:lvlText w:val="•"/>
      <w:lvlJc w:val="left"/>
      <w:pPr>
        <w:ind w:left="3899" w:hanging="361"/>
      </w:pPr>
      <w:rPr>
        <w:rFonts w:hint="default"/>
        <w:lang w:val="en-US" w:eastAsia="en-US" w:bidi="ar-SA"/>
      </w:rPr>
    </w:lvl>
    <w:lvl w:ilvl="6">
      <w:start w:val="0"/>
      <w:numFmt w:val="bullet"/>
      <w:lvlText w:val="•"/>
      <w:lvlJc w:val="left"/>
      <w:pPr>
        <w:ind w:left="4399" w:hanging="361"/>
      </w:pPr>
      <w:rPr>
        <w:rFonts w:hint="default"/>
        <w:lang w:val="en-US" w:eastAsia="en-US" w:bidi="ar-SA"/>
      </w:rPr>
    </w:lvl>
    <w:lvl w:ilvl="7">
      <w:start w:val="0"/>
      <w:numFmt w:val="bullet"/>
      <w:lvlText w:val="•"/>
      <w:lvlJc w:val="left"/>
      <w:pPr>
        <w:ind w:left="4898" w:hanging="361"/>
      </w:pPr>
      <w:rPr>
        <w:rFonts w:hint="default"/>
        <w:lang w:val="en-US" w:eastAsia="en-US" w:bidi="ar-SA"/>
      </w:rPr>
    </w:lvl>
    <w:lvl w:ilvl="8">
      <w:start w:val="0"/>
      <w:numFmt w:val="bullet"/>
      <w:lvlText w:val="•"/>
      <w:lvlJc w:val="left"/>
      <w:pPr>
        <w:ind w:left="539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rPr>
      <w:rFonts w:ascii="Palatino Linotype" w:hAnsi="Palatino Linotype" w:eastAsia="Palatino Linotype" w:cs="Palatino Linotype"/>
      <w:sz w:val="22"/>
      <w:szCs w:val="22"/>
      <w:lang w:val="en-US" w:eastAsia="en-US" w:bidi="ar-SA"/>
    </w:rPr>
  </w:style>
  <w:style w:styleId="Heading1" w:type="paragraph">
    <w:name w:val="Heading 1"/>
    <w:basedOn w:val="Normal"/>
    <w:uiPriority w:val="1"/>
    <w:qFormat/>
    <w:pPr>
      <w:ind w:left="684"/>
      <w:outlineLvl w:val="1"/>
    </w:pPr>
    <w:rPr>
      <w:rFonts w:ascii="Palatino Linotype" w:hAnsi="Palatino Linotype" w:eastAsia="Palatino Linotype" w:cs="Palatino Linotype"/>
      <w:b/>
      <w:bCs/>
      <w:sz w:val="24"/>
      <w:szCs w:val="24"/>
      <w:lang w:val="en-US" w:eastAsia="en-US" w:bidi="ar-SA"/>
    </w:rPr>
  </w:style>
  <w:style w:styleId="ListParagraph" w:type="paragraph">
    <w:name w:val="List Paragraph"/>
    <w:basedOn w:val="Normal"/>
    <w:uiPriority w:val="1"/>
    <w:qFormat/>
    <w:pPr>
      <w:spacing w:before="1"/>
      <w:ind w:left="1405" w:right="626" w:hanging="361"/>
      <w:jc w:val="both"/>
    </w:pPr>
    <w:rPr>
      <w:rFonts w:ascii="Palatino Linotype" w:hAnsi="Palatino Linotype" w:eastAsia="Palatino Linotype" w:cs="Palatino Linotyp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http://www.doe.mass.edu/sfs/family-engagement-framework.pdf" TargetMode="Externa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b27df43bacb513a671dfe730a6864f6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4cfb11f2cf1b37c310bb5670d233d78"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DF9F12-ACE3-4917-BCD6-F56B4DED2E8A}"/>
</file>

<file path=customXml/itemProps2.xml><?xml version="1.0" encoding="utf-8"?>
<ds:datastoreItem xmlns:ds="http://schemas.openxmlformats.org/officeDocument/2006/customXml" ds:itemID="{4E66BE04-43D0-4BC7-8C18-457B266A22A1}"/>
</file>

<file path=customXml/itemProps3.xml><?xml version="1.0" encoding="utf-8"?>
<ds:datastoreItem xmlns:ds="http://schemas.openxmlformats.org/officeDocument/2006/customXml" ds:itemID="{0EFEE579-AC15-401A-8468-889C5605BA7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Crosby, Laura M. (DPH)</dc:creator>
  <dcterms:created xsi:type="dcterms:W3CDTF">2023-03-27T18:25:29Z</dcterms:created>
  <dcterms:modified xsi:type="dcterms:W3CDTF">2023-03-27T18:25:29Z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2023-03-27T00:00:00Z</vt:filetime>
  </property>
  <property fmtid="{D5CDD505-2E9C-101B-9397-08002B2CF9AE}" pid="5" name="Producer">
    <vt:lpwstr>Microsoft® Word for Microsoft 365</vt:lpwstr>
  </property>
  <property fmtid="{D5CDD505-2E9C-101B-9397-08002B2CF9AE}" pid="6" name="ContentTypeId">
    <vt:lpwstr>0x010100ABFEDB9F107C6446B43D25A543876226</vt:lpwstr>
  </property>
</Properties>
</file>