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E2" w:rsidRPr="00BC29F5" w:rsidRDefault="00BF15E2" w:rsidP="00BF15E2">
      <w:pPr>
        <w:jc w:val="center"/>
        <w:rPr>
          <w:rFonts w:ascii="Garamond" w:hAnsi="Garamond"/>
          <w:b/>
          <w:sz w:val="28"/>
          <w:szCs w:val="28"/>
        </w:rPr>
      </w:pPr>
      <w:bookmarkStart w:id="0" w:name="_GoBack"/>
      <w:bookmarkEnd w:id="0"/>
      <w:smartTag w:uri="urn:schemas-microsoft-com:office:smarttags" w:element="place">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smartTag>
    </w:p>
    <w:p w:rsidR="00BF15E2" w:rsidRDefault="00BF15E2" w:rsidP="00BF15E2"/>
    <w:tbl>
      <w:tblPr>
        <w:tblStyle w:val="TableGrid"/>
        <w:tblW w:w="0" w:type="auto"/>
        <w:tblLook w:val="01E0" w:firstRow="1" w:lastRow="1" w:firstColumn="1" w:lastColumn="1" w:noHBand="0" w:noVBand="0"/>
      </w:tblPr>
      <w:tblGrid>
        <w:gridCol w:w="4428"/>
        <w:gridCol w:w="4428"/>
      </w:tblGrid>
      <w:tr w:rsidR="00BF15E2" w:rsidTr="000402AD">
        <w:tc>
          <w:tcPr>
            <w:tcW w:w="4428" w:type="dxa"/>
            <w:tcBorders>
              <w:top w:val="nil"/>
              <w:left w:val="nil"/>
              <w:bottom w:val="single" w:sz="4" w:space="0" w:color="auto"/>
              <w:right w:val="nil"/>
            </w:tcBorders>
          </w:tcPr>
          <w:p w:rsidR="00BF15E2" w:rsidRDefault="00BF15E2" w:rsidP="000402AD">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tcPr>
          <w:p w:rsidR="00BF15E2" w:rsidRPr="0074250C" w:rsidRDefault="00BF15E2" w:rsidP="000402AD">
            <w:pPr>
              <w:rPr>
                <w:b/>
              </w:rPr>
            </w:pPr>
            <w:r w:rsidRPr="0074250C">
              <w:rPr>
                <w:b/>
              </w:rPr>
              <w:t>Division of Administrative Law Appeals</w:t>
            </w:r>
          </w:p>
          <w:p w:rsidR="00BF15E2" w:rsidRPr="0074250C" w:rsidRDefault="00BF15E2" w:rsidP="000402AD">
            <w:pPr>
              <w:rPr>
                <w:b/>
              </w:rPr>
            </w:pPr>
          </w:p>
        </w:tc>
      </w:tr>
      <w:tr w:rsidR="00BF15E2" w:rsidTr="000402AD">
        <w:tc>
          <w:tcPr>
            <w:tcW w:w="4428" w:type="dxa"/>
            <w:tcBorders>
              <w:left w:val="nil"/>
              <w:right w:val="nil"/>
            </w:tcBorders>
          </w:tcPr>
          <w:p w:rsidR="00BF15E2" w:rsidRDefault="00BF15E2" w:rsidP="000402AD"/>
          <w:p w:rsidR="00BF15E2" w:rsidRPr="0074250C" w:rsidRDefault="008C50D9" w:rsidP="000402AD">
            <w:pPr>
              <w:rPr>
                <w:b/>
              </w:rPr>
            </w:pPr>
            <w:r>
              <w:rPr>
                <w:b/>
              </w:rPr>
              <w:t xml:space="preserve">Carol </w:t>
            </w:r>
            <w:proofErr w:type="spellStart"/>
            <w:r>
              <w:rPr>
                <w:b/>
              </w:rPr>
              <w:t>Farricker</w:t>
            </w:r>
            <w:proofErr w:type="spellEnd"/>
            <w:r w:rsidR="00BF15E2" w:rsidRPr="0074250C">
              <w:rPr>
                <w:b/>
              </w:rPr>
              <w:t>,</w:t>
            </w:r>
          </w:p>
          <w:p w:rsidR="00BF15E2" w:rsidRDefault="00BF15E2" w:rsidP="000402AD">
            <w:r>
              <w:tab/>
              <w:t>Petitioner</w:t>
            </w:r>
          </w:p>
          <w:p w:rsidR="00E1282D" w:rsidRDefault="00E1282D" w:rsidP="000402AD"/>
          <w:p w:rsidR="00BF15E2" w:rsidRDefault="00BF15E2" w:rsidP="000402AD">
            <w:r>
              <w:tab/>
            </w:r>
            <w:r>
              <w:tab/>
              <w:t>v.</w:t>
            </w:r>
          </w:p>
          <w:p w:rsidR="00BF15E2" w:rsidRDefault="00BF15E2" w:rsidP="000402AD"/>
          <w:p w:rsidR="00E1282D" w:rsidRPr="00B17676" w:rsidRDefault="00BF2F59" w:rsidP="000402AD">
            <w:pPr>
              <w:rPr>
                <w:b/>
              </w:rPr>
            </w:pPr>
            <w:r>
              <w:rPr>
                <w:b/>
              </w:rPr>
              <w:t>Teachers’ Retirement System</w:t>
            </w:r>
            <w:r w:rsidR="00E1282D" w:rsidRPr="00B17676">
              <w:rPr>
                <w:b/>
              </w:rPr>
              <w:t>,</w:t>
            </w:r>
          </w:p>
          <w:p w:rsidR="00BF15E2" w:rsidRDefault="00BF15E2" w:rsidP="000402AD">
            <w:r>
              <w:tab/>
              <w:t>Respondent</w:t>
            </w:r>
          </w:p>
          <w:p w:rsidR="00BF15E2" w:rsidRDefault="00BF15E2" w:rsidP="000402AD"/>
        </w:tc>
        <w:tc>
          <w:tcPr>
            <w:tcW w:w="4428" w:type="dxa"/>
            <w:tcBorders>
              <w:top w:val="nil"/>
              <w:left w:val="nil"/>
              <w:bottom w:val="nil"/>
              <w:right w:val="nil"/>
            </w:tcBorders>
          </w:tcPr>
          <w:p w:rsidR="00BF15E2" w:rsidRDefault="00BF15E2" w:rsidP="000402AD"/>
          <w:p w:rsidR="00BF15E2" w:rsidRDefault="00AC4374" w:rsidP="00E1282D">
            <w:r>
              <w:t xml:space="preserve">Docket No. </w:t>
            </w:r>
            <w:r w:rsidR="00E64DED">
              <w:t>CR-16-492</w:t>
            </w:r>
          </w:p>
        </w:tc>
      </w:tr>
    </w:tbl>
    <w:p w:rsidR="00BF15E2" w:rsidRDefault="00BF15E2" w:rsidP="00BF15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tblGrid>
      <w:tr w:rsidR="00BF15E2" w:rsidTr="000402AD">
        <w:tc>
          <w:tcPr>
            <w:tcW w:w="4428" w:type="dxa"/>
          </w:tcPr>
          <w:p w:rsidR="00BF15E2" w:rsidRDefault="00BF15E2" w:rsidP="000402AD">
            <w:r w:rsidRPr="007604BE">
              <w:rPr>
                <w:b/>
              </w:rPr>
              <w:t xml:space="preserve">Appearance for </w:t>
            </w:r>
            <w:r>
              <w:rPr>
                <w:b/>
              </w:rPr>
              <w:t>Petitioner</w:t>
            </w:r>
            <w:r>
              <w:t>:</w:t>
            </w:r>
          </w:p>
          <w:p w:rsidR="00E1282D" w:rsidRDefault="00E1282D" w:rsidP="000402AD"/>
          <w:p w:rsidR="00E1282D" w:rsidRDefault="00BF2F59" w:rsidP="000402AD">
            <w:r>
              <w:t>Matthew D. Jones</w:t>
            </w:r>
            <w:r w:rsidR="00E1282D">
              <w:t>, Esq.</w:t>
            </w:r>
          </w:p>
          <w:p w:rsidR="00E1282D" w:rsidRDefault="00BF2F59" w:rsidP="000402AD">
            <w:r>
              <w:t>Massachusetts Teachers Association</w:t>
            </w:r>
          </w:p>
          <w:p w:rsidR="00E1282D" w:rsidRDefault="00BF2F59" w:rsidP="000402AD">
            <w:r>
              <w:t>2 Heritage Drive, 8</w:t>
            </w:r>
            <w:r w:rsidRPr="00BF2F59">
              <w:rPr>
                <w:vertAlign w:val="superscript"/>
              </w:rPr>
              <w:t>th</w:t>
            </w:r>
            <w:r>
              <w:t xml:space="preserve"> Floor</w:t>
            </w:r>
          </w:p>
          <w:p w:rsidR="00E1282D" w:rsidRDefault="00BF2F59" w:rsidP="000402AD">
            <w:r>
              <w:t>Quincy</w:t>
            </w:r>
            <w:r w:rsidR="00E1282D">
              <w:t>, Massachusetts 02</w:t>
            </w:r>
            <w:r>
              <w:t>171</w:t>
            </w:r>
          </w:p>
          <w:p w:rsidR="00BF15E2" w:rsidRDefault="00BF15E2" w:rsidP="000402AD"/>
        </w:tc>
      </w:tr>
      <w:tr w:rsidR="00BF15E2" w:rsidTr="000402AD">
        <w:tc>
          <w:tcPr>
            <w:tcW w:w="4428" w:type="dxa"/>
          </w:tcPr>
          <w:p w:rsidR="00BF15E2" w:rsidRDefault="00BF15E2" w:rsidP="000402AD">
            <w:r w:rsidRPr="007604BE">
              <w:rPr>
                <w:b/>
              </w:rPr>
              <w:t xml:space="preserve">Appearance for </w:t>
            </w:r>
            <w:r>
              <w:rPr>
                <w:b/>
              </w:rPr>
              <w:t>Respondent</w:t>
            </w:r>
          </w:p>
        </w:tc>
      </w:tr>
    </w:tbl>
    <w:p w:rsidR="00BF15E2" w:rsidRDefault="00BF15E2" w:rsidP="00BF15E2"/>
    <w:p w:rsidR="00921EFD" w:rsidRPr="00AC4374" w:rsidRDefault="00EF660E" w:rsidP="00BF15E2">
      <w:pPr>
        <w:rPr>
          <w:i/>
        </w:rPr>
      </w:pPr>
      <w:r>
        <w:t>Cristina I. Keefe, Esq.</w:t>
      </w:r>
    </w:p>
    <w:p w:rsidR="00921EFD" w:rsidRDefault="00EF660E" w:rsidP="00BF15E2">
      <w:r>
        <w:t>Massachusetts Teachers’ Retirement System</w:t>
      </w:r>
    </w:p>
    <w:p w:rsidR="00EF660E" w:rsidRDefault="00EF660E" w:rsidP="00BF15E2">
      <w:r>
        <w:t>500 Rutherford Ave., Suite 210</w:t>
      </w:r>
    </w:p>
    <w:p w:rsidR="00EF660E" w:rsidRDefault="00EF660E" w:rsidP="00BF15E2">
      <w:r>
        <w:t>Charlestown, MA 02129</w:t>
      </w:r>
    </w:p>
    <w:p w:rsidR="00E1282D" w:rsidRDefault="00E1282D" w:rsidP="00BF15E2"/>
    <w:p w:rsidR="00BF15E2" w:rsidRDefault="00BF15E2" w:rsidP="00BF15E2">
      <w:r w:rsidRPr="00382861">
        <w:rPr>
          <w:b/>
        </w:rPr>
        <w:t>Administrative Magistrate</w:t>
      </w:r>
      <w:r>
        <w:t>:</w:t>
      </w:r>
    </w:p>
    <w:p w:rsidR="00BF15E2" w:rsidRDefault="00BF15E2" w:rsidP="00BF15E2"/>
    <w:p w:rsidR="00BF15E2" w:rsidRDefault="00BF15E2" w:rsidP="00BF15E2">
      <w:r>
        <w:t>Bonney Cashin</w:t>
      </w:r>
    </w:p>
    <w:p w:rsidR="00BF15E2" w:rsidRPr="00382861" w:rsidRDefault="00BF15E2" w:rsidP="00BF15E2">
      <w:pPr>
        <w:jc w:val="center"/>
        <w:rPr>
          <w:b/>
        </w:rPr>
      </w:pPr>
      <w:r w:rsidRPr="00382861">
        <w:rPr>
          <w:b/>
        </w:rPr>
        <w:t>Summary of Decision</w:t>
      </w:r>
    </w:p>
    <w:p w:rsidR="00BF15E2" w:rsidRDefault="00BF15E2" w:rsidP="00BF15E2"/>
    <w:p w:rsidR="00CA67AA" w:rsidRPr="00CA67AA" w:rsidRDefault="00CA67AA" w:rsidP="00CA67AA">
      <w:pPr>
        <w:ind w:firstLine="720"/>
      </w:pPr>
      <w:r>
        <w:t xml:space="preserve">The Massachusetts Teachers’ Retirement System properly denied the Petitioner’s request to purchase creditable service for her out-of-state employment </w:t>
      </w:r>
      <w:r w:rsidR="00833565">
        <w:t xml:space="preserve">in the </w:t>
      </w:r>
      <w:r>
        <w:t>Providence</w:t>
      </w:r>
      <w:r w:rsidR="00E43C9A">
        <w:t>,</w:t>
      </w:r>
      <w:r>
        <w:t xml:space="preserve"> </w:t>
      </w:r>
      <w:r w:rsidR="00BA6AC1">
        <w:t xml:space="preserve">Rhode Island </w:t>
      </w:r>
      <w:r>
        <w:t>Public School</w:t>
      </w:r>
      <w:r w:rsidR="00BA6AC1">
        <w:t xml:space="preserve"> System</w:t>
      </w:r>
      <w:r w:rsidR="009D3D7B">
        <w:t>,</w:t>
      </w:r>
      <w:r>
        <w:t xml:space="preserve"> because she was not a “teacher” as defined in G.L. c. 32, </w:t>
      </w:r>
      <w:r w:rsidR="007D778E">
        <w:t>§</w:t>
      </w:r>
      <w:r>
        <w:t xml:space="preserve"> </w:t>
      </w:r>
      <w:r w:rsidR="00A024D0">
        <w:t>1</w:t>
      </w:r>
      <w:r>
        <w:t xml:space="preserve">. </w:t>
      </w:r>
    </w:p>
    <w:p w:rsidR="00AC4374" w:rsidRDefault="00AC4374" w:rsidP="00BF15E2">
      <w:pPr>
        <w:jc w:val="center"/>
        <w:rPr>
          <w:b/>
        </w:rPr>
      </w:pPr>
    </w:p>
    <w:p w:rsidR="00BF15E2" w:rsidRDefault="00BF15E2" w:rsidP="00BF15E2">
      <w:pPr>
        <w:jc w:val="center"/>
        <w:rPr>
          <w:b/>
        </w:rPr>
      </w:pPr>
      <w:r w:rsidRPr="00CC3BCB">
        <w:rPr>
          <w:b/>
        </w:rPr>
        <w:t>DECISION</w:t>
      </w:r>
    </w:p>
    <w:p w:rsidR="00BF15E2" w:rsidRDefault="00BF15E2" w:rsidP="00BF15E2">
      <w:pPr>
        <w:ind w:left="360"/>
      </w:pPr>
    </w:p>
    <w:p w:rsidR="00BF15E2" w:rsidRPr="000402AD" w:rsidRDefault="00BF15E2" w:rsidP="00057FAB">
      <w:pPr>
        <w:spacing w:line="480" w:lineRule="auto"/>
        <w:ind w:firstLine="720"/>
      </w:pPr>
      <w:r w:rsidRPr="000402AD">
        <w:t xml:space="preserve">On </w:t>
      </w:r>
      <w:r w:rsidR="000402AD" w:rsidRPr="000402AD">
        <w:t>October 5, 2016</w:t>
      </w:r>
      <w:r w:rsidRPr="000402AD">
        <w:t xml:space="preserve">, the </w:t>
      </w:r>
      <w:r w:rsidR="00833565">
        <w:t>Massachusetts</w:t>
      </w:r>
      <w:r w:rsidR="00833565" w:rsidRPr="000402AD">
        <w:t xml:space="preserve"> </w:t>
      </w:r>
      <w:r w:rsidR="000402AD" w:rsidRPr="000402AD">
        <w:t>Teachers’ Retirement System</w:t>
      </w:r>
      <w:r w:rsidRPr="000402AD">
        <w:t xml:space="preserve"> (“</w:t>
      </w:r>
      <w:r w:rsidR="000402AD" w:rsidRPr="000402AD">
        <w:t>MTRS</w:t>
      </w:r>
      <w:r w:rsidRPr="000402AD">
        <w:t xml:space="preserve">”) denied the </w:t>
      </w:r>
      <w:r w:rsidR="000402AD" w:rsidRPr="000402AD">
        <w:t xml:space="preserve">purchase of out-of-state service for Carol </w:t>
      </w:r>
      <w:proofErr w:type="spellStart"/>
      <w:r w:rsidR="000402AD" w:rsidRPr="000402AD">
        <w:t>Farricker’s</w:t>
      </w:r>
      <w:proofErr w:type="spellEnd"/>
      <w:r w:rsidR="000402AD" w:rsidRPr="000402AD">
        <w:t xml:space="preserve"> work as a substitute teacher in the Providence</w:t>
      </w:r>
      <w:r w:rsidR="00A024D0">
        <w:t xml:space="preserve">, Rhode Island </w:t>
      </w:r>
      <w:r w:rsidR="000402AD" w:rsidRPr="000402AD">
        <w:t>Public School</w:t>
      </w:r>
      <w:r w:rsidR="00A024D0">
        <w:t xml:space="preserve"> System</w:t>
      </w:r>
      <w:r w:rsidR="000402AD" w:rsidRPr="000402AD">
        <w:t xml:space="preserve"> in </w:t>
      </w:r>
      <w:r w:rsidR="00CD24C5">
        <w:t xml:space="preserve">the </w:t>
      </w:r>
      <w:r w:rsidR="000402AD" w:rsidRPr="000402AD">
        <w:t>1976-1977 and 1977-1978</w:t>
      </w:r>
      <w:r w:rsidR="00CD24C5">
        <w:t xml:space="preserve"> school years</w:t>
      </w:r>
      <w:r w:rsidR="000402AD" w:rsidRPr="000402AD">
        <w:t xml:space="preserve">. </w:t>
      </w:r>
      <w:r w:rsidR="005E63EF" w:rsidRPr="000402AD">
        <w:t xml:space="preserve">Ms. </w:t>
      </w:r>
      <w:proofErr w:type="spellStart"/>
      <w:r w:rsidR="000402AD" w:rsidRPr="000402AD">
        <w:t>Farricker</w:t>
      </w:r>
      <w:proofErr w:type="spellEnd"/>
      <w:r w:rsidR="005A5FEA" w:rsidRPr="000402AD">
        <w:t xml:space="preserve"> </w:t>
      </w:r>
      <w:r w:rsidR="005E63EF" w:rsidRPr="000402AD">
        <w:t>f</w:t>
      </w:r>
      <w:r w:rsidR="00921EFD" w:rsidRPr="000402AD">
        <w:t xml:space="preserve">iled a timely claim </w:t>
      </w:r>
      <w:r w:rsidRPr="000402AD">
        <w:t xml:space="preserve">for an adjudicatory hearing. </w:t>
      </w:r>
    </w:p>
    <w:p w:rsidR="00AC4374" w:rsidRDefault="00BF15E2" w:rsidP="00AC4374">
      <w:pPr>
        <w:spacing w:line="480" w:lineRule="auto"/>
      </w:pPr>
      <w:r w:rsidRPr="000402AD">
        <w:lastRenderedPageBreak/>
        <w:tab/>
        <w:t xml:space="preserve">I held a hearing on </w:t>
      </w:r>
      <w:r w:rsidR="005A5FEA" w:rsidRPr="000402AD">
        <w:t>November 1</w:t>
      </w:r>
      <w:r w:rsidR="00244FA8" w:rsidRPr="000402AD">
        <w:t>5</w:t>
      </w:r>
      <w:r w:rsidR="00921EFD" w:rsidRPr="000402AD">
        <w:t xml:space="preserve">, 2017 </w:t>
      </w:r>
      <w:r w:rsidRPr="000402AD">
        <w:t>at the office of the Division of Administrative Law Appeals</w:t>
      </w:r>
      <w:r w:rsidR="005E63EF" w:rsidRPr="000402AD">
        <w:t>,</w:t>
      </w:r>
      <w:r w:rsidR="00921EFD" w:rsidRPr="000402AD">
        <w:t xml:space="preserve"> located at One Congress Street in Boston, </w:t>
      </w:r>
      <w:r w:rsidR="00F154CE" w:rsidRPr="000402AD">
        <w:t>Massachusetts</w:t>
      </w:r>
      <w:r w:rsidR="005E63EF" w:rsidRPr="000402AD">
        <w:t xml:space="preserve">. </w:t>
      </w:r>
      <w:r w:rsidR="00624428">
        <w:t xml:space="preserve">I admitted into evidence five documents that the parties filed with their joint pre-hearing memorandum on June 30, 2017. I also admitted into evidence two documents filed by the Respondent on November 9, 2017. The exhibits are numbered 1-7. </w:t>
      </w:r>
      <w:r w:rsidR="00921EFD" w:rsidRPr="000402AD">
        <w:t>(</w:t>
      </w:r>
      <w:proofErr w:type="spellStart"/>
      <w:r w:rsidR="00921EFD" w:rsidRPr="000402AD">
        <w:t>Exs</w:t>
      </w:r>
      <w:proofErr w:type="spellEnd"/>
      <w:r w:rsidR="00921EFD" w:rsidRPr="000402AD">
        <w:t xml:space="preserve">. </w:t>
      </w:r>
      <w:r w:rsidR="000402AD">
        <w:t>1-7</w:t>
      </w:r>
      <w:r w:rsidR="00921EFD" w:rsidRPr="000402AD">
        <w:t>).</w:t>
      </w:r>
      <w:r w:rsidR="007E71DA">
        <w:rPr>
          <w:rStyle w:val="FootnoteReference"/>
        </w:rPr>
        <w:footnoteReference w:id="1"/>
      </w:r>
      <w:r w:rsidR="00921EFD" w:rsidRPr="000402AD">
        <w:t xml:space="preserve"> </w:t>
      </w:r>
      <w:r w:rsidRPr="000402AD">
        <w:t xml:space="preserve">I </w:t>
      </w:r>
      <w:r w:rsidR="005E63EF" w:rsidRPr="000402AD">
        <w:t xml:space="preserve">digitally recorded the hearing. </w:t>
      </w:r>
      <w:r w:rsidR="00F154CE" w:rsidRPr="000402AD">
        <w:t xml:space="preserve">Ms. </w:t>
      </w:r>
      <w:r w:rsidR="000402AD">
        <w:t xml:space="preserve">Carol </w:t>
      </w:r>
      <w:proofErr w:type="spellStart"/>
      <w:r w:rsidR="000402AD">
        <w:t>Farricker</w:t>
      </w:r>
      <w:proofErr w:type="spellEnd"/>
      <w:r w:rsidR="00F154CE" w:rsidRPr="000402AD">
        <w:t xml:space="preserve"> </w:t>
      </w:r>
      <w:r w:rsidRPr="000402AD">
        <w:t>testified on her own behalf</w:t>
      </w:r>
      <w:r w:rsidR="00F154CE" w:rsidRPr="000402AD">
        <w:t>.</w:t>
      </w:r>
      <w:r w:rsidR="00BA6AC1">
        <w:t xml:space="preserve">  The parties filed their post-hearing briefs on December 12, 2017, and the record closed.</w:t>
      </w:r>
    </w:p>
    <w:p w:rsidR="00BF15E2" w:rsidRPr="00AC4374" w:rsidRDefault="00BF15E2" w:rsidP="005F44EA">
      <w:pPr>
        <w:spacing w:line="480" w:lineRule="auto"/>
        <w:jc w:val="center"/>
      </w:pPr>
      <w:r w:rsidRPr="007604BE">
        <w:rPr>
          <w:b/>
        </w:rPr>
        <w:t>FINDINGS OF FACT</w:t>
      </w:r>
    </w:p>
    <w:p w:rsidR="00BF0AFC" w:rsidRDefault="00F154CE" w:rsidP="008511E2">
      <w:pPr>
        <w:ind w:firstLine="720"/>
        <w:rPr>
          <w:rFonts w:eastAsiaTheme="minorHAnsi"/>
        </w:rPr>
      </w:pPr>
      <w:r w:rsidRPr="00F154CE">
        <w:rPr>
          <w:rFonts w:eastAsiaTheme="minorHAnsi"/>
        </w:rPr>
        <w:t>Based on the testimony provided and other evidence in th</w:t>
      </w:r>
      <w:r>
        <w:rPr>
          <w:rFonts w:eastAsiaTheme="minorHAnsi"/>
        </w:rPr>
        <w:t>e record, I find the following:</w:t>
      </w:r>
    </w:p>
    <w:p w:rsidR="00BF0AFC" w:rsidRDefault="00BF0AFC" w:rsidP="008511E2">
      <w:pPr>
        <w:ind w:firstLine="720"/>
        <w:rPr>
          <w:rFonts w:eastAsiaTheme="minorHAnsi"/>
        </w:rPr>
      </w:pPr>
    </w:p>
    <w:p w:rsidR="00403F33" w:rsidRDefault="00BF0AFC" w:rsidP="002C554D">
      <w:pPr>
        <w:spacing w:line="480" w:lineRule="auto"/>
        <w:ind w:firstLine="720"/>
        <w:rPr>
          <w:rFonts w:eastAsiaTheme="minorHAnsi"/>
        </w:rPr>
      </w:pPr>
      <w:r>
        <w:rPr>
          <w:rFonts w:eastAsiaTheme="minorHAnsi"/>
        </w:rPr>
        <w:t xml:space="preserve">1. </w:t>
      </w:r>
      <w:r w:rsidR="002C554D">
        <w:rPr>
          <w:rFonts w:eastAsiaTheme="minorHAnsi"/>
        </w:rPr>
        <w:t xml:space="preserve">The Petitioner, Carol </w:t>
      </w:r>
      <w:proofErr w:type="spellStart"/>
      <w:r w:rsidR="002C554D">
        <w:rPr>
          <w:rFonts w:eastAsiaTheme="minorHAnsi"/>
        </w:rPr>
        <w:t>Farricker</w:t>
      </w:r>
      <w:proofErr w:type="spellEnd"/>
      <w:r w:rsidR="002C554D">
        <w:rPr>
          <w:rFonts w:eastAsiaTheme="minorHAnsi"/>
        </w:rPr>
        <w:t xml:space="preserve">, has been employed as a teacher at </w:t>
      </w:r>
      <w:proofErr w:type="spellStart"/>
      <w:r w:rsidR="002C554D">
        <w:rPr>
          <w:rFonts w:eastAsiaTheme="minorHAnsi"/>
        </w:rPr>
        <w:t>Wachusett</w:t>
      </w:r>
      <w:proofErr w:type="spellEnd"/>
      <w:r w:rsidR="002C554D">
        <w:rPr>
          <w:rFonts w:eastAsiaTheme="minorHAnsi"/>
        </w:rPr>
        <w:t xml:space="preserve"> Regional School District from September 1996 to </w:t>
      </w:r>
      <w:r w:rsidR="000F6B56">
        <w:rPr>
          <w:rFonts w:eastAsiaTheme="minorHAnsi"/>
        </w:rPr>
        <w:t>the present day</w:t>
      </w:r>
      <w:r w:rsidR="002C554D">
        <w:rPr>
          <w:rFonts w:eastAsiaTheme="minorHAnsi"/>
        </w:rPr>
        <w:t xml:space="preserve">. </w:t>
      </w:r>
      <w:r w:rsidR="000F6B56">
        <w:rPr>
          <w:rFonts w:eastAsiaTheme="minorHAnsi"/>
        </w:rPr>
        <w:t>(</w:t>
      </w:r>
      <w:proofErr w:type="spellStart"/>
      <w:r w:rsidR="000F6B56">
        <w:rPr>
          <w:rFonts w:eastAsiaTheme="minorHAnsi"/>
        </w:rPr>
        <w:t>Farricker</w:t>
      </w:r>
      <w:proofErr w:type="spellEnd"/>
      <w:r w:rsidR="000F6B56">
        <w:rPr>
          <w:rFonts w:eastAsiaTheme="minorHAnsi"/>
        </w:rPr>
        <w:t xml:space="preserve"> Testimony).</w:t>
      </w:r>
    </w:p>
    <w:p w:rsidR="002C554D" w:rsidRDefault="002C554D" w:rsidP="002C554D">
      <w:pPr>
        <w:spacing w:line="480" w:lineRule="auto"/>
        <w:ind w:firstLine="720"/>
      </w:pPr>
      <w:r>
        <w:t xml:space="preserve">2. Ms. </w:t>
      </w:r>
      <w:proofErr w:type="spellStart"/>
      <w:r>
        <w:t>Farricker</w:t>
      </w:r>
      <w:proofErr w:type="spellEnd"/>
      <w:r>
        <w:t>, at all times material to this appeal, has been a member in service of the Respondent, MTRS</w:t>
      </w:r>
      <w:r w:rsidR="00E43C9A">
        <w:t>.</w:t>
      </w:r>
      <w:r w:rsidR="00372E3F">
        <w:t xml:space="preserve"> </w:t>
      </w:r>
    </w:p>
    <w:p w:rsidR="00123AE5" w:rsidRDefault="00123AE5" w:rsidP="00123AE5">
      <w:pPr>
        <w:spacing w:line="480" w:lineRule="auto"/>
        <w:ind w:firstLine="720"/>
      </w:pPr>
      <w:r>
        <w:t xml:space="preserve">3. Ms. </w:t>
      </w:r>
      <w:proofErr w:type="spellStart"/>
      <w:r>
        <w:t>Farricker</w:t>
      </w:r>
      <w:proofErr w:type="spellEnd"/>
      <w:r>
        <w:t xml:space="preserve"> graduated from the Rhode Island School of Design in 1976 with a Bachelor of Fine Arts in Art Education. She received a Master’s Degree in Art and Special Education from Rhode Island College</w:t>
      </w:r>
      <w:r w:rsidR="003B24C3">
        <w:t xml:space="preserve"> in 1980</w:t>
      </w:r>
      <w:r>
        <w:t xml:space="preserve">. In 2004, she received a Certificate of Advanced Graduate Study in Supervisor/Director of the Fine Arts. Ms. </w:t>
      </w:r>
      <w:proofErr w:type="spellStart"/>
      <w:r>
        <w:t>Farricker</w:t>
      </w:r>
      <w:proofErr w:type="spellEnd"/>
      <w:r>
        <w:t xml:space="preserve"> holds Massachusetts Department of Elementary and Secondary Education art teacher certifications for kindergarten through 8</w:t>
      </w:r>
      <w:r w:rsidRPr="00123AE5">
        <w:rPr>
          <w:vertAlign w:val="superscript"/>
        </w:rPr>
        <w:t>th</w:t>
      </w:r>
      <w:r>
        <w:t xml:space="preserve"> grade and 9</w:t>
      </w:r>
      <w:r w:rsidRPr="00123AE5">
        <w:rPr>
          <w:vertAlign w:val="superscript"/>
        </w:rPr>
        <w:t>th</w:t>
      </w:r>
      <w:r w:rsidR="00833565">
        <w:rPr>
          <w:vertAlign w:val="superscript"/>
        </w:rPr>
        <w:t xml:space="preserve"> </w:t>
      </w:r>
      <w:r w:rsidR="00BA6AC1" w:rsidRPr="00BA6AC1">
        <w:t>through</w:t>
      </w:r>
      <w:r w:rsidR="00833565">
        <w:t xml:space="preserve"> </w:t>
      </w:r>
      <w:r>
        <w:t>12</w:t>
      </w:r>
      <w:r w:rsidRPr="00123AE5">
        <w:rPr>
          <w:vertAlign w:val="superscript"/>
        </w:rPr>
        <w:t>th</w:t>
      </w:r>
      <w:r>
        <w:t xml:space="preserve"> grade.</w:t>
      </w:r>
      <w:r w:rsidR="000F6B56">
        <w:t xml:space="preserve"> </w:t>
      </w:r>
      <w:r w:rsidR="00612E52">
        <w:t xml:space="preserve">During the time in question, Ms. </w:t>
      </w:r>
      <w:proofErr w:type="spellStart"/>
      <w:r w:rsidR="00612E52">
        <w:t>Farricker</w:t>
      </w:r>
      <w:proofErr w:type="spellEnd"/>
      <w:r w:rsidR="00612E52">
        <w:t xml:space="preserve"> held the equivalent certification in Rhode Island. (</w:t>
      </w:r>
      <w:proofErr w:type="spellStart"/>
      <w:r w:rsidR="00612E52">
        <w:t>Farricker</w:t>
      </w:r>
      <w:proofErr w:type="spellEnd"/>
      <w:r w:rsidR="00612E52">
        <w:t xml:space="preserve"> Testimony).</w:t>
      </w:r>
    </w:p>
    <w:p w:rsidR="00094139" w:rsidRDefault="00094139" w:rsidP="002C554D">
      <w:pPr>
        <w:spacing w:line="480" w:lineRule="auto"/>
        <w:ind w:firstLine="720"/>
      </w:pPr>
      <w:r>
        <w:t>4</w:t>
      </w:r>
      <w:r w:rsidR="002C554D">
        <w:t xml:space="preserve">. Ms. </w:t>
      </w:r>
      <w:proofErr w:type="spellStart"/>
      <w:r w:rsidR="002C554D">
        <w:t>Farricker</w:t>
      </w:r>
      <w:proofErr w:type="spellEnd"/>
      <w:r w:rsidR="002C554D">
        <w:t xml:space="preserve"> was employed as a substitute art teacher on a per-diem basis by the Providence</w:t>
      </w:r>
      <w:r w:rsidR="00E43C9A">
        <w:t>,</w:t>
      </w:r>
      <w:r w:rsidR="002C554D">
        <w:t xml:space="preserve"> </w:t>
      </w:r>
      <w:r w:rsidR="00BA6AC1">
        <w:t xml:space="preserve">Rhode Island </w:t>
      </w:r>
      <w:r w:rsidR="002C554D">
        <w:t>Public School</w:t>
      </w:r>
      <w:r w:rsidR="0073155D">
        <w:t xml:space="preserve"> System</w:t>
      </w:r>
      <w:r>
        <w:t xml:space="preserve">. </w:t>
      </w:r>
      <w:r w:rsidR="00BA6AC1">
        <w:t xml:space="preserve">During the school years </w:t>
      </w:r>
      <w:r>
        <w:t>1976-1977, 1977-</w:t>
      </w:r>
      <w:r>
        <w:lastRenderedPageBreak/>
        <w:t>1978, and 1978-1979</w:t>
      </w:r>
      <w:r w:rsidR="001D1F62">
        <w:t>,</w:t>
      </w:r>
      <w:r>
        <w:t xml:space="preserve"> the </w:t>
      </w:r>
      <w:r w:rsidR="00BA6AC1">
        <w:t xml:space="preserve">Providence </w:t>
      </w:r>
      <w:r>
        <w:t xml:space="preserve">Public School System had </w:t>
      </w:r>
      <w:r w:rsidR="00612E52">
        <w:t xml:space="preserve">a </w:t>
      </w:r>
      <w:r w:rsidR="003B24C3">
        <w:t xml:space="preserve">contracted </w:t>
      </w:r>
      <w:r>
        <w:t>181</w:t>
      </w:r>
      <w:r w:rsidR="003B24C3">
        <w:t>-</w:t>
      </w:r>
      <w:r>
        <w:t>day school</w:t>
      </w:r>
      <w:r w:rsidR="00612E52">
        <w:t xml:space="preserve"> year</w:t>
      </w:r>
      <w:r>
        <w:t xml:space="preserve">. (Ex. 4). </w:t>
      </w:r>
    </w:p>
    <w:p w:rsidR="00094139" w:rsidRDefault="00094139" w:rsidP="00BE4195">
      <w:pPr>
        <w:spacing w:line="480" w:lineRule="auto"/>
        <w:ind w:firstLine="720"/>
      </w:pPr>
      <w:r>
        <w:t xml:space="preserve">5. </w:t>
      </w:r>
      <w:r w:rsidR="00BE4195">
        <w:t xml:space="preserve">Ms. </w:t>
      </w:r>
      <w:proofErr w:type="spellStart"/>
      <w:r w:rsidR="00BE4195">
        <w:t>Farricker</w:t>
      </w:r>
      <w:proofErr w:type="spellEnd"/>
      <w:r w:rsidR="00BE4195">
        <w:t xml:space="preserve"> worked as a substitute art teacher in the Providence Public School System</w:t>
      </w:r>
      <w:r w:rsidR="002C554D">
        <w:t xml:space="preserve"> for 68 days </w:t>
      </w:r>
      <w:r w:rsidR="00BA6AC1">
        <w:t xml:space="preserve">from </w:t>
      </w:r>
      <w:r w:rsidR="002C554D">
        <w:t>October 14, 1976 to June 21, 1977</w:t>
      </w:r>
      <w:r w:rsidR="00B557C4">
        <w:t xml:space="preserve">, </w:t>
      </w:r>
      <w:r w:rsidR="002C554D">
        <w:t xml:space="preserve">for 81 days </w:t>
      </w:r>
      <w:r w:rsidR="00BA6AC1">
        <w:t xml:space="preserve">from </w:t>
      </w:r>
      <w:r w:rsidR="002C554D">
        <w:t>September 27, 1977 to June 16, 1978</w:t>
      </w:r>
      <w:r w:rsidR="001D1F62">
        <w:t xml:space="preserve">, and for 127 days </w:t>
      </w:r>
      <w:r w:rsidR="00BA6AC1">
        <w:t xml:space="preserve">from </w:t>
      </w:r>
      <w:r w:rsidR="001D1F62">
        <w:t xml:space="preserve">September 6, </w:t>
      </w:r>
      <w:r w:rsidR="00B557C4">
        <w:t>1978 to June 15, 1979</w:t>
      </w:r>
      <w:r w:rsidR="002C554D">
        <w:t xml:space="preserve">. </w:t>
      </w:r>
      <w:r w:rsidR="00B557C4">
        <w:t xml:space="preserve">(Ex. 4). </w:t>
      </w:r>
    </w:p>
    <w:p w:rsidR="00424C85" w:rsidRDefault="00BE4195" w:rsidP="002C554D">
      <w:pPr>
        <w:spacing w:line="480" w:lineRule="auto"/>
        <w:ind w:firstLine="720"/>
      </w:pPr>
      <w:r>
        <w:t>6</w:t>
      </w:r>
      <w:r w:rsidR="00424C85">
        <w:t xml:space="preserve">. </w:t>
      </w:r>
      <w:r w:rsidR="007E71DA">
        <w:t>F</w:t>
      </w:r>
      <w:r w:rsidR="00424C85">
        <w:t xml:space="preserve">rom October 14, 1976 to June 21, 1977 and from September 27, 1977 to June 16, 1978, Ms. </w:t>
      </w:r>
      <w:proofErr w:type="spellStart"/>
      <w:r w:rsidR="00424C85">
        <w:t>Farricker</w:t>
      </w:r>
      <w:proofErr w:type="spellEnd"/>
      <w:r w:rsidR="00424C85">
        <w:t xml:space="preserve"> </w:t>
      </w:r>
      <w:r w:rsidR="008E7264">
        <w:t xml:space="preserve">did not know when, where, or if she would be substitute teaching on a particular day until she received a call from the </w:t>
      </w:r>
      <w:r w:rsidR="007969E1">
        <w:t>Providence</w:t>
      </w:r>
      <w:r w:rsidR="008E7264">
        <w:t xml:space="preserve"> Public School</w:t>
      </w:r>
      <w:r w:rsidR="007969E1">
        <w:t xml:space="preserve"> System</w:t>
      </w:r>
      <w:r w:rsidR="007E71DA">
        <w:t xml:space="preserve"> giving her an assignment</w:t>
      </w:r>
      <w:r w:rsidR="008E7264">
        <w:t xml:space="preserve">. </w:t>
      </w:r>
      <w:r w:rsidR="00833565">
        <w:t xml:space="preserve">She had a long-term assignment for part of the 1978-1979 school year. </w:t>
      </w:r>
      <w:r w:rsidR="008E7264">
        <w:t>(</w:t>
      </w:r>
      <w:proofErr w:type="spellStart"/>
      <w:r w:rsidR="008E7264">
        <w:t>Exs</w:t>
      </w:r>
      <w:proofErr w:type="spellEnd"/>
      <w:r w:rsidR="008E7264">
        <w:t xml:space="preserve">. </w:t>
      </w:r>
      <w:r w:rsidR="007E71DA">
        <w:t>6</w:t>
      </w:r>
      <w:r w:rsidR="008E7264">
        <w:t xml:space="preserve">, </w:t>
      </w:r>
      <w:r w:rsidR="007E71DA">
        <w:t>7</w:t>
      </w:r>
      <w:r w:rsidR="008E7264">
        <w:t xml:space="preserve">; </w:t>
      </w:r>
      <w:proofErr w:type="spellStart"/>
      <w:r w:rsidR="008E7264">
        <w:t>Farricker</w:t>
      </w:r>
      <w:proofErr w:type="spellEnd"/>
      <w:r w:rsidR="008E7264">
        <w:t xml:space="preserve"> Testimony). </w:t>
      </w:r>
    </w:p>
    <w:p w:rsidR="006E46A0" w:rsidRDefault="008E7264" w:rsidP="002C554D">
      <w:pPr>
        <w:spacing w:line="480" w:lineRule="auto"/>
        <w:ind w:firstLine="720"/>
      </w:pPr>
      <w:r>
        <w:t>7</w:t>
      </w:r>
      <w:r w:rsidR="006E46A0">
        <w:t xml:space="preserve">. On or about April 1, 2013, Ms. </w:t>
      </w:r>
      <w:proofErr w:type="spellStart"/>
      <w:r w:rsidR="006E46A0">
        <w:t>Farricker</w:t>
      </w:r>
      <w:proofErr w:type="spellEnd"/>
      <w:r w:rsidR="006E46A0">
        <w:t xml:space="preserve"> applied to purchase service for her work as a substitute teacher in the Providence Public School</w:t>
      </w:r>
      <w:r w:rsidR="00612E52">
        <w:t xml:space="preserve"> System</w:t>
      </w:r>
      <w:r w:rsidR="006E46A0">
        <w:t xml:space="preserve">, under the </w:t>
      </w:r>
      <w:r w:rsidR="000A7918">
        <w:t xml:space="preserve">provisions of G.L. c. 32, </w:t>
      </w:r>
      <w:r w:rsidR="00AC1D0B">
        <w:t>§</w:t>
      </w:r>
      <w:r w:rsidR="000A7918">
        <w:t xml:space="preserve"> 3(4).</w:t>
      </w:r>
      <w:r w:rsidR="00372E3F">
        <w:t xml:space="preserve"> (Ex. 3). </w:t>
      </w:r>
    </w:p>
    <w:p w:rsidR="000A7918" w:rsidRDefault="008E7264" w:rsidP="002C554D">
      <w:pPr>
        <w:spacing w:line="480" w:lineRule="auto"/>
        <w:ind w:firstLine="720"/>
      </w:pPr>
      <w:r>
        <w:t>8</w:t>
      </w:r>
      <w:r w:rsidR="000A7918">
        <w:t xml:space="preserve">. By letter dated October 5, 2016, the Respondent denied the </w:t>
      </w:r>
      <w:r w:rsidR="002B50A0">
        <w:t xml:space="preserve">application </w:t>
      </w:r>
      <w:r w:rsidR="000A7918">
        <w:t xml:space="preserve">for Ms. </w:t>
      </w:r>
      <w:proofErr w:type="spellStart"/>
      <w:r w:rsidR="000A7918">
        <w:t>Farricker’s</w:t>
      </w:r>
      <w:proofErr w:type="spellEnd"/>
      <w:r w:rsidR="000A7918">
        <w:t xml:space="preserve"> work </w:t>
      </w:r>
      <w:r>
        <w:t xml:space="preserve">for </w:t>
      </w:r>
      <w:r w:rsidR="00AA7F21">
        <w:t xml:space="preserve">the school years </w:t>
      </w:r>
      <w:r w:rsidR="000A7918">
        <w:t xml:space="preserve">1976-1977 and 1977-1978. (Ex. </w:t>
      </w:r>
      <w:r w:rsidR="00AA7F21">
        <w:t>2</w:t>
      </w:r>
      <w:r w:rsidR="000A7918">
        <w:t xml:space="preserve">). The MTRS allowed the purchase of service for the 1978-1979 school year. (Ex. 5). </w:t>
      </w:r>
    </w:p>
    <w:p w:rsidR="000A7918" w:rsidRDefault="008E7264" w:rsidP="00372E3F">
      <w:pPr>
        <w:spacing w:line="480" w:lineRule="auto"/>
        <w:ind w:firstLine="720"/>
      </w:pPr>
      <w:r>
        <w:t>9</w:t>
      </w:r>
      <w:r w:rsidR="000A7918">
        <w:t xml:space="preserve">. By letter dated October 23, 2017, the Petitioner timely appealed the Respondent’s </w:t>
      </w:r>
      <w:r w:rsidR="002B50A0">
        <w:t xml:space="preserve">decision. </w:t>
      </w:r>
      <w:r w:rsidR="000A7918">
        <w:t xml:space="preserve">(Ex. 2). </w:t>
      </w:r>
    </w:p>
    <w:p w:rsidR="005E63EF" w:rsidRDefault="00BF15E2" w:rsidP="004D23AA">
      <w:pPr>
        <w:spacing w:line="480" w:lineRule="auto"/>
        <w:jc w:val="center"/>
        <w:rPr>
          <w:b/>
        </w:rPr>
      </w:pPr>
      <w:r>
        <w:rPr>
          <w:b/>
        </w:rPr>
        <w:t>DISCUSSION AND CONCLUSION</w:t>
      </w:r>
    </w:p>
    <w:p w:rsidR="000A0C7B" w:rsidRDefault="005E63EF" w:rsidP="000A0C7B">
      <w:pPr>
        <w:shd w:val="clear" w:color="auto" w:fill="FFFFFF"/>
        <w:spacing w:line="480" w:lineRule="auto"/>
      </w:pPr>
      <w:r>
        <w:rPr>
          <w:b/>
        </w:rPr>
        <w:tab/>
      </w:r>
      <w:r w:rsidR="00C66119">
        <w:t xml:space="preserve">The decision of the MTRS is affirmed. </w:t>
      </w:r>
      <w:r w:rsidR="003C0400">
        <w:t xml:space="preserve">Ms. </w:t>
      </w:r>
      <w:proofErr w:type="spellStart"/>
      <w:r w:rsidR="003C0400">
        <w:t>Farricker</w:t>
      </w:r>
      <w:proofErr w:type="spellEnd"/>
      <w:r w:rsidR="003C0400">
        <w:t xml:space="preserve"> may not purchase credit for her out-of-state teaching </w:t>
      </w:r>
      <w:r w:rsidR="00AA7F21">
        <w:t xml:space="preserve">in the </w:t>
      </w:r>
      <w:r w:rsidR="003C0400">
        <w:t>Providence Public School</w:t>
      </w:r>
      <w:r w:rsidR="00AA7F21">
        <w:t xml:space="preserve"> System</w:t>
      </w:r>
      <w:r w:rsidR="00792FC5">
        <w:t xml:space="preserve"> because she was not a “teacher” as defined in</w:t>
      </w:r>
      <w:r w:rsidR="003C0400">
        <w:t xml:space="preserve"> </w:t>
      </w:r>
      <w:r w:rsidR="00792FC5">
        <w:t xml:space="preserve">G.L. c. 32, </w:t>
      </w:r>
      <w:r w:rsidR="007D778E">
        <w:t>§</w:t>
      </w:r>
      <w:r w:rsidR="00792FC5">
        <w:t xml:space="preserve"> 1</w:t>
      </w:r>
      <w:r w:rsidR="000F3135">
        <w:t>.</w:t>
      </w:r>
      <w:r w:rsidR="00792FC5">
        <w:t xml:space="preserve"> </w:t>
      </w:r>
    </w:p>
    <w:p w:rsidR="00BF15E2" w:rsidRPr="000A0C7B" w:rsidRDefault="00647626" w:rsidP="000A0C7B">
      <w:pPr>
        <w:shd w:val="clear" w:color="auto" w:fill="FFFFFF"/>
        <w:spacing w:line="480" w:lineRule="auto"/>
        <w:ind w:firstLine="720"/>
        <w:rPr>
          <w:color w:val="000000"/>
        </w:rPr>
      </w:pPr>
      <w:r>
        <w:rPr>
          <w:color w:val="000000"/>
        </w:rPr>
        <w:lastRenderedPageBreak/>
        <w:t>T</w:t>
      </w:r>
      <w:r w:rsidR="00AA7F21">
        <w:rPr>
          <w:color w:val="000000"/>
        </w:rPr>
        <w:t>he</w:t>
      </w:r>
      <w:r>
        <w:rPr>
          <w:color w:val="000000"/>
        </w:rPr>
        <w:t xml:space="preserve"> purchase </w:t>
      </w:r>
      <w:r w:rsidR="00AA7F21">
        <w:rPr>
          <w:color w:val="000000"/>
        </w:rPr>
        <w:t xml:space="preserve">of </w:t>
      </w:r>
      <w:r>
        <w:rPr>
          <w:color w:val="000000"/>
        </w:rPr>
        <w:t>out-of-state service</w:t>
      </w:r>
      <w:r w:rsidR="00AA7F21">
        <w:rPr>
          <w:color w:val="000000"/>
        </w:rPr>
        <w:t xml:space="preserve"> is governed by</w:t>
      </w:r>
      <w:r w:rsidR="00635F52">
        <w:t xml:space="preserve"> </w:t>
      </w:r>
      <w:r w:rsidR="00792FC5">
        <w:t xml:space="preserve">G.L. c. 32, </w:t>
      </w:r>
      <w:r w:rsidR="007D778E">
        <w:t>§</w:t>
      </w:r>
      <w:r w:rsidR="00792FC5">
        <w:t xml:space="preserve"> 3(4)</w:t>
      </w:r>
      <w:r w:rsidR="00B1379B">
        <w:t xml:space="preserve">, </w:t>
      </w:r>
      <w:r w:rsidR="00AA7F21">
        <w:t xml:space="preserve">which </w:t>
      </w:r>
      <w:r w:rsidR="00B1379B">
        <w:t>provides in pertinent part:</w:t>
      </w:r>
      <w:r w:rsidR="00792FC5">
        <w:t xml:space="preserve"> </w:t>
      </w:r>
    </w:p>
    <w:p w:rsidR="007E71DA" w:rsidRDefault="00B1379B" w:rsidP="002D5BBC">
      <w:pPr>
        <w:ind w:left="720"/>
        <w:rPr>
          <w:shd w:val="clear" w:color="auto" w:fill="FFFFFF"/>
        </w:rPr>
      </w:pPr>
      <w:r w:rsidRPr="00B1379B">
        <w:rPr>
          <w:shd w:val="clear" w:color="auto" w:fill="FFFFFF"/>
        </w:rPr>
        <w:t>Any member in service…of the teachers</w:t>
      </w:r>
      <w:r w:rsidR="00E43C9A">
        <w:rPr>
          <w:shd w:val="clear" w:color="auto" w:fill="FFFFFF"/>
        </w:rPr>
        <w:t>’</w:t>
      </w:r>
      <w:r w:rsidRPr="00B1379B">
        <w:rPr>
          <w:shd w:val="clear" w:color="auto" w:fill="FFFFFF"/>
        </w:rPr>
        <w:t xml:space="preserve"> retirement system…who is employed in a teaching</w:t>
      </w:r>
      <w:r>
        <w:rPr>
          <w:shd w:val="clear" w:color="auto" w:fill="FFFFFF"/>
        </w:rPr>
        <w:t xml:space="preserve"> position</w:t>
      </w:r>
      <w:r w:rsidRPr="00B1379B">
        <w:rPr>
          <w:shd w:val="clear" w:color="auto" w:fill="FFFFFF"/>
        </w:rPr>
        <w:t xml:space="preserve">…in a school or college…who had rendered service in </w:t>
      </w:r>
      <w:r w:rsidRPr="00833565">
        <w:rPr>
          <w:i/>
          <w:shd w:val="clear" w:color="auto" w:fill="FFFFFF"/>
        </w:rPr>
        <w:t>any other state</w:t>
      </w:r>
      <w:r w:rsidRPr="00B1379B">
        <w:rPr>
          <w:shd w:val="clear" w:color="auto" w:fill="FFFFFF"/>
        </w:rPr>
        <w:t xml:space="preserve"> </w:t>
      </w:r>
      <w:r w:rsidRPr="00FA4873">
        <w:rPr>
          <w:i/>
          <w:shd w:val="clear" w:color="auto" w:fill="FFFFFF"/>
        </w:rPr>
        <w:t>for any previous period as a teacher</w:t>
      </w:r>
      <w:r w:rsidRPr="00B1379B">
        <w:rPr>
          <w:shd w:val="clear" w:color="auto" w:fill="FFFFFF"/>
        </w:rPr>
        <w:t>…in the public day schools or other day school under exclusive public control and supervision… may, before the date any retirement allowance becomes effective for him, pay into the annuity savings fund of the system…an amount equal to that which would have been withheld as regular deductions from his regular compensation for such previous period…had such service been rendered in a public school of the commonwealth and had he been a member of the teachers</w:t>
      </w:r>
      <w:r w:rsidR="00E43C9A">
        <w:rPr>
          <w:shd w:val="clear" w:color="auto" w:fill="FFFFFF"/>
        </w:rPr>
        <w:t>’</w:t>
      </w:r>
      <w:r w:rsidRPr="00B1379B">
        <w:rPr>
          <w:shd w:val="clear" w:color="auto" w:fill="FFFFFF"/>
        </w:rPr>
        <w:t xml:space="preserve"> retirement system during the period the service was rendered. </w:t>
      </w:r>
    </w:p>
    <w:p w:rsidR="002D5BBC" w:rsidRDefault="002D5BBC" w:rsidP="002D5BBC">
      <w:pPr>
        <w:ind w:left="720"/>
        <w:rPr>
          <w:shd w:val="clear" w:color="auto" w:fill="FFFFFF"/>
        </w:rPr>
      </w:pPr>
    </w:p>
    <w:p w:rsidR="00E43C9A" w:rsidRDefault="00E43C9A" w:rsidP="002D5BBC">
      <w:pPr>
        <w:ind w:left="720"/>
        <w:rPr>
          <w:shd w:val="clear" w:color="auto" w:fill="FFFFFF"/>
        </w:rPr>
      </w:pPr>
      <w:r>
        <w:rPr>
          <w:shd w:val="clear" w:color="auto" w:fill="FFFFFF"/>
        </w:rPr>
        <w:t>(Emphasis added).</w:t>
      </w:r>
    </w:p>
    <w:p w:rsidR="00E43C9A" w:rsidRDefault="00E43C9A" w:rsidP="002D5BBC">
      <w:pPr>
        <w:ind w:left="720"/>
        <w:rPr>
          <w:shd w:val="clear" w:color="auto" w:fill="FFFFFF"/>
        </w:rPr>
      </w:pPr>
    </w:p>
    <w:p w:rsidR="00D44946" w:rsidRPr="0086061D" w:rsidRDefault="003E4088" w:rsidP="007E71DA">
      <w:pPr>
        <w:spacing w:line="480" w:lineRule="auto"/>
        <w:ind w:firstLine="720"/>
      </w:pPr>
      <w:r w:rsidRPr="00792FC5">
        <w:t xml:space="preserve">G.L. c. 32, </w:t>
      </w:r>
      <w:r w:rsidR="007D778E">
        <w:t>§</w:t>
      </w:r>
      <w:r w:rsidRPr="00792FC5">
        <w:t xml:space="preserve"> </w:t>
      </w:r>
      <w:r>
        <w:t xml:space="preserve">1 defines </w:t>
      </w:r>
      <w:r w:rsidR="00833565">
        <w:t xml:space="preserve">a </w:t>
      </w:r>
      <w:r>
        <w:t xml:space="preserve">teacher as “any person who is employed by one or more school committees or boards of trustees or by any combination of such committees and boards on a basis of </w:t>
      </w:r>
      <w:r w:rsidRPr="00DC354A">
        <w:rPr>
          <w:i/>
        </w:rPr>
        <w:t>not less than half-time service</w:t>
      </w:r>
      <w:r>
        <w:t xml:space="preserve"> as a teacher</w:t>
      </w:r>
      <w:r w:rsidR="00AA7F21">
        <w:t>…</w:t>
      </w:r>
      <w:r w:rsidR="00137726">
        <w:t>in any public school as defined in this section</w:t>
      </w:r>
      <w:r w:rsidR="00AA7F21">
        <w:t>.</w:t>
      </w:r>
      <w:r>
        <w:t xml:space="preserve">” </w:t>
      </w:r>
      <w:r w:rsidR="00DC354A">
        <w:t xml:space="preserve">(Emphasis </w:t>
      </w:r>
      <w:r w:rsidR="007E71DA">
        <w:t>a</w:t>
      </w:r>
      <w:r w:rsidR="00DC354A">
        <w:t xml:space="preserve">dded). </w:t>
      </w:r>
    </w:p>
    <w:p w:rsidR="003A281B" w:rsidRPr="00EF1F59" w:rsidRDefault="00FC7DF9" w:rsidP="003E4088">
      <w:pPr>
        <w:spacing w:line="480" w:lineRule="auto"/>
        <w:rPr>
          <w:color w:val="000000"/>
        </w:rPr>
      </w:pPr>
      <w:r>
        <w:rPr>
          <w:color w:val="000000"/>
        </w:rPr>
        <w:tab/>
        <w:t xml:space="preserve">The Petitioner argues that the definition of “teacher” in G.L. c. 32, </w:t>
      </w:r>
      <w:r w:rsidR="007D778E">
        <w:rPr>
          <w:color w:val="000000"/>
        </w:rPr>
        <w:t>§</w:t>
      </w:r>
      <w:r>
        <w:rPr>
          <w:color w:val="000000"/>
        </w:rPr>
        <w:t xml:space="preserve"> 1</w:t>
      </w:r>
      <w:r w:rsidR="00CA1FE3">
        <w:rPr>
          <w:color w:val="000000"/>
        </w:rPr>
        <w:t xml:space="preserve"> cannot be co-extensive </w:t>
      </w:r>
      <w:r>
        <w:rPr>
          <w:color w:val="000000"/>
        </w:rPr>
        <w:t xml:space="preserve">with </w:t>
      </w:r>
      <w:r w:rsidR="00CA1FE3">
        <w:rPr>
          <w:color w:val="000000"/>
        </w:rPr>
        <w:t xml:space="preserve">the language </w:t>
      </w:r>
      <w:r>
        <w:rPr>
          <w:color w:val="000000"/>
        </w:rPr>
        <w:t xml:space="preserve">“teacher” </w:t>
      </w:r>
      <w:r w:rsidR="00DC354A">
        <w:rPr>
          <w:color w:val="000000"/>
        </w:rPr>
        <w:t xml:space="preserve">and </w:t>
      </w:r>
      <w:r>
        <w:rPr>
          <w:color w:val="000000"/>
        </w:rPr>
        <w:t xml:space="preserve">“in any other state” </w:t>
      </w:r>
      <w:r w:rsidR="00CA1FE3">
        <w:rPr>
          <w:color w:val="000000"/>
        </w:rPr>
        <w:t>in</w:t>
      </w:r>
      <w:r w:rsidR="00CA1FE3" w:rsidRPr="00CA1FE3">
        <w:rPr>
          <w:color w:val="000000"/>
        </w:rPr>
        <w:t xml:space="preserve"> </w:t>
      </w:r>
      <w:r w:rsidR="00CA1FE3">
        <w:rPr>
          <w:color w:val="000000"/>
        </w:rPr>
        <w:t xml:space="preserve">G.L. c. 32, </w:t>
      </w:r>
      <w:r w:rsidR="007D778E">
        <w:rPr>
          <w:color w:val="000000"/>
        </w:rPr>
        <w:t>§</w:t>
      </w:r>
      <w:r w:rsidR="00CA1FE3">
        <w:rPr>
          <w:color w:val="000000"/>
        </w:rPr>
        <w:t xml:space="preserve"> 3(4).</w:t>
      </w:r>
      <w:r w:rsidR="003A281B">
        <w:rPr>
          <w:color w:val="000000"/>
        </w:rPr>
        <w:t xml:space="preserve"> The Petitioner </w:t>
      </w:r>
      <w:r w:rsidR="00451EB0">
        <w:rPr>
          <w:color w:val="000000"/>
        </w:rPr>
        <w:t xml:space="preserve">further </w:t>
      </w:r>
      <w:r w:rsidR="003A281B">
        <w:rPr>
          <w:color w:val="000000"/>
        </w:rPr>
        <w:t xml:space="preserve">challenges the application of the definition of “teacher” in G.L. c. 32, </w:t>
      </w:r>
      <w:r w:rsidR="007D778E">
        <w:rPr>
          <w:color w:val="000000"/>
        </w:rPr>
        <w:t>§</w:t>
      </w:r>
      <w:r w:rsidR="003A281B">
        <w:rPr>
          <w:color w:val="000000"/>
        </w:rPr>
        <w:t xml:space="preserve"> 1 to G.L. c. 32, </w:t>
      </w:r>
      <w:r w:rsidR="007D778E">
        <w:rPr>
          <w:color w:val="000000"/>
        </w:rPr>
        <w:t>§</w:t>
      </w:r>
      <w:r w:rsidR="003A281B">
        <w:rPr>
          <w:color w:val="000000"/>
        </w:rPr>
        <w:t xml:space="preserve"> 3(4) on </w:t>
      </w:r>
      <w:r w:rsidR="00310239">
        <w:rPr>
          <w:color w:val="000000"/>
        </w:rPr>
        <w:t>the grounds that</w:t>
      </w:r>
      <w:r w:rsidR="004342E2">
        <w:rPr>
          <w:color w:val="000000"/>
        </w:rPr>
        <w:t xml:space="preserve"> </w:t>
      </w:r>
      <w:r w:rsidR="003A281B">
        <w:rPr>
          <w:color w:val="000000"/>
        </w:rPr>
        <w:t>MTRS’</w:t>
      </w:r>
      <w:r w:rsidR="00AA7F21">
        <w:rPr>
          <w:color w:val="000000"/>
        </w:rPr>
        <w:t>s</w:t>
      </w:r>
      <w:r w:rsidR="003A281B">
        <w:rPr>
          <w:color w:val="000000"/>
        </w:rPr>
        <w:t xml:space="preserve"> </w:t>
      </w:r>
      <w:r w:rsidR="004342E2">
        <w:rPr>
          <w:color w:val="000000"/>
        </w:rPr>
        <w:t>interpretation of “not less than half-time service</w:t>
      </w:r>
      <w:r w:rsidR="00310239">
        <w:rPr>
          <w:color w:val="000000"/>
        </w:rPr>
        <w:t>,</w:t>
      </w:r>
      <w:r w:rsidR="004342E2">
        <w:rPr>
          <w:color w:val="000000"/>
        </w:rPr>
        <w:t xml:space="preserve">” which requires </w:t>
      </w:r>
      <w:r w:rsidR="00794D5A">
        <w:rPr>
          <w:color w:val="000000"/>
        </w:rPr>
        <w:t xml:space="preserve">that at least </w:t>
      </w:r>
      <w:r w:rsidR="003A281B">
        <w:rPr>
          <w:color w:val="000000"/>
        </w:rPr>
        <w:t>90 day</w:t>
      </w:r>
      <w:r w:rsidR="004342E2">
        <w:rPr>
          <w:color w:val="000000"/>
        </w:rPr>
        <w:t xml:space="preserve">s </w:t>
      </w:r>
      <w:r w:rsidR="00794D5A">
        <w:rPr>
          <w:color w:val="000000"/>
        </w:rPr>
        <w:t xml:space="preserve">be </w:t>
      </w:r>
      <w:r w:rsidR="004342E2">
        <w:rPr>
          <w:color w:val="000000"/>
        </w:rPr>
        <w:t xml:space="preserve">worked out of </w:t>
      </w:r>
      <w:r w:rsidR="00794D5A">
        <w:rPr>
          <w:color w:val="000000"/>
        </w:rPr>
        <w:t xml:space="preserve">a </w:t>
      </w:r>
      <w:r w:rsidR="004342E2">
        <w:rPr>
          <w:color w:val="000000"/>
        </w:rPr>
        <w:t>180 day</w:t>
      </w:r>
      <w:r w:rsidR="00794D5A">
        <w:rPr>
          <w:color w:val="000000"/>
        </w:rPr>
        <w:t xml:space="preserve"> school year</w:t>
      </w:r>
      <w:r w:rsidR="00310239">
        <w:rPr>
          <w:color w:val="000000"/>
        </w:rPr>
        <w:t>,</w:t>
      </w:r>
      <w:r w:rsidR="004342E2">
        <w:rPr>
          <w:color w:val="000000"/>
        </w:rPr>
        <w:t xml:space="preserve"> is incorrect. </w:t>
      </w:r>
    </w:p>
    <w:p w:rsidR="00FC7DF9" w:rsidRDefault="00CA1FE3" w:rsidP="00897F40">
      <w:pPr>
        <w:spacing w:line="480" w:lineRule="auto"/>
        <w:ind w:firstLine="720"/>
        <w:rPr>
          <w:color w:val="000000"/>
        </w:rPr>
      </w:pPr>
      <w:r>
        <w:rPr>
          <w:color w:val="000000"/>
        </w:rPr>
        <w:t>For this understanding</w:t>
      </w:r>
      <w:r w:rsidR="004342E2">
        <w:rPr>
          <w:color w:val="000000"/>
        </w:rPr>
        <w:t xml:space="preserve"> of the relationship between G.L. c. 32, </w:t>
      </w:r>
      <w:r w:rsidR="007D778E">
        <w:rPr>
          <w:color w:val="000000"/>
        </w:rPr>
        <w:t>§</w:t>
      </w:r>
      <w:r w:rsidR="004342E2">
        <w:rPr>
          <w:color w:val="000000"/>
        </w:rPr>
        <w:t xml:space="preserve"> 3(4) and G.L. c. 32, </w:t>
      </w:r>
      <w:r w:rsidR="007D778E">
        <w:rPr>
          <w:color w:val="000000"/>
        </w:rPr>
        <w:t xml:space="preserve">§ </w:t>
      </w:r>
      <w:r w:rsidR="004342E2">
        <w:rPr>
          <w:color w:val="000000"/>
        </w:rPr>
        <w:t>1</w:t>
      </w:r>
      <w:r>
        <w:rPr>
          <w:color w:val="000000"/>
        </w:rPr>
        <w:t xml:space="preserve">, the Petitioner relies upon </w:t>
      </w:r>
      <w:r w:rsidRPr="00EB742D">
        <w:rPr>
          <w:i/>
          <w:color w:val="000000"/>
        </w:rPr>
        <w:t>Mackay</w:t>
      </w:r>
      <w:r>
        <w:rPr>
          <w:color w:val="000000"/>
        </w:rPr>
        <w:t>, where the court held that a school social worker, whose position ha</w:t>
      </w:r>
      <w:r w:rsidR="00794D5A">
        <w:rPr>
          <w:color w:val="000000"/>
        </w:rPr>
        <w:t>d</w:t>
      </w:r>
      <w:r>
        <w:rPr>
          <w:color w:val="000000"/>
        </w:rPr>
        <w:t xml:space="preserve"> been added to the </w:t>
      </w:r>
      <w:r w:rsidR="00DC354A">
        <w:rPr>
          <w:color w:val="000000"/>
        </w:rPr>
        <w:t xml:space="preserve">G.L. c. 32, </w:t>
      </w:r>
      <w:r w:rsidR="007D778E">
        <w:rPr>
          <w:color w:val="000000"/>
        </w:rPr>
        <w:t>§</w:t>
      </w:r>
      <w:r w:rsidR="00DC354A">
        <w:rPr>
          <w:color w:val="000000"/>
        </w:rPr>
        <w:t xml:space="preserve"> 1 </w:t>
      </w:r>
      <w:r>
        <w:rPr>
          <w:color w:val="000000"/>
        </w:rPr>
        <w:t xml:space="preserve">definition of a “teacher” in 1990, could purchase out-of-state service for work as a school social worker in periods prior to 1990 when, in Massachusetts, social workers were not yet “teachers” for retirement purposes. </w:t>
      </w:r>
      <w:r w:rsidRPr="00EB742D">
        <w:rPr>
          <w:i/>
          <w:color w:val="000000"/>
        </w:rPr>
        <w:t>Mackay v. Contributory Ret. App</w:t>
      </w:r>
      <w:r w:rsidR="007E71DA" w:rsidRPr="00EB742D">
        <w:rPr>
          <w:i/>
          <w:color w:val="000000"/>
        </w:rPr>
        <w:t>.</w:t>
      </w:r>
      <w:r w:rsidRPr="00EB742D">
        <w:rPr>
          <w:i/>
          <w:color w:val="000000"/>
        </w:rPr>
        <w:t xml:space="preserve"> Bd., </w:t>
      </w:r>
      <w:r w:rsidRPr="003E4088">
        <w:rPr>
          <w:color w:val="000000"/>
        </w:rPr>
        <w:t>56 Mass. App. Ct. 924 (2002)</w:t>
      </w:r>
      <w:r>
        <w:rPr>
          <w:color w:val="000000"/>
        </w:rPr>
        <w:t xml:space="preserve">. </w:t>
      </w:r>
    </w:p>
    <w:p w:rsidR="00FC7DF9" w:rsidRPr="009216C5" w:rsidRDefault="00CA1FE3" w:rsidP="00CA1FE3">
      <w:pPr>
        <w:spacing w:line="480" w:lineRule="auto"/>
      </w:pPr>
      <w:r>
        <w:rPr>
          <w:color w:val="000000"/>
        </w:rPr>
        <w:lastRenderedPageBreak/>
        <w:tab/>
        <w:t xml:space="preserve">The Petitioner correctly cites </w:t>
      </w:r>
      <w:r w:rsidR="004D1433" w:rsidRPr="00EB742D">
        <w:rPr>
          <w:i/>
          <w:color w:val="000000"/>
        </w:rPr>
        <w:t>Mackay</w:t>
      </w:r>
      <w:r w:rsidR="004D1433" w:rsidRPr="004D1433">
        <w:rPr>
          <w:color w:val="000000"/>
        </w:rPr>
        <w:t xml:space="preserve"> but</w:t>
      </w:r>
      <w:r>
        <w:rPr>
          <w:color w:val="000000"/>
        </w:rPr>
        <w:t xml:space="preserve"> misinterprets </w:t>
      </w:r>
      <w:r w:rsidR="004D1433">
        <w:rPr>
          <w:color w:val="000000"/>
        </w:rPr>
        <w:t>its holding</w:t>
      </w:r>
      <w:r>
        <w:rPr>
          <w:color w:val="000000"/>
        </w:rPr>
        <w:t>. “</w:t>
      </w:r>
      <w:r w:rsidR="00FC7DF9">
        <w:t xml:space="preserve">The definition of teacher </w:t>
      </w:r>
      <w:r>
        <w:t xml:space="preserve">for purposes of </w:t>
      </w:r>
      <w:r w:rsidR="007D778E">
        <w:t>§</w:t>
      </w:r>
      <w:r>
        <w:t xml:space="preserve"> 3(4), and all other provisions of c. 32,</w:t>
      </w:r>
      <w:r w:rsidR="00FC7DF9">
        <w:t xml:space="preserve"> is found in </w:t>
      </w:r>
      <w:r w:rsidR="00FC7DF9" w:rsidRPr="00792FC5">
        <w:t xml:space="preserve">G.L. c. 32, </w:t>
      </w:r>
      <w:r w:rsidR="007D778E">
        <w:t>§</w:t>
      </w:r>
      <w:r w:rsidR="00FC7DF9" w:rsidRPr="00792FC5">
        <w:t xml:space="preserve"> </w:t>
      </w:r>
      <w:r w:rsidR="00FC7DF9">
        <w:t>1.</w:t>
      </w:r>
      <w:r w:rsidR="00DC354A">
        <w:t>”</w:t>
      </w:r>
      <w:r w:rsidR="00FC7DF9" w:rsidRPr="003E4088">
        <w:t xml:space="preserve"> </w:t>
      </w:r>
      <w:r w:rsidR="005C2506">
        <w:rPr>
          <w:i/>
          <w:color w:val="000000"/>
        </w:rPr>
        <w:t>Id.</w:t>
      </w:r>
      <w:r w:rsidR="00833565">
        <w:rPr>
          <w:i/>
          <w:color w:val="000000"/>
        </w:rPr>
        <w:t xml:space="preserve"> </w:t>
      </w:r>
      <w:r w:rsidR="00794D5A">
        <w:rPr>
          <w:color w:val="000000"/>
        </w:rPr>
        <w:t>at 925</w:t>
      </w:r>
      <w:r w:rsidR="005C2506" w:rsidRPr="005C2506">
        <w:rPr>
          <w:color w:val="000000"/>
        </w:rPr>
        <w:t>;</w:t>
      </w:r>
      <w:r w:rsidR="00FC7DF9">
        <w:rPr>
          <w:color w:val="000000"/>
        </w:rPr>
        <w:t xml:space="preserve"> </w:t>
      </w:r>
      <w:r w:rsidR="00794D5A">
        <w:rPr>
          <w:color w:val="000000"/>
        </w:rPr>
        <w:t>s</w:t>
      </w:r>
      <w:r w:rsidR="00310239" w:rsidRPr="00310239">
        <w:rPr>
          <w:i/>
          <w:color w:val="000000"/>
        </w:rPr>
        <w:t xml:space="preserve">ee </w:t>
      </w:r>
      <w:r w:rsidR="00310239" w:rsidRPr="004002C6">
        <w:rPr>
          <w:i/>
          <w:color w:val="000000"/>
        </w:rPr>
        <w:t>Cope v. M</w:t>
      </w:r>
      <w:r w:rsidR="00794D5A">
        <w:rPr>
          <w:i/>
          <w:color w:val="000000"/>
        </w:rPr>
        <w:t xml:space="preserve">assachusetts </w:t>
      </w:r>
      <w:r w:rsidR="00310239" w:rsidRPr="004002C6">
        <w:rPr>
          <w:i/>
          <w:color w:val="000000"/>
        </w:rPr>
        <w:t>T</w:t>
      </w:r>
      <w:r w:rsidR="00794D5A">
        <w:rPr>
          <w:i/>
          <w:color w:val="000000"/>
        </w:rPr>
        <w:t>eachers</w:t>
      </w:r>
      <w:r w:rsidR="00D90626">
        <w:rPr>
          <w:i/>
          <w:color w:val="000000"/>
        </w:rPr>
        <w:t xml:space="preserve"> </w:t>
      </w:r>
      <w:r w:rsidR="00310239" w:rsidRPr="004002C6">
        <w:rPr>
          <w:i/>
          <w:color w:val="000000"/>
        </w:rPr>
        <w:t>R</w:t>
      </w:r>
      <w:r w:rsidR="00D90626">
        <w:rPr>
          <w:i/>
          <w:color w:val="000000"/>
        </w:rPr>
        <w:t xml:space="preserve">et. </w:t>
      </w:r>
      <w:r w:rsidR="00310239" w:rsidRPr="004002C6">
        <w:rPr>
          <w:i/>
          <w:color w:val="000000"/>
        </w:rPr>
        <w:t>S</w:t>
      </w:r>
      <w:r w:rsidR="00D90626">
        <w:rPr>
          <w:i/>
          <w:color w:val="000000"/>
        </w:rPr>
        <w:t>ys.</w:t>
      </w:r>
      <w:r w:rsidR="00310239">
        <w:rPr>
          <w:color w:val="000000"/>
        </w:rPr>
        <w:t>, CR-08-206</w:t>
      </w:r>
      <w:r w:rsidR="00D90626">
        <w:rPr>
          <w:color w:val="000000"/>
        </w:rPr>
        <w:t>,</w:t>
      </w:r>
      <w:r w:rsidR="00310239">
        <w:rPr>
          <w:color w:val="000000"/>
        </w:rPr>
        <w:t xml:space="preserve"> Decision </w:t>
      </w:r>
      <w:r w:rsidR="00D90626">
        <w:rPr>
          <w:color w:val="000000"/>
        </w:rPr>
        <w:t>(</w:t>
      </w:r>
      <w:r w:rsidR="00310239">
        <w:rPr>
          <w:color w:val="000000"/>
        </w:rPr>
        <w:t>Div. Admin. Law Appeals</w:t>
      </w:r>
      <w:r w:rsidR="00D90626">
        <w:rPr>
          <w:color w:val="000000"/>
        </w:rPr>
        <w:t xml:space="preserve">, </w:t>
      </w:r>
      <w:r w:rsidR="00310239">
        <w:rPr>
          <w:color w:val="000000"/>
        </w:rPr>
        <w:t xml:space="preserve">Aug. 12, 2009); </w:t>
      </w:r>
      <w:r w:rsidR="00D90626">
        <w:rPr>
          <w:color w:val="000000"/>
        </w:rPr>
        <w:t>s</w:t>
      </w:r>
      <w:r w:rsidR="00FC7DF9" w:rsidRPr="00EB742D">
        <w:rPr>
          <w:i/>
          <w:color w:val="000000"/>
        </w:rPr>
        <w:t xml:space="preserve">ee also McDonald v. </w:t>
      </w:r>
      <w:r w:rsidR="00D90626" w:rsidRPr="004002C6">
        <w:rPr>
          <w:i/>
          <w:color w:val="000000"/>
        </w:rPr>
        <w:t>M</w:t>
      </w:r>
      <w:r w:rsidR="00D90626">
        <w:rPr>
          <w:i/>
          <w:color w:val="000000"/>
        </w:rPr>
        <w:t xml:space="preserve">assachusetts </w:t>
      </w:r>
      <w:r w:rsidR="00D90626" w:rsidRPr="004002C6">
        <w:rPr>
          <w:i/>
          <w:color w:val="000000"/>
        </w:rPr>
        <w:t>T</w:t>
      </w:r>
      <w:r w:rsidR="00D90626">
        <w:rPr>
          <w:i/>
          <w:color w:val="000000"/>
        </w:rPr>
        <w:t xml:space="preserve">eachers </w:t>
      </w:r>
      <w:r w:rsidR="00D90626" w:rsidRPr="004002C6">
        <w:rPr>
          <w:i/>
          <w:color w:val="000000"/>
        </w:rPr>
        <w:t>R</w:t>
      </w:r>
      <w:r w:rsidR="00D90626">
        <w:rPr>
          <w:i/>
          <w:color w:val="000000"/>
        </w:rPr>
        <w:t xml:space="preserve">et. </w:t>
      </w:r>
      <w:r w:rsidR="00D90626" w:rsidRPr="004002C6">
        <w:rPr>
          <w:i/>
          <w:color w:val="000000"/>
        </w:rPr>
        <w:t>S</w:t>
      </w:r>
      <w:r w:rsidR="00D90626">
        <w:rPr>
          <w:i/>
          <w:color w:val="000000"/>
        </w:rPr>
        <w:t>ys.</w:t>
      </w:r>
      <w:r w:rsidR="00D90626">
        <w:rPr>
          <w:color w:val="000000"/>
        </w:rPr>
        <w:t>,</w:t>
      </w:r>
      <w:r w:rsidR="00FC7DF9" w:rsidRPr="00EB742D">
        <w:rPr>
          <w:i/>
          <w:color w:val="000000"/>
        </w:rPr>
        <w:t xml:space="preserve"> </w:t>
      </w:r>
      <w:r w:rsidR="00FC7DF9">
        <w:rPr>
          <w:color w:val="000000"/>
        </w:rPr>
        <w:t>CR-08-249</w:t>
      </w:r>
      <w:r w:rsidR="00D90626">
        <w:rPr>
          <w:color w:val="000000"/>
        </w:rPr>
        <w:t>,</w:t>
      </w:r>
      <w:r w:rsidR="0034329E">
        <w:rPr>
          <w:color w:val="000000"/>
        </w:rPr>
        <w:t xml:space="preserve"> Decision </w:t>
      </w:r>
      <w:r w:rsidR="00D90626">
        <w:rPr>
          <w:color w:val="000000"/>
        </w:rPr>
        <w:t>(</w:t>
      </w:r>
      <w:r w:rsidR="0034329E">
        <w:rPr>
          <w:color w:val="000000"/>
        </w:rPr>
        <w:t>Div. Admin. Law Appeals</w:t>
      </w:r>
      <w:r w:rsidR="00D90626">
        <w:rPr>
          <w:color w:val="000000"/>
        </w:rPr>
        <w:t>,</w:t>
      </w:r>
      <w:r w:rsidR="00FC7DF9">
        <w:rPr>
          <w:color w:val="000000"/>
        </w:rPr>
        <w:t xml:space="preserve"> </w:t>
      </w:r>
      <w:r w:rsidR="0034329E">
        <w:rPr>
          <w:color w:val="000000"/>
        </w:rPr>
        <w:t>Jul</w:t>
      </w:r>
      <w:r w:rsidR="00D90626">
        <w:rPr>
          <w:color w:val="000000"/>
        </w:rPr>
        <w:t>.</w:t>
      </w:r>
      <w:r w:rsidR="0034329E">
        <w:rPr>
          <w:color w:val="000000"/>
        </w:rPr>
        <w:t xml:space="preserve"> 19</w:t>
      </w:r>
      <w:r w:rsidR="00EB742D">
        <w:rPr>
          <w:color w:val="000000"/>
        </w:rPr>
        <w:t>,</w:t>
      </w:r>
      <w:r w:rsidR="0034329E">
        <w:rPr>
          <w:color w:val="000000"/>
        </w:rPr>
        <w:t xml:space="preserve"> </w:t>
      </w:r>
      <w:r w:rsidR="00FC7DF9">
        <w:rPr>
          <w:color w:val="000000"/>
        </w:rPr>
        <w:t>2013)</w:t>
      </w:r>
      <w:r w:rsidR="00310239">
        <w:rPr>
          <w:color w:val="000000"/>
        </w:rPr>
        <w:t xml:space="preserve">. </w:t>
      </w:r>
      <w:r>
        <w:rPr>
          <w:color w:val="000000"/>
        </w:rPr>
        <w:t xml:space="preserve">The difficulty </w:t>
      </w:r>
      <w:r w:rsidR="00F54BEF">
        <w:rPr>
          <w:color w:val="000000"/>
        </w:rPr>
        <w:t xml:space="preserve">faced </w:t>
      </w:r>
      <w:r>
        <w:rPr>
          <w:color w:val="000000"/>
        </w:rPr>
        <w:t xml:space="preserve">in </w:t>
      </w:r>
      <w:r w:rsidRPr="00EB742D">
        <w:rPr>
          <w:i/>
          <w:color w:val="000000"/>
        </w:rPr>
        <w:t>Mackay</w:t>
      </w:r>
      <w:r>
        <w:rPr>
          <w:color w:val="000000"/>
        </w:rPr>
        <w:t xml:space="preserve"> was that at the time that the service was rendered, the </w:t>
      </w:r>
      <w:r w:rsidR="007D778E">
        <w:rPr>
          <w:color w:val="000000"/>
        </w:rPr>
        <w:t>§</w:t>
      </w:r>
      <w:r>
        <w:rPr>
          <w:color w:val="000000"/>
        </w:rPr>
        <w:t xml:space="preserve"> 1 definition did not include “social worker</w:t>
      </w:r>
      <w:r w:rsidR="004D1433">
        <w:rPr>
          <w:color w:val="000000"/>
        </w:rPr>
        <w:t>,</w:t>
      </w:r>
      <w:r>
        <w:rPr>
          <w:color w:val="000000"/>
        </w:rPr>
        <w:t xml:space="preserve">” </w:t>
      </w:r>
      <w:r w:rsidR="004D1433">
        <w:rPr>
          <w:color w:val="000000"/>
        </w:rPr>
        <w:t>but at</w:t>
      </w:r>
      <w:r>
        <w:rPr>
          <w:color w:val="000000"/>
        </w:rPr>
        <w:t xml:space="preserve"> the time of the member’s application to purchase</w:t>
      </w:r>
      <w:r w:rsidR="00D90626">
        <w:rPr>
          <w:color w:val="000000"/>
        </w:rPr>
        <w:t xml:space="preserve"> </w:t>
      </w:r>
      <w:r w:rsidR="002B50A0">
        <w:rPr>
          <w:color w:val="000000"/>
        </w:rPr>
        <w:t xml:space="preserve">the </w:t>
      </w:r>
      <w:r w:rsidR="00D90626">
        <w:rPr>
          <w:color w:val="000000"/>
        </w:rPr>
        <w:t>service</w:t>
      </w:r>
      <w:r>
        <w:rPr>
          <w:color w:val="000000"/>
        </w:rPr>
        <w:t xml:space="preserve">, it did. </w:t>
      </w:r>
      <w:r w:rsidR="004D1433">
        <w:rPr>
          <w:color w:val="000000"/>
        </w:rPr>
        <w:t xml:space="preserve">The question </w:t>
      </w:r>
      <w:r w:rsidR="00D90626">
        <w:rPr>
          <w:color w:val="000000"/>
        </w:rPr>
        <w:t xml:space="preserve">to </w:t>
      </w:r>
      <w:r w:rsidR="004D1433">
        <w:rPr>
          <w:color w:val="000000"/>
        </w:rPr>
        <w:t xml:space="preserve">resolve </w:t>
      </w:r>
      <w:r>
        <w:rPr>
          <w:color w:val="000000"/>
        </w:rPr>
        <w:t xml:space="preserve">was whether the definition as it existed at the time the service was rendered, or at the time of the application, should </w:t>
      </w:r>
      <w:r w:rsidR="001A1149">
        <w:rPr>
          <w:color w:val="000000"/>
        </w:rPr>
        <w:t xml:space="preserve">govern. There was never any question </w:t>
      </w:r>
      <w:r w:rsidR="0034329E">
        <w:rPr>
          <w:color w:val="000000"/>
        </w:rPr>
        <w:t xml:space="preserve">in </w:t>
      </w:r>
      <w:r w:rsidR="0034329E" w:rsidRPr="002D5BBC">
        <w:rPr>
          <w:i/>
          <w:color w:val="000000"/>
        </w:rPr>
        <w:t xml:space="preserve">Mackay </w:t>
      </w:r>
      <w:r w:rsidR="001A1149">
        <w:rPr>
          <w:color w:val="000000"/>
        </w:rPr>
        <w:t xml:space="preserve">that the </w:t>
      </w:r>
      <w:r w:rsidR="002B50A0">
        <w:rPr>
          <w:color w:val="000000"/>
        </w:rPr>
        <w:t xml:space="preserve">c. 32, </w:t>
      </w:r>
      <w:r w:rsidR="007D778E">
        <w:rPr>
          <w:color w:val="000000"/>
        </w:rPr>
        <w:t>§</w:t>
      </w:r>
      <w:r w:rsidR="001A1149">
        <w:rPr>
          <w:color w:val="000000"/>
        </w:rPr>
        <w:t xml:space="preserve"> 1 </w:t>
      </w:r>
      <w:r w:rsidR="00A024D0">
        <w:rPr>
          <w:color w:val="000000"/>
        </w:rPr>
        <w:t>definition</w:t>
      </w:r>
      <w:r w:rsidR="001A1149">
        <w:rPr>
          <w:color w:val="000000"/>
        </w:rPr>
        <w:t xml:space="preserve"> applied to </w:t>
      </w:r>
      <w:r w:rsidR="0034329E">
        <w:rPr>
          <w:color w:val="000000"/>
        </w:rPr>
        <w:t xml:space="preserve">the purchase of </w:t>
      </w:r>
      <w:r w:rsidR="001A1149">
        <w:rPr>
          <w:color w:val="000000"/>
        </w:rPr>
        <w:t>out-of-state service.</w:t>
      </w:r>
      <w:r w:rsidR="008B4D50">
        <w:rPr>
          <w:rStyle w:val="FootnoteReference"/>
          <w:color w:val="000000"/>
        </w:rPr>
        <w:footnoteReference w:id="2"/>
      </w:r>
      <w:r w:rsidR="00EF3DFB">
        <w:t xml:space="preserve"> </w:t>
      </w:r>
    </w:p>
    <w:p w:rsidR="00D83DF1" w:rsidRDefault="001A1149" w:rsidP="00CA1FE3">
      <w:pPr>
        <w:spacing w:line="480" w:lineRule="auto"/>
      </w:pPr>
      <w:r>
        <w:rPr>
          <w:color w:val="000000"/>
        </w:rPr>
        <w:tab/>
        <w:t xml:space="preserve">In this instance, there is no such ambiguity as in </w:t>
      </w:r>
      <w:r w:rsidRPr="002D5BBC">
        <w:rPr>
          <w:i/>
          <w:color w:val="000000"/>
        </w:rPr>
        <w:t>Mackay.</w:t>
      </w:r>
      <w:r>
        <w:rPr>
          <w:color w:val="000000"/>
        </w:rPr>
        <w:t xml:space="preserve"> At the time </w:t>
      </w:r>
      <w:r w:rsidR="00D90626">
        <w:rPr>
          <w:color w:val="000000"/>
        </w:rPr>
        <w:t>of</w:t>
      </w:r>
      <w:r>
        <w:rPr>
          <w:color w:val="000000"/>
        </w:rPr>
        <w:t xml:space="preserve"> Ms. </w:t>
      </w:r>
      <w:proofErr w:type="spellStart"/>
      <w:r>
        <w:rPr>
          <w:color w:val="000000"/>
        </w:rPr>
        <w:t>Farricker’s</w:t>
      </w:r>
      <w:proofErr w:type="spellEnd"/>
      <w:r>
        <w:rPr>
          <w:color w:val="000000"/>
        </w:rPr>
        <w:t xml:space="preserve"> </w:t>
      </w:r>
      <w:r w:rsidR="00D90626">
        <w:rPr>
          <w:color w:val="000000"/>
        </w:rPr>
        <w:t xml:space="preserve">out-of-state </w:t>
      </w:r>
      <w:r>
        <w:rPr>
          <w:color w:val="000000"/>
        </w:rPr>
        <w:t>service in the late 1970s</w:t>
      </w:r>
      <w:r w:rsidR="004D1433">
        <w:rPr>
          <w:color w:val="000000"/>
        </w:rPr>
        <w:t>,</w:t>
      </w:r>
      <w:r>
        <w:rPr>
          <w:color w:val="000000"/>
        </w:rPr>
        <w:t xml:space="preserve"> and at the time of </w:t>
      </w:r>
      <w:r w:rsidR="00D90626">
        <w:rPr>
          <w:color w:val="000000"/>
        </w:rPr>
        <w:t xml:space="preserve">her </w:t>
      </w:r>
      <w:r>
        <w:rPr>
          <w:color w:val="000000"/>
        </w:rPr>
        <w:t xml:space="preserve">application in 2013, the definition of “teacher” </w:t>
      </w:r>
      <w:r w:rsidR="00D90626">
        <w:rPr>
          <w:color w:val="000000"/>
        </w:rPr>
        <w:t xml:space="preserve">encompassed Ms. </w:t>
      </w:r>
      <w:proofErr w:type="spellStart"/>
      <w:r w:rsidR="00D90626">
        <w:rPr>
          <w:color w:val="000000"/>
        </w:rPr>
        <w:t>Farricker’s</w:t>
      </w:r>
      <w:proofErr w:type="spellEnd"/>
      <w:r w:rsidR="00D90626">
        <w:rPr>
          <w:color w:val="000000"/>
        </w:rPr>
        <w:t xml:space="preserve"> work as an art teacher.</w:t>
      </w:r>
      <w:r w:rsidR="00D83DF1" w:rsidRPr="00D83DF1">
        <w:t xml:space="preserve"> </w:t>
      </w:r>
      <w:r w:rsidR="00DC354A">
        <w:t xml:space="preserve">G.L. c. 32, </w:t>
      </w:r>
      <w:r w:rsidR="007D778E">
        <w:t>§</w:t>
      </w:r>
      <w:r w:rsidR="00DC354A">
        <w:t xml:space="preserve"> 1. </w:t>
      </w:r>
    </w:p>
    <w:p w:rsidR="00310239" w:rsidRDefault="0077168E" w:rsidP="00310239">
      <w:pPr>
        <w:spacing w:line="480" w:lineRule="auto"/>
        <w:ind w:firstLine="720"/>
      </w:pPr>
      <w:r>
        <w:t>W</w:t>
      </w:r>
      <w:r w:rsidR="00D90626">
        <w:t xml:space="preserve">hile </w:t>
      </w:r>
      <w:r w:rsidR="004D1433" w:rsidRPr="00EB742D">
        <w:rPr>
          <w:i/>
        </w:rPr>
        <w:t>Mackay</w:t>
      </w:r>
      <w:r w:rsidR="004D1433">
        <w:t xml:space="preserve"> establish</w:t>
      </w:r>
      <w:r w:rsidR="00D90626">
        <w:t>es</w:t>
      </w:r>
      <w:r w:rsidR="004D1433">
        <w:t xml:space="preserve"> that </w:t>
      </w:r>
      <w:r w:rsidR="00564384">
        <w:t>the definition of</w:t>
      </w:r>
      <w:r w:rsidR="004D1433">
        <w:t xml:space="preserve"> “teacher” </w:t>
      </w:r>
      <w:r w:rsidR="00C64540">
        <w:t>in G.L. c. 32, §</w:t>
      </w:r>
      <w:r w:rsidR="00D77275">
        <w:t xml:space="preserve"> </w:t>
      </w:r>
      <w:r w:rsidR="00C64540">
        <w:t xml:space="preserve">1 </w:t>
      </w:r>
      <w:r w:rsidR="00564384">
        <w:t xml:space="preserve">applies to G.L. c. 32, </w:t>
      </w:r>
      <w:r w:rsidR="007D778E">
        <w:t>§</w:t>
      </w:r>
      <w:r w:rsidR="00564384">
        <w:t xml:space="preserve"> 3(4</w:t>
      </w:r>
      <w:r w:rsidR="00310239">
        <w:t>)</w:t>
      </w:r>
      <w:r w:rsidR="007D6420">
        <w:t xml:space="preserve">, the term “not less than half time service” </w:t>
      </w:r>
      <w:r w:rsidR="00EA0600">
        <w:t xml:space="preserve">in </w:t>
      </w:r>
      <w:r w:rsidR="00D90294">
        <w:t xml:space="preserve">c. 32, </w:t>
      </w:r>
      <w:r w:rsidR="00EA0600">
        <w:t>§ 1 needs further clarification.</w:t>
      </w:r>
      <w:r w:rsidR="00310239">
        <w:t xml:space="preserve"> The Petitioner argues that she was wrongly denied benefits because c. 32, § 3(4)</w:t>
      </w:r>
      <w:r w:rsidR="00A40CC6">
        <w:t xml:space="preserve"> </w:t>
      </w:r>
      <w:r w:rsidR="00325FA5">
        <w:t xml:space="preserve">is </w:t>
      </w:r>
      <w:r w:rsidR="00A40CC6">
        <w:t>not</w:t>
      </w:r>
      <w:r w:rsidR="00310239">
        <w:t xml:space="preserve"> </w:t>
      </w:r>
      <w:r w:rsidR="00325FA5">
        <w:t>limited to a particular service threshold, but refers to service in another state for “any previous period.”</w:t>
      </w:r>
      <w:r w:rsidR="00310239">
        <w:t xml:space="preserve"> The Petitioner </w:t>
      </w:r>
      <w:r w:rsidR="00325FA5">
        <w:t xml:space="preserve">also </w:t>
      </w:r>
      <w:r w:rsidR="00310239">
        <w:t>argu</w:t>
      </w:r>
      <w:r w:rsidR="00325FA5">
        <w:t>es</w:t>
      </w:r>
      <w:r w:rsidR="00310239">
        <w:t xml:space="preserve"> that the MTRS </w:t>
      </w:r>
      <w:r w:rsidR="00D90294">
        <w:t xml:space="preserve">incorrectly applies the definition of teacher to c. 32, § 3(4) and </w:t>
      </w:r>
      <w:r w:rsidR="00310239">
        <w:t>is overreaching its authority by inserting a 90-day threshold in place of the phrase “not less than half time service.” I find th</w:t>
      </w:r>
      <w:r w:rsidR="00325FA5">
        <w:t>ese</w:t>
      </w:r>
      <w:r w:rsidR="00310239">
        <w:t xml:space="preserve"> argument</w:t>
      </w:r>
      <w:r w:rsidR="00325FA5">
        <w:t>s</w:t>
      </w:r>
      <w:r w:rsidR="00310239">
        <w:t xml:space="preserve"> unpersuasive. </w:t>
      </w:r>
    </w:p>
    <w:p w:rsidR="002D5BBC" w:rsidRDefault="00310239" w:rsidP="002D5BBC">
      <w:pPr>
        <w:spacing w:line="480" w:lineRule="auto"/>
        <w:ind w:firstLine="720"/>
        <w:rPr>
          <w:color w:val="000000"/>
        </w:rPr>
      </w:pPr>
      <w:r>
        <w:lastRenderedPageBreak/>
        <w:t xml:space="preserve">G.L. </w:t>
      </w:r>
      <w:r w:rsidRPr="00285B03">
        <w:rPr>
          <w:shd w:val="clear" w:color="auto" w:fill="FFFFFF"/>
        </w:rPr>
        <w:t xml:space="preserve">c. 69, </w:t>
      </w:r>
      <w:r>
        <w:rPr>
          <w:shd w:val="clear" w:color="auto" w:fill="FFFFFF"/>
        </w:rPr>
        <w:t xml:space="preserve">§ </w:t>
      </w:r>
      <w:r w:rsidRPr="00285B03">
        <w:rPr>
          <w:shd w:val="clear" w:color="auto" w:fill="FFFFFF"/>
        </w:rPr>
        <w:t>1G</w:t>
      </w:r>
      <w:r>
        <w:rPr>
          <w:shd w:val="clear" w:color="auto" w:fill="FFFFFF"/>
        </w:rPr>
        <w:t xml:space="preserve"> states that, “t</w:t>
      </w:r>
      <w:r w:rsidRPr="00285B03">
        <w:rPr>
          <w:shd w:val="clear" w:color="auto" w:fill="FFFFFF"/>
        </w:rPr>
        <w:t xml:space="preserve">he </w:t>
      </w:r>
      <w:r>
        <w:rPr>
          <w:shd w:val="clear" w:color="auto" w:fill="FFFFFF"/>
        </w:rPr>
        <w:t xml:space="preserve">[school] </w:t>
      </w:r>
      <w:r w:rsidRPr="00285B03">
        <w:rPr>
          <w:shd w:val="clear" w:color="auto" w:fill="FFFFFF"/>
        </w:rPr>
        <w:t>board shall establish the minimum length for a school day and the minimum number of days in the school year</w:t>
      </w:r>
      <w:r>
        <w:rPr>
          <w:shd w:val="clear" w:color="auto" w:fill="FFFFFF"/>
        </w:rPr>
        <w:t>,” and</w:t>
      </w:r>
      <w:r w:rsidRPr="00285B03">
        <w:t xml:space="preserve"> </w:t>
      </w:r>
      <w:r w:rsidRPr="006956DB">
        <w:t xml:space="preserve">603 </w:t>
      </w:r>
      <w:r>
        <w:t>CMR</w:t>
      </w:r>
      <w:r w:rsidRPr="006956DB">
        <w:t xml:space="preserve"> 27.03</w:t>
      </w:r>
      <w:r>
        <w:t>(3) states, “[e]</w:t>
      </w:r>
      <w:r w:rsidRPr="006956DB">
        <w:rPr>
          <w:shd w:val="clear" w:color="auto" w:fill="FFFFFF"/>
        </w:rPr>
        <w:t>very school committee shall operate the schools within its district at least 180 school days in a school year.</w:t>
      </w:r>
      <w:r>
        <w:rPr>
          <w:shd w:val="clear" w:color="auto" w:fill="FFFFFF"/>
        </w:rPr>
        <w:t xml:space="preserve">” </w:t>
      </w:r>
      <w:r w:rsidR="00EA0600">
        <w:rPr>
          <w:shd w:val="clear" w:color="auto" w:fill="FFFFFF"/>
        </w:rPr>
        <w:t>N</w:t>
      </w:r>
      <w:r w:rsidR="00236037">
        <w:t>either</w:t>
      </w:r>
      <w:r w:rsidR="007D6420">
        <w:t xml:space="preserve"> G.L. c. 32, § 1,</w:t>
      </w:r>
      <w:r w:rsidR="00236037">
        <w:t xml:space="preserve"> G.L. c. 32, § 3(4)</w:t>
      </w:r>
      <w:r w:rsidR="007D6420">
        <w:t>,</w:t>
      </w:r>
      <w:r w:rsidR="00236037">
        <w:t xml:space="preserve"> nor MTRS</w:t>
      </w:r>
      <w:r w:rsidR="00D90294">
        <w:t>’s</w:t>
      </w:r>
      <w:r w:rsidR="00236037">
        <w:t xml:space="preserve"> regulations</w:t>
      </w:r>
      <w:r w:rsidR="007D6420">
        <w:t xml:space="preserve"> specifically state that a </w:t>
      </w:r>
      <w:r w:rsidR="00236037">
        <w:t xml:space="preserve">90-day minimum threshold </w:t>
      </w:r>
      <w:r w:rsidR="007D6420">
        <w:t>is equivalent to</w:t>
      </w:r>
      <w:r w:rsidR="00236037">
        <w:t xml:space="preserve"> “</w:t>
      </w:r>
      <w:r w:rsidR="007D6420">
        <w:t xml:space="preserve">not less than </w:t>
      </w:r>
      <w:r w:rsidR="00236037">
        <w:t>half-time service</w:t>
      </w:r>
      <w:r w:rsidR="00A747BA">
        <w:t>.</w:t>
      </w:r>
      <w:r w:rsidR="00236037">
        <w:t>”</w:t>
      </w:r>
      <w:r w:rsidR="00A747BA" w:rsidRPr="00A747BA">
        <w:rPr>
          <w:color w:val="000000"/>
        </w:rPr>
        <w:t xml:space="preserve"> </w:t>
      </w:r>
    </w:p>
    <w:p w:rsidR="002D5BBC" w:rsidRPr="007D6420" w:rsidRDefault="00A747BA" w:rsidP="007D6420">
      <w:pPr>
        <w:spacing w:line="480" w:lineRule="auto"/>
        <w:ind w:firstLine="720"/>
        <w:rPr>
          <w:color w:val="000000"/>
        </w:rPr>
      </w:pPr>
      <w:r>
        <w:t xml:space="preserve">In </w:t>
      </w:r>
      <w:r w:rsidRPr="002D5BBC">
        <w:rPr>
          <w:i/>
        </w:rPr>
        <w:t>Weston</w:t>
      </w:r>
      <w:r>
        <w:t xml:space="preserve">, the </w:t>
      </w:r>
      <w:r w:rsidR="002D5BBC">
        <w:t>c</w:t>
      </w:r>
      <w:r>
        <w:t xml:space="preserve">ourt warned that the </w:t>
      </w:r>
      <w:r w:rsidR="00E12176">
        <w:t>statute must</w:t>
      </w:r>
      <w:r w:rsidR="002D5BBC">
        <w:t xml:space="preserve"> be interpreted “so as not to produce an illogical result.” </w:t>
      </w:r>
      <w:r w:rsidR="005E5E8D">
        <w:t xml:space="preserve">76 </w:t>
      </w:r>
      <w:r w:rsidR="002D5BBC">
        <w:t xml:space="preserve">Mass. App. Ct. </w:t>
      </w:r>
      <w:r w:rsidR="005E5E8D">
        <w:t xml:space="preserve">at </w:t>
      </w:r>
      <w:r w:rsidR="002D5BBC">
        <w:t xml:space="preserve">480. </w:t>
      </w:r>
      <w:r>
        <w:rPr>
          <w:color w:val="000000"/>
        </w:rPr>
        <w:t xml:space="preserve">For MTRS to read into the statute that “not less than half time service” is equivalent to </w:t>
      </w:r>
      <w:r w:rsidR="00D90294">
        <w:rPr>
          <w:color w:val="000000"/>
        </w:rPr>
        <w:t xml:space="preserve">at least </w:t>
      </w:r>
      <w:r>
        <w:rPr>
          <w:color w:val="000000"/>
        </w:rPr>
        <w:t>90 days, because teachers in Massachusetts have a contracted 180-day school year, does not produce an illogical result. “</w:t>
      </w:r>
      <w:r w:rsidRPr="00196A86">
        <w:rPr>
          <w:color w:val="000000"/>
          <w:shd w:val="clear" w:color="auto" w:fill="FFFFFF"/>
        </w:rPr>
        <w:t xml:space="preserve">Where the language </w:t>
      </w:r>
      <w:r>
        <w:rPr>
          <w:color w:val="000000"/>
          <w:shd w:val="clear" w:color="auto" w:fill="FFFFFF"/>
        </w:rPr>
        <w:t xml:space="preserve">[of a statute] </w:t>
      </w:r>
      <w:r w:rsidRPr="00196A86">
        <w:rPr>
          <w:color w:val="000000"/>
          <w:shd w:val="clear" w:color="auto" w:fill="FFFFFF"/>
        </w:rPr>
        <w:t>is clear and unambiguous, it is to be given its ‘ordinary</w:t>
      </w:r>
      <w:r w:rsidR="005E5E8D">
        <w:rPr>
          <w:color w:val="000000"/>
          <w:shd w:val="clear" w:color="auto" w:fill="FFFFFF"/>
        </w:rPr>
        <w:t xml:space="preserve"> </w:t>
      </w:r>
      <w:r w:rsidRPr="00196A86">
        <w:rPr>
          <w:color w:val="000000"/>
          <w:shd w:val="clear" w:color="auto" w:fill="FFFFFF"/>
        </w:rPr>
        <w:t>meaning.’”</w:t>
      </w:r>
      <w:r w:rsidR="005E5E8D">
        <w:rPr>
          <w:color w:val="000000"/>
          <w:shd w:val="clear" w:color="auto" w:fill="FFFFFF"/>
        </w:rPr>
        <w:t xml:space="preserve"> </w:t>
      </w:r>
      <w:r w:rsidRPr="002D5BBC">
        <w:rPr>
          <w:i/>
          <w:color w:val="000000"/>
          <w:shd w:val="clear" w:color="auto" w:fill="FFFFFF"/>
        </w:rPr>
        <w:t>Commonwealth</w:t>
      </w:r>
      <w:r w:rsidR="005E5E8D">
        <w:rPr>
          <w:i/>
          <w:color w:val="000000"/>
          <w:shd w:val="clear" w:color="auto" w:fill="FFFFFF"/>
        </w:rPr>
        <w:t xml:space="preserve"> </w:t>
      </w:r>
      <w:proofErr w:type="spellStart"/>
      <w:r w:rsidRPr="002D5BBC">
        <w:rPr>
          <w:i/>
          <w:color w:val="000000"/>
          <w:shd w:val="clear" w:color="auto" w:fill="FFFFFF"/>
        </w:rPr>
        <w:t>v.Mogelinski</w:t>
      </w:r>
      <w:proofErr w:type="spellEnd"/>
      <w:r w:rsidRPr="00196A86">
        <w:rPr>
          <w:color w:val="000000"/>
          <w:shd w:val="clear" w:color="auto" w:fill="FFFFFF"/>
        </w:rPr>
        <w:t>, 466 Mass. 627, 633 (2013). The</w:t>
      </w:r>
      <w:r w:rsidR="005E5E8D">
        <w:rPr>
          <w:color w:val="000000"/>
          <w:shd w:val="clear" w:color="auto" w:fill="FFFFFF"/>
        </w:rPr>
        <w:t xml:space="preserve"> </w:t>
      </w:r>
      <w:r w:rsidRPr="00196A86">
        <w:rPr>
          <w:color w:val="000000"/>
          <w:shd w:val="clear" w:color="auto" w:fill="FFFFFF"/>
        </w:rPr>
        <w:t>plain</w:t>
      </w:r>
      <w:r w:rsidR="005E5E8D">
        <w:rPr>
          <w:color w:val="000000"/>
          <w:shd w:val="clear" w:color="auto" w:fill="FFFFFF"/>
        </w:rPr>
        <w:t xml:space="preserve"> </w:t>
      </w:r>
      <w:r w:rsidRPr="00196A86">
        <w:rPr>
          <w:color w:val="000000"/>
          <w:shd w:val="clear" w:color="auto" w:fill="FFFFFF"/>
        </w:rPr>
        <w:t>meaning</w:t>
      </w:r>
      <w:r w:rsidR="005E5E8D">
        <w:rPr>
          <w:color w:val="000000"/>
          <w:shd w:val="clear" w:color="auto" w:fill="FFFFFF"/>
        </w:rPr>
        <w:t xml:space="preserve"> </w:t>
      </w:r>
      <w:r w:rsidRPr="00196A86">
        <w:rPr>
          <w:color w:val="000000"/>
          <w:shd w:val="clear" w:color="auto" w:fill="FFFFFF"/>
        </w:rPr>
        <w:t>of a</w:t>
      </w:r>
      <w:r w:rsidR="005E5E8D">
        <w:rPr>
          <w:color w:val="000000"/>
          <w:shd w:val="clear" w:color="auto" w:fill="FFFFFF"/>
        </w:rPr>
        <w:t xml:space="preserve"> </w:t>
      </w:r>
      <w:r w:rsidRPr="00196A86">
        <w:rPr>
          <w:color w:val="000000"/>
          <w:shd w:val="clear" w:color="auto" w:fill="FFFFFF"/>
        </w:rPr>
        <w:t>statute</w:t>
      </w:r>
      <w:r w:rsidR="005E5E8D">
        <w:rPr>
          <w:color w:val="000000"/>
          <w:shd w:val="clear" w:color="auto" w:fill="FFFFFF"/>
        </w:rPr>
        <w:t xml:space="preserve"> </w:t>
      </w:r>
      <w:r w:rsidRPr="00196A86">
        <w:rPr>
          <w:color w:val="000000"/>
          <w:shd w:val="clear" w:color="auto" w:fill="FFFFFF"/>
        </w:rPr>
        <w:t>must be reasonable and supported by the purpose and history of the</w:t>
      </w:r>
      <w:r w:rsidR="005E5E8D">
        <w:rPr>
          <w:color w:val="000000"/>
          <w:shd w:val="clear" w:color="auto" w:fill="FFFFFF"/>
        </w:rPr>
        <w:t xml:space="preserve"> </w:t>
      </w:r>
      <w:r w:rsidRPr="00196A86">
        <w:rPr>
          <w:color w:val="000000"/>
          <w:shd w:val="clear" w:color="auto" w:fill="FFFFFF"/>
        </w:rPr>
        <w:t>statute.”</w:t>
      </w:r>
      <w:r w:rsidR="005E5E8D">
        <w:rPr>
          <w:color w:val="000000"/>
          <w:shd w:val="clear" w:color="auto" w:fill="FFFFFF"/>
        </w:rPr>
        <w:t xml:space="preserve"> </w:t>
      </w:r>
      <w:r w:rsidRPr="002D5BBC">
        <w:rPr>
          <w:i/>
          <w:color w:val="000000"/>
          <w:shd w:val="clear" w:color="auto" w:fill="FFFFFF"/>
        </w:rPr>
        <w:t>Id</w:t>
      </w:r>
      <w:r w:rsidRPr="00196A86">
        <w:rPr>
          <w:color w:val="000000"/>
          <w:shd w:val="clear" w:color="auto" w:fill="FFFFFF"/>
        </w:rPr>
        <w:t>., quoting</w:t>
      </w:r>
      <w:r w:rsidR="005E5E8D">
        <w:rPr>
          <w:color w:val="000000"/>
          <w:shd w:val="clear" w:color="auto" w:fill="FFFFFF"/>
        </w:rPr>
        <w:t xml:space="preserve"> </w:t>
      </w:r>
      <w:r w:rsidRPr="002D5BBC">
        <w:rPr>
          <w:i/>
          <w:color w:val="000000"/>
          <w:shd w:val="clear" w:color="auto" w:fill="FFFFFF"/>
        </w:rPr>
        <w:t>Wright</w:t>
      </w:r>
      <w:r w:rsidR="005E5E8D">
        <w:rPr>
          <w:i/>
          <w:color w:val="000000"/>
          <w:shd w:val="clear" w:color="auto" w:fill="FFFFFF"/>
        </w:rPr>
        <w:t xml:space="preserve"> </w:t>
      </w:r>
      <w:r w:rsidRPr="002D5BBC">
        <w:rPr>
          <w:i/>
          <w:color w:val="000000"/>
          <w:shd w:val="clear" w:color="auto" w:fill="FFFFFF"/>
        </w:rPr>
        <w:t>v.</w:t>
      </w:r>
      <w:r w:rsidR="005E5E8D">
        <w:rPr>
          <w:i/>
          <w:color w:val="000000"/>
          <w:shd w:val="clear" w:color="auto" w:fill="FFFFFF"/>
        </w:rPr>
        <w:t xml:space="preserve"> </w:t>
      </w:r>
      <w:r w:rsidRPr="002D5BBC">
        <w:rPr>
          <w:i/>
          <w:color w:val="000000"/>
          <w:shd w:val="clear" w:color="auto" w:fill="FFFFFF"/>
        </w:rPr>
        <w:t>Collector &amp; Treas. of Arlington</w:t>
      </w:r>
      <w:r w:rsidRPr="00196A86">
        <w:rPr>
          <w:color w:val="000000"/>
          <w:shd w:val="clear" w:color="auto" w:fill="FFFFFF"/>
        </w:rPr>
        <w:t>, 422 Mass. 455, 457</w:t>
      </w:r>
      <w:r w:rsidR="00EA0600">
        <w:rPr>
          <w:color w:val="000000"/>
          <w:shd w:val="clear" w:color="auto" w:fill="FFFFFF"/>
        </w:rPr>
        <w:t>-</w:t>
      </w:r>
      <w:r w:rsidRPr="00196A86">
        <w:rPr>
          <w:color w:val="000000"/>
          <w:shd w:val="clear" w:color="auto" w:fill="FFFFFF"/>
        </w:rPr>
        <w:t>458 (1996).</w:t>
      </w:r>
      <w:r>
        <w:rPr>
          <w:color w:val="000000"/>
          <w:shd w:val="clear" w:color="auto" w:fill="FFFFFF"/>
        </w:rPr>
        <w:t xml:space="preserve"> The term “not less than half time service” is both clear and unambiguous</w:t>
      </w:r>
      <w:r w:rsidR="00EA0600">
        <w:rPr>
          <w:color w:val="000000"/>
          <w:shd w:val="clear" w:color="auto" w:fill="FFFFFF"/>
        </w:rPr>
        <w:t>.</w:t>
      </w:r>
      <w:r>
        <w:rPr>
          <w:color w:val="000000"/>
          <w:shd w:val="clear" w:color="auto" w:fill="FFFFFF"/>
        </w:rPr>
        <w:t xml:space="preserve"> </w:t>
      </w:r>
      <w:r w:rsidR="00EA0600">
        <w:rPr>
          <w:color w:val="000000"/>
          <w:shd w:val="clear" w:color="auto" w:fill="FFFFFF"/>
        </w:rPr>
        <w:t xml:space="preserve">That </w:t>
      </w:r>
      <w:r>
        <w:rPr>
          <w:color w:val="000000"/>
          <w:shd w:val="clear" w:color="auto" w:fill="FFFFFF"/>
        </w:rPr>
        <w:t>MTRS interpret</w:t>
      </w:r>
      <w:r w:rsidR="00EA0600">
        <w:rPr>
          <w:color w:val="000000"/>
          <w:shd w:val="clear" w:color="auto" w:fill="FFFFFF"/>
        </w:rPr>
        <w:t>s</w:t>
      </w:r>
      <w:r>
        <w:rPr>
          <w:color w:val="000000"/>
          <w:shd w:val="clear" w:color="auto" w:fill="FFFFFF"/>
        </w:rPr>
        <w:t xml:space="preserve"> it by providing a </w:t>
      </w:r>
      <w:r>
        <w:rPr>
          <w:color w:val="000000"/>
        </w:rPr>
        <w:t xml:space="preserve">quantitative number to give meaning to a descriptive term is </w:t>
      </w:r>
      <w:r w:rsidR="00D90294">
        <w:rPr>
          <w:color w:val="000000"/>
        </w:rPr>
        <w:t xml:space="preserve">straightforward and </w:t>
      </w:r>
      <w:r>
        <w:rPr>
          <w:color w:val="000000"/>
        </w:rPr>
        <w:t xml:space="preserve">reasonable under the circumstances. </w:t>
      </w:r>
    </w:p>
    <w:p w:rsidR="00C00DED" w:rsidRPr="005A40E0" w:rsidRDefault="004910CB" w:rsidP="009943E4">
      <w:pPr>
        <w:spacing w:line="480" w:lineRule="auto"/>
        <w:ind w:firstLine="720"/>
      </w:pPr>
      <w:r>
        <w:t xml:space="preserve">Interpreting the </w:t>
      </w:r>
      <w:r w:rsidR="00893880">
        <w:t>descriptive term</w:t>
      </w:r>
      <w:r>
        <w:t xml:space="preserve"> </w:t>
      </w:r>
      <w:r w:rsidR="00893880">
        <w:t>“not less than half time service”</w:t>
      </w:r>
      <w:r w:rsidR="00DF7B4C">
        <w:t xml:space="preserve"> </w:t>
      </w:r>
      <w:r>
        <w:t xml:space="preserve">by assigning it a </w:t>
      </w:r>
      <w:r w:rsidR="009943E4">
        <w:t xml:space="preserve">quantitative </w:t>
      </w:r>
      <w:r>
        <w:t xml:space="preserve">value </w:t>
      </w:r>
      <w:r w:rsidR="009943E4">
        <w:t xml:space="preserve">is </w:t>
      </w:r>
      <w:r>
        <w:t xml:space="preserve">not new. </w:t>
      </w:r>
      <w:r w:rsidR="002D5BBC">
        <w:t xml:space="preserve">In </w:t>
      </w:r>
      <w:proofErr w:type="spellStart"/>
      <w:r w:rsidR="002D5BBC" w:rsidRPr="00893880">
        <w:rPr>
          <w:i/>
        </w:rPr>
        <w:t>Squeglia</w:t>
      </w:r>
      <w:proofErr w:type="spellEnd"/>
      <w:r w:rsidR="002D5BBC">
        <w:t xml:space="preserve">, </w:t>
      </w:r>
      <w:r w:rsidR="008F198A">
        <w:t xml:space="preserve">the Petitioner </w:t>
      </w:r>
      <w:r>
        <w:t xml:space="preserve">wanted to purchase her out-of-state </w:t>
      </w:r>
      <w:r w:rsidRPr="005A40E0">
        <w:t>creditable service</w:t>
      </w:r>
      <w:r w:rsidR="009943E4">
        <w:t xml:space="preserve"> for her</w:t>
      </w:r>
      <w:r w:rsidRPr="005A40E0">
        <w:t xml:space="preserve"> part-time </w:t>
      </w:r>
      <w:r w:rsidR="009943E4">
        <w:t xml:space="preserve">employment as a </w:t>
      </w:r>
      <w:r w:rsidR="003B4646" w:rsidRPr="005A40E0">
        <w:t>“Learning Disability Tutor</w:t>
      </w:r>
      <w:r w:rsidR="009943E4">
        <w:t>,</w:t>
      </w:r>
      <w:r w:rsidR="003B4646" w:rsidRPr="005A40E0">
        <w:t>”</w:t>
      </w:r>
      <w:r w:rsidR="009943E4">
        <w:t xml:space="preserve"> where</w:t>
      </w:r>
      <w:r w:rsidR="003B4646" w:rsidRPr="005A40E0">
        <w:t xml:space="preserve"> for three</w:t>
      </w:r>
      <w:r w:rsidR="003B4646">
        <w:t xml:space="preserve"> years</w:t>
      </w:r>
      <w:r w:rsidR="009943E4">
        <w:t xml:space="preserve"> </w:t>
      </w:r>
      <w:r>
        <w:t xml:space="preserve">she </w:t>
      </w:r>
      <w:r w:rsidR="003B4646">
        <w:t xml:space="preserve">worked 73%, 68%, and 61% of </w:t>
      </w:r>
      <w:r w:rsidR="00893880">
        <w:t>a full-time school schedule</w:t>
      </w:r>
      <w:r>
        <w:t xml:space="preserve">. </w:t>
      </w:r>
      <w:proofErr w:type="spellStart"/>
      <w:r w:rsidR="009943E4" w:rsidRPr="005A40E0">
        <w:rPr>
          <w:i/>
          <w:color w:val="000000"/>
        </w:rPr>
        <w:t>Squeglia</w:t>
      </w:r>
      <w:proofErr w:type="spellEnd"/>
      <w:r w:rsidR="009943E4" w:rsidRPr="005A40E0">
        <w:rPr>
          <w:i/>
          <w:color w:val="000000"/>
        </w:rPr>
        <w:t xml:space="preserve"> v. Contributory Ret. Appeals Bd.,</w:t>
      </w:r>
      <w:r w:rsidR="009943E4" w:rsidRPr="005A40E0">
        <w:rPr>
          <w:color w:val="000000"/>
        </w:rPr>
        <w:t xml:space="preserve"> No. CIV. A. 00-2416, 2001 WL 499376, at *3 (Mass. Super. May 4, 2001)</w:t>
      </w:r>
      <w:r w:rsidR="009943E4" w:rsidRPr="005A40E0">
        <w:t>.</w:t>
      </w:r>
      <w:r w:rsidR="009943E4">
        <w:t xml:space="preserve"> </w:t>
      </w:r>
      <w:r w:rsidR="00893880">
        <w:t xml:space="preserve">CRAB </w:t>
      </w:r>
      <w:r w:rsidR="009303B7">
        <w:t xml:space="preserve">affirmed DALA’s decision </w:t>
      </w:r>
      <w:r w:rsidR="00893880">
        <w:t>den</w:t>
      </w:r>
      <w:r w:rsidR="009303B7">
        <w:t>ying</w:t>
      </w:r>
      <w:r w:rsidR="00893880">
        <w:t xml:space="preserve"> her purchase, but on appeal the court </w:t>
      </w:r>
      <w:r w:rsidR="009303B7">
        <w:t xml:space="preserve">found </w:t>
      </w:r>
      <w:r w:rsidR="00252B8C">
        <w:t xml:space="preserve">that CRAB’s interpretation of </w:t>
      </w:r>
      <w:r w:rsidR="00D90294">
        <w:t xml:space="preserve">c. 32, </w:t>
      </w:r>
      <w:r>
        <w:t>§</w:t>
      </w:r>
      <w:r w:rsidR="00D77275">
        <w:t xml:space="preserve"> </w:t>
      </w:r>
      <w:r>
        <w:t xml:space="preserve">1 </w:t>
      </w:r>
      <w:r w:rsidR="00252B8C">
        <w:t>was incorrect</w:t>
      </w:r>
      <w:r w:rsidR="009943E4">
        <w:t>. CRAB’s</w:t>
      </w:r>
      <w:r w:rsidR="00A046EB">
        <w:t xml:space="preserve"> interpretation of “not less than half time service” </w:t>
      </w:r>
      <w:r w:rsidR="009943E4">
        <w:t>focus</w:t>
      </w:r>
      <w:r w:rsidR="009303B7">
        <w:t>ed</w:t>
      </w:r>
      <w:r w:rsidR="007D6420">
        <w:t xml:space="preserve"> on whether an </w:t>
      </w:r>
      <w:r w:rsidR="00A046EB">
        <w:t xml:space="preserve">employee was hired for “part-time” or “full-time” work. </w:t>
      </w:r>
      <w:r w:rsidR="009943E4">
        <w:lastRenderedPageBreak/>
        <w:t>This</w:t>
      </w:r>
      <w:r w:rsidR="009303B7">
        <w:t xml:space="preserve"> view</w:t>
      </w:r>
      <w:r w:rsidR="009943E4">
        <w:t xml:space="preserve">, the court concluded, could lead to inconsistent results with </w:t>
      </w:r>
      <w:r w:rsidR="005D5210">
        <w:t xml:space="preserve">part-time </w:t>
      </w:r>
      <w:r w:rsidR="009943E4">
        <w:t xml:space="preserve">employees </w:t>
      </w:r>
      <w:r w:rsidR="005D5210">
        <w:t>becoming ineligible</w:t>
      </w:r>
      <w:r w:rsidR="0057305E">
        <w:t xml:space="preserve"> to purchase creditable service</w:t>
      </w:r>
      <w:r w:rsidR="005D5210">
        <w:t xml:space="preserve">, even though they may </w:t>
      </w:r>
      <w:r w:rsidR="009303B7">
        <w:t xml:space="preserve">have </w:t>
      </w:r>
      <w:r w:rsidR="005D5210">
        <w:t>work</w:t>
      </w:r>
      <w:r w:rsidR="009303B7">
        <w:t>ed</w:t>
      </w:r>
      <w:r w:rsidR="005D5210">
        <w:t xml:space="preserve"> more hours than </w:t>
      </w:r>
      <w:r w:rsidR="00A6526E">
        <w:t>an employee w</w:t>
      </w:r>
      <w:r w:rsidR="009943E4">
        <w:t xml:space="preserve">ho is </w:t>
      </w:r>
      <w:r w:rsidR="009303B7">
        <w:t xml:space="preserve">hired to work </w:t>
      </w:r>
      <w:r w:rsidR="009943E4">
        <w:t>“full-time.” Instead, the court stated that the statut</w:t>
      </w:r>
      <w:r w:rsidR="009303B7">
        <w:t>ory language</w:t>
      </w:r>
      <w:r w:rsidR="009943E4">
        <w:t xml:space="preserve"> should be given its plain meaning. Even though </w:t>
      </w:r>
      <w:r w:rsidR="00A046EB">
        <w:t xml:space="preserve">Ms. </w:t>
      </w:r>
      <w:proofErr w:type="spellStart"/>
      <w:r w:rsidR="00A046EB">
        <w:t>Squeglia</w:t>
      </w:r>
      <w:proofErr w:type="spellEnd"/>
      <w:r w:rsidR="00A046EB">
        <w:t xml:space="preserve"> worked part-time, she worked</w:t>
      </w:r>
      <w:r w:rsidR="00E44E28">
        <w:t xml:space="preserve"> 73%, 68%, and 61% of a full-time school </w:t>
      </w:r>
      <w:r w:rsidR="00D90294">
        <w:t xml:space="preserve">year </w:t>
      </w:r>
      <w:r w:rsidR="00E44E28">
        <w:t>schedule</w:t>
      </w:r>
      <w:r w:rsidR="00A046EB">
        <w:t xml:space="preserve"> for three </w:t>
      </w:r>
      <w:r w:rsidR="009943E4">
        <w:t>consecutive years. This</w:t>
      </w:r>
      <w:r w:rsidR="00A046EB">
        <w:t xml:space="preserve"> led the court to state</w:t>
      </w:r>
      <w:r w:rsidR="00E44E28">
        <w:t>, “[</w:t>
      </w:r>
      <w:proofErr w:type="spellStart"/>
      <w:r w:rsidR="00E44E28">
        <w:t>i</w:t>
      </w:r>
      <w:proofErr w:type="spellEnd"/>
      <w:r w:rsidR="00E44E28">
        <w:t xml:space="preserve">]t is undisputed that Ms. </w:t>
      </w:r>
      <w:proofErr w:type="spellStart"/>
      <w:r w:rsidR="00E44E28">
        <w:t>Squeglia</w:t>
      </w:r>
      <w:proofErr w:type="spellEnd"/>
      <w:r w:rsidR="00E44E28">
        <w:t xml:space="preserve"> worked in excess of half-time thus satisfying the statutory definition of ‘teacher</w:t>
      </w:r>
      <w:r w:rsidR="00D90294">
        <w:t>.</w:t>
      </w:r>
      <w:r w:rsidR="00E44E28">
        <w:t xml:space="preserve">’” </w:t>
      </w:r>
      <w:r w:rsidR="005A40E0">
        <w:rPr>
          <w:i/>
        </w:rPr>
        <w:t>Id</w:t>
      </w:r>
      <w:r w:rsidR="0014535F">
        <w:rPr>
          <w:i/>
        </w:rPr>
        <w:t>.</w:t>
      </w:r>
      <w:r w:rsidR="005A40E0">
        <w:t xml:space="preserve"> at 4</w:t>
      </w:r>
      <w:r w:rsidR="009303B7">
        <w:t xml:space="preserve">. </w:t>
      </w:r>
      <w:r w:rsidR="009303B7" w:rsidRPr="009303B7">
        <w:rPr>
          <w:i/>
        </w:rPr>
        <w:t>Compare</w:t>
      </w:r>
      <w:r w:rsidR="00563711">
        <w:t xml:space="preserve"> </w:t>
      </w:r>
      <w:proofErr w:type="spellStart"/>
      <w:r w:rsidR="0014535F">
        <w:rPr>
          <w:i/>
          <w:color w:val="000000"/>
        </w:rPr>
        <w:t>Magiera</w:t>
      </w:r>
      <w:proofErr w:type="spellEnd"/>
      <w:r w:rsidR="0014535F" w:rsidRPr="002D5BBC">
        <w:rPr>
          <w:i/>
          <w:color w:val="000000"/>
        </w:rPr>
        <w:t xml:space="preserve"> v. M</w:t>
      </w:r>
      <w:r w:rsidR="009303B7">
        <w:rPr>
          <w:i/>
          <w:color w:val="000000"/>
        </w:rPr>
        <w:t xml:space="preserve">assachusetts </w:t>
      </w:r>
      <w:r w:rsidR="0014535F" w:rsidRPr="002D5BBC">
        <w:rPr>
          <w:i/>
          <w:color w:val="000000"/>
        </w:rPr>
        <w:t>T</w:t>
      </w:r>
      <w:r w:rsidR="009303B7">
        <w:rPr>
          <w:i/>
          <w:color w:val="000000"/>
        </w:rPr>
        <w:t xml:space="preserve">eachers’ </w:t>
      </w:r>
      <w:r w:rsidR="0014535F" w:rsidRPr="002D5BBC">
        <w:rPr>
          <w:i/>
          <w:color w:val="000000"/>
        </w:rPr>
        <w:t>R</w:t>
      </w:r>
      <w:r w:rsidR="009303B7">
        <w:rPr>
          <w:i/>
          <w:color w:val="000000"/>
        </w:rPr>
        <w:t xml:space="preserve">et. </w:t>
      </w:r>
      <w:r w:rsidR="0014535F" w:rsidRPr="002D5BBC">
        <w:rPr>
          <w:i/>
          <w:color w:val="000000"/>
        </w:rPr>
        <w:t>S</w:t>
      </w:r>
      <w:r w:rsidR="009303B7">
        <w:rPr>
          <w:i/>
          <w:color w:val="000000"/>
        </w:rPr>
        <w:t>ys.</w:t>
      </w:r>
      <w:r w:rsidR="0014535F" w:rsidRPr="0014535F">
        <w:rPr>
          <w:color w:val="000000"/>
        </w:rPr>
        <w:t xml:space="preserve">, </w:t>
      </w:r>
      <w:r w:rsidR="0014535F">
        <w:rPr>
          <w:color w:val="000000"/>
        </w:rPr>
        <w:t>CR-07-443</w:t>
      </w:r>
      <w:r w:rsidR="009303B7">
        <w:rPr>
          <w:color w:val="000000"/>
        </w:rPr>
        <w:t>,</w:t>
      </w:r>
      <w:r w:rsidR="0014535F">
        <w:rPr>
          <w:color w:val="000000"/>
        </w:rPr>
        <w:t xml:space="preserve"> Decision </w:t>
      </w:r>
      <w:r w:rsidR="000C070D">
        <w:rPr>
          <w:color w:val="000000"/>
        </w:rPr>
        <w:t>(</w:t>
      </w:r>
      <w:r w:rsidR="0014535F">
        <w:rPr>
          <w:color w:val="000000"/>
        </w:rPr>
        <w:t>Div. Admin. Law Appeals</w:t>
      </w:r>
      <w:r w:rsidR="000C070D">
        <w:rPr>
          <w:color w:val="000000"/>
        </w:rPr>
        <w:t>,</w:t>
      </w:r>
      <w:r w:rsidR="0014535F">
        <w:rPr>
          <w:color w:val="000000"/>
        </w:rPr>
        <w:t xml:space="preserve"> April 8, 2011) (holding that the </w:t>
      </w:r>
      <w:r w:rsidR="00916D08">
        <w:rPr>
          <w:color w:val="000000"/>
        </w:rPr>
        <w:t xml:space="preserve">Petitioner did not work </w:t>
      </w:r>
      <w:r w:rsidR="00CD24C5">
        <w:rPr>
          <w:color w:val="000000"/>
        </w:rPr>
        <w:t xml:space="preserve">on </w:t>
      </w:r>
      <w:r w:rsidR="00916D08">
        <w:rPr>
          <w:color w:val="000000"/>
        </w:rPr>
        <w:t xml:space="preserve">at least a half-time basis because he worked only 33% of a </w:t>
      </w:r>
      <w:r w:rsidR="008D1FC9">
        <w:rPr>
          <w:color w:val="000000"/>
        </w:rPr>
        <w:t>full-time</w:t>
      </w:r>
      <w:r w:rsidR="00916D08">
        <w:rPr>
          <w:color w:val="000000"/>
        </w:rPr>
        <w:t xml:space="preserve"> employee’s hours)</w:t>
      </w:r>
      <w:r w:rsidR="008D1FC9">
        <w:rPr>
          <w:color w:val="000000"/>
        </w:rPr>
        <w:t xml:space="preserve"> </w:t>
      </w:r>
      <w:r w:rsidR="008D1FC9" w:rsidRPr="008D1FC9">
        <w:rPr>
          <w:i/>
          <w:color w:val="000000"/>
        </w:rPr>
        <w:t>and</w:t>
      </w:r>
      <w:r w:rsidR="008D1FC9">
        <w:rPr>
          <w:color w:val="000000"/>
        </w:rPr>
        <w:t xml:space="preserve"> </w:t>
      </w:r>
      <w:r w:rsidR="008D1FC9">
        <w:rPr>
          <w:i/>
          <w:color w:val="000000"/>
        </w:rPr>
        <w:t>Neal</w:t>
      </w:r>
      <w:r w:rsidR="008D1FC9" w:rsidRPr="002D5BBC">
        <w:rPr>
          <w:i/>
          <w:color w:val="000000"/>
        </w:rPr>
        <w:t xml:space="preserve"> v.</w:t>
      </w:r>
      <w:r w:rsidR="000C070D" w:rsidRPr="000C070D">
        <w:rPr>
          <w:i/>
          <w:color w:val="000000"/>
        </w:rPr>
        <w:t xml:space="preserve"> </w:t>
      </w:r>
      <w:r w:rsidR="000C070D" w:rsidRPr="002D5BBC">
        <w:rPr>
          <w:i/>
          <w:color w:val="000000"/>
        </w:rPr>
        <w:t>M</w:t>
      </w:r>
      <w:r w:rsidR="000C070D">
        <w:rPr>
          <w:i/>
          <w:color w:val="000000"/>
        </w:rPr>
        <w:t xml:space="preserve">assachusetts </w:t>
      </w:r>
      <w:r w:rsidR="000C070D" w:rsidRPr="002D5BBC">
        <w:rPr>
          <w:i/>
          <w:color w:val="000000"/>
        </w:rPr>
        <w:t>T</w:t>
      </w:r>
      <w:r w:rsidR="000C070D">
        <w:rPr>
          <w:i/>
          <w:color w:val="000000"/>
        </w:rPr>
        <w:t xml:space="preserve">eachers’ </w:t>
      </w:r>
      <w:r w:rsidR="000C070D" w:rsidRPr="002D5BBC">
        <w:rPr>
          <w:i/>
          <w:color w:val="000000"/>
        </w:rPr>
        <w:t>R</w:t>
      </w:r>
      <w:r w:rsidR="000C070D">
        <w:rPr>
          <w:i/>
          <w:color w:val="000000"/>
        </w:rPr>
        <w:t xml:space="preserve">et. </w:t>
      </w:r>
      <w:r w:rsidR="000C070D" w:rsidRPr="002D5BBC">
        <w:rPr>
          <w:i/>
          <w:color w:val="000000"/>
        </w:rPr>
        <w:t>S</w:t>
      </w:r>
      <w:r w:rsidR="000C070D">
        <w:rPr>
          <w:i/>
          <w:color w:val="000000"/>
        </w:rPr>
        <w:t>ys.</w:t>
      </w:r>
      <w:r w:rsidR="008D1FC9" w:rsidRPr="0014535F">
        <w:rPr>
          <w:color w:val="000000"/>
        </w:rPr>
        <w:t xml:space="preserve">, </w:t>
      </w:r>
      <w:r w:rsidR="008D1FC9">
        <w:rPr>
          <w:color w:val="000000"/>
        </w:rPr>
        <w:t>CR-01-602</w:t>
      </w:r>
      <w:r w:rsidR="000C070D">
        <w:rPr>
          <w:color w:val="000000"/>
        </w:rPr>
        <w:t>,</w:t>
      </w:r>
      <w:r w:rsidR="008D1FC9">
        <w:rPr>
          <w:color w:val="000000"/>
        </w:rPr>
        <w:t xml:space="preserve"> Decision </w:t>
      </w:r>
      <w:r w:rsidR="000C070D">
        <w:rPr>
          <w:color w:val="000000"/>
        </w:rPr>
        <w:t>(</w:t>
      </w:r>
      <w:r w:rsidR="008D1FC9">
        <w:rPr>
          <w:color w:val="000000"/>
        </w:rPr>
        <w:t>Div. Admin. Law Appeals</w:t>
      </w:r>
      <w:r w:rsidR="000C070D">
        <w:rPr>
          <w:color w:val="000000"/>
        </w:rPr>
        <w:t>,</w:t>
      </w:r>
      <w:r w:rsidR="008D1FC9">
        <w:rPr>
          <w:color w:val="000000"/>
        </w:rPr>
        <w:t xml:space="preserve"> Jan. 6, 2005) (the Petitioner did not work </w:t>
      </w:r>
      <w:r w:rsidR="000C070D">
        <w:rPr>
          <w:color w:val="000000"/>
        </w:rPr>
        <w:t xml:space="preserve">on </w:t>
      </w:r>
      <w:r w:rsidR="008D1FC9">
        <w:rPr>
          <w:color w:val="000000"/>
        </w:rPr>
        <w:t xml:space="preserve">at least a half-time basis because </w:t>
      </w:r>
      <w:r w:rsidR="00CD24C5">
        <w:rPr>
          <w:color w:val="000000"/>
        </w:rPr>
        <w:t>s</w:t>
      </w:r>
      <w:r w:rsidR="008D1FC9">
        <w:rPr>
          <w:color w:val="000000"/>
        </w:rPr>
        <w:t xml:space="preserve">he </w:t>
      </w:r>
      <w:r w:rsidR="00CD24C5">
        <w:rPr>
          <w:color w:val="000000"/>
        </w:rPr>
        <w:t xml:space="preserve">was paid for </w:t>
      </w:r>
      <w:r w:rsidR="008D1FC9">
        <w:rPr>
          <w:color w:val="000000"/>
        </w:rPr>
        <w:t xml:space="preserve">.08 </w:t>
      </w:r>
      <w:r w:rsidR="00CD24C5">
        <w:rPr>
          <w:color w:val="000000"/>
        </w:rPr>
        <w:t xml:space="preserve">in 1976 </w:t>
      </w:r>
      <w:r w:rsidR="008D1FC9">
        <w:rPr>
          <w:color w:val="000000"/>
        </w:rPr>
        <w:t xml:space="preserve">and .25 </w:t>
      </w:r>
      <w:r w:rsidR="00CD24C5">
        <w:rPr>
          <w:color w:val="000000"/>
        </w:rPr>
        <w:t xml:space="preserve">in 1989 </w:t>
      </w:r>
      <w:r w:rsidR="008D1FC9">
        <w:rPr>
          <w:color w:val="000000"/>
        </w:rPr>
        <w:t xml:space="preserve">of </w:t>
      </w:r>
      <w:r w:rsidR="0057305E">
        <w:rPr>
          <w:color w:val="000000"/>
        </w:rPr>
        <w:t xml:space="preserve">a </w:t>
      </w:r>
      <w:r w:rsidR="008D1FC9">
        <w:rPr>
          <w:color w:val="000000"/>
        </w:rPr>
        <w:t xml:space="preserve">full-time </w:t>
      </w:r>
      <w:r w:rsidR="0057305E">
        <w:rPr>
          <w:color w:val="000000"/>
        </w:rPr>
        <w:t xml:space="preserve">employee’s </w:t>
      </w:r>
      <w:r w:rsidR="00CD24C5">
        <w:rPr>
          <w:color w:val="000000"/>
        </w:rPr>
        <w:t>salary</w:t>
      </w:r>
      <w:r w:rsidR="008D1FC9">
        <w:rPr>
          <w:color w:val="000000"/>
        </w:rPr>
        <w:t xml:space="preserve">). </w:t>
      </w:r>
    </w:p>
    <w:p w:rsidR="00236037" w:rsidRDefault="000715AB" w:rsidP="002D5BBC">
      <w:pPr>
        <w:spacing w:line="480" w:lineRule="auto"/>
        <w:ind w:firstLine="720"/>
        <w:rPr>
          <w:color w:val="000000"/>
        </w:rPr>
      </w:pPr>
      <w:r>
        <w:t xml:space="preserve">A similar result was reached in </w:t>
      </w:r>
      <w:r w:rsidR="00EF30A6" w:rsidRPr="002D5BBC">
        <w:rPr>
          <w:i/>
        </w:rPr>
        <w:t>McDonald</w:t>
      </w:r>
      <w:r w:rsidRPr="005A40E0">
        <w:t xml:space="preserve">. </w:t>
      </w:r>
      <w:r>
        <w:t>There, the Petitioner was denied t</w:t>
      </w:r>
      <w:r w:rsidR="00EF30A6">
        <w:t xml:space="preserve">he purchase of out-of-state service because it was “in a non-day school and for less than half-time service.” </w:t>
      </w:r>
      <w:r w:rsidR="00EF30A6" w:rsidRPr="002D5BBC">
        <w:rPr>
          <w:i/>
          <w:color w:val="000000"/>
        </w:rPr>
        <w:t xml:space="preserve">McDonald v. </w:t>
      </w:r>
      <w:r w:rsidR="000C070D" w:rsidRPr="002D5BBC">
        <w:rPr>
          <w:i/>
          <w:color w:val="000000"/>
        </w:rPr>
        <w:t>M</w:t>
      </w:r>
      <w:r w:rsidR="000C070D">
        <w:rPr>
          <w:i/>
          <w:color w:val="000000"/>
        </w:rPr>
        <w:t xml:space="preserve">assachusetts </w:t>
      </w:r>
      <w:r w:rsidR="000C070D" w:rsidRPr="002D5BBC">
        <w:rPr>
          <w:i/>
          <w:color w:val="000000"/>
        </w:rPr>
        <w:t>T</w:t>
      </w:r>
      <w:r w:rsidR="000C070D">
        <w:rPr>
          <w:i/>
          <w:color w:val="000000"/>
        </w:rPr>
        <w:t xml:space="preserve">eachers’ </w:t>
      </w:r>
      <w:r w:rsidR="000C070D" w:rsidRPr="002D5BBC">
        <w:rPr>
          <w:i/>
          <w:color w:val="000000"/>
        </w:rPr>
        <w:t>R</w:t>
      </w:r>
      <w:r w:rsidR="000C070D">
        <w:rPr>
          <w:i/>
          <w:color w:val="000000"/>
        </w:rPr>
        <w:t xml:space="preserve">et. </w:t>
      </w:r>
      <w:r w:rsidR="000C070D" w:rsidRPr="002D5BBC">
        <w:rPr>
          <w:i/>
          <w:color w:val="000000"/>
        </w:rPr>
        <w:t>S</w:t>
      </w:r>
      <w:r w:rsidR="000C070D">
        <w:rPr>
          <w:i/>
          <w:color w:val="000000"/>
        </w:rPr>
        <w:t>ys.</w:t>
      </w:r>
      <w:r w:rsidR="00EF30A6" w:rsidRPr="002D5BBC">
        <w:rPr>
          <w:i/>
          <w:color w:val="000000"/>
        </w:rPr>
        <w:t>,</w:t>
      </w:r>
      <w:r w:rsidR="00EF30A6">
        <w:rPr>
          <w:color w:val="000000"/>
        </w:rPr>
        <w:t xml:space="preserve"> CR-08-249</w:t>
      </w:r>
      <w:r w:rsidR="000C070D">
        <w:rPr>
          <w:color w:val="000000"/>
        </w:rPr>
        <w:t>, Decision (Div. Admin. Law Appeals,</w:t>
      </w:r>
      <w:r w:rsidR="00EF30A6">
        <w:rPr>
          <w:color w:val="000000"/>
        </w:rPr>
        <w:t xml:space="preserve"> </w:t>
      </w:r>
      <w:r w:rsidR="000C070D">
        <w:rPr>
          <w:color w:val="000000"/>
        </w:rPr>
        <w:t xml:space="preserve">Jul. 19, </w:t>
      </w:r>
      <w:r w:rsidR="00EF30A6">
        <w:rPr>
          <w:color w:val="000000"/>
        </w:rPr>
        <w:t xml:space="preserve">2013). The Petitioner </w:t>
      </w:r>
      <w:r>
        <w:rPr>
          <w:color w:val="000000"/>
        </w:rPr>
        <w:t>worked in a public-school district where full</w:t>
      </w:r>
      <w:r w:rsidR="00D77275">
        <w:rPr>
          <w:color w:val="000000"/>
        </w:rPr>
        <w:t>-</w:t>
      </w:r>
      <w:r>
        <w:rPr>
          <w:color w:val="000000"/>
        </w:rPr>
        <w:t xml:space="preserve">time service was determined by the number of hours worked, as opposed to the </w:t>
      </w:r>
      <w:r w:rsidR="00803AC5">
        <w:rPr>
          <w:color w:val="000000"/>
        </w:rPr>
        <w:t>number</w:t>
      </w:r>
      <w:r>
        <w:rPr>
          <w:color w:val="000000"/>
        </w:rPr>
        <w:t xml:space="preserve"> of days</w:t>
      </w:r>
      <w:r w:rsidR="00803AC5">
        <w:rPr>
          <w:color w:val="000000"/>
        </w:rPr>
        <w:t xml:space="preserve"> worked</w:t>
      </w:r>
      <w:r>
        <w:rPr>
          <w:color w:val="000000"/>
        </w:rPr>
        <w:t xml:space="preserve">. </w:t>
      </w:r>
      <w:r w:rsidR="00EF30A6">
        <w:rPr>
          <w:color w:val="000000"/>
        </w:rPr>
        <w:t>A full work week w</w:t>
      </w:r>
      <w:r w:rsidR="00274AAE">
        <w:rPr>
          <w:color w:val="000000"/>
        </w:rPr>
        <w:t>as</w:t>
      </w:r>
      <w:r w:rsidR="00EF30A6">
        <w:rPr>
          <w:color w:val="000000"/>
        </w:rPr>
        <w:t xml:space="preserve"> thirty-three and three-quarter hours per week. To be considered a half-time employee, </w:t>
      </w:r>
      <w:r w:rsidR="00803AC5">
        <w:rPr>
          <w:color w:val="000000"/>
        </w:rPr>
        <w:t>Ms. McDonald</w:t>
      </w:r>
      <w:r w:rsidR="00EF30A6">
        <w:rPr>
          <w:color w:val="000000"/>
        </w:rPr>
        <w:t xml:space="preserve"> would need to work </w:t>
      </w:r>
      <w:r w:rsidR="000C070D">
        <w:rPr>
          <w:color w:val="000000"/>
        </w:rPr>
        <w:t xml:space="preserve">at least </w:t>
      </w:r>
      <w:r w:rsidR="00EF30A6">
        <w:rPr>
          <w:color w:val="000000"/>
        </w:rPr>
        <w:t>sixteen hours and twenty-two minutes per week</w:t>
      </w:r>
      <w:r>
        <w:rPr>
          <w:color w:val="000000"/>
        </w:rPr>
        <w:t xml:space="preserve">. </w:t>
      </w:r>
      <w:r w:rsidR="00803AC5">
        <w:rPr>
          <w:color w:val="000000"/>
        </w:rPr>
        <w:t>Ms. McDonald</w:t>
      </w:r>
      <w:r w:rsidR="00636F1D">
        <w:rPr>
          <w:color w:val="000000"/>
        </w:rPr>
        <w:t xml:space="preserve"> </w:t>
      </w:r>
      <w:r w:rsidR="000C070D">
        <w:rPr>
          <w:color w:val="000000"/>
        </w:rPr>
        <w:t xml:space="preserve">did not </w:t>
      </w:r>
      <w:r w:rsidR="00636F1D">
        <w:rPr>
          <w:color w:val="000000"/>
        </w:rPr>
        <w:t>meet this minimum time requirement</w:t>
      </w:r>
      <w:r w:rsidR="00803AC5">
        <w:rPr>
          <w:color w:val="000000"/>
        </w:rPr>
        <w:t>, which</w:t>
      </w:r>
      <w:r w:rsidR="00636F1D">
        <w:rPr>
          <w:color w:val="000000"/>
        </w:rPr>
        <w:t xml:space="preserve"> was one of the </w:t>
      </w:r>
      <w:r w:rsidR="00B658AB">
        <w:rPr>
          <w:color w:val="000000"/>
        </w:rPr>
        <w:t>grounds</w:t>
      </w:r>
      <w:r w:rsidR="00636F1D">
        <w:rPr>
          <w:color w:val="000000"/>
        </w:rPr>
        <w:t xml:space="preserve"> </w:t>
      </w:r>
      <w:r w:rsidR="00B658AB">
        <w:rPr>
          <w:color w:val="000000"/>
        </w:rPr>
        <w:t xml:space="preserve">for </w:t>
      </w:r>
      <w:r w:rsidR="00636F1D">
        <w:rPr>
          <w:color w:val="000000"/>
        </w:rPr>
        <w:t>den</w:t>
      </w:r>
      <w:r w:rsidR="00B658AB">
        <w:rPr>
          <w:color w:val="000000"/>
        </w:rPr>
        <w:t>ying</w:t>
      </w:r>
      <w:r w:rsidR="00636F1D">
        <w:rPr>
          <w:color w:val="000000"/>
        </w:rPr>
        <w:t xml:space="preserve"> </w:t>
      </w:r>
      <w:r w:rsidR="00B658AB">
        <w:rPr>
          <w:color w:val="000000"/>
        </w:rPr>
        <w:t xml:space="preserve">her </w:t>
      </w:r>
      <w:r w:rsidR="00636F1D">
        <w:rPr>
          <w:color w:val="000000"/>
        </w:rPr>
        <w:t xml:space="preserve">purchase of creditable service. </w:t>
      </w:r>
      <w:r w:rsidR="000C070D">
        <w:rPr>
          <w:color w:val="000000"/>
        </w:rPr>
        <w:t>N</w:t>
      </w:r>
      <w:r w:rsidR="00636F1D">
        <w:rPr>
          <w:color w:val="000000"/>
        </w:rPr>
        <w:t xml:space="preserve">o </w:t>
      </w:r>
      <w:r w:rsidR="000C070D">
        <w:rPr>
          <w:color w:val="000000"/>
        </w:rPr>
        <w:t xml:space="preserve">meaningful </w:t>
      </w:r>
      <w:r w:rsidR="00636F1D">
        <w:rPr>
          <w:color w:val="000000"/>
        </w:rPr>
        <w:t xml:space="preserve">difference </w:t>
      </w:r>
      <w:r w:rsidR="000C070D">
        <w:rPr>
          <w:color w:val="000000"/>
        </w:rPr>
        <w:t xml:space="preserve">exists </w:t>
      </w:r>
      <w:r w:rsidR="00636F1D">
        <w:rPr>
          <w:color w:val="000000"/>
        </w:rPr>
        <w:t xml:space="preserve">between </w:t>
      </w:r>
      <w:r w:rsidR="000C070D">
        <w:rPr>
          <w:color w:val="000000"/>
        </w:rPr>
        <w:t>th</w:t>
      </w:r>
      <w:r w:rsidR="00274AAE">
        <w:rPr>
          <w:color w:val="000000"/>
        </w:rPr>
        <w:t xml:space="preserve">e analysis of the meaning of half-time service in </w:t>
      </w:r>
      <w:r w:rsidR="00636F1D" w:rsidRPr="002D5BBC">
        <w:rPr>
          <w:i/>
          <w:color w:val="000000"/>
        </w:rPr>
        <w:t xml:space="preserve">McDonald </w:t>
      </w:r>
      <w:r w:rsidR="00636F1D">
        <w:rPr>
          <w:color w:val="000000"/>
        </w:rPr>
        <w:t xml:space="preserve">and the circumstances </w:t>
      </w:r>
      <w:r w:rsidR="00803AC5">
        <w:rPr>
          <w:color w:val="000000"/>
        </w:rPr>
        <w:t>here</w:t>
      </w:r>
      <w:r w:rsidR="00274AAE">
        <w:rPr>
          <w:color w:val="000000"/>
        </w:rPr>
        <w:t>.</w:t>
      </w:r>
      <w:r w:rsidR="00636F1D">
        <w:rPr>
          <w:color w:val="000000"/>
        </w:rPr>
        <w:t xml:space="preserve">  </w:t>
      </w:r>
    </w:p>
    <w:p w:rsidR="004002C6" w:rsidRPr="000715AB" w:rsidRDefault="004002C6" w:rsidP="000C182B">
      <w:pPr>
        <w:spacing w:line="480" w:lineRule="auto"/>
        <w:ind w:firstLine="720"/>
        <w:rPr>
          <w:color w:val="000000"/>
        </w:rPr>
      </w:pPr>
      <w:r>
        <w:rPr>
          <w:color w:val="000000"/>
        </w:rPr>
        <w:lastRenderedPageBreak/>
        <w:t xml:space="preserve">While </w:t>
      </w:r>
      <w:proofErr w:type="spellStart"/>
      <w:r w:rsidRPr="00563711">
        <w:rPr>
          <w:i/>
          <w:color w:val="000000"/>
        </w:rPr>
        <w:t>Squeglia</w:t>
      </w:r>
      <w:proofErr w:type="spellEnd"/>
      <w:r>
        <w:rPr>
          <w:color w:val="000000"/>
        </w:rPr>
        <w:t xml:space="preserve"> and </w:t>
      </w:r>
      <w:r w:rsidRPr="00563711">
        <w:rPr>
          <w:i/>
          <w:color w:val="000000"/>
        </w:rPr>
        <w:t>McDonald</w:t>
      </w:r>
      <w:r>
        <w:rPr>
          <w:color w:val="000000"/>
        </w:rPr>
        <w:t xml:space="preserve"> used different </w:t>
      </w:r>
      <w:r w:rsidR="000C182B">
        <w:rPr>
          <w:color w:val="000000"/>
        </w:rPr>
        <w:t xml:space="preserve">expressions of values </w:t>
      </w:r>
      <w:r w:rsidR="0057305E">
        <w:rPr>
          <w:color w:val="000000"/>
        </w:rPr>
        <w:t xml:space="preserve">to measure “not less than half time service,” </w:t>
      </w:r>
      <w:proofErr w:type="spellStart"/>
      <w:r w:rsidR="000C182B" w:rsidRPr="000C182B">
        <w:rPr>
          <w:i/>
          <w:color w:val="000000"/>
        </w:rPr>
        <w:t>Schoman</w:t>
      </w:r>
      <w:proofErr w:type="spellEnd"/>
      <w:r w:rsidR="000C182B">
        <w:rPr>
          <w:i/>
          <w:color w:val="000000"/>
        </w:rPr>
        <w:t xml:space="preserve"> </w:t>
      </w:r>
      <w:r w:rsidR="000C182B">
        <w:rPr>
          <w:color w:val="000000"/>
        </w:rPr>
        <w:t xml:space="preserve">uses the exact system at issue. </w:t>
      </w:r>
      <w:r>
        <w:rPr>
          <w:color w:val="000000"/>
        </w:rPr>
        <w:t xml:space="preserve">In </w:t>
      </w:r>
      <w:proofErr w:type="spellStart"/>
      <w:r w:rsidRPr="00563711">
        <w:rPr>
          <w:i/>
          <w:color w:val="000000"/>
        </w:rPr>
        <w:t>Schoman</w:t>
      </w:r>
      <w:proofErr w:type="spellEnd"/>
      <w:r>
        <w:rPr>
          <w:color w:val="000000"/>
        </w:rPr>
        <w:t xml:space="preserve">, the Petitioner </w:t>
      </w:r>
      <w:r w:rsidR="00563711">
        <w:rPr>
          <w:color w:val="000000"/>
        </w:rPr>
        <w:t xml:space="preserve">was denied the purchase of her creditable service for the time she worked as a home teacher. </w:t>
      </w:r>
      <w:proofErr w:type="spellStart"/>
      <w:r w:rsidR="00563711" w:rsidRPr="004002C6">
        <w:rPr>
          <w:i/>
          <w:color w:val="000000"/>
        </w:rPr>
        <w:t>Schoman</w:t>
      </w:r>
      <w:proofErr w:type="spellEnd"/>
      <w:r w:rsidR="00563711" w:rsidRPr="004002C6">
        <w:rPr>
          <w:i/>
          <w:color w:val="000000"/>
        </w:rPr>
        <w:t xml:space="preserve"> v. </w:t>
      </w:r>
      <w:r w:rsidR="000C070D" w:rsidRPr="002D5BBC">
        <w:rPr>
          <w:i/>
          <w:color w:val="000000"/>
        </w:rPr>
        <w:t>M</w:t>
      </w:r>
      <w:r w:rsidR="000C070D">
        <w:rPr>
          <w:i/>
          <w:color w:val="000000"/>
        </w:rPr>
        <w:t xml:space="preserve">assachusetts </w:t>
      </w:r>
      <w:r w:rsidR="000C070D" w:rsidRPr="002D5BBC">
        <w:rPr>
          <w:i/>
          <w:color w:val="000000"/>
        </w:rPr>
        <w:t>T</w:t>
      </w:r>
      <w:r w:rsidR="000C070D">
        <w:rPr>
          <w:i/>
          <w:color w:val="000000"/>
        </w:rPr>
        <w:t xml:space="preserve">eachers’ </w:t>
      </w:r>
      <w:r w:rsidR="000C070D" w:rsidRPr="002D5BBC">
        <w:rPr>
          <w:i/>
          <w:color w:val="000000"/>
        </w:rPr>
        <w:t>R</w:t>
      </w:r>
      <w:r w:rsidR="000C070D">
        <w:rPr>
          <w:i/>
          <w:color w:val="000000"/>
        </w:rPr>
        <w:t xml:space="preserve">et. </w:t>
      </w:r>
      <w:r w:rsidR="000C070D" w:rsidRPr="002D5BBC">
        <w:rPr>
          <w:i/>
          <w:color w:val="000000"/>
        </w:rPr>
        <w:t>S</w:t>
      </w:r>
      <w:r w:rsidR="000C070D">
        <w:rPr>
          <w:i/>
          <w:color w:val="000000"/>
        </w:rPr>
        <w:t>ys.</w:t>
      </w:r>
      <w:r w:rsidR="00563711">
        <w:rPr>
          <w:color w:val="000000"/>
        </w:rPr>
        <w:t>, CR-05-171</w:t>
      </w:r>
      <w:r w:rsidR="000C070D">
        <w:rPr>
          <w:color w:val="000000"/>
        </w:rPr>
        <w:t>,</w:t>
      </w:r>
      <w:r w:rsidR="00563711">
        <w:rPr>
          <w:color w:val="000000"/>
        </w:rPr>
        <w:t xml:space="preserve"> Decision </w:t>
      </w:r>
      <w:r w:rsidR="000C070D">
        <w:rPr>
          <w:color w:val="000000"/>
        </w:rPr>
        <w:t>(</w:t>
      </w:r>
      <w:r w:rsidR="00563711">
        <w:rPr>
          <w:color w:val="000000"/>
        </w:rPr>
        <w:t>Div. Admin. Law Appeals</w:t>
      </w:r>
      <w:r w:rsidR="000C070D">
        <w:rPr>
          <w:color w:val="000000"/>
        </w:rPr>
        <w:t>,</w:t>
      </w:r>
      <w:r w:rsidR="00563711">
        <w:rPr>
          <w:color w:val="000000"/>
        </w:rPr>
        <w:t xml:space="preserve"> Sept. 29, 2006). The </w:t>
      </w:r>
      <w:r w:rsidR="006D28CC">
        <w:rPr>
          <w:color w:val="000000"/>
        </w:rPr>
        <w:t xml:space="preserve">magistrate </w:t>
      </w:r>
      <w:r w:rsidR="00CD24C5">
        <w:rPr>
          <w:color w:val="000000"/>
        </w:rPr>
        <w:t xml:space="preserve">explained </w:t>
      </w:r>
      <w:r w:rsidR="005C2506">
        <w:rPr>
          <w:color w:val="000000"/>
        </w:rPr>
        <w:t xml:space="preserve">that </w:t>
      </w:r>
      <w:r w:rsidR="00563711">
        <w:rPr>
          <w:color w:val="000000"/>
        </w:rPr>
        <w:t>“[a]n ordinary school year has 180 days. The Petitioner would have had to work a minimum of 90 days in any school year to work half-time. Since the Petitioner did not work more than 58 days in any year, she worked less than half</w:t>
      </w:r>
      <w:r w:rsidR="006D28CC">
        <w:rPr>
          <w:color w:val="000000"/>
        </w:rPr>
        <w:t>-</w:t>
      </w:r>
      <w:r w:rsidR="00563711">
        <w:rPr>
          <w:color w:val="000000"/>
        </w:rPr>
        <w:t>time. She therefore does not meet the definition of teacher in G.L. c. 32, §</w:t>
      </w:r>
      <w:r w:rsidR="00D77275">
        <w:rPr>
          <w:color w:val="000000"/>
        </w:rPr>
        <w:t xml:space="preserve"> </w:t>
      </w:r>
      <w:r w:rsidR="00563711">
        <w:rPr>
          <w:color w:val="000000"/>
        </w:rPr>
        <w:t xml:space="preserve">1.” </w:t>
      </w:r>
    </w:p>
    <w:p w:rsidR="002B48DC" w:rsidRDefault="00414FFC" w:rsidP="00E44E28">
      <w:pPr>
        <w:spacing w:line="480" w:lineRule="auto"/>
        <w:ind w:firstLine="720"/>
        <w:rPr>
          <w:rFonts w:ascii="Arial" w:hAnsi="Arial" w:cs="Arial"/>
          <w:color w:val="000000"/>
        </w:rPr>
      </w:pPr>
      <w:r>
        <w:t xml:space="preserve">Massachusetts </w:t>
      </w:r>
      <w:r w:rsidR="002B48DC">
        <w:t xml:space="preserve">requires </w:t>
      </w:r>
      <w:r w:rsidR="00A430F4">
        <w:t>p</w:t>
      </w:r>
      <w:r>
        <w:t>ublic school</w:t>
      </w:r>
      <w:r w:rsidR="002B48DC">
        <w:t>s</w:t>
      </w:r>
      <w:r>
        <w:t xml:space="preserve"> </w:t>
      </w:r>
      <w:r w:rsidR="002B48DC">
        <w:t xml:space="preserve">to have at least a </w:t>
      </w:r>
      <w:r w:rsidR="00BE4195">
        <w:t>18</w:t>
      </w:r>
      <w:r>
        <w:t>0</w:t>
      </w:r>
      <w:r w:rsidR="00BE4195">
        <w:t>-day school year</w:t>
      </w:r>
      <w:r w:rsidR="004D1433">
        <w:t xml:space="preserve"> schedule</w:t>
      </w:r>
      <w:r w:rsidR="00636F1D">
        <w:t xml:space="preserve">, and </w:t>
      </w:r>
      <w:r w:rsidR="00B77C65">
        <w:t xml:space="preserve">MTRS </w:t>
      </w:r>
      <w:r w:rsidR="002B48DC">
        <w:t xml:space="preserve">reasonably </w:t>
      </w:r>
      <w:r w:rsidR="00B77C65">
        <w:t>interpret</w:t>
      </w:r>
      <w:r w:rsidR="002B48DC">
        <w:t>s</w:t>
      </w:r>
      <w:r w:rsidR="00B77C65">
        <w:t xml:space="preserve"> </w:t>
      </w:r>
      <w:r w:rsidR="00636F1D">
        <w:t xml:space="preserve">“not less than half time service” to mean working </w:t>
      </w:r>
      <w:r w:rsidR="00E90143">
        <w:t>90 days or more</w:t>
      </w:r>
      <w:r w:rsidR="00B77C65">
        <w:t xml:space="preserve">. </w:t>
      </w:r>
      <w:r w:rsidR="00593D50" w:rsidRPr="00930A49">
        <w:t>“</w:t>
      </w:r>
      <w:r w:rsidR="004D742D" w:rsidRPr="00930A49">
        <w:t>[</w:t>
      </w:r>
      <w:r w:rsidR="00593D50" w:rsidRPr="00930A49">
        <w:t>C</w:t>
      </w:r>
      <w:r w:rsidR="004D742D" w:rsidRPr="00930A49">
        <w:t>ourts] are constrained to follow</w:t>
      </w:r>
      <w:r w:rsidR="00BD3BE8">
        <w:t xml:space="preserve"> </w:t>
      </w:r>
      <w:r w:rsidR="004D742D" w:rsidRPr="00930A49">
        <w:t xml:space="preserve">the plain language of a statue when its language is plain and unambiguous, and its application would not lead to an ‘absurd result,’ or contravene the Legislature’s clear intent.” </w:t>
      </w:r>
      <w:proofErr w:type="spellStart"/>
      <w:r w:rsidR="004D742D" w:rsidRPr="008F198A">
        <w:rPr>
          <w:i/>
          <w:color w:val="000000"/>
        </w:rPr>
        <w:t>Comm</w:t>
      </w:r>
      <w:r w:rsidR="00806E6A">
        <w:rPr>
          <w:i/>
          <w:color w:val="000000"/>
        </w:rPr>
        <w:t>’</w:t>
      </w:r>
      <w:r w:rsidR="004D742D" w:rsidRPr="008F198A">
        <w:rPr>
          <w:i/>
          <w:color w:val="000000"/>
        </w:rPr>
        <w:t>r</w:t>
      </w:r>
      <w:proofErr w:type="spellEnd"/>
      <w:r w:rsidR="004D742D" w:rsidRPr="008F198A">
        <w:rPr>
          <w:i/>
          <w:color w:val="000000"/>
        </w:rPr>
        <w:t xml:space="preserve"> of Revenue v. Cargill, Inc.,</w:t>
      </w:r>
      <w:r w:rsidR="004D742D" w:rsidRPr="004D742D">
        <w:rPr>
          <w:color w:val="000000"/>
        </w:rPr>
        <w:t xml:space="preserve"> 429 Mass. 79, 82 (1999)</w:t>
      </w:r>
      <w:r w:rsidR="004D742D" w:rsidRPr="00930A49">
        <w:rPr>
          <w:color w:val="000000"/>
        </w:rPr>
        <w:t xml:space="preserve"> quoting </w:t>
      </w:r>
      <w:r w:rsidR="004D742D" w:rsidRPr="008F198A">
        <w:rPr>
          <w:i/>
          <w:iCs/>
          <w:color w:val="000000"/>
        </w:rPr>
        <w:t>White v. Boston</w:t>
      </w:r>
      <w:r w:rsidR="004D742D" w:rsidRPr="00930A49">
        <w:rPr>
          <w:i/>
          <w:iCs/>
          <w:color w:val="000000"/>
        </w:rPr>
        <w:t>,</w:t>
      </w:r>
      <w:r w:rsidR="004D742D" w:rsidRPr="004D742D">
        <w:rPr>
          <w:color w:val="000000"/>
          <w:shd w:val="clear" w:color="auto" w:fill="FFFFFF"/>
        </w:rPr>
        <w:t> 428 Mass. 250, 253 (1998)</w:t>
      </w:r>
      <w:r w:rsidR="00BD3BE8">
        <w:rPr>
          <w:color w:val="000000"/>
          <w:shd w:val="clear" w:color="auto" w:fill="FFFFFF"/>
        </w:rPr>
        <w:t xml:space="preserve"> (</w:t>
      </w:r>
      <w:r w:rsidR="00806E6A">
        <w:rPr>
          <w:color w:val="000000"/>
          <w:shd w:val="clear" w:color="auto" w:fill="FFFFFF"/>
        </w:rPr>
        <w:t>i</w:t>
      </w:r>
      <w:r w:rsidR="00BD3BE8">
        <w:rPr>
          <w:color w:val="000000"/>
          <w:shd w:val="clear" w:color="auto" w:fill="FFFFFF"/>
        </w:rPr>
        <w:t>nternal citations omitted)</w:t>
      </w:r>
      <w:r w:rsidR="004D742D" w:rsidRPr="004D742D">
        <w:rPr>
          <w:color w:val="000000"/>
          <w:shd w:val="clear" w:color="auto" w:fill="FFFFFF"/>
        </w:rPr>
        <w:t>.</w:t>
      </w:r>
      <w:r w:rsidR="004D742D">
        <w:rPr>
          <w:rFonts w:ascii="Arial" w:hAnsi="Arial" w:cs="Arial"/>
          <w:color w:val="000000"/>
        </w:rPr>
        <w:t xml:space="preserve"> </w:t>
      </w:r>
    </w:p>
    <w:p w:rsidR="006F594A" w:rsidRDefault="000F3135" w:rsidP="00E44E28">
      <w:pPr>
        <w:spacing w:line="480" w:lineRule="auto"/>
        <w:ind w:firstLine="720"/>
      </w:pPr>
      <w:r>
        <w:t xml:space="preserve">Both parties agree that Ms. </w:t>
      </w:r>
      <w:proofErr w:type="spellStart"/>
      <w:r>
        <w:t>Farricker</w:t>
      </w:r>
      <w:proofErr w:type="spellEnd"/>
      <w:r>
        <w:t xml:space="preserve"> worked for 68 days </w:t>
      </w:r>
      <w:r w:rsidR="002B48DC">
        <w:t xml:space="preserve">from </w:t>
      </w:r>
      <w:r>
        <w:t xml:space="preserve">October 14, 1976 to June 21, 1977 and for 81 days </w:t>
      </w:r>
      <w:r w:rsidR="002B48DC">
        <w:t xml:space="preserve">from </w:t>
      </w:r>
      <w:r>
        <w:t>September 27, 1977 to June 16, 1978</w:t>
      </w:r>
      <w:r w:rsidR="00636F1D">
        <w:t xml:space="preserve">, which both fall short of the 90-day threshold. </w:t>
      </w:r>
      <w:r w:rsidR="004D742D">
        <w:t xml:space="preserve">Denying </w:t>
      </w:r>
      <w:r w:rsidR="00593D50">
        <w:t xml:space="preserve">Ms. </w:t>
      </w:r>
      <w:proofErr w:type="spellStart"/>
      <w:r w:rsidR="00593D50">
        <w:t>Farricker’s</w:t>
      </w:r>
      <w:proofErr w:type="spellEnd"/>
      <w:r w:rsidR="00593D50">
        <w:t xml:space="preserve"> purchase of creditable service for her out-of-state employment because she did not work more than 90 days does not “contravene the Legislature’s clear intent</w:t>
      </w:r>
      <w:r w:rsidR="00A430F4">
        <w:t>,</w:t>
      </w:r>
      <w:r w:rsidR="00593D50">
        <w:t>” as the MTRS’</w:t>
      </w:r>
      <w:r w:rsidR="00806E6A">
        <w:t>s</w:t>
      </w:r>
      <w:r w:rsidR="00593D50">
        <w:t xml:space="preserve"> interpretation is consistent with “not less than half time service.” Nor does the MTRS’</w:t>
      </w:r>
      <w:r w:rsidR="00806E6A">
        <w:t>s</w:t>
      </w:r>
      <w:r w:rsidR="00593D50">
        <w:t xml:space="preserve"> interpretation produce an “absurd result</w:t>
      </w:r>
      <w:r w:rsidR="00A430F4">
        <w:t>,</w:t>
      </w:r>
      <w:r w:rsidR="00593D50">
        <w:t xml:space="preserve">” as </w:t>
      </w:r>
      <w:r w:rsidR="00B77C65">
        <w:t xml:space="preserve">Ms. </w:t>
      </w:r>
      <w:proofErr w:type="spellStart"/>
      <w:r w:rsidR="00B77C65">
        <w:t>Farricker</w:t>
      </w:r>
      <w:proofErr w:type="spellEnd"/>
      <w:r w:rsidR="00B77C65">
        <w:t xml:space="preserve"> was able to purchase her service in 1978-1979 when she worked more than 90 days. </w:t>
      </w:r>
    </w:p>
    <w:p w:rsidR="006F594A" w:rsidRDefault="006F594A">
      <w:pPr>
        <w:spacing w:after="200" w:line="276" w:lineRule="auto"/>
      </w:pPr>
      <w:r>
        <w:br w:type="page"/>
      </w:r>
    </w:p>
    <w:p w:rsidR="00BF15E2" w:rsidRDefault="00507ED5" w:rsidP="0012081E">
      <w:pPr>
        <w:spacing w:line="480" w:lineRule="auto"/>
      </w:pPr>
      <w:r>
        <w:lastRenderedPageBreak/>
        <w:tab/>
      </w:r>
      <w:r w:rsidR="00422D9F">
        <w:t xml:space="preserve">For the foregoing reasons, Ms. </w:t>
      </w:r>
      <w:proofErr w:type="spellStart"/>
      <w:r w:rsidR="00422D9F">
        <w:t>Farricker</w:t>
      </w:r>
      <w:proofErr w:type="spellEnd"/>
      <w:r w:rsidR="00422D9F">
        <w:t xml:space="preserve"> is precluded from purchasing her out-of</w:t>
      </w:r>
      <w:r w:rsidR="007969E1">
        <w:t>-</w:t>
      </w:r>
      <w:r w:rsidR="00422D9F">
        <w:t xml:space="preserve">state service in </w:t>
      </w:r>
      <w:r w:rsidR="007969E1">
        <w:t xml:space="preserve">the </w:t>
      </w:r>
      <w:r w:rsidR="00422D9F">
        <w:t>Providence Public School</w:t>
      </w:r>
      <w:r w:rsidR="007969E1">
        <w:t xml:space="preserve"> System</w:t>
      </w:r>
      <w:r w:rsidR="00422D9F">
        <w:t xml:space="preserve"> </w:t>
      </w:r>
      <w:r w:rsidR="002B48DC">
        <w:t xml:space="preserve">from </w:t>
      </w:r>
      <w:r w:rsidR="00422D9F">
        <w:t>October 14, 1976 to June 21, 1977</w:t>
      </w:r>
      <w:r w:rsidR="004D1433">
        <w:t xml:space="preserve"> </w:t>
      </w:r>
      <w:r w:rsidR="007969E1">
        <w:t xml:space="preserve">and </w:t>
      </w:r>
      <w:r w:rsidR="002B48DC">
        <w:t xml:space="preserve">from </w:t>
      </w:r>
      <w:r w:rsidR="00B339A3">
        <w:t>September 27, 1977 to June 16, 1978</w:t>
      </w:r>
      <w:r w:rsidR="00265410">
        <w:t xml:space="preserve"> because </w:t>
      </w:r>
      <w:r w:rsidR="007969E1">
        <w:t>her work was “less than half</w:t>
      </w:r>
      <w:r w:rsidR="004C6DEF">
        <w:t xml:space="preserve"> </w:t>
      </w:r>
      <w:r w:rsidR="007969E1">
        <w:t xml:space="preserve">time service.” </w:t>
      </w:r>
      <w:r w:rsidR="004D1433">
        <w:t xml:space="preserve"> </w:t>
      </w:r>
    </w:p>
    <w:p w:rsidR="006956DB" w:rsidRDefault="006956DB" w:rsidP="0012081E">
      <w:pPr>
        <w:spacing w:line="480" w:lineRule="auto"/>
      </w:pPr>
    </w:p>
    <w:p w:rsidR="00BF15E2" w:rsidRDefault="00BF15E2" w:rsidP="00BF15E2">
      <w:r>
        <w:tab/>
      </w:r>
      <w:r w:rsidR="00A219E6">
        <w:tab/>
      </w:r>
      <w:r>
        <w:tab/>
      </w:r>
      <w:r>
        <w:tab/>
      </w:r>
      <w:r>
        <w:tab/>
        <w:t>DIVISION OF ADMINISTRATIVE LAW APPEALS</w:t>
      </w:r>
    </w:p>
    <w:p w:rsidR="00BF15E2" w:rsidRDefault="00BF15E2" w:rsidP="00BF15E2"/>
    <w:p w:rsidR="00BF15E2" w:rsidRDefault="00BF15E2" w:rsidP="00BF15E2">
      <w:r>
        <w:tab/>
      </w:r>
      <w:r w:rsidR="00A219E6">
        <w:tab/>
      </w:r>
      <w:r>
        <w:tab/>
      </w:r>
      <w:r>
        <w:tab/>
      </w:r>
      <w:r>
        <w:tab/>
        <w:t>____________________________________________</w:t>
      </w:r>
    </w:p>
    <w:p w:rsidR="00BF15E2" w:rsidRDefault="00BF15E2" w:rsidP="00BF15E2">
      <w:r>
        <w:tab/>
      </w:r>
      <w:r>
        <w:tab/>
      </w:r>
      <w:r w:rsidR="00A219E6">
        <w:tab/>
      </w:r>
      <w:r>
        <w:tab/>
      </w:r>
      <w:r>
        <w:tab/>
        <w:t>Bonney Cashin</w:t>
      </w:r>
    </w:p>
    <w:p w:rsidR="00BF15E2" w:rsidRDefault="00BF15E2" w:rsidP="00BF15E2">
      <w:r>
        <w:tab/>
      </w:r>
      <w:r>
        <w:tab/>
      </w:r>
      <w:r>
        <w:tab/>
      </w:r>
      <w:r w:rsidR="00A219E6">
        <w:tab/>
      </w:r>
      <w:r>
        <w:tab/>
        <w:t>Administrative Magistrate</w:t>
      </w:r>
    </w:p>
    <w:p w:rsidR="00BF15E2" w:rsidRDefault="00BF15E2" w:rsidP="00BF15E2"/>
    <w:p w:rsidR="00BF15E2" w:rsidRDefault="00BF15E2" w:rsidP="00BF15E2">
      <w:r>
        <w:t xml:space="preserve">DATED: </w:t>
      </w:r>
      <w:r w:rsidR="002B48DC">
        <w:t>August</w:t>
      </w:r>
      <w:r w:rsidR="00806E6A">
        <w:t xml:space="preserve"> </w:t>
      </w:r>
      <w:r w:rsidR="000A219C">
        <w:t>31</w:t>
      </w:r>
      <w:r w:rsidR="002B48DC">
        <w:t>, 2018</w:t>
      </w:r>
      <w:r>
        <w:t xml:space="preserve"> </w:t>
      </w:r>
    </w:p>
    <w:p w:rsidR="00BF15E2" w:rsidRDefault="00BF15E2" w:rsidP="00BF15E2"/>
    <w:sectPr w:rsidR="00BF15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8A" w:rsidRDefault="00805A8A" w:rsidP="002A46FE">
      <w:r>
        <w:separator/>
      </w:r>
    </w:p>
  </w:endnote>
  <w:endnote w:type="continuationSeparator" w:id="0">
    <w:p w:rsidR="00805A8A" w:rsidRDefault="00805A8A" w:rsidP="002A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95039"/>
      <w:docPartObj>
        <w:docPartGallery w:val="Page Numbers (Bottom of Page)"/>
        <w:docPartUnique/>
      </w:docPartObj>
    </w:sdtPr>
    <w:sdtEndPr>
      <w:rPr>
        <w:noProof/>
      </w:rPr>
    </w:sdtEndPr>
    <w:sdtContent>
      <w:p w:rsidR="000402AD" w:rsidRDefault="000402AD">
        <w:pPr>
          <w:pStyle w:val="Footer"/>
          <w:jc w:val="center"/>
        </w:pPr>
        <w:r>
          <w:fldChar w:fldCharType="begin"/>
        </w:r>
        <w:r>
          <w:instrText xml:space="preserve"> PAGE   \* MERGEFORMAT </w:instrText>
        </w:r>
        <w:r>
          <w:fldChar w:fldCharType="separate"/>
        </w:r>
        <w:r w:rsidR="006760DE">
          <w:rPr>
            <w:noProof/>
          </w:rPr>
          <w:t>1</w:t>
        </w:r>
        <w:r>
          <w:rPr>
            <w:noProof/>
          </w:rPr>
          <w:fldChar w:fldCharType="end"/>
        </w:r>
      </w:p>
    </w:sdtContent>
  </w:sdt>
  <w:p w:rsidR="000402AD" w:rsidRDefault="00040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8A" w:rsidRDefault="00805A8A" w:rsidP="002A46FE">
      <w:r>
        <w:separator/>
      </w:r>
    </w:p>
  </w:footnote>
  <w:footnote w:type="continuationSeparator" w:id="0">
    <w:p w:rsidR="00805A8A" w:rsidRDefault="00805A8A" w:rsidP="002A46FE">
      <w:r>
        <w:continuationSeparator/>
      </w:r>
    </w:p>
  </w:footnote>
  <w:footnote w:id="1">
    <w:p w:rsidR="007E71DA" w:rsidRDefault="007E71DA">
      <w:pPr>
        <w:pStyle w:val="FootnoteText"/>
      </w:pPr>
      <w:r>
        <w:rPr>
          <w:rStyle w:val="FootnoteReference"/>
        </w:rPr>
        <w:footnoteRef/>
      </w:r>
      <w:r>
        <w:t xml:space="preserve"> Redacted copies of Exhibits 1-5, filed on July 5, 2017, have been substituted for the copies originally filed.</w:t>
      </w:r>
    </w:p>
  </w:footnote>
  <w:footnote w:id="2">
    <w:p w:rsidR="008B4D50" w:rsidRDefault="008B4D50">
      <w:pPr>
        <w:pStyle w:val="FootnoteText"/>
      </w:pPr>
      <w:r>
        <w:rPr>
          <w:rStyle w:val="FootnoteReference"/>
        </w:rPr>
        <w:footnoteRef/>
      </w:r>
      <w:r>
        <w:t xml:space="preserve"> </w:t>
      </w:r>
      <w:r>
        <w:tab/>
      </w:r>
      <w:r w:rsidR="00451EB0">
        <w:t>The definition of teacher in c. 32, § 1 refers to “any public school,” which in turn is defined as</w:t>
      </w:r>
      <w:r w:rsidR="00294F1B">
        <w:t xml:space="preserve"> “</w:t>
      </w:r>
      <w:r w:rsidR="00451EB0">
        <w:t>any day school conducted in the commonwealth</w:t>
      </w:r>
      <w:r w:rsidR="00294F1B">
        <w:t>….”</w:t>
      </w:r>
      <w:r w:rsidR="00451EB0">
        <w:t xml:space="preserve"> G.L. c. 32, § 1</w:t>
      </w:r>
      <w:r w:rsidR="00294F1B">
        <w:t xml:space="preserve">. </w:t>
      </w:r>
      <w:r w:rsidRPr="00DF14C0">
        <w:rPr>
          <w:i/>
        </w:rPr>
        <w:t>Mac</w:t>
      </w:r>
      <w:r w:rsidR="00451EB0" w:rsidRPr="00DF14C0">
        <w:rPr>
          <w:i/>
        </w:rPr>
        <w:t>k</w:t>
      </w:r>
      <w:r w:rsidRPr="00DF14C0">
        <w:rPr>
          <w:i/>
        </w:rPr>
        <w:t>ay</w:t>
      </w:r>
      <w:r>
        <w:t xml:space="preserve"> </w:t>
      </w:r>
      <w:r w:rsidR="00294F1B">
        <w:t xml:space="preserve">did not address the implications of applying the definition of “public school” to c. </w:t>
      </w:r>
      <w:r w:rsidR="00DF14C0">
        <w:t>32, § 3(4), which necessarily addresses s</w:t>
      </w:r>
      <w:r w:rsidR="00294F1B">
        <w:t>ervi</w:t>
      </w:r>
      <w:r w:rsidR="00DF14C0">
        <w:t xml:space="preserve">ce outside of the Commonwealth. </w:t>
      </w:r>
      <w:r w:rsidR="00380907">
        <w:rPr>
          <w:i/>
        </w:rPr>
        <w:t>Weston v. Contributory Ret. App. Bd.,</w:t>
      </w:r>
      <w:r w:rsidR="00380907">
        <w:t xml:space="preserve"> </w:t>
      </w:r>
      <w:r w:rsidR="005E5E8D">
        <w:t xml:space="preserve">76 </w:t>
      </w:r>
      <w:r w:rsidR="00380907">
        <w:t xml:space="preserve">Mass. App. Ct. 475 (2010), a case concerning the statutory construction of the definition of “teacher” in G.L. c. 32, § 1, </w:t>
      </w:r>
      <w:r w:rsidR="00DF14C0">
        <w:t>address</w:t>
      </w:r>
      <w:r w:rsidR="00380907">
        <w:t>ed</w:t>
      </w:r>
      <w:r w:rsidR="00DF14C0">
        <w:t xml:space="preserve"> the tension created by a “narrow and literal</w:t>
      </w:r>
      <w:r>
        <w:t xml:space="preserve"> </w:t>
      </w:r>
      <w:r w:rsidR="00DF14C0">
        <w:t xml:space="preserve">application” </w:t>
      </w:r>
      <w:r w:rsidR="00380907">
        <w:t xml:space="preserve">of teacher. </w:t>
      </w:r>
      <w:r w:rsidR="003472FD" w:rsidRPr="003472FD">
        <w:rPr>
          <w:i/>
        </w:rPr>
        <w:t>Id.</w:t>
      </w:r>
      <w:r w:rsidR="003472FD">
        <w:t xml:space="preserve"> at 479.</w:t>
      </w:r>
      <w:r w:rsidR="000A219C">
        <w:t xml:space="preserve"> </w:t>
      </w:r>
      <w:r w:rsidR="00380907">
        <w:t>The court concluded “that the term ‘teacher’ as it appears in G. L. c. 32, § 3(4), encompasses employment…by any day school in another State that is under exclusive public control and supervision….”</w:t>
      </w:r>
      <w:r w:rsidR="003472FD">
        <w:t xml:space="preserve"> </w:t>
      </w:r>
      <w:r w:rsidR="003472FD" w:rsidRPr="003472FD">
        <w:rPr>
          <w:i/>
        </w:rPr>
        <w:t>Id.</w:t>
      </w:r>
      <w:r w:rsidR="003472FD">
        <w:t xml:space="preserve"> at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6E"/>
    <w:multiLevelType w:val="hybridMultilevel"/>
    <w:tmpl w:val="D7D6D7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E2"/>
    <w:rsid w:val="000402AD"/>
    <w:rsid w:val="000428C9"/>
    <w:rsid w:val="00057FAB"/>
    <w:rsid w:val="000640B7"/>
    <w:rsid w:val="00067372"/>
    <w:rsid w:val="0007121E"/>
    <w:rsid w:val="000715AB"/>
    <w:rsid w:val="00085718"/>
    <w:rsid w:val="00094139"/>
    <w:rsid w:val="00095CFE"/>
    <w:rsid w:val="000A0C7B"/>
    <w:rsid w:val="000A219C"/>
    <w:rsid w:val="000A26CC"/>
    <w:rsid w:val="000A7918"/>
    <w:rsid w:val="000B3D7F"/>
    <w:rsid w:val="000C070D"/>
    <w:rsid w:val="000C182B"/>
    <w:rsid w:val="000D3AD8"/>
    <w:rsid w:val="000F3135"/>
    <w:rsid w:val="000F6B56"/>
    <w:rsid w:val="0010395D"/>
    <w:rsid w:val="00116520"/>
    <w:rsid w:val="0012081E"/>
    <w:rsid w:val="00123AE5"/>
    <w:rsid w:val="00127218"/>
    <w:rsid w:val="00137726"/>
    <w:rsid w:val="0014535F"/>
    <w:rsid w:val="00150054"/>
    <w:rsid w:val="00150294"/>
    <w:rsid w:val="00153606"/>
    <w:rsid w:val="0015652A"/>
    <w:rsid w:val="00160B12"/>
    <w:rsid w:val="00176A9F"/>
    <w:rsid w:val="00196A86"/>
    <w:rsid w:val="001A1149"/>
    <w:rsid w:val="001B4621"/>
    <w:rsid w:val="001D1F62"/>
    <w:rsid w:val="001F5B17"/>
    <w:rsid w:val="00210012"/>
    <w:rsid w:val="00217A18"/>
    <w:rsid w:val="002253CE"/>
    <w:rsid w:val="00236037"/>
    <w:rsid w:val="002405DB"/>
    <w:rsid w:val="00244FA8"/>
    <w:rsid w:val="00252B8C"/>
    <w:rsid w:val="00265410"/>
    <w:rsid w:val="002660E9"/>
    <w:rsid w:val="00267865"/>
    <w:rsid w:val="00267AF0"/>
    <w:rsid w:val="00274AAE"/>
    <w:rsid w:val="002832F2"/>
    <w:rsid w:val="00285B03"/>
    <w:rsid w:val="00294F1B"/>
    <w:rsid w:val="00294F7E"/>
    <w:rsid w:val="002A46FE"/>
    <w:rsid w:val="002B263F"/>
    <w:rsid w:val="002B48DC"/>
    <w:rsid w:val="002B50A0"/>
    <w:rsid w:val="002B7F21"/>
    <w:rsid w:val="002C554D"/>
    <w:rsid w:val="002D3602"/>
    <w:rsid w:val="002D5BBC"/>
    <w:rsid w:val="002E535B"/>
    <w:rsid w:val="002F2079"/>
    <w:rsid w:val="002F6B2A"/>
    <w:rsid w:val="00306F68"/>
    <w:rsid w:val="00310239"/>
    <w:rsid w:val="00325FA5"/>
    <w:rsid w:val="00332517"/>
    <w:rsid w:val="0034329E"/>
    <w:rsid w:val="003472FD"/>
    <w:rsid w:val="003476DB"/>
    <w:rsid w:val="00347D7C"/>
    <w:rsid w:val="003501FD"/>
    <w:rsid w:val="00353344"/>
    <w:rsid w:val="00372E3F"/>
    <w:rsid w:val="00380907"/>
    <w:rsid w:val="0038120F"/>
    <w:rsid w:val="00381643"/>
    <w:rsid w:val="00383D20"/>
    <w:rsid w:val="00384347"/>
    <w:rsid w:val="003A19D9"/>
    <w:rsid w:val="003A281B"/>
    <w:rsid w:val="003B24C3"/>
    <w:rsid w:val="003B4646"/>
    <w:rsid w:val="003C0400"/>
    <w:rsid w:val="003E4088"/>
    <w:rsid w:val="003E4A8D"/>
    <w:rsid w:val="003F6CD5"/>
    <w:rsid w:val="004002C6"/>
    <w:rsid w:val="00403F33"/>
    <w:rsid w:val="00405F17"/>
    <w:rsid w:val="0041075F"/>
    <w:rsid w:val="00414235"/>
    <w:rsid w:val="00414AC9"/>
    <w:rsid w:val="00414FFC"/>
    <w:rsid w:val="00422D9F"/>
    <w:rsid w:val="00424C85"/>
    <w:rsid w:val="00430790"/>
    <w:rsid w:val="004342E2"/>
    <w:rsid w:val="004416E5"/>
    <w:rsid w:val="004428C4"/>
    <w:rsid w:val="00451EB0"/>
    <w:rsid w:val="00452FDC"/>
    <w:rsid w:val="00462C5C"/>
    <w:rsid w:val="004910CB"/>
    <w:rsid w:val="004A3D06"/>
    <w:rsid w:val="004B431D"/>
    <w:rsid w:val="004B658E"/>
    <w:rsid w:val="004C6DEF"/>
    <w:rsid w:val="004D0876"/>
    <w:rsid w:val="004D1433"/>
    <w:rsid w:val="004D23AA"/>
    <w:rsid w:val="004D742D"/>
    <w:rsid w:val="0050659C"/>
    <w:rsid w:val="00507ED5"/>
    <w:rsid w:val="0054528F"/>
    <w:rsid w:val="00547B44"/>
    <w:rsid w:val="005539D0"/>
    <w:rsid w:val="00563711"/>
    <w:rsid w:val="00564384"/>
    <w:rsid w:val="0057305E"/>
    <w:rsid w:val="00582DB2"/>
    <w:rsid w:val="00593D50"/>
    <w:rsid w:val="00595B68"/>
    <w:rsid w:val="005A40E0"/>
    <w:rsid w:val="005A5FEA"/>
    <w:rsid w:val="005C21A2"/>
    <w:rsid w:val="005C2506"/>
    <w:rsid w:val="005C2C4E"/>
    <w:rsid w:val="005D218E"/>
    <w:rsid w:val="005D5210"/>
    <w:rsid w:val="005E5026"/>
    <w:rsid w:val="005E5E8D"/>
    <w:rsid w:val="005E63EF"/>
    <w:rsid w:val="005F44EA"/>
    <w:rsid w:val="00611D33"/>
    <w:rsid w:val="00612E52"/>
    <w:rsid w:val="00624428"/>
    <w:rsid w:val="00635F52"/>
    <w:rsid w:val="00636F1D"/>
    <w:rsid w:val="00647626"/>
    <w:rsid w:val="00672C95"/>
    <w:rsid w:val="006760DE"/>
    <w:rsid w:val="006805CF"/>
    <w:rsid w:val="00687FA1"/>
    <w:rsid w:val="006956DB"/>
    <w:rsid w:val="00696464"/>
    <w:rsid w:val="006B36B4"/>
    <w:rsid w:val="006B73D5"/>
    <w:rsid w:val="006C17F9"/>
    <w:rsid w:val="006D20D5"/>
    <w:rsid w:val="006D28CC"/>
    <w:rsid w:val="006D7664"/>
    <w:rsid w:val="006E0437"/>
    <w:rsid w:val="006E46A0"/>
    <w:rsid w:val="006F594A"/>
    <w:rsid w:val="007021CF"/>
    <w:rsid w:val="007128E1"/>
    <w:rsid w:val="00715017"/>
    <w:rsid w:val="00716D9A"/>
    <w:rsid w:val="0073155D"/>
    <w:rsid w:val="00734F2C"/>
    <w:rsid w:val="00752336"/>
    <w:rsid w:val="00756DD5"/>
    <w:rsid w:val="00762C04"/>
    <w:rsid w:val="00764C00"/>
    <w:rsid w:val="007704B9"/>
    <w:rsid w:val="0077168E"/>
    <w:rsid w:val="00776240"/>
    <w:rsid w:val="0077684B"/>
    <w:rsid w:val="00792FC5"/>
    <w:rsid w:val="00794D5A"/>
    <w:rsid w:val="007969E1"/>
    <w:rsid w:val="007B15F1"/>
    <w:rsid w:val="007C240B"/>
    <w:rsid w:val="007D6420"/>
    <w:rsid w:val="007D778E"/>
    <w:rsid w:val="007E71DA"/>
    <w:rsid w:val="007F7B6F"/>
    <w:rsid w:val="00803AC5"/>
    <w:rsid w:val="00805A8A"/>
    <w:rsid w:val="00806E6A"/>
    <w:rsid w:val="008145FC"/>
    <w:rsid w:val="00833565"/>
    <w:rsid w:val="008350AE"/>
    <w:rsid w:val="00842CF8"/>
    <w:rsid w:val="008511E2"/>
    <w:rsid w:val="0086061D"/>
    <w:rsid w:val="00893880"/>
    <w:rsid w:val="00897F40"/>
    <w:rsid w:val="008B2DAB"/>
    <w:rsid w:val="008B4D50"/>
    <w:rsid w:val="008C2062"/>
    <w:rsid w:val="008C50D9"/>
    <w:rsid w:val="008C5899"/>
    <w:rsid w:val="008C6401"/>
    <w:rsid w:val="008D1FC9"/>
    <w:rsid w:val="008E7264"/>
    <w:rsid w:val="008F198A"/>
    <w:rsid w:val="008F443F"/>
    <w:rsid w:val="00916D08"/>
    <w:rsid w:val="00920B14"/>
    <w:rsid w:val="009216C5"/>
    <w:rsid w:val="00921EFD"/>
    <w:rsid w:val="009303B7"/>
    <w:rsid w:val="00930A49"/>
    <w:rsid w:val="00934C45"/>
    <w:rsid w:val="00986163"/>
    <w:rsid w:val="009943E4"/>
    <w:rsid w:val="00996819"/>
    <w:rsid w:val="00996B92"/>
    <w:rsid w:val="009A76F0"/>
    <w:rsid w:val="009A7FAC"/>
    <w:rsid w:val="009B7DA5"/>
    <w:rsid w:val="009B7FD2"/>
    <w:rsid w:val="009C738C"/>
    <w:rsid w:val="009D3D7B"/>
    <w:rsid w:val="009E51E8"/>
    <w:rsid w:val="009F02E1"/>
    <w:rsid w:val="009F3396"/>
    <w:rsid w:val="009F39FC"/>
    <w:rsid w:val="009F67F5"/>
    <w:rsid w:val="00A024D0"/>
    <w:rsid w:val="00A046EB"/>
    <w:rsid w:val="00A13622"/>
    <w:rsid w:val="00A13A16"/>
    <w:rsid w:val="00A14603"/>
    <w:rsid w:val="00A219E6"/>
    <w:rsid w:val="00A22116"/>
    <w:rsid w:val="00A33CB6"/>
    <w:rsid w:val="00A40CC6"/>
    <w:rsid w:val="00A430F4"/>
    <w:rsid w:val="00A440CC"/>
    <w:rsid w:val="00A53435"/>
    <w:rsid w:val="00A648A5"/>
    <w:rsid w:val="00A6526E"/>
    <w:rsid w:val="00A708F4"/>
    <w:rsid w:val="00A747BA"/>
    <w:rsid w:val="00A92852"/>
    <w:rsid w:val="00AA5E2A"/>
    <w:rsid w:val="00AA7F21"/>
    <w:rsid w:val="00AC1D0B"/>
    <w:rsid w:val="00AC4374"/>
    <w:rsid w:val="00AF2C20"/>
    <w:rsid w:val="00B0044F"/>
    <w:rsid w:val="00B00813"/>
    <w:rsid w:val="00B1379B"/>
    <w:rsid w:val="00B17676"/>
    <w:rsid w:val="00B339A3"/>
    <w:rsid w:val="00B428A6"/>
    <w:rsid w:val="00B5511D"/>
    <w:rsid w:val="00B557C4"/>
    <w:rsid w:val="00B658AB"/>
    <w:rsid w:val="00B66BE7"/>
    <w:rsid w:val="00B729A5"/>
    <w:rsid w:val="00B77C65"/>
    <w:rsid w:val="00B84E89"/>
    <w:rsid w:val="00BA186E"/>
    <w:rsid w:val="00BA6AC1"/>
    <w:rsid w:val="00BD209A"/>
    <w:rsid w:val="00BD3BE8"/>
    <w:rsid w:val="00BE4195"/>
    <w:rsid w:val="00BF0AFC"/>
    <w:rsid w:val="00BF15E2"/>
    <w:rsid w:val="00BF2F59"/>
    <w:rsid w:val="00BF3C9C"/>
    <w:rsid w:val="00BF6566"/>
    <w:rsid w:val="00C00DED"/>
    <w:rsid w:val="00C26D2D"/>
    <w:rsid w:val="00C27207"/>
    <w:rsid w:val="00C33A8A"/>
    <w:rsid w:val="00C33CBC"/>
    <w:rsid w:val="00C4066A"/>
    <w:rsid w:val="00C47690"/>
    <w:rsid w:val="00C57F12"/>
    <w:rsid w:val="00C64540"/>
    <w:rsid w:val="00C66119"/>
    <w:rsid w:val="00C67E90"/>
    <w:rsid w:val="00C95088"/>
    <w:rsid w:val="00CA1A11"/>
    <w:rsid w:val="00CA1FE3"/>
    <w:rsid w:val="00CA33EF"/>
    <w:rsid w:val="00CA67AA"/>
    <w:rsid w:val="00CB447C"/>
    <w:rsid w:val="00CB5EB0"/>
    <w:rsid w:val="00CC03AA"/>
    <w:rsid w:val="00CC5E09"/>
    <w:rsid w:val="00CD24C5"/>
    <w:rsid w:val="00CD2A90"/>
    <w:rsid w:val="00CD3A60"/>
    <w:rsid w:val="00CD7E51"/>
    <w:rsid w:val="00D0591F"/>
    <w:rsid w:val="00D3386C"/>
    <w:rsid w:val="00D44946"/>
    <w:rsid w:val="00D52FAF"/>
    <w:rsid w:val="00D5309D"/>
    <w:rsid w:val="00D75984"/>
    <w:rsid w:val="00D77275"/>
    <w:rsid w:val="00D82130"/>
    <w:rsid w:val="00D83DF1"/>
    <w:rsid w:val="00D90147"/>
    <w:rsid w:val="00D90294"/>
    <w:rsid w:val="00D90626"/>
    <w:rsid w:val="00DB3420"/>
    <w:rsid w:val="00DC354A"/>
    <w:rsid w:val="00DC50EB"/>
    <w:rsid w:val="00DD0BA0"/>
    <w:rsid w:val="00DD3951"/>
    <w:rsid w:val="00DE36D9"/>
    <w:rsid w:val="00DE7346"/>
    <w:rsid w:val="00DF0326"/>
    <w:rsid w:val="00DF14C0"/>
    <w:rsid w:val="00DF7B4C"/>
    <w:rsid w:val="00E10371"/>
    <w:rsid w:val="00E12176"/>
    <w:rsid w:val="00E1282D"/>
    <w:rsid w:val="00E24882"/>
    <w:rsid w:val="00E318E3"/>
    <w:rsid w:val="00E43C9A"/>
    <w:rsid w:val="00E444DE"/>
    <w:rsid w:val="00E44E28"/>
    <w:rsid w:val="00E548D2"/>
    <w:rsid w:val="00E57B69"/>
    <w:rsid w:val="00E64DED"/>
    <w:rsid w:val="00E729BC"/>
    <w:rsid w:val="00E875D2"/>
    <w:rsid w:val="00E90143"/>
    <w:rsid w:val="00E97946"/>
    <w:rsid w:val="00EA0600"/>
    <w:rsid w:val="00EA4396"/>
    <w:rsid w:val="00EB742D"/>
    <w:rsid w:val="00EB74BD"/>
    <w:rsid w:val="00EC2E61"/>
    <w:rsid w:val="00EC7968"/>
    <w:rsid w:val="00ED1F68"/>
    <w:rsid w:val="00EF1E18"/>
    <w:rsid w:val="00EF1F59"/>
    <w:rsid w:val="00EF30A6"/>
    <w:rsid w:val="00EF3DFB"/>
    <w:rsid w:val="00EF660E"/>
    <w:rsid w:val="00F074AB"/>
    <w:rsid w:val="00F154CE"/>
    <w:rsid w:val="00F5476D"/>
    <w:rsid w:val="00F54BEF"/>
    <w:rsid w:val="00F721FD"/>
    <w:rsid w:val="00F73965"/>
    <w:rsid w:val="00F75DE1"/>
    <w:rsid w:val="00F773BB"/>
    <w:rsid w:val="00FA4873"/>
    <w:rsid w:val="00FA4EB4"/>
    <w:rsid w:val="00FB7440"/>
    <w:rsid w:val="00FC5DBE"/>
    <w:rsid w:val="00FC7DF9"/>
    <w:rsid w:val="00FD03EE"/>
    <w:rsid w:val="00FD45CD"/>
    <w:rsid w:val="00FE4AB4"/>
    <w:rsid w:val="00FF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5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46FE"/>
    <w:rPr>
      <w:sz w:val="20"/>
      <w:szCs w:val="20"/>
    </w:rPr>
  </w:style>
  <w:style w:type="character" w:customStyle="1" w:styleId="FootnoteTextChar">
    <w:name w:val="Footnote Text Char"/>
    <w:basedOn w:val="DefaultParagraphFont"/>
    <w:link w:val="FootnoteText"/>
    <w:uiPriority w:val="99"/>
    <w:semiHidden/>
    <w:rsid w:val="002A46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6FE"/>
    <w:rPr>
      <w:vertAlign w:val="superscript"/>
    </w:rPr>
  </w:style>
  <w:style w:type="paragraph" w:styleId="Header">
    <w:name w:val="header"/>
    <w:basedOn w:val="Normal"/>
    <w:link w:val="HeaderChar"/>
    <w:uiPriority w:val="99"/>
    <w:unhideWhenUsed/>
    <w:rsid w:val="00B17676"/>
    <w:pPr>
      <w:tabs>
        <w:tab w:val="center" w:pos="4680"/>
        <w:tab w:val="right" w:pos="9360"/>
      </w:tabs>
    </w:pPr>
  </w:style>
  <w:style w:type="character" w:customStyle="1" w:styleId="HeaderChar">
    <w:name w:val="Header Char"/>
    <w:basedOn w:val="DefaultParagraphFont"/>
    <w:link w:val="Header"/>
    <w:uiPriority w:val="99"/>
    <w:rsid w:val="00B176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676"/>
    <w:pPr>
      <w:tabs>
        <w:tab w:val="center" w:pos="4680"/>
        <w:tab w:val="right" w:pos="9360"/>
      </w:tabs>
    </w:pPr>
  </w:style>
  <w:style w:type="character" w:customStyle="1" w:styleId="FooterChar">
    <w:name w:val="Footer Char"/>
    <w:basedOn w:val="DefaultParagraphFont"/>
    <w:link w:val="Footer"/>
    <w:uiPriority w:val="99"/>
    <w:rsid w:val="00B176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984"/>
    <w:rPr>
      <w:rFonts w:ascii="Tahoma" w:hAnsi="Tahoma" w:cs="Tahoma"/>
      <w:sz w:val="16"/>
      <w:szCs w:val="16"/>
    </w:rPr>
  </w:style>
  <w:style w:type="character" w:customStyle="1" w:styleId="BalloonTextChar">
    <w:name w:val="Balloon Text Char"/>
    <w:basedOn w:val="DefaultParagraphFont"/>
    <w:link w:val="BalloonText"/>
    <w:uiPriority w:val="99"/>
    <w:semiHidden/>
    <w:rsid w:val="00D75984"/>
    <w:rPr>
      <w:rFonts w:ascii="Tahoma" w:eastAsia="Times New Roman" w:hAnsi="Tahoma" w:cs="Tahoma"/>
      <w:sz w:val="16"/>
      <w:szCs w:val="16"/>
    </w:rPr>
  </w:style>
  <w:style w:type="paragraph" w:styleId="ListParagraph">
    <w:name w:val="List Paragraph"/>
    <w:basedOn w:val="Normal"/>
    <w:uiPriority w:val="34"/>
    <w:qFormat/>
    <w:rsid w:val="002B263F"/>
    <w:pPr>
      <w:ind w:left="720"/>
      <w:contextualSpacing/>
    </w:pPr>
  </w:style>
  <w:style w:type="character" w:styleId="CommentReference">
    <w:name w:val="annotation reference"/>
    <w:basedOn w:val="DefaultParagraphFont"/>
    <w:uiPriority w:val="99"/>
    <w:semiHidden/>
    <w:unhideWhenUsed/>
    <w:rsid w:val="004B658E"/>
    <w:rPr>
      <w:sz w:val="16"/>
      <w:szCs w:val="16"/>
    </w:rPr>
  </w:style>
  <w:style w:type="paragraph" w:styleId="CommentText">
    <w:name w:val="annotation text"/>
    <w:basedOn w:val="Normal"/>
    <w:link w:val="CommentTextChar"/>
    <w:uiPriority w:val="99"/>
    <w:semiHidden/>
    <w:unhideWhenUsed/>
    <w:rsid w:val="004B658E"/>
    <w:rPr>
      <w:sz w:val="20"/>
      <w:szCs w:val="20"/>
    </w:rPr>
  </w:style>
  <w:style w:type="character" w:customStyle="1" w:styleId="CommentTextChar">
    <w:name w:val="Comment Text Char"/>
    <w:basedOn w:val="DefaultParagraphFont"/>
    <w:link w:val="CommentText"/>
    <w:uiPriority w:val="99"/>
    <w:semiHidden/>
    <w:rsid w:val="004B6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58E"/>
    <w:rPr>
      <w:b/>
      <w:bCs/>
    </w:rPr>
  </w:style>
  <w:style w:type="character" w:customStyle="1" w:styleId="CommentSubjectChar">
    <w:name w:val="Comment Subject Char"/>
    <w:basedOn w:val="CommentTextChar"/>
    <w:link w:val="CommentSubject"/>
    <w:uiPriority w:val="99"/>
    <w:semiHidden/>
    <w:rsid w:val="004B658E"/>
    <w:rPr>
      <w:rFonts w:ascii="Times New Roman" w:eastAsia="Times New Roman" w:hAnsi="Times New Roman" w:cs="Times New Roman"/>
      <w:b/>
      <w:bCs/>
      <w:sz w:val="20"/>
      <w:szCs w:val="20"/>
    </w:rPr>
  </w:style>
  <w:style w:type="character" w:customStyle="1" w:styleId="counderline">
    <w:name w:val="co_underline"/>
    <w:basedOn w:val="DefaultParagraphFont"/>
    <w:rsid w:val="00196A86"/>
  </w:style>
  <w:style w:type="character" w:customStyle="1" w:styleId="searchhit">
    <w:name w:val="searchhit"/>
    <w:basedOn w:val="DefaultParagraphFont"/>
    <w:rsid w:val="00B77C65"/>
  </w:style>
  <w:style w:type="character" w:styleId="Hyperlink">
    <w:name w:val="Hyperlink"/>
    <w:basedOn w:val="DefaultParagraphFont"/>
    <w:uiPriority w:val="99"/>
    <w:semiHidden/>
    <w:unhideWhenUsed/>
    <w:rsid w:val="00B77C65"/>
    <w:rPr>
      <w:color w:val="0000FF"/>
      <w:u w:val="single"/>
    </w:rPr>
  </w:style>
  <w:style w:type="character" w:styleId="Emphasis">
    <w:name w:val="Emphasis"/>
    <w:basedOn w:val="DefaultParagraphFont"/>
    <w:uiPriority w:val="20"/>
    <w:qFormat/>
    <w:rsid w:val="004D742D"/>
    <w:rPr>
      <w:i/>
      <w:iCs/>
    </w:rPr>
  </w:style>
  <w:style w:type="character" w:customStyle="1" w:styleId="costarpage">
    <w:name w:val="co_starpage"/>
    <w:basedOn w:val="DefaultParagraphFont"/>
    <w:rsid w:val="00547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5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46FE"/>
    <w:rPr>
      <w:sz w:val="20"/>
      <w:szCs w:val="20"/>
    </w:rPr>
  </w:style>
  <w:style w:type="character" w:customStyle="1" w:styleId="FootnoteTextChar">
    <w:name w:val="Footnote Text Char"/>
    <w:basedOn w:val="DefaultParagraphFont"/>
    <w:link w:val="FootnoteText"/>
    <w:uiPriority w:val="99"/>
    <w:semiHidden/>
    <w:rsid w:val="002A46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6FE"/>
    <w:rPr>
      <w:vertAlign w:val="superscript"/>
    </w:rPr>
  </w:style>
  <w:style w:type="paragraph" w:styleId="Header">
    <w:name w:val="header"/>
    <w:basedOn w:val="Normal"/>
    <w:link w:val="HeaderChar"/>
    <w:uiPriority w:val="99"/>
    <w:unhideWhenUsed/>
    <w:rsid w:val="00B17676"/>
    <w:pPr>
      <w:tabs>
        <w:tab w:val="center" w:pos="4680"/>
        <w:tab w:val="right" w:pos="9360"/>
      </w:tabs>
    </w:pPr>
  </w:style>
  <w:style w:type="character" w:customStyle="1" w:styleId="HeaderChar">
    <w:name w:val="Header Char"/>
    <w:basedOn w:val="DefaultParagraphFont"/>
    <w:link w:val="Header"/>
    <w:uiPriority w:val="99"/>
    <w:rsid w:val="00B176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676"/>
    <w:pPr>
      <w:tabs>
        <w:tab w:val="center" w:pos="4680"/>
        <w:tab w:val="right" w:pos="9360"/>
      </w:tabs>
    </w:pPr>
  </w:style>
  <w:style w:type="character" w:customStyle="1" w:styleId="FooterChar">
    <w:name w:val="Footer Char"/>
    <w:basedOn w:val="DefaultParagraphFont"/>
    <w:link w:val="Footer"/>
    <w:uiPriority w:val="99"/>
    <w:rsid w:val="00B176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984"/>
    <w:rPr>
      <w:rFonts w:ascii="Tahoma" w:hAnsi="Tahoma" w:cs="Tahoma"/>
      <w:sz w:val="16"/>
      <w:szCs w:val="16"/>
    </w:rPr>
  </w:style>
  <w:style w:type="character" w:customStyle="1" w:styleId="BalloonTextChar">
    <w:name w:val="Balloon Text Char"/>
    <w:basedOn w:val="DefaultParagraphFont"/>
    <w:link w:val="BalloonText"/>
    <w:uiPriority w:val="99"/>
    <w:semiHidden/>
    <w:rsid w:val="00D75984"/>
    <w:rPr>
      <w:rFonts w:ascii="Tahoma" w:eastAsia="Times New Roman" w:hAnsi="Tahoma" w:cs="Tahoma"/>
      <w:sz w:val="16"/>
      <w:szCs w:val="16"/>
    </w:rPr>
  </w:style>
  <w:style w:type="paragraph" w:styleId="ListParagraph">
    <w:name w:val="List Paragraph"/>
    <w:basedOn w:val="Normal"/>
    <w:uiPriority w:val="34"/>
    <w:qFormat/>
    <w:rsid w:val="002B263F"/>
    <w:pPr>
      <w:ind w:left="720"/>
      <w:contextualSpacing/>
    </w:pPr>
  </w:style>
  <w:style w:type="character" w:styleId="CommentReference">
    <w:name w:val="annotation reference"/>
    <w:basedOn w:val="DefaultParagraphFont"/>
    <w:uiPriority w:val="99"/>
    <w:semiHidden/>
    <w:unhideWhenUsed/>
    <w:rsid w:val="004B658E"/>
    <w:rPr>
      <w:sz w:val="16"/>
      <w:szCs w:val="16"/>
    </w:rPr>
  </w:style>
  <w:style w:type="paragraph" w:styleId="CommentText">
    <w:name w:val="annotation text"/>
    <w:basedOn w:val="Normal"/>
    <w:link w:val="CommentTextChar"/>
    <w:uiPriority w:val="99"/>
    <w:semiHidden/>
    <w:unhideWhenUsed/>
    <w:rsid w:val="004B658E"/>
    <w:rPr>
      <w:sz w:val="20"/>
      <w:szCs w:val="20"/>
    </w:rPr>
  </w:style>
  <w:style w:type="character" w:customStyle="1" w:styleId="CommentTextChar">
    <w:name w:val="Comment Text Char"/>
    <w:basedOn w:val="DefaultParagraphFont"/>
    <w:link w:val="CommentText"/>
    <w:uiPriority w:val="99"/>
    <w:semiHidden/>
    <w:rsid w:val="004B6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58E"/>
    <w:rPr>
      <w:b/>
      <w:bCs/>
    </w:rPr>
  </w:style>
  <w:style w:type="character" w:customStyle="1" w:styleId="CommentSubjectChar">
    <w:name w:val="Comment Subject Char"/>
    <w:basedOn w:val="CommentTextChar"/>
    <w:link w:val="CommentSubject"/>
    <w:uiPriority w:val="99"/>
    <w:semiHidden/>
    <w:rsid w:val="004B658E"/>
    <w:rPr>
      <w:rFonts w:ascii="Times New Roman" w:eastAsia="Times New Roman" w:hAnsi="Times New Roman" w:cs="Times New Roman"/>
      <w:b/>
      <w:bCs/>
      <w:sz w:val="20"/>
      <w:szCs w:val="20"/>
    </w:rPr>
  </w:style>
  <w:style w:type="character" w:customStyle="1" w:styleId="counderline">
    <w:name w:val="co_underline"/>
    <w:basedOn w:val="DefaultParagraphFont"/>
    <w:rsid w:val="00196A86"/>
  </w:style>
  <w:style w:type="character" w:customStyle="1" w:styleId="searchhit">
    <w:name w:val="searchhit"/>
    <w:basedOn w:val="DefaultParagraphFont"/>
    <w:rsid w:val="00B77C65"/>
  </w:style>
  <w:style w:type="character" w:styleId="Hyperlink">
    <w:name w:val="Hyperlink"/>
    <w:basedOn w:val="DefaultParagraphFont"/>
    <w:uiPriority w:val="99"/>
    <w:semiHidden/>
    <w:unhideWhenUsed/>
    <w:rsid w:val="00B77C65"/>
    <w:rPr>
      <w:color w:val="0000FF"/>
      <w:u w:val="single"/>
    </w:rPr>
  </w:style>
  <w:style w:type="character" w:styleId="Emphasis">
    <w:name w:val="Emphasis"/>
    <w:basedOn w:val="DefaultParagraphFont"/>
    <w:uiPriority w:val="20"/>
    <w:qFormat/>
    <w:rsid w:val="004D742D"/>
    <w:rPr>
      <w:i/>
      <w:iCs/>
    </w:rPr>
  </w:style>
  <w:style w:type="character" w:customStyle="1" w:styleId="costarpage">
    <w:name w:val="co_starpage"/>
    <w:basedOn w:val="DefaultParagraphFont"/>
    <w:rsid w:val="0054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2644">
      <w:bodyDiv w:val="1"/>
      <w:marLeft w:val="0"/>
      <w:marRight w:val="0"/>
      <w:marTop w:val="0"/>
      <w:marBottom w:val="0"/>
      <w:divBdr>
        <w:top w:val="none" w:sz="0" w:space="0" w:color="auto"/>
        <w:left w:val="none" w:sz="0" w:space="0" w:color="auto"/>
        <w:bottom w:val="none" w:sz="0" w:space="0" w:color="auto"/>
        <w:right w:val="none" w:sz="0" w:space="0" w:color="auto"/>
      </w:divBdr>
      <w:divsChild>
        <w:div w:id="163014901">
          <w:marLeft w:val="0"/>
          <w:marRight w:val="0"/>
          <w:marTop w:val="240"/>
          <w:marBottom w:val="0"/>
          <w:divBdr>
            <w:top w:val="none" w:sz="0" w:space="0" w:color="auto"/>
            <w:left w:val="none" w:sz="0" w:space="0" w:color="auto"/>
            <w:bottom w:val="none" w:sz="0" w:space="0" w:color="auto"/>
            <w:right w:val="none" w:sz="0" w:space="0" w:color="auto"/>
          </w:divBdr>
          <w:divsChild>
            <w:div w:id="366757139">
              <w:marLeft w:val="0"/>
              <w:marRight w:val="0"/>
              <w:marTop w:val="0"/>
              <w:marBottom w:val="0"/>
              <w:divBdr>
                <w:top w:val="none" w:sz="0" w:space="0" w:color="auto"/>
                <w:left w:val="none" w:sz="0" w:space="0" w:color="auto"/>
                <w:bottom w:val="none" w:sz="0" w:space="0" w:color="auto"/>
                <w:right w:val="none" w:sz="0" w:space="0" w:color="auto"/>
              </w:divBdr>
              <w:divsChild>
                <w:div w:id="4801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7956">
          <w:marLeft w:val="0"/>
          <w:marRight w:val="0"/>
          <w:marTop w:val="0"/>
          <w:marBottom w:val="0"/>
          <w:divBdr>
            <w:top w:val="none" w:sz="0" w:space="0" w:color="auto"/>
            <w:left w:val="none" w:sz="0" w:space="0" w:color="auto"/>
            <w:bottom w:val="none" w:sz="0" w:space="0" w:color="auto"/>
            <w:right w:val="none" w:sz="0" w:space="0" w:color="auto"/>
          </w:divBdr>
        </w:div>
        <w:div w:id="471825550">
          <w:marLeft w:val="0"/>
          <w:marRight w:val="0"/>
          <w:marTop w:val="240"/>
          <w:marBottom w:val="0"/>
          <w:divBdr>
            <w:top w:val="none" w:sz="0" w:space="0" w:color="auto"/>
            <w:left w:val="none" w:sz="0" w:space="0" w:color="auto"/>
            <w:bottom w:val="none" w:sz="0" w:space="0" w:color="auto"/>
            <w:right w:val="none" w:sz="0" w:space="0" w:color="auto"/>
          </w:divBdr>
          <w:divsChild>
            <w:div w:id="8107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3255">
      <w:bodyDiv w:val="1"/>
      <w:marLeft w:val="0"/>
      <w:marRight w:val="0"/>
      <w:marTop w:val="0"/>
      <w:marBottom w:val="0"/>
      <w:divBdr>
        <w:top w:val="none" w:sz="0" w:space="0" w:color="auto"/>
        <w:left w:val="none" w:sz="0" w:space="0" w:color="auto"/>
        <w:bottom w:val="none" w:sz="0" w:space="0" w:color="auto"/>
        <w:right w:val="none" w:sz="0" w:space="0" w:color="auto"/>
      </w:divBdr>
    </w:div>
    <w:div w:id="782771908">
      <w:bodyDiv w:val="1"/>
      <w:marLeft w:val="0"/>
      <w:marRight w:val="0"/>
      <w:marTop w:val="0"/>
      <w:marBottom w:val="0"/>
      <w:divBdr>
        <w:top w:val="none" w:sz="0" w:space="0" w:color="auto"/>
        <w:left w:val="none" w:sz="0" w:space="0" w:color="auto"/>
        <w:bottom w:val="none" w:sz="0" w:space="0" w:color="auto"/>
        <w:right w:val="none" w:sz="0" w:space="0" w:color="auto"/>
      </w:divBdr>
    </w:div>
    <w:div w:id="880557151">
      <w:bodyDiv w:val="1"/>
      <w:marLeft w:val="0"/>
      <w:marRight w:val="0"/>
      <w:marTop w:val="0"/>
      <w:marBottom w:val="0"/>
      <w:divBdr>
        <w:top w:val="none" w:sz="0" w:space="0" w:color="auto"/>
        <w:left w:val="none" w:sz="0" w:space="0" w:color="auto"/>
        <w:bottom w:val="none" w:sz="0" w:space="0" w:color="auto"/>
        <w:right w:val="none" w:sz="0" w:space="0" w:color="auto"/>
      </w:divBdr>
    </w:div>
    <w:div w:id="944506348">
      <w:bodyDiv w:val="1"/>
      <w:marLeft w:val="0"/>
      <w:marRight w:val="0"/>
      <w:marTop w:val="0"/>
      <w:marBottom w:val="0"/>
      <w:divBdr>
        <w:top w:val="none" w:sz="0" w:space="0" w:color="auto"/>
        <w:left w:val="none" w:sz="0" w:space="0" w:color="auto"/>
        <w:bottom w:val="none" w:sz="0" w:space="0" w:color="auto"/>
        <w:right w:val="none" w:sz="0" w:space="0" w:color="auto"/>
      </w:divBdr>
    </w:div>
    <w:div w:id="1028334357">
      <w:bodyDiv w:val="1"/>
      <w:marLeft w:val="0"/>
      <w:marRight w:val="0"/>
      <w:marTop w:val="0"/>
      <w:marBottom w:val="0"/>
      <w:divBdr>
        <w:top w:val="none" w:sz="0" w:space="0" w:color="auto"/>
        <w:left w:val="none" w:sz="0" w:space="0" w:color="auto"/>
        <w:bottom w:val="none" w:sz="0" w:space="0" w:color="auto"/>
        <w:right w:val="none" w:sz="0" w:space="0" w:color="auto"/>
      </w:divBdr>
    </w:div>
    <w:div w:id="1045837830">
      <w:bodyDiv w:val="1"/>
      <w:marLeft w:val="0"/>
      <w:marRight w:val="0"/>
      <w:marTop w:val="0"/>
      <w:marBottom w:val="0"/>
      <w:divBdr>
        <w:top w:val="none" w:sz="0" w:space="0" w:color="auto"/>
        <w:left w:val="none" w:sz="0" w:space="0" w:color="auto"/>
        <w:bottom w:val="none" w:sz="0" w:space="0" w:color="auto"/>
        <w:right w:val="none" w:sz="0" w:space="0" w:color="auto"/>
      </w:divBdr>
    </w:div>
    <w:div w:id="1210647824">
      <w:bodyDiv w:val="1"/>
      <w:marLeft w:val="0"/>
      <w:marRight w:val="0"/>
      <w:marTop w:val="0"/>
      <w:marBottom w:val="0"/>
      <w:divBdr>
        <w:top w:val="none" w:sz="0" w:space="0" w:color="auto"/>
        <w:left w:val="none" w:sz="0" w:space="0" w:color="auto"/>
        <w:bottom w:val="none" w:sz="0" w:space="0" w:color="auto"/>
        <w:right w:val="none" w:sz="0" w:space="0" w:color="auto"/>
      </w:divBdr>
    </w:div>
    <w:div w:id="1761412228">
      <w:bodyDiv w:val="1"/>
      <w:marLeft w:val="0"/>
      <w:marRight w:val="0"/>
      <w:marTop w:val="0"/>
      <w:marBottom w:val="0"/>
      <w:divBdr>
        <w:top w:val="none" w:sz="0" w:space="0" w:color="auto"/>
        <w:left w:val="none" w:sz="0" w:space="0" w:color="auto"/>
        <w:bottom w:val="none" w:sz="0" w:space="0" w:color="auto"/>
        <w:right w:val="none" w:sz="0" w:space="0" w:color="auto"/>
      </w:divBdr>
    </w:div>
    <w:div w:id="19598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6D3F-1FE6-433D-9335-14C081B1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Cashin, Bonney (ALA)</dc:creator>
  <cp:lastModifiedBy>ANF</cp:lastModifiedBy>
  <cp:revision>2</cp:revision>
  <cp:lastPrinted>2018-10-15T18:45:00Z</cp:lastPrinted>
  <dcterms:created xsi:type="dcterms:W3CDTF">2018-10-15T22:48:00Z</dcterms:created>
  <dcterms:modified xsi:type="dcterms:W3CDTF">2018-10-15T22:48:00Z</dcterms:modified>
</cp:coreProperties>
</file>