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761" w:rsidRPr="00653761" w:rsidRDefault="00653761" w:rsidP="00653761">
      <w:pPr>
        <w:rPr>
          <w:rFonts w:asciiTheme="minorHAnsi" w:hAnsiTheme="minorHAnsi" w:cs="Arial"/>
          <w:sz w:val="20"/>
        </w:rPr>
      </w:pPr>
      <w:r w:rsidRPr="00653761">
        <w:rPr>
          <w:rFonts w:asciiTheme="minorHAnsi" w:hAnsiTheme="minorHAnsi" w:cs="Arial"/>
          <w:noProof/>
          <w:sz w:val="20"/>
        </w:rPr>
        <mc:AlternateContent>
          <mc:Choice Requires="wps">
            <w:drawing>
              <wp:anchor distT="0" distB="0" distL="114300" distR="114300" simplePos="0" relativeHeight="251656192" behindDoc="0" locked="0" layoutInCell="1" allowOverlap="1" wp14:anchorId="60ECBD1C" wp14:editId="751FC3C5">
                <wp:simplePos x="0" y="0"/>
                <wp:positionH relativeFrom="column">
                  <wp:posOffset>1314450</wp:posOffset>
                </wp:positionH>
                <wp:positionV relativeFrom="paragraph">
                  <wp:posOffset>-85725</wp:posOffset>
                </wp:positionV>
                <wp:extent cx="5181600" cy="1152525"/>
                <wp:effectExtent l="0" t="0" r="0" b="9525"/>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1152525"/>
                        </a:xfrm>
                        <a:prstGeom prst="rect">
                          <a:avLst/>
                        </a:prstGeom>
                        <a:noFill/>
                        <a:ln>
                          <a:noFill/>
                        </a:ln>
                        <a:effectLst/>
                      </wps:spPr>
                      <wps:txbx>
                        <w:txbxContent>
                          <w:p w:rsidR="00653761" w:rsidRPr="00A87727" w:rsidRDefault="00653761" w:rsidP="00653761">
                            <w:pPr>
                              <w:jc w:val="center"/>
                              <w:rPr>
                                <w:rFonts w:ascii="Arial" w:hAnsi="Arial" w:cs="Arial"/>
                                <w:b/>
                                <w:color w:val="E36C0A"/>
                                <w:sz w:val="34"/>
                                <w:szCs w:val="34"/>
                              </w:rPr>
                            </w:pPr>
                            <w:r w:rsidRPr="007A4A09">
                              <w:rPr>
                                <w:rFonts w:ascii="Arial" w:hAnsi="Arial" w:cs="Arial"/>
                                <w:b/>
                                <w:color w:val="E36C0A"/>
                                <w:sz w:val="48"/>
                                <w:szCs w:val="52"/>
                              </w:rPr>
                              <w:t xml:space="preserve">Data Brief: </w:t>
                            </w:r>
                            <w:r w:rsidRPr="00A87727">
                              <w:rPr>
                                <w:rFonts w:ascii="Arial" w:hAnsi="Arial" w:cs="Arial"/>
                                <w:b/>
                                <w:color w:val="E36C0A"/>
                                <w:sz w:val="40"/>
                                <w:szCs w:val="52"/>
                              </w:rPr>
                              <w:br/>
                            </w:r>
                            <w:r w:rsidR="00F86A57">
                              <w:rPr>
                                <w:rFonts w:ascii="Arial" w:hAnsi="Arial" w:cs="Arial"/>
                                <w:b/>
                                <w:color w:val="E36C0A"/>
                                <w:sz w:val="36"/>
                                <w:szCs w:val="34"/>
                              </w:rPr>
                              <w:t>FATAL OCCUPATIONAL INJURIES</w:t>
                            </w:r>
                            <w:r w:rsidRPr="007A4A09">
                              <w:rPr>
                                <w:rFonts w:ascii="Arial" w:hAnsi="Arial" w:cs="Arial"/>
                                <w:b/>
                                <w:color w:val="E36C0A"/>
                                <w:sz w:val="36"/>
                                <w:szCs w:val="34"/>
                              </w:rPr>
                              <w:t xml:space="preserve"> IN MASSACHUSETTS</w:t>
                            </w:r>
                            <w:r w:rsidR="00F86A57">
                              <w:rPr>
                                <w:rFonts w:ascii="Arial" w:hAnsi="Arial" w:cs="Arial"/>
                                <w:b/>
                                <w:color w:val="E36C0A"/>
                                <w:sz w:val="36"/>
                                <w:szCs w:val="34"/>
                              </w:rPr>
                              <w:t>, 2008-2013</w:t>
                            </w:r>
                          </w:p>
                          <w:p w:rsidR="00653761" w:rsidRPr="007A4A09" w:rsidRDefault="00891FA0" w:rsidP="00653761">
                            <w:pPr>
                              <w:jc w:val="center"/>
                              <w:rPr>
                                <w:rFonts w:ascii="Arial" w:hAnsi="Arial" w:cs="Arial"/>
                                <w:b/>
                                <w:i/>
                                <w:color w:val="E36C0A"/>
                                <w:sz w:val="28"/>
                                <w:szCs w:val="34"/>
                              </w:rPr>
                            </w:pPr>
                            <w:r>
                              <w:rPr>
                                <w:rFonts w:ascii="Arial" w:hAnsi="Arial" w:cs="Arial"/>
                                <w:b/>
                                <w:i/>
                                <w:color w:val="E36C0A"/>
                                <w:sz w:val="28"/>
                                <w:szCs w:val="34"/>
                              </w:rPr>
                              <w:t>March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03.5pt;margin-top:-6.75pt;width:408pt;height:9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" filled="f" stroked="f">
                <v:path arrowok="t"/>
                <v:textbox>
                  <w:txbxContent>
                    <w:p w:rsidR="00653761" w:rsidRPr="00A87727" w:rsidRDefault="00653761" w:rsidP="00653761">
                      <w:pPr>
                        <w:jc w:val="center"/>
                        <w:rPr>
                          <w:rFonts w:ascii="Arial" w:hAnsi="Arial" w:cs="Arial"/>
                          <w:b/>
                          <w:color w:val="E36C0A"/>
                          <w:sz w:val="34"/>
                          <w:szCs w:val="34"/>
                        </w:rPr>
                      </w:pPr>
                      <w:r w:rsidRPr="007A4A09">
                        <w:rPr>
                          <w:rFonts w:ascii="Arial" w:hAnsi="Arial" w:cs="Arial"/>
                          <w:b/>
                          <w:color w:val="E36C0A"/>
                          <w:sz w:val="48"/>
                          <w:szCs w:val="52"/>
                        </w:rPr>
                        <w:t xml:space="preserve">Data Brief: </w:t>
                      </w:r>
                      <w:r w:rsidRPr="00A87727">
                        <w:rPr>
                          <w:rFonts w:ascii="Arial" w:hAnsi="Arial" w:cs="Arial"/>
                          <w:b/>
                          <w:color w:val="E36C0A"/>
                          <w:sz w:val="40"/>
                          <w:szCs w:val="52"/>
                        </w:rPr>
                        <w:br/>
                      </w:r>
                      <w:r w:rsidR="00F86A57">
                        <w:rPr>
                          <w:rFonts w:ascii="Arial" w:hAnsi="Arial" w:cs="Arial"/>
                          <w:b/>
                          <w:color w:val="E36C0A"/>
                          <w:sz w:val="36"/>
                          <w:szCs w:val="34"/>
                        </w:rPr>
                        <w:t>FATAL OCCUPATIONAL INJURIES</w:t>
                      </w:r>
                      <w:r w:rsidRPr="007A4A09">
                        <w:rPr>
                          <w:rFonts w:ascii="Arial" w:hAnsi="Arial" w:cs="Arial"/>
                          <w:b/>
                          <w:color w:val="E36C0A"/>
                          <w:sz w:val="36"/>
                          <w:szCs w:val="34"/>
                        </w:rPr>
                        <w:t xml:space="preserve"> IN MASSACHUSETTS</w:t>
                      </w:r>
                      <w:r w:rsidR="00F86A57">
                        <w:rPr>
                          <w:rFonts w:ascii="Arial" w:hAnsi="Arial" w:cs="Arial"/>
                          <w:b/>
                          <w:color w:val="E36C0A"/>
                          <w:sz w:val="36"/>
                          <w:szCs w:val="34"/>
                        </w:rPr>
                        <w:t>, 2008-2013</w:t>
                      </w:r>
                    </w:p>
                    <w:p w:rsidR="00653761" w:rsidRPr="007A4A09" w:rsidRDefault="00891FA0" w:rsidP="00653761">
                      <w:pPr>
                        <w:jc w:val="center"/>
                        <w:rPr>
                          <w:rFonts w:ascii="Arial" w:hAnsi="Arial" w:cs="Arial"/>
                          <w:b/>
                          <w:i/>
                          <w:color w:val="E36C0A"/>
                          <w:sz w:val="28"/>
                          <w:szCs w:val="34"/>
                        </w:rPr>
                      </w:pPr>
                      <w:r>
                        <w:rPr>
                          <w:rFonts w:ascii="Arial" w:hAnsi="Arial" w:cs="Arial"/>
                          <w:b/>
                          <w:i/>
                          <w:color w:val="E36C0A"/>
                          <w:sz w:val="28"/>
                          <w:szCs w:val="34"/>
                        </w:rPr>
                        <w:t>March 2017</w:t>
                      </w:r>
                    </w:p>
                  </w:txbxContent>
                </v:textbox>
              </v:shape>
            </w:pict>
          </mc:Fallback>
        </mc:AlternateContent>
      </w:r>
      <w:r w:rsidRPr="00653761">
        <w:rPr>
          <w:rFonts w:asciiTheme="minorHAnsi" w:hAnsiTheme="minorHAnsi" w:cs="Arial"/>
          <w:noProof/>
          <w:sz w:val="20"/>
        </w:rPr>
        <mc:AlternateContent>
          <mc:Choice Requires="wps">
            <w:drawing>
              <wp:anchor distT="0" distB="274320" distL="114300" distR="114300" simplePos="0" relativeHeight="251655168" behindDoc="1" locked="0" layoutInCell="1" allowOverlap="1" wp14:anchorId="5EA64C48" wp14:editId="2CC95FC4">
                <wp:simplePos x="0" y="0"/>
                <wp:positionH relativeFrom="column">
                  <wp:posOffset>37465</wp:posOffset>
                </wp:positionH>
                <wp:positionV relativeFrom="paragraph">
                  <wp:posOffset>-133350</wp:posOffset>
                </wp:positionV>
                <wp:extent cx="6772275" cy="1247775"/>
                <wp:effectExtent l="0" t="0" r="28575"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275" cy="12477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95pt;margin-top:-10.5pt;width:533.25pt;height:98.25pt;z-index:-251661312;visibility:visible;mso-wrap-style:square;mso-width-percent:0;mso-height-percent:0;mso-wrap-distance-left:9pt;mso-wrap-distance-top:0;mso-wrap-distance-right:9pt;mso-wrap-distance-bottom:21.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" strokeweight="1pt"/>
            </w:pict>
          </mc:Fallback>
        </mc:AlternateContent>
      </w:r>
      <w:r w:rsidRPr="00653761">
        <w:rPr>
          <w:rFonts w:asciiTheme="minorHAnsi" w:hAnsiTheme="minorHAnsi" w:cs="Arial"/>
          <w:sz w:val="20"/>
        </w:rPr>
        <w:t xml:space="preserve">      </w:t>
      </w:r>
      <w:r w:rsidRPr="00653761">
        <w:rPr>
          <w:rFonts w:asciiTheme="minorHAnsi" w:hAnsiTheme="minorHAnsi" w:cs="Arial"/>
          <w:noProof/>
          <w:sz w:val="20"/>
        </w:rPr>
        <w:drawing>
          <wp:inline distT="0" distB="0" distL="0" distR="0" wp14:anchorId="446BB479" wp14:editId="72F770BA">
            <wp:extent cx="1009650" cy="1019175"/>
            <wp:effectExtent l="0" t="0" r="0" b="9525"/>
            <wp:docPr id="7" name="Picture 29" descr="DPH-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H-logo-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9650" cy="1019175"/>
                    </a:xfrm>
                    <a:prstGeom prst="rect">
                      <a:avLst/>
                    </a:prstGeom>
                    <a:noFill/>
                    <a:ln>
                      <a:noFill/>
                    </a:ln>
                  </pic:spPr>
                </pic:pic>
              </a:graphicData>
            </a:graphic>
          </wp:inline>
        </w:drawing>
      </w:r>
    </w:p>
    <w:p w:rsidR="00653761" w:rsidRPr="00653761" w:rsidRDefault="00653761" w:rsidP="00653761">
      <w:pPr>
        <w:jc w:val="center"/>
        <w:rPr>
          <w:rFonts w:ascii="Cambria" w:eastAsia="MS Gothic" w:hAnsi="Cambria"/>
          <w:color w:val="17365D"/>
          <w:spacing w:val="5"/>
          <w:kern w:val="28"/>
          <w:sz w:val="52"/>
          <w:szCs w:val="52"/>
        </w:rPr>
      </w:pPr>
      <w:r w:rsidRPr="00653761">
        <w:rPr>
          <w:rFonts w:asciiTheme="minorHAnsi" w:hAnsiTheme="minorHAnsi" w:cs="Arial"/>
          <w:noProof/>
          <w:sz w:val="20"/>
        </w:rPr>
        <mc:AlternateContent>
          <mc:Choice Requires="wps">
            <w:drawing>
              <wp:anchor distT="0" distB="0" distL="114300" distR="114300" simplePos="0" relativeHeight="251654144" behindDoc="1" locked="0" layoutInCell="1" allowOverlap="1" wp14:anchorId="19AC898E" wp14:editId="0B25DB57">
                <wp:simplePos x="0" y="0"/>
                <wp:positionH relativeFrom="column">
                  <wp:posOffset>38100</wp:posOffset>
                </wp:positionH>
                <wp:positionV relativeFrom="paragraph">
                  <wp:posOffset>38100</wp:posOffset>
                </wp:positionV>
                <wp:extent cx="6772275" cy="266700"/>
                <wp:effectExtent l="0" t="0" r="28575" b="1905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266700"/>
                        </a:xfrm>
                        <a:prstGeom prst="rect">
                          <a:avLst/>
                        </a:prstGeom>
                        <a:solidFill>
                          <a:srgbClr val="FFFFFF"/>
                        </a:solidFill>
                        <a:ln w="12700">
                          <a:solidFill>
                            <a:srgbClr val="000000"/>
                          </a:solidFill>
                          <a:miter lim="800000"/>
                          <a:headEnd/>
                          <a:tailEnd/>
                        </a:ln>
                      </wps:spPr>
                      <wps:txbx>
                        <w:txbxContent>
                          <w:p w:rsidR="00653761" w:rsidRPr="00573EED" w:rsidRDefault="00653761" w:rsidP="00653761">
                            <w:pPr>
                              <w:tabs>
                                <w:tab w:val="right" w:pos="10350"/>
                              </w:tabs>
                              <w:spacing w:before="120"/>
                              <w:ind w:right="1411" w:hanging="90"/>
                              <w:rPr>
                                <w:rFonts w:ascii="Calibri" w:hAnsi="Calibri"/>
                                <w:sz w:val="18"/>
                                <w:szCs w:val="16"/>
                              </w:rPr>
                            </w:pPr>
                            <w:r w:rsidRPr="00573EED">
                              <w:rPr>
                                <w:rFonts w:ascii="Calibri" w:hAnsi="Calibri"/>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r>
                            <w:r w:rsidR="00F05D62">
                              <w:rPr>
                                <w:rFonts w:ascii="Calibri" w:hAnsi="Calibri"/>
                                <w:caps/>
                                <w:sz w:val="18"/>
                                <w:szCs w:val="16"/>
                              </w:rPr>
                              <w:t xml:space="preserve">RELEASED: </w:t>
                            </w:r>
                            <w:r w:rsidR="00891FA0">
                              <w:rPr>
                                <w:rFonts w:ascii="Calibri" w:hAnsi="Calibri"/>
                                <w:caps/>
                                <w:sz w:val="18"/>
                                <w:szCs w:val="16"/>
                              </w:rPr>
                              <w:t>March 2017</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3pt;margin-top:3pt;width:533.2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" strokeweight="1pt">
                <v:textbox inset=",0,,0">
                  <w:txbxContent>
                    <w:p w:rsidR="00653761" w:rsidRPr="00573EED" w:rsidRDefault="00653761" w:rsidP="00653761">
                      <w:pPr>
                        <w:tabs>
                          <w:tab w:val="right" w:pos="10350"/>
                        </w:tabs>
                        <w:spacing w:before="120"/>
                        <w:ind w:right="1411" w:hanging="90"/>
                        <w:rPr>
                          <w:rFonts w:ascii="Calibri" w:hAnsi="Calibri"/>
                          <w:sz w:val="18"/>
                          <w:szCs w:val="16"/>
                        </w:rPr>
                      </w:pPr>
                      <w:r w:rsidRPr="00573EED">
                        <w:rPr>
                          <w:rFonts w:ascii="Calibri" w:hAnsi="Calibri"/>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r>
                      <w:r w:rsidR="00F05D62">
                        <w:rPr>
                          <w:rFonts w:ascii="Calibri" w:hAnsi="Calibri"/>
                          <w:caps/>
                          <w:sz w:val="18"/>
                          <w:szCs w:val="16"/>
                        </w:rPr>
                        <w:t xml:space="preserve">RELEASED: </w:t>
                      </w:r>
                      <w:r w:rsidR="00891FA0">
                        <w:rPr>
                          <w:rFonts w:ascii="Calibri" w:hAnsi="Calibri"/>
                          <w:caps/>
                          <w:sz w:val="18"/>
                          <w:szCs w:val="16"/>
                        </w:rPr>
                        <w:t>March 2017</w:t>
                      </w:r>
                    </w:p>
                  </w:txbxContent>
                </v:textbox>
              </v:shape>
            </w:pict>
          </mc:Fallback>
        </mc:AlternateContent>
      </w:r>
    </w:p>
    <w:p w:rsidR="0025313B" w:rsidRPr="00F05D62" w:rsidRDefault="00F05D62" w:rsidP="00FE04BA">
      <w:pPr>
        <w:pStyle w:val="Heading1"/>
      </w:pPr>
      <w:r w:rsidRPr="00F05D62">
        <w:t>Back</w:t>
      </w:r>
      <w:r w:rsidRPr="00A87727">
        <w:rPr>
          <w:rStyle w:val="Heading1Char"/>
          <w:b/>
        </w:rPr>
        <w:t>gr</w:t>
      </w:r>
      <w:r w:rsidRPr="00F05D62">
        <w:t>ound</w:t>
      </w:r>
    </w:p>
    <w:p w:rsidR="001F33F8" w:rsidRPr="001F33F8" w:rsidRDefault="001F33F8" w:rsidP="00FE04BA">
      <w:pPr>
        <w:pStyle w:val="BodyText"/>
        <w:suppressLineNumbers/>
        <w:ind w:left="0"/>
        <w:jc w:val="left"/>
        <w:rPr>
          <w:rFonts w:asciiTheme="minorHAnsi" w:hAnsiTheme="minorHAnsi"/>
          <w:sz w:val="22"/>
        </w:rPr>
      </w:pPr>
      <w:r w:rsidRPr="001F33F8">
        <w:rPr>
          <w:rFonts w:asciiTheme="minorHAnsi" w:hAnsiTheme="minorHAnsi"/>
          <w:b/>
          <w:sz w:val="22"/>
        </w:rPr>
        <w:t>Work-related fatalities</w:t>
      </w:r>
      <w:r w:rsidRPr="001F33F8">
        <w:rPr>
          <w:rFonts w:asciiTheme="minorHAnsi" w:hAnsiTheme="minorHAnsi"/>
          <w:sz w:val="22"/>
        </w:rPr>
        <w:t xml:space="preserve"> are a significant public health problem in Massachusetts, as they are in the United States.</w:t>
      </w:r>
      <w:r w:rsidR="006F4707">
        <w:rPr>
          <w:rFonts w:asciiTheme="minorHAnsi" w:hAnsiTheme="minorHAnsi"/>
          <w:sz w:val="22"/>
        </w:rPr>
        <w:t xml:space="preserve"> </w:t>
      </w:r>
      <w:r w:rsidRPr="001F33F8">
        <w:rPr>
          <w:rFonts w:asciiTheme="minorHAnsi" w:hAnsiTheme="minorHAnsi"/>
          <w:sz w:val="22"/>
        </w:rPr>
        <w:t xml:space="preserve"> </w:t>
      </w:r>
      <w:r w:rsidRPr="001F33F8">
        <w:rPr>
          <w:rFonts w:asciiTheme="minorHAnsi" w:hAnsiTheme="minorHAnsi"/>
          <w:b/>
          <w:sz w:val="22"/>
        </w:rPr>
        <w:t>Information about the occupations, industries and circumstances in which these fatalities occur is essential to guide efforts to prevent future fatalities.</w:t>
      </w:r>
      <w:r w:rsidR="00696945">
        <w:rPr>
          <w:rFonts w:asciiTheme="minorHAnsi" w:hAnsiTheme="minorHAnsi"/>
          <w:b/>
          <w:sz w:val="22"/>
        </w:rPr>
        <w:t xml:space="preserve"> </w:t>
      </w:r>
      <w:r w:rsidRPr="001F33F8">
        <w:rPr>
          <w:rFonts w:asciiTheme="minorHAnsi" w:hAnsiTheme="minorHAnsi"/>
          <w:sz w:val="22"/>
        </w:rPr>
        <w:t xml:space="preserve"> Since 1991, the Massachusetts Department of Public Health has collected information on all fatal occupational injuries in the Commonwealth as part of the national Census of Fatal Occupational Injuries, conducted in cooperation with the Bureau of Labor Statistics in the U.S. Department of Labor. </w:t>
      </w:r>
      <w:r w:rsidR="006F4707">
        <w:rPr>
          <w:rFonts w:asciiTheme="minorHAnsi" w:hAnsiTheme="minorHAnsi"/>
          <w:sz w:val="22"/>
        </w:rPr>
        <w:t xml:space="preserve"> </w:t>
      </w:r>
      <w:r w:rsidRPr="001F33F8">
        <w:rPr>
          <w:rFonts w:asciiTheme="minorHAnsi" w:hAnsiTheme="minorHAnsi"/>
          <w:sz w:val="22"/>
        </w:rPr>
        <w:t>The Department of Public Health also conducts on-site investigations of fatalities with the aim of identifying workplace factors that increase the risk of fatal injury.</w:t>
      </w:r>
    </w:p>
    <w:p w:rsidR="001F33F8" w:rsidRPr="001F33F8" w:rsidRDefault="001F33F8" w:rsidP="00FE04BA">
      <w:pPr>
        <w:pStyle w:val="Body1"/>
        <w:jc w:val="left"/>
      </w:pPr>
      <w:r w:rsidRPr="001F33F8">
        <w:t xml:space="preserve">This </w:t>
      </w:r>
      <w:r>
        <w:t>brief</w:t>
      </w:r>
      <w:r w:rsidRPr="001F33F8">
        <w:t xml:space="preserve"> provides a summary of fatal occupational injuries in Massachusetts during 2008–2013.</w:t>
      </w:r>
      <w:r w:rsidR="006F4707">
        <w:t xml:space="preserve"> </w:t>
      </w:r>
      <w:r w:rsidRPr="001F33F8">
        <w:t xml:space="preserve"> It includes a comparison of the occupational fatality experience in Massachusetts during this time with that of the nation as a whole as well as with the Massachusetts findings for the previous surveillance period (2000–2007). </w:t>
      </w:r>
      <w:r w:rsidR="006F4707">
        <w:t xml:space="preserve"> </w:t>
      </w:r>
      <w:r w:rsidRPr="001F33F8">
        <w:t xml:space="preserve">Findings are intended to guide the many stakeholders – government agencies, employers, unions, safety professionals, advocacy organizations, researchers, job trainers, and equipment design engineers – all of whom have important roles to play in preventing fatal injuries at work. </w:t>
      </w:r>
    </w:p>
    <w:p w:rsidR="007C31D4" w:rsidRDefault="00B91778" w:rsidP="00FE04BA">
      <w:pPr>
        <w:pStyle w:val="Heading1"/>
      </w:pPr>
      <w:r>
        <w:t>Fatal Occupational Injuries</w:t>
      </w:r>
    </w:p>
    <w:p w:rsidR="00111DA5" w:rsidRDefault="00111DA5" w:rsidP="00111DA5">
      <w:pPr>
        <w:rPr>
          <w:rFonts w:asciiTheme="minorHAnsi" w:hAnsiTheme="minorHAnsi"/>
          <w:sz w:val="22"/>
          <w:szCs w:val="22"/>
        </w:rPr>
      </w:pPr>
      <w:r w:rsidRPr="00111DA5">
        <w:rPr>
          <w:rFonts w:asciiTheme="minorHAnsi" w:hAnsiTheme="minorHAnsi"/>
          <w:sz w:val="22"/>
          <w:szCs w:val="22"/>
        </w:rPr>
        <w:t>A fatal occupational injury is defined as a death resulting from traumatic injury or other external cause that occurred while the person was at work.</w:t>
      </w:r>
      <w:r w:rsidR="006F4707">
        <w:rPr>
          <w:rFonts w:asciiTheme="minorHAnsi" w:hAnsiTheme="minorHAnsi"/>
          <w:sz w:val="22"/>
          <w:szCs w:val="22"/>
        </w:rPr>
        <w:t xml:space="preserve"> </w:t>
      </w:r>
      <w:r w:rsidRPr="00111DA5">
        <w:rPr>
          <w:rFonts w:asciiTheme="minorHAnsi" w:hAnsiTheme="minorHAnsi"/>
          <w:sz w:val="22"/>
          <w:szCs w:val="22"/>
        </w:rPr>
        <w:t xml:space="preserve"> This definition includes fatalities due to acute exposure to toxic chemicals or physical agents as well as lack of such essentials as heat or oxygen.</w:t>
      </w:r>
      <w:r w:rsidR="006F4707">
        <w:rPr>
          <w:rFonts w:asciiTheme="minorHAnsi" w:hAnsiTheme="minorHAnsi"/>
          <w:sz w:val="22"/>
          <w:szCs w:val="22"/>
        </w:rPr>
        <w:t xml:space="preserve"> </w:t>
      </w:r>
      <w:r w:rsidRPr="00111DA5">
        <w:rPr>
          <w:rFonts w:asciiTheme="minorHAnsi" w:hAnsiTheme="minorHAnsi"/>
          <w:sz w:val="22"/>
          <w:szCs w:val="22"/>
        </w:rPr>
        <w:t xml:space="preserve"> Examples include those events traditionally linked with factors in the work environment such as falls, electrocutions, and crushings, as well as workplace homicides and suicides and motor vehicle fatalities that occur while traveling on the job.</w:t>
      </w:r>
    </w:p>
    <w:p w:rsidR="00111DA5" w:rsidRPr="00111DA5" w:rsidRDefault="00111DA5" w:rsidP="00111DA5">
      <w:pPr>
        <w:rPr>
          <w:rFonts w:asciiTheme="minorHAnsi" w:hAnsiTheme="minorHAnsi"/>
          <w:sz w:val="22"/>
          <w:szCs w:val="22"/>
        </w:rPr>
      </w:pPr>
    </w:p>
    <w:p w:rsidR="00BE32A4" w:rsidRPr="00BE32A4" w:rsidRDefault="00BE32A4" w:rsidP="00FE04BA">
      <w:pPr>
        <w:pStyle w:val="Body1"/>
        <w:numPr>
          <w:ilvl w:val="0"/>
          <w:numId w:val="14"/>
        </w:numPr>
        <w:jc w:val="left"/>
      </w:pPr>
      <w:r w:rsidRPr="00BE32A4">
        <w:t>During 2008–2013, a total of 356 workers were fatally injured at work in Massachusetts – an average of more than one worker death each week.</w:t>
      </w:r>
    </w:p>
    <w:p w:rsidR="00BE32A4" w:rsidRPr="00BE32A4" w:rsidRDefault="00BE32A4" w:rsidP="00FE04BA">
      <w:pPr>
        <w:pStyle w:val="Body1"/>
        <w:numPr>
          <w:ilvl w:val="0"/>
          <w:numId w:val="22"/>
        </w:numPr>
        <w:jc w:val="left"/>
      </w:pPr>
      <w:r w:rsidRPr="00BE32A4">
        <w:t xml:space="preserve">The annual average rate of fatal occupational injury was 2.0 deaths per 100,000 full-time workers. </w:t>
      </w:r>
      <w:r w:rsidR="006F4707">
        <w:t xml:space="preserve"> </w:t>
      </w:r>
      <w:r w:rsidRPr="00BE32A4">
        <w:t>There was no consistent upward or downward trend in the rate ove</w:t>
      </w:r>
      <w:r w:rsidR="00B91778">
        <w:t>r the six-year period</w:t>
      </w:r>
      <w:r w:rsidRPr="00BE32A4">
        <w:t>.  There was, however, a decline in the rate over the ten</w:t>
      </w:r>
      <w:r w:rsidR="00B91778">
        <w:t>-year period 2004-2013</w:t>
      </w:r>
      <w:r w:rsidRPr="00BE32A4">
        <w:t>.</w:t>
      </w:r>
      <w:r w:rsidRPr="00FE04BA">
        <w:rPr>
          <w:vertAlign w:val="superscript"/>
        </w:rPr>
        <w:footnoteReference w:id="1"/>
      </w:r>
    </w:p>
    <w:p w:rsidR="00BE32A4" w:rsidRPr="00FE04BA" w:rsidRDefault="00BE32A4" w:rsidP="00FE04BA">
      <w:pPr>
        <w:pStyle w:val="Body1"/>
        <w:jc w:val="left"/>
        <w:rPr>
          <w:b/>
        </w:rPr>
      </w:pPr>
      <w:r w:rsidRPr="00FE04BA">
        <w:rPr>
          <w:b/>
        </w:rPr>
        <w:t xml:space="preserve">Sex and Age </w:t>
      </w:r>
    </w:p>
    <w:p w:rsidR="00BE32A4" w:rsidRPr="00BE32A4" w:rsidRDefault="00BE32A4" w:rsidP="00FE04BA">
      <w:pPr>
        <w:pStyle w:val="Body1"/>
        <w:numPr>
          <w:ilvl w:val="0"/>
          <w:numId w:val="15"/>
        </w:numPr>
        <w:jc w:val="left"/>
      </w:pPr>
      <w:r w:rsidRPr="00BE32A4">
        <w:t xml:space="preserve">The great majority of victims (93.0%, n=331) were male, and the fatality rate for male workers was more than ten times higher than the rate for female workers. </w:t>
      </w:r>
    </w:p>
    <w:p w:rsidR="00BE32A4" w:rsidRPr="00BE32A4" w:rsidRDefault="00BE32A4" w:rsidP="00FE04BA">
      <w:pPr>
        <w:pStyle w:val="Body1"/>
        <w:numPr>
          <w:ilvl w:val="0"/>
          <w:numId w:val="15"/>
        </w:numPr>
        <w:jc w:val="left"/>
      </w:pPr>
      <w:r w:rsidRPr="00BE32A4">
        <w:t xml:space="preserve">The rate of fatal occupational injury increased with the age of the workers. </w:t>
      </w:r>
      <w:r w:rsidR="006F4707">
        <w:t xml:space="preserve"> </w:t>
      </w:r>
      <w:r w:rsidRPr="00BE32A4">
        <w:t xml:space="preserve">The fatality rate for workers 65 years of age or older was more than three times higher than the rate for workers under 35 years of age.  </w:t>
      </w:r>
    </w:p>
    <w:p w:rsidR="00BE32A4" w:rsidRPr="00FE04BA" w:rsidRDefault="00BE32A4" w:rsidP="00FE04BA">
      <w:pPr>
        <w:pStyle w:val="Body1"/>
        <w:jc w:val="left"/>
        <w:rPr>
          <w:b/>
        </w:rPr>
      </w:pPr>
      <w:r w:rsidRPr="00FE04BA">
        <w:rPr>
          <w:b/>
        </w:rPr>
        <w:t>Race, Hispanic Origin, and Nativity</w:t>
      </w:r>
    </w:p>
    <w:p w:rsidR="00BE32A4" w:rsidRPr="00BE32A4" w:rsidRDefault="00BE32A4" w:rsidP="00FE04BA">
      <w:pPr>
        <w:pStyle w:val="Body1"/>
        <w:numPr>
          <w:ilvl w:val="0"/>
          <w:numId w:val="15"/>
        </w:numPr>
        <w:jc w:val="left"/>
      </w:pPr>
      <w:r w:rsidRPr="00BE32A4">
        <w:t xml:space="preserve">Workers of Hispanic origin had a higher rate of fatal occupational injury than White non-Hispanic workers.  </w:t>
      </w:r>
    </w:p>
    <w:p w:rsidR="00BE32A4" w:rsidRPr="00BE32A4" w:rsidRDefault="00BE32A4" w:rsidP="00FE04BA">
      <w:pPr>
        <w:pStyle w:val="Body1"/>
        <w:numPr>
          <w:ilvl w:val="0"/>
          <w:numId w:val="15"/>
        </w:numPr>
        <w:jc w:val="left"/>
      </w:pPr>
      <w:r w:rsidRPr="00BE32A4">
        <w:lastRenderedPageBreak/>
        <w:t xml:space="preserve">Approximately one in five workers fatally injured at work was born outside of the United States, and the fatality rate among foreign-born workers was higher than the rate for U.S.-born workers. </w:t>
      </w:r>
    </w:p>
    <w:p w:rsidR="00BE32A4" w:rsidRPr="00BE32A4" w:rsidRDefault="00BE32A4" w:rsidP="00FE04BA">
      <w:pPr>
        <w:pStyle w:val="Body1"/>
        <w:numPr>
          <w:ilvl w:val="0"/>
          <w:numId w:val="15"/>
        </w:numPr>
        <w:jc w:val="left"/>
        <w:rPr>
          <w:b/>
          <w:i/>
        </w:rPr>
      </w:pPr>
      <w:r w:rsidRPr="00BE32A4">
        <w:t>The Construction industry, a high hazard industry, accounted for the greatest percentage of fatalities among minority workers (18.8%, n=16) and among foreign-born workers (24.7%, n=21).</w:t>
      </w:r>
    </w:p>
    <w:p w:rsidR="00111DA5" w:rsidRDefault="00D01F21" w:rsidP="00FE04BA">
      <w:pPr>
        <w:pStyle w:val="Body1"/>
        <w:jc w:val="left"/>
        <w:rPr>
          <w:b/>
        </w:rPr>
      </w:pPr>
      <w:r>
        <w:rPr>
          <w:b/>
          <w:noProof/>
        </w:rPr>
        <w:drawing>
          <wp:inline distT="0" distB="0" distL="0" distR="0" wp14:anchorId="266DFA38">
            <wp:extent cx="5693134" cy="4131816"/>
            <wp:effectExtent l="0" t="0" r="3175" b="2540"/>
            <wp:docPr id="3" name="Picture 3" descr="&#10;Year  Number  Rate&#10;2008  68  2.2&#10;2009  64  2.2&#10;2010  54  1.8&#10;2011  68  2.2&#10;2012  44  1.4&#10;2013  58  1.9&#10;&#10;Numerator source: Occupational Health Surveillance Program, MA FACE and CFOI, 2008-2013&#10;Denominator source: BLS Current Population Survey workforce estimates, 2008-2013&#10;" title="Chart 1. Number and Rate of Fatal Occupational Injuries by Year, Massachusetts, 2008-2013 (N=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95092" cy="4133237"/>
                    </a:xfrm>
                    <a:prstGeom prst="rect">
                      <a:avLst/>
                    </a:prstGeom>
                    <a:noFill/>
                  </pic:spPr>
                </pic:pic>
              </a:graphicData>
            </a:graphic>
          </wp:inline>
        </w:drawing>
      </w:r>
      <w:bookmarkStart w:id="0" w:name="_GoBack"/>
      <w:bookmarkEnd w:id="0"/>
    </w:p>
    <w:p w:rsidR="001713DD" w:rsidRPr="00FE04BA" w:rsidRDefault="001713DD" w:rsidP="001713DD">
      <w:pPr>
        <w:pStyle w:val="Body1"/>
        <w:jc w:val="left"/>
        <w:rPr>
          <w:b/>
        </w:rPr>
      </w:pPr>
      <w:r w:rsidRPr="00FE04BA">
        <w:rPr>
          <w:b/>
        </w:rPr>
        <w:t>Industry and Occupation</w:t>
      </w:r>
    </w:p>
    <w:p w:rsidR="001713DD" w:rsidRPr="00BE32A4" w:rsidRDefault="001713DD" w:rsidP="001713DD">
      <w:pPr>
        <w:pStyle w:val="Body1"/>
        <w:numPr>
          <w:ilvl w:val="0"/>
          <w:numId w:val="16"/>
        </w:numPr>
        <w:jc w:val="left"/>
      </w:pPr>
      <w:r w:rsidRPr="00BE32A4">
        <w:t>The Agriculture, Forestry, Fishing, and Hunting industry sector had the highest fatal occupational injury rate, more than 22 times higher than the</w:t>
      </w:r>
      <w:r>
        <w:t xml:space="preserve"> rate for all industry sectors</w:t>
      </w:r>
      <w:r w:rsidRPr="00BE32A4">
        <w:t xml:space="preserve">. </w:t>
      </w:r>
      <w:r w:rsidR="006F4707">
        <w:t xml:space="preserve"> </w:t>
      </w:r>
      <w:r w:rsidRPr="00BE32A4">
        <w:t xml:space="preserve">Twenty-two of the 30 victims in this industry sector worked in commercial fishing. </w:t>
      </w:r>
    </w:p>
    <w:p w:rsidR="001713DD" w:rsidRPr="00BE32A4" w:rsidRDefault="001713DD" w:rsidP="001713DD">
      <w:pPr>
        <w:pStyle w:val="Body1"/>
        <w:numPr>
          <w:ilvl w:val="0"/>
          <w:numId w:val="16"/>
        </w:numPr>
        <w:jc w:val="left"/>
      </w:pPr>
      <w:r w:rsidRPr="00BE32A4">
        <w:t>The Construction industry sector had the highest number of fatal injuries (n=85, 23.9%) and one of the highest fatal occupational injury rates.</w:t>
      </w:r>
      <w:r w:rsidR="006F4707">
        <w:t xml:space="preserve"> </w:t>
      </w:r>
      <w:r w:rsidRPr="00BE32A4">
        <w:t xml:space="preserve"> A majority (67.0%) of the victims worked in a specialty tra</w:t>
      </w:r>
      <w:r>
        <w:t>de such as roofing or painting</w:t>
      </w:r>
      <w:r w:rsidRPr="00BE32A4">
        <w:t xml:space="preserve">. More than half of fatal injuries in the Construction sector resulted when workers fell to a lower level. </w:t>
      </w:r>
    </w:p>
    <w:p w:rsidR="001713DD" w:rsidRPr="00BE32A4" w:rsidRDefault="001713DD" w:rsidP="001713DD">
      <w:pPr>
        <w:pStyle w:val="Body1"/>
        <w:numPr>
          <w:ilvl w:val="0"/>
          <w:numId w:val="16"/>
        </w:numPr>
        <w:jc w:val="left"/>
      </w:pPr>
      <w:r w:rsidRPr="00BE32A4">
        <w:t xml:space="preserve">During 2008–2013, workers in the Farming, Forestry and Fishing occupation group had the highest fatal occupational injury rate, nearly 40 times higher than the </w:t>
      </w:r>
      <w:r>
        <w:t>rate for all occupation groups</w:t>
      </w:r>
      <w:r w:rsidRPr="00BE32A4">
        <w:t xml:space="preserve">. </w:t>
      </w:r>
      <w:r w:rsidR="006F4707">
        <w:t xml:space="preserve"> </w:t>
      </w:r>
      <w:r w:rsidRPr="00BE32A4">
        <w:t>Most of the workers in this group (22 of 26) were fishers.  More fishing workers lost their lives th</w:t>
      </w:r>
      <w:r>
        <w:t>an any other single occupation</w:t>
      </w:r>
      <w:r w:rsidRPr="00BE32A4">
        <w:t xml:space="preserve">. </w:t>
      </w:r>
    </w:p>
    <w:p w:rsidR="00BE32A4" w:rsidRPr="00FE04BA" w:rsidRDefault="00BE32A4" w:rsidP="00FE04BA">
      <w:pPr>
        <w:pStyle w:val="Body1"/>
        <w:jc w:val="left"/>
        <w:rPr>
          <w:b/>
        </w:rPr>
      </w:pPr>
      <w:r w:rsidRPr="00FE04BA">
        <w:rPr>
          <w:b/>
        </w:rPr>
        <w:t>Fatal Event</w:t>
      </w:r>
    </w:p>
    <w:p w:rsidR="00BE32A4" w:rsidRPr="00BE32A4" w:rsidRDefault="00BE32A4" w:rsidP="00FE04BA">
      <w:pPr>
        <w:pStyle w:val="Body1"/>
        <w:numPr>
          <w:ilvl w:val="0"/>
          <w:numId w:val="17"/>
        </w:numPr>
        <w:jc w:val="left"/>
      </w:pPr>
      <w:r w:rsidRPr="00BE32A4">
        <w:t xml:space="preserve">Falling to a lower level was the leading fatal event in Massachusetts, claiming 75 lives (21.1%) during the six-year period. </w:t>
      </w:r>
    </w:p>
    <w:p w:rsidR="00BE32A4" w:rsidRDefault="00BE32A4" w:rsidP="00FE04BA">
      <w:pPr>
        <w:pStyle w:val="Body1"/>
        <w:numPr>
          <w:ilvl w:val="0"/>
          <w:numId w:val="17"/>
        </w:numPr>
        <w:jc w:val="left"/>
      </w:pPr>
      <w:r w:rsidRPr="00BE32A4">
        <w:t xml:space="preserve">Most fatal falls to a lower level occurred in the Construction industry (47 of 75), and this industry had a high rate of fatal falls to a lower level – about 10 times the fatal fall rate for all industry sectors. </w:t>
      </w:r>
      <w:r w:rsidR="006F4707">
        <w:t xml:space="preserve"> </w:t>
      </w:r>
      <w:r w:rsidRPr="00BE32A4">
        <w:t>The majority of these falls were from a height of 20 feet or less.</w:t>
      </w:r>
    </w:p>
    <w:tbl>
      <w:tblPr>
        <w:tblpPr w:leftFromText="180" w:rightFromText="180" w:vertAnchor="text" w:horzAnchor="margin" w:tblpY="80"/>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430"/>
        <w:gridCol w:w="6570"/>
      </w:tblGrid>
      <w:tr w:rsidR="00B02D0C" w:rsidRPr="00B02D0C" w:rsidTr="00B02D0C">
        <w:trPr>
          <w:tblHeader/>
        </w:trPr>
        <w:tc>
          <w:tcPr>
            <w:tcW w:w="9000" w:type="dxa"/>
            <w:gridSpan w:val="2"/>
            <w:tcBorders>
              <w:top w:val="nil"/>
              <w:left w:val="nil"/>
              <w:bottom w:val="single" w:sz="4" w:space="0" w:color="auto"/>
              <w:right w:val="nil"/>
            </w:tcBorders>
          </w:tcPr>
          <w:p w:rsidR="00B02D0C" w:rsidRPr="005B42D4" w:rsidRDefault="00B02D0C" w:rsidP="00696945">
            <w:pPr>
              <w:rPr>
                <w:rFonts w:asciiTheme="minorHAnsi" w:hAnsiTheme="minorHAnsi"/>
                <w:b/>
                <w:spacing w:val="-5"/>
                <w:sz w:val="22"/>
                <w:szCs w:val="22"/>
              </w:rPr>
            </w:pPr>
            <w:r w:rsidRPr="00B02D0C">
              <w:rPr>
                <w:rFonts w:asciiTheme="minorHAnsi" w:hAnsiTheme="minorHAnsi" w:cs="Arial"/>
                <w:b/>
                <w:i/>
                <w:color w:val="FF0000"/>
                <w:spacing w:val="-5"/>
                <w:sz w:val="20"/>
              </w:rPr>
              <w:lastRenderedPageBreak/>
              <w:t> </w:t>
            </w:r>
            <w:r w:rsidRPr="005B42D4">
              <w:rPr>
                <w:rFonts w:asciiTheme="minorHAnsi" w:hAnsiTheme="minorHAnsi"/>
                <w:b/>
                <w:spacing w:val="-5"/>
                <w:sz w:val="22"/>
                <w:szCs w:val="22"/>
              </w:rPr>
              <w:t>Table 1.  Leading Events/Exposures resulting in Fatal Occupational Injuries, Massachusetts, 2008–2013 (N=356)</w:t>
            </w:r>
          </w:p>
        </w:tc>
      </w:tr>
      <w:tr w:rsidR="00B02D0C" w:rsidRPr="00B02D0C" w:rsidTr="00B02D0C">
        <w:tc>
          <w:tcPr>
            <w:tcW w:w="2430" w:type="dxa"/>
            <w:tcBorders>
              <w:top w:val="single" w:sz="4" w:space="0" w:color="auto"/>
              <w:left w:val="single" w:sz="4" w:space="0" w:color="auto"/>
              <w:bottom w:val="single" w:sz="4" w:space="0" w:color="auto"/>
            </w:tcBorders>
          </w:tcPr>
          <w:p w:rsidR="00B02D0C" w:rsidRPr="005B42D4" w:rsidRDefault="00B02D0C" w:rsidP="009E4B87">
            <w:pPr>
              <w:rPr>
                <w:rFonts w:asciiTheme="minorHAnsi" w:hAnsiTheme="minorHAnsi"/>
                <w:b/>
                <w:spacing w:val="-5"/>
                <w:sz w:val="20"/>
              </w:rPr>
            </w:pPr>
            <w:r w:rsidRPr="005B42D4">
              <w:rPr>
                <w:rFonts w:asciiTheme="minorHAnsi" w:hAnsiTheme="minorHAnsi"/>
                <w:b/>
                <w:spacing w:val="-5"/>
                <w:sz w:val="20"/>
              </w:rPr>
              <w:t>Event/Exposure  Category (</w:t>
            </w:r>
            <w:r w:rsidR="004F4661">
              <w:rPr>
                <w:rFonts w:asciiTheme="minorHAnsi" w:hAnsiTheme="minorHAnsi"/>
                <w:b/>
                <w:spacing w:val="-5"/>
                <w:sz w:val="20"/>
              </w:rPr>
              <w:t>n</w:t>
            </w:r>
            <w:r w:rsidRPr="005B42D4">
              <w:rPr>
                <w:rFonts w:asciiTheme="minorHAnsi" w:hAnsiTheme="minorHAnsi"/>
                <w:b/>
                <w:spacing w:val="-5"/>
                <w:sz w:val="20"/>
              </w:rPr>
              <w:t>)</w:t>
            </w:r>
          </w:p>
        </w:tc>
        <w:tc>
          <w:tcPr>
            <w:tcW w:w="6570" w:type="dxa"/>
            <w:tcBorders>
              <w:top w:val="single" w:sz="4" w:space="0" w:color="auto"/>
              <w:bottom w:val="single" w:sz="4" w:space="0" w:color="auto"/>
              <w:right w:val="single" w:sz="4" w:space="0" w:color="auto"/>
            </w:tcBorders>
          </w:tcPr>
          <w:p w:rsidR="00B02D0C" w:rsidRPr="005B42D4" w:rsidRDefault="00B02D0C" w:rsidP="009E4B87">
            <w:pPr>
              <w:keepNext/>
              <w:spacing w:after="240"/>
              <w:outlineLvl w:val="1"/>
              <w:rPr>
                <w:rFonts w:asciiTheme="minorHAnsi" w:hAnsiTheme="minorHAnsi"/>
                <w:b/>
                <w:sz w:val="20"/>
              </w:rPr>
            </w:pPr>
            <w:bookmarkStart w:id="1" w:name="_Toc15882885"/>
            <w:r w:rsidRPr="005B42D4">
              <w:rPr>
                <w:rFonts w:asciiTheme="minorHAnsi" w:hAnsiTheme="minorHAnsi"/>
                <w:b/>
                <w:sz w:val="20"/>
              </w:rPr>
              <w:t>Events/Exposures with Three or More Fatalities</w:t>
            </w:r>
            <w:bookmarkEnd w:id="1"/>
            <w:r w:rsidRPr="005B42D4">
              <w:rPr>
                <w:rFonts w:asciiTheme="minorHAnsi" w:hAnsiTheme="minorHAnsi"/>
                <w:b/>
                <w:sz w:val="20"/>
              </w:rPr>
              <w:t xml:space="preserve"> (</w:t>
            </w:r>
            <w:r w:rsidR="004F4661">
              <w:rPr>
                <w:rFonts w:asciiTheme="minorHAnsi" w:hAnsiTheme="minorHAnsi"/>
                <w:b/>
                <w:sz w:val="20"/>
              </w:rPr>
              <w:t>n</w:t>
            </w:r>
            <w:r w:rsidRPr="005B42D4">
              <w:rPr>
                <w:rFonts w:asciiTheme="minorHAnsi" w:hAnsiTheme="minorHAnsi"/>
                <w:b/>
                <w:sz w:val="20"/>
              </w:rPr>
              <w:t>)</w:t>
            </w:r>
          </w:p>
        </w:tc>
      </w:tr>
      <w:tr w:rsidR="00B02D0C" w:rsidRPr="00B02D0C" w:rsidTr="00B02D0C">
        <w:tc>
          <w:tcPr>
            <w:tcW w:w="2430" w:type="dxa"/>
            <w:tcBorders>
              <w:top w:val="single" w:sz="4" w:space="0" w:color="auto"/>
            </w:tcBorders>
          </w:tcPr>
          <w:p w:rsidR="00B02D0C" w:rsidRPr="00B02D0C" w:rsidRDefault="00B02D0C" w:rsidP="00B02D0C">
            <w:pPr>
              <w:spacing w:before="20" w:after="20"/>
              <w:rPr>
                <w:rFonts w:asciiTheme="minorHAnsi" w:hAnsiTheme="minorHAnsi"/>
                <w:sz w:val="19"/>
                <w:szCs w:val="19"/>
              </w:rPr>
            </w:pPr>
            <w:r w:rsidRPr="00B02D0C">
              <w:rPr>
                <w:rFonts w:asciiTheme="minorHAnsi" w:hAnsiTheme="minorHAnsi"/>
                <w:sz w:val="19"/>
                <w:szCs w:val="19"/>
              </w:rPr>
              <w:t>Transportation Incident (101)</w:t>
            </w:r>
          </w:p>
          <w:p w:rsidR="00B02D0C" w:rsidRPr="00B02D0C" w:rsidRDefault="00B02D0C" w:rsidP="00B02D0C">
            <w:pPr>
              <w:spacing w:before="20" w:after="20" w:line="190" w:lineRule="atLeast"/>
              <w:ind w:left="1080"/>
              <w:rPr>
                <w:rFonts w:asciiTheme="minorHAnsi" w:hAnsiTheme="minorHAnsi"/>
                <w:caps/>
                <w:color w:val="FF0000"/>
                <w:sz w:val="19"/>
                <w:szCs w:val="19"/>
              </w:rPr>
            </w:pPr>
          </w:p>
        </w:tc>
        <w:tc>
          <w:tcPr>
            <w:tcW w:w="6570" w:type="dxa"/>
            <w:tcBorders>
              <w:top w:val="single" w:sz="4" w:space="0" w:color="auto"/>
            </w:tcBorders>
          </w:tcPr>
          <w:p w:rsidR="00B02D0C" w:rsidRPr="00B02D0C" w:rsidRDefault="00B02D0C" w:rsidP="00B02D0C">
            <w:pPr>
              <w:spacing w:before="20" w:after="20"/>
              <w:rPr>
                <w:rFonts w:asciiTheme="minorHAnsi" w:hAnsiTheme="minorHAnsi"/>
                <w:b/>
                <w:i/>
                <w:spacing w:val="-5"/>
                <w:sz w:val="19"/>
                <w:szCs w:val="19"/>
              </w:rPr>
            </w:pPr>
            <w:r w:rsidRPr="00B02D0C">
              <w:rPr>
                <w:rFonts w:asciiTheme="minorHAnsi" w:hAnsiTheme="minorHAnsi"/>
                <w:b/>
                <w:spacing w:val="-5"/>
                <w:sz w:val="19"/>
                <w:szCs w:val="19"/>
              </w:rPr>
              <w:t xml:space="preserve">Highway motor-vehicle related incident (41) </w:t>
            </w:r>
          </w:p>
          <w:p w:rsidR="00B02D0C" w:rsidRPr="00B02D0C" w:rsidRDefault="00B02D0C" w:rsidP="00B02D0C">
            <w:pPr>
              <w:spacing w:before="20" w:after="20"/>
              <w:rPr>
                <w:rFonts w:asciiTheme="minorHAnsi" w:hAnsiTheme="minorHAnsi"/>
                <w:i/>
                <w:spacing w:val="-5"/>
                <w:sz w:val="19"/>
                <w:szCs w:val="19"/>
              </w:rPr>
            </w:pPr>
            <w:r w:rsidRPr="00B02D0C">
              <w:rPr>
                <w:rFonts w:asciiTheme="minorHAnsi" w:hAnsiTheme="minorHAnsi"/>
                <w:i/>
                <w:spacing w:val="-5"/>
                <w:sz w:val="19"/>
                <w:szCs w:val="19"/>
              </w:rPr>
              <w:t xml:space="preserve">      Collision between vehicles or mobile equipment (21)</w:t>
            </w:r>
          </w:p>
          <w:p w:rsidR="00B02D0C" w:rsidRPr="00B02D0C" w:rsidRDefault="00B02D0C" w:rsidP="00B02D0C">
            <w:pPr>
              <w:spacing w:before="20" w:after="20"/>
              <w:rPr>
                <w:rFonts w:asciiTheme="minorHAnsi" w:hAnsiTheme="minorHAnsi"/>
                <w:i/>
                <w:spacing w:val="-5"/>
                <w:sz w:val="19"/>
                <w:szCs w:val="19"/>
              </w:rPr>
            </w:pPr>
            <w:r w:rsidRPr="00B02D0C">
              <w:rPr>
                <w:rFonts w:asciiTheme="minorHAnsi" w:hAnsiTheme="minorHAnsi"/>
                <w:i/>
                <w:color w:val="FF0000"/>
                <w:spacing w:val="-5"/>
                <w:sz w:val="19"/>
                <w:szCs w:val="19"/>
              </w:rPr>
              <w:t xml:space="preserve">      </w:t>
            </w:r>
            <w:r w:rsidRPr="00B02D0C">
              <w:rPr>
                <w:rFonts w:asciiTheme="minorHAnsi" w:hAnsiTheme="minorHAnsi"/>
                <w:i/>
                <w:spacing w:val="-5"/>
                <w:sz w:val="19"/>
                <w:szCs w:val="19"/>
              </w:rPr>
              <w:t xml:space="preserve">Collision between vehicles and other objects (10) </w:t>
            </w:r>
          </w:p>
          <w:p w:rsidR="00B02D0C" w:rsidRPr="00B02D0C" w:rsidRDefault="00B02D0C" w:rsidP="00B02D0C">
            <w:pPr>
              <w:spacing w:before="20" w:after="20"/>
              <w:rPr>
                <w:rFonts w:asciiTheme="minorHAnsi" w:hAnsiTheme="minorHAnsi"/>
                <w:spacing w:val="-5"/>
                <w:sz w:val="19"/>
                <w:szCs w:val="19"/>
              </w:rPr>
            </w:pPr>
            <w:r w:rsidRPr="00B02D0C">
              <w:rPr>
                <w:rFonts w:asciiTheme="minorHAnsi" w:hAnsiTheme="minorHAnsi"/>
                <w:i/>
                <w:spacing w:val="-5"/>
                <w:sz w:val="19"/>
                <w:szCs w:val="19"/>
              </w:rPr>
              <w:t xml:space="preserve">      Non-collision incident (10)</w:t>
            </w:r>
            <w:r w:rsidRPr="00B02D0C">
              <w:rPr>
                <w:rFonts w:asciiTheme="minorHAnsi" w:hAnsiTheme="minorHAnsi"/>
                <w:spacing w:val="-5"/>
                <w:sz w:val="19"/>
                <w:szCs w:val="19"/>
              </w:rPr>
              <w:t xml:space="preserve"> </w:t>
            </w:r>
          </w:p>
          <w:p w:rsidR="00B02D0C" w:rsidRPr="00B02D0C" w:rsidRDefault="00B02D0C" w:rsidP="00B02D0C">
            <w:pPr>
              <w:spacing w:before="20" w:after="20"/>
              <w:rPr>
                <w:rFonts w:asciiTheme="minorHAnsi" w:hAnsiTheme="minorHAnsi"/>
                <w:b/>
                <w:spacing w:val="-5"/>
                <w:sz w:val="19"/>
                <w:szCs w:val="19"/>
              </w:rPr>
            </w:pPr>
            <w:r w:rsidRPr="00B02D0C">
              <w:rPr>
                <w:rFonts w:asciiTheme="minorHAnsi" w:hAnsiTheme="minorHAnsi"/>
                <w:b/>
                <w:spacing w:val="-5"/>
                <w:sz w:val="19"/>
                <w:szCs w:val="19"/>
              </w:rPr>
              <w:t xml:space="preserve">Worker struck by motor vehicle or mobile equipment (24) </w:t>
            </w:r>
          </w:p>
          <w:p w:rsidR="00B02D0C" w:rsidRPr="00B02D0C" w:rsidRDefault="00B02D0C" w:rsidP="00B02D0C">
            <w:pPr>
              <w:spacing w:before="20" w:after="20"/>
              <w:rPr>
                <w:rFonts w:asciiTheme="minorHAnsi" w:hAnsiTheme="minorHAnsi"/>
                <w:i/>
                <w:spacing w:val="-5"/>
                <w:sz w:val="19"/>
                <w:szCs w:val="19"/>
              </w:rPr>
            </w:pPr>
            <w:r w:rsidRPr="00B02D0C">
              <w:rPr>
                <w:rFonts w:asciiTheme="minorHAnsi" w:hAnsiTheme="minorHAnsi"/>
                <w:spacing w:val="-5"/>
                <w:sz w:val="19"/>
                <w:szCs w:val="19"/>
              </w:rPr>
              <w:t xml:space="preserve">Water vehicle incident (17) </w:t>
            </w:r>
          </w:p>
          <w:p w:rsidR="00B02D0C" w:rsidRPr="00B02D0C" w:rsidRDefault="00B02D0C" w:rsidP="00B02D0C">
            <w:pPr>
              <w:spacing w:before="20" w:after="20"/>
              <w:rPr>
                <w:rFonts w:asciiTheme="minorHAnsi" w:hAnsiTheme="minorHAnsi"/>
                <w:i/>
                <w:spacing w:val="-5"/>
                <w:sz w:val="19"/>
                <w:szCs w:val="19"/>
              </w:rPr>
            </w:pPr>
            <w:r w:rsidRPr="00B02D0C">
              <w:rPr>
                <w:rFonts w:asciiTheme="minorHAnsi" w:hAnsiTheme="minorHAnsi"/>
                <w:i/>
                <w:spacing w:val="-5"/>
                <w:sz w:val="19"/>
                <w:szCs w:val="19"/>
              </w:rPr>
              <w:t xml:space="preserve">      Sinking or capsizing water vehicle (8)</w:t>
            </w:r>
          </w:p>
          <w:p w:rsidR="00B02D0C" w:rsidRPr="00B02D0C" w:rsidRDefault="00B02D0C" w:rsidP="00B02D0C">
            <w:pPr>
              <w:spacing w:before="20" w:after="20"/>
              <w:rPr>
                <w:rFonts w:asciiTheme="minorHAnsi" w:hAnsiTheme="minorHAnsi"/>
                <w:i/>
                <w:spacing w:val="-5"/>
                <w:sz w:val="19"/>
                <w:szCs w:val="19"/>
              </w:rPr>
            </w:pPr>
            <w:r w:rsidRPr="00B02D0C">
              <w:rPr>
                <w:rFonts w:asciiTheme="minorHAnsi" w:hAnsiTheme="minorHAnsi"/>
                <w:i/>
                <w:spacing w:val="-5"/>
                <w:sz w:val="19"/>
                <w:szCs w:val="19"/>
              </w:rPr>
              <w:t xml:space="preserve">      Fall from ship or boat (8)</w:t>
            </w:r>
          </w:p>
          <w:p w:rsidR="00B02D0C" w:rsidRPr="00B02D0C" w:rsidRDefault="00B02D0C" w:rsidP="00B02D0C">
            <w:pPr>
              <w:spacing w:before="20" w:after="20"/>
              <w:rPr>
                <w:rFonts w:asciiTheme="minorHAnsi" w:hAnsiTheme="minorHAnsi"/>
                <w:i/>
                <w:spacing w:val="-5"/>
                <w:sz w:val="19"/>
                <w:szCs w:val="19"/>
              </w:rPr>
            </w:pPr>
            <w:r w:rsidRPr="00B02D0C">
              <w:rPr>
                <w:rFonts w:asciiTheme="minorHAnsi" w:hAnsiTheme="minorHAnsi"/>
                <w:spacing w:val="-5"/>
                <w:sz w:val="19"/>
                <w:szCs w:val="19"/>
              </w:rPr>
              <w:t xml:space="preserve">Non-highway motor vehicle related incident (9) </w:t>
            </w:r>
          </w:p>
          <w:p w:rsidR="00B02D0C" w:rsidRPr="00B02D0C" w:rsidRDefault="00B02D0C" w:rsidP="00B02D0C">
            <w:pPr>
              <w:spacing w:before="20" w:after="20"/>
              <w:rPr>
                <w:rFonts w:asciiTheme="minorHAnsi" w:hAnsiTheme="minorHAnsi"/>
                <w:i/>
                <w:spacing w:val="-5"/>
                <w:sz w:val="19"/>
                <w:szCs w:val="19"/>
              </w:rPr>
            </w:pPr>
            <w:r w:rsidRPr="00B02D0C">
              <w:rPr>
                <w:rFonts w:asciiTheme="minorHAnsi" w:hAnsiTheme="minorHAnsi"/>
                <w:i/>
                <w:spacing w:val="-5"/>
                <w:sz w:val="19"/>
                <w:szCs w:val="19"/>
              </w:rPr>
              <w:t xml:space="preserve">      Non-collision incident (6) </w:t>
            </w:r>
          </w:p>
          <w:p w:rsidR="00B02D0C" w:rsidRPr="00B02D0C" w:rsidRDefault="00B02D0C" w:rsidP="00B02D0C">
            <w:pPr>
              <w:spacing w:before="20" w:after="20"/>
              <w:rPr>
                <w:rFonts w:asciiTheme="minorHAnsi" w:hAnsiTheme="minorHAnsi"/>
                <w:spacing w:val="-5"/>
                <w:sz w:val="19"/>
                <w:szCs w:val="19"/>
              </w:rPr>
            </w:pPr>
            <w:r w:rsidRPr="00B02D0C">
              <w:rPr>
                <w:rFonts w:asciiTheme="minorHAnsi" w:hAnsiTheme="minorHAnsi"/>
                <w:i/>
                <w:spacing w:val="-5"/>
                <w:sz w:val="19"/>
                <w:szCs w:val="19"/>
              </w:rPr>
              <w:t xml:space="preserve">      Collision (3)</w:t>
            </w:r>
            <w:r w:rsidRPr="00B02D0C">
              <w:rPr>
                <w:rFonts w:asciiTheme="minorHAnsi" w:hAnsiTheme="minorHAnsi"/>
                <w:spacing w:val="-5"/>
                <w:sz w:val="19"/>
                <w:szCs w:val="19"/>
              </w:rPr>
              <w:t xml:space="preserve"> </w:t>
            </w:r>
          </w:p>
          <w:p w:rsidR="00B02D0C" w:rsidRPr="00B02D0C" w:rsidRDefault="00B02D0C" w:rsidP="00B02D0C">
            <w:pPr>
              <w:spacing w:before="20" w:after="20"/>
              <w:rPr>
                <w:rFonts w:asciiTheme="minorHAnsi" w:hAnsiTheme="minorHAnsi"/>
                <w:i/>
                <w:spacing w:val="-5"/>
                <w:sz w:val="19"/>
                <w:szCs w:val="19"/>
              </w:rPr>
            </w:pPr>
            <w:r w:rsidRPr="00B02D0C">
              <w:rPr>
                <w:rFonts w:asciiTheme="minorHAnsi" w:hAnsiTheme="minorHAnsi"/>
                <w:spacing w:val="-5"/>
                <w:sz w:val="19"/>
                <w:szCs w:val="19"/>
              </w:rPr>
              <w:t>Aircraft crash (8)</w:t>
            </w:r>
          </w:p>
        </w:tc>
      </w:tr>
      <w:tr w:rsidR="00B02D0C" w:rsidRPr="00B02D0C" w:rsidTr="00B02D0C">
        <w:tc>
          <w:tcPr>
            <w:tcW w:w="2430" w:type="dxa"/>
          </w:tcPr>
          <w:p w:rsidR="00B02D0C" w:rsidRPr="00B02D0C" w:rsidRDefault="00B02D0C" w:rsidP="00B02D0C">
            <w:pPr>
              <w:rPr>
                <w:rFonts w:asciiTheme="minorHAnsi" w:hAnsiTheme="minorHAnsi"/>
                <w:spacing w:val="-5"/>
                <w:sz w:val="18"/>
                <w:szCs w:val="18"/>
              </w:rPr>
            </w:pPr>
            <w:r w:rsidRPr="00B02D0C">
              <w:rPr>
                <w:rFonts w:asciiTheme="minorHAnsi" w:hAnsiTheme="minorHAnsi"/>
                <w:spacing w:val="-5"/>
                <w:sz w:val="18"/>
                <w:szCs w:val="18"/>
              </w:rPr>
              <w:t>Violence and Other Injuries by Persons or Animals (88)</w:t>
            </w:r>
          </w:p>
        </w:tc>
        <w:tc>
          <w:tcPr>
            <w:tcW w:w="6570" w:type="dxa"/>
          </w:tcPr>
          <w:p w:rsidR="00B02D0C" w:rsidRPr="00B02D0C" w:rsidRDefault="008330E2" w:rsidP="00B02D0C">
            <w:pPr>
              <w:spacing w:before="20" w:after="20"/>
              <w:rPr>
                <w:rFonts w:asciiTheme="minorHAnsi" w:hAnsiTheme="minorHAnsi"/>
                <w:b/>
                <w:spacing w:val="-5"/>
                <w:sz w:val="19"/>
                <w:szCs w:val="19"/>
              </w:rPr>
            </w:pPr>
            <w:r>
              <w:rPr>
                <w:rFonts w:asciiTheme="minorHAnsi" w:hAnsiTheme="minorHAnsi"/>
                <w:b/>
                <w:spacing w:val="-5"/>
                <w:sz w:val="19"/>
                <w:szCs w:val="19"/>
              </w:rPr>
              <w:t>Suicide</w:t>
            </w:r>
            <w:r w:rsidR="00B02D0C" w:rsidRPr="00B02D0C">
              <w:rPr>
                <w:rFonts w:asciiTheme="minorHAnsi" w:hAnsiTheme="minorHAnsi"/>
                <w:b/>
                <w:spacing w:val="-5"/>
                <w:sz w:val="19"/>
                <w:szCs w:val="19"/>
              </w:rPr>
              <w:t xml:space="preserve"> (5</w:t>
            </w:r>
            <w:r>
              <w:rPr>
                <w:rFonts w:asciiTheme="minorHAnsi" w:hAnsiTheme="minorHAnsi"/>
                <w:b/>
                <w:spacing w:val="-5"/>
                <w:sz w:val="19"/>
                <w:szCs w:val="19"/>
              </w:rPr>
              <w:t>4</w:t>
            </w:r>
            <w:r w:rsidR="00B02D0C" w:rsidRPr="00B02D0C">
              <w:rPr>
                <w:rFonts w:asciiTheme="minorHAnsi" w:hAnsiTheme="minorHAnsi"/>
                <w:b/>
                <w:spacing w:val="-5"/>
                <w:sz w:val="19"/>
                <w:szCs w:val="19"/>
              </w:rPr>
              <w:t>)</w:t>
            </w:r>
          </w:p>
          <w:p w:rsidR="00B02D0C" w:rsidRPr="00B02D0C" w:rsidRDefault="00B02D0C" w:rsidP="00B02D0C">
            <w:pPr>
              <w:spacing w:before="20" w:after="20"/>
              <w:rPr>
                <w:rFonts w:asciiTheme="minorHAnsi" w:hAnsiTheme="minorHAnsi"/>
                <w:b/>
                <w:spacing w:val="-5"/>
                <w:sz w:val="19"/>
                <w:szCs w:val="19"/>
              </w:rPr>
            </w:pPr>
            <w:r w:rsidRPr="00B02D0C">
              <w:rPr>
                <w:rFonts w:asciiTheme="minorHAnsi" w:hAnsiTheme="minorHAnsi"/>
                <w:b/>
                <w:spacing w:val="-5"/>
                <w:sz w:val="19"/>
                <w:szCs w:val="19"/>
              </w:rPr>
              <w:t xml:space="preserve">Homicide (29) </w:t>
            </w:r>
          </w:p>
          <w:p w:rsidR="00B02D0C" w:rsidRPr="00B02D0C" w:rsidRDefault="00B02D0C" w:rsidP="00B02D0C">
            <w:pPr>
              <w:spacing w:before="20" w:after="20"/>
              <w:rPr>
                <w:rFonts w:asciiTheme="minorHAnsi" w:hAnsiTheme="minorHAnsi"/>
                <w:i/>
                <w:spacing w:val="-5"/>
                <w:sz w:val="19"/>
                <w:szCs w:val="19"/>
              </w:rPr>
            </w:pPr>
            <w:r w:rsidRPr="00B02D0C">
              <w:rPr>
                <w:rFonts w:asciiTheme="minorHAnsi" w:hAnsiTheme="minorHAnsi"/>
                <w:i/>
                <w:spacing w:val="-5"/>
                <w:sz w:val="19"/>
                <w:szCs w:val="19"/>
              </w:rPr>
              <w:t xml:space="preserve">      By shooting (17)</w:t>
            </w:r>
          </w:p>
          <w:p w:rsidR="00B02D0C" w:rsidRPr="00B02D0C" w:rsidRDefault="00B02D0C" w:rsidP="00B02D0C">
            <w:pPr>
              <w:spacing w:before="20" w:after="20"/>
              <w:rPr>
                <w:rFonts w:asciiTheme="minorHAnsi" w:hAnsiTheme="minorHAnsi"/>
                <w:spacing w:val="-5"/>
                <w:sz w:val="19"/>
                <w:szCs w:val="19"/>
              </w:rPr>
            </w:pPr>
            <w:r w:rsidRPr="00B02D0C">
              <w:rPr>
                <w:rFonts w:asciiTheme="minorHAnsi" w:hAnsiTheme="minorHAnsi"/>
                <w:i/>
                <w:spacing w:val="-5"/>
                <w:sz w:val="19"/>
                <w:szCs w:val="19"/>
              </w:rPr>
              <w:t xml:space="preserve">      By hitting, kicking, beating, shoving (5)</w:t>
            </w:r>
            <w:r w:rsidRPr="00B02D0C">
              <w:rPr>
                <w:rFonts w:asciiTheme="minorHAnsi" w:hAnsiTheme="minorHAnsi"/>
                <w:spacing w:val="-5"/>
                <w:sz w:val="19"/>
                <w:szCs w:val="19"/>
              </w:rPr>
              <w:t xml:space="preserve"> </w:t>
            </w:r>
          </w:p>
          <w:p w:rsidR="00B02D0C" w:rsidRPr="00B02D0C" w:rsidRDefault="00B02D0C" w:rsidP="00B02D0C">
            <w:pPr>
              <w:spacing w:before="20" w:after="20"/>
              <w:rPr>
                <w:rFonts w:asciiTheme="minorHAnsi" w:hAnsiTheme="minorHAnsi"/>
                <w:i/>
                <w:spacing w:val="-5"/>
                <w:sz w:val="19"/>
                <w:szCs w:val="19"/>
              </w:rPr>
            </w:pPr>
            <w:r w:rsidRPr="00B02D0C">
              <w:rPr>
                <w:rFonts w:asciiTheme="minorHAnsi" w:hAnsiTheme="minorHAnsi"/>
                <w:i/>
                <w:spacing w:val="-5"/>
                <w:sz w:val="19"/>
                <w:szCs w:val="19"/>
              </w:rPr>
              <w:t xml:space="preserve">      By stabbing, cutting, slashing, piercing (5)</w:t>
            </w:r>
          </w:p>
          <w:p w:rsidR="00B02D0C" w:rsidRPr="00B02D0C" w:rsidRDefault="00B02D0C" w:rsidP="00B02D0C">
            <w:pPr>
              <w:spacing w:before="20" w:after="20"/>
              <w:rPr>
                <w:rFonts w:asciiTheme="minorHAnsi" w:hAnsiTheme="minorHAnsi"/>
                <w:spacing w:val="-5"/>
                <w:sz w:val="19"/>
                <w:szCs w:val="19"/>
              </w:rPr>
            </w:pPr>
            <w:r w:rsidRPr="00B02D0C">
              <w:rPr>
                <w:rFonts w:asciiTheme="minorHAnsi" w:hAnsiTheme="minorHAnsi"/>
                <w:spacing w:val="-5"/>
                <w:sz w:val="19"/>
                <w:szCs w:val="19"/>
              </w:rPr>
              <w:t>Injury by animal (3)</w:t>
            </w:r>
          </w:p>
        </w:tc>
      </w:tr>
      <w:tr w:rsidR="00B02D0C" w:rsidRPr="00B02D0C" w:rsidTr="00B02D0C">
        <w:tc>
          <w:tcPr>
            <w:tcW w:w="2430" w:type="dxa"/>
          </w:tcPr>
          <w:p w:rsidR="00B02D0C" w:rsidRPr="00B02D0C" w:rsidRDefault="00B02D0C" w:rsidP="00B02D0C">
            <w:pPr>
              <w:rPr>
                <w:rFonts w:asciiTheme="minorHAnsi" w:hAnsiTheme="minorHAnsi"/>
                <w:spacing w:val="-5"/>
                <w:sz w:val="18"/>
                <w:szCs w:val="18"/>
              </w:rPr>
            </w:pPr>
            <w:r w:rsidRPr="00B02D0C">
              <w:rPr>
                <w:rFonts w:asciiTheme="minorHAnsi" w:hAnsiTheme="minorHAnsi"/>
                <w:spacing w:val="-5"/>
                <w:sz w:val="18"/>
                <w:szCs w:val="18"/>
              </w:rPr>
              <w:t>Falls, Slips, Trips (87)</w:t>
            </w:r>
          </w:p>
        </w:tc>
        <w:tc>
          <w:tcPr>
            <w:tcW w:w="6570" w:type="dxa"/>
          </w:tcPr>
          <w:p w:rsidR="00B02D0C" w:rsidRPr="00B02D0C" w:rsidRDefault="00B02D0C" w:rsidP="00B02D0C">
            <w:pPr>
              <w:spacing w:before="20" w:after="20"/>
              <w:rPr>
                <w:rFonts w:asciiTheme="minorHAnsi" w:hAnsiTheme="minorHAnsi"/>
                <w:b/>
                <w:spacing w:val="-5"/>
                <w:sz w:val="19"/>
                <w:szCs w:val="19"/>
              </w:rPr>
            </w:pPr>
            <w:r w:rsidRPr="00B02D0C">
              <w:rPr>
                <w:rFonts w:asciiTheme="minorHAnsi" w:hAnsiTheme="minorHAnsi"/>
                <w:b/>
                <w:spacing w:val="-5"/>
                <w:sz w:val="19"/>
                <w:szCs w:val="19"/>
              </w:rPr>
              <w:t xml:space="preserve">Fall to a lower level (75) </w:t>
            </w:r>
          </w:p>
          <w:p w:rsidR="00B02D0C" w:rsidRPr="00B02D0C" w:rsidRDefault="00B02D0C" w:rsidP="00B02D0C">
            <w:pPr>
              <w:spacing w:before="20" w:after="20"/>
              <w:rPr>
                <w:rFonts w:asciiTheme="minorHAnsi" w:hAnsiTheme="minorHAnsi"/>
                <w:b/>
                <w:i/>
                <w:spacing w:val="-5"/>
                <w:sz w:val="19"/>
                <w:szCs w:val="19"/>
              </w:rPr>
            </w:pPr>
            <w:r w:rsidRPr="00B02D0C">
              <w:rPr>
                <w:rFonts w:asciiTheme="minorHAnsi" w:hAnsiTheme="minorHAnsi"/>
                <w:b/>
                <w:i/>
                <w:spacing w:val="-5"/>
                <w:sz w:val="19"/>
                <w:szCs w:val="19"/>
              </w:rPr>
              <w:t xml:space="preserve">      Fall from ladder (30)</w:t>
            </w:r>
          </w:p>
          <w:p w:rsidR="00B02D0C" w:rsidRPr="00B02D0C" w:rsidRDefault="00B02D0C" w:rsidP="00B02D0C">
            <w:pPr>
              <w:spacing w:before="20" w:after="20"/>
              <w:rPr>
                <w:rFonts w:asciiTheme="minorHAnsi" w:hAnsiTheme="minorHAnsi"/>
                <w:i/>
                <w:spacing w:val="-5"/>
                <w:sz w:val="19"/>
                <w:szCs w:val="19"/>
              </w:rPr>
            </w:pPr>
            <w:r w:rsidRPr="00B02D0C">
              <w:rPr>
                <w:rFonts w:asciiTheme="minorHAnsi" w:hAnsiTheme="minorHAnsi"/>
                <w:i/>
                <w:spacing w:val="-5"/>
                <w:sz w:val="19"/>
                <w:szCs w:val="19"/>
              </w:rPr>
              <w:t xml:space="preserve">      Fall from or through roof (12)</w:t>
            </w:r>
          </w:p>
          <w:p w:rsidR="00B02D0C" w:rsidRPr="00B02D0C" w:rsidRDefault="00B02D0C" w:rsidP="00B02D0C">
            <w:pPr>
              <w:spacing w:before="20" w:after="20"/>
              <w:rPr>
                <w:rFonts w:asciiTheme="minorHAnsi" w:hAnsiTheme="minorHAnsi"/>
                <w:i/>
                <w:spacing w:val="-5"/>
                <w:sz w:val="19"/>
                <w:szCs w:val="19"/>
              </w:rPr>
            </w:pPr>
            <w:r w:rsidRPr="00B02D0C">
              <w:rPr>
                <w:rFonts w:asciiTheme="minorHAnsi" w:hAnsiTheme="minorHAnsi"/>
                <w:i/>
                <w:spacing w:val="-5"/>
                <w:sz w:val="19"/>
                <w:szCs w:val="19"/>
              </w:rPr>
              <w:t xml:space="preserve">      Fall from scaffolding (7)</w:t>
            </w:r>
          </w:p>
          <w:p w:rsidR="00B02D0C" w:rsidRPr="00B02D0C" w:rsidRDefault="00B02D0C" w:rsidP="00B02D0C">
            <w:pPr>
              <w:spacing w:before="20" w:after="20"/>
              <w:rPr>
                <w:rFonts w:asciiTheme="minorHAnsi" w:hAnsiTheme="minorHAnsi"/>
                <w:i/>
                <w:spacing w:val="-5"/>
                <w:sz w:val="19"/>
                <w:szCs w:val="19"/>
              </w:rPr>
            </w:pPr>
            <w:r w:rsidRPr="00B02D0C">
              <w:rPr>
                <w:rFonts w:asciiTheme="minorHAnsi" w:hAnsiTheme="minorHAnsi"/>
                <w:i/>
                <w:spacing w:val="-5"/>
                <w:sz w:val="19"/>
                <w:szCs w:val="19"/>
              </w:rPr>
              <w:t xml:space="preserve">      Fall from boom truck (3)</w:t>
            </w:r>
          </w:p>
          <w:p w:rsidR="00B02D0C" w:rsidRPr="00B02D0C" w:rsidRDefault="00B02D0C" w:rsidP="00B02D0C">
            <w:pPr>
              <w:spacing w:before="20" w:after="20"/>
              <w:rPr>
                <w:rFonts w:asciiTheme="minorHAnsi" w:hAnsiTheme="minorHAnsi"/>
                <w:spacing w:val="-5"/>
                <w:sz w:val="19"/>
                <w:szCs w:val="19"/>
              </w:rPr>
            </w:pPr>
            <w:r w:rsidRPr="00B02D0C">
              <w:rPr>
                <w:rFonts w:asciiTheme="minorHAnsi" w:hAnsiTheme="minorHAnsi"/>
                <w:spacing w:val="-5"/>
                <w:sz w:val="19"/>
                <w:szCs w:val="19"/>
              </w:rPr>
              <w:t>Fall on same level</w:t>
            </w:r>
            <w:r w:rsidRPr="00B02D0C">
              <w:rPr>
                <w:rFonts w:asciiTheme="minorHAnsi" w:hAnsiTheme="minorHAnsi"/>
                <w:i/>
                <w:spacing w:val="-5"/>
                <w:sz w:val="19"/>
                <w:szCs w:val="19"/>
              </w:rPr>
              <w:t xml:space="preserve"> </w:t>
            </w:r>
            <w:r w:rsidRPr="00B02D0C">
              <w:rPr>
                <w:rFonts w:asciiTheme="minorHAnsi" w:hAnsiTheme="minorHAnsi"/>
                <w:spacing w:val="-5"/>
                <w:sz w:val="19"/>
                <w:szCs w:val="19"/>
              </w:rPr>
              <w:t>(10)</w:t>
            </w:r>
          </w:p>
        </w:tc>
      </w:tr>
      <w:tr w:rsidR="00B02D0C" w:rsidRPr="00B02D0C" w:rsidTr="00B02D0C">
        <w:trPr>
          <w:cantSplit/>
        </w:trPr>
        <w:tc>
          <w:tcPr>
            <w:tcW w:w="2430" w:type="dxa"/>
            <w:tcBorders>
              <w:bottom w:val="single" w:sz="6" w:space="0" w:color="auto"/>
            </w:tcBorders>
          </w:tcPr>
          <w:p w:rsidR="00B02D0C" w:rsidRPr="00B02D0C" w:rsidRDefault="00B02D0C" w:rsidP="00B02D0C">
            <w:pPr>
              <w:keepNext/>
              <w:keepLines/>
              <w:spacing w:before="20" w:after="20" w:line="240" w:lineRule="atLeast"/>
              <w:outlineLvl w:val="2"/>
              <w:rPr>
                <w:rFonts w:asciiTheme="minorHAnsi" w:hAnsiTheme="minorHAnsi"/>
                <w:spacing w:val="-10"/>
                <w:kern w:val="28"/>
                <w:sz w:val="19"/>
                <w:szCs w:val="19"/>
              </w:rPr>
            </w:pPr>
            <w:bookmarkStart w:id="2" w:name="_Toc15882886"/>
            <w:r w:rsidRPr="00B02D0C">
              <w:rPr>
                <w:rFonts w:asciiTheme="minorHAnsi" w:hAnsiTheme="minorHAnsi"/>
                <w:spacing w:val="-10"/>
                <w:kern w:val="28"/>
                <w:sz w:val="19"/>
                <w:szCs w:val="19"/>
              </w:rPr>
              <w:t>Contact with Object</w:t>
            </w:r>
            <w:bookmarkEnd w:id="2"/>
            <w:r w:rsidRPr="00B02D0C">
              <w:rPr>
                <w:rFonts w:asciiTheme="minorHAnsi" w:hAnsiTheme="minorHAnsi"/>
                <w:spacing w:val="-10"/>
                <w:kern w:val="28"/>
                <w:sz w:val="19"/>
                <w:szCs w:val="19"/>
              </w:rPr>
              <w:t xml:space="preserve">s </w:t>
            </w:r>
            <w:bookmarkStart w:id="3" w:name="_Toc15882887"/>
            <w:r w:rsidRPr="00B02D0C">
              <w:rPr>
                <w:rFonts w:asciiTheme="minorHAnsi" w:hAnsiTheme="minorHAnsi"/>
                <w:spacing w:val="-10"/>
                <w:kern w:val="28"/>
                <w:sz w:val="19"/>
                <w:szCs w:val="19"/>
              </w:rPr>
              <w:t>and Equipment (41)</w:t>
            </w:r>
            <w:bookmarkEnd w:id="3"/>
          </w:p>
        </w:tc>
        <w:tc>
          <w:tcPr>
            <w:tcW w:w="6570" w:type="dxa"/>
            <w:tcBorders>
              <w:bottom w:val="single" w:sz="6" w:space="0" w:color="auto"/>
            </w:tcBorders>
          </w:tcPr>
          <w:p w:rsidR="00B02D0C" w:rsidRPr="00B02D0C" w:rsidRDefault="00B02D0C" w:rsidP="00B02D0C">
            <w:pPr>
              <w:rPr>
                <w:rFonts w:asciiTheme="minorHAnsi" w:hAnsiTheme="minorHAnsi"/>
                <w:spacing w:val="-5"/>
                <w:sz w:val="18"/>
                <w:szCs w:val="18"/>
              </w:rPr>
            </w:pPr>
            <w:r w:rsidRPr="00B02D0C">
              <w:rPr>
                <w:rFonts w:asciiTheme="minorHAnsi" w:hAnsiTheme="minorHAnsi"/>
                <w:spacing w:val="-5"/>
                <w:sz w:val="18"/>
                <w:szCs w:val="18"/>
              </w:rPr>
              <w:t xml:space="preserve">Struck by falling objects (10) </w:t>
            </w:r>
          </w:p>
          <w:p w:rsidR="00B02D0C" w:rsidRPr="00B02D0C" w:rsidRDefault="00B02D0C" w:rsidP="00B02D0C">
            <w:pPr>
              <w:rPr>
                <w:rFonts w:asciiTheme="minorHAnsi" w:hAnsiTheme="minorHAnsi"/>
                <w:spacing w:val="-5"/>
                <w:sz w:val="18"/>
                <w:szCs w:val="18"/>
              </w:rPr>
            </w:pPr>
            <w:r w:rsidRPr="00B02D0C">
              <w:rPr>
                <w:rFonts w:asciiTheme="minorHAnsi" w:hAnsiTheme="minorHAnsi"/>
                <w:spacing w:val="-5"/>
                <w:sz w:val="18"/>
                <w:szCs w:val="18"/>
              </w:rPr>
              <w:t>Caught in running machinery or equipment (9)</w:t>
            </w:r>
          </w:p>
          <w:p w:rsidR="00B02D0C" w:rsidRPr="00B02D0C" w:rsidRDefault="00B02D0C" w:rsidP="00B02D0C">
            <w:pPr>
              <w:rPr>
                <w:rFonts w:asciiTheme="minorHAnsi" w:hAnsiTheme="minorHAnsi"/>
                <w:spacing w:val="-5"/>
                <w:sz w:val="18"/>
                <w:szCs w:val="18"/>
              </w:rPr>
            </w:pPr>
            <w:r w:rsidRPr="00B02D0C">
              <w:rPr>
                <w:rFonts w:asciiTheme="minorHAnsi" w:hAnsiTheme="minorHAnsi"/>
                <w:spacing w:val="-5"/>
                <w:sz w:val="18"/>
                <w:szCs w:val="18"/>
              </w:rPr>
              <w:t xml:space="preserve">Struck by powered vehicles that were not in normal operation (5) </w:t>
            </w:r>
          </w:p>
          <w:p w:rsidR="00B02D0C" w:rsidRPr="00B02D0C" w:rsidRDefault="00B02D0C" w:rsidP="00B02D0C">
            <w:pPr>
              <w:rPr>
                <w:rFonts w:asciiTheme="minorHAnsi" w:hAnsiTheme="minorHAnsi"/>
                <w:spacing w:val="-5"/>
                <w:sz w:val="18"/>
                <w:szCs w:val="18"/>
              </w:rPr>
            </w:pPr>
            <w:r w:rsidRPr="00B02D0C">
              <w:rPr>
                <w:rFonts w:asciiTheme="minorHAnsi" w:hAnsiTheme="minorHAnsi"/>
                <w:spacing w:val="-5"/>
                <w:sz w:val="18"/>
                <w:szCs w:val="18"/>
              </w:rPr>
              <w:t>Struck, caught, or crushed in collapsing structure, equipment, or material (5)</w:t>
            </w:r>
          </w:p>
        </w:tc>
      </w:tr>
      <w:tr w:rsidR="00B02D0C" w:rsidRPr="00B02D0C" w:rsidTr="00B02D0C">
        <w:trPr>
          <w:cantSplit/>
        </w:trPr>
        <w:tc>
          <w:tcPr>
            <w:tcW w:w="2430" w:type="dxa"/>
            <w:tcBorders>
              <w:bottom w:val="single" w:sz="4" w:space="0" w:color="auto"/>
            </w:tcBorders>
          </w:tcPr>
          <w:p w:rsidR="00B02D0C" w:rsidRPr="00B02D0C" w:rsidRDefault="00B02D0C" w:rsidP="00B02D0C">
            <w:pPr>
              <w:rPr>
                <w:rFonts w:asciiTheme="minorHAnsi" w:hAnsiTheme="minorHAnsi"/>
                <w:spacing w:val="-5"/>
                <w:sz w:val="18"/>
                <w:szCs w:val="18"/>
              </w:rPr>
            </w:pPr>
            <w:r w:rsidRPr="00B02D0C">
              <w:rPr>
                <w:rFonts w:asciiTheme="minorHAnsi" w:hAnsiTheme="minorHAnsi"/>
                <w:spacing w:val="-5"/>
                <w:sz w:val="18"/>
                <w:szCs w:val="18"/>
              </w:rPr>
              <w:t>Exposure to Harmful Substances And Environments (31)</w:t>
            </w:r>
          </w:p>
        </w:tc>
        <w:tc>
          <w:tcPr>
            <w:tcW w:w="6570" w:type="dxa"/>
            <w:tcBorders>
              <w:bottom w:val="single" w:sz="4" w:space="0" w:color="auto"/>
            </w:tcBorders>
          </w:tcPr>
          <w:p w:rsidR="00B02D0C" w:rsidRPr="00B02D0C" w:rsidRDefault="00B02D0C" w:rsidP="00B02D0C">
            <w:pPr>
              <w:spacing w:before="20" w:after="20"/>
              <w:rPr>
                <w:rFonts w:asciiTheme="minorHAnsi" w:hAnsiTheme="minorHAnsi"/>
                <w:spacing w:val="-5"/>
                <w:sz w:val="19"/>
                <w:szCs w:val="19"/>
              </w:rPr>
            </w:pPr>
            <w:r w:rsidRPr="00B02D0C">
              <w:rPr>
                <w:rFonts w:asciiTheme="minorHAnsi" w:hAnsiTheme="minorHAnsi"/>
                <w:spacing w:val="-5"/>
                <w:sz w:val="19"/>
                <w:szCs w:val="19"/>
              </w:rPr>
              <w:t xml:space="preserve">Electrocution and other injuries resulting from contact with electric current (11) </w:t>
            </w:r>
          </w:p>
          <w:p w:rsidR="00B02D0C" w:rsidRPr="00B02D0C" w:rsidRDefault="00B02D0C" w:rsidP="00B02D0C">
            <w:pPr>
              <w:spacing w:before="20" w:after="20"/>
              <w:rPr>
                <w:rFonts w:asciiTheme="minorHAnsi" w:hAnsiTheme="minorHAnsi"/>
                <w:spacing w:val="-5"/>
                <w:sz w:val="19"/>
                <w:szCs w:val="19"/>
              </w:rPr>
            </w:pPr>
            <w:r w:rsidRPr="00B02D0C">
              <w:rPr>
                <w:rFonts w:asciiTheme="minorHAnsi" w:hAnsiTheme="minorHAnsi"/>
                <w:spacing w:val="-5"/>
                <w:sz w:val="19"/>
                <w:szCs w:val="19"/>
              </w:rPr>
              <w:t>Nonmedical use of drugs or alcohol—unintentional overdose (8)</w:t>
            </w:r>
          </w:p>
          <w:p w:rsidR="00B02D0C" w:rsidRPr="00B02D0C" w:rsidRDefault="00B02D0C" w:rsidP="00B02D0C">
            <w:pPr>
              <w:spacing w:before="20" w:after="20"/>
              <w:rPr>
                <w:rFonts w:asciiTheme="minorHAnsi" w:hAnsiTheme="minorHAnsi"/>
                <w:spacing w:val="-5"/>
                <w:sz w:val="19"/>
                <w:szCs w:val="19"/>
              </w:rPr>
            </w:pPr>
            <w:r w:rsidRPr="00B02D0C">
              <w:rPr>
                <w:rFonts w:asciiTheme="minorHAnsi" w:hAnsiTheme="minorHAnsi"/>
                <w:spacing w:val="-5"/>
                <w:sz w:val="19"/>
                <w:szCs w:val="19"/>
              </w:rPr>
              <w:t>Drowning, submersion (5)</w:t>
            </w:r>
          </w:p>
        </w:tc>
      </w:tr>
      <w:tr w:rsidR="00B02D0C" w:rsidRPr="00B02D0C" w:rsidTr="00B02D0C">
        <w:trPr>
          <w:cantSplit/>
          <w:trHeight w:val="237"/>
        </w:trPr>
        <w:tc>
          <w:tcPr>
            <w:tcW w:w="2430" w:type="dxa"/>
            <w:tcBorders>
              <w:top w:val="single" w:sz="4" w:space="0" w:color="auto"/>
              <w:left w:val="single" w:sz="4" w:space="0" w:color="auto"/>
              <w:bottom w:val="single" w:sz="4" w:space="0" w:color="auto"/>
            </w:tcBorders>
          </w:tcPr>
          <w:p w:rsidR="00B02D0C" w:rsidRPr="00B02D0C" w:rsidRDefault="00B02D0C" w:rsidP="00B02D0C">
            <w:pPr>
              <w:spacing w:before="20" w:after="20"/>
              <w:rPr>
                <w:rFonts w:asciiTheme="minorHAnsi" w:hAnsiTheme="minorHAnsi"/>
                <w:spacing w:val="-5"/>
                <w:sz w:val="19"/>
                <w:szCs w:val="19"/>
              </w:rPr>
            </w:pPr>
            <w:r w:rsidRPr="00B02D0C">
              <w:rPr>
                <w:rFonts w:asciiTheme="minorHAnsi" w:hAnsiTheme="minorHAnsi"/>
                <w:spacing w:val="-5"/>
                <w:sz w:val="19"/>
                <w:szCs w:val="19"/>
              </w:rPr>
              <w:t>Fires and Explosions (7)</w:t>
            </w:r>
          </w:p>
        </w:tc>
        <w:tc>
          <w:tcPr>
            <w:tcW w:w="6570" w:type="dxa"/>
            <w:tcBorders>
              <w:top w:val="single" w:sz="4" w:space="0" w:color="auto"/>
              <w:bottom w:val="single" w:sz="4" w:space="0" w:color="auto"/>
              <w:right w:val="single" w:sz="4" w:space="0" w:color="auto"/>
            </w:tcBorders>
          </w:tcPr>
          <w:p w:rsidR="00B02D0C" w:rsidRPr="00B02D0C" w:rsidRDefault="00B02D0C" w:rsidP="00B02D0C">
            <w:pPr>
              <w:spacing w:before="20" w:after="20"/>
              <w:rPr>
                <w:rFonts w:asciiTheme="minorHAnsi" w:hAnsiTheme="minorHAnsi"/>
                <w:spacing w:val="-5"/>
                <w:sz w:val="19"/>
                <w:szCs w:val="19"/>
              </w:rPr>
            </w:pPr>
            <w:r w:rsidRPr="00B02D0C">
              <w:rPr>
                <w:rFonts w:asciiTheme="minorHAnsi" w:hAnsiTheme="minorHAnsi"/>
                <w:spacing w:val="-5"/>
                <w:sz w:val="19"/>
                <w:szCs w:val="19"/>
              </w:rPr>
              <w:t>Unintended fire in residence, building, or other structure (4)</w:t>
            </w:r>
          </w:p>
          <w:p w:rsidR="00B02D0C" w:rsidRPr="00B02D0C" w:rsidRDefault="00B02D0C" w:rsidP="00B02D0C">
            <w:pPr>
              <w:spacing w:before="20" w:after="20"/>
              <w:rPr>
                <w:rFonts w:asciiTheme="minorHAnsi" w:hAnsiTheme="minorHAnsi"/>
                <w:color w:val="FF0000"/>
                <w:spacing w:val="-5"/>
                <w:sz w:val="19"/>
                <w:szCs w:val="19"/>
              </w:rPr>
            </w:pPr>
            <w:r w:rsidRPr="00B02D0C">
              <w:rPr>
                <w:rFonts w:asciiTheme="minorHAnsi" w:hAnsiTheme="minorHAnsi"/>
                <w:spacing w:val="-5"/>
                <w:sz w:val="19"/>
                <w:szCs w:val="19"/>
              </w:rPr>
              <w:t>Explosion of non-pressurized vessel, drum, or pressurized tire (3)</w:t>
            </w:r>
          </w:p>
        </w:tc>
      </w:tr>
      <w:tr w:rsidR="00B02D0C" w:rsidRPr="00B02D0C" w:rsidTr="00B02D0C">
        <w:trPr>
          <w:cantSplit/>
          <w:trHeight w:val="221"/>
        </w:trPr>
        <w:tc>
          <w:tcPr>
            <w:tcW w:w="9000" w:type="dxa"/>
            <w:gridSpan w:val="2"/>
            <w:tcBorders>
              <w:top w:val="single" w:sz="4" w:space="0" w:color="auto"/>
              <w:left w:val="nil"/>
              <w:bottom w:val="nil"/>
              <w:right w:val="nil"/>
            </w:tcBorders>
          </w:tcPr>
          <w:p w:rsidR="00891FA0" w:rsidRDefault="00891FA0" w:rsidP="00B02D0C">
            <w:pPr>
              <w:spacing w:before="20" w:after="20"/>
              <w:rPr>
                <w:rFonts w:asciiTheme="minorHAnsi" w:hAnsiTheme="minorHAnsi"/>
                <w:spacing w:val="-5"/>
                <w:sz w:val="18"/>
                <w:szCs w:val="18"/>
              </w:rPr>
            </w:pPr>
            <w:r w:rsidRPr="00B02D0C">
              <w:rPr>
                <w:rFonts w:asciiTheme="minorHAnsi" w:hAnsiTheme="minorHAnsi"/>
                <w:spacing w:val="-5"/>
                <w:sz w:val="18"/>
                <w:szCs w:val="18"/>
              </w:rPr>
              <w:t>Source: Occupational Health Surveillance Program, MA FACE and CFOI, 2008-2013</w:t>
            </w:r>
          </w:p>
          <w:p w:rsidR="00B02D0C" w:rsidRPr="00B02D0C" w:rsidRDefault="00B02D0C" w:rsidP="00B02D0C">
            <w:pPr>
              <w:spacing w:before="20" w:after="20"/>
              <w:rPr>
                <w:rFonts w:asciiTheme="minorHAnsi" w:hAnsiTheme="minorHAnsi"/>
                <w:spacing w:val="-5"/>
                <w:sz w:val="18"/>
                <w:szCs w:val="18"/>
              </w:rPr>
            </w:pPr>
            <w:r w:rsidRPr="00B02D0C">
              <w:rPr>
                <w:rFonts w:asciiTheme="minorHAnsi" w:hAnsiTheme="minorHAnsi"/>
                <w:spacing w:val="-5"/>
                <w:sz w:val="18"/>
                <w:szCs w:val="18"/>
              </w:rPr>
              <w:t>NOTE: Event/Exposure sub-categories with &lt; 3 fatalit</w:t>
            </w:r>
            <w:r w:rsidR="00BA1C2C">
              <w:rPr>
                <w:rFonts w:asciiTheme="minorHAnsi" w:hAnsiTheme="minorHAnsi"/>
                <w:spacing w:val="-5"/>
                <w:sz w:val="18"/>
                <w:szCs w:val="18"/>
              </w:rPr>
              <w:t xml:space="preserve">ies </w:t>
            </w:r>
            <w:r w:rsidR="008E19BF">
              <w:rPr>
                <w:rFonts w:asciiTheme="minorHAnsi" w:hAnsiTheme="minorHAnsi"/>
                <w:spacing w:val="-5"/>
                <w:sz w:val="18"/>
                <w:szCs w:val="18"/>
              </w:rPr>
              <w:t>and one unknown event a</w:t>
            </w:r>
            <w:r w:rsidR="00BA1C2C">
              <w:rPr>
                <w:rFonts w:asciiTheme="minorHAnsi" w:hAnsiTheme="minorHAnsi"/>
                <w:spacing w:val="-5"/>
                <w:sz w:val="18"/>
                <w:szCs w:val="18"/>
              </w:rPr>
              <w:t>re not included in Table 1</w:t>
            </w:r>
            <w:r w:rsidRPr="00B02D0C">
              <w:rPr>
                <w:rFonts w:asciiTheme="minorHAnsi" w:hAnsiTheme="minorHAnsi"/>
                <w:spacing w:val="-5"/>
                <w:sz w:val="18"/>
                <w:szCs w:val="18"/>
              </w:rPr>
              <w:t>.</w:t>
            </w:r>
            <w:r w:rsidR="008E19BF">
              <w:rPr>
                <w:rFonts w:asciiTheme="minorHAnsi" w:hAnsiTheme="minorHAnsi"/>
                <w:spacing w:val="-5"/>
                <w:sz w:val="18"/>
                <w:szCs w:val="18"/>
              </w:rPr>
              <w:t xml:space="preserve">  </w:t>
            </w:r>
          </w:p>
          <w:p w:rsidR="00B02D0C" w:rsidRPr="00B02D0C" w:rsidRDefault="00B02D0C" w:rsidP="00B02D0C">
            <w:pPr>
              <w:spacing w:before="20" w:after="20"/>
              <w:rPr>
                <w:rFonts w:asciiTheme="minorHAnsi" w:hAnsiTheme="minorHAnsi"/>
                <w:spacing w:val="-5"/>
                <w:sz w:val="16"/>
                <w:szCs w:val="16"/>
              </w:rPr>
            </w:pPr>
          </w:p>
        </w:tc>
      </w:tr>
    </w:tbl>
    <w:p w:rsidR="001D45F0" w:rsidRDefault="001D45F0" w:rsidP="001D45F0">
      <w:pPr>
        <w:pStyle w:val="Body1"/>
        <w:jc w:val="left"/>
      </w:pPr>
    </w:p>
    <w:p w:rsidR="001D45F0" w:rsidRDefault="001D45F0" w:rsidP="001D45F0">
      <w:pPr>
        <w:pStyle w:val="Body1"/>
        <w:jc w:val="left"/>
      </w:pPr>
    </w:p>
    <w:p w:rsidR="001D45F0" w:rsidRDefault="001D45F0" w:rsidP="001D45F0">
      <w:pPr>
        <w:pStyle w:val="Body1"/>
        <w:jc w:val="left"/>
      </w:pPr>
    </w:p>
    <w:p w:rsidR="001D45F0" w:rsidRDefault="001D45F0" w:rsidP="001D45F0">
      <w:pPr>
        <w:pStyle w:val="Body1"/>
        <w:jc w:val="left"/>
      </w:pPr>
    </w:p>
    <w:p w:rsidR="001D45F0" w:rsidRDefault="001D45F0" w:rsidP="001D45F0">
      <w:pPr>
        <w:pStyle w:val="Body1"/>
        <w:jc w:val="left"/>
      </w:pPr>
    </w:p>
    <w:p w:rsidR="001D45F0" w:rsidRDefault="001D45F0" w:rsidP="001D45F0">
      <w:pPr>
        <w:pStyle w:val="Body1"/>
        <w:jc w:val="left"/>
      </w:pPr>
    </w:p>
    <w:p w:rsidR="001D45F0" w:rsidRDefault="001D45F0" w:rsidP="001D45F0">
      <w:pPr>
        <w:pStyle w:val="Body1"/>
        <w:jc w:val="left"/>
      </w:pPr>
    </w:p>
    <w:p w:rsidR="001D45F0" w:rsidRDefault="001D45F0" w:rsidP="001D45F0">
      <w:pPr>
        <w:pStyle w:val="Body1"/>
        <w:jc w:val="left"/>
      </w:pPr>
    </w:p>
    <w:p w:rsidR="001D45F0" w:rsidRDefault="001D45F0" w:rsidP="001D45F0">
      <w:pPr>
        <w:pStyle w:val="Body1"/>
        <w:jc w:val="left"/>
      </w:pPr>
    </w:p>
    <w:p w:rsidR="001D45F0" w:rsidRDefault="001D45F0" w:rsidP="001D45F0">
      <w:pPr>
        <w:pStyle w:val="Body1"/>
        <w:jc w:val="left"/>
      </w:pPr>
    </w:p>
    <w:p w:rsidR="001D45F0" w:rsidRDefault="001D45F0" w:rsidP="001D45F0">
      <w:pPr>
        <w:pStyle w:val="Body1"/>
        <w:jc w:val="left"/>
      </w:pPr>
    </w:p>
    <w:p w:rsidR="001D45F0" w:rsidRDefault="001D45F0" w:rsidP="001D45F0">
      <w:pPr>
        <w:pStyle w:val="Body1"/>
        <w:jc w:val="left"/>
      </w:pPr>
    </w:p>
    <w:p w:rsidR="001D45F0" w:rsidRDefault="001D45F0" w:rsidP="001D45F0">
      <w:pPr>
        <w:pStyle w:val="Body1"/>
        <w:jc w:val="left"/>
      </w:pPr>
    </w:p>
    <w:p w:rsidR="001D45F0" w:rsidRDefault="001D45F0" w:rsidP="001D45F0">
      <w:pPr>
        <w:pStyle w:val="Body1"/>
        <w:jc w:val="left"/>
      </w:pPr>
    </w:p>
    <w:p w:rsidR="001D45F0" w:rsidRDefault="001D45F0" w:rsidP="001D45F0">
      <w:pPr>
        <w:pStyle w:val="Body1"/>
        <w:jc w:val="left"/>
      </w:pPr>
    </w:p>
    <w:p w:rsidR="001D45F0" w:rsidRDefault="001D45F0" w:rsidP="001D45F0">
      <w:pPr>
        <w:pStyle w:val="Body1"/>
        <w:jc w:val="left"/>
      </w:pPr>
    </w:p>
    <w:p w:rsidR="001D45F0" w:rsidRDefault="001D45F0" w:rsidP="001D45F0">
      <w:pPr>
        <w:pStyle w:val="Body1"/>
        <w:jc w:val="left"/>
      </w:pPr>
    </w:p>
    <w:p w:rsidR="001D45F0" w:rsidRDefault="001D45F0" w:rsidP="001D45F0">
      <w:pPr>
        <w:pStyle w:val="Body1"/>
        <w:jc w:val="left"/>
      </w:pPr>
    </w:p>
    <w:p w:rsidR="001D45F0" w:rsidRDefault="001D45F0" w:rsidP="001D45F0">
      <w:pPr>
        <w:pStyle w:val="Body1"/>
        <w:jc w:val="left"/>
      </w:pPr>
    </w:p>
    <w:p w:rsidR="001D45F0" w:rsidRDefault="001D45F0" w:rsidP="001D45F0">
      <w:pPr>
        <w:pStyle w:val="Body1"/>
        <w:jc w:val="left"/>
      </w:pPr>
    </w:p>
    <w:p w:rsidR="001D45F0" w:rsidRPr="00BE32A4" w:rsidRDefault="001D45F0" w:rsidP="001D45F0">
      <w:pPr>
        <w:pStyle w:val="Body1"/>
        <w:jc w:val="left"/>
      </w:pPr>
    </w:p>
    <w:p w:rsidR="00BE32A4" w:rsidRPr="00BE32A4" w:rsidRDefault="00BE32A4" w:rsidP="00FE04BA">
      <w:pPr>
        <w:pStyle w:val="Body1"/>
        <w:numPr>
          <w:ilvl w:val="0"/>
          <w:numId w:val="17"/>
        </w:numPr>
        <w:jc w:val="left"/>
      </w:pPr>
      <w:r w:rsidRPr="00BE32A4">
        <w:t xml:space="preserve">Suicide at the workplace (n=54, 15.2%) was the second leading cause of injury death at work in this period.  </w:t>
      </w:r>
    </w:p>
    <w:p w:rsidR="00BE32A4" w:rsidRPr="00BE32A4" w:rsidRDefault="00BE32A4" w:rsidP="00FE04BA">
      <w:pPr>
        <w:pStyle w:val="Body1"/>
        <w:numPr>
          <w:ilvl w:val="0"/>
          <w:numId w:val="17"/>
        </w:numPr>
        <w:jc w:val="left"/>
      </w:pPr>
      <w:r w:rsidRPr="00BE32A4">
        <w:t xml:space="preserve">Roadway motor vehicle incidents resulted in 41 fatalities (11.5%). </w:t>
      </w:r>
    </w:p>
    <w:p w:rsidR="00BE32A4" w:rsidRDefault="00BE32A4" w:rsidP="00FE04BA">
      <w:pPr>
        <w:pStyle w:val="Body1"/>
        <w:numPr>
          <w:ilvl w:val="0"/>
          <w:numId w:val="17"/>
        </w:numPr>
        <w:jc w:val="left"/>
      </w:pPr>
      <w:r w:rsidRPr="00BE32A4">
        <w:t xml:space="preserve">All transportation-related incidents – including incidents occurring on land, on the water, or in the air – accounted for more fatal occupational injuries (n=101, 28.4%) than any other event category. </w:t>
      </w:r>
    </w:p>
    <w:p w:rsidR="00BE32A4" w:rsidRPr="00FE04BA" w:rsidRDefault="00BE32A4" w:rsidP="00FE04BA">
      <w:pPr>
        <w:pStyle w:val="Body1"/>
        <w:jc w:val="left"/>
        <w:rPr>
          <w:b/>
        </w:rPr>
      </w:pPr>
      <w:r w:rsidRPr="00FE04BA">
        <w:rPr>
          <w:b/>
        </w:rPr>
        <w:t>Public Sector, Employment Status, Employer Establishment Size, and Investigations by the Occupational Safety and Health Administration (OSHA)</w:t>
      </w:r>
    </w:p>
    <w:p w:rsidR="00BE32A4" w:rsidRPr="00BE32A4" w:rsidRDefault="00BE32A4" w:rsidP="00FE04BA">
      <w:pPr>
        <w:pStyle w:val="Body1"/>
        <w:numPr>
          <w:ilvl w:val="0"/>
          <w:numId w:val="18"/>
        </w:numPr>
        <w:jc w:val="left"/>
      </w:pPr>
      <w:r w:rsidRPr="00BE32A4">
        <w:t>During 2008–2013, 51 public sector (government) employees were fatally injured at work. The fatality rate for these government workers was comparable to the rate for all workers.</w:t>
      </w:r>
    </w:p>
    <w:p w:rsidR="00BE32A4" w:rsidRPr="00BE32A4" w:rsidRDefault="00BE32A4" w:rsidP="00FE04BA">
      <w:pPr>
        <w:pStyle w:val="Body1"/>
        <w:numPr>
          <w:ilvl w:val="0"/>
          <w:numId w:val="18"/>
        </w:numPr>
        <w:jc w:val="left"/>
      </w:pPr>
      <w:r w:rsidRPr="00BE32A4">
        <w:lastRenderedPageBreak/>
        <w:t xml:space="preserve">Self-employed workers had a fatal occupational injury rate that was more than twice the rate for wage and salary workers. </w:t>
      </w:r>
      <w:r w:rsidR="006F4707">
        <w:t xml:space="preserve"> </w:t>
      </w:r>
      <w:r w:rsidRPr="00BE32A4">
        <w:t>Self-employed workers are disproportionately employed in high risk industries such as Construction.</w:t>
      </w:r>
    </w:p>
    <w:p w:rsidR="00BE32A4" w:rsidRPr="00BE32A4" w:rsidRDefault="00BE32A4" w:rsidP="00FE04BA">
      <w:pPr>
        <w:pStyle w:val="Body1"/>
        <w:numPr>
          <w:ilvl w:val="0"/>
          <w:numId w:val="18"/>
        </w:numPr>
        <w:jc w:val="left"/>
      </w:pPr>
      <w:r w:rsidRPr="00BE32A4">
        <w:t>Small establishments (with 19 or fewer employees) had a high fatal occupational injury rate, more than double the rate for</w:t>
      </w:r>
      <w:r w:rsidR="00FE04BA">
        <w:t xml:space="preserve"> establishments of all sizes</w:t>
      </w:r>
      <w:r w:rsidRPr="00BE32A4">
        <w:t>.</w:t>
      </w:r>
    </w:p>
    <w:p w:rsidR="00BE32A4" w:rsidRPr="00BE32A4" w:rsidRDefault="00BE32A4" w:rsidP="00FE04BA">
      <w:pPr>
        <w:pStyle w:val="Body1"/>
        <w:numPr>
          <w:ilvl w:val="0"/>
          <w:numId w:val="18"/>
        </w:numPr>
        <w:jc w:val="left"/>
      </w:pPr>
      <w:r w:rsidRPr="00BE32A4">
        <w:t>Almost two-thirds of the occupational fatalities were not inspected by OSHA</w:t>
      </w:r>
      <w:r w:rsidR="005A6D84">
        <w:t>,</w:t>
      </w:r>
      <w:r w:rsidRPr="00BE32A4">
        <w:t xml:space="preserve"> either because: they did not fall under OSHA’s jurisdiction; they resulted from events that are not routinely investigated by the agency; or the death occurred more than 30 days after the injury.</w:t>
      </w:r>
    </w:p>
    <w:p w:rsidR="00BE32A4" w:rsidRPr="00FE04BA" w:rsidRDefault="00BE32A4" w:rsidP="00FE04BA">
      <w:pPr>
        <w:pStyle w:val="Body1"/>
        <w:jc w:val="left"/>
        <w:rPr>
          <w:b/>
        </w:rPr>
      </w:pPr>
      <w:r w:rsidRPr="00FE04BA">
        <w:rPr>
          <w:b/>
        </w:rPr>
        <w:t>Comparison with the previous surveillance period in Massachusetts (2000–2007)</w:t>
      </w:r>
    </w:p>
    <w:p w:rsidR="00BE32A4" w:rsidRPr="00BE32A4" w:rsidRDefault="00BE32A4" w:rsidP="00817E97">
      <w:pPr>
        <w:pStyle w:val="Body1"/>
        <w:jc w:val="left"/>
      </w:pPr>
      <w:r w:rsidRPr="00BE32A4">
        <w:t>The patterns of fatal occupational injury during the two surveillance periods were generally very similar with several notable exceptions:</w:t>
      </w:r>
    </w:p>
    <w:p w:rsidR="00BE32A4" w:rsidRPr="00BE32A4" w:rsidRDefault="00BE32A4" w:rsidP="00817E97">
      <w:pPr>
        <w:pStyle w:val="Body1"/>
        <w:numPr>
          <w:ilvl w:val="0"/>
          <w:numId w:val="21"/>
        </w:numPr>
        <w:ind w:left="360"/>
        <w:jc w:val="left"/>
      </w:pPr>
      <w:r w:rsidRPr="00BE32A4">
        <w:t>From the period of 2000-2007 to the period of 2008-2013, the average age at death increased from 43 to 48. Correspondingly, the fatality rate for workers over 55 increased, while the rate for workers younger than 45 decreased.</w:t>
      </w:r>
    </w:p>
    <w:p w:rsidR="00FE04BA" w:rsidRDefault="00BE32A4" w:rsidP="00817E97">
      <w:pPr>
        <w:pStyle w:val="Body1"/>
        <w:numPr>
          <w:ilvl w:val="0"/>
          <w:numId w:val="20"/>
        </w:numPr>
        <w:ind w:left="360"/>
        <w:jc w:val="left"/>
      </w:pPr>
      <w:r w:rsidRPr="00BE32A4">
        <w:t xml:space="preserve">The percentage of deaths attributed to Black non-Hispanic, Asian non-Hispanic, and Hispanic workers rose slightly. </w:t>
      </w:r>
    </w:p>
    <w:p w:rsidR="00BE32A4" w:rsidRPr="00BE32A4" w:rsidRDefault="00BE32A4" w:rsidP="00817E97">
      <w:pPr>
        <w:pStyle w:val="Body1"/>
        <w:numPr>
          <w:ilvl w:val="0"/>
          <w:numId w:val="20"/>
        </w:numPr>
        <w:ind w:left="360"/>
        <w:jc w:val="left"/>
      </w:pPr>
      <w:r w:rsidRPr="00BE32A4">
        <w:t>Suicides in the workplace surpassed homicides and highway motor vehicle incidents to become the second leading</w:t>
      </w:r>
      <w:r w:rsidR="008E19BF">
        <w:t xml:space="preserve"> cause of traumatic workplace death in Massachusetts</w:t>
      </w:r>
      <w:r w:rsidRPr="00BE32A4">
        <w:t xml:space="preserve">.  </w:t>
      </w:r>
    </w:p>
    <w:p w:rsidR="00BE32A4" w:rsidRPr="00817E97" w:rsidRDefault="00BE32A4" w:rsidP="00FE04BA">
      <w:pPr>
        <w:pStyle w:val="Body1"/>
        <w:jc w:val="left"/>
        <w:rPr>
          <w:b/>
        </w:rPr>
      </w:pPr>
      <w:r w:rsidRPr="00817E97">
        <w:rPr>
          <w:b/>
        </w:rPr>
        <w:t>Comparison with the national occupational fatality experience</w:t>
      </w:r>
    </w:p>
    <w:p w:rsidR="00BE32A4" w:rsidRDefault="00BE32A4" w:rsidP="00FE04BA">
      <w:pPr>
        <w:pStyle w:val="Body1"/>
        <w:numPr>
          <w:ilvl w:val="0"/>
          <w:numId w:val="19"/>
        </w:numPr>
        <w:jc w:val="left"/>
      </w:pPr>
      <w:r w:rsidRPr="00BE32A4">
        <w:t>Each year from 2008 through 2013, Massachusetts had a lower fatal occupation</w:t>
      </w:r>
      <w:r w:rsidR="00FE04BA">
        <w:t>al injury rate than the nation</w:t>
      </w:r>
      <w:r w:rsidRPr="00BE32A4">
        <w:t>.</w:t>
      </w:r>
      <w:r w:rsidR="006F4707">
        <w:t xml:space="preserve"> </w:t>
      </w:r>
      <w:r w:rsidRPr="00BE32A4">
        <w:t xml:space="preserve"> The difference in rates was explained in part by differences in the industry makeup of the Massachusetts workforce as compared with that of the United States.  Low homicide and motor vehicle-related death rates among the population at large in Massachusetts also contributed to the low fatal occupational injury rate for the state. </w:t>
      </w:r>
    </w:p>
    <w:p w:rsidR="0089790B" w:rsidRPr="00301EAC" w:rsidRDefault="001A6D80" w:rsidP="007A4A09">
      <w:pPr>
        <w:pStyle w:val="Body1"/>
        <w:numPr>
          <w:ilvl w:val="0"/>
          <w:numId w:val="19"/>
        </w:numPr>
        <w:jc w:val="left"/>
        <w:rPr>
          <w:b/>
        </w:rPr>
      </w:pPr>
      <w:r>
        <w:t>Falls and workplace suicides</w:t>
      </w:r>
      <w:r w:rsidR="00BE32A4" w:rsidRPr="00BE32A4">
        <w:t xml:space="preserve"> accounted for higher proportion</w:t>
      </w:r>
      <w:r>
        <w:t>s</w:t>
      </w:r>
      <w:r w:rsidR="00BE32A4" w:rsidRPr="00BE32A4">
        <w:t xml:space="preserve"> of fatal occupational injuries in Massachusetts than in the nation as a whole</w:t>
      </w:r>
      <w:r w:rsidR="00817E97">
        <w:t>.</w:t>
      </w:r>
    </w:p>
    <w:p w:rsidR="00301EAC" w:rsidRDefault="00301EAC" w:rsidP="00301EAC">
      <w:pPr>
        <w:pStyle w:val="Body1"/>
        <w:jc w:val="left"/>
        <w:rPr>
          <w:b/>
        </w:rPr>
      </w:pPr>
      <w:r>
        <w:rPr>
          <w:b/>
        </w:rPr>
        <w:t>Priorities for prevention</w:t>
      </w:r>
    </w:p>
    <w:p w:rsidR="00301EAC" w:rsidRPr="00301EAC" w:rsidRDefault="00560E6B" w:rsidP="00301EAC">
      <w:pPr>
        <w:pStyle w:val="Body1"/>
        <w:jc w:val="left"/>
      </w:pPr>
      <w:r w:rsidRPr="00560E6B">
        <w:t xml:space="preserve">It is important when reporting statistics about fatal occupational injuries to acknowledge the individuals that these numbers represent.  Continued efforts are needed to reduce the human as well as economic toll of preventable deaths at work in the Commonwealth.  </w:t>
      </w:r>
      <w:r w:rsidR="005B42D4">
        <w:t>Successful prevention efforts ha</w:t>
      </w:r>
      <w:r w:rsidR="002F0E23">
        <w:t xml:space="preserve">ve targeted specific industries, </w:t>
      </w:r>
      <w:r w:rsidR="005B42D4">
        <w:t>hazards</w:t>
      </w:r>
      <w:r w:rsidR="002F0E23">
        <w:t>, and populations</w:t>
      </w:r>
      <w:r w:rsidR="005B42D4">
        <w:t xml:space="preserve">.  </w:t>
      </w:r>
      <w:r w:rsidR="00301EAC">
        <w:t>Falls in constr</w:t>
      </w:r>
      <w:r w:rsidR="00BA1C2C">
        <w:t>uction continue to stand out as a</w:t>
      </w:r>
      <w:r w:rsidR="00301EAC">
        <w:t xml:space="preserve"> leading fatal event that can be </w:t>
      </w:r>
      <w:r w:rsidR="005B42D4">
        <w:t>reduced through</w:t>
      </w:r>
      <w:r w:rsidR="00301EAC">
        <w:t xml:space="preserve"> </w:t>
      </w:r>
      <w:r w:rsidR="005B42D4">
        <w:t>outreach</w:t>
      </w:r>
      <w:r>
        <w:t xml:space="preserve"> about a specific hazard</w:t>
      </w:r>
      <w:r w:rsidR="005B42D4">
        <w:t xml:space="preserve"> that is tailored </w:t>
      </w:r>
      <w:r w:rsidR="009F4A07">
        <w:t xml:space="preserve">for </w:t>
      </w:r>
      <w:r>
        <w:t>a particular</w:t>
      </w:r>
      <w:r w:rsidR="009F4A07">
        <w:t xml:space="preserve"> industry</w:t>
      </w:r>
      <w:r w:rsidR="00301EAC">
        <w:t xml:space="preserve">.  </w:t>
      </w:r>
      <w:r w:rsidR="009F4A07">
        <w:t xml:space="preserve">Commercial fishing and tree work </w:t>
      </w:r>
      <w:r w:rsidR="003D7308">
        <w:t xml:space="preserve">performed </w:t>
      </w:r>
      <w:r w:rsidR="009F4A07">
        <w:t xml:space="preserve">by landscaping companies also resulted </w:t>
      </w:r>
      <w:r w:rsidR="002F0E23">
        <w:t xml:space="preserve">in </w:t>
      </w:r>
      <w:r w:rsidR="009F4A07">
        <w:t>a number of deaths this period</w:t>
      </w:r>
      <w:r w:rsidR="002F0E23">
        <w:t>, deaths that could be prevented with</w:t>
      </w:r>
      <w:r w:rsidR="009F4A07">
        <w:t xml:space="preserve"> additional outreach to those industries.  T</w:t>
      </w:r>
      <w:r w:rsidR="005B42D4">
        <w:t>ransportation incidents</w:t>
      </w:r>
      <w:r w:rsidR="009F4A07">
        <w:t>, such as</w:t>
      </w:r>
      <w:r w:rsidR="005B42D4">
        <w:t xml:space="preserve"> </w:t>
      </w:r>
      <w:r w:rsidR="00BA1C2C">
        <w:t>roadway motor vehicle</w:t>
      </w:r>
      <w:r w:rsidR="00660EB6">
        <w:t xml:space="preserve"> crashes</w:t>
      </w:r>
      <w:r w:rsidR="005B42D4">
        <w:t xml:space="preserve"> </w:t>
      </w:r>
      <w:r>
        <w:t>or</w:t>
      </w:r>
      <w:r w:rsidR="005B42D4">
        <w:t xml:space="preserve"> </w:t>
      </w:r>
      <w:r w:rsidR="00660EB6">
        <w:t>workers being struck by vehicles or equipment</w:t>
      </w:r>
      <w:r w:rsidR="009F4A07">
        <w:t xml:space="preserve">, </w:t>
      </w:r>
      <w:r>
        <w:t>as well as workplace</w:t>
      </w:r>
      <w:r w:rsidR="009F4A07">
        <w:t xml:space="preserve"> suicides, are fatal events that are experienced </w:t>
      </w:r>
      <w:r>
        <w:t>across most</w:t>
      </w:r>
      <w:r w:rsidR="009F4A07">
        <w:t xml:space="preserve"> industries</w:t>
      </w:r>
      <w:r>
        <w:t xml:space="preserve"> and could be reduced through prevention efforts that speak to th</w:t>
      </w:r>
      <w:r w:rsidR="002F0E23">
        <w:t>ose</w:t>
      </w:r>
      <w:r>
        <w:t xml:space="preserve"> specific hazard</w:t>
      </w:r>
      <w:r w:rsidR="002F0E23">
        <w:t>s</w:t>
      </w:r>
      <w:r>
        <w:t>.</w:t>
      </w:r>
      <w:r w:rsidR="002F0E23">
        <w:t xml:space="preserve">  Hispanic and foreign-born workers continue to have elevated</w:t>
      </w:r>
      <w:r w:rsidR="00BD686D">
        <w:t xml:space="preserve"> work-related injury</w:t>
      </w:r>
      <w:r w:rsidR="002F0E23">
        <w:t xml:space="preserve"> fatality rates; prevention efforts that engage these communities to share </w:t>
      </w:r>
      <w:r w:rsidR="00BD686D">
        <w:t>information on workplace rights and to tailor safety messaging can help to reduce this disparity.</w:t>
      </w:r>
    </w:p>
    <w:p w:rsidR="004242E0" w:rsidRDefault="00C019AA" w:rsidP="007A4A09">
      <w:pPr>
        <w:pStyle w:val="Body1"/>
        <w:jc w:val="left"/>
        <w:rPr>
          <w:rStyle w:val="Hyperlink"/>
          <w:rFonts w:cs="Times New Roman"/>
          <w:color w:val="auto"/>
          <w:u w:val="none"/>
        </w:rPr>
      </w:pPr>
      <w:r w:rsidRPr="00C019AA">
        <w:rPr>
          <w:b/>
          <w:i/>
          <w:u w:val="single"/>
        </w:rPr>
        <w:t>For f</w:t>
      </w:r>
      <w:r w:rsidR="00B30F0D" w:rsidRPr="00C019AA">
        <w:rPr>
          <w:b/>
          <w:i/>
          <w:u w:val="single"/>
        </w:rPr>
        <w:t>urther details</w:t>
      </w:r>
      <w:r w:rsidR="00B30F0D">
        <w:t xml:space="preserve"> </w:t>
      </w:r>
      <w:r w:rsidR="009F515B">
        <w:t xml:space="preserve">about </w:t>
      </w:r>
      <w:r w:rsidR="00F86A57">
        <w:t>fatal occupational injuries in Massachusetts</w:t>
      </w:r>
      <w:r>
        <w:t>, please go to:</w:t>
      </w:r>
      <w:r w:rsidR="00B30F0D">
        <w:t xml:space="preserve"> </w:t>
      </w:r>
      <w:hyperlink r:id="rId11" w:history="1">
        <w:r w:rsidR="00F86A57">
          <w:rPr>
            <w:rStyle w:val="Hyperlink"/>
            <w:rFonts w:cs="Times New Roman"/>
          </w:rPr>
          <w:t>http://www.mass.gov/dph/FACE</w:t>
        </w:r>
      </w:hyperlink>
      <w:r w:rsidR="001F33F8" w:rsidRPr="001F33F8">
        <w:rPr>
          <w:rStyle w:val="Hyperlink"/>
          <w:rFonts w:cs="Times New Roman"/>
          <w:color w:val="auto"/>
          <w:u w:val="none"/>
        </w:rPr>
        <w:t>.</w:t>
      </w:r>
    </w:p>
    <w:p w:rsidR="00560E6B" w:rsidRDefault="00560E6B" w:rsidP="007A4A09">
      <w:pPr>
        <w:pStyle w:val="Body1"/>
        <w:jc w:val="left"/>
        <w:rPr>
          <w:rStyle w:val="Hyperlink"/>
          <w:rFonts w:cs="Times New Roman"/>
          <w:color w:val="auto"/>
          <w:u w:val="none"/>
        </w:rPr>
      </w:pPr>
    </w:p>
    <w:p w:rsidR="00560E6B" w:rsidRDefault="00560E6B" w:rsidP="007A4A09">
      <w:pPr>
        <w:pStyle w:val="Body1"/>
        <w:jc w:val="left"/>
        <w:rPr>
          <w:rStyle w:val="Hyperlink"/>
          <w:rFonts w:cs="Times New Roman"/>
          <w:color w:val="auto"/>
          <w:u w:val="none"/>
        </w:rPr>
      </w:pPr>
      <w:r w:rsidRPr="00560E6B">
        <w:rPr>
          <w:rStyle w:val="Hyperlink"/>
          <w:rFonts w:cs="Times New Roman"/>
          <w:color w:val="auto"/>
          <w:u w:val="none"/>
        </w:rPr>
        <w:t xml:space="preserve">This </w:t>
      </w:r>
      <w:r>
        <w:rPr>
          <w:rStyle w:val="Hyperlink"/>
          <w:rFonts w:cs="Times New Roman"/>
          <w:color w:val="auto"/>
          <w:u w:val="none"/>
        </w:rPr>
        <w:t xml:space="preserve">data brief and accompanying </w:t>
      </w:r>
      <w:r w:rsidRPr="00560E6B">
        <w:rPr>
          <w:rStyle w:val="Hyperlink"/>
          <w:rFonts w:cs="Times New Roman"/>
          <w:color w:val="auto"/>
          <w:u w:val="none"/>
        </w:rPr>
        <w:t>report</w:t>
      </w:r>
      <w:r w:rsidR="003D7308">
        <w:rPr>
          <w:rStyle w:val="Hyperlink"/>
          <w:rFonts w:cs="Times New Roman"/>
          <w:color w:val="auto"/>
          <w:u w:val="none"/>
        </w:rPr>
        <w:t xml:space="preserve"> was</w:t>
      </w:r>
      <w:r w:rsidRPr="00560E6B">
        <w:rPr>
          <w:rStyle w:val="Hyperlink"/>
          <w:rFonts w:cs="Times New Roman"/>
          <w:color w:val="auto"/>
          <w:u w:val="none"/>
        </w:rPr>
        <w:t xml:space="preserve"> generated by the Occupational Health Surveillance Program of the Massachusetts Department of Public Health with the support of the National Institute for Occupational Safety and Health and the U.S. Department of Labor, Bureau of Labor Statistics.</w:t>
      </w:r>
    </w:p>
    <w:sectPr w:rsidR="00560E6B" w:rsidSect="0065376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A91" w:rsidRDefault="00895A91" w:rsidP="00C36414">
      <w:r>
        <w:separator/>
      </w:r>
    </w:p>
  </w:endnote>
  <w:endnote w:type="continuationSeparator" w:id="0">
    <w:p w:rsidR="00895A91" w:rsidRDefault="00895A91" w:rsidP="00C36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A91" w:rsidRDefault="00895A91" w:rsidP="00C36414">
      <w:r>
        <w:separator/>
      </w:r>
    </w:p>
  </w:footnote>
  <w:footnote w:type="continuationSeparator" w:id="0">
    <w:p w:rsidR="00895A91" w:rsidRDefault="00895A91" w:rsidP="00C36414">
      <w:r>
        <w:continuationSeparator/>
      </w:r>
    </w:p>
  </w:footnote>
  <w:footnote w:id="1">
    <w:p w:rsidR="00BE32A4" w:rsidRPr="00B91778" w:rsidRDefault="00BE32A4" w:rsidP="00BE32A4">
      <w:pPr>
        <w:pStyle w:val="FootnoteText"/>
        <w:ind w:left="180" w:hanging="180"/>
        <w:rPr>
          <w:rFonts w:asciiTheme="minorHAnsi" w:hAnsiTheme="minorHAnsi"/>
        </w:rPr>
      </w:pPr>
      <w:r w:rsidRPr="00B91778">
        <w:rPr>
          <w:rStyle w:val="FootnoteReference"/>
          <w:rFonts w:asciiTheme="minorHAnsi" w:hAnsiTheme="minorHAnsi"/>
        </w:rPr>
        <w:footnoteRef/>
      </w:r>
      <w:r w:rsidRPr="00B91778">
        <w:rPr>
          <w:rFonts w:asciiTheme="minorHAnsi" w:hAnsiTheme="minorHAnsi"/>
        </w:rPr>
        <w:t xml:space="preserve">   </w:t>
      </w:r>
      <w:r w:rsidRPr="00B91778">
        <w:rPr>
          <w:rFonts w:asciiTheme="minorHAnsi" w:hAnsiTheme="minorHAnsi" w:cs="Arial"/>
          <w:szCs w:val="16"/>
        </w:rPr>
        <w:t xml:space="preserve">Throughout this </w:t>
      </w:r>
      <w:r w:rsidR="00FE04BA">
        <w:rPr>
          <w:rFonts w:asciiTheme="minorHAnsi" w:hAnsiTheme="minorHAnsi" w:cs="Arial"/>
          <w:szCs w:val="16"/>
        </w:rPr>
        <w:t>brief</w:t>
      </w:r>
      <w:r w:rsidRPr="00B91778">
        <w:rPr>
          <w:rFonts w:asciiTheme="minorHAnsi" w:hAnsiTheme="minorHAnsi" w:cs="Arial"/>
          <w:szCs w:val="16"/>
        </w:rPr>
        <w:t>, comparative terms</w:t>
      </w:r>
      <w:r w:rsidR="00891FA0">
        <w:rPr>
          <w:rFonts w:asciiTheme="minorHAnsi" w:hAnsiTheme="minorHAnsi" w:cs="Arial"/>
          <w:szCs w:val="16"/>
        </w:rPr>
        <w:t>,</w:t>
      </w:r>
      <w:r w:rsidR="00B93044">
        <w:rPr>
          <w:rFonts w:asciiTheme="minorHAnsi" w:hAnsiTheme="minorHAnsi" w:cs="Arial"/>
          <w:szCs w:val="16"/>
        </w:rPr>
        <w:t xml:space="preserve"> such as</w:t>
      </w:r>
      <w:r w:rsidRPr="00B91778">
        <w:rPr>
          <w:rFonts w:asciiTheme="minorHAnsi" w:hAnsiTheme="minorHAnsi" w:cs="Arial"/>
          <w:szCs w:val="16"/>
        </w:rPr>
        <w:t xml:space="preserve"> higher, lower,</w:t>
      </w:r>
      <w:r w:rsidR="00FE04BA">
        <w:rPr>
          <w:rFonts w:asciiTheme="minorHAnsi" w:hAnsiTheme="minorHAnsi" w:cs="Arial"/>
          <w:szCs w:val="16"/>
        </w:rPr>
        <w:t xml:space="preserve"> increased, or decreased</w:t>
      </w:r>
      <w:r w:rsidR="00B93044">
        <w:rPr>
          <w:rFonts w:asciiTheme="minorHAnsi" w:hAnsiTheme="minorHAnsi" w:cs="Arial"/>
          <w:szCs w:val="16"/>
        </w:rPr>
        <w:t>,</w:t>
      </w:r>
      <w:r w:rsidR="00FE04BA">
        <w:rPr>
          <w:rFonts w:asciiTheme="minorHAnsi" w:hAnsiTheme="minorHAnsi" w:cs="Arial"/>
          <w:szCs w:val="16"/>
        </w:rPr>
        <w:t xml:space="preserve"> </w:t>
      </w:r>
      <w:r w:rsidRPr="00B91778">
        <w:rPr>
          <w:rFonts w:asciiTheme="minorHAnsi" w:hAnsiTheme="minorHAnsi" w:cs="Arial"/>
          <w:szCs w:val="16"/>
        </w:rPr>
        <w:t>were used only</w:t>
      </w:r>
      <w:r w:rsidRPr="00B91778">
        <w:rPr>
          <w:rFonts w:asciiTheme="minorHAnsi" w:hAnsiTheme="minorHAnsi" w:cs="Arial"/>
          <w:b/>
          <w:szCs w:val="16"/>
        </w:rPr>
        <w:t xml:space="preserve"> </w:t>
      </w:r>
      <w:r w:rsidRPr="00B91778">
        <w:rPr>
          <w:rFonts w:asciiTheme="minorHAnsi" w:hAnsiTheme="minorHAnsi" w:cs="Arial"/>
          <w:szCs w:val="16"/>
        </w:rPr>
        <w:t>when the difference was statistically significant at the 95% probability level.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A63FC"/>
    <w:multiLevelType w:val="singleLevel"/>
    <w:tmpl w:val="7C7E595A"/>
    <w:lvl w:ilvl="0">
      <w:start w:val="1"/>
      <w:numFmt w:val="bullet"/>
      <w:lvlText w:val=""/>
      <w:lvlJc w:val="left"/>
      <w:pPr>
        <w:tabs>
          <w:tab w:val="num" w:pos="360"/>
        </w:tabs>
        <w:ind w:left="360" w:hanging="360"/>
      </w:pPr>
      <w:rPr>
        <w:rFonts w:ascii="Symbol" w:hAnsi="Symbol" w:hint="default"/>
        <w:sz w:val="18"/>
      </w:rPr>
    </w:lvl>
  </w:abstractNum>
  <w:abstractNum w:abstractNumId="1">
    <w:nsid w:val="10FA006E"/>
    <w:multiLevelType w:val="hybridMultilevel"/>
    <w:tmpl w:val="3E92E280"/>
    <w:lvl w:ilvl="0" w:tplc="5868FC94">
      <w:start w:val="1"/>
      <w:numFmt w:val="bullet"/>
      <w:lvlText w:val=""/>
      <w:lvlJc w:val="left"/>
      <w:pPr>
        <w:tabs>
          <w:tab w:val="num" w:pos="720"/>
        </w:tabs>
        <w:ind w:left="720" w:hanging="360"/>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1BD37C3"/>
    <w:multiLevelType w:val="singleLevel"/>
    <w:tmpl w:val="7C7E595A"/>
    <w:lvl w:ilvl="0">
      <w:start w:val="1"/>
      <w:numFmt w:val="bullet"/>
      <w:lvlText w:val=""/>
      <w:lvlJc w:val="left"/>
      <w:pPr>
        <w:tabs>
          <w:tab w:val="num" w:pos="360"/>
        </w:tabs>
        <w:ind w:left="360" w:hanging="360"/>
      </w:pPr>
      <w:rPr>
        <w:rFonts w:ascii="Symbol" w:hAnsi="Symbol" w:hint="default"/>
        <w:sz w:val="18"/>
      </w:rPr>
    </w:lvl>
  </w:abstractNum>
  <w:abstractNum w:abstractNumId="3">
    <w:nsid w:val="12A33449"/>
    <w:multiLevelType w:val="singleLevel"/>
    <w:tmpl w:val="7C7E595A"/>
    <w:lvl w:ilvl="0">
      <w:start w:val="1"/>
      <w:numFmt w:val="bullet"/>
      <w:lvlText w:val=""/>
      <w:lvlJc w:val="left"/>
      <w:pPr>
        <w:tabs>
          <w:tab w:val="num" w:pos="360"/>
        </w:tabs>
        <w:ind w:left="360" w:hanging="360"/>
      </w:pPr>
      <w:rPr>
        <w:rFonts w:ascii="Symbol" w:hAnsi="Symbol" w:hint="default"/>
        <w:sz w:val="18"/>
      </w:rPr>
    </w:lvl>
  </w:abstractNum>
  <w:abstractNum w:abstractNumId="4">
    <w:nsid w:val="13542CF2"/>
    <w:multiLevelType w:val="hybridMultilevel"/>
    <w:tmpl w:val="DD22D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ECC396C"/>
    <w:multiLevelType w:val="hybridMultilevel"/>
    <w:tmpl w:val="4510E896"/>
    <w:lvl w:ilvl="0" w:tplc="74766CA2">
      <w:start w:val="1"/>
      <w:numFmt w:val="bullet"/>
      <w:lvlText w:val="•"/>
      <w:lvlJc w:val="left"/>
      <w:pPr>
        <w:tabs>
          <w:tab w:val="num" w:pos="720"/>
        </w:tabs>
        <w:ind w:left="720" w:hanging="360"/>
      </w:pPr>
      <w:rPr>
        <w:rFonts w:ascii="Arial" w:hAnsi="Arial" w:hint="default"/>
      </w:rPr>
    </w:lvl>
    <w:lvl w:ilvl="1" w:tplc="DCA6785C" w:tentative="1">
      <w:start w:val="1"/>
      <w:numFmt w:val="bullet"/>
      <w:lvlText w:val="•"/>
      <w:lvlJc w:val="left"/>
      <w:pPr>
        <w:tabs>
          <w:tab w:val="num" w:pos="1440"/>
        </w:tabs>
        <w:ind w:left="1440" w:hanging="360"/>
      </w:pPr>
      <w:rPr>
        <w:rFonts w:ascii="Arial" w:hAnsi="Arial" w:hint="default"/>
      </w:rPr>
    </w:lvl>
    <w:lvl w:ilvl="2" w:tplc="D1F65E28" w:tentative="1">
      <w:start w:val="1"/>
      <w:numFmt w:val="bullet"/>
      <w:lvlText w:val="•"/>
      <w:lvlJc w:val="left"/>
      <w:pPr>
        <w:tabs>
          <w:tab w:val="num" w:pos="2160"/>
        </w:tabs>
        <w:ind w:left="2160" w:hanging="360"/>
      </w:pPr>
      <w:rPr>
        <w:rFonts w:ascii="Arial" w:hAnsi="Arial" w:hint="default"/>
      </w:rPr>
    </w:lvl>
    <w:lvl w:ilvl="3" w:tplc="859E6536" w:tentative="1">
      <w:start w:val="1"/>
      <w:numFmt w:val="bullet"/>
      <w:lvlText w:val="•"/>
      <w:lvlJc w:val="left"/>
      <w:pPr>
        <w:tabs>
          <w:tab w:val="num" w:pos="2880"/>
        </w:tabs>
        <w:ind w:left="2880" w:hanging="360"/>
      </w:pPr>
      <w:rPr>
        <w:rFonts w:ascii="Arial" w:hAnsi="Arial" w:hint="default"/>
      </w:rPr>
    </w:lvl>
    <w:lvl w:ilvl="4" w:tplc="6594425E" w:tentative="1">
      <w:start w:val="1"/>
      <w:numFmt w:val="bullet"/>
      <w:lvlText w:val="•"/>
      <w:lvlJc w:val="left"/>
      <w:pPr>
        <w:tabs>
          <w:tab w:val="num" w:pos="3600"/>
        </w:tabs>
        <w:ind w:left="3600" w:hanging="360"/>
      </w:pPr>
      <w:rPr>
        <w:rFonts w:ascii="Arial" w:hAnsi="Arial" w:hint="default"/>
      </w:rPr>
    </w:lvl>
    <w:lvl w:ilvl="5" w:tplc="9D508F36" w:tentative="1">
      <w:start w:val="1"/>
      <w:numFmt w:val="bullet"/>
      <w:lvlText w:val="•"/>
      <w:lvlJc w:val="left"/>
      <w:pPr>
        <w:tabs>
          <w:tab w:val="num" w:pos="4320"/>
        </w:tabs>
        <w:ind w:left="4320" w:hanging="360"/>
      </w:pPr>
      <w:rPr>
        <w:rFonts w:ascii="Arial" w:hAnsi="Arial" w:hint="default"/>
      </w:rPr>
    </w:lvl>
    <w:lvl w:ilvl="6" w:tplc="8DA69686" w:tentative="1">
      <w:start w:val="1"/>
      <w:numFmt w:val="bullet"/>
      <w:lvlText w:val="•"/>
      <w:lvlJc w:val="left"/>
      <w:pPr>
        <w:tabs>
          <w:tab w:val="num" w:pos="5040"/>
        </w:tabs>
        <w:ind w:left="5040" w:hanging="360"/>
      </w:pPr>
      <w:rPr>
        <w:rFonts w:ascii="Arial" w:hAnsi="Arial" w:hint="default"/>
      </w:rPr>
    </w:lvl>
    <w:lvl w:ilvl="7" w:tplc="F9A61D68" w:tentative="1">
      <w:start w:val="1"/>
      <w:numFmt w:val="bullet"/>
      <w:lvlText w:val="•"/>
      <w:lvlJc w:val="left"/>
      <w:pPr>
        <w:tabs>
          <w:tab w:val="num" w:pos="5760"/>
        </w:tabs>
        <w:ind w:left="5760" w:hanging="360"/>
      </w:pPr>
      <w:rPr>
        <w:rFonts w:ascii="Arial" w:hAnsi="Arial" w:hint="default"/>
      </w:rPr>
    </w:lvl>
    <w:lvl w:ilvl="8" w:tplc="7988ED62" w:tentative="1">
      <w:start w:val="1"/>
      <w:numFmt w:val="bullet"/>
      <w:lvlText w:val="•"/>
      <w:lvlJc w:val="left"/>
      <w:pPr>
        <w:tabs>
          <w:tab w:val="num" w:pos="6480"/>
        </w:tabs>
        <w:ind w:left="6480" w:hanging="360"/>
      </w:pPr>
      <w:rPr>
        <w:rFonts w:ascii="Arial" w:hAnsi="Arial" w:hint="default"/>
      </w:rPr>
    </w:lvl>
  </w:abstractNum>
  <w:abstractNum w:abstractNumId="6">
    <w:nsid w:val="26280785"/>
    <w:multiLevelType w:val="hybridMultilevel"/>
    <w:tmpl w:val="64C2BB60"/>
    <w:lvl w:ilvl="0" w:tplc="3AA8C448">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11654C"/>
    <w:multiLevelType w:val="singleLevel"/>
    <w:tmpl w:val="7C7E595A"/>
    <w:lvl w:ilvl="0">
      <w:start w:val="1"/>
      <w:numFmt w:val="bullet"/>
      <w:lvlText w:val=""/>
      <w:lvlJc w:val="left"/>
      <w:pPr>
        <w:tabs>
          <w:tab w:val="num" w:pos="360"/>
        </w:tabs>
        <w:ind w:left="360" w:hanging="360"/>
      </w:pPr>
      <w:rPr>
        <w:rFonts w:ascii="Symbol" w:hAnsi="Symbol" w:hint="default"/>
        <w:sz w:val="18"/>
      </w:rPr>
    </w:lvl>
  </w:abstractNum>
  <w:abstractNum w:abstractNumId="8">
    <w:nsid w:val="2F825AE0"/>
    <w:multiLevelType w:val="hybridMultilevel"/>
    <w:tmpl w:val="1A2C48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59C50A8"/>
    <w:multiLevelType w:val="hybridMultilevel"/>
    <w:tmpl w:val="8A56ADDE"/>
    <w:lvl w:ilvl="0" w:tplc="3AA8C448">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D04A7D"/>
    <w:multiLevelType w:val="hybridMultilevel"/>
    <w:tmpl w:val="0BF04450"/>
    <w:lvl w:ilvl="0" w:tplc="32DA42E2">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ED36049"/>
    <w:multiLevelType w:val="hybridMultilevel"/>
    <w:tmpl w:val="35763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5654FA"/>
    <w:multiLevelType w:val="hybridMultilevel"/>
    <w:tmpl w:val="7ED68038"/>
    <w:lvl w:ilvl="0" w:tplc="5BF07176">
      <w:start w:val="1"/>
      <w:numFmt w:val="bullet"/>
      <w:lvlText w:val="•"/>
      <w:lvlJc w:val="left"/>
      <w:pPr>
        <w:tabs>
          <w:tab w:val="num" w:pos="720"/>
        </w:tabs>
        <w:ind w:left="720" w:hanging="360"/>
      </w:pPr>
      <w:rPr>
        <w:rFonts w:ascii="Times New Roman" w:hAnsi="Times New Roman" w:hint="default"/>
      </w:rPr>
    </w:lvl>
    <w:lvl w:ilvl="1" w:tplc="23AE1324" w:tentative="1">
      <w:start w:val="1"/>
      <w:numFmt w:val="bullet"/>
      <w:lvlText w:val="•"/>
      <w:lvlJc w:val="left"/>
      <w:pPr>
        <w:tabs>
          <w:tab w:val="num" w:pos="1440"/>
        </w:tabs>
        <w:ind w:left="1440" w:hanging="360"/>
      </w:pPr>
      <w:rPr>
        <w:rFonts w:ascii="Times New Roman" w:hAnsi="Times New Roman" w:hint="default"/>
      </w:rPr>
    </w:lvl>
    <w:lvl w:ilvl="2" w:tplc="B66CEFCC" w:tentative="1">
      <w:start w:val="1"/>
      <w:numFmt w:val="bullet"/>
      <w:lvlText w:val="•"/>
      <w:lvlJc w:val="left"/>
      <w:pPr>
        <w:tabs>
          <w:tab w:val="num" w:pos="2160"/>
        </w:tabs>
        <w:ind w:left="2160" w:hanging="360"/>
      </w:pPr>
      <w:rPr>
        <w:rFonts w:ascii="Times New Roman" w:hAnsi="Times New Roman" w:hint="default"/>
      </w:rPr>
    </w:lvl>
    <w:lvl w:ilvl="3" w:tplc="F6AAA27E" w:tentative="1">
      <w:start w:val="1"/>
      <w:numFmt w:val="bullet"/>
      <w:lvlText w:val="•"/>
      <w:lvlJc w:val="left"/>
      <w:pPr>
        <w:tabs>
          <w:tab w:val="num" w:pos="2880"/>
        </w:tabs>
        <w:ind w:left="2880" w:hanging="360"/>
      </w:pPr>
      <w:rPr>
        <w:rFonts w:ascii="Times New Roman" w:hAnsi="Times New Roman" w:hint="default"/>
      </w:rPr>
    </w:lvl>
    <w:lvl w:ilvl="4" w:tplc="532E5DAE" w:tentative="1">
      <w:start w:val="1"/>
      <w:numFmt w:val="bullet"/>
      <w:lvlText w:val="•"/>
      <w:lvlJc w:val="left"/>
      <w:pPr>
        <w:tabs>
          <w:tab w:val="num" w:pos="3600"/>
        </w:tabs>
        <w:ind w:left="3600" w:hanging="360"/>
      </w:pPr>
      <w:rPr>
        <w:rFonts w:ascii="Times New Roman" w:hAnsi="Times New Roman" w:hint="default"/>
      </w:rPr>
    </w:lvl>
    <w:lvl w:ilvl="5" w:tplc="6F7685FE" w:tentative="1">
      <w:start w:val="1"/>
      <w:numFmt w:val="bullet"/>
      <w:lvlText w:val="•"/>
      <w:lvlJc w:val="left"/>
      <w:pPr>
        <w:tabs>
          <w:tab w:val="num" w:pos="4320"/>
        </w:tabs>
        <w:ind w:left="4320" w:hanging="360"/>
      </w:pPr>
      <w:rPr>
        <w:rFonts w:ascii="Times New Roman" w:hAnsi="Times New Roman" w:hint="default"/>
      </w:rPr>
    </w:lvl>
    <w:lvl w:ilvl="6" w:tplc="E91C6442" w:tentative="1">
      <w:start w:val="1"/>
      <w:numFmt w:val="bullet"/>
      <w:lvlText w:val="•"/>
      <w:lvlJc w:val="left"/>
      <w:pPr>
        <w:tabs>
          <w:tab w:val="num" w:pos="5040"/>
        </w:tabs>
        <w:ind w:left="5040" w:hanging="360"/>
      </w:pPr>
      <w:rPr>
        <w:rFonts w:ascii="Times New Roman" w:hAnsi="Times New Roman" w:hint="default"/>
      </w:rPr>
    </w:lvl>
    <w:lvl w:ilvl="7" w:tplc="D144DBF2" w:tentative="1">
      <w:start w:val="1"/>
      <w:numFmt w:val="bullet"/>
      <w:lvlText w:val="•"/>
      <w:lvlJc w:val="left"/>
      <w:pPr>
        <w:tabs>
          <w:tab w:val="num" w:pos="5760"/>
        </w:tabs>
        <w:ind w:left="5760" w:hanging="360"/>
      </w:pPr>
      <w:rPr>
        <w:rFonts w:ascii="Times New Roman" w:hAnsi="Times New Roman" w:hint="default"/>
      </w:rPr>
    </w:lvl>
    <w:lvl w:ilvl="8" w:tplc="5A9EDEF8" w:tentative="1">
      <w:start w:val="1"/>
      <w:numFmt w:val="bullet"/>
      <w:lvlText w:val="•"/>
      <w:lvlJc w:val="left"/>
      <w:pPr>
        <w:tabs>
          <w:tab w:val="num" w:pos="6480"/>
        </w:tabs>
        <w:ind w:left="6480" w:hanging="360"/>
      </w:pPr>
      <w:rPr>
        <w:rFonts w:ascii="Times New Roman" w:hAnsi="Times New Roman" w:hint="default"/>
      </w:rPr>
    </w:lvl>
  </w:abstractNum>
  <w:abstractNum w:abstractNumId="13">
    <w:nsid w:val="4EB11FC7"/>
    <w:multiLevelType w:val="hybridMultilevel"/>
    <w:tmpl w:val="A2529B76"/>
    <w:lvl w:ilvl="0" w:tplc="70420B8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046912"/>
    <w:multiLevelType w:val="singleLevel"/>
    <w:tmpl w:val="7C7E595A"/>
    <w:lvl w:ilvl="0">
      <w:start w:val="1"/>
      <w:numFmt w:val="bullet"/>
      <w:lvlText w:val=""/>
      <w:lvlJc w:val="left"/>
      <w:pPr>
        <w:tabs>
          <w:tab w:val="num" w:pos="360"/>
        </w:tabs>
        <w:ind w:left="360" w:hanging="360"/>
      </w:pPr>
      <w:rPr>
        <w:rFonts w:ascii="Symbol" w:hAnsi="Symbol" w:hint="default"/>
        <w:sz w:val="18"/>
      </w:rPr>
    </w:lvl>
  </w:abstractNum>
  <w:abstractNum w:abstractNumId="15">
    <w:nsid w:val="697747ED"/>
    <w:multiLevelType w:val="singleLevel"/>
    <w:tmpl w:val="7C7E595A"/>
    <w:lvl w:ilvl="0">
      <w:start w:val="1"/>
      <w:numFmt w:val="bullet"/>
      <w:lvlText w:val=""/>
      <w:lvlJc w:val="left"/>
      <w:pPr>
        <w:tabs>
          <w:tab w:val="num" w:pos="360"/>
        </w:tabs>
        <w:ind w:left="360" w:hanging="360"/>
      </w:pPr>
      <w:rPr>
        <w:rFonts w:ascii="Symbol" w:hAnsi="Symbol" w:hint="default"/>
        <w:sz w:val="18"/>
      </w:rPr>
    </w:lvl>
  </w:abstractNum>
  <w:abstractNum w:abstractNumId="16">
    <w:nsid w:val="69B51DCB"/>
    <w:multiLevelType w:val="hybridMultilevel"/>
    <w:tmpl w:val="60982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534EB3"/>
    <w:multiLevelType w:val="hybridMultilevel"/>
    <w:tmpl w:val="C050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05213E"/>
    <w:multiLevelType w:val="hybridMultilevel"/>
    <w:tmpl w:val="DBFC1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06607F"/>
    <w:multiLevelType w:val="hybridMultilevel"/>
    <w:tmpl w:val="4F04D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187096"/>
    <w:multiLevelType w:val="hybridMultilevel"/>
    <w:tmpl w:val="0DA825DA"/>
    <w:lvl w:ilvl="0" w:tplc="3AA8C448">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715C54"/>
    <w:multiLevelType w:val="hybridMultilevel"/>
    <w:tmpl w:val="06E4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9"/>
  </w:num>
  <w:num w:numId="4">
    <w:abstractNumId w:val="20"/>
  </w:num>
  <w:num w:numId="5">
    <w:abstractNumId w:val="6"/>
  </w:num>
  <w:num w:numId="6">
    <w:abstractNumId w:val="12"/>
  </w:num>
  <w:num w:numId="7">
    <w:abstractNumId w:val="8"/>
  </w:num>
  <w:num w:numId="8">
    <w:abstractNumId w:val="16"/>
  </w:num>
  <w:num w:numId="9">
    <w:abstractNumId w:val="17"/>
  </w:num>
  <w:num w:numId="10">
    <w:abstractNumId w:val="21"/>
  </w:num>
  <w:num w:numId="11">
    <w:abstractNumId w:val="11"/>
  </w:num>
  <w:num w:numId="12">
    <w:abstractNumId w:val="5"/>
  </w:num>
  <w:num w:numId="13">
    <w:abstractNumId w:val="19"/>
  </w:num>
  <w:num w:numId="14">
    <w:abstractNumId w:val="7"/>
  </w:num>
  <w:num w:numId="15">
    <w:abstractNumId w:val="15"/>
  </w:num>
  <w:num w:numId="16">
    <w:abstractNumId w:val="3"/>
  </w:num>
  <w:num w:numId="17">
    <w:abstractNumId w:val="2"/>
  </w:num>
  <w:num w:numId="18">
    <w:abstractNumId w:val="14"/>
  </w:num>
  <w:num w:numId="19">
    <w:abstractNumId w:val="0"/>
  </w:num>
  <w:num w:numId="20">
    <w:abstractNumId w:val="1"/>
  </w:num>
  <w:num w:numId="21">
    <w:abstractNumId w:val="1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414"/>
    <w:rsid w:val="00016E15"/>
    <w:rsid w:val="00024689"/>
    <w:rsid w:val="000276DE"/>
    <w:rsid w:val="000937AF"/>
    <w:rsid w:val="00111DA5"/>
    <w:rsid w:val="00113934"/>
    <w:rsid w:val="00123092"/>
    <w:rsid w:val="001713DD"/>
    <w:rsid w:val="001A6D80"/>
    <w:rsid w:val="001B602A"/>
    <w:rsid w:val="001D45F0"/>
    <w:rsid w:val="001F33F8"/>
    <w:rsid w:val="00207A27"/>
    <w:rsid w:val="0025313B"/>
    <w:rsid w:val="002549B3"/>
    <w:rsid w:val="00257C83"/>
    <w:rsid w:val="00277D6A"/>
    <w:rsid w:val="002C5EBC"/>
    <w:rsid w:val="002F0E23"/>
    <w:rsid w:val="00301163"/>
    <w:rsid w:val="00301EAC"/>
    <w:rsid w:val="00313F4F"/>
    <w:rsid w:val="00333796"/>
    <w:rsid w:val="003D4A0A"/>
    <w:rsid w:val="003D7308"/>
    <w:rsid w:val="004242E0"/>
    <w:rsid w:val="0046768D"/>
    <w:rsid w:val="00491A38"/>
    <w:rsid w:val="004F4661"/>
    <w:rsid w:val="00560E6B"/>
    <w:rsid w:val="00574944"/>
    <w:rsid w:val="005A6D84"/>
    <w:rsid w:val="005B42D4"/>
    <w:rsid w:val="005D0701"/>
    <w:rsid w:val="00640289"/>
    <w:rsid w:val="006417EE"/>
    <w:rsid w:val="006421C5"/>
    <w:rsid w:val="00653761"/>
    <w:rsid w:val="00660EB6"/>
    <w:rsid w:val="00696945"/>
    <w:rsid w:val="006E273E"/>
    <w:rsid w:val="006F4707"/>
    <w:rsid w:val="00766006"/>
    <w:rsid w:val="007A4A09"/>
    <w:rsid w:val="007C31D4"/>
    <w:rsid w:val="00817E97"/>
    <w:rsid w:val="008330E2"/>
    <w:rsid w:val="00891FA0"/>
    <w:rsid w:val="00895A91"/>
    <w:rsid w:val="0089790B"/>
    <w:rsid w:val="008E19BF"/>
    <w:rsid w:val="00920C4D"/>
    <w:rsid w:val="00951D7B"/>
    <w:rsid w:val="00955ABD"/>
    <w:rsid w:val="00964678"/>
    <w:rsid w:val="009770BD"/>
    <w:rsid w:val="009A72A0"/>
    <w:rsid w:val="009E4B87"/>
    <w:rsid w:val="009F4A07"/>
    <w:rsid w:val="009F515B"/>
    <w:rsid w:val="00A01A0B"/>
    <w:rsid w:val="00A102FD"/>
    <w:rsid w:val="00A865BC"/>
    <w:rsid w:val="00A87727"/>
    <w:rsid w:val="00AA25E9"/>
    <w:rsid w:val="00AE6C0A"/>
    <w:rsid w:val="00B02D0C"/>
    <w:rsid w:val="00B03D7F"/>
    <w:rsid w:val="00B13D89"/>
    <w:rsid w:val="00B30DB6"/>
    <w:rsid w:val="00B30F0D"/>
    <w:rsid w:val="00B57F7B"/>
    <w:rsid w:val="00B76408"/>
    <w:rsid w:val="00B91778"/>
    <w:rsid w:val="00B93044"/>
    <w:rsid w:val="00B967E7"/>
    <w:rsid w:val="00BA1C2C"/>
    <w:rsid w:val="00BD686D"/>
    <w:rsid w:val="00BE32A4"/>
    <w:rsid w:val="00C019AA"/>
    <w:rsid w:val="00C36414"/>
    <w:rsid w:val="00C612E8"/>
    <w:rsid w:val="00C82B8A"/>
    <w:rsid w:val="00D01F21"/>
    <w:rsid w:val="00D31CEF"/>
    <w:rsid w:val="00DB5EB7"/>
    <w:rsid w:val="00DE0A37"/>
    <w:rsid w:val="00EF4D46"/>
    <w:rsid w:val="00F05D62"/>
    <w:rsid w:val="00F16304"/>
    <w:rsid w:val="00F86A57"/>
    <w:rsid w:val="00FE0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414"/>
    <w:pPr>
      <w:spacing w:after="0" w:line="240" w:lineRule="auto"/>
    </w:pPr>
    <w:rPr>
      <w:rFonts w:ascii="Times New Roman" w:eastAsia="Times New Roman" w:hAnsi="Times New Roman" w:cs="Times New Roman"/>
      <w:sz w:val="24"/>
      <w:szCs w:val="20"/>
    </w:rPr>
  </w:style>
  <w:style w:type="paragraph" w:styleId="Heading1">
    <w:name w:val="heading 1"/>
    <w:basedOn w:val="NoSpacing"/>
    <w:next w:val="Normal"/>
    <w:link w:val="Heading1Char"/>
    <w:uiPriority w:val="9"/>
    <w:qFormat/>
    <w:rsid w:val="00F05D62"/>
    <w:pPr>
      <w:spacing w:before="240" w:after="240"/>
      <w:outlineLvl w:val="0"/>
    </w:pPr>
    <w:rPr>
      <w:b/>
      <w:sz w:val="28"/>
      <w:szCs w:val="28"/>
    </w:rPr>
  </w:style>
  <w:style w:type="paragraph" w:styleId="Heading2">
    <w:name w:val="heading 2"/>
    <w:basedOn w:val="NoSpacing"/>
    <w:next w:val="Normal"/>
    <w:link w:val="Heading2Char"/>
    <w:uiPriority w:val="9"/>
    <w:unhideWhenUsed/>
    <w:qFormat/>
    <w:rsid w:val="00207A27"/>
    <w:pPr>
      <w:outlineLvl w:val="1"/>
    </w:pPr>
    <w:rPr>
      <w:b/>
    </w:rPr>
  </w:style>
  <w:style w:type="paragraph" w:styleId="Heading3">
    <w:name w:val="heading 3"/>
    <w:basedOn w:val="Normal"/>
    <w:next w:val="Normal"/>
    <w:link w:val="Heading3Char"/>
    <w:uiPriority w:val="9"/>
    <w:semiHidden/>
    <w:unhideWhenUsed/>
    <w:qFormat/>
    <w:rsid w:val="00B02D0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36414"/>
    <w:rPr>
      <w:color w:val="0000FF"/>
      <w:u w:val="single"/>
    </w:rPr>
  </w:style>
  <w:style w:type="paragraph" w:styleId="FootnoteText">
    <w:name w:val="footnote text"/>
    <w:basedOn w:val="Normal"/>
    <w:link w:val="FootnoteTextChar"/>
    <w:rsid w:val="00C36414"/>
    <w:rPr>
      <w:sz w:val="20"/>
    </w:rPr>
  </w:style>
  <w:style w:type="character" w:customStyle="1" w:styleId="FootnoteTextChar">
    <w:name w:val="Footnote Text Char"/>
    <w:basedOn w:val="DefaultParagraphFont"/>
    <w:link w:val="FootnoteText"/>
    <w:rsid w:val="00C36414"/>
    <w:rPr>
      <w:rFonts w:ascii="Times New Roman" w:eastAsia="Times New Roman" w:hAnsi="Times New Roman" w:cs="Times New Roman"/>
      <w:sz w:val="20"/>
      <w:szCs w:val="20"/>
    </w:rPr>
  </w:style>
  <w:style w:type="character" w:styleId="FootnoteReference">
    <w:name w:val="footnote reference"/>
    <w:rsid w:val="00C36414"/>
    <w:rPr>
      <w:vertAlign w:val="superscript"/>
    </w:rPr>
  </w:style>
  <w:style w:type="paragraph" w:styleId="NoSpacing">
    <w:name w:val="No Spacing"/>
    <w:link w:val="NoSpacingChar"/>
    <w:uiPriority w:val="1"/>
    <w:qFormat/>
    <w:rsid w:val="00C36414"/>
    <w:pPr>
      <w:spacing w:after="0" w:line="240" w:lineRule="auto"/>
    </w:pPr>
  </w:style>
  <w:style w:type="paragraph" w:styleId="BalloonText">
    <w:name w:val="Balloon Text"/>
    <w:basedOn w:val="Normal"/>
    <w:link w:val="BalloonTextChar"/>
    <w:uiPriority w:val="99"/>
    <w:semiHidden/>
    <w:unhideWhenUsed/>
    <w:rsid w:val="003D4A0A"/>
    <w:rPr>
      <w:rFonts w:ascii="Tahoma" w:hAnsi="Tahoma" w:cs="Tahoma"/>
      <w:sz w:val="16"/>
      <w:szCs w:val="16"/>
    </w:rPr>
  </w:style>
  <w:style w:type="character" w:customStyle="1" w:styleId="BalloonTextChar">
    <w:name w:val="Balloon Text Char"/>
    <w:basedOn w:val="DefaultParagraphFont"/>
    <w:link w:val="BalloonText"/>
    <w:uiPriority w:val="99"/>
    <w:semiHidden/>
    <w:rsid w:val="003D4A0A"/>
    <w:rPr>
      <w:rFonts w:ascii="Tahoma" w:eastAsia="Times New Roman" w:hAnsi="Tahoma" w:cs="Tahoma"/>
      <w:sz w:val="16"/>
      <w:szCs w:val="16"/>
    </w:rPr>
  </w:style>
  <w:style w:type="paragraph" w:styleId="NormalWeb">
    <w:name w:val="Normal (Web)"/>
    <w:basedOn w:val="Normal"/>
    <w:uiPriority w:val="99"/>
    <w:semiHidden/>
    <w:unhideWhenUsed/>
    <w:rsid w:val="003D4A0A"/>
    <w:rPr>
      <w:szCs w:val="24"/>
    </w:rPr>
  </w:style>
  <w:style w:type="paragraph" w:styleId="ListParagraph">
    <w:name w:val="List Paragraph"/>
    <w:basedOn w:val="Normal"/>
    <w:uiPriority w:val="34"/>
    <w:qFormat/>
    <w:rsid w:val="00257C83"/>
    <w:pPr>
      <w:ind w:left="720"/>
      <w:contextualSpacing/>
    </w:pPr>
  </w:style>
  <w:style w:type="table" w:styleId="TableGrid">
    <w:name w:val="Table Grid"/>
    <w:basedOn w:val="TableNormal"/>
    <w:uiPriority w:val="59"/>
    <w:rsid w:val="00257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30F0D"/>
    <w:rPr>
      <w:color w:val="800080" w:themeColor="followedHyperlink"/>
      <w:u w:val="single"/>
    </w:rPr>
  </w:style>
  <w:style w:type="character" w:customStyle="1" w:styleId="Heading1Char">
    <w:name w:val="Heading 1 Char"/>
    <w:basedOn w:val="DefaultParagraphFont"/>
    <w:link w:val="Heading1"/>
    <w:uiPriority w:val="9"/>
    <w:rsid w:val="00F05D62"/>
    <w:rPr>
      <w:b/>
      <w:sz w:val="28"/>
      <w:szCs w:val="28"/>
    </w:rPr>
  </w:style>
  <w:style w:type="paragraph" w:customStyle="1" w:styleId="Body1">
    <w:name w:val="Body1"/>
    <w:basedOn w:val="NoSpacing"/>
    <w:link w:val="Body1Char"/>
    <w:qFormat/>
    <w:rsid w:val="004242E0"/>
    <w:pPr>
      <w:spacing w:after="240"/>
      <w:jc w:val="both"/>
    </w:pPr>
  </w:style>
  <w:style w:type="character" w:customStyle="1" w:styleId="Heading2Char">
    <w:name w:val="Heading 2 Char"/>
    <w:basedOn w:val="DefaultParagraphFont"/>
    <w:link w:val="Heading2"/>
    <w:uiPriority w:val="9"/>
    <w:rsid w:val="00207A27"/>
    <w:rPr>
      <w:b/>
    </w:rPr>
  </w:style>
  <w:style w:type="character" w:customStyle="1" w:styleId="NoSpacingChar">
    <w:name w:val="No Spacing Char"/>
    <w:basedOn w:val="DefaultParagraphFont"/>
    <w:link w:val="NoSpacing"/>
    <w:uiPriority w:val="1"/>
    <w:rsid w:val="00F05D62"/>
  </w:style>
  <w:style w:type="character" w:customStyle="1" w:styleId="Body1Char">
    <w:name w:val="Body1 Char"/>
    <w:basedOn w:val="NoSpacingChar"/>
    <w:link w:val="Body1"/>
    <w:rsid w:val="004242E0"/>
  </w:style>
  <w:style w:type="character" w:styleId="CommentReference">
    <w:name w:val="annotation reference"/>
    <w:basedOn w:val="DefaultParagraphFont"/>
    <w:uiPriority w:val="99"/>
    <w:semiHidden/>
    <w:unhideWhenUsed/>
    <w:rsid w:val="00920C4D"/>
    <w:rPr>
      <w:sz w:val="16"/>
      <w:szCs w:val="16"/>
    </w:rPr>
  </w:style>
  <w:style w:type="paragraph" w:styleId="CommentText">
    <w:name w:val="annotation text"/>
    <w:basedOn w:val="Normal"/>
    <w:link w:val="CommentTextChar"/>
    <w:uiPriority w:val="99"/>
    <w:semiHidden/>
    <w:unhideWhenUsed/>
    <w:rsid w:val="00920C4D"/>
    <w:rPr>
      <w:sz w:val="20"/>
    </w:rPr>
  </w:style>
  <w:style w:type="character" w:customStyle="1" w:styleId="CommentTextChar">
    <w:name w:val="Comment Text Char"/>
    <w:basedOn w:val="DefaultParagraphFont"/>
    <w:link w:val="CommentText"/>
    <w:uiPriority w:val="99"/>
    <w:semiHidden/>
    <w:rsid w:val="00920C4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0C4D"/>
    <w:rPr>
      <w:b/>
      <w:bCs/>
    </w:rPr>
  </w:style>
  <w:style w:type="character" w:customStyle="1" w:styleId="CommentSubjectChar">
    <w:name w:val="Comment Subject Char"/>
    <w:basedOn w:val="CommentTextChar"/>
    <w:link w:val="CommentSubject"/>
    <w:uiPriority w:val="99"/>
    <w:semiHidden/>
    <w:rsid w:val="00920C4D"/>
    <w:rPr>
      <w:rFonts w:ascii="Times New Roman" w:eastAsia="Times New Roman" w:hAnsi="Times New Roman" w:cs="Times New Roman"/>
      <w:b/>
      <w:bCs/>
      <w:sz w:val="20"/>
      <w:szCs w:val="20"/>
    </w:rPr>
  </w:style>
  <w:style w:type="paragraph" w:styleId="Quote">
    <w:name w:val="Quote"/>
    <w:basedOn w:val="Normal"/>
    <w:next w:val="Normal"/>
    <w:link w:val="QuoteChar"/>
    <w:uiPriority w:val="29"/>
    <w:qFormat/>
    <w:rsid w:val="00333796"/>
    <w:rPr>
      <w:i/>
      <w:iCs/>
      <w:color w:val="000000" w:themeColor="text1"/>
    </w:rPr>
  </w:style>
  <w:style w:type="character" w:customStyle="1" w:styleId="QuoteChar">
    <w:name w:val="Quote Char"/>
    <w:basedOn w:val="DefaultParagraphFont"/>
    <w:link w:val="Quote"/>
    <w:uiPriority w:val="29"/>
    <w:rsid w:val="00333796"/>
    <w:rPr>
      <w:rFonts w:ascii="Times New Roman" w:eastAsia="Times New Roman" w:hAnsi="Times New Roman" w:cs="Times New Roman"/>
      <w:i/>
      <w:iCs/>
      <w:color w:val="000000" w:themeColor="text1"/>
      <w:sz w:val="24"/>
      <w:szCs w:val="20"/>
    </w:rPr>
  </w:style>
  <w:style w:type="paragraph" w:styleId="EndnoteText">
    <w:name w:val="endnote text"/>
    <w:basedOn w:val="Normal"/>
    <w:link w:val="EndnoteTextChar"/>
    <w:uiPriority w:val="99"/>
    <w:semiHidden/>
    <w:unhideWhenUsed/>
    <w:rsid w:val="00A87727"/>
    <w:rPr>
      <w:sz w:val="20"/>
    </w:rPr>
  </w:style>
  <w:style w:type="character" w:customStyle="1" w:styleId="EndnoteTextChar">
    <w:name w:val="Endnote Text Char"/>
    <w:basedOn w:val="DefaultParagraphFont"/>
    <w:link w:val="EndnoteText"/>
    <w:uiPriority w:val="99"/>
    <w:semiHidden/>
    <w:rsid w:val="00A8772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87727"/>
    <w:rPr>
      <w:vertAlign w:val="superscript"/>
    </w:rPr>
  </w:style>
  <w:style w:type="paragraph" w:styleId="BodyText">
    <w:name w:val="Body Text"/>
    <w:basedOn w:val="Normal"/>
    <w:link w:val="BodyTextChar"/>
    <w:rsid w:val="001F33F8"/>
    <w:pPr>
      <w:spacing w:after="240" w:line="240" w:lineRule="atLeast"/>
      <w:ind w:left="1080"/>
      <w:jc w:val="both"/>
    </w:pPr>
    <w:rPr>
      <w:rFonts w:ascii="Arial" w:hAnsi="Arial"/>
      <w:spacing w:val="-5"/>
      <w:sz w:val="20"/>
    </w:rPr>
  </w:style>
  <w:style w:type="character" w:customStyle="1" w:styleId="BodyTextChar">
    <w:name w:val="Body Text Char"/>
    <w:basedOn w:val="DefaultParagraphFont"/>
    <w:link w:val="BodyText"/>
    <w:rsid w:val="001F33F8"/>
    <w:rPr>
      <w:rFonts w:ascii="Arial" w:eastAsia="Times New Roman" w:hAnsi="Arial" w:cs="Times New Roman"/>
      <w:spacing w:val="-5"/>
      <w:sz w:val="20"/>
      <w:szCs w:val="20"/>
    </w:rPr>
  </w:style>
  <w:style w:type="paragraph" w:styleId="Index1">
    <w:name w:val="index 1"/>
    <w:basedOn w:val="Normal"/>
    <w:autoRedefine/>
    <w:semiHidden/>
    <w:rsid w:val="00111DA5"/>
    <w:rPr>
      <w:rFonts w:ascii="Arial" w:hAnsi="Arial"/>
      <w:spacing w:val="-5"/>
      <w:sz w:val="18"/>
      <w:szCs w:val="18"/>
    </w:rPr>
  </w:style>
  <w:style w:type="character" w:customStyle="1" w:styleId="Heading3Char">
    <w:name w:val="Heading 3 Char"/>
    <w:basedOn w:val="DefaultParagraphFont"/>
    <w:link w:val="Heading3"/>
    <w:uiPriority w:val="9"/>
    <w:semiHidden/>
    <w:rsid w:val="00B02D0C"/>
    <w:rPr>
      <w:rFonts w:asciiTheme="majorHAnsi" w:eastAsiaTheme="majorEastAsia" w:hAnsiTheme="majorHAnsi" w:cstheme="majorBidi"/>
      <w:b/>
      <w:bCs/>
      <w:color w:val="4F81BD" w:themeColor="accent1"/>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414"/>
    <w:pPr>
      <w:spacing w:after="0" w:line="240" w:lineRule="auto"/>
    </w:pPr>
    <w:rPr>
      <w:rFonts w:ascii="Times New Roman" w:eastAsia="Times New Roman" w:hAnsi="Times New Roman" w:cs="Times New Roman"/>
      <w:sz w:val="24"/>
      <w:szCs w:val="20"/>
    </w:rPr>
  </w:style>
  <w:style w:type="paragraph" w:styleId="Heading1">
    <w:name w:val="heading 1"/>
    <w:basedOn w:val="NoSpacing"/>
    <w:next w:val="Normal"/>
    <w:link w:val="Heading1Char"/>
    <w:uiPriority w:val="9"/>
    <w:qFormat/>
    <w:rsid w:val="00F05D62"/>
    <w:pPr>
      <w:spacing w:before="240" w:after="240"/>
      <w:outlineLvl w:val="0"/>
    </w:pPr>
    <w:rPr>
      <w:b/>
      <w:sz w:val="28"/>
      <w:szCs w:val="28"/>
    </w:rPr>
  </w:style>
  <w:style w:type="paragraph" w:styleId="Heading2">
    <w:name w:val="heading 2"/>
    <w:basedOn w:val="NoSpacing"/>
    <w:next w:val="Normal"/>
    <w:link w:val="Heading2Char"/>
    <w:uiPriority w:val="9"/>
    <w:unhideWhenUsed/>
    <w:qFormat/>
    <w:rsid w:val="00207A27"/>
    <w:pPr>
      <w:outlineLvl w:val="1"/>
    </w:pPr>
    <w:rPr>
      <w:b/>
    </w:rPr>
  </w:style>
  <w:style w:type="paragraph" w:styleId="Heading3">
    <w:name w:val="heading 3"/>
    <w:basedOn w:val="Normal"/>
    <w:next w:val="Normal"/>
    <w:link w:val="Heading3Char"/>
    <w:uiPriority w:val="9"/>
    <w:semiHidden/>
    <w:unhideWhenUsed/>
    <w:qFormat/>
    <w:rsid w:val="00B02D0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36414"/>
    <w:rPr>
      <w:color w:val="0000FF"/>
      <w:u w:val="single"/>
    </w:rPr>
  </w:style>
  <w:style w:type="paragraph" w:styleId="FootnoteText">
    <w:name w:val="footnote text"/>
    <w:basedOn w:val="Normal"/>
    <w:link w:val="FootnoteTextChar"/>
    <w:rsid w:val="00C36414"/>
    <w:rPr>
      <w:sz w:val="20"/>
    </w:rPr>
  </w:style>
  <w:style w:type="character" w:customStyle="1" w:styleId="FootnoteTextChar">
    <w:name w:val="Footnote Text Char"/>
    <w:basedOn w:val="DefaultParagraphFont"/>
    <w:link w:val="FootnoteText"/>
    <w:rsid w:val="00C36414"/>
    <w:rPr>
      <w:rFonts w:ascii="Times New Roman" w:eastAsia="Times New Roman" w:hAnsi="Times New Roman" w:cs="Times New Roman"/>
      <w:sz w:val="20"/>
      <w:szCs w:val="20"/>
    </w:rPr>
  </w:style>
  <w:style w:type="character" w:styleId="FootnoteReference">
    <w:name w:val="footnote reference"/>
    <w:rsid w:val="00C36414"/>
    <w:rPr>
      <w:vertAlign w:val="superscript"/>
    </w:rPr>
  </w:style>
  <w:style w:type="paragraph" w:styleId="NoSpacing">
    <w:name w:val="No Spacing"/>
    <w:link w:val="NoSpacingChar"/>
    <w:uiPriority w:val="1"/>
    <w:qFormat/>
    <w:rsid w:val="00C36414"/>
    <w:pPr>
      <w:spacing w:after="0" w:line="240" w:lineRule="auto"/>
    </w:pPr>
  </w:style>
  <w:style w:type="paragraph" w:styleId="BalloonText">
    <w:name w:val="Balloon Text"/>
    <w:basedOn w:val="Normal"/>
    <w:link w:val="BalloonTextChar"/>
    <w:uiPriority w:val="99"/>
    <w:semiHidden/>
    <w:unhideWhenUsed/>
    <w:rsid w:val="003D4A0A"/>
    <w:rPr>
      <w:rFonts w:ascii="Tahoma" w:hAnsi="Tahoma" w:cs="Tahoma"/>
      <w:sz w:val="16"/>
      <w:szCs w:val="16"/>
    </w:rPr>
  </w:style>
  <w:style w:type="character" w:customStyle="1" w:styleId="BalloonTextChar">
    <w:name w:val="Balloon Text Char"/>
    <w:basedOn w:val="DefaultParagraphFont"/>
    <w:link w:val="BalloonText"/>
    <w:uiPriority w:val="99"/>
    <w:semiHidden/>
    <w:rsid w:val="003D4A0A"/>
    <w:rPr>
      <w:rFonts w:ascii="Tahoma" w:eastAsia="Times New Roman" w:hAnsi="Tahoma" w:cs="Tahoma"/>
      <w:sz w:val="16"/>
      <w:szCs w:val="16"/>
    </w:rPr>
  </w:style>
  <w:style w:type="paragraph" w:styleId="NormalWeb">
    <w:name w:val="Normal (Web)"/>
    <w:basedOn w:val="Normal"/>
    <w:uiPriority w:val="99"/>
    <w:semiHidden/>
    <w:unhideWhenUsed/>
    <w:rsid w:val="003D4A0A"/>
    <w:rPr>
      <w:szCs w:val="24"/>
    </w:rPr>
  </w:style>
  <w:style w:type="paragraph" w:styleId="ListParagraph">
    <w:name w:val="List Paragraph"/>
    <w:basedOn w:val="Normal"/>
    <w:uiPriority w:val="34"/>
    <w:qFormat/>
    <w:rsid w:val="00257C83"/>
    <w:pPr>
      <w:ind w:left="720"/>
      <w:contextualSpacing/>
    </w:pPr>
  </w:style>
  <w:style w:type="table" w:styleId="TableGrid">
    <w:name w:val="Table Grid"/>
    <w:basedOn w:val="TableNormal"/>
    <w:uiPriority w:val="59"/>
    <w:rsid w:val="00257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30F0D"/>
    <w:rPr>
      <w:color w:val="800080" w:themeColor="followedHyperlink"/>
      <w:u w:val="single"/>
    </w:rPr>
  </w:style>
  <w:style w:type="character" w:customStyle="1" w:styleId="Heading1Char">
    <w:name w:val="Heading 1 Char"/>
    <w:basedOn w:val="DefaultParagraphFont"/>
    <w:link w:val="Heading1"/>
    <w:uiPriority w:val="9"/>
    <w:rsid w:val="00F05D62"/>
    <w:rPr>
      <w:b/>
      <w:sz w:val="28"/>
      <w:szCs w:val="28"/>
    </w:rPr>
  </w:style>
  <w:style w:type="paragraph" w:customStyle="1" w:styleId="Body1">
    <w:name w:val="Body1"/>
    <w:basedOn w:val="NoSpacing"/>
    <w:link w:val="Body1Char"/>
    <w:qFormat/>
    <w:rsid w:val="004242E0"/>
    <w:pPr>
      <w:spacing w:after="240"/>
      <w:jc w:val="both"/>
    </w:pPr>
  </w:style>
  <w:style w:type="character" w:customStyle="1" w:styleId="Heading2Char">
    <w:name w:val="Heading 2 Char"/>
    <w:basedOn w:val="DefaultParagraphFont"/>
    <w:link w:val="Heading2"/>
    <w:uiPriority w:val="9"/>
    <w:rsid w:val="00207A27"/>
    <w:rPr>
      <w:b/>
    </w:rPr>
  </w:style>
  <w:style w:type="character" w:customStyle="1" w:styleId="NoSpacingChar">
    <w:name w:val="No Spacing Char"/>
    <w:basedOn w:val="DefaultParagraphFont"/>
    <w:link w:val="NoSpacing"/>
    <w:uiPriority w:val="1"/>
    <w:rsid w:val="00F05D62"/>
  </w:style>
  <w:style w:type="character" w:customStyle="1" w:styleId="Body1Char">
    <w:name w:val="Body1 Char"/>
    <w:basedOn w:val="NoSpacingChar"/>
    <w:link w:val="Body1"/>
    <w:rsid w:val="004242E0"/>
  </w:style>
  <w:style w:type="character" w:styleId="CommentReference">
    <w:name w:val="annotation reference"/>
    <w:basedOn w:val="DefaultParagraphFont"/>
    <w:uiPriority w:val="99"/>
    <w:semiHidden/>
    <w:unhideWhenUsed/>
    <w:rsid w:val="00920C4D"/>
    <w:rPr>
      <w:sz w:val="16"/>
      <w:szCs w:val="16"/>
    </w:rPr>
  </w:style>
  <w:style w:type="paragraph" w:styleId="CommentText">
    <w:name w:val="annotation text"/>
    <w:basedOn w:val="Normal"/>
    <w:link w:val="CommentTextChar"/>
    <w:uiPriority w:val="99"/>
    <w:semiHidden/>
    <w:unhideWhenUsed/>
    <w:rsid w:val="00920C4D"/>
    <w:rPr>
      <w:sz w:val="20"/>
    </w:rPr>
  </w:style>
  <w:style w:type="character" w:customStyle="1" w:styleId="CommentTextChar">
    <w:name w:val="Comment Text Char"/>
    <w:basedOn w:val="DefaultParagraphFont"/>
    <w:link w:val="CommentText"/>
    <w:uiPriority w:val="99"/>
    <w:semiHidden/>
    <w:rsid w:val="00920C4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0C4D"/>
    <w:rPr>
      <w:b/>
      <w:bCs/>
    </w:rPr>
  </w:style>
  <w:style w:type="character" w:customStyle="1" w:styleId="CommentSubjectChar">
    <w:name w:val="Comment Subject Char"/>
    <w:basedOn w:val="CommentTextChar"/>
    <w:link w:val="CommentSubject"/>
    <w:uiPriority w:val="99"/>
    <w:semiHidden/>
    <w:rsid w:val="00920C4D"/>
    <w:rPr>
      <w:rFonts w:ascii="Times New Roman" w:eastAsia="Times New Roman" w:hAnsi="Times New Roman" w:cs="Times New Roman"/>
      <w:b/>
      <w:bCs/>
      <w:sz w:val="20"/>
      <w:szCs w:val="20"/>
    </w:rPr>
  </w:style>
  <w:style w:type="paragraph" w:styleId="Quote">
    <w:name w:val="Quote"/>
    <w:basedOn w:val="Normal"/>
    <w:next w:val="Normal"/>
    <w:link w:val="QuoteChar"/>
    <w:uiPriority w:val="29"/>
    <w:qFormat/>
    <w:rsid w:val="00333796"/>
    <w:rPr>
      <w:i/>
      <w:iCs/>
      <w:color w:val="000000" w:themeColor="text1"/>
    </w:rPr>
  </w:style>
  <w:style w:type="character" w:customStyle="1" w:styleId="QuoteChar">
    <w:name w:val="Quote Char"/>
    <w:basedOn w:val="DefaultParagraphFont"/>
    <w:link w:val="Quote"/>
    <w:uiPriority w:val="29"/>
    <w:rsid w:val="00333796"/>
    <w:rPr>
      <w:rFonts w:ascii="Times New Roman" w:eastAsia="Times New Roman" w:hAnsi="Times New Roman" w:cs="Times New Roman"/>
      <w:i/>
      <w:iCs/>
      <w:color w:val="000000" w:themeColor="text1"/>
      <w:sz w:val="24"/>
      <w:szCs w:val="20"/>
    </w:rPr>
  </w:style>
  <w:style w:type="paragraph" w:styleId="EndnoteText">
    <w:name w:val="endnote text"/>
    <w:basedOn w:val="Normal"/>
    <w:link w:val="EndnoteTextChar"/>
    <w:uiPriority w:val="99"/>
    <w:semiHidden/>
    <w:unhideWhenUsed/>
    <w:rsid w:val="00A87727"/>
    <w:rPr>
      <w:sz w:val="20"/>
    </w:rPr>
  </w:style>
  <w:style w:type="character" w:customStyle="1" w:styleId="EndnoteTextChar">
    <w:name w:val="Endnote Text Char"/>
    <w:basedOn w:val="DefaultParagraphFont"/>
    <w:link w:val="EndnoteText"/>
    <w:uiPriority w:val="99"/>
    <w:semiHidden/>
    <w:rsid w:val="00A8772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87727"/>
    <w:rPr>
      <w:vertAlign w:val="superscript"/>
    </w:rPr>
  </w:style>
  <w:style w:type="paragraph" w:styleId="BodyText">
    <w:name w:val="Body Text"/>
    <w:basedOn w:val="Normal"/>
    <w:link w:val="BodyTextChar"/>
    <w:rsid w:val="001F33F8"/>
    <w:pPr>
      <w:spacing w:after="240" w:line="240" w:lineRule="atLeast"/>
      <w:ind w:left="1080"/>
      <w:jc w:val="both"/>
    </w:pPr>
    <w:rPr>
      <w:rFonts w:ascii="Arial" w:hAnsi="Arial"/>
      <w:spacing w:val="-5"/>
      <w:sz w:val="20"/>
    </w:rPr>
  </w:style>
  <w:style w:type="character" w:customStyle="1" w:styleId="BodyTextChar">
    <w:name w:val="Body Text Char"/>
    <w:basedOn w:val="DefaultParagraphFont"/>
    <w:link w:val="BodyText"/>
    <w:rsid w:val="001F33F8"/>
    <w:rPr>
      <w:rFonts w:ascii="Arial" w:eastAsia="Times New Roman" w:hAnsi="Arial" w:cs="Times New Roman"/>
      <w:spacing w:val="-5"/>
      <w:sz w:val="20"/>
      <w:szCs w:val="20"/>
    </w:rPr>
  </w:style>
  <w:style w:type="paragraph" w:styleId="Index1">
    <w:name w:val="index 1"/>
    <w:basedOn w:val="Normal"/>
    <w:autoRedefine/>
    <w:semiHidden/>
    <w:rsid w:val="00111DA5"/>
    <w:rPr>
      <w:rFonts w:ascii="Arial" w:hAnsi="Arial"/>
      <w:spacing w:val="-5"/>
      <w:sz w:val="18"/>
      <w:szCs w:val="18"/>
    </w:rPr>
  </w:style>
  <w:style w:type="character" w:customStyle="1" w:styleId="Heading3Char">
    <w:name w:val="Heading 3 Char"/>
    <w:basedOn w:val="DefaultParagraphFont"/>
    <w:link w:val="Heading3"/>
    <w:uiPriority w:val="9"/>
    <w:semiHidden/>
    <w:rsid w:val="00B02D0C"/>
    <w:rPr>
      <w:rFonts w:asciiTheme="majorHAnsi" w:eastAsiaTheme="majorEastAsia" w:hAnsiTheme="majorHAnsi" w:cstheme="majorBidi"/>
      <w:b/>
      <w:bCs/>
      <w:color w:val="4F81BD" w:themeColor="accent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147369">
      <w:bodyDiv w:val="1"/>
      <w:marLeft w:val="0"/>
      <w:marRight w:val="0"/>
      <w:marTop w:val="0"/>
      <w:marBottom w:val="0"/>
      <w:divBdr>
        <w:top w:val="none" w:sz="0" w:space="0" w:color="auto"/>
        <w:left w:val="none" w:sz="0" w:space="0" w:color="auto"/>
        <w:bottom w:val="none" w:sz="0" w:space="0" w:color="auto"/>
        <w:right w:val="none" w:sz="0" w:space="0" w:color="auto"/>
      </w:divBdr>
    </w:div>
    <w:div w:id="974722863">
      <w:bodyDiv w:val="1"/>
      <w:marLeft w:val="0"/>
      <w:marRight w:val="0"/>
      <w:marTop w:val="0"/>
      <w:marBottom w:val="0"/>
      <w:divBdr>
        <w:top w:val="none" w:sz="0" w:space="0" w:color="auto"/>
        <w:left w:val="none" w:sz="0" w:space="0" w:color="auto"/>
        <w:bottom w:val="none" w:sz="0" w:space="0" w:color="auto"/>
        <w:right w:val="none" w:sz="0" w:space="0" w:color="auto"/>
      </w:divBdr>
    </w:div>
    <w:div w:id="1142968524">
      <w:bodyDiv w:val="1"/>
      <w:marLeft w:val="0"/>
      <w:marRight w:val="0"/>
      <w:marTop w:val="0"/>
      <w:marBottom w:val="0"/>
      <w:divBdr>
        <w:top w:val="none" w:sz="0" w:space="0" w:color="auto"/>
        <w:left w:val="none" w:sz="0" w:space="0" w:color="auto"/>
        <w:bottom w:val="none" w:sz="0" w:space="0" w:color="auto"/>
        <w:right w:val="none" w:sz="0" w:space="0" w:color="auto"/>
      </w:divBdr>
    </w:div>
    <w:div w:id="1147479339">
      <w:bodyDiv w:val="1"/>
      <w:marLeft w:val="0"/>
      <w:marRight w:val="0"/>
      <w:marTop w:val="0"/>
      <w:marBottom w:val="0"/>
      <w:divBdr>
        <w:top w:val="none" w:sz="0" w:space="0" w:color="auto"/>
        <w:left w:val="none" w:sz="0" w:space="0" w:color="auto"/>
        <w:bottom w:val="none" w:sz="0" w:space="0" w:color="auto"/>
        <w:right w:val="none" w:sz="0" w:space="0" w:color="auto"/>
      </w:divBdr>
    </w:div>
    <w:div w:id="1174102610">
      <w:bodyDiv w:val="1"/>
      <w:marLeft w:val="0"/>
      <w:marRight w:val="0"/>
      <w:marTop w:val="0"/>
      <w:marBottom w:val="0"/>
      <w:divBdr>
        <w:top w:val="none" w:sz="0" w:space="0" w:color="auto"/>
        <w:left w:val="none" w:sz="0" w:space="0" w:color="auto"/>
        <w:bottom w:val="none" w:sz="0" w:space="0" w:color="auto"/>
        <w:right w:val="none" w:sz="0" w:space="0" w:color="auto"/>
      </w:divBdr>
      <w:divsChild>
        <w:div w:id="1454786164">
          <w:marLeft w:val="547"/>
          <w:marRight w:val="0"/>
          <w:marTop w:val="125"/>
          <w:marBottom w:val="0"/>
          <w:divBdr>
            <w:top w:val="none" w:sz="0" w:space="0" w:color="auto"/>
            <w:left w:val="none" w:sz="0" w:space="0" w:color="auto"/>
            <w:bottom w:val="none" w:sz="0" w:space="0" w:color="auto"/>
            <w:right w:val="none" w:sz="0" w:space="0" w:color="auto"/>
          </w:divBdr>
        </w:div>
        <w:div w:id="660817650">
          <w:marLeft w:val="547"/>
          <w:marRight w:val="0"/>
          <w:marTop w:val="125"/>
          <w:marBottom w:val="0"/>
          <w:divBdr>
            <w:top w:val="none" w:sz="0" w:space="0" w:color="auto"/>
            <w:left w:val="none" w:sz="0" w:space="0" w:color="auto"/>
            <w:bottom w:val="none" w:sz="0" w:space="0" w:color="auto"/>
            <w:right w:val="none" w:sz="0" w:space="0" w:color="auto"/>
          </w:divBdr>
        </w:div>
        <w:div w:id="2111704611">
          <w:marLeft w:val="547"/>
          <w:marRight w:val="0"/>
          <w:marTop w:val="125"/>
          <w:marBottom w:val="0"/>
          <w:divBdr>
            <w:top w:val="none" w:sz="0" w:space="0" w:color="auto"/>
            <w:left w:val="none" w:sz="0" w:space="0" w:color="auto"/>
            <w:bottom w:val="none" w:sz="0" w:space="0" w:color="auto"/>
            <w:right w:val="none" w:sz="0" w:space="0" w:color="auto"/>
          </w:divBdr>
        </w:div>
        <w:div w:id="1870408298">
          <w:marLeft w:val="547"/>
          <w:marRight w:val="0"/>
          <w:marTop w:val="125"/>
          <w:marBottom w:val="0"/>
          <w:divBdr>
            <w:top w:val="none" w:sz="0" w:space="0" w:color="auto"/>
            <w:left w:val="none" w:sz="0" w:space="0" w:color="auto"/>
            <w:bottom w:val="none" w:sz="0" w:space="0" w:color="auto"/>
            <w:right w:val="none" w:sz="0" w:space="0" w:color="auto"/>
          </w:divBdr>
        </w:div>
        <w:div w:id="361438494">
          <w:marLeft w:val="547"/>
          <w:marRight w:val="0"/>
          <w:marTop w:val="125"/>
          <w:marBottom w:val="0"/>
          <w:divBdr>
            <w:top w:val="none" w:sz="0" w:space="0" w:color="auto"/>
            <w:left w:val="none" w:sz="0" w:space="0" w:color="auto"/>
            <w:bottom w:val="none" w:sz="0" w:space="0" w:color="auto"/>
            <w:right w:val="none" w:sz="0" w:space="0" w:color="auto"/>
          </w:divBdr>
        </w:div>
        <w:div w:id="1363433935">
          <w:marLeft w:val="547"/>
          <w:marRight w:val="0"/>
          <w:marTop w:val="125"/>
          <w:marBottom w:val="0"/>
          <w:divBdr>
            <w:top w:val="none" w:sz="0" w:space="0" w:color="auto"/>
            <w:left w:val="none" w:sz="0" w:space="0" w:color="auto"/>
            <w:bottom w:val="none" w:sz="0" w:space="0" w:color="auto"/>
            <w:right w:val="none" w:sz="0" w:space="0" w:color="auto"/>
          </w:divBdr>
        </w:div>
        <w:div w:id="1728065761">
          <w:marLeft w:val="547"/>
          <w:marRight w:val="0"/>
          <w:marTop w:val="125"/>
          <w:marBottom w:val="0"/>
          <w:divBdr>
            <w:top w:val="none" w:sz="0" w:space="0" w:color="auto"/>
            <w:left w:val="none" w:sz="0" w:space="0" w:color="auto"/>
            <w:bottom w:val="none" w:sz="0" w:space="0" w:color="auto"/>
            <w:right w:val="none" w:sz="0" w:space="0" w:color="auto"/>
          </w:divBdr>
        </w:div>
        <w:div w:id="1871917345">
          <w:marLeft w:val="547"/>
          <w:marRight w:val="0"/>
          <w:marTop w:val="125"/>
          <w:marBottom w:val="0"/>
          <w:divBdr>
            <w:top w:val="none" w:sz="0" w:space="0" w:color="auto"/>
            <w:left w:val="none" w:sz="0" w:space="0" w:color="auto"/>
            <w:bottom w:val="none" w:sz="0" w:space="0" w:color="auto"/>
            <w:right w:val="none" w:sz="0" w:space="0" w:color="auto"/>
          </w:divBdr>
        </w:div>
        <w:div w:id="1899972613">
          <w:marLeft w:val="547"/>
          <w:marRight w:val="0"/>
          <w:marTop w:val="125"/>
          <w:marBottom w:val="0"/>
          <w:divBdr>
            <w:top w:val="none" w:sz="0" w:space="0" w:color="auto"/>
            <w:left w:val="none" w:sz="0" w:space="0" w:color="auto"/>
            <w:bottom w:val="none" w:sz="0" w:space="0" w:color="auto"/>
            <w:right w:val="none" w:sz="0" w:space="0" w:color="auto"/>
          </w:divBdr>
        </w:div>
        <w:div w:id="31082084">
          <w:marLeft w:val="547"/>
          <w:marRight w:val="0"/>
          <w:marTop w:val="125"/>
          <w:marBottom w:val="0"/>
          <w:divBdr>
            <w:top w:val="none" w:sz="0" w:space="0" w:color="auto"/>
            <w:left w:val="none" w:sz="0" w:space="0" w:color="auto"/>
            <w:bottom w:val="none" w:sz="0" w:space="0" w:color="auto"/>
            <w:right w:val="none" w:sz="0" w:space="0" w:color="auto"/>
          </w:divBdr>
        </w:div>
        <w:div w:id="77098934">
          <w:marLeft w:val="547"/>
          <w:marRight w:val="0"/>
          <w:marTop w:val="125"/>
          <w:marBottom w:val="0"/>
          <w:divBdr>
            <w:top w:val="none" w:sz="0" w:space="0" w:color="auto"/>
            <w:left w:val="none" w:sz="0" w:space="0" w:color="auto"/>
            <w:bottom w:val="none" w:sz="0" w:space="0" w:color="auto"/>
            <w:right w:val="none" w:sz="0" w:space="0" w:color="auto"/>
          </w:divBdr>
        </w:div>
      </w:divsChild>
    </w:div>
    <w:div w:id="1216358265">
      <w:bodyDiv w:val="1"/>
      <w:marLeft w:val="0"/>
      <w:marRight w:val="0"/>
      <w:marTop w:val="0"/>
      <w:marBottom w:val="0"/>
      <w:divBdr>
        <w:top w:val="none" w:sz="0" w:space="0" w:color="auto"/>
        <w:left w:val="none" w:sz="0" w:space="0" w:color="auto"/>
        <w:bottom w:val="none" w:sz="0" w:space="0" w:color="auto"/>
        <w:right w:val="none" w:sz="0" w:space="0" w:color="auto"/>
      </w:divBdr>
    </w:div>
    <w:div w:id="1547178079">
      <w:bodyDiv w:val="1"/>
      <w:marLeft w:val="0"/>
      <w:marRight w:val="0"/>
      <w:marTop w:val="0"/>
      <w:marBottom w:val="0"/>
      <w:divBdr>
        <w:top w:val="none" w:sz="0" w:space="0" w:color="auto"/>
        <w:left w:val="none" w:sz="0" w:space="0" w:color="auto"/>
        <w:bottom w:val="none" w:sz="0" w:space="0" w:color="auto"/>
        <w:right w:val="none" w:sz="0" w:space="0" w:color="auto"/>
      </w:divBdr>
    </w:div>
    <w:div w:id="1717386302">
      <w:bodyDiv w:val="1"/>
      <w:marLeft w:val="0"/>
      <w:marRight w:val="0"/>
      <w:marTop w:val="0"/>
      <w:marBottom w:val="0"/>
      <w:divBdr>
        <w:top w:val="none" w:sz="0" w:space="0" w:color="auto"/>
        <w:left w:val="none" w:sz="0" w:space="0" w:color="auto"/>
        <w:bottom w:val="none" w:sz="0" w:space="0" w:color="auto"/>
        <w:right w:val="none" w:sz="0" w:space="0" w:color="auto"/>
      </w:divBdr>
    </w:div>
    <w:div w:id="1717927437">
      <w:bodyDiv w:val="1"/>
      <w:marLeft w:val="0"/>
      <w:marRight w:val="0"/>
      <w:marTop w:val="0"/>
      <w:marBottom w:val="0"/>
      <w:divBdr>
        <w:top w:val="none" w:sz="0" w:space="0" w:color="auto"/>
        <w:left w:val="none" w:sz="0" w:space="0" w:color="auto"/>
        <w:bottom w:val="none" w:sz="0" w:space="0" w:color="auto"/>
        <w:right w:val="none" w:sz="0" w:space="0" w:color="auto"/>
      </w:divBdr>
    </w:div>
    <w:div w:id="2068338560">
      <w:bodyDiv w:val="1"/>
      <w:marLeft w:val="0"/>
      <w:marRight w:val="0"/>
      <w:marTop w:val="0"/>
      <w:marBottom w:val="0"/>
      <w:divBdr>
        <w:top w:val="none" w:sz="0" w:space="0" w:color="auto"/>
        <w:left w:val="none" w:sz="0" w:space="0" w:color="auto"/>
        <w:bottom w:val="none" w:sz="0" w:space="0" w:color="auto"/>
        <w:right w:val="none" w:sz="0" w:space="0" w:color="auto"/>
      </w:divBdr>
      <w:divsChild>
        <w:div w:id="1242712738">
          <w:marLeft w:val="547"/>
          <w:marRight w:val="0"/>
          <w:marTop w:val="125"/>
          <w:marBottom w:val="0"/>
          <w:divBdr>
            <w:top w:val="none" w:sz="0" w:space="0" w:color="auto"/>
            <w:left w:val="none" w:sz="0" w:space="0" w:color="auto"/>
            <w:bottom w:val="none" w:sz="0" w:space="0" w:color="auto"/>
            <w:right w:val="none" w:sz="0" w:space="0" w:color="auto"/>
          </w:divBdr>
        </w:div>
        <w:div w:id="1326203777">
          <w:marLeft w:val="547"/>
          <w:marRight w:val="0"/>
          <w:marTop w:val="125"/>
          <w:marBottom w:val="0"/>
          <w:divBdr>
            <w:top w:val="none" w:sz="0" w:space="0" w:color="auto"/>
            <w:left w:val="none" w:sz="0" w:space="0" w:color="auto"/>
            <w:bottom w:val="none" w:sz="0" w:space="0" w:color="auto"/>
            <w:right w:val="none" w:sz="0" w:space="0" w:color="auto"/>
          </w:divBdr>
        </w:div>
        <w:div w:id="1205753030">
          <w:marLeft w:val="547"/>
          <w:marRight w:val="0"/>
          <w:marTop w:val="125"/>
          <w:marBottom w:val="0"/>
          <w:divBdr>
            <w:top w:val="none" w:sz="0" w:space="0" w:color="auto"/>
            <w:left w:val="none" w:sz="0" w:space="0" w:color="auto"/>
            <w:bottom w:val="none" w:sz="0" w:space="0" w:color="auto"/>
            <w:right w:val="none" w:sz="0" w:space="0" w:color="auto"/>
          </w:divBdr>
        </w:div>
        <w:div w:id="1420642642">
          <w:marLeft w:val="547"/>
          <w:marRight w:val="0"/>
          <w:marTop w:val="125"/>
          <w:marBottom w:val="0"/>
          <w:divBdr>
            <w:top w:val="none" w:sz="0" w:space="0" w:color="auto"/>
            <w:left w:val="none" w:sz="0" w:space="0" w:color="auto"/>
            <w:bottom w:val="none" w:sz="0" w:space="0" w:color="auto"/>
            <w:right w:val="none" w:sz="0" w:space="0" w:color="auto"/>
          </w:divBdr>
        </w:div>
        <w:div w:id="891427518">
          <w:marLeft w:val="547"/>
          <w:marRight w:val="0"/>
          <w:marTop w:val="125"/>
          <w:marBottom w:val="0"/>
          <w:divBdr>
            <w:top w:val="none" w:sz="0" w:space="0" w:color="auto"/>
            <w:left w:val="none" w:sz="0" w:space="0" w:color="auto"/>
            <w:bottom w:val="none" w:sz="0" w:space="0" w:color="auto"/>
            <w:right w:val="none" w:sz="0" w:space="0" w:color="auto"/>
          </w:divBdr>
        </w:div>
        <w:div w:id="1726291420">
          <w:marLeft w:val="547"/>
          <w:marRight w:val="0"/>
          <w:marTop w:val="125"/>
          <w:marBottom w:val="0"/>
          <w:divBdr>
            <w:top w:val="none" w:sz="0" w:space="0" w:color="auto"/>
            <w:left w:val="none" w:sz="0" w:space="0" w:color="auto"/>
            <w:bottom w:val="none" w:sz="0" w:space="0" w:color="auto"/>
            <w:right w:val="none" w:sz="0" w:space="0" w:color="auto"/>
          </w:divBdr>
        </w:div>
        <w:div w:id="1912696292">
          <w:marLeft w:val="547"/>
          <w:marRight w:val="0"/>
          <w:marTop w:val="125"/>
          <w:marBottom w:val="0"/>
          <w:divBdr>
            <w:top w:val="none" w:sz="0" w:space="0" w:color="auto"/>
            <w:left w:val="none" w:sz="0" w:space="0" w:color="auto"/>
            <w:bottom w:val="none" w:sz="0" w:space="0" w:color="auto"/>
            <w:right w:val="none" w:sz="0" w:space="0" w:color="auto"/>
          </w:divBdr>
        </w:div>
        <w:div w:id="1665474243">
          <w:marLeft w:val="547"/>
          <w:marRight w:val="0"/>
          <w:marTop w:val="125"/>
          <w:marBottom w:val="0"/>
          <w:divBdr>
            <w:top w:val="none" w:sz="0" w:space="0" w:color="auto"/>
            <w:left w:val="none" w:sz="0" w:space="0" w:color="auto"/>
            <w:bottom w:val="none" w:sz="0" w:space="0" w:color="auto"/>
            <w:right w:val="none" w:sz="0" w:space="0" w:color="auto"/>
          </w:divBdr>
        </w:div>
        <w:div w:id="557940433">
          <w:marLeft w:val="547"/>
          <w:marRight w:val="0"/>
          <w:marTop w:val="125"/>
          <w:marBottom w:val="0"/>
          <w:divBdr>
            <w:top w:val="none" w:sz="0" w:space="0" w:color="auto"/>
            <w:left w:val="none" w:sz="0" w:space="0" w:color="auto"/>
            <w:bottom w:val="none" w:sz="0" w:space="0" w:color="auto"/>
            <w:right w:val="none" w:sz="0" w:space="0" w:color="auto"/>
          </w:divBdr>
        </w:div>
        <w:div w:id="1683583333">
          <w:marLeft w:val="547"/>
          <w:marRight w:val="0"/>
          <w:marTop w:val="125"/>
          <w:marBottom w:val="0"/>
          <w:divBdr>
            <w:top w:val="none" w:sz="0" w:space="0" w:color="auto"/>
            <w:left w:val="none" w:sz="0" w:space="0" w:color="auto"/>
            <w:bottom w:val="none" w:sz="0" w:space="0" w:color="auto"/>
            <w:right w:val="none" w:sz="0" w:space="0" w:color="auto"/>
          </w:divBdr>
        </w:div>
        <w:div w:id="1647002992">
          <w:marLeft w:val="547"/>
          <w:marRight w:val="0"/>
          <w:marTop w:val="1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png"/>
  <Relationship Id="rId11" Type="http://schemas.openxmlformats.org/officeDocument/2006/relationships/hyperlink" TargetMode="External" Target="http://www.mass.gov/dph/FACE"/>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AB4FF-880E-4D0E-B153-306F29153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4</Pages>
  <Words>1658</Words>
  <Characters>9453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11089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2016-06-27T21:33:00Z</dcterms:created>
  <dc:creator>Ferguson, Jana (DPH)</dc:creator>
  <lastModifiedBy>JL</lastModifiedBy>
  <lastPrinted>2017-03-24T14:18:00Z</lastPrinted>
  <dcterms:modified xsi:type="dcterms:W3CDTF">2017-03-24T14:23:00Z</dcterms:modified>
  <revision>31</revision>
</coreProperties>
</file>