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D77B" w14:textId="0EFCEA53" w:rsidR="008A785E" w:rsidRDefault="008A785E" w:rsidP="008A785E">
      <w:pPr>
        <w:jc w:val="center"/>
        <w:rPr>
          <w:b/>
          <w:sz w:val="28"/>
        </w:rPr>
      </w:pPr>
      <w:r w:rsidRPr="00B70538">
        <w:rPr>
          <w:b/>
          <w:sz w:val="28"/>
        </w:rPr>
        <w:t xml:space="preserve">Massachusetts Hemovigilance Program </w:t>
      </w:r>
    </w:p>
    <w:p w14:paraId="01A68AD9" w14:textId="13634DC2" w:rsidR="008A785E" w:rsidRPr="008A785E" w:rsidRDefault="008A785E" w:rsidP="008A785E">
      <w:pPr>
        <w:jc w:val="center"/>
        <w:rPr>
          <w:b/>
          <w:bCs/>
        </w:rPr>
      </w:pPr>
      <w:r w:rsidRPr="008A785E">
        <w:rPr>
          <w:b/>
          <w:bCs/>
        </w:rPr>
        <w:t>Febrile Non-Hemolytic Transfusion</w:t>
      </w:r>
      <w:r w:rsidR="004D54FD">
        <w:rPr>
          <w:b/>
          <w:bCs/>
        </w:rPr>
        <w:t xml:space="preserve"> </w:t>
      </w:r>
      <w:r w:rsidR="00E721B7">
        <w:rPr>
          <w:b/>
          <w:bCs/>
        </w:rPr>
        <w:t xml:space="preserve">Reaction </w:t>
      </w:r>
      <w:r w:rsidR="004D54FD">
        <w:rPr>
          <w:b/>
          <w:bCs/>
        </w:rPr>
        <w:t>(FNHTR)</w:t>
      </w:r>
      <w:r w:rsidRPr="008A785E">
        <w:rPr>
          <w:b/>
          <w:bCs/>
        </w:rPr>
        <w:t xml:space="preserve"> </w:t>
      </w:r>
      <w:r w:rsidR="004D54FD">
        <w:rPr>
          <w:b/>
          <w:bCs/>
        </w:rPr>
        <w:t>Event Summary</w:t>
      </w:r>
    </w:p>
    <w:p w14:paraId="57AAD4AB" w14:textId="1C975894" w:rsidR="008A785E" w:rsidRDefault="008A785E" w:rsidP="004D54FD">
      <w:pPr>
        <w:jc w:val="center"/>
      </w:pPr>
      <w:r>
        <w:t>January 1, 2017 – December 31, 2022</w:t>
      </w:r>
    </w:p>
    <w:p w14:paraId="6832A00C" w14:textId="29C8CCAD" w:rsidR="008A785E" w:rsidRDefault="008A785E" w:rsidP="008A785E">
      <w:pPr>
        <w:jc w:val="center"/>
        <w:rPr>
          <w:sz w:val="20"/>
          <w:szCs w:val="16"/>
        </w:rPr>
      </w:pPr>
      <w:r w:rsidRPr="00F64AB1">
        <w:rPr>
          <w:sz w:val="20"/>
          <w:szCs w:val="16"/>
        </w:rPr>
        <w:t xml:space="preserve">Data were extracted from NHSN on </w:t>
      </w:r>
      <w:r>
        <w:rPr>
          <w:sz w:val="20"/>
          <w:szCs w:val="16"/>
        </w:rPr>
        <w:t>June 21, 2023.</w:t>
      </w:r>
    </w:p>
    <w:p w14:paraId="1760DC9F" w14:textId="77777777" w:rsidR="00EC36D8" w:rsidRDefault="00EC36D8" w:rsidP="008A785E">
      <w:pPr>
        <w:jc w:val="center"/>
        <w:rPr>
          <w:sz w:val="20"/>
          <w:szCs w:val="16"/>
        </w:rPr>
      </w:pPr>
    </w:p>
    <w:p w14:paraId="1573F4B1" w14:textId="139FBF85" w:rsidR="008A785E" w:rsidRDefault="008A785E" w:rsidP="008A785E">
      <w:pPr>
        <w:jc w:val="center"/>
      </w:pPr>
      <w:r>
        <w:t xml:space="preserve">Figure 1: FNHTR </w:t>
      </w:r>
      <w:r w:rsidR="004D54FD">
        <w:t>Events</w:t>
      </w:r>
      <w:r>
        <w:t xml:space="preserve"> and Total Transfusion Volume by Year, 2017-2022</w:t>
      </w:r>
    </w:p>
    <w:p w14:paraId="2928FC93" w14:textId="34BB9DE3" w:rsidR="008A785E" w:rsidRDefault="47AFBDCD" w:rsidP="008A785E">
      <w:pPr>
        <w:jc w:val="center"/>
      </w:pPr>
      <w:r>
        <w:rPr>
          <w:noProof/>
        </w:rPr>
        <w:drawing>
          <wp:inline distT="0" distB="0" distL="0" distR="0" wp14:anchorId="429BA5C7" wp14:editId="6BB4F628">
            <wp:extent cx="4572000" cy="3429000"/>
            <wp:effectExtent l="0" t="0" r="0" b="0"/>
            <wp:docPr id="518487502" name="Picture 518487502" descr="Bar chart showing an increase in FNHTR  reactions from 2017 to 2019 followed by a decrease from 2019 to 2020, and an increase from 2020 to 2022. Overlayed by line graph showing overall decrease in total transfusions from 2017 to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F7FE" w14:textId="77777777" w:rsidR="00282908" w:rsidRDefault="00282908" w:rsidP="6BB4F628">
      <w:pPr>
        <w:jc w:val="center"/>
      </w:pPr>
    </w:p>
    <w:tbl>
      <w:tblPr>
        <w:tblStyle w:val="TableGrid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620"/>
        <w:gridCol w:w="1350"/>
        <w:gridCol w:w="1435"/>
      </w:tblGrid>
      <w:tr w:rsidR="00282908" w14:paraId="189EE9B0" w14:textId="77777777" w:rsidTr="00282908">
        <w:tc>
          <w:tcPr>
            <w:tcW w:w="1620" w:type="dxa"/>
          </w:tcPr>
          <w:p w14:paraId="3AC184C7" w14:textId="77777777" w:rsidR="00282908" w:rsidRPr="007A661B" w:rsidRDefault="00282908" w:rsidP="00282908">
            <w:pPr>
              <w:rPr>
                <w:b/>
                <w:bCs/>
              </w:rPr>
            </w:pPr>
            <w:r w:rsidRPr="007A661B">
              <w:rPr>
                <w:b/>
                <w:bCs/>
              </w:rPr>
              <w:t>Gender</w:t>
            </w:r>
          </w:p>
        </w:tc>
        <w:tc>
          <w:tcPr>
            <w:tcW w:w="1350" w:type="dxa"/>
          </w:tcPr>
          <w:p w14:paraId="2D0FA9A6" w14:textId="77777777" w:rsidR="00282908" w:rsidRPr="007A661B" w:rsidRDefault="00282908" w:rsidP="00282908">
            <w:pPr>
              <w:rPr>
                <w:b/>
                <w:bCs/>
              </w:rPr>
            </w:pPr>
            <w:r w:rsidRPr="007A661B">
              <w:rPr>
                <w:b/>
                <w:bCs/>
              </w:rPr>
              <w:t>Total</w:t>
            </w:r>
          </w:p>
        </w:tc>
        <w:tc>
          <w:tcPr>
            <w:tcW w:w="1435" w:type="dxa"/>
          </w:tcPr>
          <w:p w14:paraId="4CEC1999" w14:textId="77777777" w:rsidR="00282908" w:rsidRPr="007A661B" w:rsidRDefault="00282908" w:rsidP="00282908">
            <w:pPr>
              <w:rPr>
                <w:b/>
                <w:bCs/>
              </w:rPr>
            </w:pPr>
            <w:r w:rsidRPr="007A661B">
              <w:rPr>
                <w:b/>
                <w:bCs/>
              </w:rPr>
              <w:t>Percent</w:t>
            </w:r>
          </w:p>
        </w:tc>
      </w:tr>
      <w:tr w:rsidR="00282908" w14:paraId="1D6A9F2F" w14:textId="77777777" w:rsidTr="00282908">
        <w:tc>
          <w:tcPr>
            <w:tcW w:w="1620" w:type="dxa"/>
          </w:tcPr>
          <w:p w14:paraId="2377B605" w14:textId="77777777" w:rsidR="00282908" w:rsidRDefault="00282908" w:rsidP="00282908">
            <w:r>
              <w:t>Female</w:t>
            </w:r>
          </w:p>
        </w:tc>
        <w:tc>
          <w:tcPr>
            <w:tcW w:w="1350" w:type="dxa"/>
          </w:tcPr>
          <w:p w14:paraId="428E9051" w14:textId="6B4F831E" w:rsidR="00282908" w:rsidRDefault="00282908" w:rsidP="00282908">
            <w:r>
              <w:rPr>
                <w:rFonts w:ascii="Calibri" w:eastAsia="Times New Roman" w:hAnsi="Calibri" w:cs="Times New Roman"/>
                <w:color w:val="000000"/>
              </w:rPr>
              <w:t>1,355</w:t>
            </w:r>
          </w:p>
        </w:tc>
        <w:tc>
          <w:tcPr>
            <w:tcW w:w="1435" w:type="dxa"/>
            <w:vAlign w:val="center"/>
          </w:tcPr>
          <w:p w14:paraId="72435D99" w14:textId="77777777" w:rsidR="00282908" w:rsidRDefault="00282908" w:rsidP="00282908"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  <w:r w:rsidRPr="00B705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82908" w14:paraId="01B56691" w14:textId="77777777" w:rsidTr="00282908">
        <w:tc>
          <w:tcPr>
            <w:tcW w:w="1620" w:type="dxa"/>
          </w:tcPr>
          <w:p w14:paraId="1E69976E" w14:textId="77777777" w:rsidR="00282908" w:rsidRDefault="00282908" w:rsidP="00282908">
            <w:r>
              <w:t>Male</w:t>
            </w:r>
          </w:p>
        </w:tc>
        <w:tc>
          <w:tcPr>
            <w:tcW w:w="1350" w:type="dxa"/>
          </w:tcPr>
          <w:p w14:paraId="53E32A21" w14:textId="646606D0" w:rsidR="00282908" w:rsidRDefault="00282908" w:rsidP="00282908">
            <w:r>
              <w:rPr>
                <w:rFonts w:ascii="Calibri" w:eastAsia="Times New Roman" w:hAnsi="Calibri" w:cs="Times New Roman"/>
                <w:color w:val="000000"/>
              </w:rPr>
              <w:t>1,397</w:t>
            </w:r>
          </w:p>
        </w:tc>
        <w:tc>
          <w:tcPr>
            <w:tcW w:w="1435" w:type="dxa"/>
            <w:vAlign w:val="center"/>
          </w:tcPr>
          <w:p w14:paraId="4CD425A7" w14:textId="77777777" w:rsidR="00282908" w:rsidRDefault="00282908" w:rsidP="00282908"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  <w:r w:rsidRPr="00B705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14:paraId="6A24AFA4" w14:textId="1AC391BE" w:rsidR="47AFBDCD" w:rsidRDefault="47AFBDCD" w:rsidP="6BB4F628">
      <w:pPr>
        <w:jc w:val="center"/>
      </w:pPr>
      <w:r>
        <w:t>Table 1: FNHTR Events by Gender</w:t>
      </w:r>
    </w:p>
    <w:p w14:paraId="442324A3" w14:textId="6B513188" w:rsidR="008A785E" w:rsidRDefault="008A785E" w:rsidP="00282908">
      <w:pPr>
        <w:tabs>
          <w:tab w:val="left" w:pos="4470"/>
        </w:tabs>
      </w:pPr>
    </w:p>
    <w:p w14:paraId="668F2BDF" w14:textId="77777777" w:rsidR="00282908" w:rsidRDefault="00282908" w:rsidP="008A785E">
      <w:pPr>
        <w:jc w:val="center"/>
      </w:pPr>
    </w:p>
    <w:p w14:paraId="2B18C761" w14:textId="77777777" w:rsidR="00282908" w:rsidRDefault="00282908" w:rsidP="008A785E">
      <w:pPr>
        <w:jc w:val="center"/>
      </w:pPr>
    </w:p>
    <w:p w14:paraId="25F180DB" w14:textId="77777777" w:rsidR="00282908" w:rsidRDefault="00282908" w:rsidP="00282908"/>
    <w:p w14:paraId="531F742E" w14:textId="77777777" w:rsidR="00282908" w:rsidRDefault="00282908" w:rsidP="00282908"/>
    <w:p w14:paraId="6AF728F1" w14:textId="77777777" w:rsidR="00282908" w:rsidRDefault="00282908" w:rsidP="00282908"/>
    <w:p w14:paraId="0DDDE8CD" w14:textId="77777777" w:rsidR="00282908" w:rsidRDefault="00282908" w:rsidP="00282908"/>
    <w:p w14:paraId="3D0E4F6C" w14:textId="77777777" w:rsidR="00282908" w:rsidRDefault="00282908" w:rsidP="00282908"/>
    <w:p w14:paraId="342AE5F7" w14:textId="77777777" w:rsidR="00282908" w:rsidRDefault="00282908" w:rsidP="00282908"/>
    <w:p w14:paraId="5D7C77D7" w14:textId="77777777" w:rsidR="00282908" w:rsidRDefault="00282908" w:rsidP="00282908"/>
    <w:p w14:paraId="41E0CC99" w14:textId="77777777" w:rsidR="00282908" w:rsidRDefault="00282908" w:rsidP="00282908"/>
    <w:p w14:paraId="2C496652" w14:textId="77777777" w:rsidR="00282908" w:rsidRDefault="00282908" w:rsidP="00282908"/>
    <w:p w14:paraId="0DAC308F" w14:textId="5BF30D95" w:rsidR="008A785E" w:rsidRDefault="008A785E" w:rsidP="00282908">
      <w:pPr>
        <w:jc w:val="center"/>
      </w:pPr>
      <w:r>
        <w:t xml:space="preserve">Figure 2: FNHTR </w:t>
      </w:r>
      <w:r w:rsidR="00E721B7">
        <w:t>Events</w:t>
      </w:r>
      <w:r>
        <w:t xml:space="preserve"> by Age, 2017-2022</w:t>
      </w:r>
    </w:p>
    <w:p w14:paraId="00030964" w14:textId="0F8BE393" w:rsidR="008A785E" w:rsidRDefault="008A785E" w:rsidP="008A785E">
      <w:pPr>
        <w:jc w:val="center"/>
      </w:pPr>
      <w:r>
        <w:rPr>
          <w:noProof/>
        </w:rPr>
        <w:drawing>
          <wp:inline distT="0" distB="0" distL="0" distR="0" wp14:anchorId="04A63242" wp14:editId="260AFA31">
            <wp:extent cx="4281425" cy="2657475"/>
            <wp:effectExtent l="0" t="0" r="5080" b="9525"/>
            <wp:docPr id="4" name="Chart 4" descr="A bar chart illustrating FNHTR reactions by age group from 2017 to 2022. The 60-69 year age group has the highest number of FNHTR reactions, followed by the 70-79 age group, 60-69 age group, 50-59 age group, 18 or under age group, 80-89 age group, 40-49 age group, 30-39 age group, 19-29 age group, and 90 or older age group.">
              <a:extLst xmlns:a="http://schemas.openxmlformats.org/drawingml/2006/main">
                <a:ext uri="{FF2B5EF4-FFF2-40B4-BE49-F238E27FC236}">
                  <a16:creationId xmlns:a16="http://schemas.microsoft.com/office/drawing/2014/main" id="{61082184-6956-43ED-8770-A74EFCC6A9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59F5D3" w14:textId="77777777" w:rsidR="004D54FD" w:rsidRDefault="004D54FD" w:rsidP="008A785E"/>
    <w:p w14:paraId="40A3F6F3" w14:textId="7197FFD9" w:rsidR="008A785E" w:rsidRDefault="008A785E" w:rsidP="008A785E">
      <w:pPr>
        <w:jc w:val="center"/>
      </w:pPr>
      <w:r>
        <w:t xml:space="preserve">Figure 3: FNHTR </w:t>
      </w:r>
      <w:r w:rsidR="00282908">
        <w:t xml:space="preserve">Events </w:t>
      </w:r>
      <w:r>
        <w:t>by Product Type (2017-2022)</w:t>
      </w:r>
    </w:p>
    <w:p w14:paraId="2CE90B57" w14:textId="7967E35B" w:rsidR="008A785E" w:rsidRDefault="00E27409" w:rsidP="008A785E">
      <w:pPr>
        <w:jc w:val="center"/>
      </w:pPr>
      <w:r>
        <w:rPr>
          <w:noProof/>
        </w:rPr>
        <w:drawing>
          <wp:inline distT="0" distB="0" distL="0" distR="0" wp14:anchorId="218A1D69" wp14:editId="552B6B12">
            <wp:extent cx="3728810" cy="2205364"/>
            <wp:effectExtent l="0" t="0" r="5080" b="4445"/>
            <wp:docPr id="1" name="Chart 1" descr="Pie chart illustrating FNHTR reactions by product type from 2017-2022. Red blood cells make up the majority of the chart at 77.3%, followed by platelets at 19.1%.">
              <a:extLst xmlns:a="http://schemas.openxmlformats.org/drawingml/2006/main">
                <a:ext uri="{FF2B5EF4-FFF2-40B4-BE49-F238E27FC236}">
                  <a16:creationId xmlns:a16="http://schemas.microsoft.com/office/drawing/2014/main" id="{178E18DC-E270-45DA-A615-88B479CF53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9D887" w14:textId="4E7ED4E6" w:rsidR="008A785E" w:rsidRDefault="008A785E" w:rsidP="008A785E">
      <w:pPr>
        <w:jc w:val="center"/>
      </w:pPr>
    </w:p>
    <w:p w14:paraId="72BA594A" w14:textId="374AC435" w:rsidR="008A785E" w:rsidRDefault="008A785E" w:rsidP="008A785E">
      <w:pPr>
        <w:jc w:val="center"/>
      </w:pPr>
      <w:r>
        <w:t xml:space="preserve">Table 2: FNHTR </w:t>
      </w:r>
      <w:r w:rsidR="00E721B7">
        <w:t>Event</w:t>
      </w:r>
      <w:r>
        <w:t xml:space="preserve"> Rate </w:t>
      </w:r>
      <w:r w:rsidR="002E4820">
        <w:t>P</w:t>
      </w:r>
      <w:r>
        <w:t>er 10,000 Products Transfused by Product Type (2017-2022)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A785E" w14:paraId="14EB96B9" w14:textId="77777777" w:rsidTr="00EC36D8">
        <w:trPr>
          <w:jc w:val="center"/>
        </w:trPr>
        <w:tc>
          <w:tcPr>
            <w:tcW w:w="4675" w:type="dxa"/>
            <w:vAlign w:val="center"/>
          </w:tcPr>
          <w:p w14:paraId="29AD2268" w14:textId="2E7DD4B9" w:rsidR="008A785E" w:rsidRPr="008A785E" w:rsidRDefault="008A785E" w:rsidP="008A785E">
            <w:pPr>
              <w:jc w:val="center"/>
            </w:pPr>
            <w:r w:rsidRPr="008A785E">
              <w:rPr>
                <w:b/>
                <w:sz w:val="26"/>
                <w:szCs w:val="26"/>
              </w:rPr>
              <w:t>Product Type</w:t>
            </w:r>
          </w:p>
        </w:tc>
        <w:tc>
          <w:tcPr>
            <w:tcW w:w="4675" w:type="dxa"/>
            <w:vAlign w:val="center"/>
          </w:tcPr>
          <w:p w14:paraId="2C568B35" w14:textId="2F19F84B" w:rsidR="008A785E" w:rsidRPr="008A785E" w:rsidRDefault="008A785E" w:rsidP="008A785E">
            <w:pPr>
              <w:jc w:val="center"/>
              <w:rPr>
                <w:b/>
                <w:sz w:val="26"/>
                <w:szCs w:val="26"/>
              </w:rPr>
            </w:pPr>
            <w:r w:rsidRPr="008A785E">
              <w:rPr>
                <w:b/>
                <w:sz w:val="26"/>
                <w:szCs w:val="26"/>
              </w:rPr>
              <w:t xml:space="preserve">FNHTR </w:t>
            </w:r>
            <w:r w:rsidR="00E721B7">
              <w:rPr>
                <w:b/>
                <w:sz w:val="26"/>
                <w:szCs w:val="26"/>
              </w:rPr>
              <w:t>Event</w:t>
            </w:r>
            <w:r w:rsidRPr="008A785E">
              <w:rPr>
                <w:b/>
                <w:sz w:val="26"/>
                <w:szCs w:val="26"/>
              </w:rPr>
              <w:t xml:space="preserve"> Rate</w:t>
            </w:r>
          </w:p>
          <w:p w14:paraId="720DC280" w14:textId="33158EED" w:rsidR="008A785E" w:rsidRPr="008A785E" w:rsidRDefault="008A785E" w:rsidP="008A785E">
            <w:pPr>
              <w:jc w:val="center"/>
            </w:pPr>
            <w:r w:rsidRPr="008A785E">
              <w:rPr>
                <w:b/>
                <w:sz w:val="26"/>
                <w:szCs w:val="26"/>
              </w:rPr>
              <w:t>(</w:t>
            </w:r>
            <w:r w:rsidR="00E721B7">
              <w:rPr>
                <w:b/>
                <w:sz w:val="26"/>
                <w:szCs w:val="26"/>
              </w:rPr>
              <w:t>P</w:t>
            </w:r>
            <w:r w:rsidRPr="008A785E">
              <w:rPr>
                <w:b/>
                <w:sz w:val="26"/>
                <w:szCs w:val="26"/>
              </w:rPr>
              <w:t>er 10,000 products transfused)</w:t>
            </w:r>
          </w:p>
        </w:tc>
      </w:tr>
      <w:tr w:rsidR="008A785E" w14:paraId="2DAB6058" w14:textId="77777777" w:rsidTr="00EC36D8">
        <w:trPr>
          <w:jc w:val="center"/>
        </w:trPr>
        <w:tc>
          <w:tcPr>
            <w:tcW w:w="4675" w:type="dxa"/>
            <w:vAlign w:val="center"/>
          </w:tcPr>
          <w:p w14:paraId="2D01F22D" w14:textId="71D3A691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Platelets</w:t>
            </w:r>
          </w:p>
        </w:tc>
        <w:tc>
          <w:tcPr>
            <w:tcW w:w="4675" w:type="dxa"/>
            <w:vAlign w:val="center"/>
          </w:tcPr>
          <w:p w14:paraId="3EB48050" w14:textId="5FAA0ECC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17.8</w:t>
            </w:r>
          </w:p>
        </w:tc>
      </w:tr>
      <w:tr w:rsidR="008A785E" w14:paraId="2A5EDFA9" w14:textId="77777777" w:rsidTr="00EC36D8">
        <w:trPr>
          <w:jc w:val="center"/>
        </w:trPr>
        <w:tc>
          <w:tcPr>
            <w:tcW w:w="4675" w:type="dxa"/>
            <w:vAlign w:val="center"/>
          </w:tcPr>
          <w:p w14:paraId="229BDD4C" w14:textId="1A068759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Red Blood Cells</w:t>
            </w:r>
          </w:p>
        </w:tc>
        <w:tc>
          <w:tcPr>
            <w:tcW w:w="4675" w:type="dxa"/>
            <w:vAlign w:val="center"/>
          </w:tcPr>
          <w:p w14:paraId="50857178" w14:textId="07830FA4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14.8</w:t>
            </w:r>
          </w:p>
        </w:tc>
      </w:tr>
      <w:tr w:rsidR="008A785E" w14:paraId="2663C845" w14:textId="77777777" w:rsidTr="00EC36D8">
        <w:trPr>
          <w:jc w:val="center"/>
        </w:trPr>
        <w:tc>
          <w:tcPr>
            <w:tcW w:w="4675" w:type="dxa"/>
            <w:vAlign w:val="center"/>
          </w:tcPr>
          <w:p w14:paraId="14B732C9" w14:textId="49FBC3CB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Plasma</w:t>
            </w:r>
          </w:p>
        </w:tc>
        <w:tc>
          <w:tcPr>
            <w:tcW w:w="4675" w:type="dxa"/>
            <w:vAlign w:val="center"/>
          </w:tcPr>
          <w:p w14:paraId="5323FB12" w14:textId="5A932BF2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1.55</w:t>
            </w:r>
          </w:p>
        </w:tc>
      </w:tr>
      <w:tr w:rsidR="008A785E" w14:paraId="34BC8F5F" w14:textId="77777777" w:rsidTr="00EC36D8">
        <w:trPr>
          <w:jc w:val="center"/>
        </w:trPr>
        <w:tc>
          <w:tcPr>
            <w:tcW w:w="4675" w:type="dxa"/>
            <w:vAlign w:val="center"/>
          </w:tcPr>
          <w:p w14:paraId="5D06B3AA" w14:textId="5B09BDA7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TOTAL</w:t>
            </w:r>
          </w:p>
        </w:tc>
        <w:tc>
          <w:tcPr>
            <w:tcW w:w="4675" w:type="dxa"/>
            <w:vAlign w:val="center"/>
          </w:tcPr>
          <w:p w14:paraId="65276E3A" w14:textId="1FBD883C" w:rsidR="008A785E" w:rsidRPr="008A785E" w:rsidRDefault="008A785E" w:rsidP="008A785E">
            <w:pPr>
              <w:jc w:val="center"/>
              <w:rPr>
                <w:bCs/>
              </w:rPr>
            </w:pPr>
            <w:r w:rsidRPr="008A785E">
              <w:rPr>
                <w:bCs/>
                <w:sz w:val="26"/>
                <w:szCs w:val="26"/>
              </w:rPr>
              <w:t>13.5</w:t>
            </w:r>
          </w:p>
        </w:tc>
      </w:tr>
    </w:tbl>
    <w:p w14:paraId="7DCBCA23" w14:textId="180AB83C" w:rsidR="008A785E" w:rsidRDefault="008A785E" w:rsidP="008A785E">
      <w:pPr>
        <w:jc w:val="center"/>
      </w:pPr>
    </w:p>
    <w:p w14:paraId="53252DF7" w14:textId="77777777" w:rsidR="00C83625" w:rsidRDefault="00C83625" w:rsidP="00C83625">
      <w:pPr>
        <w:jc w:val="center"/>
      </w:pPr>
    </w:p>
    <w:p w14:paraId="0009C0A4" w14:textId="77777777" w:rsidR="00597580" w:rsidRDefault="00597580" w:rsidP="00C83625">
      <w:pPr>
        <w:jc w:val="center"/>
      </w:pPr>
    </w:p>
    <w:p w14:paraId="0F9B5B2B" w14:textId="77777777" w:rsidR="00F7200C" w:rsidRDefault="00F7200C" w:rsidP="00C83625">
      <w:pPr>
        <w:jc w:val="center"/>
      </w:pPr>
    </w:p>
    <w:p w14:paraId="6E4A9329" w14:textId="65B298C3" w:rsidR="008A785E" w:rsidRDefault="008A785E" w:rsidP="00C83625">
      <w:pPr>
        <w:jc w:val="center"/>
      </w:pPr>
      <w:r>
        <w:lastRenderedPageBreak/>
        <w:t>Figure 4: FNHTR</w:t>
      </w:r>
      <w:r w:rsidRPr="001E27A9">
        <w:t xml:space="preserve"> </w:t>
      </w:r>
      <w:r w:rsidR="001E6A23">
        <w:t>Events</w:t>
      </w:r>
      <w:r w:rsidRPr="001E27A9">
        <w:t xml:space="preserve"> by </w:t>
      </w:r>
      <w:r w:rsidR="00C83625">
        <w:t>Bed Size</w:t>
      </w:r>
      <w:r w:rsidRPr="001E27A9">
        <w:t xml:space="preserve"> Group (2017-2022)</w:t>
      </w:r>
    </w:p>
    <w:p w14:paraId="2F367A2D" w14:textId="4440B068" w:rsidR="00EE7001" w:rsidRDefault="00C83625" w:rsidP="00597580">
      <w:pPr>
        <w:jc w:val="center"/>
      </w:pPr>
      <w:r>
        <w:rPr>
          <w:noProof/>
        </w:rPr>
        <w:drawing>
          <wp:inline distT="0" distB="0" distL="0" distR="0" wp14:anchorId="010B1204" wp14:editId="65610653">
            <wp:extent cx="3095625" cy="2388870"/>
            <wp:effectExtent l="0" t="0" r="9525" b="11430"/>
            <wp:docPr id="5" name="Chart 5" descr="Pie chart illustrating FNHTR reactions by bed size group from 2017 to 2022. Bed size group 3 (greater than or equal to 300 beds) accounts for 78.2% of FNHTR reactions reported, followed by bed size group 2 (100-200) at 18.4% and then bed size group 1 (less than 100 beds) at 3.4%">
              <a:extLst xmlns:a="http://schemas.openxmlformats.org/drawingml/2006/main">
                <a:ext uri="{FF2B5EF4-FFF2-40B4-BE49-F238E27FC236}">
                  <a16:creationId xmlns:a16="http://schemas.microsoft.com/office/drawing/2014/main" id="{2B24DA9F-9E80-4B47-9499-DD78B3559C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27B853" w14:textId="77777777" w:rsidR="00EE7001" w:rsidRDefault="00EE7001" w:rsidP="008A785E">
      <w:pPr>
        <w:jc w:val="center"/>
      </w:pPr>
    </w:p>
    <w:p w14:paraId="73705972" w14:textId="333BF916" w:rsidR="008A785E" w:rsidRDefault="008A785E" w:rsidP="008A785E">
      <w:pPr>
        <w:jc w:val="center"/>
        <w:rPr>
          <w:noProof/>
        </w:rPr>
      </w:pPr>
      <w:r>
        <w:t>Figure 5: FNHTR</w:t>
      </w:r>
      <w:r w:rsidRPr="001520E0">
        <w:t xml:space="preserve"> </w:t>
      </w:r>
      <w:r w:rsidR="002E4820">
        <w:t>Event</w:t>
      </w:r>
      <w:r w:rsidR="009849B6">
        <w:t xml:space="preserve"> Rate</w:t>
      </w:r>
      <w:r w:rsidRPr="001520E0">
        <w:t xml:space="preserve"> by Bed Size (per 10,000 Products Transfused)</w:t>
      </w:r>
    </w:p>
    <w:p w14:paraId="2A69A162" w14:textId="5ED30A3D" w:rsidR="0096390D" w:rsidRDefault="00D261F2" w:rsidP="008A785E">
      <w:pPr>
        <w:jc w:val="center"/>
      </w:pPr>
      <w:r>
        <w:rPr>
          <w:noProof/>
        </w:rPr>
        <w:drawing>
          <wp:inline distT="0" distB="0" distL="0" distR="0" wp14:anchorId="613CC097" wp14:editId="6C9F128D">
            <wp:extent cx="5295900" cy="2590800"/>
            <wp:effectExtent l="0" t="0" r="0" b="0"/>
            <wp:docPr id="9" name="Chart 9" descr="Line graph showing the rate of FNHTR reactions per 10,000 products transfused by bed size group. Bed size groups 1 and 2 have a decline from 2021 to 2022, while bed size group 3 has seen an incline.">
              <a:extLst xmlns:a="http://schemas.openxmlformats.org/drawingml/2006/main">
                <a:ext uri="{FF2B5EF4-FFF2-40B4-BE49-F238E27FC236}">
                  <a16:creationId xmlns:a16="http://schemas.microsoft.com/office/drawing/2014/main" id="{CFA125C7-E1A4-4135-ABC6-10BE4B809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12BB4" w14:textId="77777777" w:rsidR="00F23CD6" w:rsidRDefault="00F23CD6" w:rsidP="008A785E">
      <w:pPr>
        <w:jc w:val="center"/>
      </w:pPr>
    </w:p>
    <w:p w14:paraId="182DBF23" w14:textId="77777777" w:rsidR="00F23CD6" w:rsidRDefault="00F23CD6" w:rsidP="008A785E">
      <w:pPr>
        <w:jc w:val="center"/>
      </w:pPr>
    </w:p>
    <w:p w14:paraId="5D564BC4" w14:textId="77777777" w:rsidR="00F23CD6" w:rsidRDefault="00F23CD6" w:rsidP="008A785E">
      <w:pPr>
        <w:jc w:val="center"/>
      </w:pPr>
    </w:p>
    <w:p w14:paraId="31570B88" w14:textId="77777777" w:rsidR="00F23CD6" w:rsidRDefault="00F23CD6" w:rsidP="008A785E">
      <w:pPr>
        <w:jc w:val="center"/>
      </w:pPr>
    </w:p>
    <w:p w14:paraId="17CC324E" w14:textId="77777777" w:rsidR="00F23CD6" w:rsidRDefault="00F23CD6" w:rsidP="008A785E">
      <w:pPr>
        <w:jc w:val="center"/>
      </w:pPr>
    </w:p>
    <w:p w14:paraId="53F68832" w14:textId="77777777" w:rsidR="00F23CD6" w:rsidRDefault="00F23CD6" w:rsidP="008A785E">
      <w:pPr>
        <w:jc w:val="center"/>
      </w:pPr>
    </w:p>
    <w:p w14:paraId="5C0408D9" w14:textId="77777777" w:rsidR="00F23CD6" w:rsidRDefault="00F23CD6" w:rsidP="008A785E">
      <w:pPr>
        <w:jc w:val="center"/>
      </w:pPr>
    </w:p>
    <w:p w14:paraId="67630942" w14:textId="77777777" w:rsidR="00F23CD6" w:rsidRDefault="00F23CD6" w:rsidP="008A785E">
      <w:pPr>
        <w:jc w:val="center"/>
      </w:pPr>
    </w:p>
    <w:p w14:paraId="57257818" w14:textId="77777777" w:rsidR="00F23CD6" w:rsidRDefault="00F23CD6" w:rsidP="008A785E">
      <w:pPr>
        <w:jc w:val="center"/>
      </w:pPr>
    </w:p>
    <w:p w14:paraId="7E196C7B" w14:textId="77777777" w:rsidR="00F23CD6" w:rsidRDefault="00F23CD6" w:rsidP="008A785E">
      <w:pPr>
        <w:jc w:val="center"/>
      </w:pPr>
    </w:p>
    <w:tbl>
      <w:tblPr>
        <w:tblStyle w:val="TableGrid"/>
        <w:tblW w:w="110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A785E" w:rsidRPr="00B25CD7" w14:paraId="30520096" w14:textId="77777777" w:rsidTr="51E09FAB">
        <w:trPr>
          <w:trHeight w:val="36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CADB" w14:textId="77777777" w:rsidR="008A785E" w:rsidRPr="00B25CD7" w:rsidRDefault="008A785E" w:rsidP="0011420D">
            <w:pPr>
              <w:jc w:val="center"/>
              <w:rPr>
                <w:b/>
                <w:sz w:val="24"/>
                <w:szCs w:val="24"/>
              </w:rPr>
            </w:pPr>
            <w:r w:rsidRPr="00B25CD7">
              <w:rPr>
                <w:b/>
                <w:sz w:val="24"/>
                <w:szCs w:val="24"/>
              </w:rPr>
              <w:lastRenderedPageBreak/>
              <w:t>Summary Findings</w:t>
            </w:r>
          </w:p>
        </w:tc>
      </w:tr>
      <w:tr w:rsidR="008A785E" w:rsidRPr="00FD5592" w14:paraId="2E36A4A8" w14:textId="77777777" w:rsidTr="51E09FAB">
        <w:trPr>
          <w:trHeight w:val="101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005DA2"/>
          </w:tcPr>
          <w:p w14:paraId="54ED49D7" w14:textId="77777777" w:rsidR="008A785E" w:rsidRPr="00FD5592" w:rsidRDefault="008A785E" w:rsidP="0011420D">
            <w:pPr>
              <w:jc w:val="center"/>
              <w:rPr>
                <w:sz w:val="8"/>
                <w:szCs w:val="8"/>
              </w:rPr>
            </w:pPr>
          </w:p>
        </w:tc>
      </w:tr>
      <w:tr w:rsidR="008A785E" w:rsidRPr="00EF6B06" w14:paraId="15DAE84C" w14:textId="77777777" w:rsidTr="51E09FAB">
        <w:trPr>
          <w:trHeight w:val="216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3359C" w14:textId="77777777" w:rsidR="000501EE" w:rsidRPr="00EF6B06" w:rsidRDefault="000501EE" w:rsidP="000501EE">
            <w:pPr>
              <w:numPr>
                <w:ilvl w:val="0"/>
                <w:numId w:val="1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4087993"/>
            <w:bookmarkStart w:id="1" w:name="_Hlk54087593"/>
            <w:r w:rsidRPr="24F80F56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More than half (53%) of reactions occurred in adult hospital wards: </w:t>
            </w:r>
            <w:r w:rsidRPr="24F80F56">
              <w:rPr>
                <w:rFonts w:ascii="Calibri" w:eastAsia="MS PGothic" w:hAnsi="Calibri" w:cs="Times New Roman"/>
                <w:color w:val="000000" w:themeColor="text1"/>
                <w:sz w:val="24"/>
                <w:szCs w:val="24"/>
              </w:rPr>
              <w:t xml:space="preserve">the next most common location types were pediatric wards (10%) and the ICU (8%). </w:t>
            </w:r>
          </w:p>
          <w:bookmarkEnd w:id="0"/>
          <w:p w14:paraId="02FC7179" w14:textId="7397C6EC" w:rsidR="000501EE" w:rsidRPr="00963BAF" w:rsidRDefault="000501EE" w:rsidP="000501EE">
            <w:pPr>
              <w:numPr>
                <w:ilvl w:val="0"/>
                <w:numId w:val="1"/>
              </w:num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FE8EF">
              <w:rPr>
                <w:rFonts w:ascii="Calibri" w:eastAsia="MS PGothic" w:hAnsi="Calibri" w:cs="Times New Roman"/>
                <w:b/>
                <w:i/>
                <w:color w:val="000000" w:themeColor="text1"/>
                <w:sz w:val="24"/>
                <w:szCs w:val="24"/>
              </w:rPr>
              <w:t>Irradiated</w:t>
            </w:r>
            <w:r w:rsidRPr="5B4A3D08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1F5FE8EF">
              <w:rPr>
                <w:rFonts w:ascii="Calibri" w:eastAsia="MS PGothic" w:hAnsi="Calibri" w:cs="Times New Roman"/>
                <w:b/>
                <w:i/>
                <w:color w:val="000000" w:themeColor="text1"/>
                <w:sz w:val="24"/>
                <w:szCs w:val="24"/>
              </w:rPr>
              <w:t xml:space="preserve"> leukocyte</w:t>
            </w:r>
            <w:r w:rsidRPr="5B4A3D08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1F5FE8EF">
              <w:rPr>
                <w:rFonts w:ascii="Calibri" w:eastAsia="MS PGothic" w:hAnsi="Calibri" w:cs="Times New Roman"/>
                <w:b/>
                <w:i/>
                <w:color w:val="000000" w:themeColor="text1"/>
                <w:sz w:val="24"/>
                <w:szCs w:val="24"/>
              </w:rPr>
              <w:t>reduced whole blood</w:t>
            </w:r>
            <w:r w:rsidRPr="5B4A3D08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1F5FE8EF">
              <w:rPr>
                <w:rFonts w:ascii="Calibri" w:eastAsia="MS PGothic" w:hAnsi="Calibri" w:cs="Times New Roman"/>
                <w:b/>
                <w:i/>
                <w:color w:val="000000" w:themeColor="text1"/>
                <w:sz w:val="24"/>
                <w:szCs w:val="24"/>
              </w:rPr>
              <w:t xml:space="preserve">derived </w:t>
            </w:r>
            <w:r w:rsidR="33A30542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r</w:t>
            </w:r>
            <w:r w:rsidR="1979964E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ed </w:t>
            </w:r>
            <w:r w:rsidR="24547177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b</w:t>
            </w:r>
            <w:r w:rsidR="1979964E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lood </w:t>
            </w:r>
            <w:r w:rsidR="25316DA9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1979964E" w:rsidRPr="2DC97DF9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ells</w:t>
            </w:r>
            <w:r w:rsidRPr="1F5FE8EF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(RBC)</w:t>
            </w:r>
            <w:r w:rsidRPr="1F5FE8EF">
              <w:rPr>
                <w:rFonts w:ascii="Calibri" w:eastAsia="MS PGothic" w:hAnsi="Calibri" w:cs="Times New Roman"/>
                <w:b/>
                <w:i/>
                <w:color w:val="000000" w:themeColor="text1"/>
                <w:sz w:val="24"/>
                <w:szCs w:val="24"/>
              </w:rPr>
              <w:t xml:space="preserve"> accounted for 39% of transfusions associated with a FNHTR: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F5FE8EF">
              <w:rPr>
                <w:rFonts w:eastAsia="Times New Roman"/>
                <w:sz w:val="24"/>
                <w:szCs w:val="24"/>
              </w:rPr>
              <w:t>leukocyte</w:t>
            </w:r>
            <w:r w:rsidRPr="5B4A3D08">
              <w:rPr>
                <w:rFonts w:eastAsia="Times New Roman"/>
                <w:sz w:val="24"/>
                <w:szCs w:val="24"/>
              </w:rPr>
              <w:t>-</w:t>
            </w:r>
            <w:r w:rsidRPr="1F5FE8EF">
              <w:rPr>
                <w:rFonts w:eastAsia="Times New Roman"/>
                <w:sz w:val="24"/>
                <w:szCs w:val="24"/>
              </w:rPr>
              <w:t>reduced whole blood</w:t>
            </w:r>
            <w:r w:rsidRPr="5B4A3D08">
              <w:rPr>
                <w:rFonts w:eastAsia="Times New Roman"/>
                <w:sz w:val="24"/>
                <w:szCs w:val="24"/>
              </w:rPr>
              <w:t>-</w:t>
            </w:r>
            <w:r w:rsidRPr="1F5FE8EF">
              <w:rPr>
                <w:rFonts w:eastAsia="Times New Roman"/>
                <w:sz w:val="24"/>
                <w:szCs w:val="24"/>
              </w:rPr>
              <w:t>derived RBC made up 23%, irradiated</w:t>
            </w:r>
            <w:r w:rsidRPr="5B4A3D08">
              <w:rPr>
                <w:rFonts w:eastAsia="Times New Roman"/>
                <w:sz w:val="24"/>
                <w:szCs w:val="24"/>
              </w:rPr>
              <w:t>,</w:t>
            </w:r>
            <w:r w:rsidRPr="1F5FE8EF">
              <w:rPr>
                <w:rFonts w:eastAsia="Times New Roman"/>
                <w:sz w:val="24"/>
                <w:szCs w:val="24"/>
              </w:rPr>
              <w:t xml:space="preserve"> leukocyte</w:t>
            </w:r>
            <w:r w:rsidRPr="5B4A3D08">
              <w:rPr>
                <w:rFonts w:eastAsia="Times New Roman"/>
                <w:sz w:val="24"/>
                <w:szCs w:val="24"/>
              </w:rPr>
              <w:t>-</w:t>
            </w:r>
            <w:r w:rsidRPr="1F5FE8EF">
              <w:rPr>
                <w:rFonts w:eastAsia="Times New Roman"/>
                <w:sz w:val="24"/>
                <w:szCs w:val="24"/>
              </w:rPr>
              <w:t>reduced apheresis platelets accounted for 14%, and psoralen</w:t>
            </w:r>
            <w:r w:rsidRPr="5B4A3D08">
              <w:rPr>
                <w:rFonts w:eastAsia="Times New Roman"/>
                <w:sz w:val="24"/>
                <w:szCs w:val="24"/>
              </w:rPr>
              <w:t>-</w:t>
            </w:r>
            <w:r w:rsidRPr="1F5FE8EF">
              <w:rPr>
                <w:rFonts w:eastAsia="Times New Roman"/>
                <w:sz w:val="24"/>
                <w:szCs w:val="24"/>
              </w:rPr>
              <w:t>treated</w:t>
            </w:r>
            <w:r>
              <w:rPr>
                <w:rFonts w:eastAsia="Times New Roman"/>
                <w:sz w:val="24"/>
                <w:szCs w:val="24"/>
              </w:rPr>
              <w:t xml:space="preserve"> platelets accounted for 3%.</w:t>
            </w:r>
          </w:p>
          <w:p w14:paraId="2999F398" w14:textId="77777777" w:rsidR="000501EE" w:rsidRPr="005F4304" w:rsidRDefault="000501EE" w:rsidP="000501EE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24F80F56">
              <w:rPr>
                <w:rFonts w:ascii="Calibri" w:eastAsia="MS PGothic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Most individuals recovered with minor or no sequelae (96%): </w:t>
            </w:r>
            <w:bookmarkEnd w:id="1"/>
            <w:r w:rsidRPr="24F80F56">
              <w:rPr>
                <w:rFonts w:eastAsia="Times New Roman"/>
                <w:sz w:val="24"/>
                <w:szCs w:val="24"/>
              </w:rPr>
              <w:t>only 0.5% of cases suffered major or long-term sequelae.</w:t>
            </w:r>
          </w:p>
          <w:p w14:paraId="1222D063" w14:textId="77777777" w:rsidR="000501EE" w:rsidRPr="005F4304" w:rsidRDefault="000501EE" w:rsidP="000501EE">
            <w:pPr>
              <w:pStyle w:val="ListParagraph"/>
              <w:kinsoku w:val="0"/>
              <w:overflowPunct w:val="0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02E9370" w14:textId="5CA118FD" w:rsidR="008A785E" w:rsidRPr="00EF6B06" w:rsidRDefault="000501EE" w:rsidP="000501EE">
            <w:pPr>
              <w:pStyle w:val="ListParagraph"/>
              <w:kinsoku w:val="0"/>
              <w:overflowPunct w:val="0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4304">
              <w:rPr>
                <w:rFonts w:eastAsia="Segoe UI" w:cstheme="minorHAnsi"/>
                <w:i/>
                <w:iCs/>
                <w:sz w:val="16"/>
                <w:szCs w:val="16"/>
              </w:rPr>
              <w:t>As always, report any unusual or unexpected response to blood product transfusion to your Blood Bank</w:t>
            </w:r>
          </w:p>
        </w:tc>
      </w:tr>
    </w:tbl>
    <w:p w14:paraId="08FAF19E" w14:textId="40207FD6" w:rsidR="008A785E" w:rsidRDefault="008A785E" w:rsidP="008A785E">
      <w:pPr>
        <w:jc w:val="center"/>
        <w:rPr>
          <w:b/>
          <w:sz w:val="20"/>
          <w:szCs w:val="24"/>
        </w:rPr>
      </w:pPr>
      <w:r w:rsidRPr="00CF7893">
        <w:rPr>
          <w:b/>
          <w:sz w:val="24"/>
          <w:szCs w:val="24"/>
        </w:rPr>
        <w:t>NHSN</w:t>
      </w:r>
      <w:r>
        <w:rPr>
          <w:b/>
          <w:sz w:val="24"/>
          <w:szCs w:val="24"/>
        </w:rPr>
        <w:t xml:space="preserve"> FNHTR </w:t>
      </w:r>
      <w:r w:rsidRPr="00786DFD">
        <w:rPr>
          <w:b/>
          <w:sz w:val="24"/>
          <w:szCs w:val="24"/>
        </w:rPr>
        <w:t>Classification Criteria Tables</w:t>
      </w:r>
      <w:r w:rsidRPr="00DC7FED">
        <w:rPr>
          <w:b/>
          <w:sz w:val="20"/>
          <w:szCs w:val="24"/>
        </w:rPr>
        <w:t>*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370"/>
        <w:gridCol w:w="4760"/>
        <w:gridCol w:w="2524"/>
        <w:gridCol w:w="2362"/>
      </w:tblGrid>
      <w:tr w:rsidR="008A785E" w:rsidRPr="00593CF7" w14:paraId="38A0CD40" w14:textId="77777777" w:rsidTr="51E09FAB">
        <w:trPr>
          <w:trHeight w:val="346"/>
        </w:trPr>
        <w:tc>
          <w:tcPr>
            <w:tcW w:w="1370" w:type="dxa"/>
            <w:vAlign w:val="center"/>
          </w:tcPr>
          <w:p w14:paraId="3F5F1776" w14:textId="77777777" w:rsidR="008A785E" w:rsidRPr="00593CF7" w:rsidRDefault="008A785E" w:rsidP="0011420D">
            <w:pPr>
              <w:jc w:val="center"/>
              <w:rPr>
                <w:b/>
              </w:rPr>
            </w:pPr>
          </w:p>
        </w:tc>
        <w:tc>
          <w:tcPr>
            <w:tcW w:w="4760" w:type="dxa"/>
            <w:vAlign w:val="center"/>
          </w:tcPr>
          <w:p w14:paraId="3E13EC40" w14:textId="77777777" w:rsidR="008A785E" w:rsidRPr="00593CF7" w:rsidRDefault="008A785E" w:rsidP="0011420D">
            <w:pPr>
              <w:jc w:val="center"/>
              <w:rPr>
                <w:b/>
              </w:rPr>
            </w:pPr>
            <w:r w:rsidRPr="00593CF7">
              <w:rPr>
                <w:b/>
              </w:rPr>
              <w:t>Definitive</w:t>
            </w:r>
          </w:p>
        </w:tc>
        <w:tc>
          <w:tcPr>
            <w:tcW w:w="2524" w:type="dxa"/>
            <w:vAlign w:val="center"/>
          </w:tcPr>
          <w:p w14:paraId="1D5B19AF" w14:textId="77777777" w:rsidR="008A785E" w:rsidRPr="00593CF7" w:rsidRDefault="008A785E" w:rsidP="0011420D">
            <w:pPr>
              <w:jc w:val="center"/>
              <w:rPr>
                <w:b/>
              </w:rPr>
            </w:pPr>
            <w:r w:rsidRPr="00593CF7">
              <w:rPr>
                <w:b/>
              </w:rPr>
              <w:t>Probable</w:t>
            </w:r>
          </w:p>
        </w:tc>
        <w:tc>
          <w:tcPr>
            <w:tcW w:w="2362" w:type="dxa"/>
            <w:vAlign w:val="center"/>
          </w:tcPr>
          <w:p w14:paraId="4AF51E86" w14:textId="77777777" w:rsidR="008A785E" w:rsidRPr="00593CF7" w:rsidRDefault="008A785E" w:rsidP="0011420D">
            <w:pPr>
              <w:jc w:val="center"/>
              <w:rPr>
                <w:b/>
              </w:rPr>
            </w:pPr>
            <w:r w:rsidRPr="00593CF7">
              <w:rPr>
                <w:b/>
              </w:rPr>
              <w:t>Possible</w:t>
            </w:r>
          </w:p>
        </w:tc>
      </w:tr>
      <w:tr w:rsidR="008A785E" w:rsidRPr="002C7EA9" w14:paraId="2DDEF11B" w14:textId="77777777" w:rsidTr="51E09FAB">
        <w:trPr>
          <w:trHeight w:val="1296"/>
        </w:trPr>
        <w:tc>
          <w:tcPr>
            <w:tcW w:w="1370" w:type="dxa"/>
            <w:vAlign w:val="center"/>
          </w:tcPr>
          <w:p w14:paraId="22700A41" w14:textId="0B67DAA5" w:rsidR="008A785E" w:rsidRPr="00593CF7" w:rsidRDefault="00EC36D8" w:rsidP="0011420D">
            <w:pPr>
              <w:rPr>
                <w:b/>
              </w:rPr>
            </w:pPr>
            <w:r w:rsidRPr="00593CF7">
              <w:rPr>
                <w:b/>
              </w:rPr>
              <w:t>Case Definition</w:t>
            </w:r>
          </w:p>
        </w:tc>
        <w:tc>
          <w:tcPr>
            <w:tcW w:w="4760" w:type="dxa"/>
          </w:tcPr>
          <w:p w14:paraId="3F4621C6" w14:textId="77777777" w:rsidR="008A785E" w:rsidRPr="002C7EA9" w:rsidRDefault="008A785E" w:rsidP="0011420D">
            <w:pPr>
              <w:ind w:right="162" w:hanging="18"/>
              <w:jc w:val="center"/>
              <w:rPr>
                <w:i/>
                <w:sz w:val="20"/>
                <w:szCs w:val="20"/>
              </w:rPr>
            </w:pPr>
          </w:p>
          <w:p w14:paraId="0D66E992" w14:textId="7306A5C1" w:rsidR="008A785E" w:rsidRDefault="008A785E" w:rsidP="0011420D">
            <w:pPr>
              <w:ind w:right="162" w:hanging="18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Occurs during or within 4 hours of cessation of transfusion</w:t>
            </w:r>
          </w:p>
          <w:p w14:paraId="6111DEF6" w14:textId="77777777" w:rsidR="008A785E" w:rsidRDefault="008A785E" w:rsidP="0011420D">
            <w:pPr>
              <w:ind w:right="162" w:hanging="18"/>
              <w:jc w:val="center"/>
              <w:rPr>
                <w:i/>
                <w:sz w:val="20"/>
                <w:szCs w:val="20"/>
              </w:rPr>
            </w:pPr>
          </w:p>
          <w:p w14:paraId="008A91AF" w14:textId="30DF9BC0" w:rsidR="008A785E" w:rsidRPr="002C7EA9" w:rsidRDefault="008A785E" w:rsidP="0011420D">
            <w:pPr>
              <w:ind w:right="162" w:hanging="18"/>
              <w:jc w:val="center"/>
              <w:rPr>
                <w:i/>
                <w:sz w:val="20"/>
                <w:szCs w:val="20"/>
              </w:rPr>
            </w:pPr>
            <w:r w:rsidRPr="002C7EA9">
              <w:rPr>
                <w:i/>
                <w:sz w:val="20"/>
                <w:szCs w:val="20"/>
              </w:rPr>
              <w:t>AND EITHER</w:t>
            </w:r>
          </w:p>
          <w:p w14:paraId="5F039780" w14:textId="77777777" w:rsidR="008A785E" w:rsidRPr="002C7EA9" w:rsidRDefault="008A785E" w:rsidP="0011420D">
            <w:pPr>
              <w:ind w:right="162" w:hanging="18"/>
              <w:jc w:val="center"/>
              <w:rPr>
                <w:i/>
                <w:sz w:val="20"/>
                <w:szCs w:val="20"/>
              </w:rPr>
            </w:pPr>
          </w:p>
          <w:p w14:paraId="27D7FACB" w14:textId="77777777" w:rsidR="008A785E" w:rsidRPr="002C7EA9" w:rsidRDefault="008A785E" w:rsidP="0011420D">
            <w:pPr>
              <w:ind w:right="162"/>
              <w:jc w:val="center"/>
              <w:rPr>
                <w:bCs/>
                <w:sz w:val="20"/>
                <w:szCs w:val="20"/>
              </w:rPr>
            </w:pPr>
            <w:r w:rsidRPr="002C7EA9">
              <w:rPr>
                <w:bCs/>
                <w:sz w:val="20"/>
                <w:szCs w:val="20"/>
              </w:rPr>
              <w:t>Fever (greater than or equal to 38°C/100.4°F oral and a change of at least 1°C/1.8°F) from pre- transfusion value</w:t>
            </w:r>
          </w:p>
          <w:p w14:paraId="23BD1544" w14:textId="77777777" w:rsidR="008A785E" w:rsidRPr="002C7EA9" w:rsidRDefault="008A785E" w:rsidP="0011420D">
            <w:pPr>
              <w:ind w:right="162"/>
              <w:rPr>
                <w:bCs/>
                <w:sz w:val="20"/>
                <w:szCs w:val="20"/>
              </w:rPr>
            </w:pPr>
          </w:p>
          <w:p w14:paraId="27E58B2D" w14:textId="77777777" w:rsidR="008A785E" w:rsidRPr="002C7EA9" w:rsidRDefault="008A785E" w:rsidP="0011420D">
            <w:pPr>
              <w:ind w:right="162"/>
              <w:jc w:val="center"/>
              <w:rPr>
                <w:i/>
                <w:sz w:val="20"/>
                <w:szCs w:val="20"/>
              </w:rPr>
            </w:pPr>
            <w:r w:rsidRPr="002C7EA9">
              <w:rPr>
                <w:i/>
                <w:sz w:val="20"/>
                <w:szCs w:val="20"/>
              </w:rPr>
              <w:t>OR</w:t>
            </w:r>
          </w:p>
          <w:p w14:paraId="2C18FD0A" w14:textId="77777777" w:rsidR="008A785E" w:rsidRPr="002C7EA9" w:rsidRDefault="008A785E" w:rsidP="0011420D">
            <w:pPr>
              <w:ind w:right="162"/>
              <w:jc w:val="center"/>
              <w:rPr>
                <w:i/>
                <w:sz w:val="20"/>
                <w:szCs w:val="20"/>
              </w:rPr>
            </w:pPr>
          </w:p>
          <w:p w14:paraId="55B02B3E" w14:textId="77777777" w:rsidR="008A785E" w:rsidRPr="002C7EA9" w:rsidRDefault="008A785E" w:rsidP="0011420D">
            <w:pPr>
              <w:ind w:right="162"/>
              <w:jc w:val="center"/>
              <w:rPr>
                <w:iCs/>
                <w:sz w:val="20"/>
                <w:szCs w:val="20"/>
              </w:rPr>
            </w:pPr>
            <w:r w:rsidRPr="002C7EA9">
              <w:rPr>
                <w:iCs/>
                <w:sz w:val="20"/>
                <w:szCs w:val="20"/>
              </w:rPr>
              <w:t>Chills/rigors are present.</w:t>
            </w:r>
          </w:p>
        </w:tc>
        <w:tc>
          <w:tcPr>
            <w:tcW w:w="2524" w:type="dxa"/>
            <w:vAlign w:val="center"/>
          </w:tcPr>
          <w:p w14:paraId="6277D5B8" w14:textId="4EBD4990" w:rsidR="008A785E" w:rsidRPr="002C7EA9" w:rsidRDefault="00465B79" w:rsidP="00465B79">
            <w:pPr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N/A</w:t>
            </w:r>
          </w:p>
        </w:tc>
        <w:tc>
          <w:tcPr>
            <w:tcW w:w="2362" w:type="dxa"/>
            <w:vAlign w:val="center"/>
          </w:tcPr>
          <w:p w14:paraId="2A4ED8C6" w14:textId="3A336DC1" w:rsidR="008A785E" w:rsidRPr="002C7EA9" w:rsidRDefault="000C2ED4" w:rsidP="00592C3A">
            <w:pPr>
              <w:jc w:val="center"/>
              <w:rPr>
                <w:sz w:val="20"/>
                <w:szCs w:val="20"/>
              </w:rPr>
            </w:pPr>
            <w:r w:rsidRPr="51E09FAB">
              <w:rPr>
                <w:sz w:val="20"/>
                <w:szCs w:val="20"/>
              </w:rPr>
              <w:t xml:space="preserve">FNHTR is suspected but reported symptoms and/or available information are not sufficient to meet the criteria defined </w:t>
            </w:r>
            <w:r w:rsidR="631D43C6" w:rsidRPr="51E09FAB">
              <w:rPr>
                <w:sz w:val="20"/>
                <w:szCs w:val="20"/>
              </w:rPr>
              <w:t>to the left</w:t>
            </w:r>
            <w:r w:rsidRPr="51E09FAB">
              <w:rPr>
                <w:sz w:val="20"/>
                <w:szCs w:val="20"/>
              </w:rPr>
              <w:t>. Other, more specific adverse reaction definitions do not apply</w:t>
            </w:r>
          </w:p>
        </w:tc>
      </w:tr>
      <w:tr w:rsidR="008A785E" w:rsidRPr="002C7EA9" w14:paraId="4C8D6532" w14:textId="77777777" w:rsidTr="51E09FAB">
        <w:trPr>
          <w:trHeight w:val="144"/>
        </w:trPr>
        <w:tc>
          <w:tcPr>
            <w:tcW w:w="1370" w:type="dxa"/>
            <w:vAlign w:val="center"/>
          </w:tcPr>
          <w:p w14:paraId="5CD47618" w14:textId="77777777" w:rsidR="008A785E" w:rsidRPr="00593CF7" w:rsidRDefault="008A785E" w:rsidP="0011420D">
            <w:pPr>
              <w:rPr>
                <w:b/>
              </w:rPr>
            </w:pPr>
            <w:r w:rsidRPr="00593CF7">
              <w:rPr>
                <w:b/>
              </w:rPr>
              <w:t>Imputability</w:t>
            </w:r>
          </w:p>
        </w:tc>
        <w:tc>
          <w:tcPr>
            <w:tcW w:w="4760" w:type="dxa"/>
            <w:vAlign w:val="center"/>
          </w:tcPr>
          <w:p w14:paraId="5DC35607" w14:textId="77777777" w:rsidR="008A785E" w:rsidRPr="002C7EA9" w:rsidRDefault="008A785E" w:rsidP="0011420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C7EA9">
              <w:rPr>
                <w:sz w:val="20"/>
                <w:szCs w:val="20"/>
              </w:rPr>
              <w:t>Patient has no other conditions that could explain signs/symptoms.</w:t>
            </w:r>
          </w:p>
        </w:tc>
        <w:tc>
          <w:tcPr>
            <w:tcW w:w="2524" w:type="dxa"/>
            <w:vAlign w:val="center"/>
          </w:tcPr>
          <w:p w14:paraId="29C8262F" w14:textId="77777777" w:rsidR="008A785E" w:rsidRPr="002C7EA9" w:rsidRDefault="008A785E" w:rsidP="0011420D">
            <w:pPr>
              <w:ind w:right="162" w:hanging="18"/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There are other potential causes present that could explain signs/symptoms, but transfusion is the most likely cause.</w:t>
            </w:r>
          </w:p>
        </w:tc>
        <w:tc>
          <w:tcPr>
            <w:tcW w:w="2362" w:type="dxa"/>
            <w:vAlign w:val="center"/>
          </w:tcPr>
          <w:p w14:paraId="7E6D922B" w14:textId="77777777" w:rsidR="008A785E" w:rsidRPr="002C7EA9" w:rsidRDefault="008A785E" w:rsidP="0011420D">
            <w:pPr>
              <w:jc w:val="center"/>
              <w:rPr>
                <w:sz w:val="20"/>
                <w:szCs w:val="20"/>
              </w:rPr>
            </w:pPr>
            <w:r w:rsidRPr="002C7EA9">
              <w:rPr>
                <w:sz w:val="20"/>
                <w:szCs w:val="20"/>
              </w:rPr>
              <w:t>Other present causes are most likely, but transfusion cannot be ruled out.</w:t>
            </w:r>
          </w:p>
        </w:tc>
      </w:tr>
    </w:tbl>
    <w:p w14:paraId="4748E788" w14:textId="65375FE5" w:rsidR="008A785E" w:rsidRDefault="008A785E" w:rsidP="008A785E">
      <w:pPr>
        <w:rPr>
          <w:sz w:val="20"/>
          <w:szCs w:val="18"/>
        </w:rPr>
      </w:pPr>
      <w:r w:rsidRPr="00A46AB4">
        <w:rPr>
          <w:sz w:val="20"/>
          <w:szCs w:val="18"/>
        </w:rPr>
        <w:t xml:space="preserve">*These </w:t>
      </w:r>
      <w:r w:rsidRPr="00CF7893">
        <w:rPr>
          <w:sz w:val="20"/>
          <w:szCs w:val="18"/>
        </w:rPr>
        <w:t>surveillance case definitions can be</w:t>
      </w:r>
      <w:r>
        <w:rPr>
          <w:sz w:val="20"/>
          <w:szCs w:val="18"/>
        </w:rPr>
        <w:t xml:space="preserve"> found on page 14</w:t>
      </w:r>
      <w:r w:rsidRPr="00A46AB4">
        <w:rPr>
          <w:sz w:val="20"/>
          <w:szCs w:val="18"/>
        </w:rPr>
        <w:t xml:space="preserve"> of the </w:t>
      </w:r>
      <w:r w:rsidR="00592C3A">
        <w:rPr>
          <w:sz w:val="20"/>
          <w:szCs w:val="18"/>
        </w:rPr>
        <w:t>February</w:t>
      </w:r>
      <w:r>
        <w:rPr>
          <w:sz w:val="20"/>
          <w:szCs w:val="18"/>
        </w:rPr>
        <w:t xml:space="preserve"> 202</w:t>
      </w:r>
      <w:r w:rsidR="00592C3A">
        <w:rPr>
          <w:sz w:val="20"/>
          <w:szCs w:val="18"/>
        </w:rPr>
        <w:t xml:space="preserve">3 </w:t>
      </w:r>
      <w:r w:rsidRPr="00A46AB4">
        <w:rPr>
          <w:sz w:val="20"/>
          <w:szCs w:val="18"/>
        </w:rPr>
        <w:t>National Healthcare Safety Network Biovigilance Component Hemovigilance Module Surveillance Protocol</w:t>
      </w:r>
      <w:r>
        <w:rPr>
          <w:sz w:val="20"/>
          <w:szCs w:val="18"/>
        </w:rPr>
        <w:t xml:space="preserve"> </w:t>
      </w:r>
      <w:r w:rsidRPr="00CF7893">
        <w:rPr>
          <w:sz w:val="20"/>
          <w:szCs w:val="18"/>
        </w:rPr>
        <w:t>and are not intended for clinical decision-making</w:t>
      </w:r>
      <w:r>
        <w:rPr>
          <w:sz w:val="20"/>
          <w:szCs w:val="18"/>
        </w:rPr>
        <w:t>.</w:t>
      </w:r>
    </w:p>
    <w:p w14:paraId="47F40978" w14:textId="77777777" w:rsidR="00EC36D8" w:rsidRDefault="008A785E" w:rsidP="00EC36D8">
      <w:pPr>
        <w:spacing w:after="0"/>
        <w:rPr>
          <w:b/>
          <w:sz w:val="20"/>
        </w:rPr>
      </w:pPr>
      <w:r w:rsidRPr="00FE6978">
        <w:rPr>
          <w:b/>
          <w:sz w:val="20"/>
        </w:rPr>
        <w:t>Resources:</w:t>
      </w:r>
    </w:p>
    <w:p w14:paraId="27015523" w14:textId="4DF4EB4F" w:rsidR="008A785E" w:rsidRPr="006F0351" w:rsidRDefault="008A785E" w:rsidP="00EC36D8">
      <w:pPr>
        <w:spacing w:after="0"/>
        <w:rPr>
          <w:color w:val="0066FF"/>
          <w:sz w:val="20"/>
        </w:rPr>
      </w:pPr>
      <w:r w:rsidRPr="00FE6978">
        <w:rPr>
          <w:sz w:val="20"/>
        </w:rPr>
        <w:t xml:space="preserve">NHSN Hemovigilance Module Surveillance Protocol: </w:t>
      </w:r>
      <w:hyperlink r:id="rId11" w:history="1">
        <w:r w:rsidRPr="006F0351">
          <w:rPr>
            <w:rStyle w:val="Hyperlink"/>
            <w:color w:val="0066FF"/>
            <w:sz w:val="20"/>
          </w:rPr>
          <w:t>https://www.cdc.gov/nhsn/pdfs/biovigilance/bv-hv-protocol-current.pdf</w:t>
        </w:r>
      </w:hyperlink>
      <w:r w:rsidRPr="006F0351">
        <w:rPr>
          <w:color w:val="0066FF"/>
          <w:sz w:val="20"/>
        </w:rPr>
        <w:t xml:space="preserve"> </w:t>
      </w:r>
    </w:p>
    <w:p w14:paraId="792BF581" w14:textId="77777777" w:rsidR="008A785E" w:rsidRDefault="008A785E" w:rsidP="00EC36D8">
      <w:pPr>
        <w:spacing w:after="0"/>
        <w:rPr>
          <w:sz w:val="20"/>
        </w:rPr>
      </w:pPr>
      <w:r>
        <w:rPr>
          <w:sz w:val="20"/>
        </w:rPr>
        <w:t xml:space="preserve">MDPH Hemovigilance Data: </w:t>
      </w:r>
    </w:p>
    <w:p w14:paraId="31DD3B51" w14:textId="2676553E" w:rsidR="008A785E" w:rsidRPr="008A785E" w:rsidRDefault="00FF0181" w:rsidP="00EC36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A785E" w:rsidRPr="006F0351">
          <w:rPr>
            <w:rStyle w:val="Hyperlink"/>
            <w:color w:val="0066FF"/>
            <w:sz w:val="20"/>
          </w:rPr>
          <w:t>https://www.mass.gov/service-details/reporting-requirements-for-blood-banks-and-hemovigilance-in-massachusetts</w:t>
        </w:r>
      </w:hyperlink>
    </w:p>
    <w:sectPr w:rsidR="008A785E" w:rsidRPr="008A785E" w:rsidSect="008A78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766F2"/>
    <w:multiLevelType w:val="hybridMultilevel"/>
    <w:tmpl w:val="5AC4AEFA"/>
    <w:lvl w:ilvl="0" w:tplc="A7608B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5E"/>
    <w:rsid w:val="000501EE"/>
    <w:rsid w:val="000C2ED4"/>
    <w:rsid w:val="0011420D"/>
    <w:rsid w:val="001E6A23"/>
    <w:rsid w:val="00282908"/>
    <w:rsid w:val="002E4820"/>
    <w:rsid w:val="004424C9"/>
    <w:rsid w:val="00465B79"/>
    <w:rsid w:val="004D54FD"/>
    <w:rsid w:val="00592C3A"/>
    <w:rsid w:val="00597580"/>
    <w:rsid w:val="005E64B0"/>
    <w:rsid w:val="00735E3E"/>
    <w:rsid w:val="0077098E"/>
    <w:rsid w:val="008A785E"/>
    <w:rsid w:val="0096390D"/>
    <w:rsid w:val="009849B6"/>
    <w:rsid w:val="00AE1C99"/>
    <w:rsid w:val="00B52B51"/>
    <w:rsid w:val="00BF0B5C"/>
    <w:rsid w:val="00C63419"/>
    <w:rsid w:val="00C83625"/>
    <w:rsid w:val="00D261F2"/>
    <w:rsid w:val="00E00FCF"/>
    <w:rsid w:val="00E2226F"/>
    <w:rsid w:val="00E27409"/>
    <w:rsid w:val="00E40148"/>
    <w:rsid w:val="00E721B7"/>
    <w:rsid w:val="00EC36D8"/>
    <w:rsid w:val="00EE7001"/>
    <w:rsid w:val="00F23CD6"/>
    <w:rsid w:val="00F7200C"/>
    <w:rsid w:val="00FF0181"/>
    <w:rsid w:val="1979964E"/>
    <w:rsid w:val="24547177"/>
    <w:rsid w:val="25316DA9"/>
    <w:rsid w:val="2DC97DF9"/>
    <w:rsid w:val="3126F41A"/>
    <w:rsid w:val="33A30542"/>
    <w:rsid w:val="47AFBDCD"/>
    <w:rsid w:val="51E09FAB"/>
    <w:rsid w:val="52019682"/>
    <w:rsid w:val="55965A71"/>
    <w:rsid w:val="631D43C6"/>
    <w:rsid w:val="6BB4F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4CA0"/>
  <w15:chartTrackingRefBased/>
  <w15:docId w15:val="{D4F618AA-192C-4BE3-976D-3E9F6F6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85E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5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www.mass.gov/service-details/reporting-requirements-for-blood-banks-and-hemovigilance-in-massachuset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dc.gov/nhsn/pdfs/biovigilance/bv-hv-protocol-current.pdf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46.243.109.8\Shared\Confidential-Health-Information\ID-EPI-Vectorborne\Zoonoses\Hemovigilance\One-Pagers\FNHTR%20(2017-2020)\GRAPHS\FHNTR_onepagergraphs_10MAR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46.243.109.8\Shared\Confidential-Health-Information\ID-EPI-Vectorborne\Zoonoses\Hemovigilance\One-Pagers\FNHTR%20(2017-2020)\GRAPHS\FHNTR_onepagergraphs_10MAR2023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146.243.109.8\Shared\Confidential-Health-Information\ID-EPI-Vectorborne\Zoonoses\Hemovigilance\One-Pagers\FNHTR%20(2017-2020)\GRAPHS\FHNTR_onepagergraphs_10MAR202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146.243.109.8\Shared\Confidential-Health-Information\ID-EPI-Vectorborne\Zoonoses\Hemovigilance\One-Pagers\FNHTR%20(2017-2020)\GRAPHS\FHNTR_onepagergraphs_10MAR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FNHTR Events by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826308107667925"/>
          <c:y val="0.22172597454593984"/>
          <c:w val="0.8067329411985793"/>
          <c:h val="0.51444500039501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Sheet1!$B$14</c:f>
              <c:strCache>
                <c:ptCount val="1"/>
                <c:pt idx="0">
                  <c:v>Frequency Count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Sheet1!$A$15:$A$23</c:f>
              <c:strCache>
                <c:ptCount val="9"/>
                <c:pt idx="0">
                  <c:v>≤18</c:v>
                </c:pt>
                <c:pt idx="1">
                  <c:v>19-29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70-79</c:v>
                </c:pt>
                <c:pt idx="7">
                  <c:v>80-89</c:v>
                </c:pt>
                <c:pt idx="8">
                  <c:v>≥90</c:v>
                </c:pt>
              </c:strCache>
            </c:strRef>
          </c:cat>
          <c:val>
            <c:numRef>
              <c:f>Sheet1!$B$15:$B$23</c:f>
              <c:numCache>
                <c:formatCode>General</c:formatCode>
                <c:ptCount val="9"/>
                <c:pt idx="0">
                  <c:v>314</c:v>
                </c:pt>
                <c:pt idx="1">
                  <c:v>125</c:v>
                </c:pt>
                <c:pt idx="2">
                  <c:v>200</c:v>
                </c:pt>
                <c:pt idx="3">
                  <c:v>239</c:v>
                </c:pt>
                <c:pt idx="4">
                  <c:v>408</c:v>
                </c:pt>
                <c:pt idx="5">
                  <c:v>654</c:v>
                </c:pt>
                <c:pt idx="6">
                  <c:v>504</c:v>
                </c:pt>
                <c:pt idx="7">
                  <c:v>253</c:v>
                </c:pt>
                <c:pt idx="8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39-44F2-9AB5-007FC69EF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3948504"/>
        <c:axId val="693950144"/>
      </c:barChart>
      <c:catAx>
        <c:axId val="693948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3950144"/>
        <c:crosses val="autoZero"/>
        <c:auto val="1"/>
        <c:lblAlgn val="ctr"/>
        <c:lblOffset val="100"/>
        <c:noMultiLvlLbl val="0"/>
      </c:catAx>
      <c:valAx>
        <c:axId val="69395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Number of Events</a:t>
                </a:r>
              </a:p>
            </c:rich>
          </c:tx>
          <c:layout>
            <c:manualLayout>
              <c:xMode val="edge"/>
              <c:yMode val="edge"/>
              <c:x val="2.2510861356005709E-3"/>
              <c:y val="0.256871654484049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394850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870890318492533"/>
          <c:y val="0.32223084518158762"/>
          <c:w val="0.35329985045287571"/>
          <c:h val="0.624385210631800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3F-462E-BE94-2EEE3947FF3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3F-462E-BE94-2EEE3947FF3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3F-462E-BE94-2EEE3947FF39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3F-462E-BE94-2EEE3947FF39}"/>
              </c:ext>
            </c:extLst>
          </c:dPt>
          <c:dLbls>
            <c:dLbl>
              <c:idx val="0"/>
              <c:layout>
                <c:manualLayout>
                  <c:x val="0.11750382764654418"/>
                  <c:y val="5.483012540099154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3F-462E-BE94-2EEE3947FF39}"/>
                </c:ext>
              </c:extLst>
            </c:dLbl>
            <c:dLbl>
              <c:idx val="1"/>
              <c:layout>
                <c:manualLayout>
                  <c:x val="5.9314962583329432E-2"/>
                  <c:y val="0.104389066752710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3F-462E-BE94-2EEE3947FF39}"/>
                </c:ext>
              </c:extLst>
            </c:dLbl>
            <c:dLbl>
              <c:idx val="2"/>
              <c:layout>
                <c:manualLayout>
                  <c:x val="-5.8259733158355205E-2"/>
                  <c:y val="-8.679133858267708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3F-462E-BE94-2EEE3947FF39}"/>
                </c:ext>
              </c:extLst>
            </c:dLbl>
            <c:dLbl>
              <c:idx val="3"/>
              <c:layout>
                <c:manualLayout>
                  <c:x val="-0.1590821233898278"/>
                  <c:y val="3.08185937220062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3F-462E-BE94-2EEE3947FF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[FHNTR_onepagergraphs_10MAR2023.xlsx]Sheet2!$C$2:$F$2</c:f>
              <c:strCache>
                <c:ptCount val="4"/>
                <c:pt idx="0">
                  <c:v>Plasma</c:v>
                </c:pt>
                <c:pt idx="1">
                  <c:v>Platelets</c:v>
                </c:pt>
                <c:pt idx="2">
                  <c:v>Red Blood Cells</c:v>
                </c:pt>
                <c:pt idx="3">
                  <c:v>Unknown</c:v>
                </c:pt>
              </c:strCache>
            </c:strRef>
          </c:cat>
          <c:val>
            <c:numRef>
              <c:f>[FHNTR_onepagergraphs_10MAR2023.xlsx]Sheet2!$C$9:$F$9</c:f>
              <c:numCache>
                <c:formatCode>0.0%</c:formatCode>
                <c:ptCount val="4"/>
                <c:pt idx="0">
                  <c:v>1.891891891891892E-2</c:v>
                </c:pt>
                <c:pt idx="1">
                  <c:v>0.18864864864864864</c:v>
                </c:pt>
                <c:pt idx="2">
                  <c:v>0.77837837837837842</c:v>
                </c:pt>
                <c:pt idx="3">
                  <c:v>1.0810810810810811E-2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3F-462E-BE94-2EEE3947FF3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84914930592808"/>
          <c:y val="0.29412452870399552"/>
          <c:w val="0.32071488339161963"/>
          <c:h val="0.492372429835559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1"/>
          <c:order val="1"/>
          <c:tx>
            <c:strRef>
              <c:f>[FHNTR_onepagergraphs_10MAR2023.xlsx]Sheet2!$D$11</c:f>
              <c:strCache>
                <c:ptCount val="1"/>
                <c:pt idx="0">
                  <c:v>percent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C9-4F20-B2BE-63C69C5985D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C9-4F20-B2BE-63C69C5985D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C9-4F20-B2BE-63C69C5985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[FHNTR_onepagergraphs_10MAR2023.xlsx]Sheet2!$A$12:$A$14</c:f>
              <c:strCache>
                <c:ptCount val="3"/>
                <c:pt idx="0">
                  <c:v>BSG 1 (&lt;100 beds)</c:v>
                </c:pt>
                <c:pt idx="1">
                  <c:v>BSG 2 (100-299 beds)</c:v>
                </c:pt>
                <c:pt idx="2">
                  <c:v>BSG 3 (≥300 beds)</c:v>
                </c:pt>
              </c:strCache>
            </c:strRef>
          </c:cat>
          <c:val>
            <c:numRef>
              <c:f>[FHNTR_onepagergraphs_10MAR2023.xlsx]Sheet2!$D$12:$D$14</c:f>
              <c:numCache>
                <c:formatCode>0.0%</c:formatCode>
                <c:ptCount val="3"/>
                <c:pt idx="0">
                  <c:v>3.4000000000000002E-2</c:v>
                </c:pt>
                <c:pt idx="1">
                  <c:v>0.183</c:v>
                </c:pt>
                <c:pt idx="2">
                  <c:v>0.78400000000000003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C9-4F20-B2BE-63C69C5985DB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6C9-4F20-B2BE-63C69C5985D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F6C9-4F20-B2BE-63C69C5985D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F6C9-4F20-B2BE-63C69C5985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[FHNTR_onepagergraphs_10MAR2023.xlsx]Sheet2!$A$12:$A$14</c:f>
              <c:strCache>
                <c:ptCount val="3"/>
                <c:pt idx="0">
                  <c:v>BSG 1 (&lt;100 beds)</c:v>
                </c:pt>
                <c:pt idx="1">
                  <c:v>BSG 2 (100-299 beds)</c:v>
                </c:pt>
                <c:pt idx="2">
                  <c:v>BSG 3 (≥300 beds)</c:v>
                </c:pt>
              </c:strCache>
            </c:strRef>
          </c:cat>
          <c:val>
            <c:numRef>
              <c:f>[FHNTR_onepagergraphs_10MAR2023.xlsx]Sheet2!$D$12:$D$14</c:f>
              <c:numCache>
                <c:formatCode>0.0%</c:formatCode>
                <c:ptCount val="3"/>
                <c:pt idx="0">
                  <c:v>3.4000000000000002E-2</c:v>
                </c:pt>
                <c:pt idx="1">
                  <c:v>0.183</c:v>
                </c:pt>
                <c:pt idx="2">
                  <c:v>0.78400000000000003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6C9-4F20-B2BE-63C69C5985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[FHNTR_onepagergraphs_10MAR2023.xlsx]Sheet2!$A$11</c15:sqref>
                        </c15:formulaRef>
                      </c:ext>
                    </c:extLst>
                    <c:strCache>
                      <c:ptCount val="1"/>
                      <c:pt idx="0">
                        <c:v>BSG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F-F6C9-4F20-B2BE-63C69C5985DB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1-F6C9-4F20-B2BE-63C69C5985DB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3-F6C9-4F20-B2BE-63C69C5985DB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[FHNTR_onepagergraphs_10MAR2023.xlsx]Sheet2!$A$12:$A$14</c15:sqref>
                        </c15:formulaRef>
                      </c:ext>
                    </c:extLst>
                    <c:strCache>
                      <c:ptCount val="3"/>
                      <c:pt idx="0">
                        <c:v>BSG 1 (&lt;100 beds)</c:v>
                      </c:pt>
                      <c:pt idx="1">
                        <c:v>BSG 2 (100-299 beds)</c:v>
                      </c:pt>
                      <c:pt idx="2">
                        <c:v>BSG 3 (≥300 beds)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[FHNTR_onepagergraphs_10MAR2023.xlsx]Sheet2!$A$12:$A$14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4-F6C9-4F20-B2BE-63C69C5985DB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25946998560664"/>
          <c:y val="0.30910656516772611"/>
          <c:w val="0.35729777326221318"/>
          <c:h val="0.483115773319032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25305008236694"/>
          <c:y val="0.14982785514799973"/>
          <c:w val="0.86103509874953843"/>
          <c:h val="0.56734086175171172"/>
        </c:manualLayout>
      </c:layout>
      <c:lineChart>
        <c:grouping val="standard"/>
        <c:varyColors val="0"/>
        <c:ser>
          <c:idx val="0"/>
          <c:order val="0"/>
          <c:tx>
            <c:strRef>
              <c:f>Sheet6!$H$4</c:f>
              <c:strCache>
                <c:ptCount val="1"/>
                <c:pt idx="0">
                  <c:v>BSG 1 (&lt;100 beds)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Sheet6!$I$3:$N$3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Sheet6!$I$4:$N$4</c:f>
              <c:numCache>
                <c:formatCode>General</c:formatCode>
                <c:ptCount val="6"/>
                <c:pt idx="0">
                  <c:v>18.122499999999999</c:v>
                </c:pt>
                <c:pt idx="1">
                  <c:v>12.861700000000001</c:v>
                </c:pt>
                <c:pt idx="2">
                  <c:v>22.746099999999998</c:v>
                </c:pt>
                <c:pt idx="3">
                  <c:v>11.358499999999999</c:v>
                </c:pt>
                <c:pt idx="4">
                  <c:v>14.6976</c:v>
                </c:pt>
                <c:pt idx="5">
                  <c:v>12.8597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74-4CDA-84D9-361C8AD62580}"/>
            </c:ext>
          </c:extLst>
        </c:ser>
        <c:ser>
          <c:idx val="1"/>
          <c:order val="1"/>
          <c:tx>
            <c:strRef>
              <c:f>Sheet6!$H$5</c:f>
              <c:strCache>
                <c:ptCount val="1"/>
                <c:pt idx="0">
                  <c:v>BSG 2 (100-299 beds)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Sheet6!$I$3:$N$3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Sheet6!$I$5:$N$5</c:f>
              <c:numCache>
                <c:formatCode>General</c:formatCode>
                <c:ptCount val="6"/>
                <c:pt idx="0">
                  <c:v>10.0426</c:v>
                </c:pt>
                <c:pt idx="1">
                  <c:v>10.9519</c:v>
                </c:pt>
                <c:pt idx="2">
                  <c:v>10.9377</c:v>
                </c:pt>
                <c:pt idx="3">
                  <c:v>10.975300000000001</c:v>
                </c:pt>
                <c:pt idx="4">
                  <c:v>10.4351</c:v>
                </c:pt>
                <c:pt idx="5">
                  <c:v>8.3055000000000003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74-4CDA-84D9-361C8AD62580}"/>
            </c:ext>
          </c:extLst>
        </c:ser>
        <c:ser>
          <c:idx val="2"/>
          <c:order val="2"/>
          <c:tx>
            <c:strRef>
              <c:f>Sheet6!$H$6</c:f>
              <c:strCache>
                <c:ptCount val="1"/>
                <c:pt idx="0">
                  <c:v>BSG 3 (≥300 beds)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Sheet6!$I$3:$N$3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Sheet6!$I$6:$N$6</c:f>
              <c:numCache>
                <c:formatCode>General</c:formatCode>
                <c:ptCount val="6"/>
                <c:pt idx="0">
                  <c:v>12.372199999999999</c:v>
                </c:pt>
                <c:pt idx="1">
                  <c:v>14.0557</c:v>
                </c:pt>
                <c:pt idx="2">
                  <c:v>15.145899999999999</c:v>
                </c:pt>
                <c:pt idx="3">
                  <c:v>12.1593</c:v>
                </c:pt>
                <c:pt idx="4">
                  <c:v>13.021599999999999</c:v>
                </c:pt>
                <c:pt idx="5">
                  <c:v>15.561400000000001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74-4CDA-84D9-361C8AD62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9197848"/>
        <c:axId val="619201784"/>
      </c:lineChart>
      <c:catAx>
        <c:axId val="619197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50007518572319498"/>
              <c:y val="0.793172319824080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201784"/>
        <c:crosses val="autoZero"/>
        <c:auto val="1"/>
        <c:lblAlgn val="ctr"/>
        <c:lblOffset val="100"/>
        <c:noMultiLvlLbl val="0"/>
      </c:catAx>
      <c:valAx>
        <c:axId val="619201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Rate per</a:t>
                </a:r>
                <a:r>
                  <a:rPr lang="en-US" baseline="0"/>
                  <a:t> 10,000 products transfused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2267986979375015E-2"/>
              <c:y val="0.127446532441123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197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413658437622839E-2"/>
          <c:y val="0.89266808734512437"/>
          <c:w val="0.93674870351350992"/>
          <c:h val="7.9179425186796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Blue">
    <a:dk1>
      <a:sysClr val="windowText" lastClr="000000"/>
    </a:dk1>
    <a:lt1>
      <a:sysClr val="window" lastClr="FFFFFF"/>
    </a:lt1>
    <a:dk2>
      <a:srgbClr val="17406D"/>
    </a:dk2>
    <a:lt2>
      <a:srgbClr val="DBEF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Blue">
    <a:dk1>
      <a:sysClr val="windowText" lastClr="000000"/>
    </a:dk1>
    <a:lt1>
      <a:sysClr val="window" lastClr="FFFFFF"/>
    </a:lt1>
    <a:dk2>
      <a:srgbClr val="17406D"/>
    </a:dk2>
    <a:lt2>
      <a:srgbClr val="DBEF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Blue">
    <a:dk1>
      <a:sysClr val="windowText" lastClr="000000"/>
    </a:dk1>
    <a:lt1>
      <a:sysClr val="window" lastClr="FFFFFF"/>
    </a:lt1>
    <a:dk2>
      <a:srgbClr val="17406D"/>
    </a:dk2>
    <a:lt2>
      <a:srgbClr val="DBEF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07AAF9F8-F38E-4619-92D7-774A84D5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Slider, Amanda (DPH)</dc:creator>
  <cp:keywords/>
  <dc:description/>
  <cp:lastModifiedBy>Iannone, Ashley (DPH)</cp:lastModifiedBy>
  <cp:revision>3</cp:revision>
  <dcterms:created xsi:type="dcterms:W3CDTF">2023-10-05T15:33:00Z</dcterms:created>
  <dcterms:modified xsi:type="dcterms:W3CDTF">2023-10-05T15:34:00Z</dcterms:modified>
</cp:coreProperties>
</file>