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8689" w14:textId="77777777" w:rsidR="00BD7F0F" w:rsidRDefault="00BD7F0F">
      <w:pPr>
        <w:pStyle w:val="BodyText"/>
        <w:spacing w:before="56"/>
        <w:rPr>
          <w:sz w:val="20"/>
        </w:rPr>
      </w:pPr>
    </w:p>
    <w:p w14:paraId="01372BF0" w14:textId="77777777" w:rsidR="00BD7F0F" w:rsidRDefault="00BD7F0F">
      <w:pPr>
        <w:pStyle w:val="BodyText"/>
        <w:rPr>
          <w:sz w:val="20"/>
        </w:rPr>
        <w:sectPr w:rsidR="00BD7F0F">
          <w:footerReference w:type="default" r:id="rId7"/>
          <w:type w:val="continuous"/>
          <w:pgSz w:w="12240" w:h="15840"/>
          <w:pgMar w:top="800" w:right="1080" w:bottom="1220" w:left="1080" w:header="0" w:footer="1040" w:gutter="0"/>
          <w:pgNumType w:start="1"/>
          <w:cols w:space="720"/>
        </w:sectPr>
      </w:pPr>
    </w:p>
    <w:p w14:paraId="3C9D3476" w14:textId="77777777" w:rsidR="00BD7F0F" w:rsidRDefault="00000000">
      <w:pPr>
        <w:pStyle w:val="Title"/>
      </w:pPr>
      <w:r>
        <w:rPr>
          <w:noProof/>
        </w:rPr>
        <w:drawing>
          <wp:anchor distT="0" distB="0" distL="0" distR="0" simplePos="0" relativeHeight="15728640" behindDoc="0" locked="0" layoutInCell="1" allowOverlap="1" wp14:anchorId="38335611" wp14:editId="1F124EA9">
            <wp:simplePos x="0" y="0"/>
            <wp:positionH relativeFrom="page">
              <wp:posOffset>878951</wp:posOffset>
            </wp:positionH>
            <wp:positionV relativeFrom="paragraph">
              <wp:posOffset>-177315</wp:posOffset>
            </wp:positionV>
            <wp:extent cx="938988" cy="1164945"/>
            <wp:effectExtent l="0" t="0" r="0" b="0"/>
            <wp:wrapNone/>
            <wp:docPr id="2" name="Image 2" descr="Commonwealth state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mmonwealth state seal"/>
                    <pic:cNvPicPr/>
                  </pic:nvPicPr>
                  <pic:blipFill>
                    <a:blip r:embed="rId8" cstate="print"/>
                    <a:stretch>
                      <a:fillRect/>
                    </a:stretch>
                  </pic:blipFill>
                  <pic:spPr>
                    <a:xfrm>
                      <a:off x="0" y="0"/>
                      <a:ext cx="938988" cy="1164945"/>
                    </a:xfrm>
                    <a:prstGeom prst="rect">
                      <a:avLst/>
                    </a:prstGeom>
                  </pic:spPr>
                </pic:pic>
              </a:graphicData>
            </a:graphic>
          </wp:anchor>
        </w:drawing>
      </w:r>
      <w:r>
        <w:rPr>
          <w:smallCaps/>
          <w:spacing w:val="15"/>
        </w:rPr>
        <w:t>The</w:t>
      </w:r>
      <w:r>
        <w:rPr>
          <w:smallCaps/>
          <w:spacing w:val="49"/>
        </w:rPr>
        <w:t xml:space="preserve"> </w:t>
      </w:r>
      <w:r>
        <w:rPr>
          <w:smallCaps/>
          <w:spacing w:val="21"/>
        </w:rPr>
        <w:t>Commonwealth</w:t>
      </w:r>
      <w:r>
        <w:rPr>
          <w:smallCaps/>
          <w:spacing w:val="48"/>
        </w:rPr>
        <w:t xml:space="preserve"> </w:t>
      </w:r>
      <w:r>
        <w:rPr>
          <w:smallCaps/>
          <w:spacing w:val="12"/>
        </w:rPr>
        <w:t>of</w:t>
      </w:r>
      <w:r>
        <w:rPr>
          <w:smallCaps/>
          <w:spacing w:val="49"/>
        </w:rPr>
        <w:t xml:space="preserve"> </w:t>
      </w:r>
      <w:r>
        <w:rPr>
          <w:smallCaps/>
          <w:spacing w:val="20"/>
        </w:rPr>
        <w:t xml:space="preserve">Massachusetts </w:t>
      </w:r>
    </w:p>
    <w:p w14:paraId="75F25507" w14:textId="77777777" w:rsidR="00BD7F0F" w:rsidRDefault="00000000">
      <w:pPr>
        <w:pStyle w:val="BodyText"/>
        <w:spacing w:before="121"/>
        <w:ind w:left="2465"/>
        <w:jc w:val="center"/>
        <w:rPr>
          <w:rFonts w:ascii="Arial"/>
        </w:rPr>
      </w:pPr>
      <w:r>
        <w:rPr>
          <w:rFonts w:ascii="Arial"/>
          <w:smallCaps/>
          <w:spacing w:val="20"/>
        </w:rPr>
        <w:t>Executive</w:t>
      </w:r>
      <w:r>
        <w:rPr>
          <w:rFonts w:ascii="Arial"/>
          <w:smallCaps/>
          <w:spacing w:val="50"/>
        </w:rPr>
        <w:t xml:space="preserve"> </w:t>
      </w:r>
      <w:r>
        <w:rPr>
          <w:rFonts w:ascii="Arial"/>
          <w:smallCaps/>
          <w:spacing w:val="19"/>
        </w:rPr>
        <w:t>Office</w:t>
      </w:r>
      <w:r>
        <w:rPr>
          <w:rFonts w:ascii="Arial"/>
          <w:smallCaps/>
          <w:spacing w:val="50"/>
        </w:rPr>
        <w:t xml:space="preserve"> </w:t>
      </w:r>
      <w:r>
        <w:rPr>
          <w:rFonts w:ascii="Arial"/>
          <w:smallCaps/>
        </w:rPr>
        <w:t>f</w:t>
      </w:r>
      <w:r>
        <w:rPr>
          <w:rFonts w:ascii="Arial"/>
          <w:smallCaps/>
          <w:spacing w:val="-26"/>
        </w:rPr>
        <w:t xml:space="preserve"> </w:t>
      </w:r>
      <w:r>
        <w:rPr>
          <w:rFonts w:ascii="Arial"/>
          <w:smallCaps/>
          <w:spacing w:val="7"/>
        </w:rPr>
        <w:t xml:space="preserve">or </w:t>
      </w:r>
    </w:p>
    <w:p w14:paraId="6CB4E1C1" w14:textId="77777777" w:rsidR="00BD7F0F" w:rsidRDefault="00000000">
      <w:pPr>
        <w:pStyle w:val="BodyText"/>
        <w:tabs>
          <w:tab w:val="left" w:pos="5041"/>
          <w:tab w:val="left" w:pos="5311"/>
        </w:tabs>
        <w:spacing w:before="119" w:line="367" w:lineRule="auto"/>
        <w:ind w:left="3476" w:right="1012"/>
        <w:jc w:val="center"/>
        <w:rPr>
          <w:rFonts w:ascii="Arial" w:hAnsi="Arial"/>
        </w:rPr>
      </w:pPr>
      <w:r>
        <w:rPr>
          <w:rFonts w:ascii="Arial" w:hAnsi="Arial"/>
          <w:smallCaps/>
          <w:spacing w:val="21"/>
        </w:rPr>
        <w:t xml:space="preserve">Administration </w:t>
      </w:r>
      <w:r>
        <w:rPr>
          <w:rFonts w:ascii="Arial" w:hAnsi="Arial"/>
          <w:smallCaps/>
          <w:spacing w:val="15"/>
        </w:rPr>
        <w:t xml:space="preserve">and </w:t>
      </w:r>
      <w:r>
        <w:rPr>
          <w:rFonts w:ascii="Arial" w:hAnsi="Arial"/>
          <w:smallCaps/>
          <w:spacing w:val="19"/>
        </w:rPr>
        <w:t xml:space="preserve">Finance </w:t>
      </w:r>
      <w:r>
        <w:rPr>
          <w:rFonts w:ascii="Arial" w:hAnsi="Arial"/>
          <w:smallCaps/>
        </w:rPr>
        <w:t>state house</w:t>
      </w:r>
      <w:r>
        <w:rPr>
          <w:rFonts w:ascii="Arial" w:hAnsi="Arial"/>
          <w:smallCaps/>
        </w:rPr>
        <w:tab/>
      </w:r>
      <w:r>
        <w:rPr>
          <w:rFonts w:ascii="Arial" w:hAnsi="Arial"/>
          <w:b/>
          <w:spacing w:val="-10"/>
          <w:sz w:val="18"/>
        </w:rPr>
        <w:t>▪</w:t>
      </w:r>
      <w:r>
        <w:rPr>
          <w:rFonts w:ascii="Arial" w:hAnsi="Arial"/>
          <w:b/>
          <w:sz w:val="18"/>
        </w:rPr>
        <w:tab/>
      </w:r>
      <w:r>
        <w:rPr>
          <w:rFonts w:ascii="Arial" w:hAnsi="Arial"/>
          <w:smallCaps/>
        </w:rPr>
        <w:t xml:space="preserve">room 373 </w:t>
      </w:r>
      <w:proofErr w:type="spellStart"/>
      <w:r>
        <w:rPr>
          <w:rFonts w:ascii="Arial" w:hAnsi="Arial"/>
          <w:smallCaps/>
        </w:rPr>
        <w:t>boston</w:t>
      </w:r>
      <w:proofErr w:type="spellEnd"/>
      <w:r>
        <w:rPr>
          <w:rFonts w:ascii="Arial" w:hAnsi="Arial"/>
          <w:smallCaps/>
        </w:rPr>
        <w:t>, ma</w:t>
      </w:r>
      <w:r>
        <w:rPr>
          <w:rFonts w:ascii="Arial" w:hAnsi="Arial"/>
          <w:smallCaps/>
          <w:spacing w:val="40"/>
        </w:rPr>
        <w:t xml:space="preserve"> </w:t>
      </w:r>
      <w:r>
        <w:rPr>
          <w:rFonts w:ascii="Arial" w:hAnsi="Arial"/>
          <w:smallCaps/>
        </w:rPr>
        <w:t>02133</w:t>
      </w:r>
    </w:p>
    <w:p w14:paraId="72459ED3" w14:textId="77777777" w:rsidR="00BD7F0F" w:rsidRDefault="00000000">
      <w:pPr>
        <w:pStyle w:val="BodyText"/>
        <w:rPr>
          <w:rFonts w:ascii="Arial"/>
          <w:sz w:val="18"/>
        </w:rPr>
      </w:pPr>
      <w:r>
        <w:br w:type="column"/>
      </w:r>
    </w:p>
    <w:p w14:paraId="73EAEC46" w14:textId="77777777" w:rsidR="00BD7F0F" w:rsidRDefault="00BD7F0F">
      <w:pPr>
        <w:pStyle w:val="BodyText"/>
        <w:rPr>
          <w:rFonts w:ascii="Arial"/>
          <w:sz w:val="18"/>
        </w:rPr>
      </w:pPr>
    </w:p>
    <w:p w14:paraId="167741BA" w14:textId="77777777" w:rsidR="00BD7F0F" w:rsidRDefault="00BD7F0F">
      <w:pPr>
        <w:pStyle w:val="BodyText"/>
        <w:rPr>
          <w:rFonts w:ascii="Arial"/>
          <w:sz w:val="18"/>
        </w:rPr>
      </w:pPr>
    </w:p>
    <w:p w14:paraId="78213FA1" w14:textId="77777777" w:rsidR="00BD7F0F" w:rsidRDefault="00BD7F0F">
      <w:pPr>
        <w:pStyle w:val="BodyText"/>
        <w:rPr>
          <w:rFonts w:ascii="Arial"/>
          <w:sz w:val="18"/>
        </w:rPr>
      </w:pPr>
    </w:p>
    <w:p w14:paraId="2E92F322" w14:textId="77777777" w:rsidR="00BD7F0F" w:rsidRDefault="00BD7F0F">
      <w:pPr>
        <w:pStyle w:val="BodyText"/>
        <w:rPr>
          <w:rFonts w:ascii="Arial"/>
          <w:sz w:val="18"/>
        </w:rPr>
      </w:pPr>
    </w:p>
    <w:p w14:paraId="56862BB4" w14:textId="77777777" w:rsidR="00BD7F0F" w:rsidRDefault="00BD7F0F">
      <w:pPr>
        <w:pStyle w:val="BodyText"/>
        <w:rPr>
          <w:rFonts w:ascii="Arial"/>
          <w:sz w:val="18"/>
        </w:rPr>
      </w:pPr>
    </w:p>
    <w:p w14:paraId="744775C0" w14:textId="77777777" w:rsidR="00BD7F0F" w:rsidRDefault="00BD7F0F">
      <w:pPr>
        <w:pStyle w:val="BodyText"/>
        <w:rPr>
          <w:rFonts w:ascii="Arial"/>
          <w:sz w:val="18"/>
        </w:rPr>
      </w:pPr>
    </w:p>
    <w:p w14:paraId="747D2D06" w14:textId="77777777" w:rsidR="00BD7F0F" w:rsidRDefault="00BD7F0F">
      <w:pPr>
        <w:pStyle w:val="BodyText"/>
        <w:rPr>
          <w:rFonts w:ascii="Arial"/>
          <w:sz w:val="18"/>
        </w:rPr>
      </w:pPr>
    </w:p>
    <w:p w14:paraId="01353D23" w14:textId="77777777" w:rsidR="00BD7F0F" w:rsidRDefault="00BD7F0F">
      <w:pPr>
        <w:pStyle w:val="BodyText"/>
        <w:spacing w:before="28"/>
        <w:rPr>
          <w:rFonts w:ascii="Arial"/>
          <w:sz w:val="18"/>
        </w:rPr>
      </w:pPr>
    </w:p>
    <w:p w14:paraId="7277283A" w14:textId="77777777" w:rsidR="00BD7F0F" w:rsidRDefault="00000000">
      <w:pPr>
        <w:ind w:left="48"/>
        <w:rPr>
          <w:rFonts w:ascii="Arial"/>
          <w:sz w:val="18"/>
        </w:rPr>
      </w:pPr>
      <w:r>
        <w:rPr>
          <w:rFonts w:ascii="Arial"/>
          <w:sz w:val="18"/>
        </w:rPr>
        <w:t>TEL:</w:t>
      </w:r>
      <w:r>
        <w:rPr>
          <w:rFonts w:ascii="Arial"/>
          <w:spacing w:val="75"/>
          <w:w w:val="150"/>
          <w:sz w:val="18"/>
        </w:rPr>
        <w:t xml:space="preserve"> </w:t>
      </w:r>
      <w:r>
        <w:rPr>
          <w:rFonts w:ascii="Arial"/>
          <w:sz w:val="18"/>
        </w:rPr>
        <w:t>(617)</w:t>
      </w:r>
      <w:r>
        <w:rPr>
          <w:rFonts w:ascii="Arial"/>
          <w:spacing w:val="-2"/>
          <w:sz w:val="18"/>
        </w:rPr>
        <w:t xml:space="preserve"> </w:t>
      </w:r>
      <w:r>
        <w:rPr>
          <w:rFonts w:ascii="Arial"/>
          <w:sz w:val="18"/>
        </w:rPr>
        <w:t>727-</w:t>
      </w:r>
      <w:r>
        <w:rPr>
          <w:rFonts w:ascii="Arial"/>
          <w:spacing w:val="-4"/>
          <w:sz w:val="18"/>
        </w:rPr>
        <w:t>2040</w:t>
      </w:r>
    </w:p>
    <w:p w14:paraId="604F21F8" w14:textId="77777777" w:rsidR="00BD7F0F" w:rsidRDefault="00000000">
      <w:pPr>
        <w:spacing w:before="1"/>
        <w:ind w:left="48"/>
        <w:rPr>
          <w:rFonts w:ascii="Arial"/>
          <w:sz w:val="18"/>
        </w:rPr>
      </w:pPr>
      <w:r>
        <w:rPr>
          <w:rFonts w:ascii="Arial"/>
          <w:sz w:val="18"/>
        </w:rPr>
        <w:t>FAX:</w:t>
      </w:r>
      <w:r>
        <w:rPr>
          <w:rFonts w:ascii="Arial"/>
          <w:spacing w:val="57"/>
          <w:w w:val="150"/>
          <w:sz w:val="18"/>
        </w:rPr>
        <w:t xml:space="preserve"> </w:t>
      </w:r>
      <w:r>
        <w:rPr>
          <w:rFonts w:ascii="Arial"/>
          <w:sz w:val="18"/>
        </w:rPr>
        <w:t>(617)</w:t>
      </w:r>
      <w:r>
        <w:rPr>
          <w:rFonts w:ascii="Arial"/>
          <w:spacing w:val="-3"/>
          <w:sz w:val="18"/>
        </w:rPr>
        <w:t xml:space="preserve"> </w:t>
      </w:r>
      <w:r>
        <w:rPr>
          <w:rFonts w:ascii="Arial"/>
          <w:sz w:val="18"/>
        </w:rPr>
        <w:t>727-</w:t>
      </w:r>
      <w:r>
        <w:rPr>
          <w:rFonts w:ascii="Arial"/>
          <w:spacing w:val="-4"/>
          <w:sz w:val="18"/>
        </w:rPr>
        <w:t>2779</w:t>
      </w:r>
    </w:p>
    <w:p w14:paraId="56D717DC" w14:textId="77777777" w:rsidR="00BD7F0F" w:rsidRDefault="00000000">
      <w:pPr>
        <w:spacing w:before="1"/>
        <w:ind w:left="48"/>
        <w:rPr>
          <w:rFonts w:ascii="Arial"/>
          <w:sz w:val="18"/>
        </w:rPr>
      </w:pPr>
      <w:hyperlink r:id="rId9">
        <w:r>
          <w:rPr>
            <w:rFonts w:ascii="Arial"/>
            <w:spacing w:val="-2"/>
            <w:sz w:val="18"/>
          </w:rPr>
          <w:t>www.mass.gov/eoaf</w:t>
        </w:r>
      </w:hyperlink>
    </w:p>
    <w:p w14:paraId="14BB3AED" w14:textId="77777777" w:rsidR="00BD7F0F" w:rsidRDefault="00BD7F0F">
      <w:pPr>
        <w:rPr>
          <w:rFonts w:ascii="Arial"/>
          <w:sz w:val="18"/>
        </w:rPr>
        <w:sectPr w:rsidR="00BD7F0F">
          <w:type w:val="continuous"/>
          <w:pgSz w:w="12240" w:h="15840"/>
          <w:pgMar w:top="800" w:right="1080" w:bottom="1220" w:left="1080" w:header="0" w:footer="1040" w:gutter="0"/>
          <w:cols w:num="2" w:space="720" w:equalWidth="0">
            <w:col w:w="7976" w:space="40"/>
            <w:col w:w="2064"/>
          </w:cols>
        </w:sectPr>
      </w:pPr>
    </w:p>
    <w:p w14:paraId="6DD04E11" w14:textId="77777777" w:rsidR="00BD7F0F" w:rsidRDefault="00BD7F0F">
      <w:pPr>
        <w:pStyle w:val="BodyText"/>
        <w:rPr>
          <w:rFonts w:ascii="Arial"/>
        </w:rPr>
      </w:pPr>
    </w:p>
    <w:p w14:paraId="6B4FD650" w14:textId="77777777" w:rsidR="00BD7F0F" w:rsidRDefault="00BD7F0F">
      <w:pPr>
        <w:pStyle w:val="BodyText"/>
        <w:rPr>
          <w:rFonts w:ascii="Arial"/>
        </w:rPr>
      </w:pPr>
    </w:p>
    <w:p w14:paraId="70DDA9E1" w14:textId="77777777" w:rsidR="00BD7F0F" w:rsidRDefault="00BD7F0F">
      <w:pPr>
        <w:pStyle w:val="BodyText"/>
        <w:spacing w:before="201"/>
        <w:rPr>
          <w:rFonts w:ascii="Arial"/>
        </w:rPr>
      </w:pPr>
    </w:p>
    <w:p w14:paraId="02CB0F75" w14:textId="77777777" w:rsidR="00BD7F0F" w:rsidRDefault="00000000">
      <w:pPr>
        <w:ind w:left="2874" w:right="2874"/>
        <w:jc w:val="center"/>
        <w:rPr>
          <w:b/>
        </w:rPr>
      </w:pPr>
      <w:r>
        <w:rPr>
          <w:b/>
          <w:u w:val="thick"/>
        </w:rPr>
        <w:t>Meeting</w:t>
      </w:r>
      <w:r>
        <w:rPr>
          <w:b/>
          <w:spacing w:val="-8"/>
          <w:u w:val="thick"/>
        </w:rPr>
        <w:t xml:space="preserve"> </w:t>
      </w:r>
      <w:r>
        <w:rPr>
          <w:b/>
          <w:spacing w:val="-2"/>
          <w:u w:val="thick"/>
        </w:rPr>
        <w:t>Minutes</w:t>
      </w:r>
    </w:p>
    <w:p w14:paraId="431CB294" w14:textId="77777777" w:rsidR="00BD7F0F" w:rsidRDefault="00000000">
      <w:pPr>
        <w:spacing w:before="252"/>
        <w:ind w:left="2874" w:right="2873"/>
        <w:jc w:val="center"/>
        <w:rPr>
          <w:b/>
        </w:rPr>
      </w:pPr>
      <w:r>
        <w:rPr>
          <w:b/>
        </w:rPr>
        <w:t>State</w:t>
      </w:r>
      <w:r>
        <w:rPr>
          <w:b/>
          <w:spacing w:val="-10"/>
        </w:rPr>
        <w:t xml:space="preserve"> </w:t>
      </w:r>
      <w:r>
        <w:rPr>
          <w:b/>
        </w:rPr>
        <w:t>Finance</w:t>
      </w:r>
      <w:r>
        <w:rPr>
          <w:b/>
          <w:spacing w:val="-10"/>
        </w:rPr>
        <w:t xml:space="preserve"> </w:t>
      </w:r>
      <w:r>
        <w:rPr>
          <w:b/>
        </w:rPr>
        <w:t>and</w:t>
      </w:r>
      <w:r>
        <w:rPr>
          <w:b/>
          <w:spacing w:val="-10"/>
        </w:rPr>
        <w:t xml:space="preserve"> </w:t>
      </w:r>
      <w:r>
        <w:rPr>
          <w:b/>
        </w:rPr>
        <w:t>Governance</w:t>
      </w:r>
      <w:r>
        <w:rPr>
          <w:b/>
          <w:spacing w:val="-10"/>
        </w:rPr>
        <w:t xml:space="preserve"> </w:t>
      </w:r>
      <w:r>
        <w:rPr>
          <w:b/>
        </w:rPr>
        <w:t>Board February 19, 2021</w:t>
      </w:r>
    </w:p>
    <w:p w14:paraId="3EFB9EA7" w14:textId="77777777" w:rsidR="00BD7F0F" w:rsidRDefault="00000000">
      <w:pPr>
        <w:ind w:left="2874" w:right="2874"/>
        <w:jc w:val="center"/>
        <w:rPr>
          <w:b/>
        </w:rPr>
      </w:pPr>
      <w:r>
        <w:rPr>
          <w:b/>
        </w:rPr>
        <w:t>3:00</w:t>
      </w:r>
      <w:r>
        <w:rPr>
          <w:b/>
          <w:spacing w:val="-5"/>
        </w:rPr>
        <w:t xml:space="preserve"> pm</w:t>
      </w:r>
    </w:p>
    <w:p w14:paraId="560230B4" w14:textId="77777777" w:rsidR="00BD7F0F" w:rsidRDefault="00000000">
      <w:pPr>
        <w:pStyle w:val="Heading1"/>
      </w:pPr>
      <w:r>
        <w:t>Conference</w:t>
      </w:r>
      <w:r>
        <w:rPr>
          <w:spacing w:val="-8"/>
        </w:rPr>
        <w:t xml:space="preserve"> </w:t>
      </w:r>
      <w:r>
        <w:t>Line:</w:t>
      </w:r>
      <w:r>
        <w:rPr>
          <w:spacing w:val="-8"/>
        </w:rPr>
        <w:t xml:space="preserve"> </w:t>
      </w:r>
      <w:r>
        <w:t>978-990-5000,</w:t>
      </w:r>
      <w:r>
        <w:rPr>
          <w:spacing w:val="-8"/>
        </w:rPr>
        <w:t xml:space="preserve"> </w:t>
      </w:r>
      <w:r>
        <w:t>access</w:t>
      </w:r>
      <w:r>
        <w:rPr>
          <w:spacing w:val="-8"/>
        </w:rPr>
        <w:t xml:space="preserve"> </w:t>
      </w:r>
      <w:r>
        <w:t>code:</w:t>
      </w:r>
      <w:r>
        <w:rPr>
          <w:spacing w:val="-8"/>
        </w:rPr>
        <w:t xml:space="preserve"> </w:t>
      </w:r>
      <w:r>
        <w:rPr>
          <w:spacing w:val="-2"/>
        </w:rPr>
        <w:t>244621#</w:t>
      </w:r>
    </w:p>
    <w:p w14:paraId="2D134089" w14:textId="77777777" w:rsidR="00BD7F0F" w:rsidRDefault="00000000">
      <w:pPr>
        <w:pStyle w:val="BodyText"/>
        <w:spacing w:before="252"/>
        <w:ind w:left="359" w:right="357"/>
        <w:jc w:val="both"/>
      </w:pPr>
      <w:r>
        <w:t>A meeting of the State Finance and Governance Board was held via teleconference on Friday, February 19, 2021, in accordance with the Governor’s Executive Order Suspending Certain Provisions of the Open Meeting Law, G.L. c. 30A, § 20, signed and dated March 12, 2020, and pursuant to notice duly given.</w:t>
      </w:r>
    </w:p>
    <w:p w14:paraId="569F84C3" w14:textId="77777777" w:rsidR="00BD7F0F" w:rsidRDefault="00BD7F0F">
      <w:pPr>
        <w:pStyle w:val="BodyText"/>
      </w:pPr>
    </w:p>
    <w:p w14:paraId="40B50122" w14:textId="77777777" w:rsidR="00BD7F0F" w:rsidRDefault="00000000">
      <w:pPr>
        <w:pStyle w:val="BodyText"/>
        <w:ind w:left="359"/>
        <w:jc w:val="both"/>
      </w:pPr>
      <w:r>
        <w:t>Meeting</w:t>
      </w:r>
      <w:r>
        <w:rPr>
          <w:spacing w:val="-4"/>
        </w:rPr>
        <w:t xml:space="preserve"> </w:t>
      </w:r>
      <w:r>
        <w:t>was</w:t>
      </w:r>
      <w:r>
        <w:rPr>
          <w:spacing w:val="-4"/>
        </w:rPr>
        <w:t xml:space="preserve"> </w:t>
      </w:r>
      <w:r>
        <w:t>called</w:t>
      </w:r>
      <w:r>
        <w:rPr>
          <w:spacing w:val="-4"/>
        </w:rPr>
        <w:t xml:space="preserve"> </w:t>
      </w:r>
      <w:r>
        <w:t>to</w:t>
      </w:r>
      <w:r>
        <w:rPr>
          <w:spacing w:val="-4"/>
        </w:rPr>
        <w:t xml:space="preserve"> </w:t>
      </w:r>
      <w:r>
        <w:t>order</w:t>
      </w:r>
      <w:r>
        <w:rPr>
          <w:spacing w:val="-4"/>
        </w:rPr>
        <w:t xml:space="preserve"> </w:t>
      </w:r>
      <w:r>
        <w:t>at</w:t>
      </w:r>
      <w:r>
        <w:rPr>
          <w:spacing w:val="-4"/>
        </w:rPr>
        <w:t xml:space="preserve"> </w:t>
      </w:r>
      <w:r>
        <w:rPr>
          <w:spacing w:val="-2"/>
        </w:rPr>
        <w:t>3:02pm.</w:t>
      </w:r>
    </w:p>
    <w:p w14:paraId="7AF95C73" w14:textId="77777777" w:rsidR="00BD7F0F" w:rsidRDefault="00BD7F0F">
      <w:pPr>
        <w:pStyle w:val="BodyText"/>
      </w:pPr>
    </w:p>
    <w:p w14:paraId="4B5CA595" w14:textId="77777777" w:rsidR="00BD7F0F" w:rsidRDefault="00000000">
      <w:pPr>
        <w:pStyle w:val="Heading2"/>
        <w:spacing w:before="1"/>
        <w:ind w:left="359" w:firstLine="0"/>
        <w:jc w:val="both"/>
      </w:pPr>
      <w:r>
        <w:t>Board</w:t>
      </w:r>
      <w:r>
        <w:rPr>
          <w:spacing w:val="-11"/>
        </w:rPr>
        <w:t xml:space="preserve"> </w:t>
      </w:r>
      <w:r>
        <w:t>members</w:t>
      </w:r>
      <w:r>
        <w:rPr>
          <w:spacing w:val="-10"/>
        </w:rPr>
        <w:t xml:space="preserve"> </w:t>
      </w:r>
      <w:r>
        <w:t>comprising</w:t>
      </w:r>
      <w:r>
        <w:rPr>
          <w:spacing w:val="-10"/>
        </w:rPr>
        <w:t xml:space="preserve"> </w:t>
      </w:r>
      <w:r>
        <w:t>a</w:t>
      </w:r>
      <w:r>
        <w:rPr>
          <w:spacing w:val="-11"/>
        </w:rPr>
        <w:t xml:space="preserve"> </w:t>
      </w:r>
      <w:r>
        <w:rPr>
          <w:spacing w:val="-2"/>
        </w:rPr>
        <w:t>quorum:</w:t>
      </w:r>
    </w:p>
    <w:p w14:paraId="3C491E12" w14:textId="77777777" w:rsidR="00BD7F0F" w:rsidRDefault="00BD7F0F">
      <w:pPr>
        <w:pStyle w:val="BodyText"/>
        <w:rPr>
          <w:b/>
        </w:rPr>
      </w:pPr>
    </w:p>
    <w:p w14:paraId="5C136351" w14:textId="77777777" w:rsidR="00BD7F0F" w:rsidRDefault="00000000">
      <w:pPr>
        <w:pStyle w:val="BodyText"/>
        <w:ind w:left="1079" w:right="4423"/>
      </w:pPr>
      <w:r>
        <w:t>Lourdes</w:t>
      </w:r>
      <w:r>
        <w:rPr>
          <w:spacing w:val="-8"/>
        </w:rPr>
        <w:t xml:space="preserve"> </w:t>
      </w:r>
      <w:r>
        <w:t>German,</w:t>
      </w:r>
      <w:r>
        <w:rPr>
          <w:spacing w:val="-8"/>
        </w:rPr>
        <w:t xml:space="preserve"> </w:t>
      </w:r>
      <w:r>
        <w:t>Boston</w:t>
      </w:r>
      <w:r>
        <w:rPr>
          <w:spacing w:val="-8"/>
        </w:rPr>
        <w:t xml:space="preserve"> </w:t>
      </w:r>
      <w:r>
        <w:t>College,</w:t>
      </w:r>
      <w:r>
        <w:rPr>
          <w:spacing w:val="-8"/>
        </w:rPr>
        <w:t xml:space="preserve"> </w:t>
      </w:r>
      <w:r>
        <w:t>Board</w:t>
      </w:r>
      <w:r>
        <w:rPr>
          <w:spacing w:val="-8"/>
        </w:rPr>
        <w:t xml:space="preserve"> </w:t>
      </w:r>
      <w:r>
        <w:t>Chair Brent Andersen, Pilgrim Bay Insurance</w:t>
      </w:r>
    </w:p>
    <w:p w14:paraId="6ED5FEE7" w14:textId="77777777" w:rsidR="00BD7F0F" w:rsidRDefault="00000000">
      <w:pPr>
        <w:pStyle w:val="BodyText"/>
        <w:ind w:left="1079" w:right="4897"/>
      </w:pPr>
      <w:r>
        <w:t xml:space="preserve">Sue Perez, Office of the State Treasurer </w:t>
      </w:r>
      <w:proofErr w:type="spellStart"/>
      <w:r>
        <w:t>Supreo</w:t>
      </w:r>
      <w:proofErr w:type="spellEnd"/>
      <w:r>
        <w:rPr>
          <w:spacing w:val="-7"/>
        </w:rPr>
        <w:t xml:space="preserve"> </w:t>
      </w:r>
      <w:r>
        <w:t>Ghosh,</w:t>
      </w:r>
      <w:r>
        <w:rPr>
          <w:spacing w:val="-7"/>
        </w:rPr>
        <w:t xml:space="preserve"> </w:t>
      </w:r>
      <w:r>
        <w:t>Office</w:t>
      </w:r>
      <w:r>
        <w:rPr>
          <w:spacing w:val="-7"/>
        </w:rPr>
        <w:t xml:space="preserve"> </w:t>
      </w:r>
      <w:r>
        <w:t>of</w:t>
      </w:r>
      <w:r>
        <w:rPr>
          <w:spacing w:val="-7"/>
        </w:rPr>
        <w:t xml:space="preserve"> </w:t>
      </w:r>
      <w:r>
        <w:t>the</w:t>
      </w:r>
      <w:r>
        <w:rPr>
          <w:spacing w:val="-7"/>
        </w:rPr>
        <w:t xml:space="preserve"> </w:t>
      </w:r>
      <w:r>
        <w:t>State</w:t>
      </w:r>
      <w:r>
        <w:rPr>
          <w:spacing w:val="-7"/>
        </w:rPr>
        <w:t xml:space="preserve"> </w:t>
      </w:r>
      <w:r>
        <w:t>Treasurer</w:t>
      </w:r>
    </w:p>
    <w:p w14:paraId="22A0D403" w14:textId="77777777" w:rsidR="00BD7F0F" w:rsidRDefault="00BD7F0F">
      <w:pPr>
        <w:pStyle w:val="BodyText"/>
      </w:pPr>
    </w:p>
    <w:p w14:paraId="0EF246BE" w14:textId="77777777" w:rsidR="00BD7F0F" w:rsidRDefault="00000000">
      <w:pPr>
        <w:pStyle w:val="Heading2"/>
        <w:ind w:left="359" w:firstLine="0"/>
        <w:jc w:val="both"/>
        <w:rPr>
          <w:b w:val="0"/>
        </w:rPr>
      </w:pPr>
      <w:r>
        <w:t>Others</w:t>
      </w:r>
      <w:r>
        <w:rPr>
          <w:spacing w:val="-5"/>
        </w:rPr>
        <w:t xml:space="preserve"> </w:t>
      </w:r>
      <w:r>
        <w:t>in</w:t>
      </w:r>
      <w:r>
        <w:rPr>
          <w:spacing w:val="-4"/>
        </w:rPr>
        <w:t xml:space="preserve"> </w:t>
      </w:r>
      <w:r>
        <w:rPr>
          <w:spacing w:val="-2"/>
        </w:rPr>
        <w:t>attendance</w:t>
      </w:r>
      <w:r>
        <w:rPr>
          <w:b w:val="0"/>
          <w:spacing w:val="-2"/>
        </w:rPr>
        <w:t>:</w:t>
      </w:r>
    </w:p>
    <w:p w14:paraId="7F909DB8" w14:textId="77777777" w:rsidR="00BD7F0F" w:rsidRDefault="00000000">
      <w:pPr>
        <w:pStyle w:val="BodyText"/>
        <w:spacing w:before="252"/>
        <w:ind w:left="1079" w:right="3075"/>
      </w:pPr>
      <w:r>
        <w:t>Barbara</w:t>
      </w:r>
      <w:r>
        <w:rPr>
          <w:spacing w:val="-7"/>
        </w:rPr>
        <w:t xml:space="preserve"> </w:t>
      </w:r>
      <w:r>
        <w:t>Kroncke,</w:t>
      </w:r>
      <w:r>
        <w:rPr>
          <w:spacing w:val="-7"/>
        </w:rPr>
        <w:t xml:space="preserve"> </w:t>
      </w:r>
      <w:r>
        <w:t>University</w:t>
      </w:r>
      <w:r>
        <w:rPr>
          <w:spacing w:val="-7"/>
        </w:rPr>
        <w:t xml:space="preserve"> </w:t>
      </w:r>
      <w:r>
        <w:t>of</w:t>
      </w:r>
      <w:r>
        <w:rPr>
          <w:spacing w:val="-7"/>
        </w:rPr>
        <w:t xml:space="preserve"> </w:t>
      </w:r>
      <w:r>
        <w:t>Massachusetts</w:t>
      </w:r>
      <w:r>
        <w:rPr>
          <w:spacing w:val="-7"/>
        </w:rPr>
        <w:t xml:space="preserve"> </w:t>
      </w:r>
      <w:r>
        <w:t>Building</w:t>
      </w:r>
      <w:r>
        <w:rPr>
          <w:spacing w:val="-7"/>
        </w:rPr>
        <w:t xml:space="preserve"> </w:t>
      </w:r>
      <w:r>
        <w:t>Authority Aaron D’Elia, University of Massachusetts Building Authority John Giammarino, Citi</w:t>
      </w:r>
    </w:p>
    <w:p w14:paraId="69FF8C9C" w14:textId="77777777" w:rsidR="00BD7F0F" w:rsidRDefault="00000000">
      <w:pPr>
        <w:pStyle w:val="BodyText"/>
        <w:spacing w:before="1"/>
        <w:ind w:left="1079" w:right="6949"/>
      </w:pPr>
      <w:r>
        <w:t>John Malpiede, Citi Jeff</w:t>
      </w:r>
      <w:r>
        <w:rPr>
          <w:spacing w:val="-5"/>
        </w:rPr>
        <w:t xml:space="preserve"> </w:t>
      </w:r>
      <w:r>
        <w:t>Smith,</w:t>
      </w:r>
      <w:r>
        <w:rPr>
          <w:spacing w:val="-5"/>
        </w:rPr>
        <w:t xml:space="preserve"> </w:t>
      </w:r>
      <w:proofErr w:type="spellStart"/>
      <w:r>
        <w:rPr>
          <w:spacing w:val="-2"/>
        </w:rPr>
        <w:t>Omnicap</w:t>
      </w:r>
      <w:proofErr w:type="spellEnd"/>
    </w:p>
    <w:p w14:paraId="0BC224C0" w14:textId="77777777" w:rsidR="00BD7F0F" w:rsidRDefault="00000000">
      <w:pPr>
        <w:pStyle w:val="BodyText"/>
        <w:ind w:left="1079" w:right="2318"/>
      </w:pPr>
      <w:r>
        <w:t>William</w:t>
      </w:r>
      <w:r>
        <w:rPr>
          <w:spacing w:val="-6"/>
        </w:rPr>
        <w:t xml:space="preserve"> </w:t>
      </w:r>
      <w:r>
        <w:t>Archibald,</w:t>
      </w:r>
      <w:r>
        <w:rPr>
          <w:spacing w:val="-6"/>
        </w:rPr>
        <w:t xml:space="preserve"> </w:t>
      </w:r>
      <w:r>
        <w:t>Executive</w:t>
      </w:r>
      <w:r>
        <w:rPr>
          <w:spacing w:val="-6"/>
        </w:rPr>
        <w:t xml:space="preserve"> </w:t>
      </w:r>
      <w:r>
        <w:t>Office</w:t>
      </w:r>
      <w:r>
        <w:rPr>
          <w:spacing w:val="-6"/>
        </w:rPr>
        <w:t xml:space="preserve"> </w:t>
      </w:r>
      <w:r>
        <w:t>for</w:t>
      </w:r>
      <w:r>
        <w:rPr>
          <w:spacing w:val="-6"/>
        </w:rPr>
        <w:t xml:space="preserve"> </w:t>
      </w:r>
      <w:r>
        <w:t>Administration</w:t>
      </w:r>
      <w:r>
        <w:rPr>
          <w:spacing w:val="-6"/>
        </w:rPr>
        <w:t xml:space="preserve"> </w:t>
      </w:r>
      <w:r>
        <w:t>and</w:t>
      </w:r>
      <w:r>
        <w:rPr>
          <w:spacing w:val="-6"/>
        </w:rPr>
        <w:t xml:space="preserve"> </w:t>
      </w:r>
      <w:r>
        <w:t>Finance Kaitlyn Connors, Executive Office for Administration and Finance</w:t>
      </w:r>
    </w:p>
    <w:p w14:paraId="320898B1" w14:textId="77777777" w:rsidR="00BD7F0F" w:rsidRDefault="00BD7F0F">
      <w:pPr>
        <w:pStyle w:val="BodyText"/>
      </w:pPr>
    </w:p>
    <w:p w14:paraId="0ED687F5" w14:textId="77777777" w:rsidR="00BD7F0F" w:rsidRDefault="00BD7F0F">
      <w:pPr>
        <w:pStyle w:val="BodyText"/>
      </w:pPr>
    </w:p>
    <w:p w14:paraId="572A8AAF" w14:textId="77777777" w:rsidR="00BD7F0F" w:rsidRDefault="00000000">
      <w:pPr>
        <w:pStyle w:val="Heading2"/>
        <w:numPr>
          <w:ilvl w:val="0"/>
          <w:numId w:val="1"/>
        </w:numPr>
        <w:tabs>
          <w:tab w:val="left" w:pos="717"/>
        </w:tabs>
        <w:ind w:left="717" w:hanging="358"/>
      </w:pPr>
      <w:r>
        <w:t>Administrative</w:t>
      </w:r>
      <w:r>
        <w:rPr>
          <w:spacing w:val="-14"/>
        </w:rPr>
        <w:t xml:space="preserve"> </w:t>
      </w:r>
      <w:r>
        <w:rPr>
          <w:spacing w:val="-2"/>
        </w:rPr>
        <w:t>Matters</w:t>
      </w:r>
    </w:p>
    <w:p w14:paraId="16173CC2" w14:textId="77777777" w:rsidR="00BD7F0F" w:rsidRDefault="00000000">
      <w:pPr>
        <w:pStyle w:val="ListParagraph"/>
        <w:numPr>
          <w:ilvl w:val="1"/>
          <w:numId w:val="1"/>
        </w:numPr>
        <w:tabs>
          <w:tab w:val="left" w:pos="1439"/>
        </w:tabs>
        <w:spacing w:before="252"/>
        <w:ind w:right="355"/>
      </w:pPr>
      <w:r>
        <w:t>On</w:t>
      </w:r>
      <w:r>
        <w:rPr>
          <w:spacing w:val="38"/>
        </w:rPr>
        <w:t xml:space="preserve"> </w:t>
      </w:r>
      <w:r>
        <w:t>a</w:t>
      </w:r>
      <w:r>
        <w:rPr>
          <w:spacing w:val="37"/>
        </w:rPr>
        <w:t xml:space="preserve"> </w:t>
      </w:r>
      <w:r>
        <w:t>motion</w:t>
      </w:r>
      <w:r>
        <w:rPr>
          <w:spacing w:val="38"/>
        </w:rPr>
        <w:t xml:space="preserve"> </w:t>
      </w:r>
      <w:r>
        <w:t>made</w:t>
      </w:r>
      <w:r>
        <w:rPr>
          <w:spacing w:val="38"/>
        </w:rPr>
        <w:t xml:space="preserve"> </w:t>
      </w:r>
      <w:r>
        <w:t>by</w:t>
      </w:r>
      <w:r>
        <w:rPr>
          <w:spacing w:val="38"/>
        </w:rPr>
        <w:t xml:space="preserve"> </w:t>
      </w:r>
      <w:r>
        <w:t>Mr.</w:t>
      </w:r>
      <w:r>
        <w:rPr>
          <w:spacing w:val="38"/>
        </w:rPr>
        <w:t xml:space="preserve"> </w:t>
      </w:r>
      <w:r>
        <w:t>Andersen,</w:t>
      </w:r>
      <w:r>
        <w:rPr>
          <w:spacing w:val="38"/>
        </w:rPr>
        <w:t xml:space="preserve"> </w:t>
      </w:r>
      <w:r>
        <w:t>and</w:t>
      </w:r>
      <w:r>
        <w:rPr>
          <w:spacing w:val="38"/>
        </w:rPr>
        <w:t xml:space="preserve"> </w:t>
      </w:r>
      <w:r>
        <w:t>duly</w:t>
      </w:r>
      <w:r>
        <w:rPr>
          <w:spacing w:val="38"/>
        </w:rPr>
        <w:t xml:space="preserve"> </w:t>
      </w:r>
      <w:r>
        <w:t>seconded,</w:t>
      </w:r>
      <w:r>
        <w:rPr>
          <w:spacing w:val="38"/>
        </w:rPr>
        <w:t xml:space="preserve"> </w:t>
      </w:r>
      <w:r>
        <w:t>members</w:t>
      </w:r>
      <w:r>
        <w:rPr>
          <w:spacing w:val="38"/>
        </w:rPr>
        <w:t xml:space="preserve"> </w:t>
      </w:r>
      <w:r>
        <w:t>voted</w:t>
      </w:r>
      <w:r>
        <w:rPr>
          <w:spacing w:val="38"/>
        </w:rPr>
        <w:t xml:space="preserve"> </w:t>
      </w:r>
      <w:r>
        <w:t>to</w:t>
      </w:r>
      <w:r>
        <w:rPr>
          <w:spacing w:val="38"/>
        </w:rPr>
        <w:t xml:space="preserve"> </w:t>
      </w:r>
      <w:r>
        <w:t>approve</w:t>
      </w:r>
      <w:r>
        <w:rPr>
          <w:spacing w:val="38"/>
        </w:rPr>
        <w:t xml:space="preserve"> </w:t>
      </w:r>
      <w:r>
        <w:t xml:space="preserve">the December 18, </w:t>
      </w:r>
      <w:proofErr w:type="gramStart"/>
      <w:r>
        <w:t>2020</w:t>
      </w:r>
      <w:proofErr w:type="gramEnd"/>
      <w:r>
        <w:t xml:space="preserve"> meeting minutes.</w:t>
      </w:r>
    </w:p>
    <w:p w14:paraId="1482A882" w14:textId="77777777" w:rsidR="00BD7F0F" w:rsidRDefault="00BD7F0F">
      <w:pPr>
        <w:pStyle w:val="ListParagraph"/>
        <w:sectPr w:rsidR="00BD7F0F">
          <w:type w:val="continuous"/>
          <w:pgSz w:w="12240" w:h="15840"/>
          <w:pgMar w:top="800" w:right="1080" w:bottom="1220" w:left="1080" w:header="0" w:footer="1040" w:gutter="0"/>
          <w:cols w:space="720"/>
        </w:sectPr>
      </w:pPr>
    </w:p>
    <w:p w14:paraId="73874862" w14:textId="77777777" w:rsidR="00BD7F0F" w:rsidRDefault="00000000">
      <w:pPr>
        <w:pStyle w:val="Heading2"/>
        <w:numPr>
          <w:ilvl w:val="0"/>
          <w:numId w:val="1"/>
        </w:numPr>
        <w:tabs>
          <w:tab w:val="left" w:pos="718"/>
        </w:tabs>
        <w:spacing w:before="80"/>
        <w:ind w:left="718" w:hanging="358"/>
      </w:pPr>
      <w:r>
        <w:lastRenderedPageBreak/>
        <w:t>Waiver</w:t>
      </w:r>
      <w:r>
        <w:rPr>
          <w:spacing w:val="-8"/>
        </w:rPr>
        <w:t xml:space="preserve"> </w:t>
      </w:r>
      <w:r>
        <w:rPr>
          <w:spacing w:val="-2"/>
        </w:rPr>
        <w:t>Requests</w:t>
      </w:r>
    </w:p>
    <w:p w14:paraId="27F0CA8B" w14:textId="77777777" w:rsidR="00BD7F0F" w:rsidRDefault="00000000">
      <w:pPr>
        <w:pStyle w:val="ListParagraph"/>
        <w:numPr>
          <w:ilvl w:val="1"/>
          <w:numId w:val="1"/>
        </w:numPr>
        <w:tabs>
          <w:tab w:val="left" w:pos="1439"/>
        </w:tabs>
        <w:spacing w:before="252"/>
        <w:ind w:right="372"/>
      </w:pPr>
      <w:r>
        <w:t>Mr.</w:t>
      </w:r>
      <w:r>
        <w:rPr>
          <w:spacing w:val="-4"/>
        </w:rPr>
        <w:t xml:space="preserve"> </w:t>
      </w:r>
      <w:r>
        <w:t>D’Elia</w:t>
      </w:r>
      <w:r>
        <w:rPr>
          <w:spacing w:val="-4"/>
        </w:rPr>
        <w:t xml:space="preserve"> </w:t>
      </w:r>
      <w:r>
        <w:t>delineated</w:t>
      </w:r>
      <w:r>
        <w:rPr>
          <w:spacing w:val="-4"/>
        </w:rPr>
        <w:t xml:space="preserve"> </w:t>
      </w:r>
      <w:r>
        <w:t>the</w:t>
      </w:r>
      <w:r>
        <w:rPr>
          <w:spacing w:val="-4"/>
        </w:rPr>
        <w:t xml:space="preserve"> </w:t>
      </w:r>
      <w:r>
        <w:t>University</w:t>
      </w:r>
      <w:r>
        <w:rPr>
          <w:spacing w:val="-4"/>
        </w:rPr>
        <w:t xml:space="preserve"> </w:t>
      </w:r>
      <w:r>
        <w:t>of</w:t>
      </w:r>
      <w:r>
        <w:rPr>
          <w:spacing w:val="-4"/>
        </w:rPr>
        <w:t xml:space="preserve"> </w:t>
      </w:r>
      <w:r>
        <w:t>Massachusetts</w:t>
      </w:r>
      <w:r>
        <w:rPr>
          <w:spacing w:val="-5"/>
        </w:rPr>
        <w:t xml:space="preserve"> </w:t>
      </w:r>
      <w:r>
        <w:t>Building</w:t>
      </w:r>
      <w:r>
        <w:rPr>
          <w:spacing w:val="-5"/>
        </w:rPr>
        <w:t xml:space="preserve"> </w:t>
      </w:r>
      <w:r>
        <w:t>Authority’s</w:t>
      </w:r>
      <w:r>
        <w:rPr>
          <w:spacing w:val="-4"/>
        </w:rPr>
        <w:t xml:space="preserve"> </w:t>
      </w:r>
      <w:r>
        <w:t>(the</w:t>
      </w:r>
      <w:r>
        <w:rPr>
          <w:spacing w:val="-4"/>
        </w:rPr>
        <w:t xml:space="preserve"> </w:t>
      </w:r>
      <w:r>
        <w:t>“Authority”) request</w:t>
      </w:r>
      <w:r>
        <w:rPr>
          <w:spacing w:val="-3"/>
        </w:rPr>
        <w:t xml:space="preserve"> </w:t>
      </w:r>
      <w:r>
        <w:t>for</w:t>
      </w:r>
      <w:r>
        <w:rPr>
          <w:spacing w:val="-3"/>
        </w:rPr>
        <w:t xml:space="preserve"> </w:t>
      </w:r>
      <w:r>
        <w:t>a</w:t>
      </w:r>
      <w:r>
        <w:rPr>
          <w:spacing w:val="-3"/>
        </w:rPr>
        <w:t xml:space="preserve"> </w:t>
      </w:r>
      <w:r>
        <w:t>waiver</w:t>
      </w:r>
      <w:r>
        <w:rPr>
          <w:spacing w:val="-3"/>
        </w:rPr>
        <w:t xml:space="preserve"> </w:t>
      </w:r>
      <w:r>
        <w:t>from</w:t>
      </w:r>
      <w:r>
        <w:rPr>
          <w:spacing w:val="-3"/>
        </w:rPr>
        <w:t xml:space="preserve"> </w:t>
      </w:r>
      <w:r>
        <w:t>the</w:t>
      </w:r>
      <w:r>
        <w:rPr>
          <w:spacing w:val="-3"/>
        </w:rPr>
        <w:t xml:space="preserve"> </w:t>
      </w:r>
      <w:r>
        <w:t>presumption</w:t>
      </w:r>
      <w:r>
        <w:rPr>
          <w:spacing w:val="-3"/>
        </w:rPr>
        <w:t xml:space="preserve"> </w:t>
      </w:r>
      <w:r>
        <w:t>of</w:t>
      </w:r>
      <w:r>
        <w:rPr>
          <w:spacing w:val="-3"/>
        </w:rPr>
        <w:t xml:space="preserve"> </w:t>
      </w:r>
      <w:r>
        <w:t>a</w:t>
      </w:r>
      <w:r>
        <w:rPr>
          <w:spacing w:val="-3"/>
        </w:rPr>
        <w:t xml:space="preserve"> </w:t>
      </w:r>
      <w:r>
        <w:t>competitively</w:t>
      </w:r>
      <w:r>
        <w:rPr>
          <w:spacing w:val="-3"/>
        </w:rPr>
        <w:t xml:space="preserve"> </w:t>
      </w:r>
      <w:r>
        <w:t>bid</w:t>
      </w:r>
      <w:r>
        <w:rPr>
          <w:spacing w:val="-3"/>
        </w:rPr>
        <w:t xml:space="preserve"> </w:t>
      </w:r>
      <w:r>
        <w:t>financing</w:t>
      </w:r>
      <w:r>
        <w:rPr>
          <w:spacing w:val="-3"/>
        </w:rPr>
        <w:t xml:space="preserve"> </w:t>
      </w:r>
      <w:r>
        <w:t>for</w:t>
      </w:r>
      <w:r>
        <w:rPr>
          <w:spacing w:val="-3"/>
        </w:rPr>
        <w:t xml:space="preserve"> </w:t>
      </w:r>
      <w:r>
        <w:t>the</w:t>
      </w:r>
      <w:r>
        <w:rPr>
          <w:spacing w:val="-3"/>
        </w:rPr>
        <w:t xml:space="preserve"> </w:t>
      </w:r>
      <w:r>
        <w:t>issuance</w:t>
      </w:r>
      <w:r>
        <w:rPr>
          <w:spacing w:val="-3"/>
        </w:rPr>
        <w:t xml:space="preserve"> </w:t>
      </w:r>
      <w:r>
        <w:t>of bonds in an aggregate principal amount not to exceed $500M. Mr. D’Elia stated that the financing would currently refund up to $400M in variable rate debt and potentially include</w:t>
      </w:r>
    </w:p>
    <w:p w14:paraId="5B97028C" w14:textId="77777777" w:rsidR="00BD7F0F" w:rsidRDefault="00000000">
      <w:pPr>
        <w:pStyle w:val="BodyText"/>
        <w:spacing w:before="1"/>
        <w:ind w:left="1439" w:right="318"/>
      </w:pPr>
      <w:r>
        <w:t>$100M</w:t>
      </w:r>
      <w:r>
        <w:rPr>
          <w:spacing w:val="-4"/>
        </w:rPr>
        <w:t xml:space="preserve"> </w:t>
      </w:r>
      <w:r>
        <w:t>in</w:t>
      </w:r>
      <w:r>
        <w:rPr>
          <w:spacing w:val="-3"/>
        </w:rPr>
        <w:t xml:space="preserve"> </w:t>
      </w:r>
      <w:r>
        <w:t>new</w:t>
      </w:r>
      <w:r>
        <w:rPr>
          <w:spacing w:val="-3"/>
        </w:rPr>
        <w:t xml:space="preserve"> </w:t>
      </w:r>
      <w:r>
        <w:t>money</w:t>
      </w:r>
      <w:r>
        <w:rPr>
          <w:spacing w:val="-3"/>
        </w:rPr>
        <w:t xml:space="preserve"> </w:t>
      </w:r>
      <w:r>
        <w:t>bonds.</w:t>
      </w:r>
      <w:r>
        <w:rPr>
          <w:spacing w:val="-3"/>
        </w:rPr>
        <w:t xml:space="preserve"> </w:t>
      </w:r>
      <w:r>
        <w:t>As</w:t>
      </w:r>
      <w:r>
        <w:rPr>
          <w:spacing w:val="-3"/>
        </w:rPr>
        <w:t xml:space="preserve"> </w:t>
      </w:r>
      <w:r>
        <w:t>stated</w:t>
      </w:r>
      <w:r>
        <w:rPr>
          <w:spacing w:val="-3"/>
        </w:rPr>
        <w:t xml:space="preserve"> </w:t>
      </w:r>
      <w:r>
        <w:t>in</w:t>
      </w:r>
      <w:r>
        <w:rPr>
          <w:spacing w:val="-3"/>
        </w:rPr>
        <w:t xml:space="preserve"> </w:t>
      </w:r>
      <w:r>
        <w:t>the</w:t>
      </w:r>
      <w:r>
        <w:rPr>
          <w:spacing w:val="-3"/>
        </w:rPr>
        <w:t xml:space="preserve"> </w:t>
      </w:r>
      <w:r>
        <w:t>Authority’s</w:t>
      </w:r>
      <w:r>
        <w:rPr>
          <w:spacing w:val="-3"/>
        </w:rPr>
        <w:t xml:space="preserve"> </w:t>
      </w:r>
      <w:r>
        <w:t>memo</w:t>
      </w:r>
      <w:r>
        <w:rPr>
          <w:spacing w:val="-3"/>
        </w:rPr>
        <w:t xml:space="preserve"> </w:t>
      </w:r>
      <w:r>
        <w:t>to</w:t>
      </w:r>
      <w:r>
        <w:rPr>
          <w:spacing w:val="-3"/>
        </w:rPr>
        <w:t xml:space="preserve"> </w:t>
      </w:r>
      <w:r>
        <w:t>the</w:t>
      </w:r>
      <w:r>
        <w:rPr>
          <w:spacing w:val="-3"/>
        </w:rPr>
        <w:t xml:space="preserve"> </w:t>
      </w:r>
      <w:r>
        <w:t>Board,</w:t>
      </w:r>
      <w:r>
        <w:rPr>
          <w:spacing w:val="-3"/>
        </w:rPr>
        <w:t xml:space="preserve"> </w:t>
      </w:r>
      <w:r>
        <w:t>this</w:t>
      </w:r>
      <w:r>
        <w:rPr>
          <w:spacing w:val="-3"/>
        </w:rPr>
        <w:t xml:space="preserve"> </w:t>
      </w:r>
      <w:r>
        <w:t>transaction would also include the termination of certain swaps at a net neutral cost to modest present value savings and would allow the Authority to achieve a more advantageous debt service structure for the University in connection with the refunding bonds. Additionally, Mr. D’Elia noted that the Authority believes it would best obtain optimal pricing for the bonds through a negotiated sale.</w:t>
      </w:r>
    </w:p>
    <w:p w14:paraId="4B499CB6" w14:textId="77777777" w:rsidR="00BD7F0F" w:rsidRDefault="00000000">
      <w:pPr>
        <w:pStyle w:val="BodyText"/>
        <w:spacing w:before="252"/>
        <w:ind w:left="1439"/>
      </w:pPr>
      <w:r>
        <w:t>There</w:t>
      </w:r>
      <w:r>
        <w:rPr>
          <w:spacing w:val="-5"/>
        </w:rPr>
        <w:t xml:space="preserve"> </w:t>
      </w:r>
      <w:r>
        <w:t>were</w:t>
      </w:r>
      <w:r>
        <w:rPr>
          <w:spacing w:val="-4"/>
        </w:rPr>
        <w:t xml:space="preserve"> </w:t>
      </w:r>
      <w:r>
        <w:t>no</w:t>
      </w:r>
      <w:r>
        <w:rPr>
          <w:spacing w:val="-4"/>
        </w:rPr>
        <w:t xml:space="preserve"> </w:t>
      </w:r>
      <w:r>
        <w:t>questions</w:t>
      </w:r>
      <w:r>
        <w:rPr>
          <w:spacing w:val="-5"/>
        </w:rPr>
        <w:t xml:space="preserve"> </w:t>
      </w:r>
      <w:r>
        <w:t>from</w:t>
      </w:r>
      <w:r>
        <w:rPr>
          <w:spacing w:val="-4"/>
        </w:rPr>
        <w:t xml:space="preserve"> </w:t>
      </w:r>
      <w:r>
        <w:t>the</w:t>
      </w:r>
      <w:r>
        <w:rPr>
          <w:spacing w:val="-4"/>
        </w:rPr>
        <w:t xml:space="preserve"> </w:t>
      </w:r>
      <w:r>
        <w:rPr>
          <w:spacing w:val="-2"/>
        </w:rPr>
        <w:t>Board.</w:t>
      </w:r>
    </w:p>
    <w:p w14:paraId="620DC283" w14:textId="77777777" w:rsidR="00BD7F0F" w:rsidRDefault="00BD7F0F">
      <w:pPr>
        <w:pStyle w:val="BodyText"/>
      </w:pPr>
    </w:p>
    <w:p w14:paraId="44EC17F9" w14:textId="77777777" w:rsidR="00BD7F0F" w:rsidRDefault="00000000">
      <w:pPr>
        <w:pStyle w:val="BodyText"/>
        <w:ind w:left="1439" w:right="318"/>
      </w:pPr>
      <w:r>
        <w:t>On a motion from Mr. Andersen, the Board unanimously voted to grant a waiver from the presumption of a competitive, sealed-bid financing with respect to the issuance by the Authority of one or more series of bonds under the Project Trust Agreement in an aggregate principal amount not to exceed $500M, to (a) finance capital projects, (b) refund and/or restructure</w:t>
      </w:r>
      <w:r>
        <w:rPr>
          <w:spacing w:val="-4"/>
        </w:rPr>
        <w:t xml:space="preserve"> </w:t>
      </w:r>
      <w:r>
        <w:t>outstanding</w:t>
      </w:r>
      <w:r>
        <w:rPr>
          <w:spacing w:val="-4"/>
        </w:rPr>
        <w:t xml:space="preserve"> </w:t>
      </w:r>
      <w:r>
        <w:t>bonds</w:t>
      </w:r>
      <w:r>
        <w:rPr>
          <w:spacing w:val="-4"/>
        </w:rPr>
        <w:t xml:space="preserve"> </w:t>
      </w:r>
      <w:r>
        <w:t>of</w:t>
      </w:r>
      <w:r>
        <w:rPr>
          <w:spacing w:val="-4"/>
        </w:rPr>
        <w:t xml:space="preserve"> </w:t>
      </w:r>
      <w:r>
        <w:t>the</w:t>
      </w:r>
      <w:r>
        <w:rPr>
          <w:spacing w:val="-4"/>
        </w:rPr>
        <w:t xml:space="preserve"> </w:t>
      </w:r>
      <w:r>
        <w:t>Authority,</w:t>
      </w:r>
      <w:r>
        <w:rPr>
          <w:spacing w:val="-4"/>
        </w:rPr>
        <w:t xml:space="preserve"> </w:t>
      </w:r>
      <w:r>
        <w:t>(c)</w:t>
      </w:r>
      <w:r>
        <w:rPr>
          <w:spacing w:val="-4"/>
        </w:rPr>
        <w:t xml:space="preserve"> </w:t>
      </w:r>
      <w:r>
        <w:t>terminate</w:t>
      </w:r>
      <w:r>
        <w:rPr>
          <w:spacing w:val="-4"/>
        </w:rPr>
        <w:t xml:space="preserve"> </w:t>
      </w:r>
      <w:r>
        <w:t>swaps</w:t>
      </w:r>
      <w:r>
        <w:rPr>
          <w:spacing w:val="-4"/>
        </w:rPr>
        <w:t xml:space="preserve"> </w:t>
      </w:r>
      <w:r>
        <w:t>associated</w:t>
      </w:r>
      <w:r>
        <w:rPr>
          <w:spacing w:val="-4"/>
        </w:rPr>
        <w:t xml:space="preserve"> </w:t>
      </w:r>
      <w:r>
        <w:t>with</w:t>
      </w:r>
      <w:r>
        <w:rPr>
          <w:spacing w:val="-4"/>
        </w:rPr>
        <w:t xml:space="preserve"> </w:t>
      </w:r>
      <w:r>
        <w:t>certain</w:t>
      </w:r>
      <w:r>
        <w:rPr>
          <w:spacing w:val="-4"/>
        </w:rPr>
        <w:t xml:space="preserve"> </w:t>
      </w:r>
      <w:r>
        <w:t xml:space="preserve">of the refunded bonds, and (d) pay costs of issuance related to issuing the bonds, and that the Authority be authorized to sell such bonds on a negotiated basis not later than August 17, </w:t>
      </w:r>
      <w:r>
        <w:rPr>
          <w:spacing w:val="-2"/>
        </w:rPr>
        <w:t>2021.</w:t>
      </w:r>
    </w:p>
    <w:p w14:paraId="30607304" w14:textId="77777777" w:rsidR="00BD7F0F" w:rsidRDefault="00BD7F0F">
      <w:pPr>
        <w:pStyle w:val="BodyText"/>
      </w:pPr>
    </w:p>
    <w:p w14:paraId="7F2925D5" w14:textId="77777777" w:rsidR="00BD7F0F" w:rsidRDefault="00BD7F0F">
      <w:pPr>
        <w:pStyle w:val="BodyText"/>
      </w:pPr>
    </w:p>
    <w:p w14:paraId="689D6439" w14:textId="77777777" w:rsidR="00BD7F0F" w:rsidRDefault="00000000">
      <w:pPr>
        <w:pStyle w:val="Heading2"/>
        <w:numPr>
          <w:ilvl w:val="0"/>
          <w:numId w:val="1"/>
        </w:numPr>
        <w:tabs>
          <w:tab w:val="left" w:pos="717"/>
        </w:tabs>
        <w:ind w:left="717" w:hanging="358"/>
      </w:pPr>
      <w:r>
        <w:t>Derivative</w:t>
      </w:r>
      <w:r>
        <w:rPr>
          <w:spacing w:val="-10"/>
        </w:rPr>
        <w:t xml:space="preserve"> </w:t>
      </w:r>
      <w:r>
        <w:rPr>
          <w:spacing w:val="-2"/>
        </w:rPr>
        <w:t>Reviews</w:t>
      </w:r>
    </w:p>
    <w:p w14:paraId="791AC4AE" w14:textId="77777777" w:rsidR="00BD7F0F" w:rsidRDefault="00BD7F0F">
      <w:pPr>
        <w:pStyle w:val="BodyText"/>
        <w:rPr>
          <w:b/>
        </w:rPr>
      </w:pPr>
    </w:p>
    <w:p w14:paraId="12F84F95" w14:textId="77777777" w:rsidR="00BD7F0F" w:rsidRDefault="00000000">
      <w:pPr>
        <w:pStyle w:val="ListParagraph"/>
        <w:numPr>
          <w:ilvl w:val="1"/>
          <w:numId w:val="1"/>
        </w:numPr>
        <w:tabs>
          <w:tab w:val="left" w:pos="1439"/>
        </w:tabs>
        <w:ind w:right="388"/>
      </w:pPr>
      <w:r>
        <w:t>The Board then reviewed the Authority’s proposed termination of swaps associated with certain of the refunded bonds referenced above. As stated in the memo to the Authority from its</w:t>
      </w:r>
      <w:r>
        <w:rPr>
          <w:spacing w:val="-4"/>
        </w:rPr>
        <w:t xml:space="preserve"> </w:t>
      </w:r>
      <w:r>
        <w:t>financial</w:t>
      </w:r>
      <w:r>
        <w:rPr>
          <w:spacing w:val="-4"/>
        </w:rPr>
        <w:t xml:space="preserve"> </w:t>
      </w:r>
      <w:r>
        <w:t>advisor,</w:t>
      </w:r>
      <w:r>
        <w:rPr>
          <w:spacing w:val="-4"/>
        </w:rPr>
        <w:t xml:space="preserve"> </w:t>
      </w:r>
      <w:proofErr w:type="spellStart"/>
      <w:r>
        <w:t>Omnicap</w:t>
      </w:r>
      <w:proofErr w:type="spellEnd"/>
      <w:r>
        <w:t>,</w:t>
      </w:r>
      <w:r>
        <w:rPr>
          <w:spacing w:val="-4"/>
        </w:rPr>
        <w:t xml:space="preserve"> </w:t>
      </w:r>
      <w:r>
        <w:t>the</w:t>
      </w:r>
      <w:r>
        <w:rPr>
          <w:spacing w:val="-4"/>
        </w:rPr>
        <w:t xml:space="preserve"> </w:t>
      </w:r>
      <w:r>
        <w:t>swap</w:t>
      </w:r>
      <w:r>
        <w:rPr>
          <w:spacing w:val="-2"/>
        </w:rPr>
        <w:t xml:space="preserve"> </w:t>
      </w:r>
      <w:r>
        <w:t>terminations</w:t>
      </w:r>
      <w:r>
        <w:rPr>
          <w:spacing w:val="-4"/>
        </w:rPr>
        <w:t xml:space="preserve"> </w:t>
      </w:r>
      <w:r>
        <w:t>present</w:t>
      </w:r>
      <w:r>
        <w:rPr>
          <w:spacing w:val="-4"/>
        </w:rPr>
        <w:t xml:space="preserve"> </w:t>
      </w:r>
      <w:r>
        <w:t>the</w:t>
      </w:r>
      <w:r>
        <w:rPr>
          <w:spacing w:val="-4"/>
        </w:rPr>
        <w:t xml:space="preserve"> </w:t>
      </w:r>
      <w:r>
        <w:t>Authority</w:t>
      </w:r>
      <w:r>
        <w:rPr>
          <w:spacing w:val="-4"/>
        </w:rPr>
        <w:t xml:space="preserve"> </w:t>
      </w:r>
      <w:r>
        <w:t>the</w:t>
      </w:r>
      <w:r>
        <w:rPr>
          <w:spacing w:val="-4"/>
        </w:rPr>
        <w:t xml:space="preserve"> </w:t>
      </w:r>
      <w:r>
        <w:t>opportunity</w:t>
      </w:r>
      <w:r>
        <w:rPr>
          <w:spacing w:val="-4"/>
        </w:rPr>
        <w:t xml:space="preserve"> </w:t>
      </w:r>
      <w:r>
        <w:t>to refund the underlying variable rate debt with tax-exempt fixed-rate bonds. The variable rate debt to be currently refunded, according to the memo, includes the Authority’s $16,050,000 Series 2008-A Bonds, $145,515,000 Series 2008-1 Bonds, and $196,855,000 Series 2011 Bonds. Additionally, the combined swap terminations and refunding bonds would mitigate risks associated with the Authority’s variable rate debt portfolio and swap portfolio at a net neutral cost to small present value benefit, which is consistent with the Authority’s Debt Management and Interest Rate Swap Policies.</w:t>
      </w:r>
    </w:p>
    <w:p w14:paraId="5B11D115" w14:textId="77777777" w:rsidR="00BD7F0F" w:rsidRDefault="00BD7F0F">
      <w:pPr>
        <w:pStyle w:val="BodyText"/>
      </w:pPr>
    </w:p>
    <w:p w14:paraId="558EF72F" w14:textId="77777777" w:rsidR="00BD7F0F" w:rsidRDefault="00000000">
      <w:pPr>
        <w:pStyle w:val="BodyText"/>
        <w:ind w:left="1439" w:right="385"/>
      </w:pPr>
      <w:r>
        <w:t xml:space="preserve">Chair German requested further background on the analysis of other alternatives for the swaps, as was briefly mentioned in </w:t>
      </w:r>
      <w:proofErr w:type="spellStart"/>
      <w:r>
        <w:t>Omnicap’s</w:t>
      </w:r>
      <w:proofErr w:type="spellEnd"/>
      <w:r>
        <w:t xml:space="preserve"> memo to the Authority. Mr. Smith responded that the alternatives were relatively basic—keep the swaps or amend the swaps. Mr. Smith stated that when the Authority </w:t>
      </w:r>
      <w:proofErr w:type="gramStart"/>
      <w:r>
        <w:t>entered into</w:t>
      </w:r>
      <w:proofErr w:type="gramEnd"/>
      <w:r>
        <w:t xml:space="preserve"> the swaps in 2006 and 2008, it was a completely different</w:t>
      </w:r>
      <w:r>
        <w:rPr>
          <w:spacing w:val="-3"/>
        </w:rPr>
        <w:t xml:space="preserve"> </w:t>
      </w:r>
      <w:r>
        <w:t>interest</w:t>
      </w:r>
      <w:r>
        <w:rPr>
          <w:spacing w:val="-3"/>
        </w:rPr>
        <w:t xml:space="preserve"> </w:t>
      </w:r>
      <w:r>
        <w:t>rate</w:t>
      </w:r>
      <w:r>
        <w:rPr>
          <w:spacing w:val="-2"/>
        </w:rPr>
        <w:t xml:space="preserve"> </w:t>
      </w:r>
      <w:r>
        <w:t>market,</w:t>
      </w:r>
      <w:r>
        <w:rPr>
          <w:spacing w:val="-3"/>
        </w:rPr>
        <w:t xml:space="preserve"> </w:t>
      </w:r>
      <w:r>
        <w:t>and</w:t>
      </w:r>
      <w:r>
        <w:rPr>
          <w:spacing w:val="-3"/>
        </w:rPr>
        <w:t xml:space="preserve"> </w:t>
      </w:r>
      <w:r>
        <w:t>current</w:t>
      </w:r>
      <w:r>
        <w:rPr>
          <w:spacing w:val="-3"/>
        </w:rPr>
        <w:t xml:space="preserve"> </w:t>
      </w:r>
      <w:r>
        <w:t>fixed</w:t>
      </w:r>
      <w:r>
        <w:rPr>
          <w:spacing w:val="-3"/>
        </w:rPr>
        <w:t xml:space="preserve"> </w:t>
      </w:r>
      <w:r>
        <w:t>rates</w:t>
      </w:r>
      <w:r>
        <w:rPr>
          <w:spacing w:val="-3"/>
        </w:rPr>
        <w:t xml:space="preserve"> </w:t>
      </w:r>
      <w:r>
        <w:t>are</w:t>
      </w:r>
      <w:r>
        <w:rPr>
          <w:spacing w:val="-3"/>
        </w:rPr>
        <w:t xml:space="preserve"> </w:t>
      </w:r>
      <w:r>
        <w:t>much</w:t>
      </w:r>
      <w:r>
        <w:rPr>
          <w:spacing w:val="-3"/>
        </w:rPr>
        <w:t xml:space="preserve"> </w:t>
      </w:r>
      <w:r>
        <w:t>lower.</w:t>
      </w:r>
      <w:r>
        <w:rPr>
          <w:spacing w:val="-3"/>
        </w:rPr>
        <w:t xml:space="preserve"> </w:t>
      </w:r>
      <w:r>
        <w:t>Additionally,</w:t>
      </w:r>
      <w:r>
        <w:rPr>
          <w:spacing w:val="-3"/>
        </w:rPr>
        <w:t xml:space="preserve"> </w:t>
      </w:r>
      <w:r>
        <w:t>Mr.</w:t>
      </w:r>
      <w:r>
        <w:rPr>
          <w:spacing w:val="-3"/>
        </w:rPr>
        <w:t xml:space="preserve"> </w:t>
      </w:r>
      <w:r>
        <w:t xml:space="preserve">Smith explained, LIBOR is due to be phased out in 2023, so the Authority would be required to amend the swaps before then and tie them to the new indices that replace LIBOR. Mr. Smith further explained, most of the underlying debt that the swaps hedge </w:t>
      </w:r>
      <w:proofErr w:type="gramStart"/>
      <w:r>
        <w:t>are</w:t>
      </w:r>
      <w:proofErr w:type="gramEnd"/>
      <w:r>
        <w:t xml:space="preserve"> variable rate, but are based on the SIFMA index, not LIBOR (this created a large amount of basis risk), and this transaction would eliminate such risk. One final alternative, according to Mr. Smith, would</w:t>
      </w:r>
      <w:r>
        <w:rPr>
          <w:spacing w:val="40"/>
        </w:rPr>
        <w:t xml:space="preserve"> </w:t>
      </w:r>
      <w:r>
        <w:t>be to amend the swaps to eliminate the LIBOR index and change it to SIFMA, and unfortunately, the cost of this alternative would not be favorable for the Authority.</w:t>
      </w:r>
    </w:p>
    <w:p w14:paraId="68AD96C5" w14:textId="77777777" w:rsidR="00BD7F0F" w:rsidRDefault="00BD7F0F">
      <w:pPr>
        <w:pStyle w:val="BodyText"/>
        <w:sectPr w:rsidR="00BD7F0F">
          <w:pgSz w:w="12240" w:h="15840"/>
          <w:pgMar w:top="1360" w:right="1080" w:bottom="1220" w:left="1080" w:header="0" w:footer="1040" w:gutter="0"/>
          <w:cols w:space="720"/>
        </w:sectPr>
      </w:pPr>
    </w:p>
    <w:p w14:paraId="667DF575" w14:textId="77777777" w:rsidR="00BD7F0F" w:rsidRDefault="00000000">
      <w:pPr>
        <w:pStyle w:val="BodyText"/>
        <w:spacing w:before="73"/>
        <w:ind w:left="1440" w:right="356"/>
        <w:jc w:val="both"/>
      </w:pPr>
      <w:r>
        <w:lastRenderedPageBreak/>
        <w:t>Chair German then noted that the proposed transaction comes at a net neutral cost, and Mr. Smith confirmed.</w:t>
      </w:r>
    </w:p>
    <w:p w14:paraId="093E66F1" w14:textId="77777777" w:rsidR="00BD7F0F" w:rsidRDefault="00000000">
      <w:pPr>
        <w:pStyle w:val="BodyText"/>
        <w:spacing w:before="252"/>
        <w:ind w:left="1440"/>
        <w:jc w:val="both"/>
      </w:pPr>
      <w:r>
        <w:t>There</w:t>
      </w:r>
      <w:r>
        <w:rPr>
          <w:spacing w:val="-5"/>
        </w:rPr>
        <w:t xml:space="preserve"> </w:t>
      </w:r>
      <w:r>
        <w:t>were</w:t>
      </w:r>
      <w:r>
        <w:rPr>
          <w:spacing w:val="-5"/>
        </w:rPr>
        <w:t xml:space="preserve"> </w:t>
      </w:r>
      <w:r>
        <w:t>no</w:t>
      </w:r>
      <w:r>
        <w:rPr>
          <w:spacing w:val="-4"/>
        </w:rPr>
        <w:t xml:space="preserve"> </w:t>
      </w:r>
      <w:r>
        <w:t>further</w:t>
      </w:r>
      <w:r>
        <w:rPr>
          <w:spacing w:val="-5"/>
        </w:rPr>
        <w:t xml:space="preserve"> </w:t>
      </w:r>
      <w:r>
        <w:t>questions</w:t>
      </w:r>
      <w:r>
        <w:rPr>
          <w:spacing w:val="-4"/>
        </w:rPr>
        <w:t xml:space="preserve"> </w:t>
      </w:r>
      <w:r>
        <w:t>from</w:t>
      </w:r>
      <w:r>
        <w:rPr>
          <w:spacing w:val="-5"/>
        </w:rPr>
        <w:t xml:space="preserve"> </w:t>
      </w:r>
      <w:r>
        <w:t>the</w:t>
      </w:r>
      <w:r>
        <w:rPr>
          <w:spacing w:val="-4"/>
        </w:rPr>
        <w:t xml:space="preserve"> </w:t>
      </w:r>
      <w:r>
        <w:rPr>
          <w:spacing w:val="-2"/>
        </w:rPr>
        <w:t>Board.</w:t>
      </w:r>
    </w:p>
    <w:p w14:paraId="39FFF26F" w14:textId="77777777" w:rsidR="00BD7F0F" w:rsidRDefault="00BD7F0F">
      <w:pPr>
        <w:pStyle w:val="BodyText"/>
      </w:pPr>
    </w:p>
    <w:p w14:paraId="2B045FB9" w14:textId="77777777" w:rsidR="00BD7F0F" w:rsidRDefault="00000000">
      <w:pPr>
        <w:pStyle w:val="BodyText"/>
        <w:spacing w:before="1"/>
        <w:ind w:left="1439" w:right="357"/>
        <w:jc w:val="both"/>
      </w:pPr>
      <w:r>
        <w:t>On a motion from Mr. Andersen, the Board unanimously voted it had received satisfactory information regarding the proposed Authority’s transactions involving termination of derivative financial products by Authority and deemed the submission (</w:t>
      </w:r>
      <w:proofErr w:type="spellStart"/>
      <w:r>
        <w:t>i</w:t>
      </w:r>
      <w:proofErr w:type="spellEnd"/>
      <w:r>
        <w:t>) consistent with the purpose and intent of Sections 97 and 98 of Chapter 6 of the Massachusetts General Laws (“Chapter 6”) and regulations promulgated thereunder and (ii) reviewed with no additional conclusions required. The Board further concluded that the items required to be submitted to the Board pursuant to Chapter 6 and any regulations promulgated thereunder have been submitted in a manner consistent with the regulations.</w:t>
      </w:r>
    </w:p>
    <w:p w14:paraId="61D8F60D" w14:textId="77777777" w:rsidR="00BD7F0F" w:rsidRDefault="00BD7F0F">
      <w:pPr>
        <w:pStyle w:val="BodyText"/>
        <w:spacing w:before="252"/>
      </w:pPr>
    </w:p>
    <w:p w14:paraId="5B643341" w14:textId="77777777" w:rsidR="00BD7F0F" w:rsidRDefault="00000000">
      <w:pPr>
        <w:pStyle w:val="Heading2"/>
        <w:numPr>
          <w:ilvl w:val="0"/>
          <w:numId w:val="1"/>
        </w:numPr>
        <w:tabs>
          <w:tab w:val="left" w:pos="717"/>
        </w:tabs>
        <w:ind w:left="717" w:hanging="358"/>
      </w:pPr>
      <w:r>
        <w:t>Closed</w:t>
      </w:r>
      <w:r>
        <w:rPr>
          <w:spacing w:val="-10"/>
        </w:rPr>
        <w:t xml:space="preserve"> </w:t>
      </w:r>
      <w:r>
        <w:t>Transactions/Bond</w:t>
      </w:r>
      <w:r>
        <w:rPr>
          <w:spacing w:val="-9"/>
        </w:rPr>
        <w:t xml:space="preserve"> </w:t>
      </w:r>
      <w:r>
        <w:t>Sale</w:t>
      </w:r>
      <w:r>
        <w:rPr>
          <w:spacing w:val="-10"/>
        </w:rPr>
        <w:t xml:space="preserve"> </w:t>
      </w:r>
      <w:r>
        <w:rPr>
          <w:spacing w:val="-2"/>
        </w:rPr>
        <w:t>Reviews:</w:t>
      </w:r>
    </w:p>
    <w:p w14:paraId="2E0F18FC" w14:textId="77777777" w:rsidR="00BD7F0F" w:rsidRDefault="00000000">
      <w:pPr>
        <w:pStyle w:val="ListParagraph"/>
        <w:numPr>
          <w:ilvl w:val="1"/>
          <w:numId w:val="1"/>
        </w:numPr>
        <w:tabs>
          <w:tab w:val="left" w:pos="1439"/>
        </w:tabs>
        <w:spacing w:before="253"/>
        <w:ind w:hanging="500"/>
        <w:rPr>
          <w:i/>
        </w:rPr>
      </w:pPr>
      <w:r>
        <w:rPr>
          <w:i/>
        </w:rPr>
        <w:t>No</w:t>
      </w:r>
      <w:r>
        <w:rPr>
          <w:i/>
          <w:spacing w:val="-7"/>
        </w:rPr>
        <w:t xml:space="preserve"> </w:t>
      </w:r>
      <w:r>
        <w:rPr>
          <w:i/>
        </w:rPr>
        <w:t>discussion</w:t>
      </w:r>
      <w:r>
        <w:rPr>
          <w:i/>
          <w:spacing w:val="-6"/>
        </w:rPr>
        <w:t xml:space="preserve"> </w:t>
      </w:r>
      <w:r>
        <w:rPr>
          <w:i/>
        </w:rPr>
        <w:t>matters</w:t>
      </w:r>
      <w:r>
        <w:rPr>
          <w:i/>
          <w:spacing w:val="-6"/>
        </w:rPr>
        <w:t xml:space="preserve"> </w:t>
      </w:r>
      <w:r>
        <w:rPr>
          <w:i/>
          <w:spacing w:val="-2"/>
        </w:rPr>
        <w:t>scheduled.</w:t>
      </w:r>
    </w:p>
    <w:p w14:paraId="143E4342" w14:textId="77777777" w:rsidR="00BD7F0F" w:rsidRDefault="00BD7F0F">
      <w:pPr>
        <w:pStyle w:val="BodyText"/>
        <w:rPr>
          <w:i/>
        </w:rPr>
      </w:pPr>
    </w:p>
    <w:p w14:paraId="33A6E7EF" w14:textId="77777777" w:rsidR="00BD7F0F" w:rsidRDefault="00BD7F0F">
      <w:pPr>
        <w:pStyle w:val="BodyText"/>
        <w:rPr>
          <w:i/>
        </w:rPr>
      </w:pPr>
    </w:p>
    <w:p w14:paraId="251C9511" w14:textId="77777777" w:rsidR="00BD7F0F" w:rsidRDefault="00000000">
      <w:pPr>
        <w:pStyle w:val="Heading2"/>
        <w:numPr>
          <w:ilvl w:val="0"/>
          <w:numId w:val="1"/>
        </w:numPr>
        <w:tabs>
          <w:tab w:val="left" w:pos="717"/>
        </w:tabs>
        <w:ind w:left="717" w:hanging="358"/>
      </w:pPr>
      <w:r>
        <w:t>Discussion</w:t>
      </w:r>
      <w:r>
        <w:rPr>
          <w:spacing w:val="-7"/>
        </w:rPr>
        <w:t xml:space="preserve"> </w:t>
      </w:r>
      <w:r>
        <w:t>on</w:t>
      </w:r>
      <w:r>
        <w:rPr>
          <w:spacing w:val="-6"/>
        </w:rPr>
        <w:t xml:space="preserve"> </w:t>
      </w:r>
      <w:r>
        <w:t>Board</w:t>
      </w:r>
      <w:r>
        <w:rPr>
          <w:spacing w:val="-6"/>
        </w:rPr>
        <w:t xml:space="preserve"> </w:t>
      </w:r>
      <w:r>
        <w:rPr>
          <w:spacing w:val="-2"/>
        </w:rPr>
        <w:t>Activities</w:t>
      </w:r>
    </w:p>
    <w:p w14:paraId="548F6D77" w14:textId="77777777" w:rsidR="00BD7F0F" w:rsidRDefault="00BD7F0F">
      <w:pPr>
        <w:pStyle w:val="BodyText"/>
        <w:rPr>
          <w:b/>
        </w:rPr>
      </w:pPr>
    </w:p>
    <w:p w14:paraId="1D67423A" w14:textId="77777777" w:rsidR="00BD7F0F" w:rsidRDefault="00000000">
      <w:pPr>
        <w:pStyle w:val="ListParagraph"/>
        <w:numPr>
          <w:ilvl w:val="1"/>
          <w:numId w:val="1"/>
        </w:numPr>
        <w:tabs>
          <w:tab w:val="left" w:pos="1437"/>
          <w:tab w:val="left" w:pos="1439"/>
        </w:tabs>
        <w:spacing w:before="1"/>
        <w:ind w:right="356"/>
        <w:jc w:val="both"/>
      </w:pPr>
      <w:r>
        <w:t>With</w:t>
      </w:r>
      <w:r>
        <w:rPr>
          <w:spacing w:val="-2"/>
        </w:rPr>
        <w:t xml:space="preserve"> </w:t>
      </w:r>
      <w:r>
        <w:t>respect to</w:t>
      </w:r>
      <w:r>
        <w:rPr>
          <w:spacing w:val="-2"/>
        </w:rPr>
        <w:t xml:space="preserve"> </w:t>
      </w:r>
      <w:r>
        <w:t>the</w:t>
      </w:r>
      <w:r>
        <w:rPr>
          <w:spacing w:val="-2"/>
        </w:rPr>
        <w:t xml:space="preserve"> </w:t>
      </w:r>
      <w:r>
        <w:t>FY20</w:t>
      </w:r>
      <w:r>
        <w:rPr>
          <w:spacing w:val="-2"/>
        </w:rPr>
        <w:t xml:space="preserve"> </w:t>
      </w:r>
      <w:r>
        <w:t>Annual</w:t>
      </w:r>
      <w:r>
        <w:rPr>
          <w:spacing w:val="-1"/>
        </w:rPr>
        <w:t xml:space="preserve"> </w:t>
      </w:r>
      <w:r>
        <w:t>Report,</w:t>
      </w:r>
      <w:r>
        <w:rPr>
          <w:spacing w:val="-2"/>
        </w:rPr>
        <w:t xml:space="preserve"> </w:t>
      </w:r>
      <w:r>
        <w:t>Chair</w:t>
      </w:r>
      <w:r>
        <w:rPr>
          <w:spacing w:val="-2"/>
        </w:rPr>
        <w:t xml:space="preserve"> </w:t>
      </w:r>
      <w:r>
        <w:t>German</w:t>
      </w:r>
      <w:r>
        <w:rPr>
          <w:spacing w:val="-2"/>
        </w:rPr>
        <w:t xml:space="preserve"> </w:t>
      </w:r>
      <w:r>
        <w:t>outlined</w:t>
      </w:r>
      <w:r>
        <w:rPr>
          <w:spacing w:val="-2"/>
        </w:rPr>
        <w:t xml:space="preserve"> </w:t>
      </w:r>
      <w:r>
        <w:t>next</w:t>
      </w:r>
      <w:r>
        <w:rPr>
          <w:spacing w:val="-1"/>
        </w:rPr>
        <w:t xml:space="preserve"> </w:t>
      </w:r>
      <w:r>
        <w:t>steps</w:t>
      </w:r>
      <w:r>
        <w:rPr>
          <w:spacing w:val="-1"/>
        </w:rPr>
        <w:t xml:space="preserve"> </w:t>
      </w:r>
      <w:r>
        <w:t>for</w:t>
      </w:r>
      <w:r>
        <w:rPr>
          <w:spacing w:val="-1"/>
        </w:rPr>
        <w:t xml:space="preserve"> </w:t>
      </w:r>
      <w:r>
        <w:t>the</w:t>
      </w:r>
      <w:r>
        <w:rPr>
          <w:spacing w:val="-1"/>
        </w:rPr>
        <w:t xml:space="preserve"> </w:t>
      </w:r>
      <w:r>
        <w:t>Board:</w:t>
      </w:r>
      <w:r>
        <w:rPr>
          <w:spacing w:val="-1"/>
        </w:rPr>
        <w:t xml:space="preserve"> </w:t>
      </w:r>
      <w:proofErr w:type="gramStart"/>
      <w:r>
        <w:t>the</w:t>
      </w:r>
      <w:proofErr w:type="gramEnd"/>
      <w:r>
        <w:t xml:space="preserve"> Board Secretary would convene a working group to meet and review the draft report circulated earlier this week. The Board Secretary agreed to schedule such a meeting. Ms. Perez</w:t>
      </w:r>
      <w:r>
        <w:rPr>
          <w:spacing w:val="-2"/>
        </w:rPr>
        <w:t xml:space="preserve"> </w:t>
      </w:r>
      <w:r>
        <w:t>noted</w:t>
      </w:r>
      <w:r>
        <w:rPr>
          <w:spacing w:val="-2"/>
        </w:rPr>
        <w:t xml:space="preserve"> </w:t>
      </w:r>
      <w:r>
        <w:t>that</w:t>
      </w:r>
      <w:r>
        <w:rPr>
          <w:spacing w:val="-2"/>
        </w:rPr>
        <w:t xml:space="preserve"> </w:t>
      </w:r>
      <w:r>
        <w:t>there</w:t>
      </w:r>
      <w:r>
        <w:rPr>
          <w:spacing w:val="-2"/>
        </w:rPr>
        <w:t xml:space="preserve"> </w:t>
      </w:r>
      <w:r>
        <w:t>were</w:t>
      </w:r>
      <w:r>
        <w:rPr>
          <w:spacing w:val="-3"/>
        </w:rPr>
        <w:t xml:space="preserve"> </w:t>
      </w:r>
      <w:r>
        <w:t>references</w:t>
      </w:r>
      <w:r>
        <w:rPr>
          <w:spacing w:val="-2"/>
        </w:rPr>
        <w:t xml:space="preserve"> </w:t>
      </w:r>
      <w:r>
        <w:t>to</w:t>
      </w:r>
      <w:r>
        <w:rPr>
          <w:spacing w:val="-2"/>
        </w:rPr>
        <w:t xml:space="preserve"> </w:t>
      </w:r>
      <w:r>
        <w:t>the</w:t>
      </w:r>
      <w:r>
        <w:rPr>
          <w:spacing w:val="-2"/>
        </w:rPr>
        <w:t xml:space="preserve"> </w:t>
      </w:r>
      <w:r>
        <w:t>earlier FY18</w:t>
      </w:r>
      <w:r>
        <w:rPr>
          <w:spacing w:val="-2"/>
        </w:rPr>
        <w:t xml:space="preserve"> </w:t>
      </w:r>
      <w:r>
        <w:t>and</w:t>
      </w:r>
      <w:r>
        <w:rPr>
          <w:spacing w:val="-3"/>
        </w:rPr>
        <w:t xml:space="preserve"> </w:t>
      </w:r>
      <w:r>
        <w:t>FY19</w:t>
      </w:r>
      <w:r>
        <w:rPr>
          <w:spacing w:val="-2"/>
        </w:rPr>
        <w:t xml:space="preserve"> </w:t>
      </w:r>
      <w:r>
        <w:t>report</w:t>
      </w:r>
      <w:r>
        <w:rPr>
          <w:spacing w:val="-2"/>
        </w:rPr>
        <w:t xml:space="preserve"> </w:t>
      </w:r>
      <w:r>
        <w:t>that</w:t>
      </w:r>
      <w:r>
        <w:rPr>
          <w:spacing w:val="-2"/>
        </w:rPr>
        <w:t xml:space="preserve"> </w:t>
      </w:r>
      <w:r>
        <w:t>would</w:t>
      </w:r>
      <w:r>
        <w:rPr>
          <w:spacing w:val="-2"/>
        </w:rPr>
        <w:t xml:space="preserve"> </w:t>
      </w:r>
      <w:r>
        <w:t>need</w:t>
      </w:r>
      <w:r>
        <w:rPr>
          <w:spacing w:val="-2"/>
        </w:rPr>
        <w:t xml:space="preserve"> </w:t>
      </w:r>
      <w:r>
        <w:t xml:space="preserve">to be updated and that the links at the end of the report would need to be fixed. The </w:t>
      </w:r>
      <w:proofErr w:type="gramStart"/>
      <w:r>
        <w:t>Board</w:t>
      </w:r>
      <w:proofErr w:type="gramEnd"/>
      <w:r>
        <w:t xml:space="preserve"> Secretary </w:t>
      </w:r>
      <w:proofErr w:type="gramStart"/>
      <w:r>
        <w:t>agreed</w:t>
      </w:r>
      <w:proofErr w:type="gramEnd"/>
      <w:r>
        <w:t xml:space="preserve"> to make these changes.</w:t>
      </w:r>
    </w:p>
    <w:p w14:paraId="1D64764D" w14:textId="77777777" w:rsidR="00BD7F0F" w:rsidRDefault="00000000">
      <w:pPr>
        <w:pStyle w:val="ListParagraph"/>
        <w:numPr>
          <w:ilvl w:val="1"/>
          <w:numId w:val="1"/>
        </w:numPr>
        <w:tabs>
          <w:tab w:val="left" w:pos="1436"/>
          <w:tab w:val="left" w:pos="1439"/>
        </w:tabs>
        <w:spacing w:before="252"/>
        <w:ind w:right="357" w:hanging="587"/>
        <w:jc w:val="both"/>
      </w:pPr>
      <w:r>
        <w:t>The Board Secretary then asked the Board how to proceed regarding the future cadence of meetings, given the need to move the time around for various Board members in recent months and moving forward. The Board agreed that keeping the prior cadence date-wise (the third Thursday of the month) would work best, but to adjust the</w:t>
      </w:r>
      <w:r>
        <w:rPr>
          <w:spacing w:val="-2"/>
        </w:rPr>
        <w:t xml:space="preserve"> </w:t>
      </w:r>
      <w:r>
        <w:t>time to 11am instead of 3pm.</w:t>
      </w:r>
    </w:p>
    <w:p w14:paraId="321B2989" w14:textId="77777777" w:rsidR="00BD7F0F" w:rsidRDefault="00BD7F0F">
      <w:pPr>
        <w:pStyle w:val="BodyText"/>
      </w:pPr>
    </w:p>
    <w:p w14:paraId="57154423" w14:textId="77777777" w:rsidR="00BD7F0F" w:rsidRDefault="00BD7F0F">
      <w:pPr>
        <w:pStyle w:val="BodyText"/>
      </w:pPr>
    </w:p>
    <w:p w14:paraId="65E3C49C" w14:textId="77777777" w:rsidR="00BD7F0F" w:rsidRDefault="00000000">
      <w:pPr>
        <w:pStyle w:val="Heading2"/>
        <w:numPr>
          <w:ilvl w:val="0"/>
          <w:numId w:val="1"/>
        </w:numPr>
        <w:tabs>
          <w:tab w:val="left" w:pos="717"/>
        </w:tabs>
        <w:ind w:left="717" w:hanging="358"/>
      </w:pPr>
      <w:r>
        <w:rPr>
          <w:spacing w:val="-2"/>
        </w:rPr>
        <w:t>Adjournment</w:t>
      </w:r>
    </w:p>
    <w:p w14:paraId="6DFA82F7" w14:textId="77777777" w:rsidR="00BD7F0F" w:rsidRDefault="00BD7F0F">
      <w:pPr>
        <w:pStyle w:val="BodyText"/>
        <w:rPr>
          <w:b/>
        </w:rPr>
      </w:pPr>
    </w:p>
    <w:p w14:paraId="3E7F25F5" w14:textId="77777777" w:rsidR="00BD7F0F" w:rsidRDefault="00000000">
      <w:pPr>
        <w:pStyle w:val="ListParagraph"/>
        <w:numPr>
          <w:ilvl w:val="1"/>
          <w:numId w:val="1"/>
        </w:numPr>
        <w:tabs>
          <w:tab w:val="left" w:pos="1437"/>
          <w:tab w:val="left" w:pos="1439"/>
        </w:tabs>
        <w:ind w:right="357"/>
        <w:jc w:val="both"/>
      </w:pPr>
      <w:r>
        <w:t>On a motion made by Mr. Andersen, and duly seconded, members voted to adjourn. The meeting was adjourned at 3:20pm.</w:t>
      </w:r>
    </w:p>
    <w:p w14:paraId="2EDFF4F5" w14:textId="77777777" w:rsidR="00BD7F0F" w:rsidRDefault="00BD7F0F">
      <w:pPr>
        <w:pStyle w:val="BodyText"/>
        <w:rPr>
          <w:sz w:val="20"/>
        </w:rPr>
      </w:pPr>
    </w:p>
    <w:p w14:paraId="60C52362" w14:textId="77777777" w:rsidR="00BD7F0F" w:rsidRDefault="00BD7F0F">
      <w:pPr>
        <w:pStyle w:val="BodyText"/>
        <w:rPr>
          <w:sz w:val="20"/>
        </w:rPr>
      </w:pPr>
    </w:p>
    <w:p w14:paraId="05EB5247" w14:textId="77777777" w:rsidR="00BD7F0F" w:rsidRDefault="00BD7F0F">
      <w:pPr>
        <w:pStyle w:val="BodyText"/>
        <w:rPr>
          <w:sz w:val="20"/>
        </w:rPr>
      </w:pPr>
    </w:p>
    <w:p w14:paraId="2FC021F2" w14:textId="77777777" w:rsidR="00BD7F0F" w:rsidRDefault="00000000">
      <w:pPr>
        <w:pStyle w:val="BodyText"/>
        <w:spacing w:before="63"/>
        <w:rPr>
          <w:sz w:val="20"/>
        </w:rPr>
      </w:pPr>
      <w:r>
        <w:rPr>
          <w:noProof/>
          <w:sz w:val="20"/>
        </w:rPr>
        <mc:AlternateContent>
          <mc:Choice Requires="wps">
            <w:drawing>
              <wp:anchor distT="0" distB="0" distL="0" distR="0" simplePos="0" relativeHeight="487588352" behindDoc="1" locked="0" layoutInCell="1" allowOverlap="1" wp14:anchorId="685F8D17" wp14:editId="34B49BD3">
                <wp:simplePos x="0" y="0"/>
                <wp:positionH relativeFrom="page">
                  <wp:posOffset>3925768</wp:posOffset>
                </wp:positionH>
                <wp:positionV relativeFrom="paragraph">
                  <wp:posOffset>201890</wp:posOffset>
                </wp:positionV>
                <wp:extent cx="28746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4645" cy="1270"/>
                        </a:xfrm>
                        <a:custGeom>
                          <a:avLst/>
                          <a:gdLst/>
                          <a:ahLst/>
                          <a:cxnLst/>
                          <a:rect l="l" t="t" r="r" b="b"/>
                          <a:pathLst>
                            <a:path w="2874645">
                              <a:moveTo>
                                <a:pt x="0" y="0"/>
                              </a:moveTo>
                              <a:lnTo>
                                <a:pt x="2874079" y="0"/>
                              </a:lnTo>
                            </a:path>
                          </a:pathLst>
                        </a:custGeom>
                        <a:ln w="557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05EBE0" id="Graphic 3" o:spid="_x0000_s1026" style="position:absolute;margin-left:309.1pt;margin-top:15.9pt;width:226.3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746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" path="m,l2874079,e" filled="f" strokeweight=".15492mm">
                <v:path arrowok="t"/>
                <w10:wrap type="topAndBottom" anchorx="page"/>
              </v:shape>
            </w:pict>
          </mc:Fallback>
        </mc:AlternateContent>
      </w:r>
    </w:p>
    <w:p w14:paraId="78E30492" w14:textId="77777777" w:rsidR="00BD7F0F" w:rsidRDefault="00000000">
      <w:pPr>
        <w:pStyle w:val="BodyText"/>
        <w:ind w:right="357"/>
        <w:jc w:val="right"/>
      </w:pPr>
      <w:r>
        <w:t>William</w:t>
      </w:r>
      <w:r>
        <w:rPr>
          <w:spacing w:val="-8"/>
        </w:rPr>
        <w:t xml:space="preserve"> </w:t>
      </w:r>
      <w:r>
        <w:t>Archibald,</w:t>
      </w:r>
      <w:r>
        <w:rPr>
          <w:spacing w:val="-8"/>
        </w:rPr>
        <w:t xml:space="preserve"> </w:t>
      </w:r>
      <w:r>
        <w:rPr>
          <w:spacing w:val="-2"/>
        </w:rPr>
        <w:t>Secretary</w:t>
      </w:r>
    </w:p>
    <w:sectPr w:rsidR="00BD7F0F">
      <w:pgSz w:w="12240" w:h="15840"/>
      <w:pgMar w:top="1620" w:right="1080" w:bottom="1220" w:left="108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AED7F" w14:textId="77777777" w:rsidR="00685B51" w:rsidRDefault="00685B51">
      <w:r>
        <w:separator/>
      </w:r>
    </w:p>
  </w:endnote>
  <w:endnote w:type="continuationSeparator" w:id="0">
    <w:p w14:paraId="7080CEBD" w14:textId="77777777" w:rsidR="00685B51" w:rsidRDefault="0068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E282" w14:textId="77777777" w:rsidR="00BD7F0F" w:rsidRDefault="00000000">
    <w:pPr>
      <w:pStyle w:val="BodyText"/>
      <w:spacing w:line="14" w:lineRule="auto"/>
      <w:rPr>
        <w:sz w:val="20"/>
      </w:rPr>
    </w:pPr>
    <w:r>
      <w:rPr>
        <w:noProof/>
        <w:sz w:val="20"/>
      </w:rPr>
      <mc:AlternateContent>
        <mc:Choice Requires="wps">
          <w:drawing>
            <wp:anchor distT="0" distB="0" distL="0" distR="0" simplePos="0" relativeHeight="487523840" behindDoc="1" locked="0" layoutInCell="1" allowOverlap="1" wp14:anchorId="55EA4D0D" wp14:editId="189AC4D1">
              <wp:simplePos x="0" y="0"/>
              <wp:positionH relativeFrom="page">
                <wp:posOffset>3813047</wp:posOffset>
              </wp:positionH>
              <wp:positionV relativeFrom="page">
                <wp:posOffset>9258497</wp:posOffset>
              </wp:positionV>
              <wp:extent cx="15875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047D3848" w14:textId="77777777" w:rsidR="00BD7F0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55EA4D0D" id="_x0000_t202" coordsize="21600,21600" o:spt="202" path="m,l,21600r21600,l21600,xe">
              <v:stroke joinstyle="miter"/>
              <v:path gradientshapeok="t" o:connecttype="rect"/>
            </v:shapetype>
            <v:shape id="Textbox 1" o:spid="_x0000_s1026" type="#_x0000_t202" style="position:absolute;margin-left:300.25pt;margin-top:729pt;width:12.5pt;height:14.2pt;z-index:-1579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" filled="f" stroked="f">
              <v:textbox inset="0,0,0,0">
                <w:txbxContent>
                  <w:p w14:paraId="047D3848" w14:textId="77777777" w:rsidR="00BD7F0F"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A876B" w14:textId="77777777" w:rsidR="00685B51" w:rsidRDefault="00685B51">
      <w:r>
        <w:separator/>
      </w:r>
    </w:p>
  </w:footnote>
  <w:footnote w:type="continuationSeparator" w:id="0">
    <w:p w14:paraId="4B67A726" w14:textId="77777777" w:rsidR="00685B51" w:rsidRDefault="00685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A0E59"/>
    <w:multiLevelType w:val="hybridMultilevel"/>
    <w:tmpl w:val="27A2FAEA"/>
    <w:lvl w:ilvl="0" w:tplc="8E5CFF74">
      <w:start w:val="1"/>
      <w:numFmt w:val="decimal"/>
      <w:lvlText w:val="%1."/>
      <w:lvlJc w:val="left"/>
      <w:pPr>
        <w:ind w:left="719" w:hanging="360"/>
        <w:jc w:val="left"/>
      </w:pPr>
      <w:rPr>
        <w:rFonts w:ascii="Times New Roman" w:eastAsia="Times New Roman" w:hAnsi="Times New Roman" w:cs="Times New Roman" w:hint="default"/>
        <w:b/>
        <w:bCs/>
        <w:i w:val="0"/>
        <w:iCs w:val="0"/>
        <w:spacing w:val="0"/>
        <w:w w:val="99"/>
        <w:sz w:val="22"/>
        <w:szCs w:val="22"/>
        <w:lang w:val="en-US" w:eastAsia="en-US" w:bidi="ar-SA"/>
      </w:rPr>
    </w:lvl>
    <w:lvl w:ilvl="1" w:tplc="CA7A365C">
      <w:start w:val="1"/>
      <w:numFmt w:val="upperRoman"/>
      <w:lvlText w:val="%2."/>
      <w:lvlJc w:val="left"/>
      <w:pPr>
        <w:ind w:left="1439" w:hanging="501"/>
        <w:jc w:val="left"/>
      </w:pPr>
      <w:rPr>
        <w:rFonts w:ascii="Times New Roman" w:eastAsia="Times New Roman" w:hAnsi="Times New Roman" w:cs="Times New Roman" w:hint="default"/>
        <w:b/>
        <w:bCs/>
        <w:i w:val="0"/>
        <w:iCs w:val="0"/>
        <w:spacing w:val="-1"/>
        <w:w w:val="99"/>
        <w:sz w:val="22"/>
        <w:szCs w:val="22"/>
        <w:lang w:val="en-US" w:eastAsia="en-US" w:bidi="ar-SA"/>
      </w:rPr>
    </w:lvl>
    <w:lvl w:ilvl="2" w:tplc="BCC091A4">
      <w:numFmt w:val="bullet"/>
      <w:lvlText w:val="•"/>
      <w:lvlJc w:val="left"/>
      <w:pPr>
        <w:ind w:left="2400" w:hanging="501"/>
      </w:pPr>
      <w:rPr>
        <w:rFonts w:hint="default"/>
        <w:lang w:val="en-US" w:eastAsia="en-US" w:bidi="ar-SA"/>
      </w:rPr>
    </w:lvl>
    <w:lvl w:ilvl="3" w:tplc="B21A124A">
      <w:numFmt w:val="bullet"/>
      <w:lvlText w:val="•"/>
      <w:lvlJc w:val="left"/>
      <w:pPr>
        <w:ind w:left="3360" w:hanging="501"/>
      </w:pPr>
      <w:rPr>
        <w:rFonts w:hint="default"/>
        <w:lang w:val="en-US" w:eastAsia="en-US" w:bidi="ar-SA"/>
      </w:rPr>
    </w:lvl>
    <w:lvl w:ilvl="4" w:tplc="F126C728">
      <w:numFmt w:val="bullet"/>
      <w:lvlText w:val="•"/>
      <w:lvlJc w:val="left"/>
      <w:pPr>
        <w:ind w:left="4320" w:hanging="501"/>
      </w:pPr>
      <w:rPr>
        <w:rFonts w:hint="default"/>
        <w:lang w:val="en-US" w:eastAsia="en-US" w:bidi="ar-SA"/>
      </w:rPr>
    </w:lvl>
    <w:lvl w:ilvl="5" w:tplc="F4F0668A">
      <w:numFmt w:val="bullet"/>
      <w:lvlText w:val="•"/>
      <w:lvlJc w:val="left"/>
      <w:pPr>
        <w:ind w:left="5280" w:hanging="501"/>
      </w:pPr>
      <w:rPr>
        <w:rFonts w:hint="default"/>
        <w:lang w:val="en-US" w:eastAsia="en-US" w:bidi="ar-SA"/>
      </w:rPr>
    </w:lvl>
    <w:lvl w:ilvl="6" w:tplc="4D32D5B2">
      <w:numFmt w:val="bullet"/>
      <w:lvlText w:val="•"/>
      <w:lvlJc w:val="left"/>
      <w:pPr>
        <w:ind w:left="6240" w:hanging="501"/>
      </w:pPr>
      <w:rPr>
        <w:rFonts w:hint="default"/>
        <w:lang w:val="en-US" w:eastAsia="en-US" w:bidi="ar-SA"/>
      </w:rPr>
    </w:lvl>
    <w:lvl w:ilvl="7" w:tplc="B238A298">
      <w:numFmt w:val="bullet"/>
      <w:lvlText w:val="•"/>
      <w:lvlJc w:val="left"/>
      <w:pPr>
        <w:ind w:left="7200" w:hanging="501"/>
      </w:pPr>
      <w:rPr>
        <w:rFonts w:hint="default"/>
        <w:lang w:val="en-US" w:eastAsia="en-US" w:bidi="ar-SA"/>
      </w:rPr>
    </w:lvl>
    <w:lvl w:ilvl="8" w:tplc="53DC826A">
      <w:numFmt w:val="bullet"/>
      <w:lvlText w:val="•"/>
      <w:lvlJc w:val="left"/>
      <w:pPr>
        <w:ind w:left="8160" w:hanging="501"/>
      </w:pPr>
      <w:rPr>
        <w:rFonts w:hint="default"/>
        <w:lang w:val="en-US" w:eastAsia="en-US" w:bidi="ar-SA"/>
      </w:rPr>
    </w:lvl>
  </w:abstractNum>
  <w:num w:numId="1" w16cid:durableId="159613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7F0F"/>
    <w:rsid w:val="002C0AFE"/>
    <w:rsid w:val="003250B9"/>
    <w:rsid w:val="00685B51"/>
    <w:rsid w:val="00BD7F0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BFE41"/>
  <w15:docId w15:val="{1CB3FC5B-A117-46C5-923B-29B6EDA5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59"/>
      <w:jc w:val="center"/>
      <w:outlineLvl w:val="0"/>
    </w:pPr>
    <w:rPr>
      <w:b/>
      <w:bCs/>
      <w:sz w:val="23"/>
      <w:szCs w:val="23"/>
    </w:rPr>
  </w:style>
  <w:style w:type="paragraph" w:styleId="Heading2">
    <w:name w:val="heading 2"/>
    <w:basedOn w:val="Normal"/>
    <w:uiPriority w:val="9"/>
    <w:unhideWhenUsed/>
    <w:qFormat/>
    <w:pPr>
      <w:ind w:left="717"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2465"/>
      <w:jc w:val="center"/>
    </w:pPr>
    <w:rPr>
      <w:rFonts w:ascii="Arial" w:eastAsia="Arial" w:hAnsi="Arial" w:cs="Arial"/>
      <w:sz w:val="26"/>
      <w:szCs w:val="26"/>
    </w:rPr>
  </w:style>
  <w:style w:type="paragraph" w:styleId="ListParagraph">
    <w:name w:val="List Paragraph"/>
    <w:basedOn w:val="Normal"/>
    <w:uiPriority w:val="1"/>
    <w:qFormat/>
    <w:pPr>
      <w:ind w:left="143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C0AFE"/>
    <w:pPr>
      <w:tabs>
        <w:tab w:val="center" w:pos="4680"/>
        <w:tab w:val="right" w:pos="9360"/>
      </w:tabs>
    </w:pPr>
  </w:style>
  <w:style w:type="character" w:customStyle="1" w:styleId="HeaderChar">
    <w:name w:val="Header Char"/>
    <w:basedOn w:val="DefaultParagraphFont"/>
    <w:link w:val="Header"/>
    <w:uiPriority w:val="99"/>
    <w:rsid w:val="002C0AFE"/>
    <w:rPr>
      <w:rFonts w:ascii="Times New Roman" w:eastAsia="Times New Roman" w:hAnsi="Times New Roman" w:cs="Times New Roman"/>
    </w:rPr>
  </w:style>
  <w:style w:type="paragraph" w:styleId="Footer">
    <w:name w:val="footer"/>
    <w:basedOn w:val="Normal"/>
    <w:link w:val="FooterChar"/>
    <w:uiPriority w:val="99"/>
    <w:unhideWhenUsed/>
    <w:rsid w:val="002C0AFE"/>
    <w:pPr>
      <w:tabs>
        <w:tab w:val="center" w:pos="4680"/>
        <w:tab w:val="right" w:pos="9360"/>
      </w:tabs>
    </w:pPr>
  </w:style>
  <w:style w:type="character" w:customStyle="1" w:styleId="FooterChar">
    <w:name w:val="Footer Char"/>
    <w:basedOn w:val="DefaultParagraphFont"/>
    <w:link w:val="Footer"/>
    <w:uiPriority w:val="99"/>
    <w:rsid w:val="002C0AF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ss.gov/eo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1021</Words>
  <Characters>5823</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Draft Minutes 2.19.2021.doc</dc:title>
  <dc:creator>wbarchibald</dc:creator>
  <cp:lastModifiedBy>Kelly, Lynne (A&amp;F)</cp:lastModifiedBy>
  <cp:revision>2</cp:revision>
  <dcterms:created xsi:type="dcterms:W3CDTF">2026-02-23T20:47:00Z</dcterms:created>
  <dcterms:modified xsi:type="dcterms:W3CDTF">2026-02-23T20:48:00Z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2021-03-18T00:00:00Z</vt:filetime>
  </property>
  <property fmtid="{D5CDD505-2E9C-101B-9397-08002B2CF9AE}" pid="3" name="Creator">
    <vt:lpwstr>PScript5.dll Version 5.2.2</vt:lpwstr>
  </property>
  <property fmtid="{D5CDD505-2E9C-101B-9397-08002B2CF9AE}" pid="4" name="LastSaved">
    <vt:filetime>2026-02-23T00:00:00Z</vt:filetime>
  </property>
  <property fmtid="{D5CDD505-2E9C-101B-9397-08002B2CF9AE}" pid="5" name="Producer">
    <vt:lpwstr>Acrobat Distiller 19.0 (Windows)</vt:lpwstr>
  </property>
</Properties>
</file>