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C48E" w14:textId="77777777" w:rsidR="004C236C" w:rsidRPr="0079736F" w:rsidRDefault="004C236C" w:rsidP="004C236C">
      <w:pPr>
        <w:kinsoku w:val="0"/>
        <w:overflowPunct w:val="0"/>
        <w:autoSpaceDE w:val="0"/>
        <w:autoSpaceDN w:val="0"/>
        <w:adjustRightInd w:val="0"/>
        <w:spacing w:line="223" w:lineRule="exact"/>
        <w:ind w:left="40"/>
        <w:outlineLvl w:val="0"/>
        <w:rPr>
          <w:b/>
          <w:bCs/>
          <w:sz w:val="20"/>
          <w:szCs w:val="20"/>
        </w:rPr>
      </w:pPr>
      <w:r w:rsidRPr="0079736F">
        <w:rPr>
          <w:b/>
          <w:bCs/>
          <w:sz w:val="20"/>
          <w:szCs w:val="20"/>
        </w:rPr>
        <w:t>Assurances, Administrative Requirements, Cost Principles, Representations and Certifications</w:t>
      </w:r>
    </w:p>
    <w:p w14:paraId="089B44A5" w14:textId="77777777" w:rsidR="004C236C" w:rsidRPr="0079736F" w:rsidRDefault="004C236C" w:rsidP="004C236C">
      <w:pPr>
        <w:numPr>
          <w:ilvl w:val="0"/>
          <w:numId w:val="1"/>
        </w:numPr>
        <w:tabs>
          <w:tab w:val="left" w:pos="206"/>
        </w:tabs>
        <w:kinsoku w:val="0"/>
        <w:overflowPunct w:val="0"/>
        <w:autoSpaceDE w:val="0"/>
        <w:autoSpaceDN w:val="0"/>
        <w:adjustRightInd w:val="0"/>
        <w:spacing w:before="210" w:line="249" w:lineRule="auto"/>
        <w:ind w:right="144"/>
        <w:rPr>
          <w:sz w:val="20"/>
          <w:szCs w:val="20"/>
        </w:rPr>
      </w:pPr>
      <w:r w:rsidRPr="0079736F">
        <w:rPr>
          <w:sz w:val="20"/>
          <w:szCs w:val="20"/>
        </w:rPr>
        <w:t>DHS financial assistance recipients must complete either the Office of Management and Budget (OMB) Standard Form 424B Assurances - Non-Construction Programs, or OMB Standard Form 424D Assurances - Construction Programs, as applicable. Certain assurances in these documents may not be applicable to your program, and the DHS financial assistance office (DHS FAO) may require applicants to certify additional assurances.</w:t>
      </w:r>
      <w:r w:rsidRPr="0079736F">
        <w:rPr>
          <w:spacing w:val="59"/>
          <w:sz w:val="20"/>
          <w:szCs w:val="20"/>
        </w:rPr>
        <w:t xml:space="preserve"> </w:t>
      </w:r>
      <w:r w:rsidRPr="0079736F">
        <w:rPr>
          <w:sz w:val="20"/>
          <w:szCs w:val="20"/>
        </w:rPr>
        <w:t>Applicants are required to fill out the assurances as instructed by the awarding agency.</w:t>
      </w:r>
    </w:p>
    <w:p w14:paraId="47A5253D" w14:textId="77777777" w:rsidR="004C236C" w:rsidRPr="0079736F" w:rsidRDefault="004C236C" w:rsidP="004C236C">
      <w:pPr>
        <w:numPr>
          <w:ilvl w:val="0"/>
          <w:numId w:val="1"/>
        </w:numPr>
        <w:tabs>
          <w:tab w:val="left" w:pos="262"/>
        </w:tabs>
        <w:kinsoku w:val="0"/>
        <w:overflowPunct w:val="0"/>
        <w:autoSpaceDE w:val="0"/>
        <w:autoSpaceDN w:val="0"/>
        <w:adjustRightInd w:val="0"/>
        <w:spacing w:before="204" w:line="249" w:lineRule="auto"/>
        <w:ind w:right="400"/>
        <w:rPr>
          <w:sz w:val="20"/>
          <w:szCs w:val="20"/>
        </w:rPr>
      </w:pPr>
      <w:r w:rsidRPr="0079736F">
        <w:rPr>
          <w:sz w:val="20"/>
          <w:szCs w:val="20"/>
        </w:rPr>
        <w:t>DHS financial assistance recipients are required to follow the applicable provisions of the Uniform Administrative Requirements, Cost Principles, and Audit Requirements for Federal Awards located at Title 2, Code of Federal Regulations (C.F.R.) Part 200 and adopted by DHS at 2 C.F.R. Part 3002.</w:t>
      </w:r>
    </w:p>
    <w:p w14:paraId="259270F3" w14:textId="77777777" w:rsidR="004C236C" w:rsidRPr="0079736F" w:rsidRDefault="004C236C" w:rsidP="004C236C">
      <w:pPr>
        <w:numPr>
          <w:ilvl w:val="0"/>
          <w:numId w:val="1"/>
        </w:numPr>
        <w:tabs>
          <w:tab w:val="left" w:pos="317"/>
        </w:tabs>
        <w:kinsoku w:val="0"/>
        <w:overflowPunct w:val="0"/>
        <w:autoSpaceDE w:val="0"/>
        <w:autoSpaceDN w:val="0"/>
        <w:adjustRightInd w:val="0"/>
        <w:spacing w:before="202" w:line="249" w:lineRule="auto"/>
        <w:ind w:right="344"/>
        <w:rPr>
          <w:sz w:val="20"/>
          <w:szCs w:val="20"/>
        </w:rPr>
      </w:pPr>
      <w:r w:rsidRPr="0079736F">
        <w:rPr>
          <w:sz w:val="20"/>
          <w:szCs w:val="20"/>
        </w:rPr>
        <w:t>By accepting this agreement,</w:t>
      </w:r>
      <w:r>
        <w:rPr>
          <w:sz w:val="20"/>
          <w:szCs w:val="20"/>
        </w:rPr>
        <w:t xml:space="preserve"> </w:t>
      </w:r>
      <w:r w:rsidRPr="0079736F">
        <w:rPr>
          <w:sz w:val="20"/>
          <w:szCs w:val="20"/>
        </w:rPr>
        <w:t>recipients, and</w:t>
      </w:r>
      <w:r>
        <w:rPr>
          <w:sz w:val="20"/>
          <w:szCs w:val="20"/>
        </w:rPr>
        <w:t xml:space="preserve"> </w:t>
      </w:r>
      <w:r w:rsidRPr="0079736F">
        <w:rPr>
          <w:sz w:val="20"/>
          <w:szCs w:val="20"/>
        </w:rPr>
        <w:t>their</w:t>
      </w:r>
      <w:r>
        <w:rPr>
          <w:sz w:val="20"/>
          <w:szCs w:val="20"/>
        </w:rPr>
        <w:t xml:space="preserve"> </w:t>
      </w:r>
      <w:r w:rsidRPr="0079736F">
        <w:rPr>
          <w:sz w:val="20"/>
          <w:szCs w:val="20"/>
        </w:rPr>
        <w:t>executives,</w:t>
      </w:r>
      <w:r>
        <w:rPr>
          <w:sz w:val="20"/>
          <w:szCs w:val="20"/>
        </w:rPr>
        <w:t xml:space="preserve"> </w:t>
      </w:r>
      <w:r w:rsidRPr="0079736F">
        <w:rPr>
          <w:sz w:val="20"/>
          <w:szCs w:val="20"/>
        </w:rPr>
        <w:t>as defined in 2 C.F.R.section170.315, certify</w:t>
      </w:r>
      <w:r>
        <w:rPr>
          <w:sz w:val="20"/>
          <w:szCs w:val="20"/>
        </w:rPr>
        <w:t xml:space="preserve"> </w:t>
      </w:r>
      <w:r w:rsidRPr="0079736F">
        <w:rPr>
          <w:sz w:val="20"/>
          <w:szCs w:val="20"/>
        </w:rPr>
        <w:t>that their policies are in accordance with OMB's guidance located at 2 C.F.R. Part 200, all applicable federal laws, and relevant Executive guidance.</w:t>
      </w:r>
    </w:p>
    <w:p w14:paraId="7E03E14E" w14:textId="77777777" w:rsidR="004C236C" w:rsidRPr="0079736F" w:rsidRDefault="004C236C" w:rsidP="004C236C">
      <w:pPr>
        <w:kinsoku w:val="0"/>
        <w:overflowPunct w:val="0"/>
        <w:autoSpaceDE w:val="0"/>
        <w:autoSpaceDN w:val="0"/>
        <w:adjustRightInd w:val="0"/>
        <w:spacing w:before="203"/>
        <w:ind w:left="40"/>
        <w:outlineLvl w:val="0"/>
        <w:rPr>
          <w:b/>
          <w:bCs/>
          <w:sz w:val="20"/>
          <w:szCs w:val="20"/>
        </w:rPr>
      </w:pPr>
      <w:r w:rsidRPr="0079736F">
        <w:rPr>
          <w:b/>
          <w:bCs/>
          <w:sz w:val="20"/>
          <w:szCs w:val="20"/>
        </w:rPr>
        <w:t>General Acknowledgements and Assurances</w:t>
      </w:r>
    </w:p>
    <w:p w14:paraId="75E77507" w14:textId="77777777" w:rsidR="004C236C" w:rsidRDefault="004C236C" w:rsidP="004C236C">
      <w:pPr>
        <w:kinsoku w:val="0"/>
        <w:overflowPunct w:val="0"/>
        <w:autoSpaceDE w:val="0"/>
        <w:autoSpaceDN w:val="0"/>
        <w:adjustRightInd w:val="0"/>
        <w:spacing w:before="210" w:line="249" w:lineRule="auto"/>
        <w:ind w:left="40"/>
        <w:contextualSpacing/>
        <w:rPr>
          <w:sz w:val="20"/>
          <w:szCs w:val="20"/>
        </w:rPr>
      </w:pPr>
      <w:r w:rsidRPr="0079736F">
        <w:rPr>
          <w:sz w:val="20"/>
          <w:szCs w:val="20"/>
        </w:rPr>
        <w:t>All recipients, subrecipients, successors, transferees, and assignees must acknowledge and agree to comply with applicable provisions governing DHS access to records, accounts, documents, information, facilities, and staff.</w:t>
      </w:r>
    </w:p>
    <w:p w14:paraId="4B818BF2" w14:textId="77777777" w:rsidR="004C236C" w:rsidRPr="000D0C2A" w:rsidRDefault="004C236C" w:rsidP="004C236C">
      <w:pPr>
        <w:pStyle w:val="ListParagraph"/>
        <w:numPr>
          <w:ilvl w:val="0"/>
          <w:numId w:val="5"/>
        </w:numPr>
        <w:tabs>
          <w:tab w:val="left" w:pos="206"/>
        </w:tabs>
        <w:kinsoku w:val="0"/>
        <w:overflowPunct w:val="0"/>
        <w:autoSpaceDE w:val="0"/>
        <w:autoSpaceDN w:val="0"/>
        <w:adjustRightInd w:val="0"/>
        <w:spacing w:before="210" w:line="249" w:lineRule="auto"/>
        <w:ind w:right="144"/>
        <w:rPr>
          <w:sz w:val="20"/>
          <w:szCs w:val="20"/>
        </w:rPr>
      </w:pPr>
      <w:r w:rsidRPr="000D0C2A">
        <w:rPr>
          <w:sz w:val="20"/>
          <w:szCs w:val="20"/>
        </w:rPr>
        <w:t>Recipients must cooperate with any DHS compliance reviews or compliance investigations conducted by DHS.</w:t>
      </w:r>
    </w:p>
    <w:p w14:paraId="43E2AD3D" w14:textId="77777777" w:rsidR="004C236C" w:rsidRDefault="004C236C" w:rsidP="004C236C">
      <w:pPr>
        <w:numPr>
          <w:ilvl w:val="0"/>
          <w:numId w:val="5"/>
        </w:numPr>
        <w:tabs>
          <w:tab w:val="left" w:pos="262"/>
        </w:tabs>
        <w:kinsoku w:val="0"/>
        <w:overflowPunct w:val="0"/>
        <w:autoSpaceDE w:val="0"/>
        <w:autoSpaceDN w:val="0"/>
        <w:adjustRightInd w:val="0"/>
        <w:spacing w:before="210" w:line="249" w:lineRule="auto"/>
        <w:ind w:right="111"/>
        <w:contextualSpacing/>
        <w:rPr>
          <w:sz w:val="20"/>
          <w:szCs w:val="20"/>
        </w:rPr>
      </w:pPr>
      <w:r w:rsidRPr="0079736F">
        <w:rPr>
          <w:sz w:val="20"/>
          <w:szCs w:val="20"/>
        </w:rPr>
        <w:t>Recipients must give DHS access to examine and copy records, accounts, and other documents and sources of information related to the federal financial assistance award and permit access to facilities or personnel.</w:t>
      </w:r>
    </w:p>
    <w:p w14:paraId="6A1CCD55" w14:textId="77777777" w:rsidR="004C236C" w:rsidRPr="0079736F" w:rsidRDefault="004C236C" w:rsidP="004C236C">
      <w:pPr>
        <w:tabs>
          <w:tab w:val="left" w:pos="262"/>
        </w:tabs>
        <w:kinsoku w:val="0"/>
        <w:overflowPunct w:val="0"/>
        <w:autoSpaceDE w:val="0"/>
        <w:autoSpaceDN w:val="0"/>
        <w:adjustRightInd w:val="0"/>
        <w:spacing w:before="210" w:line="249" w:lineRule="auto"/>
        <w:ind w:left="180" w:right="111"/>
        <w:contextualSpacing/>
        <w:rPr>
          <w:sz w:val="20"/>
          <w:szCs w:val="20"/>
        </w:rPr>
      </w:pPr>
    </w:p>
    <w:p w14:paraId="6DFE1D5A" w14:textId="77777777" w:rsidR="004C236C" w:rsidRDefault="004C236C" w:rsidP="004C236C">
      <w:pPr>
        <w:numPr>
          <w:ilvl w:val="0"/>
          <w:numId w:val="5"/>
        </w:numPr>
        <w:tabs>
          <w:tab w:val="left" w:pos="317"/>
        </w:tabs>
        <w:kinsoku w:val="0"/>
        <w:overflowPunct w:val="0"/>
        <w:autoSpaceDE w:val="0"/>
        <w:autoSpaceDN w:val="0"/>
        <w:adjustRightInd w:val="0"/>
        <w:spacing w:before="202"/>
        <w:contextualSpacing/>
        <w:rPr>
          <w:sz w:val="20"/>
          <w:szCs w:val="20"/>
        </w:rPr>
      </w:pPr>
      <w:r w:rsidRPr="0079736F">
        <w:rPr>
          <w:sz w:val="20"/>
          <w:szCs w:val="20"/>
        </w:rPr>
        <w:t>Recipients must submit timely, complete, and accurate reports to the appropriate DHS officials and maintain appropriate</w:t>
      </w:r>
    </w:p>
    <w:p w14:paraId="48B8FFFA" w14:textId="77777777" w:rsidR="004C236C" w:rsidRDefault="004C236C" w:rsidP="004C236C">
      <w:pPr>
        <w:tabs>
          <w:tab w:val="left" w:pos="317"/>
        </w:tabs>
        <w:kinsoku w:val="0"/>
        <w:overflowPunct w:val="0"/>
        <w:autoSpaceDE w:val="0"/>
        <w:autoSpaceDN w:val="0"/>
        <w:adjustRightInd w:val="0"/>
        <w:spacing w:before="202"/>
        <w:ind w:left="180"/>
        <w:contextualSpacing/>
        <w:rPr>
          <w:sz w:val="20"/>
          <w:szCs w:val="20"/>
        </w:rPr>
      </w:pPr>
    </w:p>
    <w:p w14:paraId="7C410471" w14:textId="77777777" w:rsidR="004C236C" w:rsidRDefault="004C236C" w:rsidP="004C236C">
      <w:pPr>
        <w:pStyle w:val="ListParagraph"/>
        <w:numPr>
          <w:ilvl w:val="0"/>
          <w:numId w:val="5"/>
        </w:numPr>
        <w:kinsoku w:val="0"/>
        <w:overflowPunct w:val="0"/>
        <w:autoSpaceDE w:val="0"/>
        <w:autoSpaceDN w:val="0"/>
        <w:adjustRightInd w:val="0"/>
        <w:rPr>
          <w:sz w:val="20"/>
          <w:szCs w:val="20"/>
        </w:rPr>
      </w:pPr>
      <w:r w:rsidRPr="0079736F">
        <w:rPr>
          <w:sz w:val="20"/>
          <w:szCs w:val="20"/>
        </w:rPr>
        <w:t>backup documentation to support the reports.</w:t>
      </w:r>
    </w:p>
    <w:p w14:paraId="65544F18" w14:textId="77777777" w:rsidR="004C236C" w:rsidRPr="000D0C2A" w:rsidRDefault="004C236C" w:rsidP="004C236C">
      <w:pPr>
        <w:pStyle w:val="ListParagraph"/>
        <w:kinsoku w:val="0"/>
        <w:overflowPunct w:val="0"/>
        <w:autoSpaceDE w:val="0"/>
        <w:autoSpaceDN w:val="0"/>
        <w:adjustRightInd w:val="0"/>
        <w:ind w:left="180"/>
        <w:rPr>
          <w:sz w:val="20"/>
          <w:szCs w:val="20"/>
        </w:rPr>
      </w:pPr>
    </w:p>
    <w:p w14:paraId="6E6B4939" w14:textId="77777777" w:rsidR="004C236C" w:rsidRDefault="004C236C" w:rsidP="004C236C">
      <w:pPr>
        <w:pStyle w:val="ListParagraph"/>
        <w:numPr>
          <w:ilvl w:val="0"/>
          <w:numId w:val="5"/>
        </w:numPr>
        <w:kinsoku w:val="0"/>
        <w:overflowPunct w:val="0"/>
        <w:autoSpaceDE w:val="0"/>
        <w:autoSpaceDN w:val="0"/>
        <w:adjustRightInd w:val="0"/>
        <w:spacing w:before="53" w:line="249" w:lineRule="auto"/>
        <w:ind w:right="132"/>
        <w:rPr>
          <w:sz w:val="20"/>
          <w:szCs w:val="20"/>
        </w:rPr>
      </w:pPr>
      <w:r w:rsidRPr="0079736F">
        <w:rPr>
          <w:sz w:val="20"/>
          <w:szCs w:val="20"/>
        </w:rPr>
        <w:t>Recipients must comply with all other special reporting, data collection, and evaluation requirements, as prescribed by law, or detailed in program guidance.</w:t>
      </w:r>
    </w:p>
    <w:p w14:paraId="24E4F310" w14:textId="77777777" w:rsidR="004C236C" w:rsidRPr="0079736F" w:rsidRDefault="004C236C" w:rsidP="004C236C">
      <w:pPr>
        <w:pStyle w:val="ListParagraph"/>
        <w:numPr>
          <w:ilvl w:val="0"/>
          <w:numId w:val="5"/>
        </w:numPr>
        <w:kinsoku w:val="0"/>
        <w:overflowPunct w:val="0"/>
        <w:autoSpaceDE w:val="0"/>
        <w:autoSpaceDN w:val="0"/>
        <w:adjustRightInd w:val="0"/>
        <w:spacing w:before="202" w:line="250" w:lineRule="auto"/>
        <w:ind w:right="20"/>
        <w:contextualSpacing w:val="0"/>
        <w:rPr>
          <w:sz w:val="20"/>
          <w:szCs w:val="20"/>
        </w:rPr>
      </w:pPr>
      <w:r w:rsidRPr="0079736F">
        <w:rPr>
          <w:sz w:val="20"/>
          <w:szCs w:val="20"/>
        </w:rPr>
        <w:t>Recipients (as defined in 2 C.F.R. Part 200 and including recipients acting as pass-through entities) of federal financial assistance from DHS or one of its awarding component agencies must complete the DHS Civil Rights Evaluation Tool within thirty (30) days of receipt of the Notice of Award for the first award under which this term applies. Recipients of multiple awards of DHS financial assistance should only submit one completed tool for their organization, not per award. After the initial submission, recipients are required to complete the tool once every two (2) years if they have an active award, not every time an award is made. Recipients should submit the completed tool, including supporting materials, to</w:t>
      </w:r>
      <w:r>
        <w:rPr>
          <w:sz w:val="20"/>
          <w:szCs w:val="20"/>
        </w:rPr>
        <w:t xml:space="preserve"> </w:t>
      </w:r>
      <w:hyperlink r:id="rId5" w:history="1">
        <w:r w:rsidRPr="00AF182D">
          <w:rPr>
            <w:rStyle w:val="Hyperlink"/>
            <w:rFonts w:eastAsiaTheme="majorEastAsia"/>
            <w:szCs w:val="20"/>
          </w:rPr>
          <w:t>CivilRightsEvaluation@hq.dhs.gov.</w:t>
        </w:r>
      </w:hyperlink>
      <w:r w:rsidRPr="0079736F">
        <w:rPr>
          <w:sz w:val="20"/>
          <w:szCs w:val="20"/>
        </w:rPr>
        <w:t xml:space="preserve"> This tool clarifies the civil rights obligations and related reporting requirements contained in the DHS Standard Terms and Conditions. Subrecipients are not required to complete and submit this tool to DHS. The evaluation tool can be found at </w:t>
      </w:r>
      <w:hyperlink r:id="rId6" w:history="1">
        <w:r w:rsidRPr="0079736F">
          <w:rPr>
            <w:sz w:val="20"/>
            <w:szCs w:val="20"/>
          </w:rPr>
          <w:t>https://www.dhs.gov/publication/dhs-civil-rights-evaluation-tool.</w:t>
        </w:r>
      </w:hyperlink>
    </w:p>
    <w:p w14:paraId="7E4D8141" w14:textId="77777777" w:rsidR="004C236C" w:rsidRPr="0079736F" w:rsidRDefault="004C236C" w:rsidP="004C236C">
      <w:pPr>
        <w:kinsoku w:val="0"/>
        <w:overflowPunct w:val="0"/>
        <w:autoSpaceDE w:val="0"/>
        <w:autoSpaceDN w:val="0"/>
        <w:adjustRightInd w:val="0"/>
        <w:spacing w:before="202" w:line="249" w:lineRule="auto"/>
        <w:ind w:left="720" w:right="20"/>
        <w:rPr>
          <w:sz w:val="20"/>
          <w:szCs w:val="20"/>
        </w:rPr>
      </w:pPr>
      <w:r w:rsidRPr="0079736F">
        <w:rPr>
          <w:sz w:val="20"/>
          <w:szCs w:val="20"/>
        </w:rPr>
        <w:t>The DHS Office for Civil Rights and Civil Liberties will consider, in its discretion, granting an extension if the recipient identifies steps and a timeline for completing the tool. Recipients should request extensions by emailing the request t</w:t>
      </w:r>
      <w:r>
        <w:rPr>
          <w:sz w:val="20"/>
          <w:szCs w:val="20"/>
        </w:rPr>
        <w:t xml:space="preserve">o </w:t>
      </w:r>
      <w:hyperlink r:id="rId7" w:history="1">
        <w:r w:rsidRPr="0079736F">
          <w:rPr>
            <w:rStyle w:val="Hyperlink"/>
            <w:rFonts w:eastAsiaTheme="majorEastAsia"/>
            <w:szCs w:val="20"/>
          </w:rPr>
          <w:t>CivilRightsEvaluation@hq.dhs.gov</w:t>
        </w:r>
      </w:hyperlink>
      <w:r w:rsidRPr="0079736F">
        <w:rPr>
          <w:sz w:val="20"/>
          <w:szCs w:val="20"/>
        </w:rPr>
        <w:t xml:space="preserve"> prior to expiration of the 30-day deadline.</w:t>
      </w:r>
    </w:p>
    <w:p w14:paraId="7E648FA6"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Acknowledgement of Federal Funding from DHS</w:t>
      </w:r>
    </w:p>
    <w:p w14:paraId="72E7C904" w14:textId="77777777" w:rsidR="004C236C" w:rsidRPr="0079736F" w:rsidRDefault="004C236C" w:rsidP="004C236C">
      <w:pPr>
        <w:kinsoku w:val="0"/>
        <w:overflowPunct w:val="0"/>
        <w:autoSpaceDE w:val="0"/>
        <w:autoSpaceDN w:val="0"/>
        <w:adjustRightInd w:val="0"/>
        <w:spacing w:before="210" w:line="249" w:lineRule="auto"/>
        <w:ind w:left="100" w:right="165"/>
        <w:rPr>
          <w:sz w:val="20"/>
          <w:szCs w:val="20"/>
        </w:rPr>
      </w:pPr>
      <w:r w:rsidRPr="0079736F">
        <w:rPr>
          <w:sz w:val="20"/>
          <w:szCs w:val="20"/>
        </w:rPr>
        <w:t>Recipients must acknowledge their use of federal funding when issuing statements, press releases, requests for proposal, bid invitations, and other documents describing projects or programs funded in whole or in part with federal funds.</w:t>
      </w:r>
    </w:p>
    <w:p w14:paraId="41178614" w14:textId="77777777" w:rsidR="004C236C" w:rsidRPr="0079736F" w:rsidRDefault="004C236C" w:rsidP="004C236C">
      <w:pPr>
        <w:kinsoku w:val="0"/>
        <w:overflowPunct w:val="0"/>
        <w:autoSpaceDE w:val="0"/>
        <w:autoSpaceDN w:val="0"/>
        <w:adjustRightInd w:val="0"/>
        <w:spacing w:before="201"/>
        <w:ind w:left="100"/>
        <w:outlineLvl w:val="0"/>
        <w:rPr>
          <w:b/>
          <w:bCs/>
          <w:sz w:val="20"/>
          <w:szCs w:val="20"/>
        </w:rPr>
      </w:pPr>
      <w:r w:rsidRPr="0079736F">
        <w:rPr>
          <w:b/>
          <w:bCs/>
          <w:sz w:val="20"/>
          <w:szCs w:val="20"/>
        </w:rPr>
        <w:lastRenderedPageBreak/>
        <w:t>Activities Conducted Abroad</w:t>
      </w:r>
    </w:p>
    <w:p w14:paraId="3E7F8F33" w14:textId="77777777" w:rsidR="004C236C" w:rsidRPr="0079736F" w:rsidRDefault="004C236C" w:rsidP="004C236C">
      <w:pPr>
        <w:kinsoku w:val="0"/>
        <w:overflowPunct w:val="0"/>
        <w:autoSpaceDE w:val="0"/>
        <w:autoSpaceDN w:val="0"/>
        <w:adjustRightInd w:val="0"/>
        <w:spacing w:before="210" w:line="249" w:lineRule="auto"/>
        <w:ind w:left="100" w:right="954"/>
        <w:rPr>
          <w:sz w:val="20"/>
          <w:szCs w:val="20"/>
        </w:rPr>
      </w:pPr>
      <w:r w:rsidRPr="0079736F">
        <w:rPr>
          <w:sz w:val="20"/>
          <w:szCs w:val="20"/>
        </w:rPr>
        <w:t>Recipients must ensure that project activities performed outside the United States are coordinated as necessary with appropriate government authorities and that appropriate licenses, permits, or approvals are obtained.</w:t>
      </w:r>
    </w:p>
    <w:p w14:paraId="3EA55A83"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Age Discrimination Act of 1975</w:t>
      </w:r>
    </w:p>
    <w:p w14:paraId="688E3C43" w14:textId="77777777" w:rsidR="004C236C" w:rsidRPr="0079736F" w:rsidRDefault="004C236C" w:rsidP="004C236C">
      <w:pPr>
        <w:kinsoku w:val="0"/>
        <w:overflowPunct w:val="0"/>
        <w:autoSpaceDE w:val="0"/>
        <w:autoSpaceDN w:val="0"/>
        <w:adjustRightInd w:val="0"/>
        <w:spacing w:before="210" w:line="249" w:lineRule="auto"/>
        <w:ind w:left="100" w:right="378"/>
        <w:jc w:val="both"/>
        <w:rPr>
          <w:sz w:val="20"/>
          <w:szCs w:val="20"/>
        </w:rPr>
      </w:pPr>
      <w:r w:rsidRPr="0079736F">
        <w:rPr>
          <w:sz w:val="20"/>
          <w:szCs w:val="20"/>
        </w:rPr>
        <w:t>Recipients must comply with the requirements of the Age Discrimination Act of 1975, Public Law 94-135 (1975) (codified as amended at Title 42, U.S. Code, section 6101 et seq.), which prohibits discrimination on the basis of age in any program or activity receiving federal financial assistance.</w:t>
      </w:r>
    </w:p>
    <w:p w14:paraId="33AACD07"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Americans with Disabilities Act of 1990</w:t>
      </w:r>
    </w:p>
    <w:p w14:paraId="3A885498" w14:textId="77777777" w:rsidR="004C236C" w:rsidRPr="0079736F" w:rsidRDefault="004C236C" w:rsidP="004C236C">
      <w:pPr>
        <w:kinsoku w:val="0"/>
        <w:overflowPunct w:val="0"/>
        <w:autoSpaceDE w:val="0"/>
        <w:autoSpaceDN w:val="0"/>
        <w:adjustRightInd w:val="0"/>
        <w:spacing w:before="210" w:line="249" w:lineRule="auto"/>
        <w:ind w:left="100" w:right="154"/>
        <w:rPr>
          <w:sz w:val="20"/>
          <w:szCs w:val="20"/>
        </w:rPr>
      </w:pPr>
      <w:r w:rsidRPr="0079736F">
        <w:rPr>
          <w:sz w:val="20"/>
          <w:szCs w:val="20"/>
        </w:rPr>
        <w:t>Recipients must comply with the requirements of Titles I, II, and III of the Americans with Disabilities Act, Pub. L. 101-336 (1990) (codified as amended at 42 U.S.C. sections 12101 - 12213), which prohibits recipients from discriminating on the basis of disability in the operation of public entities, public and private transportation systems, places of public accommodation, and certain testing entities.</w:t>
      </w:r>
    </w:p>
    <w:p w14:paraId="1B2216E6"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Best Practices for Collection and Use of Personally Identifiable Information</w:t>
      </w:r>
    </w:p>
    <w:p w14:paraId="05D53A91" w14:textId="77777777" w:rsidR="004C236C" w:rsidRPr="0079736F" w:rsidRDefault="004C236C" w:rsidP="004C236C">
      <w:pPr>
        <w:kinsoku w:val="0"/>
        <w:overflowPunct w:val="0"/>
        <w:autoSpaceDE w:val="0"/>
        <w:autoSpaceDN w:val="0"/>
        <w:adjustRightInd w:val="0"/>
        <w:spacing w:before="210" w:line="249" w:lineRule="auto"/>
        <w:ind w:left="100" w:right="98"/>
        <w:rPr>
          <w:sz w:val="20"/>
          <w:szCs w:val="20"/>
        </w:rPr>
      </w:pPr>
      <w:r w:rsidRPr="0079736F">
        <w:rPr>
          <w:sz w:val="20"/>
          <w:szCs w:val="20"/>
        </w:rPr>
        <w:t>Recipients who collect personally identifiable information (PII) are required to have a publicly available privacy policy that describes standards on the usage and maintenance of the PII they collect. DHS defines PII as any information that permits the identity of an individual to be directly or indirectly inferred, including any information that is linked or linkable to that individual. Recipients may also find the DHS Privacy Impact Assessments: Privacy Guidance and Privacy Template as useful resources respectively.</w:t>
      </w:r>
    </w:p>
    <w:p w14:paraId="60348B50"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Civil Rights Act of 1964 - Title VI</w:t>
      </w:r>
    </w:p>
    <w:p w14:paraId="5AD17692" w14:textId="77777777" w:rsidR="004C236C" w:rsidRPr="0079736F" w:rsidRDefault="004C236C" w:rsidP="004C236C">
      <w:pPr>
        <w:kinsoku w:val="0"/>
        <w:overflowPunct w:val="0"/>
        <w:autoSpaceDE w:val="0"/>
        <w:autoSpaceDN w:val="0"/>
        <w:adjustRightInd w:val="0"/>
        <w:spacing w:before="210" w:line="249" w:lineRule="auto"/>
        <w:ind w:left="100" w:right="86"/>
        <w:rPr>
          <w:sz w:val="20"/>
          <w:szCs w:val="20"/>
        </w:rPr>
      </w:pPr>
      <w:r w:rsidRPr="0079736F">
        <w:rPr>
          <w:sz w:val="20"/>
          <w:szCs w:val="20"/>
        </w:rPr>
        <w:t>Recipients must comply with the requirements of Title VI of the Civil Rights Act of 1964 (codified as amended at 42 U.S.C. section 2000d et seq.), which provides that no person in the United States will, on the grounds of race, color, or national origin, be excluded from participation in, be denied the benefits of, or be subjected to discrimination under any program or activity receiving federal financial assistance. DHS implementing regulations for the Act are found at 6 C.F.R. Part 21 and 44 C.F.R. Part 7.</w:t>
      </w:r>
    </w:p>
    <w:p w14:paraId="30BE9834"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Civil Rights Act of 1968</w:t>
      </w:r>
    </w:p>
    <w:p w14:paraId="1AE1E294" w14:textId="77777777" w:rsidR="004C236C" w:rsidRPr="0079736F" w:rsidRDefault="004C236C" w:rsidP="004C236C">
      <w:pPr>
        <w:kinsoku w:val="0"/>
        <w:overflowPunct w:val="0"/>
        <w:autoSpaceDE w:val="0"/>
        <w:autoSpaceDN w:val="0"/>
        <w:adjustRightInd w:val="0"/>
        <w:spacing w:before="210" w:line="249" w:lineRule="auto"/>
        <w:ind w:left="100" w:right="321"/>
        <w:rPr>
          <w:sz w:val="20"/>
          <w:szCs w:val="20"/>
        </w:rPr>
      </w:pPr>
      <w:r w:rsidRPr="0079736F">
        <w:rPr>
          <w:sz w:val="20"/>
          <w:szCs w:val="20"/>
        </w:rPr>
        <w:t>Recipients must comply with Title VIII of the Civil Rights Act of 1968, Pub. L. 90-284, as amended through Pub. L. 113-4, which prohibits recipients from discriminating in the sale, rental, financing, and advertising of dwellings, or in the provision of services in connection therewith, on the basis of race, color, national origin, religion, disability, familial status, and sex (see 42 U.S.C. section 3601 et seq.), as implemented by the U.S. Department of Housing and Urban Development at 24 C.F.R.</w:t>
      </w:r>
    </w:p>
    <w:p w14:paraId="66BDF984" w14:textId="77777777" w:rsidR="004C236C" w:rsidRPr="0079736F" w:rsidRDefault="004C236C" w:rsidP="004C236C">
      <w:pPr>
        <w:kinsoku w:val="0"/>
        <w:overflowPunct w:val="0"/>
        <w:autoSpaceDE w:val="0"/>
        <w:autoSpaceDN w:val="0"/>
        <w:adjustRightInd w:val="0"/>
        <w:spacing w:before="1"/>
        <w:rPr>
          <w:sz w:val="20"/>
          <w:szCs w:val="20"/>
        </w:rPr>
      </w:pPr>
    </w:p>
    <w:p w14:paraId="746A5F25" w14:textId="6F499F5B" w:rsidR="004C236C" w:rsidRPr="0079736F" w:rsidRDefault="004C236C" w:rsidP="001A2EB1">
      <w:pPr>
        <w:kinsoku w:val="0"/>
        <w:overflowPunct w:val="0"/>
        <w:autoSpaceDE w:val="0"/>
        <w:autoSpaceDN w:val="0"/>
        <w:adjustRightInd w:val="0"/>
        <w:spacing w:before="53" w:line="249" w:lineRule="auto"/>
        <w:ind w:left="100" w:right="277"/>
        <w:rPr>
          <w:sz w:val="20"/>
          <w:szCs w:val="20"/>
        </w:rPr>
      </w:pPr>
      <w:r w:rsidRPr="0079736F">
        <w:rPr>
          <w:sz w:val="20"/>
          <w:szCs w:val="20"/>
        </w:rPr>
        <w:t>Part 100. The prohibition on disability discrimination includes the requirement that new multifamily housing with four or more dwelling units - i.e., the public and common use areas and individual apartment units (all units in buildings with elevators and ground-floor units in buildings without elevators) - be designed and constructed with certain accessible features. (See 24 C.F.R. Part 100, Subpart D.)</w:t>
      </w:r>
    </w:p>
    <w:p w14:paraId="2FD104D4"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Copyright</w:t>
      </w:r>
    </w:p>
    <w:p w14:paraId="00B3128F" w14:textId="77777777" w:rsidR="004C236C" w:rsidRDefault="004C236C" w:rsidP="004C236C">
      <w:pPr>
        <w:kinsoku w:val="0"/>
        <w:overflowPunct w:val="0"/>
        <w:autoSpaceDE w:val="0"/>
        <w:autoSpaceDN w:val="0"/>
        <w:adjustRightInd w:val="0"/>
        <w:spacing w:before="210" w:line="249" w:lineRule="auto"/>
        <w:ind w:left="100" w:right="254"/>
        <w:rPr>
          <w:sz w:val="20"/>
          <w:szCs w:val="20"/>
        </w:rPr>
      </w:pPr>
      <w:r w:rsidRPr="0079736F">
        <w:rPr>
          <w:sz w:val="20"/>
          <w:szCs w:val="20"/>
        </w:rPr>
        <w:t>Recipients must affix the applicable copyright notices of 17 U.S.C. sections 401 or 402 and an acknowledgement of U.S. Government sponsorship (including the award number) to any work first produced under federal financial assistance awards.</w:t>
      </w:r>
    </w:p>
    <w:p w14:paraId="548DEAC9" w14:textId="77777777" w:rsidR="00286193" w:rsidRPr="0079736F" w:rsidRDefault="00286193" w:rsidP="004C236C">
      <w:pPr>
        <w:kinsoku w:val="0"/>
        <w:overflowPunct w:val="0"/>
        <w:autoSpaceDE w:val="0"/>
        <w:autoSpaceDN w:val="0"/>
        <w:adjustRightInd w:val="0"/>
        <w:spacing w:before="210" w:line="249" w:lineRule="auto"/>
        <w:ind w:left="100" w:right="254"/>
        <w:rPr>
          <w:sz w:val="20"/>
          <w:szCs w:val="20"/>
        </w:rPr>
      </w:pPr>
    </w:p>
    <w:p w14:paraId="70DBADBF" w14:textId="77777777" w:rsidR="004C236C" w:rsidRPr="0079736F" w:rsidRDefault="004C236C" w:rsidP="004C236C">
      <w:pPr>
        <w:kinsoku w:val="0"/>
        <w:overflowPunct w:val="0"/>
        <w:autoSpaceDE w:val="0"/>
        <w:autoSpaceDN w:val="0"/>
        <w:adjustRightInd w:val="0"/>
        <w:spacing w:before="201"/>
        <w:ind w:left="100"/>
        <w:outlineLvl w:val="0"/>
        <w:rPr>
          <w:b/>
          <w:bCs/>
          <w:sz w:val="20"/>
          <w:szCs w:val="20"/>
        </w:rPr>
      </w:pPr>
      <w:r w:rsidRPr="0079736F">
        <w:rPr>
          <w:b/>
          <w:bCs/>
          <w:sz w:val="20"/>
          <w:szCs w:val="20"/>
        </w:rPr>
        <w:lastRenderedPageBreak/>
        <w:t>Debarment and Suspension</w:t>
      </w:r>
    </w:p>
    <w:p w14:paraId="36A56243" w14:textId="77777777" w:rsidR="004C236C" w:rsidRPr="0079736F" w:rsidRDefault="004C236C" w:rsidP="004C236C">
      <w:pPr>
        <w:kinsoku w:val="0"/>
        <w:overflowPunct w:val="0"/>
        <w:autoSpaceDE w:val="0"/>
        <w:autoSpaceDN w:val="0"/>
        <w:adjustRightInd w:val="0"/>
        <w:spacing w:before="210" w:line="249" w:lineRule="auto"/>
        <w:ind w:left="100" w:right="177"/>
        <w:rPr>
          <w:sz w:val="20"/>
          <w:szCs w:val="20"/>
        </w:rPr>
      </w:pPr>
      <w:r w:rsidRPr="0079736F">
        <w:rPr>
          <w:sz w:val="20"/>
          <w:szCs w:val="20"/>
        </w:rPr>
        <w:t>Recipients are subject to the non-procurement debarment and suspension regulations implementing Executive Orders (E.O.) 12549 and 12689, which are at 2 C.F.R. Part 180 as adopted by DHS at 2 C.F.R. Part 3002. These regulations restrict federal financial assistance awards, subawards, and contracts with certain parties that are debarred, suspended, or otherwise excluded from or ineligible for participation in federal assistance programs or activities.</w:t>
      </w:r>
    </w:p>
    <w:p w14:paraId="01B77CAF"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Drug-Free Workplace Regulations</w:t>
      </w:r>
    </w:p>
    <w:p w14:paraId="7736FEF7" w14:textId="77777777" w:rsidR="004C236C" w:rsidRPr="0079736F" w:rsidRDefault="004C236C" w:rsidP="004C236C">
      <w:pPr>
        <w:kinsoku w:val="0"/>
        <w:overflowPunct w:val="0"/>
        <w:autoSpaceDE w:val="0"/>
        <w:autoSpaceDN w:val="0"/>
        <w:adjustRightInd w:val="0"/>
        <w:spacing w:before="210"/>
        <w:ind w:left="100"/>
        <w:rPr>
          <w:sz w:val="20"/>
          <w:szCs w:val="20"/>
        </w:rPr>
      </w:pPr>
      <w:r w:rsidRPr="0079736F">
        <w:rPr>
          <w:sz w:val="20"/>
          <w:szCs w:val="20"/>
        </w:rPr>
        <w:t>Recipients must comply with drug-free workplace requirements in Subpart B (or Subpart C, if the recipient is an individual) of 2</w:t>
      </w:r>
      <w:r>
        <w:rPr>
          <w:sz w:val="20"/>
          <w:szCs w:val="20"/>
        </w:rPr>
        <w:t xml:space="preserve"> </w:t>
      </w:r>
      <w:r w:rsidRPr="0079736F">
        <w:rPr>
          <w:sz w:val="20"/>
          <w:szCs w:val="20"/>
        </w:rPr>
        <w:t>C.F.R. Part 3001, which adopts the Government-wide implementation (2 C.F.R. Part 182) of Sec. 5152-5158 of the Drug-Free Workplace Act of 1988 (41 U.S.C. sections 8101-8106).</w:t>
      </w:r>
    </w:p>
    <w:p w14:paraId="13E04F2F" w14:textId="77777777" w:rsidR="004C236C" w:rsidRPr="0079736F" w:rsidRDefault="004C236C" w:rsidP="004C236C">
      <w:pPr>
        <w:kinsoku w:val="0"/>
        <w:overflowPunct w:val="0"/>
        <w:autoSpaceDE w:val="0"/>
        <w:autoSpaceDN w:val="0"/>
        <w:adjustRightInd w:val="0"/>
        <w:spacing w:before="201"/>
        <w:ind w:left="100"/>
        <w:outlineLvl w:val="0"/>
        <w:rPr>
          <w:b/>
          <w:bCs/>
          <w:sz w:val="20"/>
          <w:szCs w:val="20"/>
        </w:rPr>
      </w:pPr>
      <w:r w:rsidRPr="0079736F">
        <w:rPr>
          <w:b/>
          <w:bCs/>
          <w:sz w:val="20"/>
          <w:szCs w:val="20"/>
        </w:rPr>
        <w:t>Duplication of Benefits</w:t>
      </w:r>
    </w:p>
    <w:p w14:paraId="1F4A7573" w14:textId="77777777" w:rsidR="004C236C" w:rsidRPr="0079736F" w:rsidRDefault="004C236C" w:rsidP="004C236C">
      <w:pPr>
        <w:kinsoku w:val="0"/>
        <w:overflowPunct w:val="0"/>
        <w:autoSpaceDE w:val="0"/>
        <w:autoSpaceDN w:val="0"/>
        <w:adjustRightInd w:val="0"/>
        <w:spacing w:before="210" w:line="249" w:lineRule="auto"/>
        <w:ind w:left="100" w:right="633"/>
        <w:jc w:val="both"/>
        <w:rPr>
          <w:sz w:val="20"/>
          <w:szCs w:val="20"/>
        </w:rPr>
      </w:pPr>
      <w:r w:rsidRPr="0079736F">
        <w:rPr>
          <w:sz w:val="20"/>
          <w:szCs w:val="20"/>
        </w:rPr>
        <w:t>Any cost allocable to a particular federal financial assistance award provided for in 2 C.F.R. Part 200, Subpart E may not be charged to other federal financial assistance awards to overcome fund deficiencies; to avoid restrictions imposed by</w:t>
      </w:r>
      <w:r>
        <w:rPr>
          <w:sz w:val="20"/>
          <w:szCs w:val="20"/>
        </w:rPr>
        <w:t xml:space="preserve"> </w:t>
      </w:r>
      <w:r w:rsidRPr="0079736F">
        <w:rPr>
          <w:sz w:val="20"/>
          <w:szCs w:val="20"/>
        </w:rPr>
        <w:t>federal statutes, regulations, or federal financial assistance award terms and conditions; or for other reasons. However, these prohibitions would not preclude recipients from shifting costs that are allowable under two or more awards in accordance with existing federal statutes, regulations, or the federal financial assistance award terms and conditions.</w:t>
      </w:r>
    </w:p>
    <w:p w14:paraId="0688792C"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Education Amendments of 1972 (Equal Opportunity in Education Act) - Title IX</w:t>
      </w:r>
    </w:p>
    <w:p w14:paraId="3C9D4FE5" w14:textId="77777777" w:rsidR="004C236C" w:rsidRPr="0079736F" w:rsidRDefault="004C236C" w:rsidP="004C236C">
      <w:pPr>
        <w:kinsoku w:val="0"/>
        <w:overflowPunct w:val="0"/>
        <w:autoSpaceDE w:val="0"/>
        <w:autoSpaceDN w:val="0"/>
        <w:adjustRightInd w:val="0"/>
        <w:spacing w:before="210" w:line="249" w:lineRule="auto"/>
        <w:ind w:left="100" w:right="288"/>
        <w:rPr>
          <w:sz w:val="20"/>
          <w:szCs w:val="20"/>
        </w:rPr>
      </w:pPr>
      <w:r w:rsidRPr="0079736F">
        <w:rPr>
          <w:sz w:val="20"/>
          <w:szCs w:val="20"/>
        </w:rPr>
        <w:t>Recipients must comply with the requirements of Title IX of the Education Amendments of 1972, Pub. L. 92-318 (1972) (codified as amended at 20 U.S.C. section 1681 et seq.), which provide that no person in the United States will, on the basis of sex, be excluded from participation in, be denied the benefits of, or be subjected to discrimination under any educational program or activity receiving federal financial assistance. DHS implementing regulations are codified at 6 C.F.R. Part 17 and 44 C.F.R. Part 19.</w:t>
      </w:r>
    </w:p>
    <w:p w14:paraId="7A0EE5E5"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Energy Policy and Conservation Act</w:t>
      </w:r>
    </w:p>
    <w:p w14:paraId="28967D00" w14:textId="77777777" w:rsidR="004C236C" w:rsidRPr="0079736F" w:rsidRDefault="004C236C" w:rsidP="004C236C">
      <w:pPr>
        <w:kinsoku w:val="0"/>
        <w:overflowPunct w:val="0"/>
        <w:autoSpaceDE w:val="0"/>
        <w:autoSpaceDN w:val="0"/>
        <w:adjustRightInd w:val="0"/>
        <w:spacing w:before="211" w:line="249" w:lineRule="auto"/>
        <w:ind w:left="100" w:right="187"/>
        <w:rPr>
          <w:sz w:val="20"/>
          <w:szCs w:val="20"/>
        </w:rPr>
      </w:pPr>
      <w:r w:rsidRPr="0079736F">
        <w:rPr>
          <w:sz w:val="20"/>
          <w:szCs w:val="20"/>
        </w:rPr>
        <w:t>Recipients must comply with the requirements of the Energy Policy and Conservation Act, Pub. L. 94- 163 (1975) (codified as amended at 42 U.S.C. section 6201 et seq.), which contain policies relating to energy efficiency that are defined in the state energy conservation plan issued in compliance with this Act.</w:t>
      </w:r>
    </w:p>
    <w:p w14:paraId="304637C0"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False Claims Act and Program Fraud Civil Remedies</w:t>
      </w:r>
    </w:p>
    <w:p w14:paraId="10D596EC" w14:textId="77777777" w:rsidR="004C236C" w:rsidRPr="0079736F" w:rsidRDefault="004C236C" w:rsidP="004C236C">
      <w:pPr>
        <w:kinsoku w:val="0"/>
        <w:overflowPunct w:val="0"/>
        <w:autoSpaceDE w:val="0"/>
        <w:autoSpaceDN w:val="0"/>
        <w:adjustRightInd w:val="0"/>
        <w:spacing w:before="210" w:line="249" w:lineRule="auto"/>
        <w:ind w:left="100" w:right="321"/>
        <w:rPr>
          <w:sz w:val="20"/>
          <w:szCs w:val="20"/>
        </w:rPr>
      </w:pPr>
      <w:r w:rsidRPr="0079736F">
        <w:rPr>
          <w:sz w:val="20"/>
          <w:szCs w:val="20"/>
        </w:rPr>
        <w:t>Recipients must comply with the requirements of the False Claims Act, 31 U.S.C. sections 3729- 3733, which prohibit the submission of false or fraudulent claims for payment to the Federal Government. (See 31 U.S.C. sections 3801-3812, which details the administrative remedies for false claims and statements made.)</w:t>
      </w:r>
    </w:p>
    <w:p w14:paraId="6D0B8ADD"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Federal Debt Status</w:t>
      </w:r>
    </w:p>
    <w:p w14:paraId="6EDB23CA" w14:textId="77777777" w:rsidR="004C236C" w:rsidRDefault="004C236C" w:rsidP="004C236C">
      <w:pPr>
        <w:kinsoku w:val="0"/>
        <w:overflowPunct w:val="0"/>
        <w:autoSpaceDE w:val="0"/>
        <w:autoSpaceDN w:val="0"/>
        <w:adjustRightInd w:val="0"/>
        <w:spacing w:before="210" w:line="249" w:lineRule="auto"/>
        <w:ind w:left="100" w:right="643"/>
        <w:jc w:val="both"/>
        <w:rPr>
          <w:sz w:val="20"/>
          <w:szCs w:val="20"/>
        </w:rPr>
      </w:pPr>
      <w:r w:rsidRPr="0079736F">
        <w:rPr>
          <w:sz w:val="20"/>
          <w:szCs w:val="20"/>
        </w:rPr>
        <w:t>All recipients are required to be non-delinquent in their repayment of any federal debt. Examples of relevant debt include delinquent payroll and other taxes, audit disallowances, and benefit overpayments. (See OMB Circular A-129.)</w:t>
      </w:r>
    </w:p>
    <w:p w14:paraId="5EB50840" w14:textId="77777777" w:rsidR="004C236C" w:rsidRPr="0079736F" w:rsidRDefault="004C236C" w:rsidP="00286193">
      <w:pPr>
        <w:kinsoku w:val="0"/>
        <w:overflowPunct w:val="0"/>
        <w:autoSpaceDE w:val="0"/>
        <w:autoSpaceDN w:val="0"/>
        <w:adjustRightInd w:val="0"/>
        <w:spacing w:before="202"/>
        <w:ind w:firstLine="100"/>
        <w:outlineLvl w:val="0"/>
        <w:rPr>
          <w:b/>
          <w:bCs/>
          <w:sz w:val="20"/>
          <w:szCs w:val="20"/>
        </w:rPr>
      </w:pPr>
      <w:r w:rsidRPr="0079736F">
        <w:rPr>
          <w:b/>
          <w:bCs/>
          <w:sz w:val="20"/>
          <w:szCs w:val="20"/>
        </w:rPr>
        <w:t>Federal Leadership on Reducing Text Messaging while Driving</w:t>
      </w:r>
    </w:p>
    <w:p w14:paraId="620A7350" w14:textId="77777777" w:rsidR="004C236C" w:rsidRPr="0079736F" w:rsidRDefault="004C236C" w:rsidP="004C236C">
      <w:pPr>
        <w:kinsoku w:val="0"/>
        <w:overflowPunct w:val="0"/>
        <w:autoSpaceDE w:val="0"/>
        <w:autoSpaceDN w:val="0"/>
        <w:adjustRightInd w:val="0"/>
        <w:spacing w:before="210" w:line="249" w:lineRule="auto"/>
        <w:ind w:left="100" w:right="397"/>
        <w:rPr>
          <w:sz w:val="20"/>
          <w:szCs w:val="20"/>
        </w:rPr>
      </w:pPr>
      <w:r w:rsidRPr="0079736F">
        <w:rPr>
          <w:sz w:val="20"/>
          <w:szCs w:val="20"/>
        </w:rPr>
        <w:t>Recipients are encouraged to adopt and enforce policies that ban text messaging while driving as described in E.O. 13513, including conducting initiatives described in Section 3(a) of the Order when on official government business or when performing any work for or on behalf of the Federal Government.</w:t>
      </w:r>
    </w:p>
    <w:p w14:paraId="18642BA2" w14:textId="77777777" w:rsidR="00286193" w:rsidRDefault="00286193" w:rsidP="004C236C">
      <w:pPr>
        <w:kinsoku w:val="0"/>
        <w:overflowPunct w:val="0"/>
        <w:autoSpaceDE w:val="0"/>
        <w:autoSpaceDN w:val="0"/>
        <w:adjustRightInd w:val="0"/>
        <w:spacing w:before="203"/>
        <w:ind w:left="100"/>
        <w:outlineLvl w:val="0"/>
        <w:rPr>
          <w:b/>
          <w:bCs/>
          <w:sz w:val="20"/>
          <w:szCs w:val="20"/>
        </w:rPr>
      </w:pPr>
    </w:p>
    <w:p w14:paraId="45F6ABC3" w14:textId="6374F191"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lastRenderedPageBreak/>
        <w:t>Fly America Act of 1974</w:t>
      </w:r>
    </w:p>
    <w:p w14:paraId="232840AB" w14:textId="77777777" w:rsidR="004C236C" w:rsidRPr="0079736F" w:rsidRDefault="004C236C" w:rsidP="004C236C">
      <w:pPr>
        <w:kinsoku w:val="0"/>
        <w:overflowPunct w:val="0"/>
        <w:autoSpaceDE w:val="0"/>
        <w:autoSpaceDN w:val="0"/>
        <w:adjustRightInd w:val="0"/>
        <w:spacing w:before="1"/>
        <w:rPr>
          <w:b/>
          <w:bCs/>
          <w:sz w:val="20"/>
          <w:szCs w:val="20"/>
        </w:rPr>
      </w:pPr>
    </w:p>
    <w:p w14:paraId="5A459804" w14:textId="77777777" w:rsidR="004C236C" w:rsidRPr="0079736F" w:rsidRDefault="004C236C" w:rsidP="004C236C">
      <w:pPr>
        <w:kinsoku w:val="0"/>
        <w:overflowPunct w:val="0"/>
        <w:autoSpaceDE w:val="0"/>
        <w:autoSpaceDN w:val="0"/>
        <w:adjustRightInd w:val="0"/>
        <w:spacing w:before="53" w:line="249" w:lineRule="auto"/>
        <w:ind w:left="100" w:right="220"/>
        <w:rPr>
          <w:sz w:val="20"/>
          <w:szCs w:val="20"/>
        </w:rPr>
      </w:pPr>
      <w:r w:rsidRPr="0079736F">
        <w:rPr>
          <w:sz w:val="20"/>
          <w:szCs w:val="20"/>
        </w:rPr>
        <w:t>Recipients must comply with Preference for U.S. Flag Air Carriers (air carriers holding certificates under 49 U.S.C.) for international air transportation of people and property to the extent that such service is available, in accordance with the International Air Transportation Fair Competitive Practices Act of 1974, 49 U.S.C. section 40118, and the interpretative guidelines issued by the Comptroller General of the United States in the March 31, 1981, amendment to Comptroller General Decision B-138942.</w:t>
      </w:r>
    </w:p>
    <w:p w14:paraId="3AE5BEA0"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Hotel and Motel Fire Safety Act of 1990</w:t>
      </w:r>
    </w:p>
    <w:p w14:paraId="1ACECC8E" w14:textId="77777777" w:rsidR="004C236C" w:rsidRPr="0079736F" w:rsidRDefault="004C236C" w:rsidP="004C236C">
      <w:pPr>
        <w:kinsoku w:val="0"/>
        <w:overflowPunct w:val="0"/>
        <w:autoSpaceDE w:val="0"/>
        <w:autoSpaceDN w:val="0"/>
        <w:adjustRightInd w:val="0"/>
        <w:spacing w:before="210" w:line="249" w:lineRule="auto"/>
        <w:ind w:left="100" w:right="309"/>
        <w:rPr>
          <w:sz w:val="20"/>
          <w:szCs w:val="20"/>
        </w:rPr>
      </w:pPr>
      <w:r w:rsidRPr="0079736F">
        <w:rPr>
          <w:sz w:val="20"/>
          <w:szCs w:val="20"/>
        </w:rPr>
        <w:t>Recipients must ensure that all conference, meeting, convention, or training space funded in whole or in part with federal funds complies with the fire prevention and control guidelines of Section 6 of the Hotel and Motel Fire Safety Act of 1990, 15</w:t>
      </w:r>
      <w:r>
        <w:rPr>
          <w:sz w:val="20"/>
          <w:szCs w:val="20"/>
        </w:rPr>
        <w:t xml:space="preserve"> </w:t>
      </w:r>
      <w:r w:rsidRPr="0079736F">
        <w:rPr>
          <w:sz w:val="20"/>
          <w:szCs w:val="20"/>
        </w:rPr>
        <w:t>U.S.C. section 2225a.</w:t>
      </w:r>
    </w:p>
    <w:p w14:paraId="0A8A218E" w14:textId="77777777" w:rsidR="004C236C" w:rsidRPr="0079736F" w:rsidRDefault="004C236C" w:rsidP="004C236C">
      <w:pPr>
        <w:kinsoku w:val="0"/>
        <w:overflowPunct w:val="0"/>
        <w:autoSpaceDE w:val="0"/>
        <w:autoSpaceDN w:val="0"/>
        <w:adjustRightInd w:val="0"/>
        <w:spacing w:before="210"/>
        <w:ind w:left="100"/>
        <w:outlineLvl w:val="0"/>
        <w:rPr>
          <w:b/>
          <w:bCs/>
          <w:sz w:val="20"/>
          <w:szCs w:val="20"/>
        </w:rPr>
      </w:pPr>
      <w:r w:rsidRPr="0079736F">
        <w:rPr>
          <w:b/>
          <w:bCs/>
          <w:sz w:val="20"/>
          <w:szCs w:val="20"/>
        </w:rPr>
        <w:t>John S. McCain National Defense Authorization Act of Fiscal Year 2019</w:t>
      </w:r>
    </w:p>
    <w:p w14:paraId="70360060" w14:textId="77777777" w:rsidR="004C236C" w:rsidRPr="0079736F" w:rsidRDefault="004C236C" w:rsidP="004C236C">
      <w:pPr>
        <w:kinsoku w:val="0"/>
        <w:overflowPunct w:val="0"/>
        <w:autoSpaceDE w:val="0"/>
        <w:autoSpaceDN w:val="0"/>
        <w:adjustRightInd w:val="0"/>
        <w:spacing w:before="210" w:line="249" w:lineRule="auto"/>
        <w:ind w:left="100" w:right="255"/>
        <w:jc w:val="both"/>
        <w:rPr>
          <w:sz w:val="20"/>
          <w:szCs w:val="20"/>
        </w:rPr>
      </w:pPr>
      <w:r w:rsidRPr="0079736F">
        <w:rPr>
          <w:sz w:val="20"/>
          <w:szCs w:val="20"/>
        </w:rPr>
        <w:t>Recipients, subrecipients, and their contractors and subcontractors are subject to the prohibitions described in section 889 of the John S. McCain National Defense Authorization Act for Fiscal Year 2019, Pub. L. No. 115-232 (2018) and</w:t>
      </w:r>
      <w:r>
        <w:rPr>
          <w:sz w:val="20"/>
          <w:szCs w:val="20"/>
        </w:rPr>
        <w:t xml:space="preserve"> </w:t>
      </w:r>
      <w:r w:rsidRPr="0079736F">
        <w:rPr>
          <w:sz w:val="20"/>
          <w:szCs w:val="20"/>
        </w:rPr>
        <w:t>2 C.F.R. sections 200.216, 200.327, 200.471, and Appendix II to 2 C.F.R. Part 200. Beginning August 13, 2020, the statute</w:t>
      </w:r>
      <w:r>
        <w:rPr>
          <w:sz w:val="20"/>
          <w:szCs w:val="20"/>
        </w:rPr>
        <w:t xml:space="preserve"> </w:t>
      </w:r>
      <w:r w:rsidRPr="0079736F">
        <w:rPr>
          <w:sz w:val="20"/>
          <w:szCs w:val="20"/>
        </w:rPr>
        <w:t>as it applies to DHS recipients, subrecipients, and their contractors and subcontractors - prohibits obligating or expending federal award funds on certain telecommunications and video surveillance products and contracting with certain entities for national security reasons.</w:t>
      </w:r>
    </w:p>
    <w:p w14:paraId="62B96121" w14:textId="77777777" w:rsidR="004C236C" w:rsidRPr="0079736F" w:rsidRDefault="004C236C" w:rsidP="004C236C">
      <w:pPr>
        <w:kinsoku w:val="0"/>
        <w:overflowPunct w:val="0"/>
        <w:autoSpaceDE w:val="0"/>
        <w:autoSpaceDN w:val="0"/>
        <w:adjustRightInd w:val="0"/>
        <w:spacing w:before="202"/>
        <w:ind w:left="100"/>
        <w:jc w:val="both"/>
        <w:outlineLvl w:val="0"/>
        <w:rPr>
          <w:b/>
          <w:bCs/>
          <w:sz w:val="20"/>
          <w:szCs w:val="20"/>
        </w:rPr>
      </w:pPr>
      <w:r w:rsidRPr="0079736F">
        <w:rPr>
          <w:b/>
          <w:bCs/>
          <w:sz w:val="20"/>
          <w:szCs w:val="20"/>
        </w:rPr>
        <w:t>Limited English Proficiency (Civil Rights Act of 1964 - Title VI)</w:t>
      </w:r>
    </w:p>
    <w:p w14:paraId="7CD00B5F" w14:textId="77777777" w:rsidR="004C236C" w:rsidRPr="0079736F" w:rsidRDefault="004C236C" w:rsidP="004C236C">
      <w:pPr>
        <w:kinsoku w:val="0"/>
        <w:overflowPunct w:val="0"/>
        <w:autoSpaceDE w:val="0"/>
        <w:autoSpaceDN w:val="0"/>
        <w:adjustRightInd w:val="0"/>
        <w:spacing w:before="210" w:line="249" w:lineRule="auto"/>
        <w:ind w:left="100" w:right="188"/>
        <w:rPr>
          <w:sz w:val="20"/>
          <w:szCs w:val="20"/>
        </w:rPr>
      </w:pPr>
      <w:r w:rsidRPr="0079736F">
        <w:rPr>
          <w:sz w:val="20"/>
          <w:szCs w:val="20"/>
        </w:rPr>
        <w:t xml:space="preserve">Recipients must comply with Title VI of the Civil Rights Act of 1964, (42 U.S.C. section 2000d et seq.) prohibition against discrimination on the basis of national origin, which requires that recipients of federal financial assistance take reasonable steps to provide meaningful access to persons with limited English proficiency (LEP) to their programs and services. For additional assistance and information regarding language access obligations, please refer to the DHS Recipient Guidance: </w:t>
      </w:r>
      <w:hyperlink r:id="rId8" w:history="1">
        <w:r w:rsidRPr="0079736F">
          <w:rPr>
            <w:sz w:val="20"/>
            <w:szCs w:val="20"/>
          </w:rPr>
          <w:t>https://www.dhs.gov/guidance-published-help-department-supported-organizations-provide-meaningful-access-people-limited</w:t>
        </w:r>
      </w:hyperlink>
      <w:r w:rsidRPr="0079736F">
        <w:rPr>
          <w:sz w:val="20"/>
          <w:szCs w:val="20"/>
        </w:rPr>
        <w:t xml:space="preserve"> and additional resources on </w:t>
      </w:r>
      <w:hyperlink r:id="rId9" w:history="1">
        <w:r w:rsidRPr="0079736F">
          <w:rPr>
            <w:sz w:val="20"/>
            <w:szCs w:val="20"/>
          </w:rPr>
          <w:t>http://www.lep.gov.</w:t>
        </w:r>
      </w:hyperlink>
    </w:p>
    <w:p w14:paraId="54513A4A" w14:textId="77777777" w:rsidR="004C236C" w:rsidRPr="0079736F" w:rsidRDefault="004C236C" w:rsidP="004C236C">
      <w:pPr>
        <w:kinsoku w:val="0"/>
        <w:overflowPunct w:val="0"/>
        <w:autoSpaceDE w:val="0"/>
        <w:autoSpaceDN w:val="0"/>
        <w:adjustRightInd w:val="0"/>
        <w:spacing w:before="205"/>
        <w:ind w:left="100"/>
        <w:jc w:val="both"/>
        <w:outlineLvl w:val="0"/>
        <w:rPr>
          <w:b/>
          <w:bCs/>
          <w:sz w:val="20"/>
          <w:szCs w:val="20"/>
        </w:rPr>
      </w:pPr>
      <w:r w:rsidRPr="0079736F">
        <w:rPr>
          <w:b/>
          <w:bCs/>
          <w:sz w:val="20"/>
          <w:szCs w:val="20"/>
        </w:rPr>
        <w:t>Lobbying Prohibitions</w:t>
      </w:r>
    </w:p>
    <w:p w14:paraId="4B360F9C" w14:textId="77777777" w:rsidR="004C236C" w:rsidRPr="0079736F" w:rsidRDefault="004C236C" w:rsidP="004C236C">
      <w:pPr>
        <w:kinsoku w:val="0"/>
        <w:overflowPunct w:val="0"/>
        <w:autoSpaceDE w:val="0"/>
        <w:autoSpaceDN w:val="0"/>
        <w:adjustRightInd w:val="0"/>
        <w:spacing w:before="210" w:line="249" w:lineRule="auto"/>
        <w:ind w:left="100" w:right="187"/>
        <w:rPr>
          <w:sz w:val="20"/>
          <w:szCs w:val="20"/>
        </w:rPr>
      </w:pPr>
      <w:r w:rsidRPr="0079736F">
        <w:rPr>
          <w:sz w:val="20"/>
          <w:szCs w:val="20"/>
        </w:rPr>
        <w:t>Recipients must comply with 31 U.S.C. section 1352, which provides that none of the funds provided under a federal financial assistance award may be expended by the recipient to pay any person to influence, or attempt to influence an officer or employee of any agency, a Member of Congress, an officer or employee of Congress, or an employee of a Member of Congress in connection with any federal action related to a federal award or contract, including any extension, continuation, renewal, amendment, or modification.</w:t>
      </w:r>
    </w:p>
    <w:p w14:paraId="7401AEA2" w14:textId="77777777" w:rsidR="004C236C" w:rsidRPr="0079736F" w:rsidRDefault="004C236C" w:rsidP="004C236C">
      <w:pPr>
        <w:kinsoku w:val="0"/>
        <w:overflowPunct w:val="0"/>
        <w:autoSpaceDE w:val="0"/>
        <w:autoSpaceDN w:val="0"/>
        <w:adjustRightInd w:val="0"/>
        <w:spacing w:before="204"/>
        <w:ind w:left="100"/>
        <w:jc w:val="both"/>
        <w:outlineLvl w:val="0"/>
        <w:rPr>
          <w:b/>
          <w:bCs/>
          <w:sz w:val="20"/>
          <w:szCs w:val="20"/>
        </w:rPr>
      </w:pPr>
      <w:r w:rsidRPr="0079736F">
        <w:rPr>
          <w:b/>
          <w:bCs/>
          <w:sz w:val="20"/>
          <w:szCs w:val="20"/>
        </w:rPr>
        <w:t>National Environmental Policy Act</w:t>
      </w:r>
    </w:p>
    <w:p w14:paraId="7F956A51" w14:textId="77777777" w:rsidR="004C236C" w:rsidRDefault="004C236C" w:rsidP="004C236C">
      <w:pPr>
        <w:kinsoku w:val="0"/>
        <w:overflowPunct w:val="0"/>
        <w:autoSpaceDE w:val="0"/>
        <w:autoSpaceDN w:val="0"/>
        <w:adjustRightInd w:val="0"/>
        <w:spacing w:before="210" w:line="249" w:lineRule="auto"/>
        <w:ind w:left="100" w:right="187"/>
        <w:rPr>
          <w:sz w:val="20"/>
          <w:szCs w:val="20"/>
        </w:rPr>
      </w:pPr>
      <w:r w:rsidRPr="0079736F">
        <w:rPr>
          <w:sz w:val="20"/>
          <w:szCs w:val="20"/>
        </w:rPr>
        <w:t>Recipients must comply with the requirements of the National Environmental Policy Act of 1969, (NEPA) Pub. L. 91-190 (1970) (codified as amended at 42 U.S.C. section 4321 et seq.) and the Council on Environmental Quality (CEQ) Regulations for Implementing the Procedural Provisions of NEPA, which require recipients to use all practicable means within their authority, and consistent with other essential considerations of national policy, to create and maintain conditions under which people and nature can exist in productive harmony and fulfill the social, economic, and other needs of present and future generations of Americans.</w:t>
      </w:r>
    </w:p>
    <w:p w14:paraId="42388A25" w14:textId="77777777" w:rsidR="004C236C" w:rsidRPr="0079736F" w:rsidRDefault="004C236C" w:rsidP="004C236C">
      <w:pPr>
        <w:kinsoku w:val="0"/>
        <w:overflowPunct w:val="0"/>
        <w:autoSpaceDE w:val="0"/>
        <w:autoSpaceDN w:val="0"/>
        <w:adjustRightInd w:val="0"/>
        <w:spacing w:before="205"/>
        <w:ind w:left="100"/>
        <w:jc w:val="both"/>
        <w:outlineLvl w:val="0"/>
        <w:rPr>
          <w:b/>
          <w:bCs/>
          <w:sz w:val="20"/>
          <w:szCs w:val="20"/>
        </w:rPr>
      </w:pPr>
      <w:r w:rsidRPr="0079736F">
        <w:rPr>
          <w:b/>
          <w:bCs/>
          <w:sz w:val="20"/>
          <w:szCs w:val="20"/>
        </w:rPr>
        <w:t>Nondiscrimination in Matters Pertaining to Faith-Based Organizations</w:t>
      </w:r>
    </w:p>
    <w:p w14:paraId="0E1893F2" w14:textId="77777777" w:rsidR="004C236C" w:rsidRPr="0079736F" w:rsidRDefault="004C236C" w:rsidP="004C236C">
      <w:pPr>
        <w:kinsoku w:val="0"/>
        <w:overflowPunct w:val="0"/>
        <w:autoSpaceDE w:val="0"/>
        <w:autoSpaceDN w:val="0"/>
        <w:adjustRightInd w:val="0"/>
        <w:spacing w:before="210" w:line="249" w:lineRule="auto"/>
        <w:ind w:left="100" w:right="430"/>
        <w:rPr>
          <w:sz w:val="20"/>
          <w:szCs w:val="20"/>
        </w:rPr>
      </w:pPr>
      <w:r w:rsidRPr="0079736F">
        <w:rPr>
          <w:sz w:val="20"/>
          <w:szCs w:val="20"/>
        </w:rPr>
        <w:t xml:space="preserve">It is DHS policy to ensure the equal treatment of faith-based organizations in social service programs administered or supported by DHS or its component agencies, enabling those organizations to participate in providing important social services to beneficiaries. Recipients must comply with the equal treatment policies </w:t>
      </w:r>
      <w:r w:rsidRPr="0079736F">
        <w:rPr>
          <w:sz w:val="20"/>
          <w:szCs w:val="20"/>
        </w:rPr>
        <w:lastRenderedPageBreak/>
        <w:t>and requirements contained in 6 C.F.R. Part 19 and other applicable statues, regulations, and guidance governing the participations of faith-based organizations in individual DHS programs.</w:t>
      </w:r>
    </w:p>
    <w:p w14:paraId="5FF070F8" w14:textId="77777777" w:rsidR="004C236C" w:rsidRPr="0079736F" w:rsidRDefault="004C236C" w:rsidP="004C236C">
      <w:pPr>
        <w:kinsoku w:val="0"/>
        <w:overflowPunct w:val="0"/>
        <w:autoSpaceDE w:val="0"/>
        <w:autoSpaceDN w:val="0"/>
        <w:adjustRightInd w:val="0"/>
        <w:spacing w:before="204"/>
        <w:ind w:left="100"/>
        <w:jc w:val="both"/>
        <w:outlineLvl w:val="0"/>
        <w:rPr>
          <w:b/>
          <w:bCs/>
          <w:sz w:val="20"/>
          <w:szCs w:val="20"/>
        </w:rPr>
      </w:pPr>
      <w:r w:rsidRPr="0079736F">
        <w:rPr>
          <w:b/>
          <w:bCs/>
          <w:sz w:val="20"/>
          <w:szCs w:val="20"/>
        </w:rPr>
        <w:t>Non-Supplanting Requirement</w:t>
      </w:r>
    </w:p>
    <w:p w14:paraId="262AD3EE" w14:textId="77777777" w:rsidR="004C236C" w:rsidRPr="0079736F" w:rsidRDefault="004C236C" w:rsidP="004C236C">
      <w:pPr>
        <w:kinsoku w:val="0"/>
        <w:overflowPunct w:val="0"/>
        <w:autoSpaceDE w:val="0"/>
        <w:autoSpaceDN w:val="0"/>
        <w:adjustRightInd w:val="0"/>
        <w:spacing w:before="210" w:line="249" w:lineRule="auto"/>
        <w:ind w:left="100" w:right="331"/>
        <w:rPr>
          <w:sz w:val="20"/>
          <w:szCs w:val="20"/>
        </w:rPr>
      </w:pPr>
      <w:r w:rsidRPr="0079736F">
        <w:rPr>
          <w:sz w:val="20"/>
          <w:szCs w:val="20"/>
        </w:rPr>
        <w:t>Recipients receiving federal financial assistance awards made under programs that prohibit supplanting by law must ensure that federal funds do not replace (supplant) funds that have been budgeted for the same purpose through non-federal sources.</w:t>
      </w:r>
    </w:p>
    <w:p w14:paraId="54111246" w14:textId="77777777" w:rsidR="004C236C" w:rsidRDefault="004C236C" w:rsidP="004C236C">
      <w:pPr>
        <w:kinsoku w:val="0"/>
        <w:overflowPunct w:val="0"/>
        <w:autoSpaceDE w:val="0"/>
        <w:autoSpaceDN w:val="0"/>
        <w:adjustRightInd w:val="0"/>
        <w:spacing w:before="203"/>
        <w:ind w:left="100"/>
        <w:jc w:val="both"/>
        <w:outlineLvl w:val="0"/>
        <w:rPr>
          <w:b/>
          <w:bCs/>
          <w:sz w:val="20"/>
          <w:szCs w:val="20"/>
        </w:rPr>
      </w:pPr>
      <w:r w:rsidRPr="0079736F">
        <w:rPr>
          <w:b/>
          <w:bCs/>
          <w:sz w:val="20"/>
          <w:szCs w:val="20"/>
        </w:rPr>
        <w:t>Notice of Funding Opportunity Requirements</w:t>
      </w:r>
    </w:p>
    <w:p w14:paraId="2DF6E5D7" w14:textId="77777777" w:rsidR="004C236C" w:rsidRDefault="004C236C" w:rsidP="004C236C">
      <w:pPr>
        <w:kinsoku w:val="0"/>
        <w:overflowPunct w:val="0"/>
        <w:autoSpaceDE w:val="0"/>
        <w:autoSpaceDN w:val="0"/>
        <w:adjustRightInd w:val="0"/>
        <w:spacing w:before="53" w:line="249" w:lineRule="auto"/>
        <w:ind w:left="100" w:right="343"/>
        <w:rPr>
          <w:b/>
          <w:bCs/>
          <w:sz w:val="20"/>
          <w:szCs w:val="20"/>
        </w:rPr>
      </w:pPr>
    </w:p>
    <w:p w14:paraId="73DC3DD9" w14:textId="77777777" w:rsidR="004C236C" w:rsidRPr="0079736F" w:rsidRDefault="004C236C" w:rsidP="004C236C">
      <w:pPr>
        <w:kinsoku w:val="0"/>
        <w:overflowPunct w:val="0"/>
        <w:autoSpaceDE w:val="0"/>
        <w:autoSpaceDN w:val="0"/>
        <w:adjustRightInd w:val="0"/>
        <w:spacing w:before="53" w:line="249" w:lineRule="auto"/>
        <w:ind w:left="100" w:right="343"/>
        <w:rPr>
          <w:sz w:val="20"/>
          <w:szCs w:val="20"/>
        </w:rPr>
      </w:pPr>
      <w:r w:rsidRPr="0079736F">
        <w:rPr>
          <w:sz w:val="20"/>
          <w:szCs w:val="20"/>
        </w:rPr>
        <w:t>All the instructions, guidance, limitations, and other conditions set forth in the Notice of Funding Opportunity (NOFO) for this program are incorporated here by reference in the award terms and conditions. All recipients must comply with any such requirements set forth in the program NOFO.</w:t>
      </w:r>
    </w:p>
    <w:p w14:paraId="633D9861"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Patents and Intellectual Property Rights</w:t>
      </w:r>
    </w:p>
    <w:p w14:paraId="4D0BA677" w14:textId="77777777" w:rsidR="004C236C" w:rsidRPr="0079736F" w:rsidRDefault="004C236C" w:rsidP="004C236C">
      <w:pPr>
        <w:kinsoku w:val="0"/>
        <w:overflowPunct w:val="0"/>
        <w:autoSpaceDE w:val="0"/>
        <w:autoSpaceDN w:val="0"/>
        <w:adjustRightInd w:val="0"/>
        <w:spacing w:before="210" w:line="249" w:lineRule="auto"/>
        <w:ind w:left="100" w:right="198"/>
        <w:rPr>
          <w:sz w:val="20"/>
          <w:szCs w:val="20"/>
        </w:rPr>
      </w:pPr>
      <w:r w:rsidRPr="0079736F">
        <w:rPr>
          <w:sz w:val="20"/>
          <w:szCs w:val="20"/>
        </w:rPr>
        <w:t>Recipients are subject to the Bayh-Dole Act, 35 U.S.C. section 200 et seq, unless otherwise provided by law. Recipients are subject to the specific requirements governing the development, reporting, and disposition of rights to inventions and patents resulting from federal financial assistance awards located at 37 C.F.R. Part 401 and the standard patent rights clause located at 37 C.F.R. section 401.14.</w:t>
      </w:r>
    </w:p>
    <w:p w14:paraId="52FE0C47"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Procurement of Recovered Materials</w:t>
      </w:r>
    </w:p>
    <w:p w14:paraId="7729F2F4" w14:textId="77777777" w:rsidR="004C236C" w:rsidRPr="0079736F" w:rsidRDefault="004C236C" w:rsidP="004C236C">
      <w:pPr>
        <w:kinsoku w:val="0"/>
        <w:overflowPunct w:val="0"/>
        <w:autoSpaceDE w:val="0"/>
        <w:autoSpaceDN w:val="0"/>
        <w:adjustRightInd w:val="0"/>
        <w:spacing w:before="210" w:line="249" w:lineRule="auto"/>
        <w:ind w:left="100" w:right="310"/>
        <w:rPr>
          <w:sz w:val="20"/>
          <w:szCs w:val="20"/>
        </w:rPr>
      </w:pPr>
      <w:r w:rsidRPr="0079736F">
        <w:rPr>
          <w:sz w:val="20"/>
          <w:szCs w:val="20"/>
        </w:rPr>
        <w:t>States, political subdivisions of states, and their contractors must comply with Section 6002 of the Solid Waste Disposal Act, Pub. L. 89-272 (1965), (codified as amended by the Resource Conservation and Recovery Act, 42 U.S.C. section 6962.)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w:t>
      </w:r>
    </w:p>
    <w:p w14:paraId="1F5A81D0"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Rehabilitation Act of 1973</w:t>
      </w:r>
    </w:p>
    <w:p w14:paraId="6E32D61C" w14:textId="77777777" w:rsidR="004C236C" w:rsidRPr="0079736F" w:rsidRDefault="004C236C" w:rsidP="004C236C">
      <w:pPr>
        <w:kinsoku w:val="0"/>
        <w:overflowPunct w:val="0"/>
        <w:autoSpaceDE w:val="0"/>
        <w:autoSpaceDN w:val="0"/>
        <w:adjustRightInd w:val="0"/>
        <w:spacing w:before="210" w:line="249" w:lineRule="auto"/>
        <w:ind w:left="100" w:right="99"/>
        <w:rPr>
          <w:sz w:val="20"/>
          <w:szCs w:val="20"/>
        </w:rPr>
      </w:pPr>
      <w:r w:rsidRPr="0079736F">
        <w:rPr>
          <w:sz w:val="20"/>
          <w:szCs w:val="20"/>
        </w:rPr>
        <w:t>Recipients must comply with the requirements of Section 504 of the Rehabilitation Act of 1973, Pub. L. 93-112 (1973) (codified as amended at 29 U.S.C. section 794), which provides that no otherwise qualified handicapped individuals in the United States will, solely by reason of the handicap, be excluded from participation in, be denied the benefits of, or be subjected to discrimination under any program or activity receiving federal financial assistance.</w:t>
      </w:r>
    </w:p>
    <w:p w14:paraId="2F4CF04D"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Reporting of Matters Related to Recipient Integrity and Performance</w:t>
      </w:r>
    </w:p>
    <w:p w14:paraId="35AB84D4" w14:textId="77777777" w:rsidR="004C236C" w:rsidRPr="0079736F" w:rsidRDefault="004C236C" w:rsidP="004C236C">
      <w:pPr>
        <w:kinsoku w:val="0"/>
        <w:overflowPunct w:val="0"/>
        <w:autoSpaceDE w:val="0"/>
        <w:autoSpaceDN w:val="0"/>
        <w:adjustRightInd w:val="0"/>
        <w:spacing w:before="210"/>
        <w:ind w:left="100"/>
        <w:rPr>
          <w:sz w:val="20"/>
          <w:szCs w:val="20"/>
        </w:rPr>
      </w:pPr>
      <w:r w:rsidRPr="0079736F">
        <w:rPr>
          <w:sz w:val="20"/>
          <w:szCs w:val="20"/>
        </w:rPr>
        <w:t>General Reporting Requirements:</w:t>
      </w:r>
    </w:p>
    <w:p w14:paraId="10137E1A" w14:textId="77777777" w:rsidR="004C236C" w:rsidRPr="0079736F" w:rsidRDefault="004C236C" w:rsidP="004C236C">
      <w:pPr>
        <w:kinsoku w:val="0"/>
        <w:overflowPunct w:val="0"/>
        <w:autoSpaceDE w:val="0"/>
        <w:autoSpaceDN w:val="0"/>
        <w:adjustRightInd w:val="0"/>
        <w:spacing w:before="210" w:line="249" w:lineRule="auto"/>
        <w:ind w:left="100" w:right="243"/>
        <w:rPr>
          <w:sz w:val="20"/>
          <w:szCs w:val="20"/>
        </w:rPr>
      </w:pPr>
      <w:r w:rsidRPr="0079736F">
        <w:rPr>
          <w:sz w:val="20"/>
          <w:szCs w:val="20"/>
        </w:rPr>
        <w:t>If the total value of any currently active grants, cooperative agreements, and procurement contracts from all federal awarding agencies exceeds $10,000,000 for any period of time during the period of performance of this federal award, then the recipients must comply with the requirements set forth in the government-wide Award Term and Condition for Recipient Integrity and Performance Matters located at 2 C.F.R. Part 200, Appendix XII, the full text of which is incorporated here by reference in the award terms and conditions.</w:t>
      </w:r>
    </w:p>
    <w:p w14:paraId="56D9710D"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Reporting Subawards and Executive Compensation</w:t>
      </w:r>
    </w:p>
    <w:p w14:paraId="6ED2F61B" w14:textId="77777777" w:rsidR="004C236C" w:rsidRPr="0079736F" w:rsidRDefault="004C236C" w:rsidP="004C236C">
      <w:pPr>
        <w:kinsoku w:val="0"/>
        <w:overflowPunct w:val="0"/>
        <w:autoSpaceDE w:val="0"/>
        <w:autoSpaceDN w:val="0"/>
        <w:adjustRightInd w:val="0"/>
        <w:spacing w:before="210"/>
        <w:ind w:left="100"/>
        <w:rPr>
          <w:sz w:val="20"/>
          <w:szCs w:val="20"/>
        </w:rPr>
      </w:pPr>
      <w:r w:rsidRPr="0079736F">
        <w:rPr>
          <w:sz w:val="20"/>
          <w:szCs w:val="20"/>
        </w:rPr>
        <w:t>Reporting of first tier subawards:</w:t>
      </w:r>
    </w:p>
    <w:p w14:paraId="2E3869B6" w14:textId="77777777" w:rsidR="004C236C" w:rsidRPr="0079736F" w:rsidRDefault="004C236C" w:rsidP="004C236C">
      <w:pPr>
        <w:kinsoku w:val="0"/>
        <w:overflowPunct w:val="0"/>
        <w:autoSpaceDE w:val="0"/>
        <w:autoSpaceDN w:val="0"/>
        <w:adjustRightInd w:val="0"/>
        <w:spacing w:before="210" w:line="249" w:lineRule="auto"/>
        <w:ind w:left="100" w:right="100"/>
        <w:jc w:val="both"/>
        <w:rPr>
          <w:sz w:val="20"/>
          <w:szCs w:val="20"/>
        </w:rPr>
      </w:pPr>
      <w:r w:rsidRPr="0079736F">
        <w:rPr>
          <w:sz w:val="20"/>
          <w:szCs w:val="20"/>
        </w:rPr>
        <w:t>Recipients are required to comply with the requirements set forth in the government-wide award term on Reporting Subawards and Executive Compensation located at 2 C.F.R. Part 170, Appendix A, the full text of which is incorporated here by reference in the award terms and conditions.</w:t>
      </w:r>
    </w:p>
    <w:p w14:paraId="453C475B"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lastRenderedPageBreak/>
        <w:t>Required Use of American Iron, Steel, Manufactured Products, and Construction Materials</w:t>
      </w:r>
    </w:p>
    <w:p w14:paraId="348A388A" w14:textId="77777777" w:rsidR="004C236C" w:rsidRPr="0079736F" w:rsidRDefault="004C236C" w:rsidP="004C236C">
      <w:pPr>
        <w:kinsoku w:val="0"/>
        <w:overflowPunct w:val="0"/>
        <w:autoSpaceDE w:val="0"/>
        <w:autoSpaceDN w:val="0"/>
        <w:adjustRightInd w:val="0"/>
        <w:spacing w:before="210" w:line="249" w:lineRule="auto"/>
        <w:ind w:left="100" w:right="577"/>
        <w:rPr>
          <w:sz w:val="20"/>
          <w:szCs w:val="20"/>
        </w:rPr>
      </w:pPr>
      <w:r w:rsidRPr="0079736F">
        <w:rPr>
          <w:sz w:val="20"/>
          <w:szCs w:val="20"/>
        </w:rPr>
        <w:t xml:space="preserve">Recipients and subrecipients must comply with the Build America, Buy America Act (BABAA), which was enacted as part of the Infrastructure Investment and Jobs Act Sections 70901-70927, Pub. L. No. 117-58 (2021); and Executive Order 14005, Ensuring the Future is Made in All of America by All of America's Workers. </w:t>
      </w:r>
      <w:r w:rsidRPr="0079736F">
        <w:rPr>
          <w:i/>
          <w:iCs/>
          <w:sz w:val="20"/>
          <w:szCs w:val="20"/>
        </w:rPr>
        <w:t xml:space="preserve">See also </w:t>
      </w:r>
      <w:r w:rsidRPr="0079736F">
        <w:rPr>
          <w:sz w:val="20"/>
          <w:szCs w:val="20"/>
        </w:rPr>
        <w:t>Office of Management and</w:t>
      </w:r>
      <w:r>
        <w:rPr>
          <w:sz w:val="20"/>
          <w:szCs w:val="20"/>
        </w:rPr>
        <w:t xml:space="preserve"> </w:t>
      </w:r>
      <w:r w:rsidRPr="0079736F">
        <w:rPr>
          <w:sz w:val="20"/>
          <w:szCs w:val="20"/>
        </w:rPr>
        <w:t>Budget (OMB), Memorandum M-22-11, Initial Implementation Guidance on Application of Buy America Preference in Federal Financial Assistance Programs for Infrastructure.</w:t>
      </w:r>
    </w:p>
    <w:p w14:paraId="35A7CEBD" w14:textId="77777777" w:rsidR="004C236C" w:rsidRPr="0079736F" w:rsidRDefault="004C236C" w:rsidP="004C236C">
      <w:pPr>
        <w:kinsoku w:val="0"/>
        <w:overflowPunct w:val="0"/>
        <w:autoSpaceDE w:val="0"/>
        <w:autoSpaceDN w:val="0"/>
        <w:adjustRightInd w:val="0"/>
        <w:spacing w:before="201" w:line="249" w:lineRule="auto"/>
        <w:ind w:left="100" w:right="453"/>
        <w:rPr>
          <w:sz w:val="20"/>
          <w:szCs w:val="20"/>
        </w:rPr>
      </w:pPr>
      <w:r w:rsidRPr="0079736F">
        <w:rPr>
          <w:sz w:val="20"/>
          <w:szCs w:val="20"/>
        </w:rPr>
        <w:t>Recipients and subrecipients of federal financial assistance programs for infrastructure are hereby notified that none of the funds provided under this award may be used for a project for infrastructure unless:</w:t>
      </w:r>
    </w:p>
    <w:p w14:paraId="01B302E1" w14:textId="6A5AE2FC" w:rsidR="004C236C" w:rsidRPr="0079736F" w:rsidRDefault="00286193" w:rsidP="004C236C">
      <w:pPr>
        <w:numPr>
          <w:ilvl w:val="0"/>
          <w:numId w:val="2"/>
        </w:numPr>
        <w:tabs>
          <w:tab w:val="left" w:pos="400"/>
        </w:tabs>
        <w:kinsoku w:val="0"/>
        <w:overflowPunct w:val="0"/>
        <w:autoSpaceDE w:val="0"/>
        <w:autoSpaceDN w:val="0"/>
        <w:adjustRightInd w:val="0"/>
        <w:spacing w:before="202" w:line="249" w:lineRule="auto"/>
        <w:ind w:right="300"/>
        <w:rPr>
          <w:sz w:val="20"/>
          <w:szCs w:val="20"/>
        </w:rPr>
      </w:pPr>
      <w:r>
        <w:rPr>
          <w:sz w:val="20"/>
          <w:szCs w:val="20"/>
        </w:rPr>
        <w:t>A</w:t>
      </w:r>
      <w:r w:rsidR="004C236C" w:rsidRPr="0079736F">
        <w:rPr>
          <w:sz w:val="20"/>
          <w:szCs w:val="20"/>
        </w:rPr>
        <w:t>ll iron and steel used in the project are produced in the United States--this means all manufacturing processes, from the initial melting stage through the application of coatings, occurred in the United States</w:t>
      </w:r>
      <w:r>
        <w:rPr>
          <w:sz w:val="20"/>
          <w:szCs w:val="20"/>
        </w:rPr>
        <w:t>.</w:t>
      </w:r>
    </w:p>
    <w:p w14:paraId="4B821986" w14:textId="0F56A89F" w:rsidR="004C236C" w:rsidRPr="0079736F" w:rsidRDefault="00286193" w:rsidP="004C236C">
      <w:pPr>
        <w:numPr>
          <w:ilvl w:val="0"/>
          <w:numId w:val="2"/>
        </w:numPr>
        <w:tabs>
          <w:tab w:val="left" w:pos="400"/>
        </w:tabs>
        <w:kinsoku w:val="0"/>
        <w:overflowPunct w:val="0"/>
        <w:autoSpaceDE w:val="0"/>
        <w:autoSpaceDN w:val="0"/>
        <w:adjustRightInd w:val="0"/>
        <w:spacing w:before="2" w:line="249" w:lineRule="auto"/>
        <w:ind w:right="99"/>
        <w:rPr>
          <w:sz w:val="20"/>
          <w:szCs w:val="20"/>
        </w:rPr>
      </w:pPr>
      <w:r>
        <w:rPr>
          <w:sz w:val="20"/>
          <w:szCs w:val="20"/>
        </w:rPr>
        <w:t>A</w:t>
      </w:r>
      <w:r w:rsidR="004C236C" w:rsidRPr="0079736F">
        <w:rPr>
          <w:sz w:val="20"/>
          <w:szCs w:val="20"/>
        </w:rPr>
        <w:t>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w:t>
      </w:r>
      <w:r>
        <w:rPr>
          <w:sz w:val="20"/>
          <w:szCs w:val="20"/>
        </w:rPr>
        <w:t>.</w:t>
      </w:r>
    </w:p>
    <w:p w14:paraId="591A14D4" w14:textId="442B7E28" w:rsidR="004C236C" w:rsidRPr="0079736F" w:rsidRDefault="00286193" w:rsidP="004C236C">
      <w:pPr>
        <w:pStyle w:val="ListParagraph"/>
        <w:numPr>
          <w:ilvl w:val="0"/>
          <w:numId w:val="2"/>
        </w:numPr>
        <w:kinsoku w:val="0"/>
        <w:overflowPunct w:val="0"/>
        <w:autoSpaceDE w:val="0"/>
        <w:autoSpaceDN w:val="0"/>
        <w:adjustRightInd w:val="0"/>
        <w:spacing w:before="53" w:line="249" w:lineRule="auto"/>
        <w:ind w:right="677"/>
        <w:rPr>
          <w:sz w:val="20"/>
          <w:szCs w:val="20"/>
        </w:rPr>
      </w:pPr>
      <w:r>
        <w:rPr>
          <w:sz w:val="20"/>
          <w:szCs w:val="20"/>
        </w:rPr>
        <w:t>A</w:t>
      </w:r>
      <w:r w:rsidR="004C236C" w:rsidRPr="0079736F">
        <w:rPr>
          <w:sz w:val="20"/>
          <w:szCs w:val="20"/>
        </w:rPr>
        <w:t>ll construction materials are manufactured in the United States--this means that all manufacturing processes for the construction material occurred in the United States.</w:t>
      </w:r>
    </w:p>
    <w:p w14:paraId="589DF01E" w14:textId="033E9FAF" w:rsidR="004C236C" w:rsidRPr="0079736F" w:rsidRDefault="004C236C" w:rsidP="004C236C">
      <w:pPr>
        <w:kinsoku w:val="0"/>
        <w:overflowPunct w:val="0"/>
        <w:autoSpaceDE w:val="0"/>
        <w:autoSpaceDN w:val="0"/>
        <w:adjustRightInd w:val="0"/>
        <w:spacing w:before="202" w:line="249" w:lineRule="auto"/>
        <w:ind w:left="100" w:right="110"/>
        <w:rPr>
          <w:sz w:val="20"/>
          <w:szCs w:val="20"/>
        </w:rPr>
      </w:pPr>
      <w:r w:rsidRPr="0079736F">
        <w:rPr>
          <w:sz w:val="20"/>
          <w:szCs w:val="20"/>
        </w:rPr>
        <w:t xml:space="preserve">The Buy America preference only applies to articles, materials, and supplies that are consumed in, incorporated into, or affixed to an infrastructure project. 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w:t>
      </w:r>
      <w:r w:rsidR="00286193" w:rsidRPr="0079736F">
        <w:rPr>
          <w:sz w:val="20"/>
          <w:szCs w:val="20"/>
        </w:rPr>
        <w:t>project, are</w:t>
      </w:r>
      <w:r w:rsidRPr="0079736F">
        <w:rPr>
          <w:sz w:val="20"/>
          <w:szCs w:val="20"/>
        </w:rPr>
        <w:t xml:space="preserve"> not an integral part of the structure or permanently affixed to the infrastructure project.</w:t>
      </w:r>
    </w:p>
    <w:p w14:paraId="3E118657" w14:textId="77777777" w:rsidR="004C236C" w:rsidRPr="0079736F" w:rsidRDefault="004C236C" w:rsidP="004C236C">
      <w:pPr>
        <w:kinsoku w:val="0"/>
        <w:overflowPunct w:val="0"/>
        <w:autoSpaceDE w:val="0"/>
        <w:autoSpaceDN w:val="0"/>
        <w:adjustRightInd w:val="0"/>
        <w:spacing w:before="175"/>
        <w:rPr>
          <w:sz w:val="20"/>
          <w:szCs w:val="20"/>
        </w:rPr>
      </w:pPr>
    </w:p>
    <w:p w14:paraId="415B9078" w14:textId="77777777" w:rsidR="004C236C" w:rsidRPr="0079736F" w:rsidRDefault="004C236C" w:rsidP="004C236C">
      <w:pPr>
        <w:kinsoku w:val="0"/>
        <w:overflowPunct w:val="0"/>
        <w:autoSpaceDE w:val="0"/>
        <w:autoSpaceDN w:val="0"/>
        <w:adjustRightInd w:val="0"/>
        <w:ind w:left="100"/>
        <w:rPr>
          <w:i/>
          <w:iCs/>
          <w:spacing w:val="-2"/>
          <w:sz w:val="20"/>
          <w:szCs w:val="20"/>
        </w:rPr>
      </w:pPr>
      <w:r w:rsidRPr="0079736F">
        <w:rPr>
          <w:i/>
          <w:iCs/>
          <w:spacing w:val="-2"/>
          <w:sz w:val="20"/>
          <w:szCs w:val="20"/>
        </w:rPr>
        <w:t>Waivers</w:t>
      </w:r>
    </w:p>
    <w:p w14:paraId="70C235C4" w14:textId="77777777" w:rsidR="004C236C" w:rsidRPr="0079736F" w:rsidRDefault="004C236C" w:rsidP="004C236C">
      <w:pPr>
        <w:kinsoku w:val="0"/>
        <w:overflowPunct w:val="0"/>
        <w:autoSpaceDE w:val="0"/>
        <w:autoSpaceDN w:val="0"/>
        <w:adjustRightInd w:val="0"/>
        <w:spacing w:before="210"/>
        <w:ind w:left="100"/>
        <w:rPr>
          <w:sz w:val="20"/>
          <w:szCs w:val="20"/>
        </w:rPr>
      </w:pPr>
      <w:r w:rsidRPr="0079736F">
        <w:rPr>
          <w:sz w:val="20"/>
          <w:szCs w:val="20"/>
        </w:rPr>
        <w:t>When necessary, recipients may apply for, and the agency may grant, a waiver from these requirements.</w:t>
      </w:r>
    </w:p>
    <w:p w14:paraId="659588CD" w14:textId="77777777" w:rsidR="004C236C" w:rsidRPr="0079736F" w:rsidRDefault="004C236C" w:rsidP="004C236C">
      <w:pPr>
        <w:numPr>
          <w:ilvl w:val="0"/>
          <w:numId w:val="3"/>
        </w:numPr>
        <w:tabs>
          <w:tab w:val="left" w:pos="400"/>
        </w:tabs>
        <w:kinsoku w:val="0"/>
        <w:overflowPunct w:val="0"/>
        <w:autoSpaceDE w:val="0"/>
        <w:autoSpaceDN w:val="0"/>
        <w:adjustRightInd w:val="0"/>
        <w:spacing w:before="210" w:line="249" w:lineRule="auto"/>
        <w:ind w:right="199"/>
        <w:rPr>
          <w:sz w:val="20"/>
          <w:szCs w:val="20"/>
        </w:rPr>
      </w:pPr>
      <w:r w:rsidRPr="0079736F">
        <w:rPr>
          <w:sz w:val="20"/>
          <w:szCs w:val="20"/>
        </w:rPr>
        <w:t>When the federal agency has made a determination that one of the following exceptions applies, the awarding official may waive the application of the domestic content procurement preference in any case in which the agency determines that:</w:t>
      </w:r>
    </w:p>
    <w:p w14:paraId="34AE1031" w14:textId="25C9C419" w:rsidR="004C236C" w:rsidRPr="0079736F" w:rsidRDefault="004C236C" w:rsidP="004C236C">
      <w:pPr>
        <w:numPr>
          <w:ilvl w:val="1"/>
          <w:numId w:val="4"/>
        </w:numPr>
        <w:tabs>
          <w:tab w:val="left" w:pos="677"/>
        </w:tabs>
        <w:kinsoku w:val="0"/>
        <w:overflowPunct w:val="0"/>
        <w:autoSpaceDE w:val="0"/>
        <w:autoSpaceDN w:val="0"/>
        <w:adjustRightInd w:val="0"/>
        <w:spacing w:before="2"/>
        <w:rPr>
          <w:sz w:val="20"/>
          <w:szCs w:val="20"/>
        </w:rPr>
      </w:pPr>
      <w:r w:rsidRPr="0079736F">
        <w:rPr>
          <w:sz w:val="20"/>
          <w:szCs w:val="20"/>
        </w:rPr>
        <w:t xml:space="preserve">applying the domestic content procurement preference would be inconsistent with the public </w:t>
      </w:r>
      <w:r w:rsidR="00286193" w:rsidRPr="0079736F">
        <w:rPr>
          <w:sz w:val="20"/>
          <w:szCs w:val="20"/>
        </w:rPr>
        <w:t>interest.</w:t>
      </w:r>
    </w:p>
    <w:p w14:paraId="14AFFAF9" w14:textId="77777777" w:rsidR="004C236C" w:rsidRPr="0079736F" w:rsidRDefault="004C236C" w:rsidP="004C236C">
      <w:pPr>
        <w:numPr>
          <w:ilvl w:val="1"/>
          <w:numId w:val="4"/>
        </w:numPr>
        <w:tabs>
          <w:tab w:val="left" w:pos="677"/>
        </w:tabs>
        <w:kinsoku w:val="0"/>
        <w:overflowPunct w:val="0"/>
        <w:autoSpaceDE w:val="0"/>
        <w:autoSpaceDN w:val="0"/>
        <w:adjustRightInd w:val="0"/>
        <w:spacing w:before="10" w:line="249" w:lineRule="auto"/>
        <w:ind w:right="711"/>
        <w:rPr>
          <w:sz w:val="20"/>
          <w:szCs w:val="20"/>
        </w:rPr>
      </w:pPr>
      <w:r w:rsidRPr="0079736F">
        <w:rPr>
          <w:sz w:val="20"/>
          <w:szCs w:val="20"/>
        </w:rPr>
        <w:t>the types of iron, steel, manufactured products, or construction materials are not produced in the United States in sufficient and reasonably available quantities or of a satisfactory quality; or</w:t>
      </w:r>
    </w:p>
    <w:p w14:paraId="3E3BEDC3" w14:textId="77777777" w:rsidR="004C236C" w:rsidRPr="0079736F" w:rsidRDefault="004C236C" w:rsidP="004C236C">
      <w:pPr>
        <w:numPr>
          <w:ilvl w:val="1"/>
          <w:numId w:val="4"/>
        </w:numPr>
        <w:tabs>
          <w:tab w:val="left" w:pos="677"/>
        </w:tabs>
        <w:kinsoku w:val="0"/>
        <w:overflowPunct w:val="0"/>
        <w:autoSpaceDE w:val="0"/>
        <w:autoSpaceDN w:val="0"/>
        <w:adjustRightInd w:val="0"/>
        <w:spacing w:before="1" w:line="249" w:lineRule="auto"/>
        <w:ind w:right="155"/>
        <w:rPr>
          <w:sz w:val="20"/>
          <w:szCs w:val="20"/>
        </w:rPr>
      </w:pPr>
      <w:r w:rsidRPr="0079736F">
        <w:rPr>
          <w:sz w:val="20"/>
          <w:szCs w:val="20"/>
        </w:rPr>
        <w:t>the inclusion of iron, steel, manufactured products, or construction materials produced in the United States will increase the cost of the overall project by more than 25 percent.</w:t>
      </w:r>
    </w:p>
    <w:p w14:paraId="1C1D1A5F" w14:textId="77777777" w:rsidR="004C236C" w:rsidRDefault="004C236C" w:rsidP="004C236C">
      <w:pPr>
        <w:kinsoku w:val="0"/>
        <w:overflowPunct w:val="0"/>
        <w:autoSpaceDE w:val="0"/>
        <w:autoSpaceDN w:val="0"/>
        <w:adjustRightInd w:val="0"/>
        <w:spacing w:before="202" w:line="249" w:lineRule="auto"/>
        <w:ind w:left="100" w:right="143"/>
        <w:rPr>
          <w:sz w:val="20"/>
          <w:szCs w:val="20"/>
        </w:rPr>
      </w:pPr>
      <w:r w:rsidRPr="0079736F">
        <w:rPr>
          <w:sz w:val="20"/>
          <w:szCs w:val="20"/>
        </w:rPr>
        <w:t>A request to waive the application of the domestic content procurement preference must be in writing. The agency will provide instructions on the format, contents, and supporting materials required for any waiver request. Waiver requests are subject to public comment periods of no less than 15 days and must be reviewed by the OMB Made in America Office.</w:t>
      </w:r>
    </w:p>
    <w:p w14:paraId="238981C2" w14:textId="77777777" w:rsidR="004C236C" w:rsidRDefault="004C236C" w:rsidP="004C236C">
      <w:pPr>
        <w:kinsoku w:val="0"/>
        <w:overflowPunct w:val="0"/>
        <w:autoSpaceDE w:val="0"/>
        <w:autoSpaceDN w:val="0"/>
        <w:adjustRightInd w:val="0"/>
        <w:spacing w:before="2" w:line="249" w:lineRule="auto"/>
        <w:ind w:left="100" w:right="340"/>
        <w:rPr>
          <w:sz w:val="20"/>
          <w:szCs w:val="20"/>
        </w:rPr>
      </w:pPr>
    </w:p>
    <w:p w14:paraId="6D43C1BF" w14:textId="77777777" w:rsidR="004C236C" w:rsidRPr="0079736F" w:rsidRDefault="004C236C" w:rsidP="004C236C">
      <w:pPr>
        <w:kinsoku w:val="0"/>
        <w:overflowPunct w:val="0"/>
        <w:autoSpaceDE w:val="0"/>
        <w:autoSpaceDN w:val="0"/>
        <w:adjustRightInd w:val="0"/>
        <w:spacing w:before="2" w:line="249" w:lineRule="auto"/>
        <w:ind w:left="100" w:right="340"/>
        <w:rPr>
          <w:color w:val="000000"/>
          <w:sz w:val="20"/>
          <w:szCs w:val="20"/>
        </w:rPr>
      </w:pPr>
      <w:r w:rsidRPr="0079736F">
        <w:rPr>
          <w:sz w:val="20"/>
          <w:szCs w:val="20"/>
        </w:rPr>
        <w:t xml:space="preserve">There may be instances where an award qualifies, in whole or in part, for an existing waiver described. For awards by the Federal Emergency Management Agency (FEMA), existing waivers are available and the waiver process is described at </w:t>
      </w:r>
      <w:hyperlink r:id="rId10" w:history="1">
        <w:r w:rsidRPr="0079736F">
          <w:rPr>
            <w:color w:val="0000FF"/>
            <w:sz w:val="20"/>
            <w:szCs w:val="20"/>
            <w:u w:val="single"/>
          </w:rPr>
          <w:t>"Buy America" Preference in FEMA Financial Assistance Programs for Infrastructure | FEMA.gov</w:t>
        </w:r>
      </w:hyperlink>
      <w:r w:rsidRPr="0079736F">
        <w:rPr>
          <w:color w:val="000000"/>
          <w:sz w:val="20"/>
          <w:szCs w:val="20"/>
        </w:rPr>
        <w:t>. For awards by other DHS components, please contact the applicable DHS FAO.</w:t>
      </w:r>
    </w:p>
    <w:p w14:paraId="5B6CA728" w14:textId="77777777" w:rsidR="004C236C" w:rsidRPr="0079736F" w:rsidRDefault="004C236C" w:rsidP="004C236C">
      <w:pPr>
        <w:kinsoku w:val="0"/>
        <w:overflowPunct w:val="0"/>
        <w:autoSpaceDE w:val="0"/>
        <w:autoSpaceDN w:val="0"/>
        <w:adjustRightInd w:val="0"/>
        <w:spacing w:before="204" w:line="249" w:lineRule="auto"/>
        <w:ind w:left="100" w:right="465"/>
        <w:rPr>
          <w:color w:val="000000"/>
          <w:sz w:val="20"/>
          <w:szCs w:val="20"/>
        </w:rPr>
      </w:pPr>
      <w:r w:rsidRPr="0079736F">
        <w:rPr>
          <w:sz w:val="20"/>
          <w:szCs w:val="20"/>
        </w:rPr>
        <w:lastRenderedPageBreak/>
        <w:t xml:space="preserve">To see whether a particular DHS federal financial assistance program is considered an infrastructure program and thus required to include a Buy America preference, please either contact the applicable DHS FAO, or for FEMA awards, please see </w:t>
      </w:r>
      <w:hyperlink r:id="rId11" w:anchor="subject" w:history="1">
        <w:r w:rsidRPr="0079736F">
          <w:rPr>
            <w:color w:val="0000FF"/>
            <w:sz w:val="20"/>
            <w:szCs w:val="20"/>
            <w:u w:val="single"/>
          </w:rPr>
          <w:t>Programs and Definitions: Build America, Buy America Act | FEMA.gov</w:t>
        </w:r>
      </w:hyperlink>
      <w:r w:rsidRPr="0079736F">
        <w:rPr>
          <w:color w:val="000000"/>
          <w:sz w:val="20"/>
          <w:szCs w:val="20"/>
        </w:rPr>
        <w:t>.</w:t>
      </w:r>
    </w:p>
    <w:p w14:paraId="7255A396"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SAFECOM</w:t>
      </w:r>
    </w:p>
    <w:p w14:paraId="5A71AD92" w14:textId="2A9FA909" w:rsidR="004C236C" w:rsidRPr="0079736F" w:rsidRDefault="004C236C" w:rsidP="004C236C">
      <w:pPr>
        <w:kinsoku w:val="0"/>
        <w:overflowPunct w:val="0"/>
        <w:autoSpaceDE w:val="0"/>
        <w:autoSpaceDN w:val="0"/>
        <w:adjustRightInd w:val="0"/>
        <w:spacing w:before="210" w:line="249" w:lineRule="auto"/>
        <w:ind w:left="100" w:right="757"/>
        <w:jc w:val="both"/>
        <w:rPr>
          <w:sz w:val="20"/>
          <w:szCs w:val="20"/>
        </w:rPr>
      </w:pPr>
      <w:r w:rsidRPr="0079736F">
        <w:rPr>
          <w:sz w:val="20"/>
          <w:szCs w:val="20"/>
        </w:rPr>
        <w:t>Recipients receiving federal financial assistance awards made under programs that provide emergency communication equipment</w:t>
      </w:r>
      <w:r w:rsidR="00286193">
        <w:rPr>
          <w:sz w:val="20"/>
          <w:szCs w:val="20"/>
        </w:rPr>
        <w:t>,</w:t>
      </w:r>
      <w:r w:rsidRPr="0079736F">
        <w:rPr>
          <w:sz w:val="20"/>
          <w:szCs w:val="20"/>
        </w:rPr>
        <w:t xml:space="preserve"> and its related activities must comply with the SAFECOM Guidance for Emergency Communication Grants, including provisions on technical standards that ensure and enhance interoperable communications.</w:t>
      </w:r>
    </w:p>
    <w:p w14:paraId="561CB273"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Terrorist Financing</w:t>
      </w:r>
    </w:p>
    <w:p w14:paraId="25F6BBA6" w14:textId="77777777" w:rsidR="004C236C" w:rsidRPr="0079736F" w:rsidRDefault="004C236C" w:rsidP="004C236C">
      <w:pPr>
        <w:kinsoku w:val="0"/>
        <w:overflowPunct w:val="0"/>
        <w:autoSpaceDE w:val="0"/>
        <w:autoSpaceDN w:val="0"/>
        <w:adjustRightInd w:val="0"/>
        <w:spacing w:before="210" w:line="249" w:lineRule="auto"/>
        <w:ind w:left="100" w:right="376"/>
        <w:rPr>
          <w:sz w:val="20"/>
          <w:szCs w:val="20"/>
        </w:rPr>
      </w:pPr>
      <w:r w:rsidRPr="0079736F">
        <w:rPr>
          <w:sz w:val="20"/>
          <w:szCs w:val="20"/>
        </w:rPr>
        <w:t>Recipients must comply with E.O. 13224 and U.S. laws that prohibit transactions with, and the provisions of resources and support to, individuals and organizations associated with terrorism. Recipients are legally responsible to ensure compliance with the Order and laws.</w:t>
      </w:r>
    </w:p>
    <w:p w14:paraId="058988EE"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Trafficking Victims Protection Act of 2000 (TVPA)</w:t>
      </w:r>
    </w:p>
    <w:p w14:paraId="0856B9BA" w14:textId="77777777" w:rsidR="004C236C" w:rsidRPr="0079736F" w:rsidRDefault="004C236C" w:rsidP="004C236C">
      <w:pPr>
        <w:kinsoku w:val="0"/>
        <w:overflowPunct w:val="0"/>
        <w:autoSpaceDE w:val="0"/>
        <w:autoSpaceDN w:val="0"/>
        <w:adjustRightInd w:val="0"/>
        <w:spacing w:before="210"/>
        <w:ind w:left="100"/>
        <w:rPr>
          <w:sz w:val="20"/>
          <w:szCs w:val="20"/>
        </w:rPr>
      </w:pPr>
      <w:r w:rsidRPr="0079736F">
        <w:rPr>
          <w:sz w:val="20"/>
          <w:szCs w:val="20"/>
        </w:rPr>
        <w:t>Trafficking in Persons:</w:t>
      </w:r>
    </w:p>
    <w:p w14:paraId="021FCEF2" w14:textId="77777777" w:rsidR="004C236C" w:rsidRPr="0079736F" w:rsidRDefault="004C236C" w:rsidP="004C236C">
      <w:pPr>
        <w:kinsoku w:val="0"/>
        <w:overflowPunct w:val="0"/>
        <w:autoSpaceDE w:val="0"/>
        <w:autoSpaceDN w:val="0"/>
        <w:adjustRightInd w:val="0"/>
        <w:spacing w:before="210" w:line="249" w:lineRule="auto"/>
        <w:ind w:left="100" w:right="187"/>
        <w:rPr>
          <w:sz w:val="20"/>
          <w:szCs w:val="20"/>
        </w:rPr>
      </w:pPr>
      <w:r w:rsidRPr="0079736F">
        <w:rPr>
          <w:sz w:val="20"/>
          <w:szCs w:val="20"/>
        </w:rPr>
        <w:t>Recipients must comply with the requirements of the government-wide financial assistance award term which implements Section 106 (g) of the Trafficking Victims Protection Act of 2000 (TVPA), codified as amended at 22 U.S.C. section 7104. The award term is located at 2 C.F.R. section 175.15, the full text of which is incorporated here by reference.</w:t>
      </w:r>
    </w:p>
    <w:p w14:paraId="1952BA23"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Universal Identifier and System of Award Management</w:t>
      </w:r>
    </w:p>
    <w:p w14:paraId="15BB883E" w14:textId="77777777" w:rsidR="004C236C" w:rsidRDefault="004C236C" w:rsidP="004C236C">
      <w:pPr>
        <w:kinsoku w:val="0"/>
        <w:overflowPunct w:val="0"/>
        <w:autoSpaceDE w:val="0"/>
        <w:autoSpaceDN w:val="0"/>
        <w:adjustRightInd w:val="0"/>
        <w:spacing w:before="210" w:line="249" w:lineRule="auto"/>
        <w:ind w:left="100" w:right="243"/>
        <w:rPr>
          <w:sz w:val="20"/>
          <w:szCs w:val="20"/>
        </w:rPr>
      </w:pPr>
      <w:r w:rsidRPr="0079736F">
        <w:rPr>
          <w:sz w:val="20"/>
          <w:szCs w:val="20"/>
        </w:rPr>
        <w:t>Requirements for System for Award Management and Unique Entity Identifier Recipients are required to comply with the requirements set forth in the government-wide financial assistance award term regarding the System for Award Management and Universal Identifier Requirements located at 2 C.F.R. Part 25, Appendix A, the full text of which is incorporated here by reference.</w:t>
      </w:r>
    </w:p>
    <w:p w14:paraId="56666D7E" w14:textId="77777777" w:rsidR="004C236C" w:rsidRDefault="004C236C" w:rsidP="004C236C">
      <w:pPr>
        <w:kinsoku w:val="0"/>
        <w:overflowPunct w:val="0"/>
        <w:autoSpaceDE w:val="0"/>
        <w:autoSpaceDN w:val="0"/>
        <w:adjustRightInd w:val="0"/>
        <w:spacing w:before="54"/>
        <w:ind w:left="100"/>
        <w:outlineLvl w:val="0"/>
        <w:rPr>
          <w:sz w:val="20"/>
          <w:szCs w:val="20"/>
        </w:rPr>
      </w:pPr>
    </w:p>
    <w:p w14:paraId="328352BE" w14:textId="77777777" w:rsidR="004C236C" w:rsidRPr="0079736F" w:rsidRDefault="004C236C" w:rsidP="004C236C">
      <w:pPr>
        <w:kinsoku w:val="0"/>
        <w:overflowPunct w:val="0"/>
        <w:autoSpaceDE w:val="0"/>
        <w:autoSpaceDN w:val="0"/>
        <w:adjustRightInd w:val="0"/>
        <w:spacing w:before="54"/>
        <w:ind w:left="100"/>
        <w:outlineLvl w:val="0"/>
        <w:rPr>
          <w:b/>
          <w:bCs/>
          <w:sz w:val="20"/>
          <w:szCs w:val="20"/>
        </w:rPr>
      </w:pPr>
      <w:r w:rsidRPr="0079736F">
        <w:rPr>
          <w:b/>
          <w:bCs/>
          <w:sz w:val="20"/>
          <w:szCs w:val="20"/>
        </w:rPr>
        <w:t>USA PATRIOT Act of 2001</w:t>
      </w:r>
    </w:p>
    <w:p w14:paraId="7309FFF0" w14:textId="77777777" w:rsidR="004C236C" w:rsidRPr="0079736F" w:rsidRDefault="004C236C" w:rsidP="004C236C">
      <w:pPr>
        <w:kinsoku w:val="0"/>
        <w:overflowPunct w:val="0"/>
        <w:autoSpaceDE w:val="0"/>
        <w:autoSpaceDN w:val="0"/>
        <w:adjustRightInd w:val="0"/>
        <w:spacing w:before="210" w:line="249" w:lineRule="auto"/>
        <w:ind w:left="100" w:right="220"/>
        <w:rPr>
          <w:sz w:val="20"/>
          <w:szCs w:val="20"/>
        </w:rPr>
      </w:pPr>
      <w:r w:rsidRPr="0079736F">
        <w:rPr>
          <w:sz w:val="20"/>
          <w:szCs w:val="20"/>
        </w:rPr>
        <w:t>Recipients must comply with requirements of Section 817 of the Uniting and Strengthening America by Providing Appropriate Tools Required to Intercept and Obstruct Terrorism Act of 2001 (USA PATRIOT Act), which amends 18 U.S.C. sections</w:t>
      </w:r>
    </w:p>
    <w:p w14:paraId="61AC8DE0" w14:textId="77777777" w:rsidR="004C236C" w:rsidRPr="0079736F" w:rsidRDefault="004C236C" w:rsidP="004C236C">
      <w:pPr>
        <w:kinsoku w:val="0"/>
        <w:overflowPunct w:val="0"/>
        <w:autoSpaceDE w:val="0"/>
        <w:autoSpaceDN w:val="0"/>
        <w:adjustRightInd w:val="0"/>
        <w:spacing w:before="1"/>
        <w:ind w:left="100"/>
        <w:rPr>
          <w:spacing w:val="-2"/>
          <w:sz w:val="20"/>
          <w:szCs w:val="20"/>
        </w:rPr>
      </w:pPr>
      <w:r w:rsidRPr="0079736F">
        <w:rPr>
          <w:spacing w:val="-2"/>
          <w:sz w:val="20"/>
          <w:szCs w:val="20"/>
        </w:rPr>
        <w:t>175-175c.</w:t>
      </w:r>
    </w:p>
    <w:p w14:paraId="33CBB599" w14:textId="77777777" w:rsidR="004C236C" w:rsidRPr="0079736F" w:rsidRDefault="004C236C" w:rsidP="004C236C">
      <w:pPr>
        <w:kinsoku w:val="0"/>
        <w:overflowPunct w:val="0"/>
        <w:autoSpaceDE w:val="0"/>
        <w:autoSpaceDN w:val="0"/>
        <w:adjustRightInd w:val="0"/>
        <w:spacing w:before="210"/>
        <w:ind w:left="100"/>
        <w:outlineLvl w:val="0"/>
        <w:rPr>
          <w:b/>
          <w:bCs/>
          <w:sz w:val="20"/>
          <w:szCs w:val="20"/>
        </w:rPr>
      </w:pPr>
      <w:r w:rsidRPr="0079736F">
        <w:rPr>
          <w:b/>
          <w:bCs/>
          <w:sz w:val="20"/>
          <w:szCs w:val="20"/>
        </w:rPr>
        <w:t>Use of DHS Seal, Logo and Flags</w:t>
      </w:r>
    </w:p>
    <w:p w14:paraId="290285A7" w14:textId="77777777" w:rsidR="004C236C" w:rsidRPr="0079736F" w:rsidRDefault="004C236C" w:rsidP="004C236C">
      <w:pPr>
        <w:kinsoku w:val="0"/>
        <w:overflowPunct w:val="0"/>
        <w:autoSpaceDE w:val="0"/>
        <w:autoSpaceDN w:val="0"/>
        <w:adjustRightInd w:val="0"/>
        <w:spacing w:before="210" w:line="249" w:lineRule="auto"/>
        <w:ind w:left="100" w:right="255"/>
        <w:rPr>
          <w:sz w:val="20"/>
          <w:szCs w:val="20"/>
        </w:rPr>
      </w:pPr>
      <w:r w:rsidRPr="0079736F">
        <w:rPr>
          <w:sz w:val="20"/>
          <w:szCs w:val="20"/>
        </w:rPr>
        <w:t>Recipients must obtain permission from their DHS FAO prior to using the DHS seal(s), logos, crests or reproductions of flags or likenesses of DHS agency officials, including use of the United States Coast Guard seal, logo, crests or reproductions of flags or likenesses of Coast Guard officials.</w:t>
      </w:r>
    </w:p>
    <w:p w14:paraId="60CE0DB1" w14:textId="77777777" w:rsidR="004C236C" w:rsidRPr="0079736F" w:rsidRDefault="004C236C" w:rsidP="004C236C">
      <w:pPr>
        <w:kinsoku w:val="0"/>
        <w:overflowPunct w:val="0"/>
        <w:autoSpaceDE w:val="0"/>
        <w:autoSpaceDN w:val="0"/>
        <w:adjustRightInd w:val="0"/>
        <w:spacing w:before="203"/>
        <w:ind w:left="100"/>
        <w:outlineLvl w:val="0"/>
        <w:rPr>
          <w:b/>
          <w:bCs/>
          <w:sz w:val="20"/>
          <w:szCs w:val="20"/>
        </w:rPr>
      </w:pPr>
      <w:r w:rsidRPr="0079736F">
        <w:rPr>
          <w:b/>
          <w:bCs/>
          <w:sz w:val="20"/>
          <w:szCs w:val="20"/>
        </w:rPr>
        <w:t>Whistleblower Protection Act</w:t>
      </w:r>
    </w:p>
    <w:p w14:paraId="5BF017B7" w14:textId="77777777" w:rsidR="004C236C" w:rsidRDefault="004C236C" w:rsidP="004C236C">
      <w:pPr>
        <w:kinsoku w:val="0"/>
        <w:overflowPunct w:val="0"/>
        <w:autoSpaceDE w:val="0"/>
        <w:autoSpaceDN w:val="0"/>
        <w:adjustRightInd w:val="0"/>
        <w:spacing w:before="210" w:line="249" w:lineRule="auto"/>
        <w:ind w:left="100" w:right="199"/>
        <w:rPr>
          <w:sz w:val="20"/>
          <w:szCs w:val="20"/>
        </w:rPr>
      </w:pPr>
      <w:r w:rsidRPr="0079736F">
        <w:rPr>
          <w:sz w:val="20"/>
          <w:szCs w:val="20"/>
        </w:rPr>
        <w:t>Recipients must comply with the statutory requirements for whistleblower protections (if applicable) at 10 U.S.C section 2409, 41 U.S.C. section 4712, and 10 U.S.C. section 2324, 41 U.S.C. sections 4304 and 4310.</w:t>
      </w:r>
    </w:p>
    <w:p w14:paraId="5F83E573" w14:textId="77777777" w:rsidR="004C236C" w:rsidRPr="0079736F" w:rsidRDefault="004C236C" w:rsidP="004C236C">
      <w:pPr>
        <w:kinsoku w:val="0"/>
        <w:overflowPunct w:val="0"/>
        <w:autoSpaceDE w:val="0"/>
        <w:autoSpaceDN w:val="0"/>
        <w:adjustRightInd w:val="0"/>
        <w:spacing w:before="201"/>
        <w:ind w:left="100"/>
        <w:outlineLvl w:val="0"/>
        <w:rPr>
          <w:b/>
          <w:bCs/>
          <w:sz w:val="20"/>
          <w:szCs w:val="20"/>
        </w:rPr>
      </w:pPr>
      <w:r w:rsidRPr="0079736F">
        <w:rPr>
          <w:b/>
          <w:bCs/>
          <w:sz w:val="20"/>
          <w:szCs w:val="20"/>
        </w:rPr>
        <w:t>Environmental Planning and Historic Preservation (EHP) Review</w:t>
      </w:r>
    </w:p>
    <w:p w14:paraId="62065513" w14:textId="77777777" w:rsidR="004C236C" w:rsidRPr="0079736F" w:rsidRDefault="004C236C" w:rsidP="004C236C">
      <w:pPr>
        <w:kinsoku w:val="0"/>
        <w:overflowPunct w:val="0"/>
        <w:autoSpaceDE w:val="0"/>
        <w:autoSpaceDN w:val="0"/>
        <w:adjustRightInd w:val="0"/>
        <w:spacing w:before="210" w:line="249" w:lineRule="auto"/>
        <w:ind w:left="100" w:right="232"/>
        <w:rPr>
          <w:sz w:val="20"/>
          <w:szCs w:val="20"/>
        </w:rPr>
      </w:pPr>
      <w:r w:rsidRPr="0079736F">
        <w:rPr>
          <w:sz w:val="20"/>
          <w:szCs w:val="20"/>
        </w:rPr>
        <w:t xml:space="preserve">DHS/FEMA funded activities that may require an Environmental Planning and Historic Preservation (EHP) review are subject to the FEMA EHP review process. This review does not address all federal, state, and local </w:t>
      </w:r>
      <w:r w:rsidRPr="0079736F">
        <w:rPr>
          <w:sz w:val="20"/>
          <w:szCs w:val="20"/>
        </w:rPr>
        <w:lastRenderedPageBreak/>
        <w:t>requirements. Acceptance of federal funding requires the recipient to comply with all federal, state, and local laws.</w:t>
      </w:r>
    </w:p>
    <w:p w14:paraId="27FAB41D" w14:textId="77777777" w:rsidR="004C236C" w:rsidRPr="0079736F" w:rsidRDefault="004C236C" w:rsidP="004C236C">
      <w:pPr>
        <w:kinsoku w:val="0"/>
        <w:overflowPunct w:val="0"/>
        <w:autoSpaceDE w:val="0"/>
        <w:autoSpaceDN w:val="0"/>
        <w:adjustRightInd w:val="0"/>
        <w:spacing w:before="203" w:line="249" w:lineRule="auto"/>
        <w:ind w:left="100" w:right="255"/>
        <w:rPr>
          <w:sz w:val="20"/>
          <w:szCs w:val="20"/>
        </w:rPr>
      </w:pPr>
      <w:r w:rsidRPr="0079736F">
        <w:rPr>
          <w:sz w:val="20"/>
          <w:szCs w:val="20"/>
        </w:rPr>
        <w:t>DHS/FEMA is required to consider the potential impacts to natural and cultural resources of all projects funded by DHS/ FEMA grant funds, through its EHP review process, as mandated by the National Environmental Policy Act; National Historic Preservation Act of 1966, as amended; National Flood Insurance Program regulations; and any other applicable laws and executive orders. In order to initiate EHP review of your project(s), you must submit a detailed project description along with supporting documentation. The EHP review process must be completed before funds are released to carry out the proposed project; otherwise, DHS/FEMA may not be able to fund the project due to noncompliance with EHP laws, executive orders, regulations, and policies.</w:t>
      </w:r>
    </w:p>
    <w:p w14:paraId="57DC79D3" w14:textId="77777777" w:rsidR="004C236C" w:rsidRPr="0079736F" w:rsidRDefault="004C236C" w:rsidP="004C236C">
      <w:pPr>
        <w:kinsoku w:val="0"/>
        <w:overflowPunct w:val="0"/>
        <w:autoSpaceDE w:val="0"/>
        <w:autoSpaceDN w:val="0"/>
        <w:adjustRightInd w:val="0"/>
        <w:spacing w:before="206" w:line="249" w:lineRule="auto"/>
        <w:ind w:left="100" w:right="532"/>
        <w:rPr>
          <w:sz w:val="20"/>
          <w:szCs w:val="20"/>
        </w:rPr>
      </w:pPr>
      <w:r w:rsidRPr="0079736F">
        <w:rPr>
          <w:sz w:val="20"/>
          <w:szCs w:val="20"/>
        </w:rPr>
        <w:t>If ground disturbing activities occur during construction, applicant will monitor ground disturbance, and if any potential archeological resources are discovered the applicant will immediately cease work in that area and notify the pass-through entity, if applicable, and DHS/FEMA.</w:t>
      </w:r>
    </w:p>
    <w:p w14:paraId="403A83D2"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Applicability of DHS Standard Terms and Conditions to Tribes</w:t>
      </w:r>
    </w:p>
    <w:p w14:paraId="1FDFE5E9" w14:textId="77777777" w:rsidR="004C236C" w:rsidRPr="0079736F" w:rsidRDefault="004C236C" w:rsidP="004C236C">
      <w:pPr>
        <w:kinsoku w:val="0"/>
        <w:overflowPunct w:val="0"/>
        <w:autoSpaceDE w:val="0"/>
        <w:autoSpaceDN w:val="0"/>
        <w:adjustRightInd w:val="0"/>
        <w:spacing w:before="210" w:line="249" w:lineRule="auto"/>
        <w:ind w:left="100" w:right="222"/>
        <w:rPr>
          <w:sz w:val="20"/>
          <w:szCs w:val="20"/>
        </w:rPr>
      </w:pPr>
      <w:r w:rsidRPr="0079736F">
        <w:rPr>
          <w:sz w:val="20"/>
          <w:szCs w:val="20"/>
        </w:rPr>
        <w:t>The DHS Standard Terms and Conditions are a restatement of general requirements imposed upon recipients and flow down to subrecipients as a matter of law, regulation, or executive order. If the requirement does not apply to Indian tribes or there is a federal law or regulation exempting its application to Indian tribes, then the acceptance by Tribes of, or acquiescence</w:t>
      </w:r>
    </w:p>
    <w:p w14:paraId="6B83CE38" w14:textId="77777777" w:rsidR="004C236C" w:rsidRPr="0079736F" w:rsidRDefault="004C236C" w:rsidP="004C236C">
      <w:pPr>
        <w:kinsoku w:val="0"/>
        <w:overflowPunct w:val="0"/>
        <w:autoSpaceDE w:val="0"/>
        <w:autoSpaceDN w:val="0"/>
        <w:adjustRightInd w:val="0"/>
        <w:spacing w:before="3" w:line="249" w:lineRule="auto"/>
        <w:ind w:left="100" w:right="175"/>
        <w:rPr>
          <w:sz w:val="20"/>
          <w:szCs w:val="20"/>
        </w:rPr>
      </w:pPr>
      <w:r w:rsidRPr="0079736F">
        <w:rPr>
          <w:sz w:val="20"/>
          <w:szCs w:val="20"/>
        </w:rPr>
        <w:t>to, DHS Standard Terms and Conditions does not change or alter its inapplicability to an Indian tribe. The execution of grant documents is not intended to change, alter, amend, or impose additional liability or responsibility upon the Tribe where it does not already exist.</w:t>
      </w:r>
    </w:p>
    <w:p w14:paraId="3A8B2B7C" w14:textId="77777777" w:rsidR="004C236C" w:rsidRPr="0079736F" w:rsidRDefault="004C236C" w:rsidP="004C236C">
      <w:pPr>
        <w:kinsoku w:val="0"/>
        <w:overflowPunct w:val="0"/>
        <w:autoSpaceDE w:val="0"/>
        <w:autoSpaceDN w:val="0"/>
        <w:adjustRightInd w:val="0"/>
        <w:spacing w:before="202"/>
        <w:ind w:left="100"/>
        <w:outlineLvl w:val="0"/>
        <w:rPr>
          <w:b/>
          <w:bCs/>
          <w:sz w:val="20"/>
          <w:szCs w:val="20"/>
        </w:rPr>
      </w:pPr>
      <w:r w:rsidRPr="0079736F">
        <w:rPr>
          <w:b/>
          <w:bCs/>
          <w:sz w:val="20"/>
          <w:szCs w:val="20"/>
        </w:rPr>
        <w:t>Acceptance of Post Award Changes</w:t>
      </w:r>
    </w:p>
    <w:p w14:paraId="081018AE" w14:textId="77777777" w:rsidR="004C236C" w:rsidRPr="0079736F" w:rsidRDefault="004C236C" w:rsidP="004C236C">
      <w:pPr>
        <w:kinsoku w:val="0"/>
        <w:overflowPunct w:val="0"/>
        <w:autoSpaceDE w:val="0"/>
        <w:autoSpaceDN w:val="0"/>
        <w:adjustRightInd w:val="0"/>
        <w:spacing w:before="210" w:line="249" w:lineRule="auto"/>
        <w:ind w:left="100" w:right="299"/>
        <w:rPr>
          <w:sz w:val="20"/>
          <w:szCs w:val="20"/>
        </w:rPr>
      </w:pPr>
      <w:r w:rsidRPr="0079736F">
        <w:rPr>
          <w:sz w:val="20"/>
          <w:szCs w:val="20"/>
        </w:rPr>
        <w:t xml:space="preserve">In the event FEMA determines that changes are necessary to the award document after an award has been made, including changes to period of performance or terms and conditions, recipients will be notified of the changes in writing. Once notification has been made, any subsequent request for funds will indicate recipient acceptance of the changes to the award. Please call the FEMA/GMD Call Center at (866) 927-5646 or via e-mail to </w:t>
      </w:r>
      <w:hyperlink r:id="rId12" w:history="1">
        <w:r w:rsidRPr="0079736F">
          <w:rPr>
            <w:sz w:val="20"/>
            <w:szCs w:val="20"/>
          </w:rPr>
          <w:t>ASK-GMD@fema.dhs.gov</w:t>
        </w:r>
      </w:hyperlink>
      <w:r w:rsidRPr="0079736F">
        <w:rPr>
          <w:sz w:val="20"/>
          <w:szCs w:val="20"/>
        </w:rPr>
        <w:t xml:space="preserve"> if you have any questions.</w:t>
      </w:r>
    </w:p>
    <w:p w14:paraId="6C8F7C83" w14:textId="77777777" w:rsidR="004C236C" w:rsidRPr="0079736F" w:rsidRDefault="004C236C" w:rsidP="004C236C">
      <w:pPr>
        <w:kinsoku w:val="0"/>
        <w:overflowPunct w:val="0"/>
        <w:autoSpaceDE w:val="0"/>
        <w:autoSpaceDN w:val="0"/>
        <w:adjustRightInd w:val="0"/>
        <w:spacing w:before="204"/>
        <w:ind w:left="100"/>
        <w:outlineLvl w:val="0"/>
        <w:rPr>
          <w:b/>
          <w:bCs/>
          <w:sz w:val="20"/>
          <w:szCs w:val="20"/>
        </w:rPr>
      </w:pPr>
      <w:r w:rsidRPr="0079736F">
        <w:rPr>
          <w:b/>
          <w:bCs/>
          <w:sz w:val="20"/>
          <w:szCs w:val="20"/>
        </w:rPr>
        <w:t>Disposition of Equipment Acquired Under the Federal Award</w:t>
      </w:r>
    </w:p>
    <w:p w14:paraId="57A89B5C" w14:textId="77777777" w:rsidR="004C236C" w:rsidRDefault="004C236C" w:rsidP="004C236C">
      <w:pPr>
        <w:kinsoku w:val="0"/>
        <w:overflowPunct w:val="0"/>
        <w:autoSpaceDE w:val="0"/>
        <w:autoSpaceDN w:val="0"/>
        <w:adjustRightInd w:val="0"/>
        <w:spacing w:before="210" w:line="249" w:lineRule="auto"/>
        <w:ind w:left="100" w:right="388"/>
        <w:rPr>
          <w:sz w:val="20"/>
          <w:szCs w:val="20"/>
        </w:rPr>
      </w:pPr>
      <w:r w:rsidRPr="0079736F">
        <w:rPr>
          <w:sz w:val="20"/>
          <w:szCs w:val="20"/>
        </w:rPr>
        <w:t>For purposes of original or replacement equipment acquired under this award by a non-state recipient or non-state subrecipients, when that equipment is no longer needed for the original project or program or for other activities currently or previously supported by a federal awarding agency, you must request instructions from FEMA to make proper disposition of the equipment pursuant to 2 C.F.R. section 200.313. State recipients and state subrecipients must follow the disposition requirements in accordance with state laws and procedures.</w:t>
      </w:r>
    </w:p>
    <w:p w14:paraId="7A5CF64E" w14:textId="77777777" w:rsidR="004C236C" w:rsidRDefault="004C236C" w:rsidP="004C236C">
      <w:pPr>
        <w:kinsoku w:val="0"/>
        <w:overflowPunct w:val="0"/>
        <w:autoSpaceDE w:val="0"/>
        <w:autoSpaceDN w:val="0"/>
        <w:adjustRightInd w:val="0"/>
        <w:spacing w:before="204"/>
        <w:contextualSpacing/>
        <w:outlineLvl w:val="0"/>
        <w:rPr>
          <w:sz w:val="20"/>
          <w:szCs w:val="20"/>
        </w:rPr>
      </w:pPr>
    </w:p>
    <w:p w14:paraId="5B61FF07" w14:textId="77777777" w:rsidR="004C236C" w:rsidRDefault="004C236C" w:rsidP="004C236C">
      <w:pPr>
        <w:kinsoku w:val="0"/>
        <w:overflowPunct w:val="0"/>
        <w:autoSpaceDE w:val="0"/>
        <w:autoSpaceDN w:val="0"/>
        <w:adjustRightInd w:val="0"/>
        <w:spacing w:before="204"/>
        <w:ind w:left="90"/>
        <w:contextualSpacing/>
        <w:outlineLvl w:val="0"/>
        <w:rPr>
          <w:b/>
          <w:bCs/>
          <w:sz w:val="20"/>
          <w:szCs w:val="20"/>
        </w:rPr>
      </w:pPr>
      <w:r w:rsidRPr="0079736F">
        <w:rPr>
          <w:b/>
          <w:bCs/>
          <w:sz w:val="20"/>
          <w:szCs w:val="20"/>
        </w:rPr>
        <w:t>Prior Approval for Modification of Approved Budge</w:t>
      </w:r>
    </w:p>
    <w:p w14:paraId="59819093" w14:textId="77777777" w:rsidR="004C236C" w:rsidRDefault="004C236C" w:rsidP="004C236C">
      <w:pPr>
        <w:kinsoku w:val="0"/>
        <w:overflowPunct w:val="0"/>
        <w:autoSpaceDE w:val="0"/>
        <w:autoSpaceDN w:val="0"/>
        <w:adjustRightInd w:val="0"/>
        <w:spacing w:before="204"/>
        <w:contextualSpacing/>
        <w:outlineLvl w:val="0"/>
        <w:rPr>
          <w:b/>
          <w:bCs/>
          <w:sz w:val="20"/>
          <w:szCs w:val="20"/>
        </w:rPr>
      </w:pPr>
    </w:p>
    <w:p w14:paraId="5A9439DB" w14:textId="77777777" w:rsidR="004C236C" w:rsidRPr="0079736F" w:rsidRDefault="004C236C" w:rsidP="004C236C">
      <w:pPr>
        <w:kinsoku w:val="0"/>
        <w:overflowPunct w:val="0"/>
        <w:autoSpaceDE w:val="0"/>
        <w:autoSpaceDN w:val="0"/>
        <w:adjustRightInd w:val="0"/>
        <w:spacing w:before="204"/>
        <w:ind w:left="90"/>
        <w:contextualSpacing/>
        <w:outlineLvl w:val="0"/>
        <w:rPr>
          <w:b/>
          <w:bCs/>
          <w:sz w:val="20"/>
          <w:szCs w:val="20"/>
        </w:rPr>
      </w:pPr>
      <w:r w:rsidRPr="0079736F">
        <w:rPr>
          <w:sz w:val="20"/>
          <w:szCs w:val="20"/>
        </w:rPr>
        <w:t>Before making any change to the FEMA approved budget for this award, you must request prior written approval from FEMA</w:t>
      </w:r>
      <w:r>
        <w:rPr>
          <w:sz w:val="20"/>
          <w:szCs w:val="20"/>
        </w:rPr>
        <w:t xml:space="preserve"> </w:t>
      </w:r>
      <w:r w:rsidRPr="0079736F">
        <w:rPr>
          <w:sz w:val="20"/>
          <w:szCs w:val="20"/>
        </w:rPr>
        <w:t>where required by 2 C.F.R. section 200.308.</w:t>
      </w:r>
    </w:p>
    <w:p w14:paraId="037C7A54" w14:textId="77777777" w:rsidR="004C236C" w:rsidRPr="0079736F" w:rsidRDefault="004C236C" w:rsidP="004C236C">
      <w:pPr>
        <w:kinsoku w:val="0"/>
        <w:overflowPunct w:val="0"/>
        <w:autoSpaceDE w:val="0"/>
        <w:autoSpaceDN w:val="0"/>
        <w:adjustRightInd w:val="0"/>
        <w:spacing w:before="210" w:line="249" w:lineRule="auto"/>
        <w:ind w:left="90" w:right="273"/>
        <w:rPr>
          <w:sz w:val="20"/>
          <w:szCs w:val="20"/>
        </w:rPr>
      </w:pPr>
      <w:r w:rsidRPr="0079736F">
        <w:rPr>
          <w:sz w:val="20"/>
          <w:szCs w:val="20"/>
        </w:rPr>
        <w:t>For purposes of non-construction projects, FEMA is utilizing its discretion to impose an additional restriction under 2 C.F.R. section 200.308(f) regarding the transfer of funds among direct cost categories, programs, functions, or activities. Therefore, for awards with an approved budget where the federal share is greater than the simplified acquisition threshold (currently</w:t>
      </w:r>
      <w:r>
        <w:rPr>
          <w:sz w:val="20"/>
          <w:szCs w:val="20"/>
        </w:rPr>
        <w:t xml:space="preserve"> </w:t>
      </w:r>
      <w:r w:rsidRPr="0079736F">
        <w:rPr>
          <w:sz w:val="20"/>
          <w:szCs w:val="20"/>
        </w:rPr>
        <w:t>$250,000), you may not transfer funds among direct cost categories, programs, functions, or activities without prior written approval from FEMA where the cumulative amount of such transfers exceeds or is expected to exceed ten percent (10%) of the total budget FEMA last approved.</w:t>
      </w:r>
    </w:p>
    <w:p w14:paraId="596D8DFB" w14:textId="77777777" w:rsidR="004C236C" w:rsidRDefault="004C236C" w:rsidP="004C236C">
      <w:pPr>
        <w:kinsoku w:val="0"/>
        <w:overflowPunct w:val="0"/>
        <w:autoSpaceDE w:val="0"/>
        <w:autoSpaceDN w:val="0"/>
        <w:adjustRightInd w:val="0"/>
        <w:spacing w:before="203"/>
        <w:ind w:left="90"/>
        <w:rPr>
          <w:sz w:val="20"/>
          <w:szCs w:val="20"/>
        </w:rPr>
      </w:pPr>
      <w:r w:rsidRPr="0079736F">
        <w:rPr>
          <w:sz w:val="20"/>
          <w:szCs w:val="20"/>
        </w:rPr>
        <w:lastRenderedPageBreak/>
        <w:t>For purposes of awards that support both construction and non-construction work, FEMA is utilizing its discretion under 2</w:t>
      </w:r>
      <w:r>
        <w:rPr>
          <w:sz w:val="20"/>
          <w:szCs w:val="20"/>
        </w:rPr>
        <w:t xml:space="preserve"> </w:t>
      </w:r>
      <w:r w:rsidRPr="0079736F">
        <w:rPr>
          <w:sz w:val="20"/>
          <w:szCs w:val="20"/>
        </w:rPr>
        <w:t>C.F.R. section 200.308(h)(5) to require the recipient to obtain prior written approval from FEMA before making any fund or budget transfers between the two types of work.</w:t>
      </w:r>
    </w:p>
    <w:p w14:paraId="5AECA921" w14:textId="77777777" w:rsidR="004C236C" w:rsidRPr="0079736F" w:rsidRDefault="004C236C" w:rsidP="004C236C">
      <w:pPr>
        <w:kinsoku w:val="0"/>
        <w:overflowPunct w:val="0"/>
        <w:autoSpaceDE w:val="0"/>
        <w:autoSpaceDN w:val="0"/>
        <w:adjustRightInd w:val="0"/>
        <w:spacing w:before="203"/>
        <w:ind w:left="90"/>
        <w:rPr>
          <w:sz w:val="20"/>
          <w:szCs w:val="20"/>
        </w:rPr>
      </w:pPr>
      <w:r w:rsidRPr="0079736F">
        <w:rPr>
          <w:sz w:val="20"/>
          <w:szCs w:val="20"/>
        </w:rPr>
        <w:t>You must report any deviations from your FEMA approved budget in the first Federal Financial Report (SF-425) you submit</w:t>
      </w:r>
      <w:r>
        <w:rPr>
          <w:sz w:val="20"/>
          <w:szCs w:val="20"/>
        </w:rPr>
        <w:t xml:space="preserve"> </w:t>
      </w:r>
      <w:r w:rsidRPr="0079736F">
        <w:rPr>
          <w:sz w:val="20"/>
          <w:szCs w:val="20"/>
        </w:rPr>
        <w:t>following any budget deviation, regardless of whether the budget deviation requires prior written approval.</w:t>
      </w:r>
    </w:p>
    <w:p w14:paraId="442133C0" w14:textId="77777777" w:rsidR="004C236C" w:rsidRPr="0079736F" w:rsidRDefault="004C236C" w:rsidP="004C236C">
      <w:pPr>
        <w:rPr>
          <w:sz w:val="20"/>
          <w:szCs w:val="20"/>
        </w:rPr>
      </w:pPr>
    </w:p>
    <w:p w14:paraId="48CB21A5" w14:textId="77777777" w:rsidR="004C236C" w:rsidRDefault="004C236C" w:rsidP="004C236C">
      <w:pPr>
        <w:rPr>
          <w:b/>
          <w:noProof/>
          <w:sz w:val="20"/>
          <w:szCs w:val="20"/>
        </w:rPr>
      </w:pPr>
    </w:p>
    <w:p w14:paraId="33D68910" w14:textId="77777777" w:rsidR="004C236C" w:rsidRDefault="004C236C" w:rsidP="004C236C">
      <w:pPr>
        <w:rPr>
          <w:b/>
          <w:noProof/>
          <w:sz w:val="20"/>
          <w:szCs w:val="20"/>
        </w:rPr>
      </w:pPr>
    </w:p>
    <w:p w14:paraId="485507A6" w14:textId="77777777" w:rsidR="004C236C" w:rsidRDefault="004C236C" w:rsidP="004C236C">
      <w:pPr>
        <w:rPr>
          <w:b/>
          <w:noProof/>
          <w:sz w:val="20"/>
          <w:szCs w:val="20"/>
        </w:rPr>
      </w:pPr>
    </w:p>
    <w:p w14:paraId="0113472C" w14:textId="77777777" w:rsidR="004C236C" w:rsidRDefault="004C236C" w:rsidP="004C236C">
      <w:pPr>
        <w:rPr>
          <w:b/>
          <w:noProof/>
          <w:sz w:val="20"/>
          <w:szCs w:val="20"/>
        </w:rPr>
      </w:pPr>
    </w:p>
    <w:p w14:paraId="5B9E0A9F" w14:textId="77777777" w:rsidR="004C236C" w:rsidRDefault="004C236C" w:rsidP="004C236C">
      <w:pPr>
        <w:rPr>
          <w:b/>
          <w:noProof/>
          <w:sz w:val="20"/>
          <w:szCs w:val="20"/>
        </w:rPr>
      </w:pPr>
    </w:p>
    <w:p w14:paraId="590A52F9" w14:textId="77777777" w:rsidR="004C236C" w:rsidRDefault="004C236C" w:rsidP="004C236C">
      <w:pPr>
        <w:rPr>
          <w:b/>
          <w:noProof/>
          <w:sz w:val="20"/>
          <w:szCs w:val="20"/>
        </w:rPr>
      </w:pPr>
    </w:p>
    <w:p w14:paraId="7C1DFE42" w14:textId="77777777" w:rsidR="004C236C" w:rsidRDefault="004C236C" w:rsidP="004C236C">
      <w:pPr>
        <w:rPr>
          <w:b/>
          <w:noProof/>
          <w:sz w:val="20"/>
          <w:szCs w:val="20"/>
        </w:rPr>
      </w:pPr>
    </w:p>
    <w:p w14:paraId="25B02815" w14:textId="77777777" w:rsidR="004C236C" w:rsidRDefault="004C236C" w:rsidP="004C236C">
      <w:pPr>
        <w:rPr>
          <w:b/>
          <w:noProof/>
          <w:sz w:val="20"/>
          <w:szCs w:val="20"/>
        </w:rPr>
      </w:pPr>
    </w:p>
    <w:p w14:paraId="71FE7C13" w14:textId="77777777" w:rsidR="004C236C" w:rsidRDefault="004C236C" w:rsidP="004C236C">
      <w:pPr>
        <w:rPr>
          <w:b/>
          <w:noProof/>
          <w:sz w:val="20"/>
          <w:szCs w:val="20"/>
        </w:rPr>
      </w:pPr>
    </w:p>
    <w:p w14:paraId="4AEAEBEC" w14:textId="77777777" w:rsidR="004C236C" w:rsidRDefault="004C236C" w:rsidP="004C236C">
      <w:pPr>
        <w:rPr>
          <w:b/>
          <w:noProof/>
          <w:sz w:val="20"/>
          <w:szCs w:val="20"/>
        </w:rPr>
      </w:pPr>
    </w:p>
    <w:p w14:paraId="3169A2DD" w14:textId="77777777" w:rsidR="004C236C" w:rsidRDefault="004C236C" w:rsidP="004C236C">
      <w:pPr>
        <w:rPr>
          <w:b/>
          <w:noProof/>
          <w:sz w:val="20"/>
          <w:szCs w:val="20"/>
        </w:rPr>
      </w:pPr>
    </w:p>
    <w:p w14:paraId="1013C0D5" w14:textId="0BBAD240" w:rsidR="004C236C" w:rsidRDefault="004C236C" w:rsidP="004C236C">
      <w:pPr>
        <w:rPr>
          <w:b/>
          <w:noProof/>
          <w:sz w:val="20"/>
          <w:szCs w:val="20"/>
        </w:rPr>
      </w:pPr>
    </w:p>
    <w:p w14:paraId="276760E2" w14:textId="77777777" w:rsidR="004C236C" w:rsidRDefault="004C236C" w:rsidP="004C236C">
      <w:pPr>
        <w:rPr>
          <w:b/>
          <w:noProof/>
          <w:sz w:val="20"/>
          <w:szCs w:val="20"/>
        </w:rPr>
      </w:pPr>
    </w:p>
    <w:p w14:paraId="43FC8EB9" w14:textId="77777777" w:rsidR="004C236C" w:rsidRDefault="004C236C" w:rsidP="004C236C">
      <w:pPr>
        <w:rPr>
          <w:b/>
          <w:noProof/>
          <w:sz w:val="20"/>
          <w:szCs w:val="20"/>
        </w:rPr>
      </w:pPr>
    </w:p>
    <w:p w14:paraId="4AFC3A21" w14:textId="77777777" w:rsidR="004C236C" w:rsidRDefault="004C236C" w:rsidP="004C236C">
      <w:pPr>
        <w:rPr>
          <w:b/>
          <w:noProof/>
          <w:sz w:val="20"/>
          <w:szCs w:val="20"/>
        </w:rPr>
      </w:pPr>
    </w:p>
    <w:p w14:paraId="494EE58B" w14:textId="77777777" w:rsidR="004C236C" w:rsidRDefault="004C236C" w:rsidP="004C236C">
      <w:pPr>
        <w:rPr>
          <w:b/>
          <w:noProof/>
          <w:sz w:val="20"/>
          <w:szCs w:val="20"/>
        </w:rPr>
      </w:pPr>
    </w:p>
    <w:p w14:paraId="72C8F25D" w14:textId="77777777" w:rsidR="004C236C" w:rsidRDefault="004C236C" w:rsidP="004C236C">
      <w:pPr>
        <w:rPr>
          <w:b/>
          <w:noProof/>
          <w:sz w:val="20"/>
          <w:szCs w:val="20"/>
        </w:rPr>
      </w:pPr>
    </w:p>
    <w:p w14:paraId="2206D711" w14:textId="77777777" w:rsidR="004C236C" w:rsidRDefault="004C236C" w:rsidP="004C236C">
      <w:pPr>
        <w:rPr>
          <w:b/>
          <w:noProof/>
          <w:sz w:val="20"/>
          <w:szCs w:val="20"/>
        </w:rPr>
      </w:pPr>
    </w:p>
    <w:p w14:paraId="7B75759F" w14:textId="77777777" w:rsidR="004C236C" w:rsidRDefault="004C236C" w:rsidP="004C236C">
      <w:pPr>
        <w:rPr>
          <w:b/>
          <w:noProof/>
          <w:sz w:val="20"/>
          <w:szCs w:val="20"/>
        </w:rPr>
      </w:pPr>
    </w:p>
    <w:p w14:paraId="642E5BC8" w14:textId="77777777" w:rsidR="004C236C" w:rsidRDefault="004C236C" w:rsidP="004C236C">
      <w:pPr>
        <w:rPr>
          <w:b/>
          <w:noProof/>
          <w:sz w:val="20"/>
          <w:szCs w:val="20"/>
        </w:rPr>
      </w:pPr>
    </w:p>
    <w:p w14:paraId="6183EDC8" w14:textId="77777777" w:rsidR="004C236C" w:rsidRDefault="004C236C" w:rsidP="004C236C">
      <w:pPr>
        <w:rPr>
          <w:b/>
          <w:noProof/>
          <w:sz w:val="20"/>
          <w:szCs w:val="20"/>
        </w:rPr>
      </w:pPr>
    </w:p>
    <w:p w14:paraId="1D46019A" w14:textId="77777777" w:rsidR="004C236C" w:rsidRDefault="004C236C" w:rsidP="004C236C">
      <w:pPr>
        <w:rPr>
          <w:b/>
          <w:noProof/>
          <w:sz w:val="20"/>
          <w:szCs w:val="20"/>
        </w:rPr>
      </w:pPr>
    </w:p>
    <w:p w14:paraId="21B832A9" w14:textId="77777777" w:rsidR="004C236C" w:rsidRDefault="004C236C" w:rsidP="004C236C">
      <w:pPr>
        <w:rPr>
          <w:b/>
          <w:noProof/>
          <w:sz w:val="20"/>
          <w:szCs w:val="20"/>
        </w:rPr>
      </w:pPr>
    </w:p>
    <w:p w14:paraId="327C3C56" w14:textId="77777777" w:rsidR="004C236C" w:rsidRDefault="004C236C" w:rsidP="004C236C">
      <w:pPr>
        <w:rPr>
          <w:b/>
          <w:noProof/>
          <w:sz w:val="20"/>
          <w:szCs w:val="20"/>
        </w:rPr>
      </w:pPr>
    </w:p>
    <w:p w14:paraId="632378E5" w14:textId="77777777" w:rsidR="004C236C" w:rsidRDefault="004C236C" w:rsidP="004C236C">
      <w:pPr>
        <w:rPr>
          <w:b/>
          <w:noProof/>
          <w:sz w:val="20"/>
          <w:szCs w:val="20"/>
        </w:rPr>
      </w:pPr>
    </w:p>
    <w:p w14:paraId="62E1D83C" w14:textId="77777777" w:rsidR="004C236C" w:rsidRDefault="004C236C" w:rsidP="004C236C">
      <w:pPr>
        <w:rPr>
          <w:b/>
          <w:noProof/>
          <w:sz w:val="20"/>
          <w:szCs w:val="20"/>
        </w:rPr>
      </w:pPr>
    </w:p>
    <w:p w14:paraId="3B17FBEA" w14:textId="77777777" w:rsidR="00B748CE" w:rsidRPr="004C236C" w:rsidRDefault="00B748CE" w:rsidP="004C236C"/>
    <w:sectPr w:rsidR="00B748CE" w:rsidRPr="004C2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F17"/>
    <w:multiLevelType w:val="hybridMultilevel"/>
    <w:tmpl w:val="631EF83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CA4286"/>
    <w:multiLevelType w:val="multilevel"/>
    <w:tmpl w:val="344246A4"/>
    <w:lvl w:ilvl="0">
      <w:start w:val="1"/>
      <w:numFmt w:val="lowerLetter"/>
      <w:lvlText w:val="%1)"/>
      <w:lvlJc w:val="left"/>
      <w:pPr>
        <w:ind w:left="100" w:hanging="300"/>
      </w:pPr>
      <w:rPr>
        <w:b w:val="0"/>
        <w:bCs w:val="0"/>
        <w:i w:val="0"/>
        <w:iCs w:val="0"/>
        <w:spacing w:val="0"/>
        <w:w w:val="100"/>
        <w:sz w:val="20"/>
        <w:szCs w:val="20"/>
      </w:rPr>
    </w:lvl>
    <w:lvl w:ilvl="1">
      <w:start w:val="1"/>
      <w:numFmt w:val="decimal"/>
      <w:lvlText w:val="(%2)"/>
      <w:lvlJc w:val="left"/>
      <w:pPr>
        <w:ind w:left="677" w:hanging="300"/>
      </w:pPr>
      <w:rPr>
        <w:rFonts w:ascii="Arial" w:hAnsi="Arial" w:cs="Arial"/>
        <w:b w:val="0"/>
        <w:bCs w:val="0"/>
        <w:i w:val="0"/>
        <w:iCs w:val="0"/>
        <w:spacing w:val="0"/>
        <w:w w:val="100"/>
        <w:sz w:val="20"/>
        <w:szCs w:val="20"/>
      </w:rPr>
    </w:lvl>
    <w:lvl w:ilvl="2">
      <w:numFmt w:val="bullet"/>
      <w:lvlText w:val="•"/>
      <w:lvlJc w:val="left"/>
      <w:pPr>
        <w:ind w:left="1868" w:hanging="300"/>
      </w:pPr>
    </w:lvl>
    <w:lvl w:ilvl="3">
      <w:numFmt w:val="bullet"/>
      <w:lvlText w:val="•"/>
      <w:lvlJc w:val="left"/>
      <w:pPr>
        <w:ind w:left="3056" w:hanging="300"/>
      </w:pPr>
    </w:lvl>
    <w:lvl w:ilvl="4">
      <w:numFmt w:val="bullet"/>
      <w:lvlText w:val="•"/>
      <w:lvlJc w:val="left"/>
      <w:pPr>
        <w:ind w:left="4244" w:hanging="300"/>
      </w:pPr>
    </w:lvl>
    <w:lvl w:ilvl="5">
      <w:numFmt w:val="bullet"/>
      <w:lvlText w:val="•"/>
      <w:lvlJc w:val="left"/>
      <w:pPr>
        <w:ind w:left="5433" w:hanging="300"/>
      </w:pPr>
    </w:lvl>
    <w:lvl w:ilvl="6">
      <w:numFmt w:val="bullet"/>
      <w:lvlText w:val="•"/>
      <w:lvlJc w:val="left"/>
      <w:pPr>
        <w:ind w:left="6621" w:hanging="300"/>
      </w:pPr>
    </w:lvl>
    <w:lvl w:ilvl="7">
      <w:numFmt w:val="bullet"/>
      <w:lvlText w:val="•"/>
      <w:lvlJc w:val="left"/>
      <w:pPr>
        <w:ind w:left="7809" w:hanging="300"/>
      </w:pPr>
    </w:lvl>
    <w:lvl w:ilvl="8">
      <w:numFmt w:val="bullet"/>
      <w:lvlText w:val="•"/>
      <w:lvlJc w:val="left"/>
      <w:pPr>
        <w:ind w:left="8997" w:hanging="300"/>
      </w:pPr>
    </w:lvl>
  </w:abstractNum>
  <w:abstractNum w:abstractNumId="2" w15:restartNumberingAfterBreak="0">
    <w:nsid w:val="38ED25BE"/>
    <w:multiLevelType w:val="hybridMultilevel"/>
    <w:tmpl w:val="4B043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E3EFA"/>
    <w:multiLevelType w:val="multilevel"/>
    <w:tmpl w:val="A1A23F5C"/>
    <w:lvl w:ilvl="0">
      <w:start w:val="1"/>
      <w:numFmt w:val="lowerLetter"/>
      <w:lvlText w:val="(%1)"/>
      <w:lvlJc w:val="left"/>
      <w:pPr>
        <w:ind w:left="100" w:hanging="300"/>
      </w:pPr>
      <w:rPr>
        <w:rFonts w:ascii="Arial" w:hAnsi="Arial" w:cs="Arial"/>
        <w:b w:val="0"/>
        <w:bCs w:val="0"/>
        <w:i w:val="0"/>
        <w:iCs w:val="0"/>
        <w:spacing w:val="0"/>
        <w:w w:val="100"/>
        <w:sz w:val="20"/>
        <w:szCs w:val="20"/>
      </w:rPr>
    </w:lvl>
    <w:lvl w:ilvl="1">
      <w:start w:val="1"/>
      <w:numFmt w:val="decimal"/>
      <w:lvlText w:val="%2)"/>
      <w:lvlJc w:val="left"/>
      <w:pPr>
        <w:ind w:left="720" w:hanging="360"/>
      </w:pPr>
    </w:lvl>
    <w:lvl w:ilvl="2">
      <w:numFmt w:val="bullet"/>
      <w:lvlText w:val="•"/>
      <w:lvlJc w:val="left"/>
      <w:pPr>
        <w:ind w:left="1868" w:hanging="300"/>
      </w:pPr>
    </w:lvl>
    <w:lvl w:ilvl="3">
      <w:numFmt w:val="bullet"/>
      <w:lvlText w:val="•"/>
      <w:lvlJc w:val="left"/>
      <w:pPr>
        <w:ind w:left="3056" w:hanging="300"/>
      </w:pPr>
    </w:lvl>
    <w:lvl w:ilvl="4">
      <w:numFmt w:val="bullet"/>
      <w:lvlText w:val="•"/>
      <w:lvlJc w:val="left"/>
      <w:pPr>
        <w:ind w:left="4244" w:hanging="300"/>
      </w:pPr>
    </w:lvl>
    <w:lvl w:ilvl="5">
      <w:numFmt w:val="bullet"/>
      <w:lvlText w:val="•"/>
      <w:lvlJc w:val="left"/>
      <w:pPr>
        <w:ind w:left="5433" w:hanging="300"/>
      </w:pPr>
    </w:lvl>
    <w:lvl w:ilvl="6">
      <w:numFmt w:val="bullet"/>
      <w:lvlText w:val="•"/>
      <w:lvlJc w:val="left"/>
      <w:pPr>
        <w:ind w:left="6621" w:hanging="300"/>
      </w:pPr>
    </w:lvl>
    <w:lvl w:ilvl="7">
      <w:numFmt w:val="bullet"/>
      <w:lvlText w:val="•"/>
      <w:lvlJc w:val="left"/>
      <w:pPr>
        <w:ind w:left="7809" w:hanging="300"/>
      </w:pPr>
    </w:lvl>
    <w:lvl w:ilvl="8">
      <w:numFmt w:val="bullet"/>
      <w:lvlText w:val="•"/>
      <w:lvlJc w:val="left"/>
      <w:pPr>
        <w:ind w:left="8997" w:hanging="300"/>
      </w:pPr>
    </w:lvl>
  </w:abstractNum>
  <w:abstractNum w:abstractNumId="4" w15:restartNumberingAfterBreak="0">
    <w:nsid w:val="4CF054FE"/>
    <w:multiLevelType w:val="multilevel"/>
    <w:tmpl w:val="520AC30A"/>
    <w:lvl w:ilvl="0">
      <w:start w:val="1"/>
      <w:numFmt w:val="upperRoman"/>
      <w:lvlText w:val="%1."/>
      <w:lvlJc w:val="right"/>
      <w:pPr>
        <w:ind w:left="100" w:hanging="167"/>
      </w:pPr>
      <w:rPr>
        <w:b w:val="0"/>
        <w:bCs w:val="0"/>
        <w:i w:val="0"/>
        <w:iCs w:val="0"/>
        <w:spacing w:val="0"/>
        <w:w w:val="100"/>
        <w:sz w:val="20"/>
        <w:szCs w:val="20"/>
      </w:rPr>
    </w:lvl>
    <w:lvl w:ilvl="1">
      <w:numFmt w:val="bullet"/>
      <w:lvlText w:val="•"/>
      <w:lvlJc w:val="left"/>
      <w:pPr>
        <w:ind w:left="1227" w:hanging="167"/>
      </w:pPr>
    </w:lvl>
    <w:lvl w:ilvl="2">
      <w:numFmt w:val="bullet"/>
      <w:lvlText w:val="•"/>
      <w:lvlJc w:val="left"/>
      <w:pPr>
        <w:ind w:left="2354" w:hanging="167"/>
      </w:pPr>
    </w:lvl>
    <w:lvl w:ilvl="3">
      <w:numFmt w:val="bullet"/>
      <w:lvlText w:val="•"/>
      <w:lvlJc w:val="left"/>
      <w:pPr>
        <w:ind w:left="3482" w:hanging="167"/>
      </w:pPr>
    </w:lvl>
    <w:lvl w:ilvl="4">
      <w:numFmt w:val="bullet"/>
      <w:lvlText w:val="•"/>
      <w:lvlJc w:val="left"/>
      <w:pPr>
        <w:ind w:left="4609" w:hanging="167"/>
      </w:pPr>
    </w:lvl>
    <w:lvl w:ilvl="5">
      <w:numFmt w:val="bullet"/>
      <w:lvlText w:val="•"/>
      <w:lvlJc w:val="left"/>
      <w:pPr>
        <w:ind w:left="5737" w:hanging="167"/>
      </w:pPr>
    </w:lvl>
    <w:lvl w:ilvl="6">
      <w:numFmt w:val="bullet"/>
      <w:lvlText w:val="•"/>
      <w:lvlJc w:val="left"/>
      <w:pPr>
        <w:ind w:left="6864" w:hanging="167"/>
      </w:pPr>
    </w:lvl>
    <w:lvl w:ilvl="7">
      <w:numFmt w:val="bullet"/>
      <w:lvlText w:val="•"/>
      <w:lvlJc w:val="left"/>
      <w:pPr>
        <w:ind w:left="7992" w:hanging="167"/>
      </w:pPr>
    </w:lvl>
    <w:lvl w:ilvl="8">
      <w:numFmt w:val="bullet"/>
      <w:lvlText w:val="•"/>
      <w:lvlJc w:val="left"/>
      <w:pPr>
        <w:ind w:left="9119" w:hanging="167"/>
      </w:pPr>
    </w:lvl>
  </w:abstractNum>
  <w:num w:numId="1" w16cid:durableId="1380472851">
    <w:abstractNumId w:val="4"/>
  </w:num>
  <w:num w:numId="2" w16cid:durableId="83185763">
    <w:abstractNumId w:val="2"/>
  </w:num>
  <w:num w:numId="3" w16cid:durableId="1502114994">
    <w:abstractNumId w:val="1"/>
  </w:num>
  <w:num w:numId="4" w16cid:durableId="1266691763">
    <w:abstractNumId w:val="3"/>
  </w:num>
  <w:num w:numId="5" w16cid:durableId="128531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6C"/>
    <w:rsid w:val="00112A26"/>
    <w:rsid w:val="001A2EB1"/>
    <w:rsid w:val="00286193"/>
    <w:rsid w:val="002A4186"/>
    <w:rsid w:val="0043426B"/>
    <w:rsid w:val="004B032E"/>
    <w:rsid w:val="004C236C"/>
    <w:rsid w:val="008E3E10"/>
    <w:rsid w:val="00A074DF"/>
    <w:rsid w:val="00A31E04"/>
    <w:rsid w:val="00B748CE"/>
    <w:rsid w:val="00B94FFD"/>
    <w:rsid w:val="00D67432"/>
    <w:rsid w:val="00DC4CE4"/>
    <w:rsid w:val="50A27762"/>
    <w:rsid w:val="54A4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833C"/>
  <w15:chartTrackingRefBased/>
  <w15:docId w15:val="{63878123-300E-46CA-BC76-03935BDA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6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2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3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3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3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3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36C"/>
    <w:rPr>
      <w:rFonts w:eastAsiaTheme="majorEastAsia" w:cstheme="majorBidi"/>
      <w:color w:val="272727" w:themeColor="text1" w:themeTint="D8"/>
    </w:rPr>
  </w:style>
  <w:style w:type="paragraph" w:styleId="Title">
    <w:name w:val="Title"/>
    <w:basedOn w:val="Normal"/>
    <w:next w:val="Normal"/>
    <w:link w:val="TitleChar"/>
    <w:uiPriority w:val="10"/>
    <w:qFormat/>
    <w:rsid w:val="004C23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36C"/>
    <w:pPr>
      <w:spacing w:before="160"/>
      <w:jc w:val="center"/>
    </w:pPr>
    <w:rPr>
      <w:i/>
      <w:iCs/>
      <w:color w:val="404040" w:themeColor="text1" w:themeTint="BF"/>
    </w:rPr>
  </w:style>
  <w:style w:type="character" w:customStyle="1" w:styleId="QuoteChar">
    <w:name w:val="Quote Char"/>
    <w:basedOn w:val="DefaultParagraphFont"/>
    <w:link w:val="Quote"/>
    <w:uiPriority w:val="29"/>
    <w:rsid w:val="004C236C"/>
    <w:rPr>
      <w:i/>
      <w:iCs/>
      <w:color w:val="404040" w:themeColor="text1" w:themeTint="BF"/>
    </w:rPr>
  </w:style>
  <w:style w:type="paragraph" w:styleId="ListParagraph">
    <w:name w:val="List Paragraph"/>
    <w:basedOn w:val="Normal"/>
    <w:link w:val="ListParagraphChar"/>
    <w:uiPriority w:val="1"/>
    <w:qFormat/>
    <w:rsid w:val="004C236C"/>
    <w:pPr>
      <w:ind w:left="720"/>
      <w:contextualSpacing/>
    </w:pPr>
  </w:style>
  <w:style w:type="character" w:styleId="IntenseEmphasis">
    <w:name w:val="Intense Emphasis"/>
    <w:basedOn w:val="DefaultParagraphFont"/>
    <w:uiPriority w:val="21"/>
    <w:qFormat/>
    <w:rsid w:val="004C236C"/>
    <w:rPr>
      <w:i/>
      <w:iCs/>
      <w:color w:val="0F4761" w:themeColor="accent1" w:themeShade="BF"/>
    </w:rPr>
  </w:style>
  <w:style w:type="paragraph" w:styleId="IntenseQuote">
    <w:name w:val="Intense Quote"/>
    <w:basedOn w:val="Normal"/>
    <w:next w:val="Normal"/>
    <w:link w:val="IntenseQuoteChar"/>
    <w:uiPriority w:val="30"/>
    <w:qFormat/>
    <w:rsid w:val="004C2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36C"/>
    <w:rPr>
      <w:i/>
      <w:iCs/>
      <w:color w:val="0F4761" w:themeColor="accent1" w:themeShade="BF"/>
    </w:rPr>
  </w:style>
  <w:style w:type="character" w:styleId="IntenseReference">
    <w:name w:val="Intense Reference"/>
    <w:basedOn w:val="DefaultParagraphFont"/>
    <w:uiPriority w:val="32"/>
    <w:qFormat/>
    <w:rsid w:val="004C236C"/>
    <w:rPr>
      <w:b/>
      <w:bCs/>
      <w:smallCaps/>
      <w:color w:val="0F4761" w:themeColor="accent1" w:themeShade="BF"/>
      <w:spacing w:val="5"/>
    </w:rPr>
  </w:style>
  <w:style w:type="character" w:styleId="Hyperlink">
    <w:name w:val="Hyperlink"/>
    <w:rsid w:val="004C236C"/>
    <w:rPr>
      <w:rFonts w:ascii="Times New Roman" w:hAnsi="Times New Roman"/>
      <w:color w:val="0000FF"/>
      <w:sz w:val="20"/>
      <w:u w:val="single"/>
    </w:rPr>
  </w:style>
  <w:style w:type="character" w:customStyle="1" w:styleId="ListParagraphChar">
    <w:name w:val="List Paragraph Char"/>
    <w:link w:val="ListParagraph"/>
    <w:uiPriority w:val="1"/>
    <w:locked/>
    <w:rsid w:val="004C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guidance-published-help-department-supported-organizations-provide-meaningful-access-people-limi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lRightsEvaluation@hq.dhs.gov" TargetMode="External"/><Relationship Id="rId12" Type="http://schemas.openxmlformats.org/officeDocument/2006/relationships/hyperlink" Target="mailto:ASK-GMD@fema.dhs.gov"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dhs.gov/publication/dhs-civil-rights-evaluation-tool" TargetMode="External"/><Relationship Id="rId11" Type="http://schemas.openxmlformats.org/officeDocument/2006/relationships/hyperlink" Target="https://www.fema.gov/grants/policy-guidance/buy-america/programs-definitions" TargetMode="External"/><Relationship Id="rId5" Type="http://schemas.openxmlformats.org/officeDocument/2006/relationships/hyperlink" Target="mailto:CivilRightsEvaluation@hq.dhs.gov." TargetMode="External"/><Relationship Id="rId15" Type="http://schemas.openxmlformats.org/officeDocument/2006/relationships/customXml" Target="../customXml/item1.xml"/><Relationship Id="rId10" Type="http://schemas.openxmlformats.org/officeDocument/2006/relationships/hyperlink" Target="https://www.fema.gov/grants/policy-guidance/buy-america" TargetMode="External"/><Relationship Id="rId4" Type="http://schemas.openxmlformats.org/officeDocument/2006/relationships/webSettings" Target="webSettings.xml"/><Relationship Id="rId9" Type="http://schemas.openxmlformats.org/officeDocument/2006/relationships/hyperlink" Target="http://www.lep.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bea14a1418324dc2b7f641802c33ffa">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285003f1579f1290bd8d1024904d1d65"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ef49a-3803-4b4d-8c9d-c67b6e53e4af">
      <Terms xmlns="http://schemas.microsoft.com/office/infopath/2007/PartnerControls"/>
    </lcf76f155ced4ddcb4097134ff3c332f>
    <TaxCatchAll xmlns="7d7d3347-3f4a-43b7-ab51-5f5f7a1522a6" xsi:nil="true"/>
  </documentManagement>
</p:properties>
</file>

<file path=customXml/itemProps1.xml><?xml version="1.0" encoding="utf-8"?>
<ds:datastoreItem xmlns:ds="http://schemas.openxmlformats.org/officeDocument/2006/customXml" ds:itemID="{0D1EBB29-9802-44F6-92C0-B694E620BD10}"/>
</file>

<file path=customXml/itemProps2.xml><?xml version="1.0" encoding="utf-8"?>
<ds:datastoreItem xmlns:ds="http://schemas.openxmlformats.org/officeDocument/2006/customXml" ds:itemID="{48C106D3-A06F-4CB7-B7BB-D6F471423ADD}"/>
</file>

<file path=customXml/itemProps3.xml><?xml version="1.0" encoding="utf-8"?>
<ds:datastoreItem xmlns:ds="http://schemas.openxmlformats.org/officeDocument/2006/customXml" ds:itemID="{BFF65D52-BBB3-4530-8887-D788B2740F7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4399</Words>
  <Characters>25079</Characters>
  <Application>Microsoft Office Word</Application>
  <DocSecurity>0</DocSecurity>
  <Lines>208</Lines>
  <Paragraphs>58</Paragraphs>
  <ScaleCrop>false</ScaleCrop>
  <Company>Commonwealth of Massachusetts</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Kevin (OGR)</dc:creator>
  <cp:keywords/>
  <dc:description/>
  <cp:lastModifiedBy>Cook, Sarah E. (OGR)</cp:lastModifiedBy>
  <cp:revision>3</cp:revision>
  <dcterms:created xsi:type="dcterms:W3CDTF">2025-08-27T17:58:00Z</dcterms:created>
  <dcterms:modified xsi:type="dcterms:W3CDTF">2025-08-27T17:58:00Z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ies>
</file>