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5"/>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6499"/>
        <w:gridCol w:w="2486"/>
      </w:tblGrid>
      <w:tr w:rsidR="00960C38" w:rsidRPr="008D1A3F" w14:paraId="663B5AF9" w14:textId="77777777" w:rsidTr="004E2EB9">
        <w:trPr>
          <w:trHeight w:val="2841"/>
        </w:trPr>
        <w:tc>
          <w:tcPr>
            <w:tcW w:w="1957" w:type="dxa"/>
            <w:tcBorders>
              <w:top w:val="single" w:sz="4" w:space="0" w:color="FFFFFF"/>
              <w:left w:val="single" w:sz="4" w:space="0" w:color="FFFFFF"/>
              <w:bottom w:val="single" w:sz="4" w:space="0" w:color="FFFFFF"/>
              <w:right w:val="single" w:sz="4" w:space="0" w:color="FFFFFF"/>
            </w:tcBorders>
            <w:shd w:val="clear" w:color="auto" w:fill="auto"/>
          </w:tcPr>
          <w:p w14:paraId="17A1C045" w14:textId="77777777" w:rsidR="00960C38" w:rsidRPr="008D1A3F" w:rsidRDefault="00960C38" w:rsidP="009C448F">
            <w:pPr>
              <w:jc w:val="center"/>
            </w:pPr>
          </w:p>
        </w:tc>
        <w:tc>
          <w:tcPr>
            <w:tcW w:w="6499" w:type="dxa"/>
            <w:tcBorders>
              <w:top w:val="single" w:sz="4" w:space="0" w:color="FFFFFF"/>
              <w:left w:val="single" w:sz="4" w:space="0" w:color="FFFFFF"/>
              <w:bottom w:val="single" w:sz="4" w:space="0" w:color="FFFFFF"/>
              <w:right w:val="single" w:sz="4" w:space="0" w:color="FFFFFF"/>
            </w:tcBorders>
            <w:shd w:val="clear" w:color="auto" w:fill="auto"/>
          </w:tcPr>
          <w:p w14:paraId="3359D123" w14:textId="77777777" w:rsidR="00F034F4" w:rsidRPr="008D1A3F" w:rsidRDefault="00F034F4" w:rsidP="009C448F">
            <w:pPr>
              <w:jc w:val="center"/>
              <w:rPr>
                <w:b/>
                <w:sz w:val="28"/>
                <w:szCs w:val="28"/>
              </w:rPr>
            </w:pPr>
          </w:p>
          <w:p w14:paraId="17B8FCCA" w14:textId="77777777" w:rsidR="00F034F4" w:rsidRPr="008D1A3F" w:rsidRDefault="00F034F4" w:rsidP="009C448F">
            <w:pPr>
              <w:jc w:val="center"/>
              <w:rPr>
                <w:b/>
                <w:sz w:val="28"/>
                <w:szCs w:val="28"/>
              </w:rPr>
            </w:pPr>
          </w:p>
          <w:p w14:paraId="2EC69964" w14:textId="77777777" w:rsidR="00F034F4" w:rsidRPr="008D1A3F" w:rsidRDefault="00F034F4" w:rsidP="009C448F">
            <w:pPr>
              <w:jc w:val="center"/>
              <w:rPr>
                <w:b/>
                <w:sz w:val="28"/>
                <w:szCs w:val="28"/>
              </w:rPr>
            </w:pPr>
          </w:p>
          <w:p w14:paraId="1BB2210B" w14:textId="798D45CD" w:rsidR="00960C38" w:rsidRPr="008D1A3F" w:rsidRDefault="00960C38" w:rsidP="007B5B1C">
            <w:pPr>
              <w:jc w:val="center"/>
              <w:rPr>
                <w:b/>
                <w:sz w:val="28"/>
                <w:szCs w:val="28"/>
              </w:rPr>
            </w:pPr>
            <w:r w:rsidRPr="008D1A3F">
              <w:rPr>
                <w:b/>
                <w:sz w:val="28"/>
                <w:szCs w:val="28"/>
              </w:rPr>
              <w:t>Commonwealth of Massachusetts</w:t>
            </w:r>
            <w:r w:rsidR="007B5B1C" w:rsidRPr="008D1A3F">
              <w:rPr>
                <w:b/>
                <w:sz w:val="28"/>
                <w:szCs w:val="28"/>
              </w:rPr>
              <w:br/>
            </w:r>
            <w:r w:rsidRPr="008D1A3F">
              <w:rPr>
                <w:b/>
                <w:sz w:val="28"/>
                <w:szCs w:val="28"/>
              </w:rPr>
              <w:t>Executive Office of Public Safety and Security</w:t>
            </w:r>
            <w:r w:rsidR="007B5B1C" w:rsidRPr="008D1A3F">
              <w:rPr>
                <w:b/>
                <w:sz w:val="28"/>
                <w:szCs w:val="28"/>
              </w:rPr>
              <w:br/>
            </w:r>
            <w:r w:rsidRPr="008D1A3F">
              <w:rPr>
                <w:b/>
                <w:sz w:val="28"/>
                <w:szCs w:val="28"/>
              </w:rPr>
              <w:t>Office of Grants and Research</w:t>
            </w:r>
          </w:p>
          <w:p w14:paraId="1BAA6C0E" w14:textId="77777777" w:rsidR="00C7115C" w:rsidRPr="008D1A3F" w:rsidRDefault="00C7115C" w:rsidP="009C448F">
            <w:pPr>
              <w:jc w:val="center"/>
              <w:rPr>
                <w:b/>
                <w:sz w:val="28"/>
                <w:szCs w:val="28"/>
              </w:rPr>
            </w:pPr>
          </w:p>
          <w:p w14:paraId="74000C61" w14:textId="77777777" w:rsidR="0007456A" w:rsidRPr="008D1A3F" w:rsidRDefault="0007456A" w:rsidP="009C448F">
            <w:pPr>
              <w:jc w:val="center"/>
              <w:rPr>
                <w:b/>
                <w:sz w:val="28"/>
                <w:szCs w:val="28"/>
              </w:rPr>
            </w:pPr>
          </w:p>
          <w:p w14:paraId="40E7E764" w14:textId="77777777" w:rsidR="00960C38" w:rsidRPr="008D1A3F" w:rsidRDefault="00960C38" w:rsidP="009C448F">
            <w:pPr>
              <w:jc w:val="center"/>
              <w:rPr>
                <w:b/>
                <w:sz w:val="32"/>
              </w:rPr>
            </w:pPr>
          </w:p>
          <w:p w14:paraId="1BA4AE70" w14:textId="77777777" w:rsidR="00960C38" w:rsidRPr="008D1A3F" w:rsidRDefault="00960C38" w:rsidP="009C448F">
            <w:pPr>
              <w:jc w:val="center"/>
              <w:rPr>
                <w:b/>
                <w:sz w:val="32"/>
              </w:rPr>
            </w:pPr>
            <w:r w:rsidRPr="008D1A3F">
              <w:rPr>
                <w:noProof/>
              </w:rPr>
              <w:drawing>
                <wp:inline distT="0" distB="0" distL="0" distR="0" wp14:anchorId="481538EB" wp14:editId="71357665">
                  <wp:extent cx="2435879" cy="223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252" cy="2242393"/>
                          </a:xfrm>
                          <a:prstGeom prst="rect">
                            <a:avLst/>
                          </a:prstGeom>
                          <a:noFill/>
                          <a:ln>
                            <a:noFill/>
                          </a:ln>
                        </pic:spPr>
                      </pic:pic>
                    </a:graphicData>
                  </a:graphic>
                </wp:inline>
              </w:drawing>
            </w:r>
          </w:p>
          <w:p w14:paraId="17C4C0A1" w14:textId="77777777" w:rsidR="00960C38" w:rsidRPr="008D1A3F" w:rsidRDefault="00960C38" w:rsidP="009C448F">
            <w:pPr>
              <w:jc w:val="center"/>
              <w:rPr>
                <w:b/>
                <w:sz w:val="32"/>
              </w:rPr>
            </w:pPr>
          </w:p>
          <w:p w14:paraId="721E8DF8" w14:textId="77777777" w:rsidR="007854AE" w:rsidRPr="008D1A3F" w:rsidRDefault="007854AE" w:rsidP="009C448F">
            <w:pPr>
              <w:jc w:val="center"/>
              <w:rPr>
                <w:b/>
                <w:sz w:val="28"/>
                <w:szCs w:val="28"/>
              </w:rPr>
            </w:pPr>
          </w:p>
          <w:p w14:paraId="193946C0" w14:textId="77777777" w:rsidR="00960C38" w:rsidRPr="008D1A3F" w:rsidRDefault="00960C38" w:rsidP="009C448F">
            <w:pPr>
              <w:jc w:val="center"/>
              <w:rPr>
                <w:sz w:val="22"/>
                <w:szCs w:val="22"/>
              </w:rPr>
            </w:pPr>
          </w:p>
          <w:p w14:paraId="455BFDB4" w14:textId="77777777" w:rsidR="00960C38" w:rsidRPr="008D1A3F" w:rsidRDefault="00960C38" w:rsidP="009C448F">
            <w:pPr>
              <w:jc w:val="center"/>
              <w:rPr>
                <w:sz w:val="22"/>
                <w:szCs w:val="22"/>
              </w:rPr>
            </w:pPr>
          </w:p>
        </w:tc>
        <w:tc>
          <w:tcPr>
            <w:tcW w:w="2486" w:type="dxa"/>
            <w:tcBorders>
              <w:top w:val="single" w:sz="4" w:space="0" w:color="FFFFFF"/>
              <w:left w:val="single" w:sz="4" w:space="0" w:color="FFFFFF"/>
              <w:bottom w:val="single" w:sz="4" w:space="0" w:color="FFFFFF"/>
              <w:right w:val="single" w:sz="4" w:space="0" w:color="FFFFFF"/>
            </w:tcBorders>
            <w:shd w:val="clear" w:color="auto" w:fill="auto"/>
          </w:tcPr>
          <w:p w14:paraId="7520C6F1" w14:textId="77777777" w:rsidR="00960C38" w:rsidRPr="008D1A3F" w:rsidRDefault="00960C38" w:rsidP="009C448F">
            <w:pPr>
              <w:jc w:val="center"/>
              <w:rPr>
                <w:sz w:val="20"/>
                <w:szCs w:val="20"/>
              </w:rPr>
            </w:pPr>
          </w:p>
          <w:p w14:paraId="057D029E" w14:textId="77777777" w:rsidR="00960C38" w:rsidRPr="008D1A3F" w:rsidRDefault="00960C38" w:rsidP="009C448F">
            <w:pPr>
              <w:jc w:val="center"/>
              <w:rPr>
                <w:sz w:val="20"/>
                <w:szCs w:val="20"/>
              </w:rPr>
            </w:pPr>
          </w:p>
          <w:p w14:paraId="27DA0CA4" w14:textId="77777777" w:rsidR="00960C38" w:rsidRPr="008D1A3F" w:rsidRDefault="00960C38" w:rsidP="009C448F">
            <w:pPr>
              <w:jc w:val="center"/>
              <w:rPr>
                <w:sz w:val="20"/>
                <w:szCs w:val="20"/>
              </w:rPr>
            </w:pPr>
          </w:p>
          <w:p w14:paraId="7323AD9E" w14:textId="77777777" w:rsidR="00960C38" w:rsidRPr="008D1A3F" w:rsidRDefault="00960C38" w:rsidP="009C448F">
            <w:pPr>
              <w:jc w:val="center"/>
              <w:rPr>
                <w:sz w:val="20"/>
                <w:szCs w:val="20"/>
              </w:rPr>
            </w:pPr>
          </w:p>
          <w:p w14:paraId="3AC86F86" w14:textId="77777777" w:rsidR="00960C38" w:rsidRPr="008D1A3F" w:rsidRDefault="00960C38" w:rsidP="009C448F">
            <w:pPr>
              <w:jc w:val="center"/>
              <w:rPr>
                <w:sz w:val="20"/>
                <w:szCs w:val="20"/>
              </w:rPr>
            </w:pPr>
          </w:p>
          <w:p w14:paraId="366B3B86" w14:textId="77777777" w:rsidR="00960C38" w:rsidRPr="008D1A3F" w:rsidRDefault="00960C38" w:rsidP="009C448F">
            <w:pPr>
              <w:jc w:val="center"/>
              <w:rPr>
                <w:b/>
                <w:sz w:val="20"/>
                <w:szCs w:val="20"/>
              </w:rPr>
            </w:pPr>
          </w:p>
          <w:p w14:paraId="4AD76755" w14:textId="77777777" w:rsidR="00960C38" w:rsidRPr="008D1A3F" w:rsidRDefault="00960C38" w:rsidP="009C448F">
            <w:pPr>
              <w:jc w:val="center"/>
              <w:rPr>
                <w:sz w:val="20"/>
                <w:szCs w:val="20"/>
              </w:rPr>
            </w:pPr>
          </w:p>
          <w:p w14:paraId="44A4180C" w14:textId="77777777" w:rsidR="00960C38" w:rsidRPr="008D1A3F" w:rsidRDefault="00960C38" w:rsidP="009C448F">
            <w:pPr>
              <w:jc w:val="center"/>
            </w:pPr>
            <w:r w:rsidRPr="008D1A3F">
              <w:rPr>
                <w:sz w:val="20"/>
                <w:szCs w:val="20"/>
              </w:rPr>
              <w:br/>
            </w:r>
          </w:p>
        </w:tc>
      </w:tr>
    </w:tbl>
    <w:p w14:paraId="2B4C4504" w14:textId="77777777" w:rsidR="007B5B1C" w:rsidRPr="008D1A3F" w:rsidRDefault="00F90EBB" w:rsidP="007B5B1C">
      <w:pPr>
        <w:jc w:val="center"/>
        <w:rPr>
          <w:b/>
          <w:sz w:val="32"/>
          <w:szCs w:val="32"/>
        </w:rPr>
      </w:pPr>
      <w:r w:rsidRPr="008D1A3F">
        <w:rPr>
          <w:b/>
          <w:sz w:val="32"/>
          <w:szCs w:val="32"/>
        </w:rPr>
        <w:t>Notice of Availability of Grant Funds (AGF)</w:t>
      </w:r>
    </w:p>
    <w:p w14:paraId="35C92F77" w14:textId="64224147" w:rsidR="007B5B1C" w:rsidRPr="008D1A3F" w:rsidRDefault="007B5B1C" w:rsidP="007B5B1C">
      <w:pPr>
        <w:jc w:val="center"/>
        <w:rPr>
          <w:b/>
          <w:sz w:val="32"/>
          <w:szCs w:val="32"/>
        </w:rPr>
      </w:pPr>
      <w:r w:rsidRPr="008D1A3F">
        <w:rPr>
          <w:b/>
          <w:sz w:val="32"/>
          <w:szCs w:val="32"/>
        </w:rPr>
        <w:t>for</w:t>
      </w:r>
    </w:p>
    <w:p w14:paraId="048E8E79" w14:textId="022EAB5F" w:rsidR="00960C38" w:rsidRPr="008D1A3F" w:rsidRDefault="00960C38" w:rsidP="007B5B1C">
      <w:pPr>
        <w:jc w:val="center"/>
        <w:rPr>
          <w:b/>
          <w:sz w:val="32"/>
          <w:szCs w:val="32"/>
        </w:rPr>
      </w:pPr>
      <w:r w:rsidRPr="008D1A3F">
        <w:rPr>
          <w:b/>
          <w:sz w:val="32"/>
          <w:szCs w:val="32"/>
        </w:rPr>
        <w:t>FFY 20</w:t>
      </w:r>
      <w:r w:rsidR="006B7176" w:rsidRPr="008D1A3F">
        <w:rPr>
          <w:b/>
          <w:sz w:val="32"/>
          <w:szCs w:val="32"/>
        </w:rPr>
        <w:t>2</w:t>
      </w:r>
      <w:r w:rsidR="009D0EDD" w:rsidRPr="008D1A3F">
        <w:rPr>
          <w:b/>
          <w:sz w:val="32"/>
          <w:szCs w:val="32"/>
        </w:rPr>
        <w:t>1</w:t>
      </w:r>
      <w:r w:rsidR="007707E1" w:rsidRPr="008D1A3F">
        <w:rPr>
          <w:b/>
          <w:sz w:val="32"/>
          <w:szCs w:val="32"/>
        </w:rPr>
        <w:t xml:space="preserve"> </w:t>
      </w:r>
      <w:r w:rsidR="00C57F9B" w:rsidRPr="008D1A3F">
        <w:rPr>
          <w:b/>
          <w:sz w:val="32"/>
          <w:szCs w:val="32"/>
        </w:rPr>
        <w:t xml:space="preserve">Traffic Safety </w:t>
      </w:r>
      <w:r w:rsidRPr="008D1A3F">
        <w:rPr>
          <w:b/>
          <w:sz w:val="32"/>
          <w:szCs w:val="32"/>
        </w:rPr>
        <w:t>Grant Program</w:t>
      </w:r>
      <w:r w:rsidR="009D0EDD" w:rsidRPr="008D1A3F">
        <w:rPr>
          <w:b/>
          <w:sz w:val="32"/>
          <w:szCs w:val="32"/>
        </w:rPr>
        <w:t xml:space="preserve"> for </w:t>
      </w:r>
      <w:r w:rsidR="00A34A80" w:rsidRPr="008D1A3F">
        <w:rPr>
          <w:b/>
          <w:sz w:val="32"/>
          <w:szCs w:val="32"/>
        </w:rPr>
        <w:t xml:space="preserve">State </w:t>
      </w:r>
      <w:r w:rsidR="00562391" w:rsidRPr="008D1A3F">
        <w:rPr>
          <w:b/>
          <w:sz w:val="32"/>
          <w:szCs w:val="32"/>
        </w:rPr>
        <w:t xml:space="preserve">Government </w:t>
      </w:r>
      <w:r w:rsidR="009D0EDD" w:rsidRPr="008D1A3F">
        <w:rPr>
          <w:b/>
          <w:sz w:val="32"/>
          <w:szCs w:val="32"/>
        </w:rPr>
        <w:t>Agencies</w:t>
      </w:r>
    </w:p>
    <w:p w14:paraId="6BFC613D" w14:textId="77777777" w:rsidR="00960C38" w:rsidRPr="008D1A3F" w:rsidRDefault="00960C38" w:rsidP="009C448F">
      <w:pPr>
        <w:jc w:val="center"/>
      </w:pPr>
    </w:p>
    <w:p w14:paraId="112F32E9" w14:textId="78E043B1" w:rsidR="007B5B1C" w:rsidRPr="008D1A3F" w:rsidRDefault="004F62BF" w:rsidP="009C448F">
      <w:pPr>
        <w:jc w:val="center"/>
        <w:rPr>
          <w:b/>
          <w:sz w:val="32"/>
          <w:szCs w:val="32"/>
        </w:rPr>
      </w:pPr>
      <w:r w:rsidRPr="008D1A3F">
        <w:rPr>
          <w:b/>
          <w:sz w:val="32"/>
          <w:szCs w:val="32"/>
        </w:rPr>
        <w:t>March 2</w:t>
      </w:r>
      <w:r w:rsidR="007B5B1C" w:rsidRPr="008D1A3F">
        <w:rPr>
          <w:b/>
          <w:sz w:val="32"/>
          <w:szCs w:val="32"/>
        </w:rPr>
        <w:t>, 2020</w:t>
      </w:r>
    </w:p>
    <w:p w14:paraId="4C2B6495" w14:textId="77777777" w:rsidR="00C83809" w:rsidRPr="008D1A3F" w:rsidRDefault="00C83809" w:rsidP="009C448F">
      <w:pPr>
        <w:jc w:val="center"/>
      </w:pPr>
    </w:p>
    <w:p w14:paraId="37BE990C" w14:textId="77777777" w:rsidR="00960C38" w:rsidRPr="008D1A3F" w:rsidRDefault="00960C38" w:rsidP="009C448F">
      <w:pPr>
        <w:jc w:val="center"/>
      </w:pPr>
    </w:p>
    <w:p w14:paraId="260230EF" w14:textId="77777777" w:rsidR="00960C38" w:rsidRPr="008D1A3F" w:rsidRDefault="00960C38" w:rsidP="009C448F">
      <w:pPr>
        <w:jc w:val="center"/>
      </w:pPr>
    </w:p>
    <w:p w14:paraId="3D1C16EB" w14:textId="77777777" w:rsidR="00C83809" w:rsidRPr="008D1A3F" w:rsidRDefault="00C83809" w:rsidP="009C448F">
      <w:pPr>
        <w:jc w:val="center"/>
        <w:rPr>
          <w:b/>
        </w:rPr>
        <w:sectPr w:rsidR="00C83809" w:rsidRPr="008D1A3F" w:rsidSect="008648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4B8E36E0" w14:textId="77777777" w:rsidR="00B753D1" w:rsidRDefault="00B753D1" w:rsidP="009C448F">
      <w:pPr>
        <w:jc w:val="center"/>
        <w:rPr>
          <w:b/>
        </w:rPr>
      </w:pPr>
    </w:p>
    <w:p w14:paraId="79A803E5" w14:textId="59D7EC39" w:rsidR="00C83809" w:rsidRPr="008D1A3F" w:rsidRDefault="00960C38" w:rsidP="009C448F">
      <w:pPr>
        <w:jc w:val="center"/>
        <w:rPr>
          <w:b/>
        </w:rPr>
      </w:pPr>
      <w:r w:rsidRPr="008D1A3F">
        <w:rPr>
          <w:b/>
        </w:rPr>
        <w:t>Charles D. Baker</w:t>
      </w:r>
    </w:p>
    <w:p w14:paraId="31080ACE" w14:textId="1CA73A5C" w:rsidR="007B5B1C" w:rsidRPr="008D1A3F" w:rsidRDefault="00C83809" w:rsidP="007B5B1C">
      <w:pPr>
        <w:jc w:val="center"/>
        <w:rPr>
          <w:b/>
        </w:rPr>
      </w:pPr>
      <w:r w:rsidRPr="008D1A3F">
        <w:rPr>
          <w:b/>
        </w:rPr>
        <w:t>Governor</w:t>
      </w:r>
    </w:p>
    <w:p w14:paraId="71E981C2" w14:textId="77777777" w:rsidR="00B753D1" w:rsidRDefault="00B753D1" w:rsidP="00B753D1">
      <w:pPr>
        <w:jc w:val="center"/>
        <w:rPr>
          <w:b/>
        </w:rPr>
      </w:pPr>
    </w:p>
    <w:p w14:paraId="08A5A2C8" w14:textId="77777777" w:rsidR="00B753D1" w:rsidRDefault="00B753D1" w:rsidP="00B753D1">
      <w:pPr>
        <w:jc w:val="center"/>
        <w:rPr>
          <w:b/>
        </w:rPr>
      </w:pPr>
    </w:p>
    <w:p w14:paraId="068D3D99" w14:textId="1BC250E2" w:rsidR="00B753D1" w:rsidRPr="00554A04" w:rsidRDefault="00B753D1" w:rsidP="00B753D1">
      <w:pPr>
        <w:jc w:val="center"/>
        <w:rPr>
          <w:b/>
        </w:rPr>
      </w:pPr>
      <w:r w:rsidRPr="00554A04">
        <w:rPr>
          <w:b/>
        </w:rPr>
        <w:t>Thomas A. Turco III</w:t>
      </w:r>
    </w:p>
    <w:p w14:paraId="7380BFDD" w14:textId="77777777" w:rsidR="00B753D1" w:rsidRPr="00554A04" w:rsidRDefault="00B753D1" w:rsidP="00B753D1">
      <w:pPr>
        <w:jc w:val="center"/>
        <w:rPr>
          <w:b/>
        </w:rPr>
      </w:pPr>
      <w:r w:rsidRPr="00554A04">
        <w:rPr>
          <w:b/>
        </w:rPr>
        <w:t>Secretary</w:t>
      </w:r>
    </w:p>
    <w:p w14:paraId="27CED4F5" w14:textId="77777777" w:rsidR="00C83809" w:rsidRPr="008D1A3F" w:rsidRDefault="00C83809" w:rsidP="009C448F">
      <w:pPr>
        <w:jc w:val="center"/>
        <w:rPr>
          <w:b/>
        </w:rPr>
      </w:pPr>
    </w:p>
    <w:p w14:paraId="1877A300" w14:textId="77777777" w:rsidR="00C83809" w:rsidRPr="008D1A3F" w:rsidRDefault="00C83809" w:rsidP="009C448F">
      <w:pPr>
        <w:jc w:val="center"/>
        <w:rPr>
          <w:b/>
        </w:rPr>
      </w:pPr>
    </w:p>
    <w:p w14:paraId="40B4E382" w14:textId="77777777" w:rsidR="00C83809" w:rsidRPr="008D1A3F" w:rsidRDefault="00C83809" w:rsidP="009C448F">
      <w:pPr>
        <w:jc w:val="center"/>
        <w:rPr>
          <w:b/>
        </w:rPr>
      </w:pPr>
    </w:p>
    <w:p w14:paraId="5059CB49" w14:textId="77777777" w:rsidR="000072A6" w:rsidRDefault="000072A6" w:rsidP="009C448F">
      <w:pPr>
        <w:jc w:val="center"/>
        <w:rPr>
          <w:b/>
        </w:rPr>
      </w:pPr>
    </w:p>
    <w:p w14:paraId="6F170FC5" w14:textId="77777777" w:rsidR="000072A6" w:rsidRDefault="000072A6" w:rsidP="009C448F">
      <w:pPr>
        <w:jc w:val="center"/>
        <w:rPr>
          <w:b/>
        </w:rPr>
      </w:pPr>
    </w:p>
    <w:p w14:paraId="7E6C45C4" w14:textId="77777777" w:rsidR="009A1E54" w:rsidRPr="008D1A3F" w:rsidRDefault="009A1E54" w:rsidP="009A1E54">
      <w:pPr>
        <w:jc w:val="center"/>
        <w:rPr>
          <w:b/>
        </w:rPr>
      </w:pPr>
      <w:r w:rsidRPr="008D1A3F">
        <w:rPr>
          <w:b/>
        </w:rPr>
        <w:t>Karyn E. Polito</w:t>
      </w:r>
    </w:p>
    <w:p w14:paraId="1ABD6372" w14:textId="77777777" w:rsidR="009A1E54" w:rsidRPr="008D1A3F" w:rsidRDefault="009A1E54" w:rsidP="009A1E54">
      <w:pPr>
        <w:jc w:val="center"/>
        <w:rPr>
          <w:b/>
        </w:rPr>
      </w:pPr>
      <w:r w:rsidRPr="008D1A3F">
        <w:rPr>
          <w:b/>
        </w:rPr>
        <w:t>Lieutenant Governor</w:t>
      </w:r>
    </w:p>
    <w:p w14:paraId="327A1542" w14:textId="77777777" w:rsidR="000072A6" w:rsidRDefault="000072A6" w:rsidP="009C448F">
      <w:pPr>
        <w:jc w:val="center"/>
        <w:rPr>
          <w:b/>
        </w:rPr>
      </w:pPr>
    </w:p>
    <w:p w14:paraId="67E1C03F" w14:textId="77777777" w:rsidR="000072A6" w:rsidRDefault="000072A6" w:rsidP="009C448F">
      <w:pPr>
        <w:jc w:val="center"/>
        <w:rPr>
          <w:b/>
        </w:rPr>
      </w:pPr>
    </w:p>
    <w:p w14:paraId="786E40D4" w14:textId="73A6FA6B" w:rsidR="006B7176" w:rsidRPr="008D1A3F" w:rsidRDefault="006B7176" w:rsidP="009C448F">
      <w:pPr>
        <w:jc w:val="center"/>
        <w:rPr>
          <w:b/>
        </w:rPr>
      </w:pPr>
      <w:r w:rsidRPr="008D1A3F">
        <w:rPr>
          <w:b/>
        </w:rPr>
        <w:t>Kevin</w:t>
      </w:r>
      <w:r w:rsidR="00525C93" w:rsidRPr="008D1A3F">
        <w:rPr>
          <w:b/>
        </w:rPr>
        <w:t xml:space="preserve"> J.</w:t>
      </w:r>
      <w:r w:rsidRPr="008D1A3F">
        <w:rPr>
          <w:b/>
        </w:rPr>
        <w:t xml:space="preserve"> Stanton</w:t>
      </w:r>
    </w:p>
    <w:p w14:paraId="38B9FD20" w14:textId="77777777" w:rsidR="00C83809" w:rsidRPr="008D1A3F" w:rsidRDefault="00C83809" w:rsidP="009C448F">
      <w:pPr>
        <w:jc w:val="center"/>
        <w:rPr>
          <w:b/>
        </w:rPr>
        <w:sectPr w:rsidR="00C83809" w:rsidRPr="008D1A3F" w:rsidSect="00C83809">
          <w:type w:val="continuous"/>
          <w:pgSz w:w="12240" w:h="15840"/>
          <w:pgMar w:top="1440" w:right="1440" w:bottom="1440" w:left="1440" w:header="720" w:footer="720" w:gutter="0"/>
          <w:pgNumType w:start="1"/>
          <w:cols w:num="2" w:space="720"/>
          <w:titlePg/>
          <w:docGrid w:linePitch="360"/>
        </w:sectPr>
      </w:pPr>
      <w:r w:rsidRPr="008D1A3F">
        <w:rPr>
          <w:b/>
        </w:rPr>
        <w:t>Executive Director</w:t>
      </w:r>
    </w:p>
    <w:p w14:paraId="120382D1" w14:textId="04F2344D" w:rsidR="00E175E7" w:rsidRPr="008D1A3F" w:rsidRDefault="001D3A01" w:rsidP="000C4D5C">
      <w:pPr>
        <w:pStyle w:val="Heading1"/>
        <w:numPr>
          <w:ilvl w:val="0"/>
          <w:numId w:val="42"/>
        </w:numPr>
      </w:pPr>
      <w:r w:rsidRPr="008D1A3F">
        <w:t>Introduction</w:t>
      </w:r>
    </w:p>
    <w:p w14:paraId="2BBE3896" w14:textId="77777777" w:rsidR="00E175E7" w:rsidRPr="008D1A3F" w:rsidRDefault="00E175E7" w:rsidP="00E175E7"/>
    <w:p w14:paraId="3B8D9B5C" w14:textId="0DA6CF2D" w:rsidR="00412F21" w:rsidRPr="008D1A3F" w:rsidRDefault="00FA15EA" w:rsidP="00412F21">
      <w:r w:rsidRPr="008D1A3F">
        <w:lastRenderedPageBreak/>
        <w:t>The Office of Grants and Research (OGR) is</w:t>
      </w:r>
      <w:r w:rsidR="007D2B59" w:rsidRPr="008D1A3F">
        <w:t xml:space="preserve"> the State Administering Agency for traffic safety grants provided by </w:t>
      </w:r>
      <w:r w:rsidR="007B5B1C" w:rsidRPr="008D1A3F">
        <w:t>the National Highway Traffic Safety Administration (</w:t>
      </w:r>
      <w:r w:rsidR="007D2B59" w:rsidRPr="008D1A3F">
        <w:t>NHTSA</w:t>
      </w:r>
      <w:r w:rsidR="007B5B1C" w:rsidRPr="008D1A3F">
        <w:t>)</w:t>
      </w:r>
      <w:r w:rsidR="00F964C2" w:rsidRPr="008D1A3F">
        <w:t xml:space="preserve">.  Each year, OGR is required to submit a Highway Safety Plan (HSP) on or before </w:t>
      </w:r>
      <w:r w:rsidR="007415C1" w:rsidRPr="008D1A3F">
        <w:t xml:space="preserve">July </w:t>
      </w:r>
      <w:r w:rsidR="004F13A3" w:rsidRPr="008D1A3F">
        <w:t>1</w:t>
      </w:r>
      <w:r w:rsidR="004F13A3" w:rsidRPr="008D1A3F">
        <w:rPr>
          <w:vertAlign w:val="superscript"/>
        </w:rPr>
        <w:t>st</w:t>
      </w:r>
      <w:r w:rsidR="004F13A3" w:rsidRPr="008D1A3F">
        <w:t xml:space="preserve"> </w:t>
      </w:r>
      <w:r w:rsidR="00F964C2" w:rsidRPr="008D1A3F">
        <w:t xml:space="preserve">to NHTSA that details how OGR proposes to administer future highway safety federal grant dollars, awarded in September.  OGR anticipates allocating </w:t>
      </w:r>
      <w:r w:rsidRPr="008D1A3F">
        <w:t xml:space="preserve">approximately </w:t>
      </w:r>
      <w:r w:rsidRPr="008D1A3F">
        <w:rPr>
          <w:b/>
          <w:u w:val="single"/>
        </w:rPr>
        <w:t>$</w:t>
      </w:r>
      <w:r w:rsidR="00C91B6D" w:rsidRPr="008D1A3F">
        <w:rPr>
          <w:b/>
          <w:u w:val="single"/>
        </w:rPr>
        <w:t>3</w:t>
      </w:r>
      <w:r w:rsidRPr="008D1A3F">
        <w:rPr>
          <w:b/>
          <w:u w:val="single"/>
        </w:rPr>
        <w:t>.5</w:t>
      </w:r>
      <w:r w:rsidR="009E1722" w:rsidRPr="008D1A3F">
        <w:rPr>
          <w:b/>
          <w:u w:val="single"/>
        </w:rPr>
        <w:t xml:space="preserve"> </w:t>
      </w:r>
      <w:r w:rsidR="00EA7ACA" w:rsidRPr="008D1A3F">
        <w:rPr>
          <w:b/>
          <w:u w:val="single"/>
        </w:rPr>
        <w:t>mil</w:t>
      </w:r>
      <w:r w:rsidR="00B4124F" w:rsidRPr="008D1A3F">
        <w:rPr>
          <w:b/>
          <w:u w:val="single"/>
        </w:rPr>
        <w:t>l</w:t>
      </w:r>
      <w:r w:rsidR="00EA7ACA" w:rsidRPr="008D1A3F">
        <w:rPr>
          <w:b/>
          <w:u w:val="single"/>
        </w:rPr>
        <w:t>ion</w:t>
      </w:r>
      <w:r w:rsidRPr="008D1A3F">
        <w:t xml:space="preserve"> in </w:t>
      </w:r>
      <w:r w:rsidR="00F964C2" w:rsidRPr="008D1A3F">
        <w:t xml:space="preserve">future </w:t>
      </w:r>
      <w:r w:rsidRPr="008D1A3F">
        <w:t>FFY</w:t>
      </w:r>
      <w:r w:rsidR="00F44A0C" w:rsidRPr="008D1A3F">
        <w:t xml:space="preserve"> 20</w:t>
      </w:r>
      <w:r w:rsidRPr="008D1A3F">
        <w:t>2</w:t>
      </w:r>
      <w:r w:rsidR="00C91B6D" w:rsidRPr="008D1A3F">
        <w:t>1</w:t>
      </w:r>
      <w:r w:rsidRPr="008D1A3F">
        <w:t xml:space="preserve"> </w:t>
      </w:r>
      <w:r w:rsidR="007B5B1C" w:rsidRPr="008D1A3F">
        <w:t>NHTSA</w:t>
      </w:r>
      <w:r w:rsidRPr="008D1A3F">
        <w:t xml:space="preserve"> grant funding</w:t>
      </w:r>
      <w:r w:rsidR="00F964C2" w:rsidRPr="008D1A3F">
        <w:t xml:space="preserve"> for state agencies to receive.  The purpose of this AGF, is to allow current and new state agencies the opportunity to be included for funding in our FFY21 HSP.  </w:t>
      </w:r>
      <w:r w:rsidR="007D2B59" w:rsidRPr="008D1A3F">
        <w:t xml:space="preserve">This grant opportunity is limited to Massachusetts state government agencies that are qualified and legally authorized to provide the scope of services listed within this AGF.  </w:t>
      </w:r>
      <w:r w:rsidR="00414795" w:rsidRPr="008D1A3F">
        <w:t>The primary intent of this grant program is to</w:t>
      </w:r>
      <w:r w:rsidR="00412F21" w:rsidRPr="008D1A3F">
        <w:t xml:space="preserve"> help reduce roadway crashes, injuries, fatalities, and their associated economic losses</w:t>
      </w:r>
      <w:r w:rsidR="00D457DB" w:rsidRPr="008D1A3F">
        <w:t xml:space="preserve"> in Massachusetts</w:t>
      </w:r>
      <w:r w:rsidR="00412F21" w:rsidRPr="008D1A3F">
        <w:t xml:space="preserve">. </w:t>
      </w:r>
    </w:p>
    <w:p w14:paraId="099C9B67" w14:textId="77777777" w:rsidR="009B1048" w:rsidRPr="008D1A3F" w:rsidRDefault="009B1048" w:rsidP="00412F21"/>
    <w:p w14:paraId="428A5669" w14:textId="77777777" w:rsidR="00CC4228" w:rsidRPr="008D1A3F" w:rsidRDefault="007B5B1C" w:rsidP="00FA15EA">
      <w:r w:rsidRPr="008D1A3F">
        <w:rPr>
          <w:b/>
        </w:rPr>
        <w:t>Continuation</w:t>
      </w:r>
      <w:r w:rsidR="00D2275F" w:rsidRPr="008D1A3F">
        <w:rPr>
          <w:b/>
        </w:rPr>
        <w:t xml:space="preserve"> Subrecipients</w:t>
      </w:r>
      <w:r w:rsidR="00E41965" w:rsidRPr="008D1A3F">
        <w:rPr>
          <w:b/>
        </w:rPr>
        <w:t>/</w:t>
      </w:r>
      <w:r w:rsidR="00C4467B" w:rsidRPr="008D1A3F">
        <w:rPr>
          <w:b/>
        </w:rPr>
        <w:t>Specified Planned Activity Proposals</w:t>
      </w:r>
      <w:r w:rsidR="00554A04" w:rsidRPr="008D1A3F">
        <w:rPr>
          <w:b/>
        </w:rPr>
        <w:t>:</w:t>
      </w:r>
      <w:r w:rsidR="00554A04" w:rsidRPr="008D1A3F">
        <w:t xml:space="preserve"> </w:t>
      </w:r>
      <w:r w:rsidR="00412F21" w:rsidRPr="008D1A3F">
        <w:t xml:space="preserve">Funds will be provided to </w:t>
      </w:r>
      <w:r w:rsidR="00FA15EA" w:rsidRPr="008D1A3F">
        <w:t xml:space="preserve">eligible Massachusetts </w:t>
      </w:r>
      <w:r w:rsidR="00F44A0C" w:rsidRPr="008D1A3F">
        <w:t xml:space="preserve">state </w:t>
      </w:r>
      <w:r w:rsidR="0002551E" w:rsidRPr="008D1A3F">
        <w:t xml:space="preserve">government </w:t>
      </w:r>
      <w:r w:rsidR="00F44A0C" w:rsidRPr="008D1A3F">
        <w:t>agencies</w:t>
      </w:r>
      <w:r w:rsidR="00574226" w:rsidRPr="008D1A3F">
        <w:t xml:space="preserve"> </w:t>
      </w:r>
      <w:r w:rsidR="00412F21" w:rsidRPr="008D1A3F">
        <w:t>for implementation of</w:t>
      </w:r>
      <w:r w:rsidR="00C91B6D" w:rsidRPr="008D1A3F">
        <w:t xml:space="preserve"> </w:t>
      </w:r>
      <w:r w:rsidR="00476CC6" w:rsidRPr="008D1A3F">
        <w:t>the</w:t>
      </w:r>
      <w:r w:rsidR="00574226" w:rsidRPr="008D1A3F">
        <w:t xml:space="preserve"> </w:t>
      </w:r>
      <w:r w:rsidR="00360168" w:rsidRPr="008D1A3F">
        <w:t xml:space="preserve">following </w:t>
      </w:r>
      <w:r w:rsidR="00574226" w:rsidRPr="008D1A3F">
        <w:t xml:space="preserve">Planned Activities </w:t>
      </w:r>
      <w:r w:rsidR="008F6889" w:rsidRPr="008D1A3F">
        <w:t xml:space="preserve">that </w:t>
      </w:r>
      <w:r w:rsidR="00F44A0C" w:rsidRPr="008D1A3F">
        <w:t xml:space="preserve">are anticipated to </w:t>
      </w:r>
      <w:r w:rsidR="008F6889" w:rsidRPr="008D1A3F">
        <w:t xml:space="preserve">be </w:t>
      </w:r>
      <w:r w:rsidR="00F44A0C" w:rsidRPr="008D1A3F">
        <w:t>included</w:t>
      </w:r>
      <w:r w:rsidR="00574226" w:rsidRPr="008D1A3F">
        <w:t xml:space="preserve"> in the </w:t>
      </w:r>
      <w:r w:rsidR="008F6889" w:rsidRPr="008D1A3F">
        <w:t>up</w:t>
      </w:r>
      <w:r w:rsidR="00F44A0C" w:rsidRPr="008D1A3F">
        <w:t xml:space="preserve">coming </w:t>
      </w:r>
      <w:r w:rsidR="00574226" w:rsidRPr="008D1A3F">
        <w:t>Massachusetts FFY 2021</w:t>
      </w:r>
      <w:r w:rsidR="00FA15EA" w:rsidRPr="008D1A3F">
        <w:t xml:space="preserve"> </w:t>
      </w:r>
      <w:r w:rsidR="00574226" w:rsidRPr="008D1A3F">
        <w:t>Highway Safety Plan</w:t>
      </w:r>
      <w:r w:rsidR="00476CC6" w:rsidRPr="008D1A3F">
        <w:t xml:space="preserve">. The </w:t>
      </w:r>
      <w:r w:rsidR="00414795" w:rsidRPr="008D1A3F">
        <w:t xml:space="preserve">following </w:t>
      </w:r>
      <w:r w:rsidR="007D2B59" w:rsidRPr="008D1A3F">
        <w:t xml:space="preserve">FFY 2020 grantees and their specific projects listed below </w:t>
      </w:r>
      <w:r w:rsidR="00476CC6" w:rsidRPr="008D1A3F">
        <w:t xml:space="preserve">are </w:t>
      </w:r>
      <w:r w:rsidR="007D2B59" w:rsidRPr="008D1A3F">
        <w:t xml:space="preserve">eligible </w:t>
      </w:r>
      <w:r w:rsidR="00EE5A21" w:rsidRPr="008D1A3F">
        <w:t xml:space="preserve">to apply </w:t>
      </w:r>
      <w:r w:rsidR="007D2B59" w:rsidRPr="008D1A3F">
        <w:t xml:space="preserve">for a continuation grant based on the applicant’s ability to continue to show need and previous success.  </w:t>
      </w:r>
    </w:p>
    <w:p w14:paraId="58027111" w14:textId="6CAB34E3" w:rsidR="00574226" w:rsidRPr="008D1A3F" w:rsidRDefault="00414795" w:rsidP="00FA15EA">
      <w:pPr>
        <w:rPr>
          <w:b/>
        </w:rPr>
      </w:pPr>
      <w:r w:rsidRPr="008D1A3F">
        <w:t>This is a competitive grant opportunity and all applications are subject to a thorough</w:t>
      </w:r>
      <w:r w:rsidR="004F316C" w:rsidRPr="008D1A3F">
        <w:t xml:space="preserve"> and fair </w:t>
      </w:r>
      <w:r w:rsidRPr="008D1A3F">
        <w:t xml:space="preserve">review process. </w:t>
      </w:r>
      <w:r w:rsidR="000509BA" w:rsidRPr="008D1A3F">
        <w:t>A</w:t>
      </w:r>
      <w:r w:rsidR="00476CC6" w:rsidRPr="008D1A3F">
        <w:t xml:space="preserve">wards will be determined based on available funds </w:t>
      </w:r>
      <w:r w:rsidR="00B3752E" w:rsidRPr="008D1A3F">
        <w:t xml:space="preserve">as well as the content provided to OGR within the applications. </w:t>
      </w:r>
      <w:r w:rsidR="00BD0181" w:rsidRPr="008D1A3F">
        <w:rPr>
          <w:b/>
        </w:rPr>
        <w:t>Agencies eligible and/or seeking funds for multiple projects/activities, MUST submit a separate application for each request.</w:t>
      </w:r>
    </w:p>
    <w:p w14:paraId="7F18CCB7" w14:textId="77777777" w:rsidR="00440DEA" w:rsidRPr="008D1A3F" w:rsidRDefault="00440DEA" w:rsidP="00FA15EA">
      <w:pPr>
        <w:rPr>
          <w:b/>
        </w:rPr>
      </w:pPr>
    </w:p>
    <w:p w14:paraId="73AA7DE0" w14:textId="77777777" w:rsidR="0012252F" w:rsidRPr="008D1A3F" w:rsidRDefault="0012252F" w:rsidP="004A2904">
      <w:pPr>
        <w:numPr>
          <w:ilvl w:val="0"/>
          <w:numId w:val="26"/>
        </w:numPr>
      </w:pPr>
      <w:r w:rsidRPr="008D1A3F">
        <w:t xml:space="preserve">Alcoholic Beverages Control </w:t>
      </w:r>
      <w:r w:rsidR="00F82F13" w:rsidRPr="008D1A3F">
        <w:t>Commission</w:t>
      </w:r>
      <w:r w:rsidRPr="008D1A3F">
        <w:t xml:space="preserve"> (ABCC) - Enforcement Program to Prevent the Sale of Alcohol to Intoxicated Persons</w:t>
      </w:r>
    </w:p>
    <w:p w14:paraId="6EABEAFD" w14:textId="77777777" w:rsidR="0012252F" w:rsidRPr="008D1A3F" w:rsidRDefault="0012252F" w:rsidP="004A2904">
      <w:pPr>
        <w:numPr>
          <w:ilvl w:val="0"/>
          <w:numId w:val="26"/>
        </w:numPr>
      </w:pPr>
      <w:r w:rsidRPr="008D1A3F">
        <w:t>ABCC - Underage Drinking Compliance Checks Program</w:t>
      </w:r>
    </w:p>
    <w:p w14:paraId="5462EC69" w14:textId="77777777" w:rsidR="0012252F" w:rsidRPr="008D1A3F" w:rsidRDefault="0012252F" w:rsidP="0057324E">
      <w:pPr>
        <w:numPr>
          <w:ilvl w:val="0"/>
          <w:numId w:val="26"/>
        </w:numPr>
      </w:pPr>
      <w:r w:rsidRPr="008D1A3F">
        <w:t>M</w:t>
      </w:r>
      <w:r w:rsidR="00A82802" w:rsidRPr="008D1A3F">
        <w:t>assachusetts</w:t>
      </w:r>
      <w:r w:rsidRPr="008D1A3F">
        <w:t xml:space="preserve"> Trial Court- </w:t>
      </w:r>
      <w:r w:rsidR="0057324E" w:rsidRPr="008D1A3F">
        <w:t>Judicial Education Program</w:t>
      </w:r>
    </w:p>
    <w:p w14:paraId="721465C3" w14:textId="77777777" w:rsidR="0012252F" w:rsidRPr="008D1A3F" w:rsidRDefault="0012252F" w:rsidP="004A2904">
      <w:pPr>
        <w:numPr>
          <w:ilvl w:val="0"/>
          <w:numId w:val="26"/>
        </w:numPr>
      </w:pPr>
      <w:r w:rsidRPr="008D1A3F">
        <w:t>Massachusetts District Attorney’s Association- Traffic Safety Resource Prosecutor</w:t>
      </w:r>
    </w:p>
    <w:p w14:paraId="1390E014" w14:textId="77777777" w:rsidR="0012252F" w:rsidRPr="008D1A3F" w:rsidRDefault="00B45502" w:rsidP="004A2904">
      <w:pPr>
        <w:numPr>
          <w:ilvl w:val="0"/>
          <w:numId w:val="26"/>
        </w:numPr>
      </w:pPr>
      <w:r w:rsidRPr="008D1A3F">
        <w:t>Municipal Police Training Committee (</w:t>
      </w:r>
      <w:r w:rsidR="0012252F" w:rsidRPr="008D1A3F">
        <w:t>MPTC</w:t>
      </w:r>
      <w:r w:rsidRPr="008D1A3F">
        <w:t>)</w:t>
      </w:r>
      <w:r w:rsidR="0012252F" w:rsidRPr="008D1A3F">
        <w:t xml:space="preserve"> - Drug Evaluation and Classification Program (DEC)</w:t>
      </w:r>
    </w:p>
    <w:p w14:paraId="37F12B05" w14:textId="77777777" w:rsidR="0012252F" w:rsidRPr="008D1A3F" w:rsidRDefault="0012252F" w:rsidP="004A2904">
      <w:pPr>
        <w:numPr>
          <w:ilvl w:val="0"/>
          <w:numId w:val="26"/>
        </w:numPr>
      </w:pPr>
      <w:r w:rsidRPr="008D1A3F">
        <w:t>MPTC - Impaired Driving Law Enforcement Specialized Training</w:t>
      </w:r>
    </w:p>
    <w:p w14:paraId="3A0C2ACB" w14:textId="77777777" w:rsidR="0012252F" w:rsidRPr="008D1A3F" w:rsidRDefault="0012252F" w:rsidP="004A2904">
      <w:pPr>
        <w:numPr>
          <w:ilvl w:val="0"/>
          <w:numId w:val="26"/>
        </w:numPr>
      </w:pPr>
      <w:r w:rsidRPr="008D1A3F">
        <w:t>MPTC- Municipal Police Training</w:t>
      </w:r>
    </w:p>
    <w:p w14:paraId="7FD28EA0" w14:textId="77777777" w:rsidR="0012252F" w:rsidRPr="008D1A3F" w:rsidRDefault="00B264AB" w:rsidP="004A2904">
      <w:pPr>
        <w:numPr>
          <w:ilvl w:val="0"/>
          <w:numId w:val="26"/>
        </w:numPr>
      </w:pPr>
      <w:r w:rsidRPr="008D1A3F">
        <w:t>Massachusetts S</w:t>
      </w:r>
      <w:r w:rsidR="004A2904" w:rsidRPr="008D1A3F">
        <w:t>tate Police (</w:t>
      </w:r>
      <w:r w:rsidR="0012252F" w:rsidRPr="008D1A3F">
        <w:t>MSP</w:t>
      </w:r>
      <w:r w:rsidR="004A2904" w:rsidRPr="008D1A3F">
        <w:t>)-</w:t>
      </w:r>
      <w:r w:rsidR="0012252F" w:rsidRPr="008D1A3F">
        <w:t xml:space="preserve"> Child Passenger Safety Car Seat Checkpoints</w:t>
      </w:r>
    </w:p>
    <w:p w14:paraId="4BB68B02" w14:textId="77777777" w:rsidR="0012252F" w:rsidRPr="008D1A3F" w:rsidRDefault="0012252F" w:rsidP="004A2904">
      <w:pPr>
        <w:numPr>
          <w:ilvl w:val="0"/>
          <w:numId w:val="26"/>
        </w:numPr>
      </w:pPr>
      <w:r w:rsidRPr="008D1A3F">
        <w:t>MSP</w:t>
      </w:r>
      <w:r w:rsidR="004A2904" w:rsidRPr="008D1A3F">
        <w:t>-</w:t>
      </w:r>
      <w:r w:rsidRPr="008D1A3F">
        <w:t xml:space="preserve"> Distracted Driving Enforcement</w:t>
      </w:r>
    </w:p>
    <w:p w14:paraId="34FFA15F" w14:textId="77777777" w:rsidR="0012252F" w:rsidRPr="008D1A3F" w:rsidRDefault="0012252F" w:rsidP="004A2904">
      <w:pPr>
        <w:numPr>
          <w:ilvl w:val="0"/>
          <w:numId w:val="26"/>
        </w:numPr>
      </w:pPr>
      <w:r w:rsidRPr="008D1A3F">
        <w:t>MSP</w:t>
      </w:r>
      <w:r w:rsidR="004A2904" w:rsidRPr="008D1A3F">
        <w:t>-</w:t>
      </w:r>
      <w:r w:rsidRPr="008D1A3F">
        <w:t xml:space="preserve"> Drug Recognition Expert (DRE) Training</w:t>
      </w:r>
    </w:p>
    <w:p w14:paraId="4DDE8497" w14:textId="77777777" w:rsidR="0012252F" w:rsidRPr="008D1A3F" w:rsidRDefault="0012252F" w:rsidP="004A2904">
      <w:pPr>
        <w:numPr>
          <w:ilvl w:val="0"/>
          <w:numId w:val="26"/>
        </w:numPr>
      </w:pPr>
      <w:r w:rsidRPr="008D1A3F">
        <w:t>MSP Occupant Protection CIOT Enforcement Campaign</w:t>
      </w:r>
    </w:p>
    <w:p w14:paraId="6C916ED8" w14:textId="77777777" w:rsidR="0012252F" w:rsidRPr="008D1A3F" w:rsidRDefault="0012252F" w:rsidP="004A2904">
      <w:pPr>
        <w:numPr>
          <w:ilvl w:val="0"/>
          <w:numId w:val="26"/>
        </w:numPr>
      </w:pPr>
      <w:r w:rsidRPr="008D1A3F">
        <w:t>MSP</w:t>
      </w:r>
      <w:r w:rsidR="004A2904" w:rsidRPr="008D1A3F">
        <w:t>-</w:t>
      </w:r>
      <w:r w:rsidRPr="008D1A3F">
        <w:t xml:space="preserve"> Sobriety Checkpoint &amp; Saturation Patrols</w:t>
      </w:r>
    </w:p>
    <w:p w14:paraId="22563414" w14:textId="194F4007" w:rsidR="0012252F" w:rsidRPr="008D1A3F" w:rsidRDefault="0012252F" w:rsidP="004A2904">
      <w:pPr>
        <w:numPr>
          <w:ilvl w:val="0"/>
          <w:numId w:val="26"/>
        </w:numPr>
      </w:pPr>
      <w:r w:rsidRPr="008D1A3F">
        <w:t>MSP</w:t>
      </w:r>
      <w:r w:rsidR="004A2904" w:rsidRPr="008D1A3F">
        <w:t>-</w:t>
      </w:r>
      <w:r w:rsidRPr="008D1A3F">
        <w:t xml:space="preserve"> Speed Enforcement</w:t>
      </w:r>
    </w:p>
    <w:p w14:paraId="1057FCBA" w14:textId="70B622C4" w:rsidR="002E0B60" w:rsidRPr="008D1A3F" w:rsidRDefault="002E0B60" w:rsidP="004A2904">
      <w:pPr>
        <w:numPr>
          <w:ilvl w:val="0"/>
          <w:numId w:val="26"/>
        </w:numPr>
      </w:pPr>
      <w:r w:rsidRPr="008D1A3F">
        <w:t xml:space="preserve">MSP- Law Enforcement </w:t>
      </w:r>
      <w:r w:rsidR="00411417" w:rsidRPr="008D1A3F">
        <w:t>Liaison</w:t>
      </w:r>
    </w:p>
    <w:p w14:paraId="6018B469" w14:textId="77777777" w:rsidR="0012252F" w:rsidRPr="008D1A3F" w:rsidRDefault="0012252F" w:rsidP="004A2904">
      <w:pPr>
        <w:numPr>
          <w:ilvl w:val="0"/>
          <w:numId w:val="26"/>
        </w:numPr>
      </w:pPr>
      <w:r w:rsidRPr="008D1A3F">
        <w:t>MSP</w:t>
      </w:r>
      <w:r w:rsidR="004A2904" w:rsidRPr="008D1A3F">
        <w:t>-</w:t>
      </w:r>
      <w:r w:rsidRPr="008D1A3F">
        <w:t xml:space="preserve"> Sustained Traffic Enforcement Program (STEP)</w:t>
      </w:r>
    </w:p>
    <w:p w14:paraId="2ECE157C" w14:textId="77777777" w:rsidR="0012252F" w:rsidRPr="008D1A3F" w:rsidRDefault="0012252F" w:rsidP="004A2904">
      <w:pPr>
        <w:numPr>
          <w:ilvl w:val="0"/>
          <w:numId w:val="26"/>
        </w:numPr>
      </w:pPr>
      <w:r w:rsidRPr="008D1A3F">
        <w:t>MSP</w:t>
      </w:r>
      <w:r w:rsidR="004A2904" w:rsidRPr="008D1A3F">
        <w:t>-</w:t>
      </w:r>
      <w:r w:rsidRPr="008D1A3F">
        <w:t xml:space="preserve"> Young Drivers Education Program</w:t>
      </w:r>
    </w:p>
    <w:p w14:paraId="331AFAC2" w14:textId="77777777" w:rsidR="0012252F" w:rsidRPr="008D1A3F" w:rsidRDefault="004A2904" w:rsidP="004A2904">
      <w:pPr>
        <w:numPr>
          <w:ilvl w:val="0"/>
          <w:numId w:val="26"/>
        </w:numPr>
      </w:pPr>
      <w:r w:rsidRPr="008D1A3F">
        <w:t xml:space="preserve">MSP- </w:t>
      </w:r>
      <w:r w:rsidR="0012252F" w:rsidRPr="008D1A3F">
        <w:t>Office of Alcohol Testing Training</w:t>
      </w:r>
    </w:p>
    <w:p w14:paraId="2D12AD9C" w14:textId="77777777" w:rsidR="0012252F" w:rsidRPr="008D1A3F" w:rsidRDefault="004A2904" w:rsidP="004A2904">
      <w:pPr>
        <w:numPr>
          <w:ilvl w:val="0"/>
          <w:numId w:val="26"/>
        </w:numPr>
      </w:pPr>
      <w:r w:rsidRPr="008D1A3F">
        <w:t xml:space="preserve">Registry of Motor </w:t>
      </w:r>
      <w:r w:rsidR="00BE2E27" w:rsidRPr="008D1A3F">
        <w:t>V</w:t>
      </w:r>
      <w:r w:rsidRPr="008D1A3F">
        <w:t>ehicles</w:t>
      </w:r>
      <w:r w:rsidR="00BE2E27" w:rsidRPr="008D1A3F">
        <w:t xml:space="preserve"> (RMV)</w:t>
      </w:r>
      <w:r w:rsidRPr="008D1A3F">
        <w:t>-</w:t>
      </w:r>
      <w:r w:rsidR="0012252F" w:rsidRPr="008D1A3F">
        <w:t xml:space="preserve"> Motorcycle Safety Program Enhancements</w:t>
      </w:r>
    </w:p>
    <w:p w14:paraId="409AF7F0" w14:textId="5835ABF4" w:rsidR="00BE2E27" w:rsidRDefault="00BE2E27" w:rsidP="004A2904">
      <w:pPr>
        <w:numPr>
          <w:ilvl w:val="0"/>
          <w:numId w:val="26"/>
        </w:numPr>
      </w:pPr>
      <w:r w:rsidRPr="008D1A3F">
        <w:t>RMV</w:t>
      </w:r>
      <w:r w:rsidR="00BC020F" w:rsidRPr="008D1A3F">
        <w:t>-</w:t>
      </w:r>
      <w:r w:rsidRPr="008D1A3F">
        <w:t xml:space="preserve"> Fatality Analysis Reporting System Cooperative Agreement</w:t>
      </w:r>
    </w:p>
    <w:p w14:paraId="1E1291E0" w14:textId="77777777" w:rsidR="0054633C" w:rsidRPr="008D1A3F" w:rsidRDefault="0054633C" w:rsidP="0054633C"/>
    <w:p w14:paraId="25835DF8" w14:textId="21AB10F1" w:rsidR="00455B9A" w:rsidRPr="008D1A3F" w:rsidRDefault="00360168" w:rsidP="00FA15EA">
      <w:r w:rsidRPr="008D1A3F">
        <w:rPr>
          <w:b/>
        </w:rPr>
        <w:lastRenderedPageBreak/>
        <w:t xml:space="preserve">Unspecified </w:t>
      </w:r>
      <w:r w:rsidR="00D1434A" w:rsidRPr="008D1A3F">
        <w:rPr>
          <w:b/>
        </w:rPr>
        <w:t xml:space="preserve">Competitive </w:t>
      </w:r>
      <w:r w:rsidRPr="008D1A3F">
        <w:rPr>
          <w:b/>
        </w:rPr>
        <w:t>Proposals</w:t>
      </w:r>
      <w:r w:rsidR="00554A04" w:rsidRPr="008D1A3F">
        <w:rPr>
          <w:b/>
        </w:rPr>
        <w:t>:</w:t>
      </w:r>
      <w:r w:rsidR="00B3752E" w:rsidRPr="008D1A3F">
        <w:t xml:space="preserve"> In addition to the </w:t>
      </w:r>
      <w:r w:rsidRPr="008D1A3F">
        <w:t>Planned Activities listed above,</w:t>
      </w:r>
      <w:r w:rsidR="00455B9A" w:rsidRPr="008D1A3F">
        <w:t xml:space="preserve"> OGR will </w:t>
      </w:r>
      <w:r w:rsidR="00B3752E" w:rsidRPr="008D1A3F">
        <w:t xml:space="preserve">also give </w:t>
      </w:r>
      <w:r w:rsidR="00455B9A" w:rsidRPr="008D1A3F">
        <w:t>consider</w:t>
      </w:r>
      <w:r w:rsidR="00B3752E" w:rsidRPr="008D1A3F">
        <w:t>ation to</w:t>
      </w:r>
      <w:r w:rsidR="00455B9A" w:rsidRPr="008D1A3F">
        <w:t xml:space="preserve"> proposals</w:t>
      </w:r>
      <w:r w:rsidR="00476CC6" w:rsidRPr="008D1A3F">
        <w:t xml:space="preserve"> </w:t>
      </w:r>
      <w:r w:rsidR="00455B9A" w:rsidRPr="008D1A3F">
        <w:t>from Massachusetts state government agencies for activities that are not identified above. Proposed activities may address road safety issues relat</w:t>
      </w:r>
      <w:r w:rsidR="004F316C" w:rsidRPr="008D1A3F">
        <w:t>ed to driving behavior such as impaired driving, distracted driving, occupant protection, non-m</w:t>
      </w:r>
      <w:r w:rsidR="00455B9A" w:rsidRPr="008D1A3F">
        <w:t>otorized (i.e.</w:t>
      </w:r>
      <w:r w:rsidR="00D3516F" w:rsidRPr="008D1A3F">
        <w:t>,</w:t>
      </w:r>
      <w:r w:rsidR="004F316C" w:rsidRPr="008D1A3F">
        <w:t xml:space="preserve"> p</w:t>
      </w:r>
      <w:r w:rsidR="00455B9A" w:rsidRPr="008D1A3F">
        <w:t xml:space="preserve">edestrian or </w:t>
      </w:r>
      <w:r w:rsidR="004F316C" w:rsidRPr="008D1A3F">
        <w:t>b</w:t>
      </w:r>
      <w:r w:rsidR="00455B9A" w:rsidRPr="008D1A3F">
        <w:t>icyclists</w:t>
      </w:r>
      <w:r w:rsidR="00C15502" w:rsidRPr="008D1A3F">
        <w:t xml:space="preserve"> </w:t>
      </w:r>
      <w:r w:rsidR="004F316C" w:rsidRPr="008D1A3F">
        <w:t>s</w:t>
      </w:r>
      <w:r w:rsidR="00455B9A" w:rsidRPr="008D1A3F">
        <w:t>afety</w:t>
      </w:r>
      <w:r w:rsidR="00C15502" w:rsidRPr="008D1A3F">
        <w:t>)</w:t>
      </w:r>
      <w:r w:rsidR="00455B9A" w:rsidRPr="008D1A3F">
        <w:t xml:space="preserve">, </w:t>
      </w:r>
      <w:r w:rsidR="004F316C" w:rsidRPr="008D1A3F">
        <w:t>m</w:t>
      </w:r>
      <w:r w:rsidR="0057703C" w:rsidRPr="008D1A3F">
        <w:t>otorcyclists</w:t>
      </w:r>
      <w:r w:rsidR="004F316C" w:rsidRPr="008D1A3F">
        <w:t xml:space="preserve"> safety, or s</w:t>
      </w:r>
      <w:r w:rsidR="00455B9A" w:rsidRPr="008D1A3F">
        <w:t>peeding a</w:t>
      </w:r>
      <w:r w:rsidR="004F316C" w:rsidRPr="008D1A3F">
        <w:t>nd aggressive d</w:t>
      </w:r>
      <w:r w:rsidR="00455B9A" w:rsidRPr="008D1A3F">
        <w:t xml:space="preserve">riving. </w:t>
      </w:r>
    </w:p>
    <w:p w14:paraId="3BB8AA8B" w14:textId="77777777" w:rsidR="00476CC6" w:rsidRPr="008D1A3F" w:rsidRDefault="00476CC6" w:rsidP="00FA15EA"/>
    <w:p w14:paraId="367359DC" w14:textId="6FA9B0AC" w:rsidR="00476CC6" w:rsidRPr="008D1A3F" w:rsidRDefault="00476CC6" w:rsidP="00FA15EA">
      <w:r w:rsidRPr="008D1A3F">
        <w:t xml:space="preserve">Proposals for unspecified projects will </w:t>
      </w:r>
      <w:r w:rsidR="00E41965" w:rsidRPr="008D1A3F">
        <w:t xml:space="preserve">also </w:t>
      </w:r>
      <w:r w:rsidRPr="008D1A3F">
        <w:t xml:space="preserve">be subject to a competitive </w:t>
      </w:r>
      <w:r w:rsidR="004F316C" w:rsidRPr="008D1A3F">
        <w:t xml:space="preserve">review </w:t>
      </w:r>
      <w:r w:rsidRPr="008D1A3F">
        <w:t xml:space="preserve">process. Proposals will be reviewed by no less than three (3) reviewers. </w:t>
      </w:r>
    </w:p>
    <w:p w14:paraId="024B0BB7" w14:textId="77777777" w:rsidR="00476CC6" w:rsidRPr="008D1A3F" w:rsidRDefault="00476CC6" w:rsidP="00FA15EA"/>
    <w:p w14:paraId="29988CF1" w14:textId="77777777" w:rsidR="001F2012" w:rsidRPr="008D1A3F" w:rsidRDefault="001F2012" w:rsidP="00FA15EA">
      <w:r w:rsidRPr="008D1A3F">
        <w:t xml:space="preserve">This AGF </w:t>
      </w:r>
      <w:r w:rsidRPr="008D1A3F">
        <w:rPr>
          <w:u w:val="single"/>
        </w:rPr>
        <w:t>do</w:t>
      </w:r>
      <w:r w:rsidR="00721254" w:rsidRPr="008D1A3F">
        <w:rPr>
          <w:u w:val="single"/>
        </w:rPr>
        <w:t>es</w:t>
      </w:r>
      <w:r w:rsidRPr="008D1A3F">
        <w:rPr>
          <w:u w:val="single"/>
        </w:rPr>
        <w:t xml:space="preserve"> not</w:t>
      </w:r>
      <w:r w:rsidRPr="008D1A3F">
        <w:t xml:space="preserve"> apply to Traffic Records program proposals</w:t>
      </w:r>
      <w:r w:rsidR="00A37621" w:rsidRPr="008D1A3F">
        <w:t xml:space="preserve"> with the exception of the RMV</w:t>
      </w:r>
      <w:r w:rsidR="00BC020F" w:rsidRPr="008D1A3F">
        <w:t>-</w:t>
      </w:r>
      <w:r w:rsidR="00A37621" w:rsidRPr="008D1A3F">
        <w:t xml:space="preserve"> </w:t>
      </w:r>
      <w:r w:rsidR="00BC020F" w:rsidRPr="008D1A3F">
        <w:t>FARS</w:t>
      </w:r>
      <w:r w:rsidR="00A37621" w:rsidRPr="008D1A3F">
        <w:t xml:space="preserve"> Cooperative Agreement</w:t>
      </w:r>
      <w:r w:rsidRPr="008D1A3F">
        <w:t xml:space="preserve">. </w:t>
      </w:r>
      <w:r w:rsidR="00A37621" w:rsidRPr="008D1A3F">
        <w:t xml:space="preserve">The Traffic Records </w:t>
      </w:r>
      <w:r w:rsidRPr="008D1A3F">
        <w:t>AGF and associated application will be released separately.</w:t>
      </w:r>
    </w:p>
    <w:p w14:paraId="5C63C381" w14:textId="77777777" w:rsidR="001F2012" w:rsidRPr="008D1A3F" w:rsidRDefault="001F2012" w:rsidP="00FA15EA"/>
    <w:p w14:paraId="7A50106A" w14:textId="19972758" w:rsidR="00414998" w:rsidRPr="008D1A3F" w:rsidRDefault="00414998" w:rsidP="000C4D5C">
      <w:pPr>
        <w:pStyle w:val="Heading1"/>
        <w:numPr>
          <w:ilvl w:val="0"/>
          <w:numId w:val="42"/>
        </w:numPr>
      </w:pPr>
      <w:bookmarkStart w:id="0" w:name="_Toc31207025"/>
      <w:r w:rsidRPr="008D1A3F">
        <w:t>Key Dates</w:t>
      </w:r>
      <w:bookmarkEnd w:id="0"/>
    </w:p>
    <w:p w14:paraId="6C92A991" w14:textId="77777777" w:rsidR="00554A04" w:rsidRPr="008D1A3F" w:rsidRDefault="00554A04" w:rsidP="00C241D3"/>
    <w:tbl>
      <w:tblPr>
        <w:tblStyle w:val="TableGrid"/>
        <w:tblW w:w="0" w:type="auto"/>
        <w:shd w:val="clear" w:color="auto" w:fill="B8CCE4" w:themeFill="accent1" w:themeFillTint="66"/>
        <w:tblLook w:val="04A0" w:firstRow="1" w:lastRow="0" w:firstColumn="1" w:lastColumn="0" w:noHBand="0" w:noVBand="1"/>
      </w:tblPr>
      <w:tblGrid>
        <w:gridCol w:w="4675"/>
        <w:gridCol w:w="4675"/>
      </w:tblGrid>
      <w:tr w:rsidR="00554A04" w:rsidRPr="008D1A3F" w14:paraId="4095FA2E" w14:textId="77777777" w:rsidTr="009D0EC4">
        <w:trPr>
          <w:trHeight w:val="512"/>
        </w:trPr>
        <w:tc>
          <w:tcPr>
            <w:tcW w:w="4675" w:type="dxa"/>
            <w:shd w:val="clear" w:color="auto" w:fill="B8CCE4" w:themeFill="accent1" w:themeFillTint="66"/>
          </w:tcPr>
          <w:p w14:paraId="518011A4" w14:textId="28BE468C" w:rsidR="00554A04" w:rsidRPr="008D1A3F" w:rsidRDefault="00554A04" w:rsidP="00E175E7">
            <w:pPr>
              <w:rPr>
                <w:b/>
              </w:rPr>
            </w:pPr>
            <w:r w:rsidRPr="008D1A3F">
              <w:rPr>
                <w:b/>
              </w:rPr>
              <w:t xml:space="preserve">AGF </w:t>
            </w:r>
            <w:r w:rsidR="00BD0181" w:rsidRPr="008D1A3F">
              <w:rPr>
                <w:b/>
              </w:rPr>
              <w:t>POSTED</w:t>
            </w:r>
          </w:p>
        </w:tc>
        <w:tc>
          <w:tcPr>
            <w:tcW w:w="4675" w:type="dxa"/>
            <w:shd w:val="clear" w:color="auto" w:fill="B8CCE4" w:themeFill="accent1" w:themeFillTint="66"/>
          </w:tcPr>
          <w:p w14:paraId="3931A50F" w14:textId="5C095E8B" w:rsidR="00554A04" w:rsidRPr="008D1A3F" w:rsidRDefault="0076025B" w:rsidP="0076025B">
            <w:r w:rsidRPr="008D1A3F">
              <w:t>March 2</w:t>
            </w:r>
            <w:r w:rsidR="00554A04" w:rsidRPr="008D1A3F">
              <w:t xml:space="preserve">, 2020 </w:t>
            </w:r>
          </w:p>
        </w:tc>
      </w:tr>
      <w:tr w:rsidR="00554A04" w:rsidRPr="008D1A3F" w14:paraId="7F0BE372" w14:textId="77777777" w:rsidTr="009D0EC4">
        <w:trPr>
          <w:trHeight w:val="350"/>
        </w:trPr>
        <w:tc>
          <w:tcPr>
            <w:tcW w:w="4675" w:type="dxa"/>
            <w:shd w:val="clear" w:color="auto" w:fill="B8CCE4" w:themeFill="accent1" w:themeFillTint="66"/>
          </w:tcPr>
          <w:p w14:paraId="54AB865C" w14:textId="1BFB4C01" w:rsidR="00554A04" w:rsidRPr="008D1A3F" w:rsidRDefault="00BD0181" w:rsidP="00E175E7">
            <w:pPr>
              <w:rPr>
                <w:b/>
              </w:rPr>
            </w:pPr>
            <w:r w:rsidRPr="008D1A3F">
              <w:rPr>
                <w:b/>
              </w:rPr>
              <w:t>DUE DATE</w:t>
            </w:r>
          </w:p>
        </w:tc>
        <w:tc>
          <w:tcPr>
            <w:tcW w:w="4675" w:type="dxa"/>
            <w:shd w:val="clear" w:color="auto" w:fill="B8CCE4" w:themeFill="accent1" w:themeFillTint="66"/>
          </w:tcPr>
          <w:p w14:paraId="534E547B" w14:textId="568F9C27" w:rsidR="00554A04" w:rsidRPr="008D1A3F" w:rsidRDefault="00701B60" w:rsidP="00E175E7">
            <w:r w:rsidRPr="008D1A3F">
              <w:t>April 3</w:t>
            </w:r>
            <w:r w:rsidR="00554A04" w:rsidRPr="008D1A3F">
              <w:t>, 2020 @ 4 PM EST</w:t>
            </w:r>
          </w:p>
        </w:tc>
      </w:tr>
      <w:tr w:rsidR="00554A04" w:rsidRPr="008D1A3F" w14:paraId="54DAC843" w14:textId="77777777" w:rsidTr="009D0EC4">
        <w:trPr>
          <w:trHeight w:val="530"/>
        </w:trPr>
        <w:tc>
          <w:tcPr>
            <w:tcW w:w="4675" w:type="dxa"/>
            <w:shd w:val="clear" w:color="auto" w:fill="B8CCE4" w:themeFill="accent1" w:themeFillTint="66"/>
          </w:tcPr>
          <w:p w14:paraId="06219AC8" w14:textId="1CF755DD" w:rsidR="00554A04" w:rsidRPr="008D1A3F" w:rsidRDefault="00BD0181" w:rsidP="00E175E7">
            <w:pPr>
              <w:rPr>
                <w:b/>
              </w:rPr>
            </w:pPr>
            <w:r w:rsidRPr="008D1A3F">
              <w:rPr>
                <w:b/>
              </w:rPr>
              <w:t xml:space="preserve">AWARD ANNOUNCEMENTS </w:t>
            </w:r>
          </w:p>
        </w:tc>
        <w:tc>
          <w:tcPr>
            <w:tcW w:w="4675" w:type="dxa"/>
            <w:shd w:val="clear" w:color="auto" w:fill="B8CCE4" w:themeFill="accent1" w:themeFillTint="66"/>
          </w:tcPr>
          <w:p w14:paraId="523BA2A0" w14:textId="081A5036" w:rsidR="00554A04" w:rsidRPr="008D1A3F" w:rsidRDefault="00BD0181" w:rsidP="00E175E7">
            <w:r w:rsidRPr="008D1A3F">
              <w:t xml:space="preserve">On or around </w:t>
            </w:r>
            <w:r w:rsidR="00554A04" w:rsidRPr="008D1A3F">
              <w:t>September 1, 2020</w:t>
            </w:r>
          </w:p>
        </w:tc>
      </w:tr>
      <w:tr w:rsidR="00554A04" w:rsidRPr="008D1A3F" w14:paraId="52929098" w14:textId="77777777" w:rsidTr="009D0EC4">
        <w:tc>
          <w:tcPr>
            <w:tcW w:w="4675" w:type="dxa"/>
            <w:shd w:val="clear" w:color="auto" w:fill="B8CCE4" w:themeFill="accent1" w:themeFillTint="66"/>
          </w:tcPr>
          <w:p w14:paraId="6841A102" w14:textId="2678DA2B" w:rsidR="00554A04" w:rsidRPr="008D1A3F" w:rsidRDefault="00BD0181" w:rsidP="00E175E7">
            <w:pPr>
              <w:rPr>
                <w:b/>
              </w:rPr>
            </w:pPr>
            <w:r w:rsidRPr="008D1A3F">
              <w:rPr>
                <w:b/>
              </w:rPr>
              <w:t>GRANT PERIOD START DATE</w:t>
            </w:r>
          </w:p>
        </w:tc>
        <w:tc>
          <w:tcPr>
            <w:tcW w:w="4675" w:type="dxa"/>
            <w:shd w:val="clear" w:color="auto" w:fill="B8CCE4" w:themeFill="accent1" w:themeFillTint="66"/>
          </w:tcPr>
          <w:p w14:paraId="05438F94" w14:textId="75694768" w:rsidR="00554A04" w:rsidRPr="008D1A3F" w:rsidRDefault="009D0EC4" w:rsidP="009D0EC4">
            <w:r w:rsidRPr="008D1A3F">
              <w:t>On or around October 1, 2020</w:t>
            </w:r>
            <w:r w:rsidR="00554A04" w:rsidRPr="008D1A3F">
              <w:t xml:space="preserve"> </w:t>
            </w:r>
          </w:p>
          <w:p w14:paraId="38CAAE6E" w14:textId="22D29FA7" w:rsidR="009D0EC4" w:rsidRPr="008D1A3F" w:rsidRDefault="009D0EC4" w:rsidP="009D0EC4"/>
        </w:tc>
      </w:tr>
      <w:tr w:rsidR="00554A04" w:rsidRPr="008D1A3F" w14:paraId="194D2B95" w14:textId="77777777" w:rsidTr="009D0EC4">
        <w:trPr>
          <w:trHeight w:val="512"/>
        </w:trPr>
        <w:tc>
          <w:tcPr>
            <w:tcW w:w="4675" w:type="dxa"/>
            <w:shd w:val="clear" w:color="auto" w:fill="B8CCE4" w:themeFill="accent1" w:themeFillTint="66"/>
          </w:tcPr>
          <w:p w14:paraId="5BC200DE" w14:textId="1C735DE8" w:rsidR="00554A04" w:rsidRPr="008D1A3F" w:rsidRDefault="00BD0181" w:rsidP="00E175E7">
            <w:pPr>
              <w:rPr>
                <w:b/>
              </w:rPr>
            </w:pPr>
            <w:r w:rsidRPr="008D1A3F">
              <w:rPr>
                <w:b/>
              </w:rPr>
              <w:t>END DATE</w:t>
            </w:r>
          </w:p>
        </w:tc>
        <w:tc>
          <w:tcPr>
            <w:tcW w:w="4675" w:type="dxa"/>
            <w:shd w:val="clear" w:color="auto" w:fill="B8CCE4" w:themeFill="accent1" w:themeFillTint="66"/>
          </w:tcPr>
          <w:p w14:paraId="3CA822D5" w14:textId="77777777" w:rsidR="00554A04" w:rsidRPr="008D1A3F" w:rsidRDefault="00554A04" w:rsidP="00E175E7">
            <w:r w:rsidRPr="008D1A3F">
              <w:t>September 15, 2021</w:t>
            </w:r>
          </w:p>
        </w:tc>
      </w:tr>
    </w:tbl>
    <w:p w14:paraId="408DC3AD" w14:textId="77777777" w:rsidR="00E175E7" w:rsidRPr="008D1A3F" w:rsidRDefault="00E175E7" w:rsidP="00E175E7"/>
    <w:p w14:paraId="788FB819" w14:textId="77777777" w:rsidR="000C4D5C" w:rsidRPr="008D1A3F" w:rsidRDefault="000C4D5C" w:rsidP="000C4D5C"/>
    <w:p w14:paraId="7767A693" w14:textId="334EF156" w:rsidR="000C4D5C" w:rsidRPr="008D1A3F" w:rsidRDefault="000C4D5C" w:rsidP="00F964C2">
      <w:pPr>
        <w:pStyle w:val="Heading1"/>
        <w:numPr>
          <w:ilvl w:val="0"/>
          <w:numId w:val="42"/>
        </w:numPr>
        <w:ind w:left="540" w:hanging="540"/>
        <w:rPr>
          <w:b w:val="0"/>
          <w:bCs/>
          <w:u w:val="single"/>
        </w:rPr>
      </w:pPr>
      <w:bookmarkStart w:id="1" w:name="_Toc31207028"/>
      <w:r w:rsidRPr="008D1A3F">
        <w:t>Budget Information</w:t>
      </w:r>
      <w:bookmarkEnd w:id="1"/>
    </w:p>
    <w:p w14:paraId="5E6E51EF" w14:textId="77777777" w:rsidR="000C4D5C" w:rsidRPr="008D1A3F" w:rsidRDefault="000C4D5C" w:rsidP="000C4D5C">
      <w:pPr>
        <w:rPr>
          <w:bCs/>
        </w:rPr>
      </w:pPr>
    </w:p>
    <w:p w14:paraId="494A1378" w14:textId="7B5790A8" w:rsidR="000C4D5C" w:rsidRPr="008D1A3F" w:rsidRDefault="000C4D5C" w:rsidP="000C4D5C">
      <w:pPr>
        <w:rPr>
          <w:bCs/>
        </w:rPr>
      </w:pPr>
      <w:r w:rsidRPr="008D1A3F">
        <w:rPr>
          <w:bCs/>
        </w:rPr>
        <w:t>Each proposal must include a budget and budget narrative that aligns with the scope of work proposed in the application. The categories of budget items may include personnel, fringe, indirect, consultants, contracts, travel, equipment, supplies, and other expenses as they relate to the project.</w:t>
      </w:r>
    </w:p>
    <w:p w14:paraId="39D9ADAC" w14:textId="77777777" w:rsidR="000C4D5C" w:rsidRPr="008D1A3F" w:rsidRDefault="000C4D5C" w:rsidP="000C4D5C">
      <w:pPr>
        <w:rPr>
          <w:bCs/>
        </w:rPr>
      </w:pPr>
    </w:p>
    <w:p w14:paraId="2514F918" w14:textId="51203314" w:rsidR="00A70667" w:rsidRDefault="000C4D5C" w:rsidP="000C4D5C">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pPr>
      <w:r w:rsidRPr="008D1A3F">
        <w:t>Definitions of each budget cost category are provided</w:t>
      </w:r>
      <w:r w:rsidR="009D0EC4" w:rsidRPr="008D1A3F">
        <w:t xml:space="preserve"> on the following page</w:t>
      </w:r>
      <w:r w:rsidRPr="008D1A3F">
        <w:t>.</w:t>
      </w:r>
    </w:p>
    <w:p w14:paraId="5B5474EF" w14:textId="77777777" w:rsidR="00A70667" w:rsidRDefault="00A70667">
      <w:pPr>
        <w:spacing w:after="200" w:line="276" w:lineRule="auto"/>
      </w:pPr>
      <w:r>
        <w:br w:type="page"/>
      </w:r>
    </w:p>
    <w:p w14:paraId="601F1C5E" w14:textId="59554ABC" w:rsidR="00F964C2" w:rsidRPr="008D1A3F" w:rsidRDefault="00F964C2" w:rsidP="000C4D5C">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2"/>
          <w:szCs w:val="22"/>
        </w:rPr>
      </w:pPr>
    </w:p>
    <w:p w14:paraId="382104C2" w14:textId="02B1997F" w:rsidR="00F964C2" w:rsidRPr="008D1A3F" w:rsidRDefault="00F964C2" w:rsidP="000C4D5C">
      <w:pPr>
        <w:keepLines/>
        <w:framePr w:hSpace="180" w:wrap="around" w:vAnchor="text" w:hAnchor="margin" w:xAlign="center" w:y="161"/>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2"/>
          <w:szCs w:val="22"/>
        </w:rPr>
      </w:pPr>
    </w:p>
    <w:p w14:paraId="6AE35D83" w14:textId="132CEA76" w:rsidR="00F964C2" w:rsidRPr="008D1A3F" w:rsidRDefault="00F964C2" w:rsidP="000C4D5C">
      <w:pPr>
        <w:keepLines/>
        <w:framePr w:hSpace="180" w:wrap="around" w:vAnchor="text" w:hAnchor="margin" w:xAlign="center" w:y="161"/>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2"/>
          <w:szCs w:val="22"/>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375"/>
      </w:tblGrid>
      <w:tr w:rsidR="000C4D5C" w:rsidRPr="008D1A3F" w14:paraId="098212A1" w14:textId="77777777" w:rsidTr="00836DAD">
        <w:trPr>
          <w:trHeight w:val="432"/>
        </w:trPr>
        <w:tc>
          <w:tcPr>
            <w:tcW w:w="1975" w:type="dxa"/>
            <w:shd w:val="clear" w:color="auto" w:fill="auto"/>
          </w:tcPr>
          <w:p w14:paraId="6788F690" w14:textId="77777777" w:rsidR="000C4D5C" w:rsidRPr="008D1A3F" w:rsidRDefault="000C4D5C" w:rsidP="001B14C2">
            <w:pPr>
              <w:rPr>
                <w:b/>
                <w:sz w:val="22"/>
                <w:szCs w:val="22"/>
              </w:rPr>
            </w:pPr>
            <w:r w:rsidRPr="008D1A3F">
              <w:rPr>
                <w:b/>
                <w:sz w:val="22"/>
                <w:szCs w:val="22"/>
              </w:rPr>
              <w:t>Allowable Budget Cost Categories</w:t>
            </w:r>
          </w:p>
        </w:tc>
        <w:tc>
          <w:tcPr>
            <w:tcW w:w="7375" w:type="dxa"/>
            <w:shd w:val="clear" w:color="auto" w:fill="auto"/>
          </w:tcPr>
          <w:p w14:paraId="0C67E9D4" w14:textId="77777777" w:rsidR="000C4D5C" w:rsidRPr="008D1A3F" w:rsidRDefault="000C4D5C" w:rsidP="001B14C2">
            <w:pPr>
              <w:rPr>
                <w:b/>
                <w:sz w:val="22"/>
                <w:szCs w:val="22"/>
              </w:rPr>
            </w:pPr>
            <w:r w:rsidRPr="008D1A3F">
              <w:rPr>
                <w:b/>
                <w:sz w:val="22"/>
                <w:szCs w:val="22"/>
              </w:rPr>
              <w:t>Definitions and Documentation Requirements</w:t>
            </w:r>
          </w:p>
        </w:tc>
      </w:tr>
      <w:tr w:rsidR="000C4D5C" w:rsidRPr="008D1A3F" w14:paraId="3B121810" w14:textId="77777777" w:rsidTr="00836DAD">
        <w:trPr>
          <w:trHeight w:val="432"/>
        </w:trPr>
        <w:tc>
          <w:tcPr>
            <w:tcW w:w="1975" w:type="dxa"/>
            <w:shd w:val="clear" w:color="auto" w:fill="auto"/>
          </w:tcPr>
          <w:p w14:paraId="5E116F32" w14:textId="77777777" w:rsidR="000C4D5C" w:rsidRPr="008D1A3F" w:rsidRDefault="000C4D5C" w:rsidP="001B14C2">
            <w:pPr>
              <w:rPr>
                <w:sz w:val="22"/>
                <w:szCs w:val="22"/>
              </w:rPr>
            </w:pPr>
            <w:r w:rsidRPr="008D1A3F">
              <w:rPr>
                <w:sz w:val="22"/>
                <w:szCs w:val="22"/>
              </w:rPr>
              <w:t>Personnel Costs</w:t>
            </w:r>
          </w:p>
        </w:tc>
        <w:tc>
          <w:tcPr>
            <w:tcW w:w="7375" w:type="dxa"/>
            <w:shd w:val="clear" w:color="auto" w:fill="auto"/>
          </w:tcPr>
          <w:p w14:paraId="5DE3C0A8" w14:textId="15FCF689" w:rsidR="000C4D5C" w:rsidRPr="008D1A3F" w:rsidRDefault="000C4D5C" w:rsidP="00885D87">
            <w:pPr>
              <w:numPr>
                <w:ilvl w:val="0"/>
                <w:numId w:val="44"/>
              </w:numPr>
              <w:rPr>
                <w:sz w:val="22"/>
                <w:szCs w:val="22"/>
              </w:rPr>
            </w:pPr>
            <w:r w:rsidRPr="008D1A3F">
              <w:rPr>
                <w:sz w:val="22"/>
                <w:szCs w:val="22"/>
              </w:rPr>
              <w:t>Full or part-time regular salaried employees working on the grant.</w:t>
            </w:r>
          </w:p>
          <w:p w14:paraId="248AB053" w14:textId="13BA04EC" w:rsidR="00885D87" w:rsidRPr="008D1A3F" w:rsidRDefault="00885D87" w:rsidP="00885D87">
            <w:pPr>
              <w:numPr>
                <w:ilvl w:val="0"/>
                <w:numId w:val="44"/>
              </w:numPr>
              <w:rPr>
                <w:sz w:val="22"/>
                <w:szCs w:val="22"/>
              </w:rPr>
            </w:pPr>
            <w:r w:rsidRPr="008D1A3F">
              <w:rPr>
                <w:sz w:val="22"/>
                <w:szCs w:val="22"/>
              </w:rPr>
              <w:t>Overtime Costs</w:t>
            </w:r>
          </w:p>
          <w:p w14:paraId="0562D1AA" w14:textId="77777777" w:rsidR="000C4D5C" w:rsidRPr="008D1A3F" w:rsidRDefault="000C4D5C" w:rsidP="001B14C2">
            <w:pPr>
              <w:rPr>
                <w:sz w:val="22"/>
                <w:szCs w:val="22"/>
              </w:rPr>
            </w:pPr>
          </w:p>
        </w:tc>
      </w:tr>
      <w:tr w:rsidR="000C4D5C" w:rsidRPr="008D1A3F" w14:paraId="6378541E" w14:textId="77777777" w:rsidTr="00836DAD">
        <w:trPr>
          <w:trHeight w:val="432"/>
        </w:trPr>
        <w:tc>
          <w:tcPr>
            <w:tcW w:w="1975" w:type="dxa"/>
            <w:shd w:val="clear" w:color="auto" w:fill="auto"/>
          </w:tcPr>
          <w:p w14:paraId="4031E538" w14:textId="77777777" w:rsidR="000C4D5C" w:rsidRPr="008D1A3F" w:rsidRDefault="000C4D5C" w:rsidP="001B14C2">
            <w:pPr>
              <w:rPr>
                <w:sz w:val="22"/>
                <w:szCs w:val="22"/>
              </w:rPr>
            </w:pPr>
            <w:r w:rsidRPr="008D1A3F">
              <w:rPr>
                <w:sz w:val="22"/>
                <w:szCs w:val="22"/>
              </w:rPr>
              <w:t>Fringe Benefit Costs</w:t>
            </w:r>
          </w:p>
        </w:tc>
        <w:tc>
          <w:tcPr>
            <w:tcW w:w="7375" w:type="dxa"/>
            <w:shd w:val="clear" w:color="auto" w:fill="auto"/>
          </w:tcPr>
          <w:p w14:paraId="55337327" w14:textId="77777777" w:rsidR="000C4D5C" w:rsidRPr="008D1A3F" w:rsidRDefault="000C4D5C" w:rsidP="001B14C2">
            <w:pPr>
              <w:rPr>
                <w:sz w:val="22"/>
                <w:szCs w:val="22"/>
              </w:rPr>
            </w:pPr>
            <w:r w:rsidRPr="008D1A3F">
              <w:rPr>
                <w:sz w:val="22"/>
                <w:szCs w:val="22"/>
              </w:rPr>
              <w:t xml:space="preserve">Eligible costs include the  </w:t>
            </w:r>
            <w:r w:rsidRPr="008D1A3F">
              <w:rPr>
                <w:sz w:val="22"/>
                <w:szCs w:val="22"/>
                <w:u w:val="single"/>
              </w:rPr>
              <w:t>employer share</w:t>
            </w:r>
            <w:r w:rsidRPr="008D1A3F">
              <w:rPr>
                <w:sz w:val="22"/>
                <w:szCs w:val="22"/>
              </w:rPr>
              <w:t xml:space="preserve"> of  the following:</w:t>
            </w:r>
          </w:p>
          <w:p w14:paraId="4CC60345" w14:textId="4978DC44" w:rsidR="000C4D5C" w:rsidRPr="008D1A3F" w:rsidRDefault="00F964C2" w:rsidP="00F964C2">
            <w:pPr>
              <w:spacing w:after="200" w:line="276" w:lineRule="auto"/>
              <w:rPr>
                <w:sz w:val="22"/>
                <w:szCs w:val="22"/>
              </w:rPr>
            </w:pPr>
            <w:r w:rsidRPr="008D1A3F">
              <w:rPr>
                <w:sz w:val="22"/>
                <w:szCs w:val="22"/>
              </w:rPr>
              <w:t>l</w:t>
            </w:r>
            <w:r w:rsidR="000C4D5C" w:rsidRPr="008D1A3F">
              <w:rPr>
                <w:sz w:val="22"/>
                <w:szCs w:val="22"/>
              </w:rPr>
              <w:t>ife insurance</w:t>
            </w:r>
            <w:r w:rsidRPr="008D1A3F">
              <w:rPr>
                <w:sz w:val="22"/>
                <w:szCs w:val="22"/>
              </w:rPr>
              <w:t>, h</w:t>
            </w:r>
            <w:r w:rsidR="000C4D5C" w:rsidRPr="008D1A3F">
              <w:rPr>
                <w:sz w:val="22"/>
                <w:szCs w:val="22"/>
              </w:rPr>
              <w:t>ealth insurance</w:t>
            </w:r>
            <w:r w:rsidRPr="008D1A3F">
              <w:rPr>
                <w:sz w:val="22"/>
                <w:szCs w:val="22"/>
              </w:rPr>
              <w:t>, social security, pension, unemployment insurance, and w</w:t>
            </w:r>
            <w:r w:rsidR="000C4D5C" w:rsidRPr="008D1A3F">
              <w:rPr>
                <w:sz w:val="22"/>
                <w:szCs w:val="22"/>
              </w:rPr>
              <w:t>orkers compensation insurance</w:t>
            </w:r>
            <w:r w:rsidRPr="008D1A3F">
              <w:rPr>
                <w:sz w:val="22"/>
                <w:szCs w:val="22"/>
              </w:rPr>
              <w:t>.  D</w:t>
            </w:r>
            <w:r w:rsidR="000C4D5C" w:rsidRPr="008D1A3F">
              <w:rPr>
                <w:sz w:val="22"/>
                <w:szCs w:val="22"/>
              </w:rPr>
              <w:t xml:space="preserve">irect fringe benefits can be either actual costs or rates per employee calculated by the fiscal or human resource unit in your organization (rate computations must be included). </w:t>
            </w:r>
            <w:r w:rsidRPr="008D1A3F">
              <w:rPr>
                <w:sz w:val="22"/>
                <w:szCs w:val="22"/>
              </w:rPr>
              <w:t xml:space="preserve"> </w:t>
            </w:r>
            <w:r w:rsidR="000C4D5C" w:rsidRPr="008D1A3F">
              <w:rPr>
                <w:sz w:val="22"/>
                <w:szCs w:val="22"/>
              </w:rPr>
              <w:t xml:space="preserve">Include copy of approved rate agreement in the application response. </w:t>
            </w:r>
          </w:p>
        </w:tc>
      </w:tr>
      <w:tr w:rsidR="000C4D5C" w:rsidRPr="008D1A3F" w14:paraId="23DE7C41" w14:textId="77777777" w:rsidTr="00836DAD">
        <w:trPr>
          <w:trHeight w:val="432"/>
        </w:trPr>
        <w:tc>
          <w:tcPr>
            <w:tcW w:w="1975" w:type="dxa"/>
            <w:shd w:val="clear" w:color="auto" w:fill="auto"/>
          </w:tcPr>
          <w:p w14:paraId="1A3FEBE0" w14:textId="231BDCD7" w:rsidR="000C4D5C" w:rsidRPr="008D1A3F" w:rsidRDefault="009D0EC4" w:rsidP="001B14C2">
            <w:pPr>
              <w:rPr>
                <w:sz w:val="22"/>
                <w:szCs w:val="22"/>
              </w:rPr>
            </w:pPr>
            <w:r w:rsidRPr="008D1A3F">
              <w:rPr>
                <w:sz w:val="22"/>
                <w:szCs w:val="22"/>
              </w:rPr>
              <w:t>Indirect Costs</w:t>
            </w:r>
          </w:p>
        </w:tc>
        <w:tc>
          <w:tcPr>
            <w:tcW w:w="7375" w:type="dxa"/>
            <w:shd w:val="clear" w:color="auto" w:fill="auto"/>
          </w:tcPr>
          <w:p w14:paraId="2148B636" w14:textId="77777777" w:rsidR="000C4D5C" w:rsidRPr="008D1A3F" w:rsidRDefault="000C4D5C" w:rsidP="001B14C2">
            <w:pPr>
              <w:rPr>
                <w:sz w:val="22"/>
                <w:szCs w:val="22"/>
              </w:rPr>
            </w:pPr>
            <w:r w:rsidRPr="008D1A3F">
              <w:rPr>
                <w:sz w:val="22"/>
                <w:szCs w:val="22"/>
              </w:rPr>
              <w:t xml:space="preserve">Costs can only be shown here if the applicant has a federally approved indirect cost rate.  If the applicant’s accounting system permits, costs may be allocated to the applicable direct cost category in the budget including the category “other” if the costs being identified do not fit into one of the specific direct cost categories.  </w:t>
            </w:r>
          </w:p>
          <w:p w14:paraId="7D82F42E" w14:textId="77777777" w:rsidR="000C4D5C" w:rsidRPr="008D1A3F" w:rsidRDefault="000C4D5C" w:rsidP="001B14C2">
            <w:pPr>
              <w:rPr>
                <w:sz w:val="22"/>
                <w:szCs w:val="22"/>
              </w:rPr>
            </w:pPr>
            <w:r w:rsidRPr="008D1A3F">
              <w:rPr>
                <w:sz w:val="22"/>
                <w:szCs w:val="22"/>
              </w:rPr>
              <w:t>Include copy of rate agreement in the application response.</w:t>
            </w:r>
          </w:p>
        </w:tc>
      </w:tr>
      <w:tr w:rsidR="000C4D5C" w:rsidRPr="008D1A3F" w14:paraId="39B81130" w14:textId="77777777" w:rsidTr="00836DAD">
        <w:trPr>
          <w:trHeight w:val="1673"/>
        </w:trPr>
        <w:tc>
          <w:tcPr>
            <w:tcW w:w="1975" w:type="dxa"/>
            <w:shd w:val="clear" w:color="auto" w:fill="auto"/>
          </w:tcPr>
          <w:p w14:paraId="295180B0" w14:textId="77777777" w:rsidR="000C4D5C" w:rsidRPr="008D1A3F" w:rsidRDefault="000C4D5C" w:rsidP="001B14C2">
            <w:pPr>
              <w:rPr>
                <w:sz w:val="22"/>
                <w:szCs w:val="22"/>
              </w:rPr>
            </w:pPr>
            <w:r w:rsidRPr="008D1A3F">
              <w:rPr>
                <w:sz w:val="22"/>
                <w:szCs w:val="22"/>
              </w:rPr>
              <w:t>Consultants/</w:t>
            </w:r>
          </w:p>
          <w:p w14:paraId="36C2A6D2" w14:textId="77777777" w:rsidR="000C4D5C" w:rsidRPr="008D1A3F" w:rsidRDefault="000C4D5C" w:rsidP="001B14C2">
            <w:pPr>
              <w:rPr>
                <w:sz w:val="22"/>
                <w:szCs w:val="22"/>
              </w:rPr>
            </w:pPr>
            <w:r w:rsidRPr="008D1A3F">
              <w:rPr>
                <w:sz w:val="22"/>
                <w:szCs w:val="22"/>
              </w:rPr>
              <w:t>Contract Costs</w:t>
            </w:r>
          </w:p>
        </w:tc>
        <w:tc>
          <w:tcPr>
            <w:tcW w:w="7375" w:type="dxa"/>
            <w:shd w:val="clear" w:color="auto" w:fill="auto"/>
          </w:tcPr>
          <w:p w14:paraId="648699AF" w14:textId="77777777" w:rsidR="000C4D5C" w:rsidRPr="008D1A3F" w:rsidRDefault="000C4D5C" w:rsidP="001B14C2">
            <w:pPr>
              <w:rPr>
                <w:sz w:val="22"/>
                <w:szCs w:val="22"/>
              </w:rPr>
            </w:pPr>
            <w:r w:rsidRPr="008D1A3F">
              <w:rPr>
                <w:sz w:val="22"/>
                <w:szCs w:val="22"/>
              </w:rPr>
              <w:t>Consultant or contractor fees.</w:t>
            </w:r>
          </w:p>
          <w:p w14:paraId="1AC2AEC9" w14:textId="5590B76E" w:rsidR="000C4D5C" w:rsidRPr="008D1A3F" w:rsidRDefault="000C4D5C" w:rsidP="001B14C2">
            <w:pPr>
              <w:rPr>
                <w:sz w:val="22"/>
                <w:szCs w:val="22"/>
              </w:rPr>
            </w:pPr>
            <w:r w:rsidRPr="008D1A3F">
              <w:rPr>
                <w:sz w:val="22"/>
                <w:szCs w:val="22"/>
              </w:rPr>
              <w:t>The maximum rate for consultants is $650 for an eight hour day or $81.25 per hour (excluding travel and subsistence costs).  Any request for compensation over $650 per day hour day or $81.25 per hour requires</w:t>
            </w:r>
            <w:r w:rsidR="00F964C2" w:rsidRPr="008D1A3F">
              <w:rPr>
                <w:sz w:val="22"/>
                <w:szCs w:val="22"/>
              </w:rPr>
              <w:t xml:space="preserve"> prior written approval by OGR</w:t>
            </w:r>
            <w:r w:rsidRPr="008D1A3F">
              <w:rPr>
                <w:sz w:val="22"/>
                <w:szCs w:val="22"/>
              </w:rPr>
              <w:t>.  This rate is the exception not the rule.</w:t>
            </w:r>
          </w:p>
        </w:tc>
      </w:tr>
      <w:tr w:rsidR="000C4D5C" w:rsidRPr="008D1A3F" w14:paraId="033FEE30" w14:textId="77777777" w:rsidTr="00836DAD">
        <w:trPr>
          <w:trHeight w:val="432"/>
        </w:trPr>
        <w:tc>
          <w:tcPr>
            <w:tcW w:w="1975" w:type="dxa"/>
            <w:shd w:val="clear" w:color="auto" w:fill="auto"/>
          </w:tcPr>
          <w:p w14:paraId="657832CE" w14:textId="77777777" w:rsidR="000C4D5C" w:rsidRPr="008D1A3F" w:rsidRDefault="000C4D5C" w:rsidP="001B14C2">
            <w:pPr>
              <w:rPr>
                <w:sz w:val="22"/>
                <w:szCs w:val="22"/>
              </w:rPr>
            </w:pPr>
            <w:r w:rsidRPr="008D1A3F">
              <w:rPr>
                <w:sz w:val="22"/>
                <w:szCs w:val="22"/>
              </w:rPr>
              <w:t>Equipment Costs</w:t>
            </w:r>
          </w:p>
        </w:tc>
        <w:tc>
          <w:tcPr>
            <w:tcW w:w="7375" w:type="dxa"/>
            <w:shd w:val="clear" w:color="auto" w:fill="auto"/>
          </w:tcPr>
          <w:p w14:paraId="4F41F6E8" w14:textId="77777777" w:rsidR="000C4D5C" w:rsidRPr="008D1A3F" w:rsidRDefault="000C4D5C" w:rsidP="001B14C2">
            <w:pPr>
              <w:rPr>
                <w:sz w:val="22"/>
                <w:szCs w:val="22"/>
              </w:rPr>
            </w:pPr>
            <w:r w:rsidRPr="008D1A3F">
              <w:rPr>
                <w:sz w:val="22"/>
                <w:szCs w:val="22"/>
              </w:rPr>
              <w:t>Tangible non-expendable personal property having a useful life of more than one year; cost based on classification of equipment.</w:t>
            </w:r>
          </w:p>
          <w:p w14:paraId="30A9F59A" w14:textId="77777777" w:rsidR="000C4D5C" w:rsidRPr="008D1A3F" w:rsidRDefault="000C4D5C" w:rsidP="001B14C2">
            <w:pPr>
              <w:rPr>
                <w:sz w:val="22"/>
                <w:szCs w:val="22"/>
              </w:rPr>
            </w:pPr>
            <w:r w:rsidRPr="008D1A3F">
              <w:rPr>
                <w:sz w:val="22"/>
                <w:szCs w:val="22"/>
              </w:rPr>
              <w:t>Must be directly related to the program implementation.</w:t>
            </w:r>
          </w:p>
        </w:tc>
      </w:tr>
      <w:tr w:rsidR="000C4D5C" w:rsidRPr="008D1A3F" w14:paraId="65507D92" w14:textId="77777777" w:rsidTr="00836DAD">
        <w:trPr>
          <w:trHeight w:val="432"/>
        </w:trPr>
        <w:tc>
          <w:tcPr>
            <w:tcW w:w="1975" w:type="dxa"/>
            <w:shd w:val="clear" w:color="auto" w:fill="auto"/>
          </w:tcPr>
          <w:p w14:paraId="46A167BA" w14:textId="77777777" w:rsidR="000C4D5C" w:rsidRPr="008D1A3F" w:rsidRDefault="000C4D5C" w:rsidP="001B14C2">
            <w:pPr>
              <w:rPr>
                <w:sz w:val="22"/>
                <w:szCs w:val="22"/>
              </w:rPr>
            </w:pPr>
            <w:r w:rsidRPr="008D1A3F">
              <w:rPr>
                <w:sz w:val="22"/>
                <w:szCs w:val="22"/>
              </w:rPr>
              <w:t>Travel Costs</w:t>
            </w:r>
          </w:p>
        </w:tc>
        <w:tc>
          <w:tcPr>
            <w:tcW w:w="7375" w:type="dxa"/>
            <w:shd w:val="clear" w:color="auto" w:fill="auto"/>
          </w:tcPr>
          <w:p w14:paraId="39151E91" w14:textId="77777777" w:rsidR="000C4D5C" w:rsidRPr="008D1A3F" w:rsidRDefault="000C4D5C" w:rsidP="001B14C2">
            <w:pPr>
              <w:jc w:val="both"/>
              <w:rPr>
                <w:sz w:val="22"/>
                <w:szCs w:val="22"/>
              </w:rPr>
            </w:pPr>
            <w:r w:rsidRPr="008D1A3F">
              <w:rPr>
                <w:sz w:val="22"/>
                <w:szCs w:val="22"/>
              </w:rPr>
              <w:t>Travel directly related to the purpose of the grant.</w:t>
            </w:r>
          </w:p>
          <w:p w14:paraId="7A4282E7" w14:textId="77777777" w:rsidR="000C4D5C" w:rsidRPr="008D1A3F" w:rsidRDefault="000C4D5C" w:rsidP="001B14C2">
            <w:pPr>
              <w:jc w:val="both"/>
              <w:rPr>
                <w:sz w:val="22"/>
                <w:szCs w:val="22"/>
              </w:rPr>
            </w:pPr>
            <w:r w:rsidRPr="008D1A3F">
              <w:rPr>
                <w:sz w:val="22"/>
                <w:szCs w:val="22"/>
              </w:rPr>
              <w:t>In-state travel costs associated with the grant shall include mileage rates not in excess of $0.45 per mile, as well as the actual costs of tolls and parking.</w:t>
            </w:r>
          </w:p>
          <w:p w14:paraId="456596A1" w14:textId="49AD25D5" w:rsidR="000C4D5C" w:rsidRPr="008D1A3F" w:rsidRDefault="000C4D5C" w:rsidP="001B14C2">
            <w:pPr>
              <w:rPr>
                <w:sz w:val="22"/>
                <w:szCs w:val="22"/>
              </w:rPr>
            </w:pPr>
            <w:r w:rsidRPr="008D1A3F">
              <w:rPr>
                <w:sz w:val="22"/>
                <w:szCs w:val="22"/>
              </w:rPr>
              <w:t>No grant funds may be spent for out of state conference fees, out of state travel or out of state lodging without prior written approval from OGR.</w:t>
            </w:r>
          </w:p>
        </w:tc>
      </w:tr>
      <w:tr w:rsidR="000C4D5C" w:rsidRPr="008D1A3F" w14:paraId="0DC39344" w14:textId="77777777" w:rsidTr="00836DAD">
        <w:trPr>
          <w:trHeight w:val="432"/>
        </w:trPr>
        <w:tc>
          <w:tcPr>
            <w:tcW w:w="1975" w:type="dxa"/>
            <w:shd w:val="clear" w:color="auto" w:fill="auto"/>
          </w:tcPr>
          <w:p w14:paraId="1BEB3B1C" w14:textId="6C3637A7" w:rsidR="000C4D5C" w:rsidRPr="008D1A3F" w:rsidRDefault="000C4D5C" w:rsidP="001B14C2">
            <w:pPr>
              <w:rPr>
                <w:sz w:val="22"/>
                <w:szCs w:val="22"/>
              </w:rPr>
            </w:pPr>
            <w:r w:rsidRPr="008D1A3F">
              <w:rPr>
                <w:sz w:val="22"/>
                <w:szCs w:val="22"/>
              </w:rPr>
              <w:t xml:space="preserve">Supplies </w:t>
            </w:r>
            <w:r w:rsidR="00F964C2" w:rsidRPr="008D1A3F">
              <w:rPr>
                <w:sz w:val="22"/>
                <w:szCs w:val="22"/>
              </w:rPr>
              <w:t xml:space="preserve">and Other </w:t>
            </w:r>
            <w:r w:rsidRPr="008D1A3F">
              <w:rPr>
                <w:sz w:val="22"/>
                <w:szCs w:val="22"/>
              </w:rPr>
              <w:t>Costs</w:t>
            </w:r>
          </w:p>
        </w:tc>
        <w:tc>
          <w:tcPr>
            <w:tcW w:w="7375" w:type="dxa"/>
            <w:shd w:val="clear" w:color="auto" w:fill="auto"/>
          </w:tcPr>
          <w:p w14:paraId="2A475639" w14:textId="77777777" w:rsidR="000C4D5C" w:rsidRPr="008D1A3F" w:rsidRDefault="000C4D5C" w:rsidP="001B14C2">
            <w:pPr>
              <w:rPr>
                <w:sz w:val="22"/>
                <w:szCs w:val="22"/>
              </w:rPr>
            </w:pPr>
            <w:r w:rsidRPr="008D1A3F">
              <w:rPr>
                <w:sz w:val="22"/>
                <w:szCs w:val="22"/>
              </w:rPr>
              <w:t>Supplies required for program (pens, pencils, postage, training materials, copying paper, and other expendable items such as books, ink, etc.).</w:t>
            </w:r>
          </w:p>
        </w:tc>
      </w:tr>
    </w:tbl>
    <w:p w14:paraId="02C6B7B9" w14:textId="77777777" w:rsidR="000C4D5C" w:rsidRPr="008D1A3F" w:rsidRDefault="000C4D5C" w:rsidP="000C4D5C">
      <w:pPr>
        <w:rPr>
          <w:bCs/>
        </w:rPr>
      </w:pPr>
    </w:p>
    <w:p w14:paraId="4946F78D" w14:textId="77777777" w:rsidR="00A70667" w:rsidRDefault="00A70667" w:rsidP="000C4D5C">
      <w:pPr>
        <w:rPr>
          <w:bCs/>
        </w:rPr>
      </w:pPr>
    </w:p>
    <w:p w14:paraId="34F7F28F" w14:textId="1A443659" w:rsidR="007B3248" w:rsidRDefault="007B3248" w:rsidP="000C4D5C">
      <w:pPr>
        <w:rPr>
          <w:bCs/>
        </w:rPr>
      </w:pPr>
    </w:p>
    <w:p w14:paraId="45E5B7B1" w14:textId="53F6F6E0" w:rsidR="00A50920" w:rsidRDefault="00A50920" w:rsidP="000C4D5C">
      <w:pPr>
        <w:rPr>
          <w:bCs/>
        </w:rPr>
      </w:pPr>
    </w:p>
    <w:p w14:paraId="4469D953" w14:textId="20E51910" w:rsidR="00A50920" w:rsidRDefault="00A50920" w:rsidP="000C4D5C">
      <w:pPr>
        <w:rPr>
          <w:bCs/>
        </w:rPr>
      </w:pPr>
    </w:p>
    <w:p w14:paraId="0FFF3316" w14:textId="6C74E199" w:rsidR="00A50920" w:rsidRDefault="00A50920" w:rsidP="000C4D5C">
      <w:pPr>
        <w:rPr>
          <w:bCs/>
        </w:rPr>
      </w:pPr>
    </w:p>
    <w:p w14:paraId="5AFF973A" w14:textId="3819051D" w:rsidR="00A50920" w:rsidRDefault="00A50920" w:rsidP="000C4D5C">
      <w:pPr>
        <w:rPr>
          <w:bCs/>
        </w:rPr>
      </w:pPr>
    </w:p>
    <w:p w14:paraId="32E60D44" w14:textId="14EDB058" w:rsidR="00A50920" w:rsidRDefault="00A50920" w:rsidP="000C4D5C">
      <w:pPr>
        <w:rPr>
          <w:bCs/>
        </w:rPr>
      </w:pPr>
    </w:p>
    <w:p w14:paraId="7D92D16B" w14:textId="65B0E98D" w:rsidR="00A50920" w:rsidRDefault="00A50920" w:rsidP="000C4D5C">
      <w:pPr>
        <w:rPr>
          <w:bCs/>
        </w:rPr>
      </w:pPr>
    </w:p>
    <w:p w14:paraId="4EFCA635" w14:textId="2C17A2E6" w:rsidR="00A50920" w:rsidRDefault="00A50920" w:rsidP="000C4D5C">
      <w:pPr>
        <w:rPr>
          <w:bCs/>
        </w:rPr>
      </w:pPr>
    </w:p>
    <w:p w14:paraId="21D117FD" w14:textId="089C7087" w:rsidR="00A50920" w:rsidRDefault="00A50920" w:rsidP="000C4D5C">
      <w:pPr>
        <w:rPr>
          <w:bCs/>
        </w:rPr>
      </w:pPr>
    </w:p>
    <w:p w14:paraId="74958D82" w14:textId="4C8C3E2D" w:rsidR="00A50920" w:rsidRDefault="00A50920" w:rsidP="000C4D5C">
      <w:pPr>
        <w:rPr>
          <w:bCs/>
        </w:rPr>
      </w:pPr>
    </w:p>
    <w:p w14:paraId="3B3A0F6D" w14:textId="5E43AB06" w:rsidR="00A50920" w:rsidRDefault="00A50920" w:rsidP="000C4D5C">
      <w:pPr>
        <w:rPr>
          <w:bCs/>
        </w:rPr>
      </w:pPr>
    </w:p>
    <w:p w14:paraId="6504DC3F" w14:textId="5A446D18" w:rsidR="00A50920" w:rsidRDefault="00A50920" w:rsidP="000C4D5C">
      <w:pPr>
        <w:rPr>
          <w:bCs/>
        </w:rPr>
      </w:pPr>
    </w:p>
    <w:p w14:paraId="0E1A1A19" w14:textId="13A6603E" w:rsidR="00A50920" w:rsidRDefault="00A50920" w:rsidP="000C4D5C">
      <w:pPr>
        <w:rPr>
          <w:bCs/>
        </w:rPr>
      </w:pPr>
    </w:p>
    <w:p w14:paraId="70C6F72C" w14:textId="4BF99DE7" w:rsidR="00A50920" w:rsidRDefault="00A50920" w:rsidP="000C4D5C">
      <w:pPr>
        <w:rPr>
          <w:bCs/>
        </w:rPr>
      </w:pPr>
    </w:p>
    <w:p w14:paraId="422B7F69" w14:textId="40DC034B" w:rsidR="00A50920" w:rsidRDefault="00A50920" w:rsidP="000C4D5C">
      <w:pPr>
        <w:rPr>
          <w:bCs/>
        </w:rPr>
      </w:pPr>
    </w:p>
    <w:p w14:paraId="537730B5" w14:textId="7778ED18" w:rsidR="00A50920" w:rsidRDefault="00A50920" w:rsidP="000C4D5C">
      <w:pPr>
        <w:rPr>
          <w:bCs/>
        </w:rPr>
      </w:pPr>
    </w:p>
    <w:p w14:paraId="752CADDF" w14:textId="49290730" w:rsidR="00A50920" w:rsidRDefault="00A50920" w:rsidP="000C4D5C">
      <w:pPr>
        <w:rPr>
          <w:bCs/>
        </w:rPr>
      </w:pPr>
    </w:p>
    <w:p w14:paraId="46059A19" w14:textId="62858CF6" w:rsidR="00A50920" w:rsidRDefault="00A50920" w:rsidP="000C4D5C">
      <w:pPr>
        <w:rPr>
          <w:bCs/>
        </w:rPr>
      </w:pPr>
    </w:p>
    <w:p w14:paraId="387DAD22" w14:textId="3EF496B3" w:rsidR="00A50920" w:rsidRDefault="00A50920" w:rsidP="000C4D5C">
      <w:pPr>
        <w:rPr>
          <w:bCs/>
        </w:rPr>
      </w:pPr>
    </w:p>
    <w:p w14:paraId="48462DDD" w14:textId="5A8E95AF" w:rsidR="00A50920" w:rsidRDefault="00A50920" w:rsidP="000C4D5C">
      <w:pPr>
        <w:rPr>
          <w:bCs/>
        </w:rPr>
      </w:pPr>
    </w:p>
    <w:p w14:paraId="2B1147AC" w14:textId="177C7E18" w:rsidR="00A50920" w:rsidRDefault="00A50920" w:rsidP="000C4D5C">
      <w:pPr>
        <w:rPr>
          <w:bCs/>
        </w:rPr>
      </w:pPr>
    </w:p>
    <w:p w14:paraId="1DFE2E4C" w14:textId="54B78735" w:rsidR="00A50920" w:rsidRDefault="00A50920" w:rsidP="000C4D5C">
      <w:pPr>
        <w:rPr>
          <w:bCs/>
        </w:rPr>
      </w:pPr>
    </w:p>
    <w:p w14:paraId="1FCAE90D" w14:textId="6ABDE88D" w:rsidR="00A50920" w:rsidRDefault="00A50920" w:rsidP="000C4D5C">
      <w:pPr>
        <w:rPr>
          <w:bCs/>
        </w:rPr>
      </w:pPr>
    </w:p>
    <w:p w14:paraId="128F57AC" w14:textId="2BF989F6" w:rsidR="00A50920" w:rsidRDefault="00A50920" w:rsidP="000C4D5C">
      <w:pPr>
        <w:rPr>
          <w:bCs/>
        </w:rPr>
      </w:pPr>
    </w:p>
    <w:p w14:paraId="1F2E6954" w14:textId="7AF801A5" w:rsidR="00A50920" w:rsidRDefault="00A50920" w:rsidP="000C4D5C">
      <w:pPr>
        <w:rPr>
          <w:bCs/>
        </w:rPr>
      </w:pPr>
    </w:p>
    <w:p w14:paraId="17641280" w14:textId="24073195" w:rsidR="00A50920" w:rsidRDefault="00A50920" w:rsidP="000C4D5C">
      <w:pPr>
        <w:rPr>
          <w:bCs/>
        </w:rPr>
      </w:pPr>
    </w:p>
    <w:p w14:paraId="4305D3EE" w14:textId="02A54259" w:rsidR="00A50920" w:rsidRDefault="00A50920" w:rsidP="000C4D5C">
      <w:pPr>
        <w:rPr>
          <w:bCs/>
        </w:rPr>
      </w:pPr>
    </w:p>
    <w:p w14:paraId="18EEF9FF" w14:textId="07507127" w:rsidR="00A50920" w:rsidRDefault="00A50920" w:rsidP="000C4D5C">
      <w:pPr>
        <w:rPr>
          <w:bCs/>
        </w:rPr>
      </w:pPr>
    </w:p>
    <w:p w14:paraId="34118982" w14:textId="77777777" w:rsidR="00A50920" w:rsidRDefault="00A50920" w:rsidP="000C4D5C">
      <w:pPr>
        <w:rPr>
          <w:bCs/>
        </w:rPr>
      </w:pPr>
    </w:p>
    <w:p w14:paraId="3BA80195" w14:textId="508FDB1F" w:rsidR="000C4D5C" w:rsidRDefault="000C4D5C" w:rsidP="000C4D5C">
      <w:pPr>
        <w:rPr>
          <w:bCs/>
        </w:rPr>
      </w:pPr>
      <w:r w:rsidRPr="008D1A3F">
        <w:rPr>
          <w:bCs/>
        </w:rPr>
        <w:t xml:space="preserve">Applicants must submit the budget in the Excel spreadsheet form that can be downloaded from </w:t>
      </w:r>
      <w:hyperlink r:id="rId15" w:history="1">
        <w:r w:rsidRPr="008D1A3F">
          <w:rPr>
            <w:rStyle w:val="Hyperlink"/>
            <w:bCs/>
          </w:rPr>
          <w:t>www.mass.gov/service-details/traffic-safety-grants</w:t>
        </w:r>
      </w:hyperlink>
      <w:r w:rsidRPr="008D1A3F">
        <w:rPr>
          <w:bCs/>
        </w:rPr>
        <w:t xml:space="preserve"> </w:t>
      </w:r>
    </w:p>
    <w:p w14:paraId="39D61AFD" w14:textId="77777777" w:rsidR="000448AE" w:rsidRPr="008D1A3F" w:rsidRDefault="000448AE" w:rsidP="000C4D5C">
      <w:pPr>
        <w:rPr>
          <w:bCs/>
        </w:rPr>
      </w:pPr>
    </w:p>
    <w:p w14:paraId="37517803" w14:textId="77777777" w:rsidR="000C4D5C" w:rsidRPr="008D1A3F" w:rsidRDefault="000C4D5C" w:rsidP="000C4D5C">
      <w:pPr>
        <w:pStyle w:val="ListParagraph"/>
        <w:numPr>
          <w:ilvl w:val="0"/>
          <w:numId w:val="40"/>
        </w:numPr>
        <w:ind w:left="540"/>
        <w:rPr>
          <w:rFonts w:ascii="Times New Roman" w:hAnsi="Times New Roman"/>
          <w:bCs/>
          <w:sz w:val="24"/>
        </w:rPr>
      </w:pPr>
      <w:r w:rsidRPr="008D1A3F">
        <w:rPr>
          <w:rFonts w:ascii="Times New Roman" w:hAnsi="Times New Roman"/>
          <w:bCs/>
          <w:sz w:val="24"/>
        </w:rPr>
        <w:t xml:space="preserve">Compensation for full-time officers will be reimbursed at their regular or overtime rates of pay as established by the department and/or municipality. Holiday rates of pay may be used, if applicable.  </w:t>
      </w:r>
    </w:p>
    <w:p w14:paraId="4B75DE7C" w14:textId="77777777" w:rsidR="000C4D5C" w:rsidRPr="008D1A3F" w:rsidRDefault="000C4D5C" w:rsidP="000C4D5C">
      <w:pPr>
        <w:numPr>
          <w:ilvl w:val="0"/>
          <w:numId w:val="17"/>
        </w:numPr>
        <w:rPr>
          <w:bCs/>
        </w:rPr>
      </w:pPr>
      <w:r w:rsidRPr="008D1A3F">
        <w:rPr>
          <w:bCs/>
        </w:rPr>
        <w:t>Part-time or auxiliary officers who have attended an approved MPTC Reserve/Intermittent Academy will be reimbursed at their normal rate of pay.</w:t>
      </w:r>
    </w:p>
    <w:p w14:paraId="03E51B42" w14:textId="77777777" w:rsidR="000C4D5C" w:rsidRPr="008D1A3F" w:rsidRDefault="000C4D5C" w:rsidP="000C4D5C">
      <w:pPr>
        <w:numPr>
          <w:ilvl w:val="0"/>
          <w:numId w:val="5"/>
        </w:numPr>
        <w:rPr>
          <w:bCs/>
        </w:rPr>
      </w:pPr>
      <w:r w:rsidRPr="008D1A3F">
        <w:rPr>
          <w:bCs/>
        </w:rPr>
        <w:t>Subrecipients will be reimbursed only for hours worked performing authorized grant-funded activities.</w:t>
      </w:r>
    </w:p>
    <w:p w14:paraId="07536F26" w14:textId="77777777" w:rsidR="000C4D5C" w:rsidRPr="008D1A3F" w:rsidRDefault="000C4D5C" w:rsidP="000C4D5C">
      <w:pPr>
        <w:numPr>
          <w:ilvl w:val="0"/>
          <w:numId w:val="5"/>
        </w:numPr>
        <w:rPr>
          <w:bCs/>
        </w:rPr>
      </w:pPr>
      <w:r w:rsidRPr="008D1A3F">
        <w:rPr>
          <w:bCs/>
        </w:rPr>
        <w:t>This is a cost-reimbursement grant program.</w:t>
      </w:r>
    </w:p>
    <w:p w14:paraId="26DBB2D0" w14:textId="77777777" w:rsidR="000C4D5C" w:rsidRPr="008D1A3F" w:rsidRDefault="000C4D5C" w:rsidP="000C4D5C">
      <w:pPr>
        <w:numPr>
          <w:ilvl w:val="0"/>
          <w:numId w:val="5"/>
        </w:numPr>
        <w:rPr>
          <w:bCs/>
        </w:rPr>
      </w:pPr>
      <w:r w:rsidRPr="008D1A3F">
        <w:t>Command staff may participate in and be compensated for enforcement details if acting in a traffic enforcement role rather than acting exclusively in a supervisory role overseeing officers engaged in traffic enforcement. Supervisor time associated with OGR authorized sobriety checkpoints will be allowed.</w:t>
      </w:r>
    </w:p>
    <w:p w14:paraId="3795BCEC" w14:textId="54037548" w:rsidR="007B3248" w:rsidRDefault="007B3248" w:rsidP="000C4D5C">
      <w:pPr>
        <w:pStyle w:val="Heading1"/>
        <w:numPr>
          <w:ilvl w:val="0"/>
          <w:numId w:val="0"/>
        </w:numPr>
      </w:pPr>
      <w:bookmarkStart w:id="2" w:name="_Toc31207030"/>
    </w:p>
    <w:p w14:paraId="23B728D2" w14:textId="77777777" w:rsidR="000448AE" w:rsidRPr="000448AE" w:rsidRDefault="000448AE" w:rsidP="000448AE"/>
    <w:p w14:paraId="0CA0E8FC" w14:textId="3C351DDB" w:rsidR="000C4D5C" w:rsidRPr="008D1A3F" w:rsidRDefault="000C4D5C" w:rsidP="000C4D5C">
      <w:pPr>
        <w:pStyle w:val="Heading1"/>
        <w:numPr>
          <w:ilvl w:val="0"/>
          <w:numId w:val="0"/>
        </w:numPr>
      </w:pPr>
      <w:r w:rsidRPr="008D1A3F">
        <w:t>Unallowable Costs</w:t>
      </w:r>
      <w:bookmarkEnd w:id="2"/>
    </w:p>
    <w:p w14:paraId="1416C9E4" w14:textId="77777777" w:rsidR="000C4D5C" w:rsidRPr="008D1A3F" w:rsidRDefault="000C4D5C" w:rsidP="000C4D5C">
      <w:pPr>
        <w:spacing w:line="276" w:lineRule="auto"/>
      </w:pPr>
    </w:p>
    <w:p w14:paraId="494BE819" w14:textId="77777777" w:rsidR="000C4D5C" w:rsidRPr="008D1A3F" w:rsidRDefault="000C4D5C" w:rsidP="000C4D5C">
      <w:pPr>
        <w:numPr>
          <w:ilvl w:val="0"/>
          <w:numId w:val="27"/>
        </w:numPr>
        <w:spacing w:line="276" w:lineRule="auto"/>
      </w:pPr>
      <w:r w:rsidRPr="008D1A3F">
        <w:t xml:space="preserve">Any costs not specifically allowed in the </w:t>
      </w:r>
      <w:hyperlink r:id="rId16" w:history="1">
        <w:r w:rsidRPr="008D1A3F">
          <w:rPr>
            <w:rStyle w:val="Hyperlink"/>
          </w:rPr>
          <w:t>Final Rule 23 CFR Part 1300</w:t>
        </w:r>
      </w:hyperlink>
      <w:r w:rsidRPr="008D1A3F">
        <w:t xml:space="preserve"> described previously</w:t>
      </w:r>
    </w:p>
    <w:p w14:paraId="0013F0BC" w14:textId="45E2BBB7" w:rsidR="000C4D5C" w:rsidRPr="008D1A3F" w:rsidRDefault="000C4D5C" w:rsidP="000C4D5C">
      <w:pPr>
        <w:numPr>
          <w:ilvl w:val="0"/>
          <w:numId w:val="27"/>
        </w:numPr>
        <w:spacing w:after="200" w:line="276" w:lineRule="auto"/>
      </w:pPr>
      <w:r w:rsidRPr="008D1A3F">
        <w:t xml:space="preserve">Supplanting of funds is prohibited. Supplanting includes: (a.) replacing routine and/or existing state or local allocations with federal grant funds and/or (b.) using federal grant funds for costs of activities that constitute general expenses required to carry out the overall responsibilities of the state, local, or federally-recognized Indian tribal governments. Funds for programs and services provided through this grant are intended to supplement, not supplant, state, or local funding sources. </w:t>
      </w:r>
    </w:p>
    <w:p w14:paraId="2648242A" w14:textId="77777777" w:rsidR="00836DAD" w:rsidRPr="008D1A3F" w:rsidRDefault="00836DAD" w:rsidP="00836DAD">
      <w:pPr>
        <w:spacing w:after="200" w:line="276" w:lineRule="auto"/>
        <w:ind w:left="720"/>
      </w:pPr>
    </w:p>
    <w:p w14:paraId="1D6AF0FC" w14:textId="6FBE9E31" w:rsidR="000C4D5C" w:rsidRPr="008D1A3F" w:rsidRDefault="000C4D5C" w:rsidP="000C4D5C">
      <w:pPr>
        <w:pStyle w:val="ListParagraph"/>
        <w:numPr>
          <w:ilvl w:val="0"/>
          <w:numId w:val="42"/>
        </w:numPr>
        <w:rPr>
          <w:rFonts w:ascii="Times New Roman" w:hAnsi="Times New Roman"/>
          <w:b/>
          <w:sz w:val="24"/>
        </w:rPr>
      </w:pPr>
      <w:r w:rsidRPr="008D1A3F">
        <w:rPr>
          <w:rFonts w:ascii="Times New Roman" w:hAnsi="Times New Roman"/>
          <w:b/>
          <w:sz w:val="24"/>
        </w:rPr>
        <w:t>Application Review Process</w:t>
      </w:r>
    </w:p>
    <w:p w14:paraId="68ED27E9" w14:textId="77777777" w:rsidR="00681366" w:rsidRPr="008D1A3F" w:rsidRDefault="00681366" w:rsidP="00681366">
      <w:pPr>
        <w:rPr>
          <w:b/>
        </w:rPr>
      </w:pPr>
    </w:p>
    <w:p w14:paraId="4D88B80E" w14:textId="21FDF5DE" w:rsidR="00681366" w:rsidRPr="008D1A3F" w:rsidRDefault="00681366" w:rsidP="00681366">
      <w:r w:rsidRPr="008D1A3F">
        <w:t xml:space="preserve">This is a competitive grant and will be subject to a peer review process. Applications will be </w:t>
      </w:r>
      <w:r w:rsidR="00BD02C4" w:rsidRPr="008D1A3F">
        <w:t>reviewed</w:t>
      </w:r>
      <w:r w:rsidRPr="008D1A3F">
        <w:t xml:space="preserve"> and scored based on the following criteria:</w:t>
      </w:r>
    </w:p>
    <w:p w14:paraId="27AE1C19" w14:textId="77777777" w:rsidR="000C4D5C" w:rsidRPr="008D1A3F" w:rsidRDefault="000C4D5C" w:rsidP="000C4D5C">
      <w:pPr>
        <w:pStyle w:val="ListParagraph"/>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1283"/>
      </w:tblGrid>
      <w:tr w:rsidR="000C4D5C" w:rsidRPr="008D1A3F" w14:paraId="70B896C4" w14:textId="77777777" w:rsidTr="00072C0C">
        <w:tc>
          <w:tcPr>
            <w:tcW w:w="9494" w:type="dxa"/>
            <w:shd w:val="clear" w:color="auto" w:fill="auto"/>
          </w:tcPr>
          <w:p w14:paraId="7EC7B2D6" w14:textId="77777777" w:rsidR="000C4D5C" w:rsidRPr="008D1A3F" w:rsidRDefault="000C4D5C" w:rsidP="001B14C2">
            <w:pPr>
              <w:jc w:val="center"/>
              <w:rPr>
                <w:b/>
              </w:rPr>
            </w:pPr>
            <w:r w:rsidRPr="008D1A3F">
              <w:rPr>
                <w:b/>
              </w:rPr>
              <w:t>Element</w:t>
            </w:r>
          </w:p>
        </w:tc>
        <w:tc>
          <w:tcPr>
            <w:tcW w:w="1283" w:type="dxa"/>
            <w:shd w:val="clear" w:color="auto" w:fill="auto"/>
          </w:tcPr>
          <w:p w14:paraId="4E24B174" w14:textId="77777777" w:rsidR="000C4D5C" w:rsidRPr="008D1A3F" w:rsidRDefault="000C4D5C" w:rsidP="001B14C2">
            <w:pPr>
              <w:jc w:val="center"/>
              <w:rPr>
                <w:b/>
              </w:rPr>
            </w:pPr>
            <w:r w:rsidRPr="008D1A3F">
              <w:rPr>
                <w:b/>
              </w:rPr>
              <w:t>Maximum Points</w:t>
            </w:r>
          </w:p>
        </w:tc>
      </w:tr>
      <w:tr w:rsidR="000C4D5C" w:rsidRPr="008D1A3F" w14:paraId="2B23A03D" w14:textId="77777777" w:rsidTr="00072C0C">
        <w:tc>
          <w:tcPr>
            <w:tcW w:w="9494" w:type="dxa"/>
            <w:shd w:val="clear" w:color="auto" w:fill="auto"/>
          </w:tcPr>
          <w:p w14:paraId="747CBF0E" w14:textId="00A52860" w:rsidR="000C4D5C" w:rsidRPr="008D1A3F" w:rsidRDefault="000C4D5C" w:rsidP="001B14C2">
            <w:r w:rsidRPr="008D1A3F">
              <w:t>Needs Assessment including a problem statement describing a well-defined need, based upon problem identification supported by data and/or other evidence</w:t>
            </w:r>
            <w:r w:rsidR="009D0EC4" w:rsidRPr="008D1A3F">
              <w:t xml:space="preserve">.  Current recipients should provide data that shows previous effectiveness to justify support for continued funds.  </w:t>
            </w:r>
            <w:r w:rsidRPr="008D1A3F">
              <w:t xml:space="preserve"> </w:t>
            </w:r>
          </w:p>
        </w:tc>
        <w:tc>
          <w:tcPr>
            <w:tcW w:w="1283" w:type="dxa"/>
            <w:shd w:val="clear" w:color="auto" w:fill="auto"/>
          </w:tcPr>
          <w:p w14:paraId="70BA84FA" w14:textId="77777777" w:rsidR="000C4D5C" w:rsidRPr="008D1A3F" w:rsidRDefault="000C4D5C" w:rsidP="001B14C2">
            <w:pPr>
              <w:jc w:val="right"/>
            </w:pPr>
            <w:r w:rsidRPr="008D1A3F">
              <w:t>20</w:t>
            </w:r>
          </w:p>
          <w:p w14:paraId="3E8C65A1" w14:textId="77777777" w:rsidR="000C4D5C" w:rsidRPr="008D1A3F" w:rsidRDefault="000C4D5C" w:rsidP="001B14C2">
            <w:pPr>
              <w:jc w:val="right"/>
            </w:pPr>
          </w:p>
        </w:tc>
      </w:tr>
      <w:tr w:rsidR="000C4D5C" w:rsidRPr="008D1A3F" w14:paraId="49D6D63B" w14:textId="77777777" w:rsidTr="00072C0C">
        <w:tc>
          <w:tcPr>
            <w:tcW w:w="9494" w:type="dxa"/>
            <w:shd w:val="clear" w:color="auto" w:fill="auto"/>
          </w:tcPr>
          <w:p w14:paraId="10C71A55" w14:textId="77777777" w:rsidR="000C4D5C" w:rsidRPr="008D1A3F" w:rsidRDefault="000C4D5C" w:rsidP="001B14C2">
            <w:pPr>
              <w:tabs>
                <w:tab w:val="left" w:pos="6300"/>
              </w:tabs>
            </w:pPr>
            <w:r w:rsidRPr="008D1A3F">
              <w:t>Identification of realistic and measurable goals and objectives</w:t>
            </w:r>
          </w:p>
        </w:tc>
        <w:tc>
          <w:tcPr>
            <w:tcW w:w="1283" w:type="dxa"/>
            <w:shd w:val="clear" w:color="auto" w:fill="auto"/>
          </w:tcPr>
          <w:p w14:paraId="4149DE02" w14:textId="03339E5D" w:rsidR="000C4D5C" w:rsidRPr="008D1A3F" w:rsidRDefault="00520ADC" w:rsidP="001B14C2">
            <w:pPr>
              <w:tabs>
                <w:tab w:val="left" w:pos="6300"/>
              </w:tabs>
              <w:jc w:val="right"/>
            </w:pPr>
            <w:r w:rsidRPr="008D1A3F">
              <w:t>15</w:t>
            </w:r>
          </w:p>
        </w:tc>
      </w:tr>
      <w:tr w:rsidR="000C4D5C" w:rsidRPr="008D1A3F" w14:paraId="2827EC97" w14:textId="77777777" w:rsidTr="00072C0C">
        <w:tc>
          <w:tcPr>
            <w:tcW w:w="9494" w:type="dxa"/>
            <w:shd w:val="clear" w:color="auto" w:fill="auto"/>
          </w:tcPr>
          <w:p w14:paraId="51E577AA" w14:textId="318D47AC" w:rsidR="000C4D5C" w:rsidRPr="008D1A3F" w:rsidRDefault="000C4D5C" w:rsidP="001B14C2">
            <w:pPr>
              <w:tabs>
                <w:tab w:val="left" w:pos="6300"/>
              </w:tabs>
            </w:pPr>
            <w:r w:rsidRPr="008D1A3F">
              <w:t>Evaluation Criteria including a viable plan to measure the effectiveness of the program, such as pre and post surveys of knowledge, attitudes, or observed behaviors.</w:t>
            </w:r>
            <w:r w:rsidR="009D0EC4" w:rsidRPr="008D1A3F">
              <w:t xml:space="preserve">  </w:t>
            </w:r>
          </w:p>
        </w:tc>
        <w:tc>
          <w:tcPr>
            <w:tcW w:w="1283" w:type="dxa"/>
            <w:shd w:val="clear" w:color="auto" w:fill="auto"/>
          </w:tcPr>
          <w:p w14:paraId="6B2C939D" w14:textId="4EB34054" w:rsidR="000C4D5C" w:rsidRPr="008D1A3F" w:rsidRDefault="00520ADC" w:rsidP="001B14C2">
            <w:pPr>
              <w:tabs>
                <w:tab w:val="left" w:pos="6300"/>
              </w:tabs>
              <w:jc w:val="right"/>
            </w:pPr>
            <w:r w:rsidRPr="008D1A3F">
              <w:t>15</w:t>
            </w:r>
          </w:p>
        </w:tc>
      </w:tr>
      <w:tr w:rsidR="000C4D5C" w:rsidRPr="008D1A3F" w14:paraId="2F131039" w14:textId="77777777" w:rsidTr="00072C0C">
        <w:tc>
          <w:tcPr>
            <w:tcW w:w="9494" w:type="dxa"/>
            <w:shd w:val="clear" w:color="auto" w:fill="auto"/>
          </w:tcPr>
          <w:p w14:paraId="1EAC2EC1" w14:textId="7BED5E9C" w:rsidR="000C4D5C" w:rsidRPr="008D1A3F" w:rsidRDefault="00520ADC" w:rsidP="001B14C2">
            <w:r w:rsidRPr="008D1A3F">
              <w:t>Well defined project narrative including focus</w:t>
            </w:r>
            <w:r w:rsidR="000C4D5C" w:rsidRPr="008D1A3F">
              <w:t xml:space="preserve"> on high-risk groups or behaviors</w:t>
            </w:r>
            <w:r w:rsidRPr="008D1A3F">
              <w:t>, replication or enhancement of proven programs (countermeasures)</w:t>
            </w:r>
          </w:p>
        </w:tc>
        <w:tc>
          <w:tcPr>
            <w:tcW w:w="1283" w:type="dxa"/>
            <w:shd w:val="clear" w:color="auto" w:fill="auto"/>
          </w:tcPr>
          <w:p w14:paraId="4E8A6A0B" w14:textId="5DA978AB" w:rsidR="000C4D5C" w:rsidRPr="008D1A3F" w:rsidRDefault="00520ADC" w:rsidP="001B14C2">
            <w:pPr>
              <w:jc w:val="right"/>
            </w:pPr>
            <w:r w:rsidRPr="008D1A3F">
              <w:t>25</w:t>
            </w:r>
          </w:p>
        </w:tc>
      </w:tr>
      <w:tr w:rsidR="000C4D5C" w:rsidRPr="008D1A3F" w14:paraId="7308BC72" w14:textId="77777777" w:rsidTr="00072C0C">
        <w:tc>
          <w:tcPr>
            <w:tcW w:w="9494" w:type="dxa"/>
            <w:shd w:val="clear" w:color="auto" w:fill="auto"/>
          </w:tcPr>
          <w:p w14:paraId="10D20F33" w14:textId="38922AF7" w:rsidR="000C4D5C" w:rsidRPr="008D1A3F" w:rsidRDefault="000C4D5C" w:rsidP="001B14C2">
            <w:r w:rsidRPr="008D1A3F">
              <w:t xml:space="preserve">Budget narrative </w:t>
            </w:r>
            <w:r w:rsidR="00520ADC" w:rsidRPr="008D1A3F">
              <w:t xml:space="preserve">is reasonable and cost effective, </w:t>
            </w:r>
            <w:r w:rsidRPr="008D1A3F">
              <w:t>describes and justifies the need for each line item cost</w:t>
            </w:r>
            <w:r w:rsidR="00520ADC" w:rsidRPr="008D1A3F">
              <w:t>, Excel attachment is complete and costs appear to be overall best value for the Commonwealth</w:t>
            </w:r>
            <w:r w:rsidRPr="008D1A3F">
              <w:t>.</w:t>
            </w:r>
          </w:p>
        </w:tc>
        <w:tc>
          <w:tcPr>
            <w:tcW w:w="1283" w:type="dxa"/>
            <w:shd w:val="clear" w:color="auto" w:fill="auto"/>
          </w:tcPr>
          <w:p w14:paraId="659DD532" w14:textId="0F943CDE" w:rsidR="000C4D5C" w:rsidRPr="008D1A3F" w:rsidRDefault="00520ADC" w:rsidP="001B14C2">
            <w:pPr>
              <w:tabs>
                <w:tab w:val="left" w:pos="6300"/>
              </w:tabs>
              <w:jc w:val="right"/>
            </w:pPr>
            <w:r w:rsidRPr="008D1A3F">
              <w:t>25</w:t>
            </w:r>
          </w:p>
        </w:tc>
      </w:tr>
      <w:tr w:rsidR="000C4D5C" w:rsidRPr="008D1A3F" w14:paraId="61CA4461" w14:textId="77777777" w:rsidTr="00072C0C">
        <w:tc>
          <w:tcPr>
            <w:tcW w:w="9494" w:type="dxa"/>
            <w:shd w:val="clear" w:color="auto" w:fill="auto"/>
          </w:tcPr>
          <w:p w14:paraId="766972A3" w14:textId="77777777" w:rsidR="000C4D5C" w:rsidRPr="008D1A3F" w:rsidRDefault="000C4D5C" w:rsidP="001B14C2">
            <w:pPr>
              <w:rPr>
                <w:b/>
              </w:rPr>
            </w:pPr>
            <w:r w:rsidRPr="008D1A3F">
              <w:rPr>
                <w:b/>
              </w:rPr>
              <w:t>Maximum Score</w:t>
            </w:r>
          </w:p>
        </w:tc>
        <w:tc>
          <w:tcPr>
            <w:tcW w:w="1283" w:type="dxa"/>
            <w:shd w:val="clear" w:color="auto" w:fill="auto"/>
          </w:tcPr>
          <w:p w14:paraId="465FBC5E" w14:textId="77777777" w:rsidR="000C4D5C" w:rsidRPr="008D1A3F" w:rsidRDefault="000C4D5C" w:rsidP="001B14C2">
            <w:pPr>
              <w:jc w:val="right"/>
            </w:pPr>
            <w:r w:rsidRPr="008D1A3F">
              <w:fldChar w:fldCharType="begin"/>
            </w:r>
            <w:r w:rsidRPr="008D1A3F">
              <w:instrText xml:space="preserve"> =SUM(ABOVE) </w:instrText>
            </w:r>
            <w:r w:rsidRPr="008D1A3F">
              <w:fldChar w:fldCharType="separate"/>
            </w:r>
            <w:r w:rsidRPr="008D1A3F">
              <w:rPr>
                <w:noProof/>
              </w:rPr>
              <w:t>100</w:t>
            </w:r>
            <w:r w:rsidRPr="008D1A3F">
              <w:fldChar w:fldCharType="end"/>
            </w:r>
          </w:p>
        </w:tc>
      </w:tr>
    </w:tbl>
    <w:p w14:paraId="2F007950" w14:textId="07F516FB" w:rsidR="004F316C" w:rsidRPr="008D1A3F" w:rsidRDefault="004F316C" w:rsidP="00E175E7"/>
    <w:p w14:paraId="403AC35C" w14:textId="77777777" w:rsidR="00304E2A" w:rsidRPr="008D1A3F" w:rsidRDefault="00304E2A" w:rsidP="000C4D5C">
      <w:pPr>
        <w:pStyle w:val="Heading1"/>
        <w:numPr>
          <w:ilvl w:val="0"/>
          <w:numId w:val="42"/>
        </w:numPr>
        <w:ind w:left="540" w:hanging="540"/>
      </w:pPr>
      <w:bookmarkStart w:id="3" w:name="_Toc15374638"/>
      <w:bookmarkStart w:id="4" w:name="_Toc31207026"/>
      <w:r w:rsidRPr="008D1A3F">
        <w:t>Award Information</w:t>
      </w:r>
      <w:bookmarkEnd w:id="3"/>
      <w:bookmarkEnd w:id="4"/>
    </w:p>
    <w:p w14:paraId="29657D56" w14:textId="77777777" w:rsidR="00304E2A" w:rsidRPr="008D1A3F" w:rsidRDefault="00304E2A" w:rsidP="00681366">
      <w:pPr>
        <w:pStyle w:val="Heading1"/>
        <w:numPr>
          <w:ilvl w:val="0"/>
          <w:numId w:val="0"/>
        </w:numPr>
        <w:ind w:left="540"/>
      </w:pPr>
    </w:p>
    <w:p w14:paraId="358608B6" w14:textId="4D89A638" w:rsidR="001C698A" w:rsidRPr="008D1A3F" w:rsidRDefault="001C698A" w:rsidP="001C698A">
      <w:pPr>
        <w:pStyle w:val="ListParagraph"/>
        <w:numPr>
          <w:ilvl w:val="0"/>
          <w:numId w:val="29"/>
        </w:numPr>
        <w:rPr>
          <w:rFonts w:ascii="Times New Roman" w:hAnsi="Times New Roman"/>
          <w:sz w:val="24"/>
        </w:rPr>
      </w:pPr>
      <w:r w:rsidRPr="008D1A3F">
        <w:rPr>
          <w:rFonts w:ascii="Times New Roman" w:hAnsi="Times New Roman"/>
          <w:sz w:val="24"/>
        </w:rPr>
        <w:t xml:space="preserve">Notification of awards </w:t>
      </w:r>
      <w:r w:rsidR="00D3516F" w:rsidRPr="008D1A3F">
        <w:rPr>
          <w:rFonts w:ascii="Times New Roman" w:hAnsi="Times New Roman"/>
          <w:sz w:val="24"/>
        </w:rPr>
        <w:t xml:space="preserve">is </w:t>
      </w:r>
      <w:r w:rsidRPr="008D1A3F">
        <w:rPr>
          <w:rFonts w:ascii="Times New Roman" w:hAnsi="Times New Roman"/>
          <w:sz w:val="24"/>
        </w:rPr>
        <w:t>expected to be made on a rolling basis beginning around September 1, 2020.</w:t>
      </w:r>
    </w:p>
    <w:p w14:paraId="7208F7FE" w14:textId="77777777" w:rsidR="00A15B91" w:rsidRPr="008D1A3F" w:rsidRDefault="00A15B91" w:rsidP="00774603">
      <w:pPr>
        <w:pStyle w:val="ListParagraph"/>
        <w:numPr>
          <w:ilvl w:val="0"/>
          <w:numId w:val="29"/>
        </w:numPr>
        <w:rPr>
          <w:rFonts w:ascii="Times New Roman" w:hAnsi="Times New Roman"/>
          <w:sz w:val="24"/>
        </w:rPr>
      </w:pPr>
      <w:r w:rsidRPr="008D1A3F">
        <w:rPr>
          <w:rFonts w:ascii="Times New Roman" w:hAnsi="Times New Roman"/>
          <w:sz w:val="24"/>
        </w:rPr>
        <w:t xml:space="preserve">Planned Activities listed in Section </w:t>
      </w:r>
      <w:r w:rsidR="00F145D7" w:rsidRPr="008D1A3F">
        <w:rPr>
          <w:rFonts w:ascii="Times New Roman" w:hAnsi="Times New Roman"/>
          <w:sz w:val="24"/>
        </w:rPr>
        <w:t>“</w:t>
      </w:r>
      <w:r w:rsidRPr="008D1A3F">
        <w:rPr>
          <w:rFonts w:ascii="Times New Roman" w:hAnsi="Times New Roman"/>
          <w:sz w:val="24"/>
        </w:rPr>
        <w:t>A</w:t>
      </w:r>
      <w:r w:rsidR="00F145D7" w:rsidRPr="008D1A3F">
        <w:rPr>
          <w:rFonts w:ascii="Times New Roman" w:hAnsi="Times New Roman"/>
          <w:sz w:val="24"/>
        </w:rPr>
        <w:t>”</w:t>
      </w:r>
      <w:r w:rsidRPr="008D1A3F">
        <w:rPr>
          <w:rFonts w:ascii="Times New Roman" w:hAnsi="Times New Roman"/>
          <w:sz w:val="24"/>
        </w:rPr>
        <w:t xml:space="preserve"> are not guaranteed </w:t>
      </w:r>
      <w:r w:rsidR="001A1945" w:rsidRPr="008D1A3F">
        <w:rPr>
          <w:rFonts w:ascii="Times New Roman" w:hAnsi="Times New Roman"/>
          <w:sz w:val="24"/>
        </w:rPr>
        <w:t xml:space="preserve">for </w:t>
      </w:r>
      <w:r w:rsidRPr="008D1A3F">
        <w:rPr>
          <w:rFonts w:ascii="Times New Roman" w:hAnsi="Times New Roman"/>
          <w:sz w:val="24"/>
        </w:rPr>
        <w:t>full or partial funding.</w:t>
      </w:r>
    </w:p>
    <w:p w14:paraId="5D1ECF39" w14:textId="77777777" w:rsidR="00A15B91" w:rsidRPr="008D1A3F" w:rsidRDefault="00A15B91" w:rsidP="00A15B91">
      <w:pPr>
        <w:numPr>
          <w:ilvl w:val="0"/>
          <w:numId w:val="29"/>
        </w:numPr>
      </w:pPr>
      <w:r w:rsidRPr="008D1A3F">
        <w:t>Selection for funding will be based on the strength of each proposal</w:t>
      </w:r>
      <w:r w:rsidR="00F145D7" w:rsidRPr="008D1A3F">
        <w:t xml:space="preserve"> and the overall value to the Commonwealth.</w:t>
      </w:r>
    </w:p>
    <w:p w14:paraId="0200929B" w14:textId="77777777" w:rsidR="00F145D7" w:rsidRPr="008D1A3F" w:rsidRDefault="00F145D7" w:rsidP="00F145D7">
      <w:pPr>
        <w:numPr>
          <w:ilvl w:val="0"/>
          <w:numId w:val="29"/>
        </w:numPr>
      </w:pPr>
      <w:r w:rsidRPr="008D1A3F">
        <w:t xml:space="preserve">Awards and funding levels are not predetermined or guaranteed. </w:t>
      </w:r>
    </w:p>
    <w:p w14:paraId="6B04F010" w14:textId="5446A5B8" w:rsidR="00F145D7" w:rsidRPr="008D1A3F" w:rsidRDefault="00E41965" w:rsidP="00F145D7">
      <w:pPr>
        <w:numPr>
          <w:ilvl w:val="0"/>
          <w:numId w:val="29"/>
        </w:numPr>
      </w:pPr>
      <w:r w:rsidRPr="008D1A3F">
        <w:t>Funding decisions are</w:t>
      </w:r>
      <w:r w:rsidR="00F145D7" w:rsidRPr="008D1A3F">
        <w:t xml:space="preserve"> at the discretion of </w:t>
      </w:r>
      <w:r w:rsidRPr="008D1A3F">
        <w:t xml:space="preserve">the Executive Director of </w:t>
      </w:r>
      <w:r w:rsidR="00F145D7" w:rsidRPr="008D1A3F">
        <w:t>OGR</w:t>
      </w:r>
      <w:r w:rsidRPr="008D1A3F">
        <w:t xml:space="preserve"> and </w:t>
      </w:r>
      <w:r w:rsidR="00BD02C4" w:rsidRPr="008D1A3F">
        <w:t>Secretary</w:t>
      </w:r>
      <w:r w:rsidRPr="008D1A3F">
        <w:t xml:space="preserve"> of Public Safety and Security</w:t>
      </w:r>
      <w:r w:rsidR="00F145D7" w:rsidRPr="008D1A3F">
        <w:t>.</w:t>
      </w:r>
    </w:p>
    <w:p w14:paraId="377A9904" w14:textId="77777777" w:rsidR="00774603" w:rsidRPr="008D1A3F" w:rsidRDefault="00304E2A" w:rsidP="00774603">
      <w:pPr>
        <w:pStyle w:val="ListParagraph"/>
        <w:numPr>
          <w:ilvl w:val="0"/>
          <w:numId w:val="29"/>
        </w:numPr>
        <w:rPr>
          <w:rFonts w:ascii="Times New Roman" w:hAnsi="Times New Roman"/>
          <w:sz w:val="24"/>
        </w:rPr>
      </w:pPr>
      <w:r w:rsidRPr="008D1A3F">
        <w:rPr>
          <w:rFonts w:ascii="Times New Roman" w:hAnsi="Times New Roman"/>
          <w:sz w:val="24"/>
        </w:rPr>
        <w:t xml:space="preserve">All awards </w:t>
      </w:r>
      <w:r w:rsidR="00090282" w:rsidRPr="008D1A3F">
        <w:rPr>
          <w:rFonts w:ascii="Times New Roman" w:hAnsi="Times New Roman"/>
          <w:sz w:val="24"/>
        </w:rPr>
        <w:t xml:space="preserve">will be </w:t>
      </w:r>
      <w:r w:rsidRPr="008D1A3F">
        <w:rPr>
          <w:rFonts w:ascii="Times New Roman" w:hAnsi="Times New Roman"/>
          <w:sz w:val="24"/>
        </w:rPr>
        <w:t xml:space="preserve">subject to the availability of appropriated federal funds and any modifications or additional requirements that may be imposed by law. </w:t>
      </w:r>
    </w:p>
    <w:p w14:paraId="754CFAF4" w14:textId="00B13FFC" w:rsidR="00B36494" w:rsidRPr="008D1A3F" w:rsidRDefault="00D3516F" w:rsidP="00774603">
      <w:pPr>
        <w:pStyle w:val="ListParagraph"/>
        <w:numPr>
          <w:ilvl w:val="0"/>
          <w:numId w:val="29"/>
        </w:numPr>
        <w:rPr>
          <w:rFonts w:ascii="Times New Roman" w:hAnsi="Times New Roman"/>
          <w:sz w:val="24"/>
        </w:rPr>
      </w:pPr>
      <w:r w:rsidRPr="008D1A3F">
        <w:rPr>
          <w:rFonts w:ascii="Times New Roman" w:hAnsi="Times New Roman"/>
          <w:sz w:val="24"/>
        </w:rPr>
        <w:t>OGR will evaluate awards for proposed Planned Activities that were not specifically identified in Section “A”</w:t>
      </w:r>
      <w:r w:rsidR="00B36494" w:rsidRPr="008D1A3F">
        <w:rPr>
          <w:rFonts w:ascii="Times New Roman" w:hAnsi="Times New Roman"/>
          <w:sz w:val="24"/>
        </w:rPr>
        <w:t xml:space="preserve"> for alignment with the traffic safety goals of OGR, the strength of the </w:t>
      </w:r>
      <w:r w:rsidR="0057703C" w:rsidRPr="008D1A3F">
        <w:rPr>
          <w:rFonts w:ascii="Times New Roman" w:hAnsi="Times New Roman"/>
          <w:sz w:val="24"/>
        </w:rPr>
        <w:t>application</w:t>
      </w:r>
      <w:r w:rsidR="00B36494" w:rsidRPr="008D1A3F">
        <w:rPr>
          <w:rFonts w:ascii="Times New Roman" w:hAnsi="Times New Roman"/>
          <w:sz w:val="24"/>
        </w:rPr>
        <w:t>, and the overall value to the Commonwealth. OGR</w:t>
      </w:r>
      <w:r w:rsidRPr="008D1A3F">
        <w:rPr>
          <w:rFonts w:ascii="Times New Roman" w:hAnsi="Times New Roman"/>
          <w:sz w:val="24"/>
        </w:rPr>
        <w:t>,</w:t>
      </w:r>
      <w:r w:rsidR="00B36494" w:rsidRPr="008D1A3F">
        <w:rPr>
          <w:rFonts w:ascii="Times New Roman" w:hAnsi="Times New Roman"/>
          <w:sz w:val="24"/>
        </w:rPr>
        <w:t xml:space="preserve"> at its option</w:t>
      </w:r>
      <w:r w:rsidRPr="008D1A3F">
        <w:rPr>
          <w:rFonts w:ascii="Times New Roman" w:hAnsi="Times New Roman"/>
          <w:sz w:val="24"/>
        </w:rPr>
        <w:t>,</w:t>
      </w:r>
      <w:r w:rsidR="00B36494" w:rsidRPr="008D1A3F">
        <w:rPr>
          <w:rFonts w:ascii="Times New Roman" w:hAnsi="Times New Roman"/>
          <w:sz w:val="24"/>
        </w:rPr>
        <w:t xml:space="preserve"> may solicit additional opinions from one or more outside reviewers about the merits of such proposals. </w:t>
      </w:r>
    </w:p>
    <w:p w14:paraId="25444DF1" w14:textId="77777777" w:rsidR="00D57552" w:rsidRPr="008D1A3F" w:rsidRDefault="00D57552" w:rsidP="00D57552"/>
    <w:p w14:paraId="5DEA38F9" w14:textId="5D5A319F" w:rsidR="00D57552" w:rsidRPr="008D1A3F" w:rsidRDefault="00D57552" w:rsidP="00D57552">
      <w:pPr>
        <w:rPr>
          <w:i/>
          <w:u w:val="single"/>
        </w:rPr>
      </w:pPr>
      <w:r w:rsidRPr="008D1A3F">
        <w:rPr>
          <w:i/>
          <w:u w:val="single"/>
        </w:rPr>
        <w:t>Funding Sources</w:t>
      </w:r>
    </w:p>
    <w:p w14:paraId="7D98813E" w14:textId="77777777" w:rsidR="00D57552" w:rsidRPr="008D1A3F" w:rsidRDefault="0000128D" w:rsidP="00D57552">
      <w:r w:rsidRPr="008D1A3F">
        <w:t xml:space="preserve">Funding for these </w:t>
      </w:r>
      <w:r w:rsidR="00F82F13" w:rsidRPr="008D1A3F">
        <w:t>activities</w:t>
      </w:r>
      <w:r w:rsidRPr="008D1A3F">
        <w:t xml:space="preserve"> </w:t>
      </w:r>
      <w:r w:rsidR="00D57552" w:rsidRPr="008D1A3F">
        <w:t>will come from one or more of the following federal grant programs as established in Title 23, Chapter 4, and 23 CFR Part 1300 sections as follows:</w:t>
      </w:r>
    </w:p>
    <w:p w14:paraId="5EA33117" w14:textId="77777777" w:rsidR="00D57552" w:rsidRPr="008D1A3F" w:rsidRDefault="00D57552" w:rsidP="00D57552"/>
    <w:p w14:paraId="359F2C14" w14:textId="77777777" w:rsidR="00D57552" w:rsidRPr="008D1A3F" w:rsidRDefault="00D57552" w:rsidP="00573C74">
      <w:pPr>
        <w:pStyle w:val="ListParagraph"/>
        <w:numPr>
          <w:ilvl w:val="0"/>
          <w:numId w:val="14"/>
        </w:numPr>
        <w:ind w:left="540"/>
        <w:rPr>
          <w:rFonts w:ascii="Times New Roman" w:hAnsi="Times New Roman"/>
          <w:i/>
          <w:sz w:val="24"/>
        </w:rPr>
      </w:pPr>
      <w:r w:rsidRPr="008D1A3F">
        <w:rPr>
          <w:rFonts w:ascii="Times New Roman" w:hAnsi="Times New Roman"/>
          <w:i/>
          <w:sz w:val="24"/>
        </w:rPr>
        <w:lastRenderedPageBreak/>
        <w:t>402</w:t>
      </w:r>
      <w:r w:rsidR="00823D88" w:rsidRPr="008D1A3F">
        <w:rPr>
          <w:rFonts w:ascii="Times New Roman" w:hAnsi="Times New Roman"/>
          <w:i/>
          <w:sz w:val="24"/>
        </w:rPr>
        <w:t>:</w:t>
      </w:r>
      <w:r w:rsidRPr="008D1A3F">
        <w:rPr>
          <w:rFonts w:ascii="Times New Roman" w:hAnsi="Times New Roman"/>
          <w:i/>
          <w:sz w:val="24"/>
        </w:rPr>
        <w:t xml:space="preserve"> Highway Safety Programs</w:t>
      </w:r>
      <w:r w:rsidR="001E06FA" w:rsidRPr="008D1A3F">
        <w:rPr>
          <w:rFonts w:ascii="Times New Roman" w:hAnsi="Times New Roman"/>
          <w:i/>
          <w:sz w:val="24"/>
        </w:rPr>
        <w:t xml:space="preserve"> </w:t>
      </w:r>
      <w:r w:rsidRPr="008D1A3F">
        <w:rPr>
          <w:rFonts w:ascii="Times New Roman" w:hAnsi="Times New Roman"/>
          <w:i/>
          <w:sz w:val="24"/>
        </w:rPr>
        <w:t>- Programs (1) to reduce injuries and deaths resulting from motor vehicles being driven in excess of posted speed limits, (2) to encourage the proper use of occupant protection devices (including the use of safety belts and child restraint systems) by occupants of motor vehicles, (3) to reduce deaths and injuries resulting from persons driving motor vehicles while impaired by alcohol or a controlled substance, (4) to prevent crashes and reduce deaths and injuries resulting from crashes involving motor vehicles and motorcycles, (5) to reduce injuries and deaths resulting from crashes involving school buses, and (6) to reduce crashes resulting from unsafe driving behavior (including aggressive or fatigued driving and distracted driving arising from the use of electronic devices in vehicles) and (7) to improve law enforcement services in motor vehicle crash prevention, traffic supervision, and post-crash procedures.</w:t>
      </w:r>
    </w:p>
    <w:p w14:paraId="366AC43F" w14:textId="77777777" w:rsidR="00D57552" w:rsidRPr="008D1A3F" w:rsidRDefault="00D57552" w:rsidP="00573C74">
      <w:pPr>
        <w:pStyle w:val="ListParagraph"/>
        <w:numPr>
          <w:ilvl w:val="0"/>
          <w:numId w:val="14"/>
        </w:numPr>
        <w:ind w:left="540"/>
        <w:rPr>
          <w:rFonts w:ascii="Times New Roman" w:hAnsi="Times New Roman"/>
          <w:i/>
          <w:sz w:val="24"/>
        </w:rPr>
      </w:pPr>
      <w:r w:rsidRPr="008D1A3F">
        <w:rPr>
          <w:rFonts w:ascii="Times New Roman" w:hAnsi="Times New Roman"/>
          <w:i/>
          <w:sz w:val="24"/>
        </w:rPr>
        <w:t>405b: Occupant Protection Grants</w:t>
      </w:r>
      <w:r w:rsidR="001E06FA" w:rsidRPr="008D1A3F">
        <w:rPr>
          <w:rFonts w:ascii="Times New Roman" w:hAnsi="Times New Roman"/>
          <w:i/>
          <w:sz w:val="24"/>
        </w:rPr>
        <w:t xml:space="preserve"> </w:t>
      </w:r>
      <w:r w:rsidRPr="008D1A3F">
        <w:rPr>
          <w:rFonts w:ascii="Times New Roman" w:hAnsi="Times New Roman"/>
          <w:i/>
          <w:sz w:val="24"/>
        </w:rPr>
        <w:t>- This section establishes criteria, in accordance with 23 U.S.C. 405(b), for awarding grants to States that adopt and implement effective occupant protection programs to reduce highway deaths and injuries resulting from individuals riding unrestrained or improperly restrained in motor vehicles.</w:t>
      </w:r>
    </w:p>
    <w:p w14:paraId="38F77B94" w14:textId="77777777" w:rsidR="00D57552" w:rsidRPr="008D1A3F" w:rsidRDefault="00D57552" w:rsidP="00573C74">
      <w:pPr>
        <w:pStyle w:val="ListParagraph"/>
        <w:numPr>
          <w:ilvl w:val="0"/>
          <w:numId w:val="14"/>
        </w:numPr>
        <w:ind w:left="540"/>
        <w:rPr>
          <w:rFonts w:ascii="Times New Roman" w:hAnsi="Times New Roman"/>
          <w:i/>
          <w:sz w:val="24"/>
        </w:rPr>
      </w:pPr>
      <w:r w:rsidRPr="008D1A3F">
        <w:rPr>
          <w:rFonts w:ascii="Times New Roman" w:hAnsi="Times New Roman"/>
          <w:i/>
          <w:sz w:val="24"/>
        </w:rPr>
        <w:t>405d: Impaired Driving Countermeasures Grants</w:t>
      </w:r>
      <w:r w:rsidR="001E06FA" w:rsidRPr="008D1A3F">
        <w:rPr>
          <w:rFonts w:ascii="Times New Roman" w:hAnsi="Times New Roman"/>
          <w:i/>
          <w:sz w:val="24"/>
        </w:rPr>
        <w:t xml:space="preserve"> </w:t>
      </w:r>
      <w:r w:rsidRPr="008D1A3F">
        <w:rPr>
          <w:rFonts w:ascii="Times New Roman" w:hAnsi="Times New Roman"/>
          <w:i/>
          <w:sz w:val="24"/>
        </w:rPr>
        <w:t>- This section establishes criteria, in  accordance with 23 U.S.C. 405(d), for awarding grants to States that adopt and implement effective programs to reduce traffic safety problems resulting from individuals driving motor vehicles while under the influence of alcohol, drugs, or the combination of alcohol and drugs</w:t>
      </w:r>
    </w:p>
    <w:p w14:paraId="094CBCAD" w14:textId="77777777" w:rsidR="00F10036" w:rsidRPr="008D1A3F" w:rsidRDefault="00F10036" w:rsidP="00573C74">
      <w:pPr>
        <w:pStyle w:val="ListParagraph"/>
        <w:numPr>
          <w:ilvl w:val="0"/>
          <w:numId w:val="14"/>
        </w:numPr>
        <w:ind w:left="540"/>
        <w:rPr>
          <w:rFonts w:ascii="Times New Roman" w:hAnsi="Times New Roman"/>
          <w:sz w:val="24"/>
        </w:rPr>
      </w:pPr>
      <w:r w:rsidRPr="008D1A3F">
        <w:rPr>
          <w:rFonts w:ascii="Times New Roman" w:hAnsi="Times New Roman"/>
          <w:i/>
          <w:sz w:val="24"/>
        </w:rPr>
        <w:t>405f</w:t>
      </w:r>
      <w:r w:rsidR="00AC728C" w:rsidRPr="008D1A3F">
        <w:rPr>
          <w:rFonts w:ascii="Times New Roman" w:hAnsi="Times New Roman"/>
          <w:i/>
          <w:sz w:val="24"/>
        </w:rPr>
        <w:t xml:space="preserve">: </w:t>
      </w:r>
      <w:r w:rsidR="00B80D1D" w:rsidRPr="008D1A3F">
        <w:rPr>
          <w:rFonts w:ascii="Times New Roman" w:hAnsi="Times New Roman"/>
          <w:i/>
          <w:sz w:val="24"/>
        </w:rPr>
        <w:t>Motorcyclist safety grants</w:t>
      </w:r>
      <w:r w:rsidR="001E06FA" w:rsidRPr="008D1A3F">
        <w:rPr>
          <w:rFonts w:ascii="Times New Roman" w:hAnsi="Times New Roman"/>
          <w:i/>
          <w:sz w:val="24"/>
        </w:rPr>
        <w:t xml:space="preserve"> </w:t>
      </w:r>
      <w:r w:rsidR="00B80D1D" w:rsidRPr="008D1A3F">
        <w:rPr>
          <w:rFonts w:ascii="Times New Roman" w:hAnsi="Times New Roman"/>
          <w:i/>
          <w:sz w:val="24"/>
        </w:rPr>
        <w:t xml:space="preserve">- </w:t>
      </w:r>
      <w:r w:rsidR="00AC728C" w:rsidRPr="008D1A3F">
        <w:rPr>
          <w:rFonts w:ascii="Times New Roman" w:hAnsi="Times New Roman"/>
          <w:i/>
          <w:sz w:val="24"/>
        </w:rPr>
        <w:t>This section establishes criteria, in accordance with 23 U.S.C. 405(f), for awarding grants to States that adopt and implement effective programs to reduce the number of single-vehicle and multiple-vehicle crashes involving motorcyclists.</w:t>
      </w:r>
    </w:p>
    <w:p w14:paraId="5FEEFF81" w14:textId="77777777" w:rsidR="00F10036" w:rsidRPr="008D1A3F" w:rsidRDefault="00F10036" w:rsidP="00573C74">
      <w:pPr>
        <w:pStyle w:val="ListParagraph"/>
        <w:numPr>
          <w:ilvl w:val="0"/>
          <w:numId w:val="14"/>
        </w:numPr>
        <w:ind w:left="540"/>
        <w:rPr>
          <w:rFonts w:ascii="Times New Roman" w:hAnsi="Times New Roman"/>
          <w:sz w:val="24"/>
        </w:rPr>
      </w:pPr>
      <w:r w:rsidRPr="008D1A3F">
        <w:rPr>
          <w:rFonts w:ascii="Times New Roman" w:hAnsi="Times New Roman"/>
          <w:i/>
          <w:sz w:val="24"/>
        </w:rPr>
        <w:t>405h</w:t>
      </w:r>
      <w:r w:rsidR="00AC728C" w:rsidRPr="008D1A3F">
        <w:rPr>
          <w:rFonts w:ascii="Times New Roman" w:hAnsi="Times New Roman"/>
          <w:i/>
          <w:sz w:val="24"/>
        </w:rPr>
        <w:t xml:space="preserve">: </w:t>
      </w:r>
      <w:r w:rsidR="00481C5C" w:rsidRPr="008D1A3F">
        <w:rPr>
          <w:rFonts w:ascii="Times New Roman" w:hAnsi="Times New Roman"/>
          <w:i/>
          <w:sz w:val="24"/>
        </w:rPr>
        <w:t>Nonmotorized safety grants</w:t>
      </w:r>
      <w:r w:rsidR="001E06FA" w:rsidRPr="008D1A3F">
        <w:rPr>
          <w:rFonts w:ascii="Times New Roman" w:hAnsi="Times New Roman"/>
          <w:i/>
          <w:sz w:val="24"/>
        </w:rPr>
        <w:t xml:space="preserve"> </w:t>
      </w:r>
      <w:r w:rsidR="00481C5C" w:rsidRPr="008D1A3F">
        <w:rPr>
          <w:rFonts w:ascii="Times New Roman" w:hAnsi="Times New Roman"/>
          <w:i/>
          <w:sz w:val="24"/>
        </w:rPr>
        <w:t xml:space="preserve">- </w:t>
      </w:r>
      <w:r w:rsidR="00B80D1D" w:rsidRPr="008D1A3F">
        <w:rPr>
          <w:rFonts w:ascii="Times New Roman" w:hAnsi="Times New Roman"/>
          <w:i/>
          <w:sz w:val="24"/>
        </w:rPr>
        <w:t xml:space="preserve">This section establishes criteria, in accordance with 23 U.S.C. 405(h), for awarding grants to States for the purpose of decreasing pedestrian and bicyclist fatalities and injuries that result from crashes involving a motor </w:t>
      </w:r>
      <w:r w:rsidR="00F82F13" w:rsidRPr="008D1A3F">
        <w:rPr>
          <w:rFonts w:ascii="Times New Roman" w:hAnsi="Times New Roman"/>
          <w:i/>
          <w:sz w:val="24"/>
        </w:rPr>
        <w:t>vehicle. This</w:t>
      </w:r>
      <w:r w:rsidR="00AC728C" w:rsidRPr="008D1A3F">
        <w:rPr>
          <w:rFonts w:ascii="Times New Roman" w:hAnsi="Times New Roman"/>
          <w:i/>
          <w:sz w:val="24"/>
        </w:rPr>
        <w:t xml:space="preserve"> section establishes</w:t>
      </w:r>
      <w:r w:rsidR="00B80D1D" w:rsidRPr="008D1A3F">
        <w:rPr>
          <w:rFonts w:ascii="Times New Roman" w:hAnsi="Times New Roman"/>
          <w:i/>
          <w:sz w:val="24"/>
        </w:rPr>
        <w:t xml:space="preserve"> </w:t>
      </w:r>
      <w:r w:rsidR="00AC728C" w:rsidRPr="008D1A3F">
        <w:rPr>
          <w:rFonts w:ascii="Times New Roman" w:hAnsi="Times New Roman"/>
          <w:i/>
          <w:sz w:val="24"/>
        </w:rPr>
        <w:t xml:space="preserve">criteria, in accordance with 23 U.S.C. 405(h), for awarding grants to States for </w:t>
      </w:r>
      <w:r w:rsidR="00B80D1D" w:rsidRPr="008D1A3F">
        <w:rPr>
          <w:rFonts w:ascii="Times New Roman" w:hAnsi="Times New Roman"/>
          <w:i/>
          <w:sz w:val="24"/>
        </w:rPr>
        <w:t xml:space="preserve">the </w:t>
      </w:r>
      <w:r w:rsidR="00AC728C" w:rsidRPr="008D1A3F">
        <w:rPr>
          <w:rFonts w:ascii="Times New Roman" w:hAnsi="Times New Roman"/>
          <w:i/>
          <w:sz w:val="24"/>
        </w:rPr>
        <w:t xml:space="preserve">purpose of decreasing pedestrian and bicyclist fatalities and injuries that </w:t>
      </w:r>
      <w:r w:rsidR="00B80D1D" w:rsidRPr="008D1A3F">
        <w:rPr>
          <w:rFonts w:ascii="Times New Roman" w:hAnsi="Times New Roman"/>
          <w:i/>
          <w:sz w:val="24"/>
        </w:rPr>
        <w:t xml:space="preserve">result from </w:t>
      </w:r>
      <w:r w:rsidR="00AC728C" w:rsidRPr="008D1A3F">
        <w:rPr>
          <w:rFonts w:ascii="Times New Roman" w:hAnsi="Times New Roman"/>
          <w:i/>
          <w:sz w:val="24"/>
        </w:rPr>
        <w:t>crashes involving a motor vehicle.</w:t>
      </w:r>
    </w:p>
    <w:p w14:paraId="3032E1CB" w14:textId="36A57CB8" w:rsidR="00EC61AF" w:rsidRPr="008D1A3F" w:rsidRDefault="00EC61AF" w:rsidP="00304E2A">
      <w:pPr>
        <w:rPr>
          <w:highlight w:val="yellow"/>
        </w:rPr>
      </w:pPr>
    </w:p>
    <w:p w14:paraId="2D570419" w14:textId="19B52EFA" w:rsidR="00304E2A" w:rsidRPr="008D1A3F" w:rsidRDefault="00304E2A" w:rsidP="00304E2A">
      <w:pPr>
        <w:rPr>
          <w:i/>
          <w:u w:val="single"/>
        </w:rPr>
      </w:pPr>
      <w:r w:rsidRPr="008D1A3F">
        <w:rPr>
          <w:i/>
          <w:u w:val="single"/>
        </w:rPr>
        <w:t>Award Period</w:t>
      </w:r>
    </w:p>
    <w:p w14:paraId="7E44F0E5" w14:textId="13663D1D" w:rsidR="00304E2A" w:rsidRPr="008D1A3F" w:rsidRDefault="00304E2A" w:rsidP="00FE5C39">
      <w:pPr>
        <w:pStyle w:val="ListParagraph"/>
        <w:ind w:left="0"/>
        <w:rPr>
          <w:rFonts w:ascii="Times New Roman" w:hAnsi="Times New Roman"/>
          <w:sz w:val="24"/>
        </w:rPr>
      </w:pPr>
      <w:r w:rsidRPr="008D1A3F">
        <w:rPr>
          <w:rFonts w:ascii="Times New Roman" w:hAnsi="Times New Roman"/>
          <w:sz w:val="24"/>
        </w:rPr>
        <w:t xml:space="preserve">The grant award period </w:t>
      </w:r>
      <w:r w:rsidR="00CF620A" w:rsidRPr="008D1A3F">
        <w:rPr>
          <w:rFonts w:ascii="Times New Roman" w:hAnsi="Times New Roman"/>
          <w:sz w:val="24"/>
        </w:rPr>
        <w:t xml:space="preserve">will </w:t>
      </w:r>
      <w:r w:rsidR="00473EA4" w:rsidRPr="008D1A3F">
        <w:rPr>
          <w:rFonts w:ascii="Times New Roman" w:hAnsi="Times New Roman"/>
          <w:sz w:val="24"/>
        </w:rPr>
        <w:t>vary depending on the program scope of work and timeline</w:t>
      </w:r>
      <w:r w:rsidR="00B3752E" w:rsidRPr="008D1A3F">
        <w:rPr>
          <w:rFonts w:ascii="Times New Roman" w:hAnsi="Times New Roman"/>
          <w:sz w:val="24"/>
        </w:rPr>
        <w:t>, and</w:t>
      </w:r>
      <w:r w:rsidR="00473EA4" w:rsidRPr="008D1A3F">
        <w:rPr>
          <w:rFonts w:ascii="Times New Roman" w:hAnsi="Times New Roman"/>
          <w:sz w:val="24"/>
        </w:rPr>
        <w:t xml:space="preserve"> availability of funds. </w:t>
      </w:r>
      <w:r w:rsidR="005A06AA" w:rsidRPr="008D1A3F">
        <w:rPr>
          <w:rFonts w:ascii="Times New Roman" w:hAnsi="Times New Roman"/>
          <w:sz w:val="24"/>
        </w:rPr>
        <w:t xml:space="preserve">Upon NHTSA’s approval of the FFY 2021 Highway Safety Plan, </w:t>
      </w:r>
      <w:r w:rsidR="00473EA4" w:rsidRPr="008D1A3F">
        <w:rPr>
          <w:rFonts w:ascii="Times New Roman" w:hAnsi="Times New Roman"/>
          <w:sz w:val="24"/>
        </w:rPr>
        <w:t xml:space="preserve">OGR will begin processing award documents </w:t>
      </w:r>
      <w:r w:rsidR="005A06AA" w:rsidRPr="008D1A3F">
        <w:rPr>
          <w:rFonts w:ascii="Times New Roman" w:hAnsi="Times New Roman"/>
          <w:sz w:val="24"/>
        </w:rPr>
        <w:t xml:space="preserve">on a rolling basis that will be tailored to </w:t>
      </w:r>
      <w:r w:rsidR="00443A96" w:rsidRPr="008D1A3F">
        <w:rPr>
          <w:rFonts w:ascii="Times New Roman" w:hAnsi="Times New Roman"/>
          <w:sz w:val="24"/>
        </w:rPr>
        <w:t xml:space="preserve">individual </w:t>
      </w:r>
      <w:r w:rsidR="005A06AA" w:rsidRPr="008D1A3F">
        <w:rPr>
          <w:rFonts w:ascii="Times New Roman" w:hAnsi="Times New Roman"/>
          <w:sz w:val="24"/>
        </w:rPr>
        <w:t>program tim</w:t>
      </w:r>
      <w:r w:rsidR="00260D12" w:rsidRPr="008D1A3F">
        <w:rPr>
          <w:rFonts w:ascii="Times New Roman" w:hAnsi="Times New Roman"/>
          <w:sz w:val="24"/>
        </w:rPr>
        <w:t>e</w:t>
      </w:r>
      <w:r w:rsidR="005A06AA" w:rsidRPr="008D1A3F">
        <w:rPr>
          <w:rFonts w:ascii="Times New Roman" w:hAnsi="Times New Roman"/>
          <w:sz w:val="24"/>
        </w:rPr>
        <w:t xml:space="preserve">line requirements. Awards </w:t>
      </w:r>
      <w:r w:rsidR="00473EA4" w:rsidRPr="008D1A3F">
        <w:rPr>
          <w:rFonts w:ascii="Times New Roman" w:hAnsi="Times New Roman"/>
          <w:sz w:val="24"/>
        </w:rPr>
        <w:t>will be effective no earlier than October 1, 2020</w:t>
      </w:r>
      <w:r w:rsidR="00DE715D" w:rsidRPr="008D1A3F">
        <w:rPr>
          <w:rFonts w:ascii="Times New Roman" w:hAnsi="Times New Roman"/>
          <w:sz w:val="24"/>
        </w:rPr>
        <w:t>,</w:t>
      </w:r>
      <w:r w:rsidR="00473EA4" w:rsidRPr="008D1A3F">
        <w:rPr>
          <w:rFonts w:ascii="Times New Roman" w:hAnsi="Times New Roman"/>
          <w:sz w:val="24"/>
        </w:rPr>
        <w:t xml:space="preserve"> </w:t>
      </w:r>
      <w:r w:rsidRPr="008D1A3F">
        <w:rPr>
          <w:rFonts w:ascii="Times New Roman" w:hAnsi="Times New Roman"/>
          <w:sz w:val="24"/>
        </w:rPr>
        <w:t xml:space="preserve">and </w:t>
      </w:r>
      <w:r w:rsidR="00FE5C39" w:rsidRPr="008D1A3F">
        <w:rPr>
          <w:rFonts w:ascii="Times New Roman" w:hAnsi="Times New Roman"/>
          <w:sz w:val="24"/>
        </w:rPr>
        <w:t xml:space="preserve">most will </w:t>
      </w:r>
      <w:r w:rsidRPr="008D1A3F">
        <w:rPr>
          <w:rFonts w:ascii="Times New Roman" w:hAnsi="Times New Roman"/>
          <w:sz w:val="24"/>
        </w:rPr>
        <w:t xml:space="preserve">end </w:t>
      </w:r>
      <w:r w:rsidR="00505717" w:rsidRPr="008D1A3F">
        <w:rPr>
          <w:rFonts w:ascii="Times New Roman" w:hAnsi="Times New Roman"/>
          <w:sz w:val="24"/>
        </w:rPr>
        <w:t xml:space="preserve">on or before </w:t>
      </w:r>
      <w:r w:rsidR="00CF620A" w:rsidRPr="008D1A3F">
        <w:rPr>
          <w:rFonts w:ascii="Times New Roman" w:hAnsi="Times New Roman"/>
          <w:sz w:val="24"/>
        </w:rPr>
        <w:t xml:space="preserve">September </w:t>
      </w:r>
      <w:r w:rsidR="00FE5C39" w:rsidRPr="008D1A3F">
        <w:rPr>
          <w:rFonts w:ascii="Times New Roman" w:hAnsi="Times New Roman"/>
          <w:sz w:val="24"/>
        </w:rPr>
        <w:t>15</w:t>
      </w:r>
      <w:r w:rsidRPr="008D1A3F">
        <w:rPr>
          <w:rFonts w:ascii="Times New Roman" w:hAnsi="Times New Roman"/>
          <w:sz w:val="24"/>
        </w:rPr>
        <w:t>, 2020</w:t>
      </w:r>
      <w:r w:rsidR="00287DFD" w:rsidRPr="008D1A3F">
        <w:rPr>
          <w:rFonts w:ascii="Times New Roman" w:hAnsi="Times New Roman"/>
          <w:sz w:val="24"/>
        </w:rPr>
        <w:t>.</w:t>
      </w:r>
      <w:r w:rsidR="00FE5C39" w:rsidRPr="008D1A3F">
        <w:rPr>
          <w:rFonts w:ascii="Times New Roman" w:hAnsi="Times New Roman"/>
          <w:sz w:val="24"/>
        </w:rPr>
        <w:t xml:space="preserve"> </w:t>
      </w:r>
    </w:p>
    <w:p w14:paraId="35DA7BC6" w14:textId="77777777" w:rsidR="00FE5C39" w:rsidRPr="008D1A3F" w:rsidRDefault="00FE5C39" w:rsidP="00FE5C39">
      <w:pPr>
        <w:pStyle w:val="ListParagraph"/>
        <w:ind w:left="0"/>
        <w:rPr>
          <w:rFonts w:ascii="Times New Roman" w:hAnsi="Times New Roman"/>
          <w:sz w:val="24"/>
        </w:rPr>
      </w:pPr>
    </w:p>
    <w:p w14:paraId="24A5B060" w14:textId="7EB6EFBA" w:rsidR="00823D88" w:rsidRPr="008D1A3F" w:rsidRDefault="00304E2A" w:rsidP="00304E2A">
      <w:pPr>
        <w:rPr>
          <w:i/>
          <w:u w:val="single"/>
        </w:rPr>
      </w:pPr>
      <w:r w:rsidRPr="008D1A3F">
        <w:rPr>
          <w:i/>
          <w:u w:val="single"/>
        </w:rPr>
        <w:t>Award Amounts</w:t>
      </w:r>
    </w:p>
    <w:p w14:paraId="67C87C7A" w14:textId="00F624FC" w:rsidR="006A5F03" w:rsidRPr="008D1A3F" w:rsidRDefault="006B7C0E" w:rsidP="00674ABE">
      <w:pPr>
        <w:pStyle w:val="ListParagraph"/>
        <w:ind w:left="0"/>
        <w:rPr>
          <w:rFonts w:ascii="Times New Roman" w:hAnsi="Times New Roman"/>
        </w:rPr>
      </w:pPr>
      <w:r w:rsidRPr="008D1A3F">
        <w:rPr>
          <w:rFonts w:ascii="Times New Roman" w:hAnsi="Times New Roman"/>
          <w:sz w:val="24"/>
        </w:rPr>
        <w:t>Total funding available through</w:t>
      </w:r>
      <w:r w:rsidR="00304E2A" w:rsidRPr="008D1A3F">
        <w:rPr>
          <w:rFonts w:ascii="Times New Roman" w:hAnsi="Times New Roman"/>
          <w:sz w:val="24"/>
        </w:rPr>
        <w:t xml:space="preserve"> this AGF is </w:t>
      </w:r>
      <w:r w:rsidR="00E41965" w:rsidRPr="008D1A3F">
        <w:rPr>
          <w:rFonts w:ascii="Times New Roman" w:hAnsi="Times New Roman"/>
          <w:sz w:val="24"/>
        </w:rPr>
        <w:t xml:space="preserve">anticipated to be </w:t>
      </w:r>
      <w:r w:rsidR="00D8182D" w:rsidRPr="008D1A3F">
        <w:rPr>
          <w:rFonts w:ascii="Times New Roman" w:hAnsi="Times New Roman"/>
          <w:sz w:val="24"/>
        </w:rPr>
        <w:t xml:space="preserve">approximately </w:t>
      </w:r>
      <w:r w:rsidR="00304E2A" w:rsidRPr="008D1A3F">
        <w:rPr>
          <w:rFonts w:ascii="Times New Roman" w:hAnsi="Times New Roman"/>
          <w:sz w:val="24"/>
        </w:rPr>
        <w:t>$</w:t>
      </w:r>
      <w:r w:rsidR="005D3D94" w:rsidRPr="008D1A3F">
        <w:rPr>
          <w:rFonts w:ascii="Times New Roman" w:hAnsi="Times New Roman"/>
          <w:sz w:val="24"/>
        </w:rPr>
        <w:t>3</w:t>
      </w:r>
      <w:r w:rsidR="00AC1C18" w:rsidRPr="008D1A3F">
        <w:rPr>
          <w:rFonts w:ascii="Times New Roman" w:hAnsi="Times New Roman"/>
          <w:sz w:val="24"/>
        </w:rPr>
        <w:t>.</w:t>
      </w:r>
      <w:r w:rsidR="00D8182D" w:rsidRPr="008D1A3F">
        <w:rPr>
          <w:rFonts w:ascii="Times New Roman" w:hAnsi="Times New Roman"/>
          <w:sz w:val="24"/>
        </w:rPr>
        <w:t>5</w:t>
      </w:r>
      <w:r w:rsidR="00AC1C18" w:rsidRPr="008D1A3F">
        <w:rPr>
          <w:rFonts w:ascii="Times New Roman" w:hAnsi="Times New Roman"/>
          <w:sz w:val="24"/>
        </w:rPr>
        <w:t xml:space="preserve"> million</w:t>
      </w:r>
      <w:r w:rsidR="00304E2A" w:rsidRPr="008D1A3F">
        <w:rPr>
          <w:rFonts w:ascii="Times New Roman" w:hAnsi="Times New Roman"/>
          <w:sz w:val="24"/>
        </w:rPr>
        <w:t xml:space="preserve">. </w:t>
      </w:r>
      <w:r w:rsidR="005D3D94" w:rsidRPr="008D1A3F">
        <w:rPr>
          <w:rFonts w:ascii="Times New Roman" w:hAnsi="Times New Roman"/>
          <w:sz w:val="24"/>
        </w:rPr>
        <w:t xml:space="preserve">Every applicant must propose a budget that accurately aligns with the scope of work and timeline. Applicants should make no assumptions </w:t>
      </w:r>
      <w:r w:rsidR="003775BC" w:rsidRPr="008D1A3F">
        <w:rPr>
          <w:rFonts w:ascii="Times New Roman" w:hAnsi="Times New Roman"/>
          <w:sz w:val="24"/>
        </w:rPr>
        <w:t xml:space="preserve">of </w:t>
      </w:r>
      <w:r w:rsidR="005D3D94" w:rsidRPr="008D1A3F">
        <w:rPr>
          <w:rFonts w:ascii="Times New Roman" w:hAnsi="Times New Roman"/>
          <w:sz w:val="24"/>
        </w:rPr>
        <w:t>funding amounts based on past-year’s award levels.</w:t>
      </w:r>
      <w:r w:rsidR="003775BC" w:rsidRPr="008D1A3F">
        <w:rPr>
          <w:rFonts w:ascii="Times New Roman" w:hAnsi="Times New Roman"/>
          <w:sz w:val="24"/>
        </w:rPr>
        <w:t xml:space="preserve"> </w:t>
      </w:r>
      <w:r w:rsidR="00331E31" w:rsidRPr="008D1A3F">
        <w:rPr>
          <w:rFonts w:ascii="Times New Roman" w:hAnsi="Times New Roman"/>
          <w:sz w:val="24"/>
        </w:rPr>
        <w:t xml:space="preserve">OGR intends to carry out a fair and transparent process for reviewing all applications. The award selection process will be facilitated by the OGR. </w:t>
      </w:r>
      <w:r w:rsidR="006A5F03" w:rsidRPr="008D1A3F">
        <w:rPr>
          <w:rFonts w:ascii="Times New Roman" w:hAnsi="Times New Roman"/>
          <w:sz w:val="24"/>
        </w:rPr>
        <w:t>If an applicant is selected to receive an award amount that is different than what was requested, a revised scope of work, budget,</w:t>
      </w:r>
      <w:r w:rsidR="00A31AF5" w:rsidRPr="008D1A3F">
        <w:rPr>
          <w:rFonts w:ascii="Times New Roman" w:hAnsi="Times New Roman"/>
          <w:sz w:val="24"/>
        </w:rPr>
        <w:t xml:space="preserve"> and timeline will be required</w:t>
      </w:r>
      <w:r w:rsidR="006A5F03" w:rsidRPr="008D1A3F">
        <w:rPr>
          <w:rFonts w:ascii="Times New Roman" w:hAnsi="Times New Roman"/>
          <w:sz w:val="24"/>
        </w:rPr>
        <w:t>.</w:t>
      </w:r>
    </w:p>
    <w:p w14:paraId="115C5187" w14:textId="77777777" w:rsidR="00304E2A" w:rsidRPr="008D1A3F" w:rsidRDefault="00304E2A" w:rsidP="00823D88">
      <w:pPr>
        <w:ind w:left="720"/>
      </w:pPr>
    </w:p>
    <w:p w14:paraId="14B34C76" w14:textId="6CDA9462" w:rsidR="00BA154B" w:rsidRPr="008D1A3F" w:rsidRDefault="00304E2A" w:rsidP="00745693">
      <w:pPr>
        <w:rPr>
          <w:i/>
          <w:u w:val="single"/>
        </w:rPr>
      </w:pPr>
      <w:r w:rsidRPr="008D1A3F">
        <w:rPr>
          <w:i/>
          <w:u w:val="single"/>
        </w:rPr>
        <w:t>Funds Disbursement</w:t>
      </w:r>
    </w:p>
    <w:p w14:paraId="3D890A1B" w14:textId="77777777" w:rsidR="00BA154B" w:rsidRPr="008D1A3F" w:rsidRDefault="00304E2A" w:rsidP="00655E5E">
      <w:pPr>
        <w:pStyle w:val="ListParagraph"/>
        <w:ind w:left="0"/>
        <w:rPr>
          <w:rFonts w:ascii="Times New Roman" w:hAnsi="Times New Roman"/>
          <w:sz w:val="24"/>
        </w:rPr>
      </w:pPr>
      <w:r w:rsidRPr="008D1A3F">
        <w:rPr>
          <w:rFonts w:ascii="Times New Roman" w:hAnsi="Times New Roman"/>
          <w:sz w:val="24"/>
        </w:rPr>
        <w:t>This is a cost-reimbursement gr</w:t>
      </w:r>
      <w:r w:rsidR="00287DFD" w:rsidRPr="008D1A3F">
        <w:rPr>
          <w:rFonts w:ascii="Times New Roman" w:hAnsi="Times New Roman"/>
          <w:sz w:val="24"/>
        </w:rPr>
        <w:t xml:space="preserve">ant. </w:t>
      </w:r>
      <w:r w:rsidR="00655E5E" w:rsidRPr="008D1A3F">
        <w:rPr>
          <w:rFonts w:ascii="Times New Roman" w:hAnsi="Times New Roman"/>
          <w:sz w:val="24"/>
        </w:rPr>
        <w:t>State agencies will draw down funds through the Massachusetts Management Accounting and Reporting System (MMARS). Organizations that are not part of the MMARS system will submit r</w:t>
      </w:r>
      <w:r w:rsidR="00287DFD" w:rsidRPr="008D1A3F">
        <w:rPr>
          <w:rFonts w:ascii="Times New Roman" w:hAnsi="Times New Roman"/>
          <w:sz w:val="24"/>
        </w:rPr>
        <w:t xml:space="preserve">eimbursement requests </w:t>
      </w:r>
      <w:r w:rsidRPr="008D1A3F">
        <w:rPr>
          <w:rFonts w:ascii="Times New Roman" w:hAnsi="Times New Roman"/>
          <w:sz w:val="24"/>
        </w:rPr>
        <w:t xml:space="preserve">to OGR </w:t>
      </w:r>
      <w:r w:rsidR="006100D5" w:rsidRPr="008D1A3F">
        <w:rPr>
          <w:rFonts w:ascii="Times New Roman" w:hAnsi="Times New Roman"/>
          <w:sz w:val="24"/>
        </w:rPr>
        <w:t xml:space="preserve">either quarterly </w:t>
      </w:r>
      <w:r w:rsidR="00DE715D" w:rsidRPr="008D1A3F">
        <w:rPr>
          <w:rFonts w:ascii="Times New Roman" w:hAnsi="Times New Roman"/>
          <w:sz w:val="24"/>
        </w:rPr>
        <w:t xml:space="preserve">or </w:t>
      </w:r>
      <w:r w:rsidR="00655E5E" w:rsidRPr="008D1A3F">
        <w:rPr>
          <w:rFonts w:ascii="Times New Roman" w:hAnsi="Times New Roman"/>
          <w:sz w:val="24"/>
        </w:rPr>
        <w:t>monthly</w:t>
      </w:r>
      <w:r w:rsidR="006100D5" w:rsidRPr="008D1A3F">
        <w:rPr>
          <w:rFonts w:ascii="Times New Roman" w:hAnsi="Times New Roman"/>
          <w:sz w:val="24"/>
        </w:rPr>
        <w:t>, depending on the program.</w:t>
      </w:r>
    </w:p>
    <w:p w14:paraId="4D559356" w14:textId="77777777" w:rsidR="00304E2A" w:rsidRPr="008D1A3F" w:rsidRDefault="00304E2A" w:rsidP="00745693"/>
    <w:p w14:paraId="58E42327" w14:textId="612D161D" w:rsidR="00BA154B" w:rsidRPr="008D1A3F" w:rsidRDefault="007E7EE4" w:rsidP="009D0EC4">
      <w:r w:rsidRPr="008D1A3F">
        <w:rPr>
          <w:i/>
          <w:u w:val="single"/>
        </w:rPr>
        <w:t>Pre-Agreement Cost</w:t>
      </w:r>
    </w:p>
    <w:p w14:paraId="43257179" w14:textId="77777777" w:rsidR="00304E2A" w:rsidRPr="008D1A3F" w:rsidRDefault="007E7EE4" w:rsidP="00674ABE">
      <w:pPr>
        <w:pStyle w:val="ListParagraph"/>
        <w:ind w:left="0"/>
        <w:rPr>
          <w:rFonts w:ascii="Times New Roman" w:hAnsi="Times New Roman"/>
          <w:sz w:val="24"/>
        </w:rPr>
      </w:pPr>
      <w:r w:rsidRPr="008D1A3F">
        <w:rPr>
          <w:rFonts w:ascii="Times New Roman" w:hAnsi="Times New Roman"/>
          <w:sz w:val="24"/>
        </w:rPr>
        <w:t>Pre-agreement cost</w:t>
      </w:r>
      <w:r w:rsidR="00CC5D7B" w:rsidRPr="008D1A3F">
        <w:rPr>
          <w:rFonts w:ascii="Times New Roman" w:hAnsi="Times New Roman"/>
          <w:sz w:val="24"/>
        </w:rPr>
        <w:t>s</w:t>
      </w:r>
      <w:r w:rsidRPr="008D1A3F">
        <w:rPr>
          <w:rFonts w:ascii="Times New Roman" w:hAnsi="Times New Roman"/>
          <w:sz w:val="24"/>
        </w:rPr>
        <w:t xml:space="preserve"> are not allowable. </w:t>
      </w:r>
      <w:r w:rsidR="0073356C" w:rsidRPr="008D1A3F">
        <w:rPr>
          <w:rFonts w:ascii="Times New Roman" w:hAnsi="Times New Roman"/>
          <w:sz w:val="24"/>
        </w:rPr>
        <w:t>A</w:t>
      </w:r>
      <w:r w:rsidR="007C7B20" w:rsidRPr="008D1A3F">
        <w:rPr>
          <w:rFonts w:ascii="Times New Roman" w:hAnsi="Times New Roman"/>
          <w:sz w:val="24"/>
        </w:rPr>
        <w:t xml:space="preserve">ny </w:t>
      </w:r>
      <w:r w:rsidR="00304E2A" w:rsidRPr="008D1A3F">
        <w:rPr>
          <w:rFonts w:ascii="Times New Roman" w:hAnsi="Times New Roman"/>
          <w:sz w:val="24"/>
        </w:rPr>
        <w:t>costs incurred prior to the start date of the contract will not be reimbursed.</w:t>
      </w:r>
    </w:p>
    <w:p w14:paraId="273B039D" w14:textId="77777777" w:rsidR="000C4D5C" w:rsidRPr="008D1A3F" w:rsidRDefault="000C4D5C" w:rsidP="001D5053">
      <w:pPr>
        <w:jc w:val="both"/>
        <w:rPr>
          <w:b/>
        </w:rPr>
      </w:pPr>
    </w:p>
    <w:p w14:paraId="25FC2D39" w14:textId="4A5854D1" w:rsidR="001D5053" w:rsidRPr="008D1A3F" w:rsidRDefault="001D5053" w:rsidP="001D5053">
      <w:pPr>
        <w:jc w:val="both"/>
        <w:rPr>
          <w:b/>
        </w:rPr>
      </w:pPr>
      <w:r w:rsidRPr="008D1A3F">
        <w:rPr>
          <w:b/>
        </w:rPr>
        <w:t>Office of Grants and Research Overtime Policy</w:t>
      </w:r>
    </w:p>
    <w:p w14:paraId="565FB561" w14:textId="77777777" w:rsidR="001D5053" w:rsidRPr="008D1A3F" w:rsidRDefault="001D5053" w:rsidP="001D5053"/>
    <w:p w14:paraId="30BE23A1" w14:textId="77777777" w:rsidR="001D5053" w:rsidRPr="008D1A3F" w:rsidRDefault="001D5053" w:rsidP="001D5053">
      <w:r w:rsidRPr="008D1A3F">
        <w:t xml:space="preserve">This policy applies to all subrecipients and contractors that receive a Federal grant award from the Executive Office of Public Safety and Security’s Office of Grants and Research (OGR). </w:t>
      </w:r>
    </w:p>
    <w:p w14:paraId="0969A5B8" w14:textId="77777777" w:rsidR="001D5053" w:rsidRPr="008D1A3F" w:rsidRDefault="001D5053" w:rsidP="001D5053"/>
    <w:p w14:paraId="527B477E" w14:textId="77777777" w:rsidR="001D5053" w:rsidRPr="008D1A3F" w:rsidRDefault="001D5053" w:rsidP="001D5053">
      <w:pPr>
        <w:numPr>
          <w:ilvl w:val="0"/>
          <w:numId w:val="31"/>
        </w:numPr>
        <w:contextualSpacing/>
      </w:pPr>
      <w:r w:rsidRPr="008D1A3F">
        <w:t>Allowable overtime cost must be consistent with:</w:t>
      </w:r>
    </w:p>
    <w:p w14:paraId="5E72997E" w14:textId="77777777" w:rsidR="001D5053" w:rsidRPr="008D1A3F" w:rsidRDefault="00D72C64" w:rsidP="001D5053">
      <w:pPr>
        <w:numPr>
          <w:ilvl w:val="0"/>
          <w:numId w:val="21"/>
        </w:numPr>
        <w:ind w:left="1440"/>
        <w:contextualSpacing/>
      </w:pPr>
      <w:hyperlink r:id="rId17" w:history="1">
        <w:r w:rsidR="001D5053" w:rsidRPr="008D1A3F">
          <w:rPr>
            <w:rStyle w:val="Hyperlink"/>
          </w:rPr>
          <w:t>Title 2 CFR Part 200</w:t>
        </w:r>
      </w:hyperlink>
      <w:r w:rsidR="001D5053" w:rsidRPr="008D1A3F">
        <w:t>- UNIFORM ADMINISTRATIVE REQUIREMENTS, COST PRINCIPLES, AND AUDIT REQUIREMENTS FOR FEDERAL AWARDS, §200.430 Compensation—personal services</w:t>
      </w:r>
    </w:p>
    <w:p w14:paraId="6D77661D" w14:textId="77777777" w:rsidR="001D5053" w:rsidRPr="008D1A3F" w:rsidRDefault="001D5053" w:rsidP="001D5053">
      <w:pPr>
        <w:numPr>
          <w:ilvl w:val="0"/>
          <w:numId w:val="21"/>
        </w:numPr>
        <w:ind w:left="1440"/>
        <w:contextualSpacing/>
      </w:pPr>
      <w:r w:rsidRPr="008D1A3F">
        <w:t>NHTSA rules and regulations</w:t>
      </w:r>
    </w:p>
    <w:p w14:paraId="18956398" w14:textId="77777777" w:rsidR="001D5053" w:rsidRPr="008D1A3F" w:rsidRDefault="001D5053" w:rsidP="001D5053">
      <w:pPr>
        <w:numPr>
          <w:ilvl w:val="0"/>
          <w:numId w:val="21"/>
        </w:numPr>
        <w:ind w:left="1440"/>
        <w:contextualSpacing/>
      </w:pPr>
      <w:r w:rsidRPr="008D1A3F">
        <w:t>OGR, local, and state policies</w:t>
      </w:r>
    </w:p>
    <w:p w14:paraId="641BF704" w14:textId="77777777" w:rsidR="001D5053" w:rsidRPr="008D1A3F" w:rsidRDefault="001D5053" w:rsidP="001D5053"/>
    <w:p w14:paraId="3507293C" w14:textId="3B270C9F" w:rsidR="001D5053" w:rsidRPr="008D1A3F" w:rsidRDefault="001D5053" w:rsidP="001D5053">
      <w:r w:rsidRPr="008D1A3F">
        <w:t xml:space="preserve">State and local first responders that are eligible through their department for </w:t>
      </w:r>
      <w:r w:rsidRPr="008D1A3F">
        <w:rPr>
          <w:b/>
          <w:bCs/>
          <w:u w:val="single"/>
        </w:rPr>
        <w:t>backfill and/or overtime costs</w:t>
      </w:r>
      <w:r w:rsidRPr="008D1A3F">
        <w:t xml:space="preserve"> (and preapproved by OGR) may be reimbursed for backfill and/or overtime costs </w:t>
      </w:r>
      <w:r w:rsidRPr="008D1A3F">
        <w:rPr>
          <w:b/>
          <w:bCs/>
        </w:rPr>
        <w:t>related to grant funded activities ONLY.</w:t>
      </w:r>
      <w:r w:rsidRPr="008D1A3F">
        <w:t xml:space="preserve">    </w:t>
      </w:r>
    </w:p>
    <w:p w14:paraId="6EC5AEC6" w14:textId="77777777" w:rsidR="001D5053" w:rsidRPr="008D1A3F" w:rsidRDefault="001D5053" w:rsidP="001D5053"/>
    <w:p w14:paraId="30CEC2D0" w14:textId="77777777" w:rsidR="001D5053" w:rsidRPr="008D1A3F" w:rsidRDefault="001D5053" w:rsidP="001D5053">
      <w:r w:rsidRPr="008D1A3F">
        <w:rPr>
          <w:b/>
          <w:bCs/>
          <w:u w:val="single"/>
        </w:rPr>
        <w:t>Overtime</w:t>
      </w:r>
      <w:r w:rsidRPr="008D1A3F">
        <w:t xml:space="preserve"> hours being charged against a federal grant award provided by OGR may only seek reimbursement for </w:t>
      </w:r>
      <w:r w:rsidRPr="008D1A3F">
        <w:rPr>
          <w:b/>
          <w:bCs/>
        </w:rPr>
        <w:t>actual hours worked</w:t>
      </w:r>
      <w:r w:rsidRPr="008D1A3F">
        <w:t xml:space="preserve"> regardless of union contract rules.   For example, an officer working one hour of overtime on a federally funded project awarded by OGR is </w:t>
      </w:r>
      <w:r w:rsidRPr="008D1A3F">
        <w:rPr>
          <w:b/>
          <w:bCs/>
        </w:rPr>
        <w:t>prohibited</w:t>
      </w:r>
      <w:r w:rsidRPr="008D1A3F">
        <w:t xml:space="preserve"> from </w:t>
      </w:r>
      <w:r w:rsidRPr="008D1A3F">
        <w:rPr>
          <w:b/>
          <w:bCs/>
        </w:rPr>
        <w:t xml:space="preserve">charging the grant award for 4 hours of overtime </w:t>
      </w:r>
      <w:r w:rsidRPr="008D1A3F">
        <w:t xml:space="preserve">due to a union contract.  A department that must allow for this will need to cover the remaining 3 hours of overtime from their own state or local budget.  </w:t>
      </w:r>
      <w:r w:rsidRPr="008D1A3F">
        <w:rPr>
          <w:b/>
          <w:bCs/>
        </w:rPr>
        <w:t xml:space="preserve">Departments found violating this policy will be subject to immediate termination of a grant award and must return all misspent funds back to OGR.       </w:t>
      </w:r>
    </w:p>
    <w:p w14:paraId="07147A29" w14:textId="77777777" w:rsidR="001D5053" w:rsidRPr="008D1A3F" w:rsidRDefault="001D5053" w:rsidP="001D5053">
      <w:pPr>
        <w:rPr>
          <w:b/>
          <w:bCs/>
        </w:rPr>
      </w:pPr>
    </w:p>
    <w:p w14:paraId="379F2D25" w14:textId="77777777" w:rsidR="001D5053" w:rsidRPr="008D1A3F" w:rsidRDefault="001D5053" w:rsidP="001D5053">
      <w:pPr>
        <w:rPr>
          <w:b/>
          <w:bCs/>
        </w:rPr>
      </w:pPr>
      <w:r w:rsidRPr="008D1A3F">
        <w:rPr>
          <w:b/>
          <w:bCs/>
        </w:rPr>
        <w:t>Definitions</w:t>
      </w:r>
    </w:p>
    <w:p w14:paraId="7093AB65" w14:textId="77777777" w:rsidR="001D5053" w:rsidRPr="008D1A3F" w:rsidRDefault="001D5053" w:rsidP="001D5053">
      <w:r w:rsidRPr="008D1A3F">
        <w:t>For the purpose of this policy, definitions for the key terms referenced within are listed below:</w:t>
      </w:r>
    </w:p>
    <w:p w14:paraId="6C23426A" w14:textId="77777777" w:rsidR="001D5053" w:rsidRPr="008D1A3F" w:rsidRDefault="001D5053" w:rsidP="001D5053">
      <w:pPr>
        <w:numPr>
          <w:ilvl w:val="0"/>
          <w:numId w:val="24"/>
        </w:numPr>
        <w:ind w:left="540"/>
        <w:contextualSpacing/>
      </w:pPr>
      <w:r w:rsidRPr="008D1A3F">
        <w:rPr>
          <w:i/>
          <w:iCs/>
        </w:rPr>
        <w:t>Overtime</w:t>
      </w:r>
      <w:r w:rsidRPr="008D1A3F">
        <w:t>-Expenses limited to the additional costs that result from state and local first responders such as sworn law enforcement personnel working over and above their weekly full-time/part-time schedule as direct result of their performance of approved activities related to the project receiving federal funding.</w:t>
      </w:r>
    </w:p>
    <w:p w14:paraId="1FB7DF1C" w14:textId="77777777" w:rsidR="001D5053" w:rsidRPr="008D1A3F" w:rsidRDefault="001D5053" w:rsidP="001D5053">
      <w:pPr>
        <w:numPr>
          <w:ilvl w:val="0"/>
          <w:numId w:val="24"/>
        </w:numPr>
        <w:ind w:left="540"/>
        <w:contextualSpacing/>
      </w:pPr>
      <w:r w:rsidRPr="008D1A3F">
        <w:rPr>
          <w:i/>
          <w:iCs/>
        </w:rPr>
        <w:t>Backfill related Overtime-</w:t>
      </w:r>
      <w:r w:rsidRPr="008D1A3F">
        <w:t>Expenses limited to overtime costs that result from personnel who are working overtime (as identified above) to perform the duties of other personnel who are temporarily assigned to an approved grant activity outside of their core responsibilities.</w:t>
      </w:r>
    </w:p>
    <w:p w14:paraId="6BF6FFB9" w14:textId="77777777" w:rsidR="001D5053" w:rsidRPr="008D1A3F" w:rsidRDefault="001D5053" w:rsidP="001D5053">
      <w:pPr>
        <w:numPr>
          <w:ilvl w:val="0"/>
          <w:numId w:val="24"/>
        </w:numPr>
        <w:ind w:left="540"/>
        <w:contextualSpacing/>
      </w:pPr>
      <w:r w:rsidRPr="008D1A3F">
        <w:rPr>
          <w:i/>
          <w:iCs/>
        </w:rPr>
        <w:lastRenderedPageBreak/>
        <w:t>Subrecipient-</w:t>
      </w:r>
      <w:r w:rsidRPr="008D1A3F">
        <w:t>An entity receiving a grant award from OGR.</w:t>
      </w:r>
    </w:p>
    <w:p w14:paraId="7DBD5224" w14:textId="77777777" w:rsidR="001D5053" w:rsidRPr="008D1A3F" w:rsidRDefault="001D5053" w:rsidP="001D5053">
      <w:pPr>
        <w:numPr>
          <w:ilvl w:val="0"/>
          <w:numId w:val="24"/>
        </w:numPr>
        <w:ind w:left="540"/>
        <w:contextualSpacing/>
      </w:pPr>
      <w:r w:rsidRPr="008D1A3F">
        <w:rPr>
          <w:i/>
          <w:iCs/>
        </w:rPr>
        <w:t>First Responder</w:t>
      </w:r>
      <w:r w:rsidRPr="008D1A3F">
        <w:t xml:space="preserve">-State or local law enforcement, fire services, emergency medical services, emergency management, health care, hazardous materials, public safety communications, public health, public works, and government administrative type employees.  </w:t>
      </w:r>
      <w:r w:rsidRPr="008D1A3F">
        <w:rPr>
          <w:b/>
          <w:bCs/>
          <w:i/>
          <w:iCs/>
        </w:rPr>
        <w:t>Note: each federal award has different criteria as to the type of individual allowed to be reimbursed for overtime costs.  Please reference your specific grant application or OGR point of contact to determine qualifying personnel for overtime.</w:t>
      </w:r>
      <w:r w:rsidRPr="008D1A3F">
        <w:t xml:space="preserve">  </w:t>
      </w:r>
    </w:p>
    <w:p w14:paraId="63052BAF" w14:textId="77777777" w:rsidR="001D5053" w:rsidRPr="008D1A3F" w:rsidRDefault="001D5053" w:rsidP="001D5053"/>
    <w:p w14:paraId="1F6C8CD0" w14:textId="1969838A" w:rsidR="00215EED" w:rsidRPr="008D1A3F" w:rsidRDefault="001D5053" w:rsidP="00C241D3">
      <w:r w:rsidRPr="008D1A3F">
        <w:t>If awarded to utilize grant funding for overtime costs, OGR staff will provide additional criteria and reporting forms needed at the time an award is made to justify and support such reimbursement costs be</w:t>
      </w:r>
      <w:r w:rsidR="00C241D3" w:rsidRPr="008D1A3F">
        <w:t>ing charged against the grant. </w:t>
      </w:r>
    </w:p>
    <w:p w14:paraId="7FE80B0A" w14:textId="77777777" w:rsidR="00280E5B" w:rsidRPr="008D1A3F" w:rsidRDefault="00280E5B" w:rsidP="00C241D3"/>
    <w:p w14:paraId="36FE7E76" w14:textId="5C463D3F" w:rsidR="00BE6F11" w:rsidRPr="008D1A3F" w:rsidRDefault="00D85B4A" w:rsidP="00215EED">
      <w:pPr>
        <w:pStyle w:val="ListParagraph"/>
        <w:spacing w:line="276" w:lineRule="auto"/>
        <w:ind w:left="0"/>
        <w:rPr>
          <w:rFonts w:ascii="Times New Roman" w:hAnsi="Times New Roman"/>
          <w:b/>
          <w:sz w:val="24"/>
        </w:rPr>
      </w:pPr>
      <w:r w:rsidRPr="008D1A3F">
        <w:rPr>
          <w:rFonts w:ascii="Times New Roman" w:hAnsi="Times New Roman"/>
          <w:b/>
          <w:sz w:val="24"/>
        </w:rPr>
        <w:t>Equipment</w:t>
      </w:r>
    </w:p>
    <w:p w14:paraId="4068A686" w14:textId="77777777" w:rsidR="00B46D54" w:rsidRPr="008D1A3F" w:rsidRDefault="00B46D54" w:rsidP="00BE6F11"/>
    <w:p w14:paraId="57A4D419" w14:textId="6982223E" w:rsidR="00EC61AF" w:rsidRPr="008D1A3F" w:rsidRDefault="00305446" w:rsidP="00BE6F11">
      <w:r w:rsidRPr="008D1A3F">
        <w:t>Unless specifically authorized in the contract or ISA for the grant funding, equipment purchases (includes software related expenses) having a useful life of more than one year and a per-unit acquisition cost of $1,000 or more, including all costs necessary to put that asset into use (i.e., delivery, installation, etc.), requires prior, separate, written OGR approval.  A key NHTSA requirement for equipment purchases (includes software related expenses) is NHTSA approval, secured through OGR, for purchase of $5,000 or over.  Such purchases must also align with the Buy America Act (49 U.S.C. 5323(j). More information on this act is in Addendum 5 of OGR’s General Subrecipient Grant Conditions.</w:t>
      </w:r>
    </w:p>
    <w:p w14:paraId="171FB418" w14:textId="32DAEE6D" w:rsidR="0036502C" w:rsidRPr="008D1A3F" w:rsidRDefault="0036502C" w:rsidP="001E06FA">
      <w:pPr>
        <w:pStyle w:val="ListParagraph"/>
        <w:spacing w:line="276" w:lineRule="auto"/>
        <w:rPr>
          <w:rFonts w:ascii="Times New Roman" w:hAnsi="Times New Roman"/>
          <w:sz w:val="24"/>
        </w:rPr>
      </w:pPr>
    </w:p>
    <w:p w14:paraId="13F99541" w14:textId="77777777" w:rsidR="004D6762" w:rsidRPr="008D1A3F" w:rsidRDefault="004D6762" w:rsidP="001E06FA">
      <w:pPr>
        <w:pStyle w:val="ListParagraph"/>
        <w:spacing w:line="276" w:lineRule="auto"/>
        <w:rPr>
          <w:rFonts w:ascii="Times New Roman" w:hAnsi="Times New Roman"/>
          <w:sz w:val="24"/>
        </w:rPr>
      </w:pPr>
    </w:p>
    <w:p w14:paraId="6C02E482" w14:textId="37332C14" w:rsidR="00264362" w:rsidRPr="008D1A3F" w:rsidRDefault="00760A70" w:rsidP="000C4D5C">
      <w:pPr>
        <w:pStyle w:val="Heading1"/>
        <w:numPr>
          <w:ilvl w:val="0"/>
          <w:numId w:val="42"/>
        </w:numPr>
        <w:ind w:left="540" w:hanging="540"/>
      </w:pPr>
      <w:bookmarkStart w:id="5" w:name="_Toc31207031"/>
      <w:r w:rsidRPr="008D1A3F">
        <w:t>Post-Award Requirements</w:t>
      </w:r>
      <w:bookmarkEnd w:id="5"/>
    </w:p>
    <w:p w14:paraId="46053D5F" w14:textId="77777777" w:rsidR="00EC61AF" w:rsidRPr="008D1A3F" w:rsidRDefault="00EC61AF" w:rsidP="00BE6F11">
      <w:pPr>
        <w:spacing w:line="276" w:lineRule="auto"/>
      </w:pPr>
    </w:p>
    <w:p w14:paraId="52103FF3" w14:textId="4BCE0358" w:rsidR="002352C6" w:rsidRPr="008D1A3F" w:rsidRDefault="00894997" w:rsidP="002352C6">
      <w:pPr>
        <w:spacing w:line="276" w:lineRule="auto"/>
        <w:ind w:left="180"/>
      </w:pPr>
      <w:r w:rsidRPr="008D1A3F">
        <w:t xml:space="preserve">Based on </w:t>
      </w:r>
      <w:r w:rsidR="00D35509" w:rsidRPr="008D1A3F">
        <w:t>OGR’s</w:t>
      </w:r>
      <w:r w:rsidRPr="008D1A3F">
        <w:t xml:space="preserve"> efforts to utilize federal funds</w:t>
      </w:r>
      <w:r w:rsidR="009F2491" w:rsidRPr="008D1A3F">
        <w:t xml:space="preserve"> in the most efficient and effective manner</w:t>
      </w:r>
      <w:r w:rsidRPr="008D1A3F">
        <w:t>, increase program participation, and administer</w:t>
      </w:r>
      <w:r w:rsidR="001E06FA" w:rsidRPr="008D1A3F">
        <w:t xml:space="preserve"> funds</w:t>
      </w:r>
      <w:r w:rsidRPr="008D1A3F">
        <w:t xml:space="preserve"> with fairn</w:t>
      </w:r>
      <w:r w:rsidR="00D42862" w:rsidRPr="008D1A3F">
        <w:t>ess to all participating subrecipients</w:t>
      </w:r>
      <w:r w:rsidR="001D5053" w:rsidRPr="008D1A3F">
        <w:t>,</w:t>
      </w:r>
      <w:r w:rsidR="001E06FA" w:rsidRPr="008D1A3F">
        <w:t xml:space="preserve"> </w:t>
      </w:r>
      <w:r w:rsidRPr="008D1A3F">
        <w:t xml:space="preserve">a department’s eligibility </w:t>
      </w:r>
      <w:r w:rsidR="00BD0181" w:rsidRPr="008D1A3F">
        <w:t>to receive a continuation</w:t>
      </w:r>
      <w:r w:rsidR="00D35509" w:rsidRPr="008D1A3F">
        <w:t xml:space="preserve"> award</w:t>
      </w:r>
      <w:r w:rsidR="001D5053" w:rsidRPr="008D1A3F">
        <w:t xml:space="preserve"> will </w:t>
      </w:r>
      <w:r w:rsidRPr="008D1A3F">
        <w:t>be based on a</w:t>
      </w:r>
      <w:r w:rsidR="000C1D07" w:rsidRPr="008D1A3F">
        <w:t>n</w:t>
      </w:r>
      <w:r w:rsidRPr="008D1A3F">
        <w:t xml:space="preserve"> evaluation of</w:t>
      </w:r>
      <w:r w:rsidR="00D62275" w:rsidRPr="008D1A3F">
        <w:t xml:space="preserve"> a</w:t>
      </w:r>
      <w:r w:rsidRPr="008D1A3F">
        <w:t xml:space="preserve"> prior year</w:t>
      </w:r>
      <w:r w:rsidR="00D62275" w:rsidRPr="008D1A3F">
        <w:t>’s</w:t>
      </w:r>
      <w:r w:rsidRPr="008D1A3F">
        <w:t xml:space="preserve"> </w:t>
      </w:r>
      <w:r w:rsidR="00D62275" w:rsidRPr="008D1A3F">
        <w:t>performance (if applicable) by a subrecipient</w:t>
      </w:r>
      <w:r w:rsidR="002E4742" w:rsidRPr="008D1A3F">
        <w:t>.</w:t>
      </w:r>
      <w:r w:rsidRPr="008D1A3F">
        <w:t xml:space="preserve"> </w:t>
      </w:r>
      <w:r w:rsidR="002E4742" w:rsidRPr="008D1A3F">
        <w:t xml:space="preserve">This </w:t>
      </w:r>
      <w:r w:rsidR="00751ABA" w:rsidRPr="008D1A3F">
        <w:t>evaluation</w:t>
      </w:r>
      <w:r w:rsidR="00D62275" w:rsidRPr="008D1A3F">
        <w:t xml:space="preserve"> may be based on the following</w:t>
      </w:r>
      <w:r w:rsidRPr="008D1A3F">
        <w:t xml:space="preserve"> </w:t>
      </w:r>
      <w:r w:rsidR="00751ABA" w:rsidRPr="008D1A3F">
        <w:t>criteria</w:t>
      </w:r>
      <w:r w:rsidRPr="008D1A3F">
        <w:t xml:space="preserve">: </w:t>
      </w:r>
    </w:p>
    <w:p w14:paraId="54723055" w14:textId="77777777" w:rsidR="002352C6" w:rsidRPr="008D1A3F" w:rsidRDefault="002352C6"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Performance against goals</w:t>
      </w:r>
    </w:p>
    <w:p w14:paraId="3BB50BAA" w14:textId="77777777" w:rsidR="002352C6" w:rsidRPr="008D1A3F" w:rsidRDefault="002352C6"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B</w:t>
      </w:r>
      <w:r w:rsidR="00894997" w:rsidRPr="008D1A3F">
        <w:rPr>
          <w:rFonts w:ascii="Times New Roman" w:hAnsi="Times New Roman"/>
          <w:sz w:val="24"/>
        </w:rPr>
        <w:t xml:space="preserve">enchmarks and performance measures stated in </w:t>
      </w:r>
      <w:r w:rsidR="00C55070" w:rsidRPr="008D1A3F">
        <w:rPr>
          <w:rFonts w:ascii="Times New Roman" w:hAnsi="Times New Roman"/>
          <w:sz w:val="24"/>
        </w:rPr>
        <w:t xml:space="preserve">the </w:t>
      </w:r>
      <w:r w:rsidRPr="008D1A3F">
        <w:rPr>
          <w:rFonts w:ascii="Times New Roman" w:hAnsi="Times New Roman"/>
          <w:sz w:val="24"/>
        </w:rPr>
        <w:t>original application</w:t>
      </w:r>
    </w:p>
    <w:p w14:paraId="2B8D49FB" w14:textId="77777777" w:rsidR="00751ABA" w:rsidRPr="008D1A3F" w:rsidRDefault="00751ABA"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Meeting outcome and deliverable requirements</w:t>
      </w:r>
    </w:p>
    <w:p w14:paraId="665BF820" w14:textId="77777777" w:rsidR="002352C6" w:rsidRPr="008D1A3F" w:rsidRDefault="00751ABA"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Timely submission of required reports</w:t>
      </w:r>
    </w:p>
    <w:p w14:paraId="714ACA93" w14:textId="77777777" w:rsidR="00751ABA" w:rsidRPr="008D1A3F" w:rsidRDefault="00F82F13"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Satisfactory</w:t>
      </w:r>
      <w:r w:rsidR="00751ABA" w:rsidRPr="008D1A3F">
        <w:rPr>
          <w:rFonts w:ascii="Times New Roman" w:hAnsi="Times New Roman"/>
          <w:sz w:val="24"/>
        </w:rPr>
        <w:t xml:space="preserve"> OGR Site Visit reports</w:t>
      </w:r>
    </w:p>
    <w:p w14:paraId="5D4A5945" w14:textId="77777777" w:rsidR="00DD3DFE" w:rsidRPr="008D1A3F" w:rsidRDefault="002352C6" w:rsidP="00612CAE">
      <w:pPr>
        <w:pStyle w:val="ListParagraph"/>
        <w:numPr>
          <w:ilvl w:val="1"/>
          <w:numId w:val="20"/>
        </w:numPr>
        <w:spacing w:line="276" w:lineRule="auto"/>
        <w:rPr>
          <w:rFonts w:ascii="Times New Roman" w:hAnsi="Times New Roman"/>
          <w:sz w:val="24"/>
        </w:rPr>
      </w:pPr>
      <w:r w:rsidRPr="008D1A3F">
        <w:rPr>
          <w:rFonts w:ascii="Times New Roman" w:hAnsi="Times New Roman"/>
          <w:sz w:val="24"/>
        </w:rPr>
        <w:t>Unspent funding rate</w:t>
      </w:r>
    </w:p>
    <w:p w14:paraId="084F8D41" w14:textId="77777777" w:rsidR="00751ABA" w:rsidRPr="008D1A3F" w:rsidRDefault="00751ABA" w:rsidP="00751ABA">
      <w:pPr>
        <w:pStyle w:val="ListParagraph"/>
        <w:spacing w:line="276" w:lineRule="auto"/>
        <w:ind w:left="1080"/>
        <w:rPr>
          <w:rFonts w:ascii="Times New Roman" w:hAnsi="Times New Roman"/>
          <w:sz w:val="24"/>
        </w:rPr>
      </w:pPr>
    </w:p>
    <w:p w14:paraId="392D8151" w14:textId="77777777" w:rsidR="003A6908" w:rsidRPr="008D1A3F" w:rsidRDefault="003A6908" w:rsidP="00751ABA">
      <w:pPr>
        <w:numPr>
          <w:ilvl w:val="0"/>
          <w:numId w:val="30"/>
        </w:numPr>
        <w:ind w:left="360" w:hanging="270"/>
      </w:pPr>
      <w:r w:rsidRPr="008D1A3F">
        <w:t xml:space="preserve">Funding is subject to appropriation and is contingent upon compliance with all grant conditions and eligibility requirements.  If the federal government determines that a subrecipient agency is not in compliance with federal eligibility requirements, </w:t>
      </w:r>
      <w:r w:rsidR="007F42A7" w:rsidRPr="008D1A3F">
        <w:t>OGR</w:t>
      </w:r>
      <w:r w:rsidRPr="008D1A3F">
        <w:t xml:space="preserve"> </w:t>
      </w:r>
      <w:r w:rsidR="00FE281E" w:rsidRPr="008D1A3F">
        <w:t>will not provide</w:t>
      </w:r>
      <w:r w:rsidRPr="008D1A3F">
        <w:t xml:space="preserve"> alternative sources of funding.  </w:t>
      </w:r>
      <w:r w:rsidR="00FF02BF" w:rsidRPr="008D1A3F">
        <w:t>It is the obligation of the sub</w:t>
      </w:r>
      <w:r w:rsidRPr="008D1A3F">
        <w:t>recipient agency to ensure compliance with all eligibility requirements.</w:t>
      </w:r>
    </w:p>
    <w:p w14:paraId="21C6CD14" w14:textId="77777777" w:rsidR="00DE450B" w:rsidRPr="008D1A3F" w:rsidRDefault="00DE450B" w:rsidP="00751ABA">
      <w:pPr>
        <w:pStyle w:val="ListParagraph"/>
        <w:numPr>
          <w:ilvl w:val="0"/>
          <w:numId w:val="10"/>
        </w:numPr>
        <w:spacing w:line="276" w:lineRule="auto"/>
        <w:ind w:left="360" w:hanging="270"/>
        <w:rPr>
          <w:rFonts w:ascii="Times New Roman" w:hAnsi="Times New Roman"/>
          <w:sz w:val="24"/>
        </w:rPr>
      </w:pPr>
      <w:r w:rsidRPr="008D1A3F">
        <w:rPr>
          <w:rFonts w:ascii="Times New Roman" w:hAnsi="Times New Roman"/>
          <w:sz w:val="24"/>
        </w:rPr>
        <w:lastRenderedPageBreak/>
        <w:t xml:space="preserve">All subrecipients who are law enforcement agencies receiving any state or federal grant award from OGR will be required </w:t>
      </w:r>
      <w:r w:rsidR="0051112E" w:rsidRPr="008D1A3F">
        <w:rPr>
          <w:rFonts w:ascii="Times New Roman" w:hAnsi="Times New Roman"/>
          <w:sz w:val="24"/>
        </w:rPr>
        <w:t xml:space="preserve">to participate and submit </w:t>
      </w:r>
      <w:r w:rsidRPr="008D1A3F">
        <w:rPr>
          <w:rFonts w:ascii="Times New Roman" w:hAnsi="Times New Roman"/>
          <w:sz w:val="24"/>
        </w:rPr>
        <w:t>case-specific information on officer</w:t>
      </w:r>
      <w:r w:rsidR="002E4742" w:rsidRPr="008D1A3F">
        <w:rPr>
          <w:rFonts w:ascii="Times New Roman" w:hAnsi="Times New Roman"/>
          <w:sz w:val="24"/>
        </w:rPr>
        <w:t>-</w:t>
      </w:r>
      <w:r w:rsidRPr="008D1A3F">
        <w:rPr>
          <w:rFonts w:ascii="Times New Roman" w:hAnsi="Times New Roman"/>
          <w:sz w:val="24"/>
        </w:rPr>
        <w:t>administration of Narcan/Naloxone using a reporting tool as determined by EOPSS.</w:t>
      </w:r>
    </w:p>
    <w:p w14:paraId="0DA88590" w14:textId="77777777" w:rsidR="00BE6F11" w:rsidRPr="008D1A3F" w:rsidRDefault="00BE6F11" w:rsidP="00894997">
      <w:pPr>
        <w:rPr>
          <w:u w:val="single"/>
        </w:rPr>
      </w:pPr>
    </w:p>
    <w:p w14:paraId="38C14F67" w14:textId="77777777" w:rsidR="00BD0181" w:rsidRPr="008D1A3F" w:rsidRDefault="00BD0181" w:rsidP="00894997">
      <w:pPr>
        <w:rPr>
          <w:u w:val="single"/>
        </w:rPr>
      </w:pPr>
      <w:r w:rsidRPr="008D1A3F">
        <w:rPr>
          <w:u w:val="single"/>
        </w:rPr>
        <w:t>Grant Compliance and Conditions</w:t>
      </w:r>
    </w:p>
    <w:p w14:paraId="11550D6A" w14:textId="77777777" w:rsidR="00BD0181" w:rsidRPr="008D1A3F" w:rsidRDefault="00BD0181" w:rsidP="00894997">
      <w:pPr>
        <w:rPr>
          <w:u w:val="single"/>
        </w:rPr>
      </w:pPr>
    </w:p>
    <w:p w14:paraId="2B297B3E" w14:textId="0108015F" w:rsidR="00641B31" w:rsidRPr="008D1A3F" w:rsidRDefault="00641B31" w:rsidP="00894997">
      <w:r w:rsidRPr="008D1A3F">
        <w:t xml:space="preserve">State Agencies will have specific grant conditions embedded into the Interdepartmental Service Agreements. A copy of the conditions document can be downloaded from </w:t>
      </w:r>
      <w:hyperlink r:id="rId18" w:history="1">
        <w:r w:rsidRPr="008D1A3F">
          <w:rPr>
            <w:rStyle w:val="Hyperlink"/>
          </w:rPr>
          <w:t>https://www.mass.gov/service-details/traffic-safety-grants</w:t>
        </w:r>
      </w:hyperlink>
      <w:r w:rsidRPr="008D1A3F">
        <w:t>. The document does not need to be signed and submitted with the application, however</w:t>
      </w:r>
      <w:r w:rsidR="00D3516F" w:rsidRPr="008D1A3F">
        <w:t>,</w:t>
      </w:r>
      <w:r w:rsidRPr="008D1A3F">
        <w:t xml:space="preserve"> applicants should </w:t>
      </w:r>
      <w:r w:rsidR="00511622" w:rsidRPr="008D1A3F">
        <w:t>thoroughly</w:t>
      </w:r>
      <w:r w:rsidRPr="008D1A3F">
        <w:t xml:space="preserve"> review the conditions prior to applying for funds.</w:t>
      </w:r>
    </w:p>
    <w:p w14:paraId="7169CB44" w14:textId="77777777" w:rsidR="00B87B0C" w:rsidRPr="008D1A3F" w:rsidRDefault="00B87B0C" w:rsidP="00894997">
      <w:pPr>
        <w:rPr>
          <w:i/>
          <w:u w:val="single"/>
        </w:rPr>
      </w:pPr>
    </w:p>
    <w:p w14:paraId="00A57DDB" w14:textId="4DB3EB88" w:rsidR="007C780D" w:rsidRPr="008D1A3F" w:rsidRDefault="00760A70" w:rsidP="007C780D">
      <w:pPr>
        <w:rPr>
          <w:bCs/>
        </w:rPr>
      </w:pPr>
      <w:r w:rsidRPr="008D1A3F">
        <w:rPr>
          <w:i/>
          <w:u w:val="single"/>
        </w:rPr>
        <w:t>Reporting and Record</w:t>
      </w:r>
      <w:r w:rsidR="00CD4617" w:rsidRPr="008D1A3F">
        <w:rPr>
          <w:i/>
          <w:u w:val="single"/>
        </w:rPr>
        <w:t>k</w:t>
      </w:r>
      <w:r w:rsidRPr="008D1A3F">
        <w:rPr>
          <w:i/>
          <w:u w:val="single"/>
        </w:rPr>
        <w:t xml:space="preserve">eeping </w:t>
      </w:r>
    </w:p>
    <w:p w14:paraId="67D9EE42" w14:textId="77777777" w:rsidR="00953E9F" w:rsidRPr="008D1A3F" w:rsidRDefault="00953E9F" w:rsidP="00953F34">
      <w:pPr>
        <w:numPr>
          <w:ilvl w:val="0"/>
          <w:numId w:val="4"/>
        </w:numPr>
        <w:spacing w:line="276" w:lineRule="auto"/>
        <w:rPr>
          <w:bCs/>
        </w:rPr>
      </w:pPr>
      <w:r w:rsidRPr="008D1A3F">
        <w:rPr>
          <w:bCs/>
        </w:rPr>
        <w:t xml:space="preserve">All subrecipients must submit to OGR </w:t>
      </w:r>
      <w:r w:rsidR="00954BCA" w:rsidRPr="008D1A3F">
        <w:rPr>
          <w:bCs/>
        </w:rPr>
        <w:t>both Programmatic Activity and F</w:t>
      </w:r>
      <w:r w:rsidRPr="008D1A3F">
        <w:rPr>
          <w:bCs/>
        </w:rPr>
        <w:t xml:space="preserve">inancial Expenditure Reports. Submission frequency may be monthly, quarterly, or at some other interval that will be determined by the </w:t>
      </w:r>
      <w:r w:rsidR="00024F96" w:rsidRPr="008D1A3F">
        <w:rPr>
          <w:bCs/>
        </w:rPr>
        <w:t xml:space="preserve">OGR </w:t>
      </w:r>
      <w:r w:rsidRPr="008D1A3F">
        <w:rPr>
          <w:bCs/>
        </w:rPr>
        <w:t xml:space="preserve">program coordinator at the time of the award. </w:t>
      </w:r>
    </w:p>
    <w:p w14:paraId="2E96578D" w14:textId="77777777" w:rsidR="00953E9F" w:rsidRPr="008D1A3F" w:rsidRDefault="00953E9F" w:rsidP="00953F34">
      <w:pPr>
        <w:numPr>
          <w:ilvl w:val="0"/>
          <w:numId w:val="4"/>
        </w:numPr>
        <w:spacing w:line="276" w:lineRule="auto"/>
        <w:rPr>
          <w:bCs/>
        </w:rPr>
      </w:pPr>
      <w:r w:rsidRPr="008D1A3F">
        <w:rPr>
          <w:bCs/>
        </w:rPr>
        <w:t>Reports are due no later than fifteen (15) days after the end of the reporting period.</w:t>
      </w:r>
    </w:p>
    <w:p w14:paraId="58A99370" w14:textId="77777777" w:rsidR="00435C75" w:rsidRPr="008D1A3F" w:rsidRDefault="007C780D" w:rsidP="00953F34">
      <w:pPr>
        <w:numPr>
          <w:ilvl w:val="0"/>
          <w:numId w:val="4"/>
        </w:numPr>
        <w:spacing w:line="276" w:lineRule="auto"/>
        <w:rPr>
          <w:bCs/>
        </w:rPr>
      </w:pPr>
      <w:r w:rsidRPr="008D1A3F">
        <w:rPr>
          <w:bCs/>
        </w:rPr>
        <w:t xml:space="preserve">In certain circumstances and within reason, </w:t>
      </w:r>
      <w:r w:rsidR="00953E9F" w:rsidRPr="008D1A3F">
        <w:rPr>
          <w:bCs/>
        </w:rPr>
        <w:t>a subrecipient</w:t>
      </w:r>
      <w:r w:rsidRPr="008D1A3F">
        <w:rPr>
          <w:bCs/>
        </w:rPr>
        <w:t xml:space="preserve"> may request an extension of </w:t>
      </w:r>
      <w:r w:rsidR="00DE715D" w:rsidRPr="008D1A3F">
        <w:rPr>
          <w:bCs/>
        </w:rPr>
        <w:t xml:space="preserve">the </w:t>
      </w:r>
      <w:r w:rsidR="00953E9F" w:rsidRPr="008D1A3F">
        <w:rPr>
          <w:bCs/>
        </w:rPr>
        <w:t>due date of a</w:t>
      </w:r>
      <w:r w:rsidRPr="008D1A3F">
        <w:rPr>
          <w:bCs/>
        </w:rPr>
        <w:t xml:space="preserve"> report. This request must be authorized by </w:t>
      </w:r>
      <w:r w:rsidR="007F42A7" w:rsidRPr="008D1A3F">
        <w:rPr>
          <w:bCs/>
        </w:rPr>
        <w:t>OGR</w:t>
      </w:r>
      <w:r w:rsidRPr="008D1A3F">
        <w:rPr>
          <w:bCs/>
        </w:rPr>
        <w:t xml:space="preserve"> </w:t>
      </w:r>
      <w:r w:rsidR="00C55070" w:rsidRPr="008D1A3F">
        <w:rPr>
          <w:bCs/>
        </w:rPr>
        <w:t>before</w:t>
      </w:r>
      <w:r w:rsidRPr="008D1A3F">
        <w:rPr>
          <w:bCs/>
        </w:rPr>
        <w:t xml:space="preserve"> the late submission of the report. </w:t>
      </w:r>
    </w:p>
    <w:p w14:paraId="7C8A1A02" w14:textId="77777777" w:rsidR="00413805" w:rsidRPr="008D1A3F" w:rsidRDefault="001E06FA" w:rsidP="00413805">
      <w:pPr>
        <w:numPr>
          <w:ilvl w:val="0"/>
          <w:numId w:val="4"/>
        </w:numPr>
        <w:spacing w:line="276" w:lineRule="auto"/>
        <w:rPr>
          <w:bCs/>
        </w:rPr>
      </w:pPr>
      <w:r w:rsidRPr="008D1A3F">
        <w:rPr>
          <w:bCs/>
        </w:rPr>
        <w:t>Each subrecipient</w:t>
      </w:r>
      <w:r w:rsidR="00413805" w:rsidRPr="008D1A3F">
        <w:rPr>
          <w:bCs/>
        </w:rPr>
        <w:t>s required report contents may vary, depending on the program needs.</w:t>
      </w:r>
    </w:p>
    <w:p w14:paraId="5914B543" w14:textId="77777777" w:rsidR="00760A70" w:rsidRPr="008D1A3F" w:rsidRDefault="00874FAB" w:rsidP="00413805">
      <w:pPr>
        <w:numPr>
          <w:ilvl w:val="0"/>
          <w:numId w:val="4"/>
        </w:numPr>
        <w:spacing w:line="276" w:lineRule="auto"/>
        <w:rPr>
          <w:bCs/>
        </w:rPr>
      </w:pPr>
      <w:r w:rsidRPr="008D1A3F">
        <w:rPr>
          <w:bCs/>
        </w:rPr>
        <w:t xml:space="preserve">Individuals working </w:t>
      </w:r>
      <w:r w:rsidR="006B2F68" w:rsidRPr="008D1A3F">
        <w:rPr>
          <w:bCs/>
        </w:rPr>
        <w:t xml:space="preserve">on </w:t>
      </w:r>
      <w:r w:rsidRPr="008D1A3F">
        <w:rPr>
          <w:bCs/>
        </w:rPr>
        <w:t>grant</w:t>
      </w:r>
      <w:r w:rsidR="004B490A" w:rsidRPr="008D1A3F">
        <w:rPr>
          <w:bCs/>
        </w:rPr>
        <w:t>-</w:t>
      </w:r>
      <w:r w:rsidRPr="008D1A3F">
        <w:rPr>
          <w:bCs/>
        </w:rPr>
        <w:t xml:space="preserve">funded </w:t>
      </w:r>
      <w:r w:rsidR="00953E9F" w:rsidRPr="008D1A3F">
        <w:rPr>
          <w:bCs/>
        </w:rPr>
        <w:t xml:space="preserve">activities </w:t>
      </w:r>
      <w:r w:rsidR="00760A70" w:rsidRPr="008D1A3F">
        <w:rPr>
          <w:bCs/>
        </w:rPr>
        <w:t>may not sign off on the Expenditure</w:t>
      </w:r>
      <w:r w:rsidR="006F3C3F" w:rsidRPr="008D1A3F">
        <w:rPr>
          <w:bCs/>
        </w:rPr>
        <w:t xml:space="preserve"> Report</w:t>
      </w:r>
      <w:r w:rsidR="00953E9F" w:rsidRPr="008D1A3F">
        <w:rPr>
          <w:bCs/>
        </w:rPr>
        <w:t>s</w:t>
      </w:r>
      <w:r w:rsidR="006F3C3F" w:rsidRPr="008D1A3F">
        <w:rPr>
          <w:bCs/>
        </w:rPr>
        <w:t xml:space="preserve">.  </w:t>
      </w:r>
      <w:r w:rsidR="00CA2341" w:rsidRPr="008D1A3F">
        <w:rPr>
          <w:bCs/>
        </w:rPr>
        <w:t>An</w:t>
      </w:r>
      <w:r w:rsidR="00BE36E2" w:rsidRPr="008D1A3F">
        <w:rPr>
          <w:bCs/>
        </w:rPr>
        <w:t xml:space="preserve"> authorized signatory</w:t>
      </w:r>
      <w:r w:rsidR="00760A70" w:rsidRPr="008D1A3F">
        <w:rPr>
          <w:bCs/>
        </w:rPr>
        <w:t xml:space="preserve"> may not sign off on the Expenditure Report if</w:t>
      </w:r>
      <w:r w:rsidR="00DD42B4" w:rsidRPr="008D1A3F">
        <w:rPr>
          <w:bCs/>
        </w:rPr>
        <w:t xml:space="preserve"> reimbursement is requested for </w:t>
      </w:r>
      <w:r w:rsidR="00760A70" w:rsidRPr="008D1A3F">
        <w:rPr>
          <w:bCs/>
        </w:rPr>
        <w:t>his/her spouse,</w:t>
      </w:r>
      <w:r w:rsidR="00DD42B4" w:rsidRPr="008D1A3F">
        <w:rPr>
          <w:bCs/>
        </w:rPr>
        <w:t xml:space="preserve"> child</w:t>
      </w:r>
      <w:r w:rsidR="00FF11A5" w:rsidRPr="008D1A3F">
        <w:rPr>
          <w:bCs/>
        </w:rPr>
        <w:t>,</w:t>
      </w:r>
      <w:r w:rsidR="00DD42B4" w:rsidRPr="008D1A3F">
        <w:rPr>
          <w:bCs/>
        </w:rPr>
        <w:t xml:space="preserve"> sibling</w:t>
      </w:r>
      <w:r w:rsidR="00DE715D" w:rsidRPr="008D1A3F">
        <w:rPr>
          <w:bCs/>
        </w:rPr>
        <w:t>,</w:t>
      </w:r>
      <w:r w:rsidR="00CA2341" w:rsidRPr="008D1A3F">
        <w:rPr>
          <w:bCs/>
        </w:rPr>
        <w:t xml:space="preserve"> or </w:t>
      </w:r>
      <w:r w:rsidR="00DE715D" w:rsidRPr="008D1A3F">
        <w:rPr>
          <w:bCs/>
        </w:rPr>
        <w:t>an</w:t>
      </w:r>
      <w:r w:rsidR="00CA2341" w:rsidRPr="008D1A3F">
        <w:rPr>
          <w:bCs/>
        </w:rPr>
        <w:t xml:space="preserve">other person that may </w:t>
      </w:r>
      <w:r w:rsidR="008E3891" w:rsidRPr="008D1A3F">
        <w:rPr>
          <w:bCs/>
        </w:rPr>
        <w:t>cause</w:t>
      </w:r>
      <w:r w:rsidR="00CA2341" w:rsidRPr="008D1A3F">
        <w:rPr>
          <w:bCs/>
        </w:rPr>
        <w:t xml:space="preserve"> </w:t>
      </w:r>
      <w:r w:rsidR="00413805" w:rsidRPr="008D1A3F">
        <w:rPr>
          <w:bCs/>
        </w:rPr>
        <w:t xml:space="preserve">a </w:t>
      </w:r>
      <w:r w:rsidR="00CA2341" w:rsidRPr="008D1A3F">
        <w:rPr>
          <w:bCs/>
        </w:rPr>
        <w:t>conflict of interest</w:t>
      </w:r>
      <w:r w:rsidR="00760A70" w:rsidRPr="008D1A3F">
        <w:rPr>
          <w:bCs/>
        </w:rPr>
        <w:t>.</w:t>
      </w:r>
    </w:p>
    <w:p w14:paraId="0A7AB2F8" w14:textId="77777777" w:rsidR="00760A70" w:rsidRPr="008D1A3F" w:rsidRDefault="00760A70" w:rsidP="00953F34">
      <w:pPr>
        <w:numPr>
          <w:ilvl w:val="0"/>
          <w:numId w:val="4"/>
        </w:numPr>
        <w:spacing w:line="276" w:lineRule="auto"/>
        <w:rPr>
          <w:bCs/>
        </w:rPr>
      </w:pPr>
      <w:r w:rsidRPr="008D1A3F">
        <w:rPr>
          <w:bCs/>
        </w:rPr>
        <w:t xml:space="preserve">With 48 </w:t>
      </w:r>
      <w:r w:rsidR="00FF11A5" w:rsidRPr="008D1A3F">
        <w:rPr>
          <w:bCs/>
        </w:rPr>
        <w:t>hours’ notice</w:t>
      </w:r>
      <w:r w:rsidRPr="008D1A3F">
        <w:rPr>
          <w:bCs/>
        </w:rPr>
        <w:t>, a site visit may be conducted of grant records at departments.</w:t>
      </w:r>
    </w:p>
    <w:p w14:paraId="20308F97" w14:textId="77777777" w:rsidR="00760A70" w:rsidRPr="008D1A3F" w:rsidRDefault="00760A70" w:rsidP="00953F34">
      <w:pPr>
        <w:numPr>
          <w:ilvl w:val="0"/>
          <w:numId w:val="4"/>
        </w:numPr>
        <w:tabs>
          <w:tab w:val="num" w:pos="0"/>
        </w:tabs>
        <w:spacing w:line="276" w:lineRule="auto"/>
      </w:pPr>
      <w:r w:rsidRPr="008D1A3F">
        <w:t xml:space="preserve">All </w:t>
      </w:r>
      <w:r w:rsidR="00E30060" w:rsidRPr="008D1A3F">
        <w:t>subrecipient</w:t>
      </w:r>
      <w:r w:rsidRPr="008D1A3F">
        <w:t xml:space="preserve">s must comply with the Federal Funding Accountability and Transparency Act </w:t>
      </w:r>
      <w:r w:rsidR="0012343C" w:rsidRPr="008D1A3F">
        <w:t xml:space="preserve">(FFATA). </w:t>
      </w:r>
      <w:r w:rsidR="009C7507" w:rsidRPr="008D1A3F">
        <w:t>Compliance only requires subrecipients to submit the r</w:t>
      </w:r>
      <w:r w:rsidR="0012343C" w:rsidRPr="008D1A3F">
        <w:t xml:space="preserve">equired information </w:t>
      </w:r>
      <w:r w:rsidR="009C7507" w:rsidRPr="008D1A3F">
        <w:t xml:space="preserve">to OGR in </w:t>
      </w:r>
      <w:r w:rsidR="0012343C" w:rsidRPr="008D1A3F">
        <w:t xml:space="preserve">the </w:t>
      </w:r>
      <w:r w:rsidR="009C7507" w:rsidRPr="008D1A3F">
        <w:t xml:space="preserve">FFATA </w:t>
      </w:r>
      <w:r w:rsidR="0012343C" w:rsidRPr="008D1A3F">
        <w:t xml:space="preserve">form </w:t>
      </w:r>
      <w:r w:rsidR="009C7507" w:rsidRPr="008D1A3F">
        <w:t xml:space="preserve">included as part of the </w:t>
      </w:r>
      <w:r w:rsidR="0012343C" w:rsidRPr="008D1A3F">
        <w:t>application package</w:t>
      </w:r>
      <w:r w:rsidR="009C7507" w:rsidRPr="008D1A3F">
        <w:t>. OGR will enter all required information to the FFATA Subaward Reporting System (FSRS) to meet the federal reporting requirements.</w:t>
      </w:r>
      <w:r w:rsidR="00612134" w:rsidRPr="008D1A3F">
        <w:t xml:space="preserve"> The blank form</w:t>
      </w:r>
      <w:r w:rsidR="009C7507" w:rsidRPr="008D1A3F">
        <w:t xml:space="preserve"> is available </w:t>
      </w:r>
      <w:r w:rsidR="007703FF" w:rsidRPr="008D1A3F">
        <w:t>at</w:t>
      </w:r>
      <w:r w:rsidR="009C7507" w:rsidRPr="008D1A3F">
        <w:t xml:space="preserve"> </w:t>
      </w:r>
      <w:hyperlink r:id="rId19" w:history="1">
        <w:r w:rsidR="00790E68" w:rsidRPr="008D1A3F">
          <w:rPr>
            <w:rStyle w:val="Hyperlink"/>
          </w:rPr>
          <w:t>https://www.mass.gov/service-details/traffic-safety-grants</w:t>
        </w:r>
      </w:hyperlink>
      <w:r w:rsidR="00790E68" w:rsidRPr="008D1A3F">
        <w:t xml:space="preserve"> </w:t>
      </w:r>
    </w:p>
    <w:p w14:paraId="02014FE1" w14:textId="77777777" w:rsidR="00760A70" w:rsidRPr="008D1A3F" w:rsidRDefault="00760A70" w:rsidP="00953F34">
      <w:pPr>
        <w:numPr>
          <w:ilvl w:val="0"/>
          <w:numId w:val="4"/>
        </w:numPr>
        <w:spacing w:line="276" w:lineRule="auto"/>
      </w:pPr>
      <w:r w:rsidRPr="008D1A3F">
        <w:t xml:space="preserve">In addition to the requirements set forth above, </w:t>
      </w:r>
      <w:r w:rsidR="00E30060" w:rsidRPr="008D1A3F">
        <w:t>subrecipient</w:t>
      </w:r>
      <w:r w:rsidRPr="008D1A3F">
        <w:t>s will be required to agree to and abide by all state and federal rules, regulations, and conditions pertaining to the receipt, administration, and management of federal funding.</w:t>
      </w:r>
    </w:p>
    <w:p w14:paraId="07620AD0" w14:textId="77777777" w:rsidR="007703FF" w:rsidRPr="008D1A3F" w:rsidRDefault="007703FF" w:rsidP="007703FF">
      <w:pPr>
        <w:numPr>
          <w:ilvl w:val="0"/>
          <w:numId w:val="4"/>
        </w:numPr>
        <w:spacing w:line="276" w:lineRule="auto"/>
      </w:pPr>
      <w:r w:rsidRPr="008D1A3F">
        <w:t xml:space="preserve">Applicants must read, sign and submit the OGR subrecipient grant </w:t>
      </w:r>
      <w:r w:rsidR="00D37A1E" w:rsidRPr="008D1A3F">
        <w:t>conditions</w:t>
      </w:r>
      <w:r w:rsidRPr="008D1A3F">
        <w:t xml:space="preserve"> document located online at </w:t>
      </w:r>
      <w:hyperlink r:id="rId20" w:history="1">
        <w:r w:rsidRPr="008D1A3F">
          <w:rPr>
            <w:rStyle w:val="Hyperlink"/>
          </w:rPr>
          <w:t>https://www.mass.gov/service-details/traffic-safety-grants</w:t>
        </w:r>
      </w:hyperlink>
      <w:r w:rsidRPr="008D1A3F">
        <w:t xml:space="preserve"> </w:t>
      </w:r>
    </w:p>
    <w:p w14:paraId="57457726" w14:textId="77777777" w:rsidR="00407A93" w:rsidRPr="008D1A3F" w:rsidRDefault="00407A93" w:rsidP="00953F34">
      <w:pPr>
        <w:numPr>
          <w:ilvl w:val="0"/>
          <w:numId w:val="4"/>
        </w:numPr>
        <w:spacing w:line="276" w:lineRule="auto"/>
        <w:rPr>
          <w:bCs/>
        </w:rPr>
      </w:pPr>
      <w:r w:rsidRPr="008D1A3F">
        <w:rPr>
          <w:bCs/>
        </w:rPr>
        <w:t>Subrecipients must submit a Final Narrative Re</w:t>
      </w:r>
      <w:r w:rsidR="005C2A19" w:rsidRPr="008D1A3F">
        <w:rPr>
          <w:bCs/>
        </w:rPr>
        <w:t xml:space="preserve">port no later than </w:t>
      </w:r>
      <w:r w:rsidR="00F82F13" w:rsidRPr="008D1A3F">
        <w:rPr>
          <w:bCs/>
        </w:rPr>
        <w:t>fifteen</w:t>
      </w:r>
      <w:r w:rsidR="00DC33B3" w:rsidRPr="008D1A3F">
        <w:rPr>
          <w:bCs/>
        </w:rPr>
        <w:t xml:space="preserve"> (15) days after the termination of the grant period. The report must summarize</w:t>
      </w:r>
      <w:r w:rsidRPr="008D1A3F">
        <w:rPr>
          <w:bCs/>
        </w:rPr>
        <w:t xml:space="preserve"> accomplishments, challenges</w:t>
      </w:r>
      <w:r w:rsidR="00D3516F" w:rsidRPr="008D1A3F">
        <w:rPr>
          <w:bCs/>
        </w:rPr>
        <w:t>,</w:t>
      </w:r>
      <w:r w:rsidRPr="008D1A3F">
        <w:rPr>
          <w:bCs/>
        </w:rPr>
        <w:t xml:space="preserve"> and progress towards </w:t>
      </w:r>
      <w:r w:rsidR="00DC33B3" w:rsidRPr="008D1A3F">
        <w:rPr>
          <w:bCs/>
        </w:rPr>
        <w:t xml:space="preserve">meeting </w:t>
      </w:r>
      <w:r w:rsidRPr="008D1A3F">
        <w:rPr>
          <w:bCs/>
        </w:rPr>
        <w:t>measurable goals</w:t>
      </w:r>
      <w:r w:rsidR="00D3516F" w:rsidRPr="008D1A3F">
        <w:rPr>
          <w:bCs/>
        </w:rPr>
        <w:t>,</w:t>
      </w:r>
      <w:r w:rsidRPr="008D1A3F">
        <w:rPr>
          <w:bCs/>
        </w:rPr>
        <w:t xml:space="preserve"> as stated in the application.</w:t>
      </w:r>
    </w:p>
    <w:p w14:paraId="1EF8D65F" w14:textId="77777777" w:rsidR="00435C75" w:rsidRPr="008D1A3F" w:rsidRDefault="00435C75" w:rsidP="00953F34">
      <w:pPr>
        <w:numPr>
          <w:ilvl w:val="0"/>
          <w:numId w:val="4"/>
        </w:numPr>
        <w:spacing w:line="276" w:lineRule="auto"/>
        <w:rPr>
          <w:bCs/>
        </w:rPr>
      </w:pPr>
      <w:r w:rsidRPr="008D1A3F">
        <w:rPr>
          <w:bCs/>
        </w:rPr>
        <w:lastRenderedPageBreak/>
        <w:t>Failure to comply with reporting requirements may result in non-reimbursement of funds or suspension of the grant award.</w:t>
      </w:r>
    </w:p>
    <w:p w14:paraId="4B44C271" w14:textId="77777777" w:rsidR="003409EB" w:rsidRPr="008D1A3F" w:rsidRDefault="00760A70" w:rsidP="00953F34">
      <w:pPr>
        <w:numPr>
          <w:ilvl w:val="0"/>
          <w:numId w:val="5"/>
        </w:numPr>
        <w:spacing w:line="276" w:lineRule="auto"/>
      </w:pPr>
      <w:r w:rsidRPr="008D1A3F">
        <w:t xml:space="preserve">No department may begin </w:t>
      </w:r>
      <w:r w:rsidR="00877380" w:rsidRPr="008D1A3F">
        <w:t>grant activities</w:t>
      </w:r>
      <w:r w:rsidRPr="008D1A3F">
        <w:t xml:space="preserve"> until </w:t>
      </w:r>
      <w:r w:rsidR="00FF03E1" w:rsidRPr="008D1A3F">
        <w:t xml:space="preserve">the </w:t>
      </w:r>
      <w:r w:rsidRPr="008D1A3F">
        <w:t xml:space="preserve">department receives official </w:t>
      </w:r>
      <w:r w:rsidR="00FF03E1" w:rsidRPr="008D1A3F">
        <w:t xml:space="preserve">written </w:t>
      </w:r>
      <w:r w:rsidRPr="008D1A3F">
        <w:t xml:space="preserve">notification </w:t>
      </w:r>
      <w:r w:rsidR="00EE11E4" w:rsidRPr="008D1A3F">
        <w:t xml:space="preserve">to proceed </w:t>
      </w:r>
      <w:r w:rsidRPr="008D1A3F">
        <w:t xml:space="preserve">from </w:t>
      </w:r>
      <w:r w:rsidR="007F42A7" w:rsidRPr="008D1A3F">
        <w:t>OGR</w:t>
      </w:r>
      <w:r w:rsidR="00750106" w:rsidRPr="008D1A3F">
        <w:t>.</w:t>
      </w:r>
    </w:p>
    <w:p w14:paraId="27E45147" w14:textId="77777777" w:rsidR="003409EB" w:rsidRPr="008D1A3F" w:rsidRDefault="00760A70" w:rsidP="003409EB">
      <w:pPr>
        <w:numPr>
          <w:ilvl w:val="1"/>
          <w:numId w:val="5"/>
        </w:numPr>
        <w:rPr>
          <w:i/>
        </w:rPr>
      </w:pPr>
      <w:r w:rsidRPr="008D1A3F">
        <w:rPr>
          <w:i/>
        </w:rPr>
        <w:t>No costs incurred before the department receives written notification will be reimbursed</w:t>
      </w:r>
      <w:r w:rsidR="00616D8B" w:rsidRPr="008D1A3F">
        <w:rPr>
          <w:i/>
        </w:rPr>
        <w:t>.</w:t>
      </w:r>
    </w:p>
    <w:p w14:paraId="7D0EDDAA" w14:textId="77777777" w:rsidR="00750106" w:rsidRPr="008D1A3F" w:rsidRDefault="003409EB" w:rsidP="00750106">
      <w:pPr>
        <w:numPr>
          <w:ilvl w:val="1"/>
          <w:numId w:val="5"/>
        </w:numPr>
        <w:rPr>
          <w:i/>
        </w:rPr>
      </w:pPr>
      <w:r w:rsidRPr="008D1A3F">
        <w:rPr>
          <w:i/>
        </w:rPr>
        <w:t>No cost</w:t>
      </w:r>
      <w:r w:rsidR="00656643" w:rsidRPr="008D1A3F">
        <w:rPr>
          <w:i/>
        </w:rPr>
        <w:t xml:space="preserve">s incurred after </w:t>
      </w:r>
      <w:r w:rsidR="00750106" w:rsidRPr="008D1A3F">
        <w:rPr>
          <w:i/>
        </w:rPr>
        <w:t xml:space="preserve">the grant award terminates </w:t>
      </w:r>
      <w:r w:rsidRPr="008D1A3F">
        <w:rPr>
          <w:i/>
        </w:rPr>
        <w:t>will be reimbursed</w:t>
      </w:r>
      <w:r w:rsidR="00616D8B" w:rsidRPr="008D1A3F">
        <w:rPr>
          <w:i/>
        </w:rPr>
        <w:t>.</w:t>
      </w:r>
    </w:p>
    <w:p w14:paraId="3E5AD0E6" w14:textId="77777777" w:rsidR="00750106" w:rsidRPr="008D1A3F" w:rsidRDefault="00750106" w:rsidP="00750106">
      <w:pPr>
        <w:numPr>
          <w:ilvl w:val="0"/>
          <w:numId w:val="5"/>
        </w:numPr>
      </w:pPr>
      <w:r w:rsidRPr="008D1A3F">
        <w:t xml:space="preserve">All </w:t>
      </w:r>
      <w:r w:rsidR="001E06FA" w:rsidRPr="008D1A3F">
        <w:t xml:space="preserve">goods and services must be provided and all program </w:t>
      </w:r>
      <w:r w:rsidR="00A51975" w:rsidRPr="008D1A3F">
        <w:t>activities must be completed</w:t>
      </w:r>
      <w:r w:rsidRPr="008D1A3F">
        <w:t xml:space="preserve"> </w:t>
      </w:r>
      <w:r w:rsidR="0035264F" w:rsidRPr="008D1A3F">
        <w:t>no later than t</w:t>
      </w:r>
      <w:r w:rsidRPr="008D1A3F">
        <w:t>he termination date of the grant period.</w:t>
      </w:r>
    </w:p>
    <w:p w14:paraId="3D0CD10F" w14:textId="77777777" w:rsidR="00616D8B" w:rsidRPr="008D1A3F" w:rsidRDefault="00616D8B" w:rsidP="00760A70">
      <w:pPr>
        <w:jc w:val="both"/>
        <w:rPr>
          <w:u w:val="single"/>
        </w:rPr>
      </w:pPr>
    </w:p>
    <w:p w14:paraId="02BDEA04" w14:textId="34FAFC12" w:rsidR="00760A70" w:rsidRPr="008D1A3F" w:rsidRDefault="00760A70" w:rsidP="00760A70">
      <w:pPr>
        <w:jc w:val="both"/>
      </w:pPr>
      <w:r w:rsidRPr="008D1A3F">
        <w:rPr>
          <w:i/>
          <w:u w:val="single"/>
        </w:rPr>
        <w:t>Risk-Assessment and Compliance Monitoring</w:t>
      </w:r>
    </w:p>
    <w:p w14:paraId="4AC73E5F" w14:textId="77777777" w:rsidR="00760A70" w:rsidRPr="008D1A3F" w:rsidRDefault="00760A70" w:rsidP="00953F34">
      <w:pPr>
        <w:numPr>
          <w:ilvl w:val="0"/>
          <w:numId w:val="3"/>
        </w:numPr>
        <w:tabs>
          <w:tab w:val="clear" w:pos="360"/>
        </w:tabs>
        <w:spacing w:line="276" w:lineRule="auto"/>
        <w:ind w:left="540"/>
        <w:rPr>
          <w:bCs/>
        </w:rPr>
      </w:pPr>
      <w:r w:rsidRPr="008D1A3F">
        <w:rPr>
          <w:bCs/>
        </w:rPr>
        <w:t xml:space="preserve">All </w:t>
      </w:r>
      <w:r w:rsidR="00535D00" w:rsidRPr="008D1A3F">
        <w:rPr>
          <w:bCs/>
        </w:rPr>
        <w:t xml:space="preserve">subrecipients </w:t>
      </w:r>
      <w:r w:rsidRPr="008D1A3F">
        <w:rPr>
          <w:bCs/>
        </w:rPr>
        <w:t xml:space="preserve">are subject to compliance monitoring. </w:t>
      </w:r>
    </w:p>
    <w:p w14:paraId="58B08EB7" w14:textId="77777777" w:rsidR="00760A70" w:rsidRPr="008D1A3F" w:rsidRDefault="00760A70" w:rsidP="00953F34">
      <w:pPr>
        <w:numPr>
          <w:ilvl w:val="0"/>
          <w:numId w:val="3"/>
        </w:numPr>
        <w:tabs>
          <w:tab w:val="clear" w:pos="360"/>
        </w:tabs>
        <w:spacing w:line="276" w:lineRule="auto"/>
        <w:ind w:left="540"/>
        <w:rPr>
          <w:bCs/>
        </w:rPr>
      </w:pPr>
      <w:r w:rsidRPr="008D1A3F">
        <w:rPr>
          <w:bCs/>
        </w:rPr>
        <w:t xml:space="preserve">If </w:t>
      </w:r>
      <w:r w:rsidR="007F42A7" w:rsidRPr="008D1A3F">
        <w:rPr>
          <w:bCs/>
        </w:rPr>
        <w:t>OGR</w:t>
      </w:r>
      <w:r w:rsidRPr="008D1A3F">
        <w:rPr>
          <w:bCs/>
        </w:rPr>
        <w:t xml:space="preserve"> perceives issues relating to any of the requirements above, appropriate action will take place</w:t>
      </w:r>
      <w:r w:rsidR="00DE715D" w:rsidRPr="008D1A3F">
        <w:rPr>
          <w:bCs/>
        </w:rPr>
        <w:t>,</w:t>
      </w:r>
      <w:r w:rsidRPr="008D1A3F">
        <w:rPr>
          <w:bCs/>
        </w:rPr>
        <w:t xml:space="preserve"> including, but not limited to, a site visit, file reviews, and suspension of funding.</w:t>
      </w:r>
    </w:p>
    <w:p w14:paraId="085FE8E9" w14:textId="77777777" w:rsidR="00A1497A" w:rsidRPr="008D1A3F" w:rsidRDefault="00535D00" w:rsidP="00953F34">
      <w:pPr>
        <w:numPr>
          <w:ilvl w:val="0"/>
          <w:numId w:val="3"/>
        </w:numPr>
        <w:tabs>
          <w:tab w:val="clear" w:pos="360"/>
        </w:tabs>
        <w:spacing w:line="276" w:lineRule="auto"/>
        <w:ind w:left="540"/>
        <w:rPr>
          <w:bCs/>
        </w:rPr>
      </w:pPr>
      <w:r w:rsidRPr="008D1A3F">
        <w:rPr>
          <w:bCs/>
        </w:rPr>
        <w:t xml:space="preserve">Subrecipients </w:t>
      </w:r>
      <w:r w:rsidR="00760A70" w:rsidRPr="008D1A3F">
        <w:rPr>
          <w:bCs/>
        </w:rPr>
        <w:t>that do not observe reporting deadlines, submit in</w:t>
      </w:r>
      <w:r w:rsidR="002E4742" w:rsidRPr="008D1A3F">
        <w:rPr>
          <w:bCs/>
        </w:rPr>
        <w:t>complete reports, fail to follow</w:t>
      </w:r>
      <w:r w:rsidR="00760A70" w:rsidRPr="008D1A3F">
        <w:rPr>
          <w:bCs/>
        </w:rPr>
        <w:t xml:space="preserve"> the timeline promised in the grant application, or engage in other practices not in keeping with grant requirements will be at risk for losing </w:t>
      </w:r>
      <w:r w:rsidR="007F42A7" w:rsidRPr="008D1A3F">
        <w:rPr>
          <w:bCs/>
        </w:rPr>
        <w:t>OGR</w:t>
      </w:r>
      <w:r w:rsidR="00860B02" w:rsidRPr="008D1A3F">
        <w:rPr>
          <w:bCs/>
        </w:rPr>
        <w:t xml:space="preserve"> </w:t>
      </w:r>
      <w:r w:rsidR="00760A70" w:rsidRPr="008D1A3F">
        <w:rPr>
          <w:bCs/>
        </w:rPr>
        <w:t xml:space="preserve">grant funding and becoming ineligible to receive any future </w:t>
      </w:r>
      <w:r w:rsidR="007F42A7" w:rsidRPr="008D1A3F">
        <w:rPr>
          <w:bCs/>
        </w:rPr>
        <w:t>OGR</w:t>
      </w:r>
      <w:r w:rsidR="00860B02" w:rsidRPr="008D1A3F">
        <w:rPr>
          <w:bCs/>
        </w:rPr>
        <w:t xml:space="preserve"> </w:t>
      </w:r>
      <w:r w:rsidR="00760A70" w:rsidRPr="008D1A3F">
        <w:rPr>
          <w:bCs/>
        </w:rPr>
        <w:t>grant funding.</w:t>
      </w:r>
    </w:p>
    <w:p w14:paraId="6276F1BB" w14:textId="77777777" w:rsidR="007C12A1" w:rsidRPr="008D1A3F" w:rsidRDefault="007C12A1" w:rsidP="007115D3">
      <w:pPr>
        <w:spacing w:line="276" w:lineRule="auto"/>
        <w:rPr>
          <w:bCs/>
        </w:rPr>
      </w:pPr>
    </w:p>
    <w:p w14:paraId="082490E4" w14:textId="77777777" w:rsidR="007C12A1" w:rsidRPr="008D1A3F" w:rsidRDefault="007C12A1" w:rsidP="007C12A1">
      <w:pPr>
        <w:rPr>
          <w:bCs/>
          <w:u w:val="single"/>
        </w:rPr>
      </w:pPr>
      <w:r w:rsidRPr="008D1A3F">
        <w:rPr>
          <w:bCs/>
          <w:u w:val="single"/>
        </w:rPr>
        <w:t xml:space="preserve">OGR </w:t>
      </w:r>
      <w:r w:rsidRPr="008D1A3F">
        <w:rPr>
          <w:b/>
          <w:bCs/>
          <w:u w:val="single"/>
        </w:rPr>
        <w:t>OVERTIME POLICY</w:t>
      </w:r>
      <w:r w:rsidRPr="008D1A3F">
        <w:rPr>
          <w:bCs/>
          <w:u w:val="single"/>
        </w:rPr>
        <w:t xml:space="preserve"> FOR STATE AND LOCAL LAW ENFORCEMENT DEPARTMENTS RECEIVING FEDERAL FUNDS</w:t>
      </w:r>
    </w:p>
    <w:p w14:paraId="7DD73B43" w14:textId="77777777" w:rsidR="007C12A1" w:rsidRPr="008D1A3F" w:rsidRDefault="007C12A1" w:rsidP="007C12A1">
      <w:pPr>
        <w:jc w:val="center"/>
        <w:rPr>
          <w:b/>
          <w:bCs/>
        </w:rPr>
      </w:pPr>
    </w:p>
    <w:p w14:paraId="450981A2" w14:textId="77777777" w:rsidR="007C12A1" w:rsidRPr="008D1A3F" w:rsidRDefault="007C12A1" w:rsidP="007C12A1">
      <w:r w:rsidRPr="008D1A3F">
        <w:t xml:space="preserve">This policy applies to all subrecipients and contractors that receive a Federal grant award from the Executive Office of Public Safety and Security’s Office of Grants and Research (OGR). </w:t>
      </w:r>
    </w:p>
    <w:p w14:paraId="18BF0D47" w14:textId="77777777" w:rsidR="007C12A1" w:rsidRPr="008D1A3F" w:rsidRDefault="007C12A1" w:rsidP="007C12A1"/>
    <w:p w14:paraId="746D2612" w14:textId="77777777" w:rsidR="007C12A1" w:rsidRPr="008D1A3F" w:rsidRDefault="007C12A1" w:rsidP="007C12A1">
      <w:r w:rsidRPr="008D1A3F">
        <w:t xml:space="preserve">State and local first responders that are eligible through their department for </w:t>
      </w:r>
      <w:r w:rsidRPr="008D1A3F">
        <w:rPr>
          <w:b/>
          <w:bCs/>
          <w:u w:val="single"/>
        </w:rPr>
        <w:t>backfill and/or overtime costs</w:t>
      </w:r>
      <w:r w:rsidRPr="008D1A3F">
        <w:t xml:space="preserve"> (and preapproved by OGR) may be reimbursed for backfill and/or overtime costs </w:t>
      </w:r>
      <w:r w:rsidRPr="008D1A3F">
        <w:rPr>
          <w:b/>
          <w:bCs/>
        </w:rPr>
        <w:t xml:space="preserve">related to </w:t>
      </w:r>
      <w:r w:rsidR="00DE715D" w:rsidRPr="008D1A3F">
        <w:rPr>
          <w:b/>
          <w:bCs/>
        </w:rPr>
        <w:t>grant-</w:t>
      </w:r>
      <w:r w:rsidRPr="008D1A3F">
        <w:rPr>
          <w:b/>
          <w:bCs/>
        </w:rPr>
        <w:t>funded activities ONLY.</w:t>
      </w:r>
      <w:r w:rsidRPr="008D1A3F">
        <w:t xml:space="preserve">    </w:t>
      </w:r>
    </w:p>
    <w:p w14:paraId="1A5A731B" w14:textId="77777777" w:rsidR="007C12A1" w:rsidRPr="008D1A3F" w:rsidRDefault="007C12A1" w:rsidP="007C12A1"/>
    <w:p w14:paraId="1AFEA24F" w14:textId="77777777" w:rsidR="007C12A1" w:rsidRPr="008D1A3F" w:rsidRDefault="007C12A1" w:rsidP="007C12A1">
      <w:r w:rsidRPr="008D1A3F">
        <w:rPr>
          <w:b/>
          <w:bCs/>
          <w:u w:val="single"/>
        </w:rPr>
        <w:t>Overtime</w:t>
      </w:r>
      <w:r w:rsidRPr="008D1A3F">
        <w:t xml:space="preserve"> hours being charged against a federal grant award provided by OGR may only seek reimbursement for </w:t>
      </w:r>
      <w:r w:rsidRPr="008D1A3F">
        <w:rPr>
          <w:b/>
          <w:bCs/>
        </w:rPr>
        <w:t>actual hours worked</w:t>
      </w:r>
      <w:r w:rsidRPr="008D1A3F">
        <w:t xml:space="preserve"> regardless of union contract rules.   For example, an officer working one hour of overtime on a federally funded project awarded by OGR is </w:t>
      </w:r>
      <w:r w:rsidRPr="008D1A3F">
        <w:rPr>
          <w:b/>
          <w:bCs/>
        </w:rPr>
        <w:t>prohibited</w:t>
      </w:r>
      <w:r w:rsidRPr="008D1A3F">
        <w:t xml:space="preserve"> from </w:t>
      </w:r>
      <w:r w:rsidRPr="008D1A3F">
        <w:rPr>
          <w:b/>
          <w:bCs/>
        </w:rPr>
        <w:t xml:space="preserve">charging the grant award for 4 hours of overtime </w:t>
      </w:r>
      <w:r w:rsidRPr="008D1A3F">
        <w:t xml:space="preserve">due to a union contract.  A department that must allow for this will need to cover the remaining 3 hours of overtime from their own state or local budget.  </w:t>
      </w:r>
      <w:r w:rsidRPr="008D1A3F">
        <w:rPr>
          <w:b/>
          <w:bCs/>
        </w:rPr>
        <w:t xml:space="preserve">Departments found violating this policy will be subject to immediate termination of a grant award and must return all misspent funds to OGR.       </w:t>
      </w:r>
    </w:p>
    <w:p w14:paraId="35A57FD3" w14:textId="77777777" w:rsidR="00EC61AF" w:rsidRPr="008D1A3F" w:rsidRDefault="00EC61AF" w:rsidP="007C12A1">
      <w:pPr>
        <w:rPr>
          <w:b/>
          <w:bCs/>
        </w:rPr>
      </w:pPr>
    </w:p>
    <w:p w14:paraId="2925944D" w14:textId="77777777" w:rsidR="007C12A1" w:rsidRPr="008D1A3F" w:rsidRDefault="007C12A1" w:rsidP="007C12A1">
      <w:pPr>
        <w:rPr>
          <w:b/>
          <w:bCs/>
        </w:rPr>
      </w:pPr>
      <w:r w:rsidRPr="008D1A3F">
        <w:rPr>
          <w:b/>
          <w:bCs/>
        </w:rPr>
        <w:t>Definitions</w:t>
      </w:r>
    </w:p>
    <w:p w14:paraId="21B70EDD" w14:textId="77777777" w:rsidR="007C12A1" w:rsidRPr="008D1A3F" w:rsidRDefault="007C12A1" w:rsidP="007C12A1">
      <w:r w:rsidRPr="008D1A3F">
        <w:t>For the purpose of this policy, definitions for the key terms referenced within are listed below:</w:t>
      </w:r>
    </w:p>
    <w:p w14:paraId="06C1F34E" w14:textId="77777777" w:rsidR="00EC61AF" w:rsidRPr="008D1A3F" w:rsidRDefault="00EC61AF" w:rsidP="007C12A1"/>
    <w:p w14:paraId="599FA198" w14:textId="77777777" w:rsidR="007C12A1" w:rsidRPr="008D1A3F" w:rsidRDefault="007C12A1" w:rsidP="007C12A1">
      <w:pPr>
        <w:pStyle w:val="ListParagraph"/>
        <w:numPr>
          <w:ilvl w:val="0"/>
          <w:numId w:val="24"/>
        </w:numPr>
        <w:ind w:left="540"/>
        <w:contextualSpacing/>
        <w:rPr>
          <w:rFonts w:ascii="Times New Roman" w:hAnsi="Times New Roman"/>
          <w:sz w:val="24"/>
        </w:rPr>
      </w:pPr>
      <w:r w:rsidRPr="008D1A3F">
        <w:rPr>
          <w:rFonts w:ascii="Times New Roman" w:hAnsi="Times New Roman"/>
          <w:iCs/>
          <w:sz w:val="24"/>
          <w:u w:val="single"/>
        </w:rPr>
        <w:t>Overtime</w:t>
      </w:r>
      <w:r w:rsidR="00EC61AF" w:rsidRPr="008D1A3F">
        <w:rPr>
          <w:rFonts w:ascii="Times New Roman" w:hAnsi="Times New Roman"/>
          <w:iCs/>
          <w:sz w:val="24"/>
          <w:u w:val="single"/>
        </w:rPr>
        <w:t xml:space="preserve"> </w:t>
      </w:r>
      <w:r w:rsidRPr="008D1A3F">
        <w:rPr>
          <w:rFonts w:ascii="Times New Roman" w:hAnsi="Times New Roman"/>
          <w:sz w:val="24"/>
        </w:rPr>
        <w:t>-</w:t>
      </w:r>
      <w:r w:rsidR="000B530B" w:rsidRPr="008D1A3F">
        <w:rPr>
          <w:rFonts w:ascii="Times New Roman" w:hAnsi="Times New Roman"/>
          <w:sz w:val="24"/>
        </w:rPr>
        <w:t xml:space="preserve"> </w:t>
      </w:r>
      <w:r w:rsidRPr="008D1A3F">
        <w:rPr>
          <w:rFonts w:ascii="Times New Roman" w:hAnsi="Times New Roman"/>
          <w:sz w:val="24"/>
        </w:rPr>
        <w:t xml:space="preserve">Expenses limited to the additional costs that result from state and local first responders such as sworn law enforcement personnel working over and above their weekly full-time/part-time schedule as </w:t>
      </w:r>
      <w:r w:rsidR="00DE715D" w:rsidRPr="008D1A3F">
        <w:rPr>
          <w:rFonts w:ascii="Times New Roman" w:hAnsi="Times New Roman"/>
          <w:sz w:val="24"/>
        </w:rPr>
        <w:t xml:space="preserve">a </w:t>
      </w:r>
      <w:r w:rsidRPr="008D1A3F">
        <w:rPr>
          <w:rFonts w:ascii="Times New Roman" w:hAnsi="Times New Roman"/>
          <w:sz w:val="24"/>
        </w:rPr>
        <w:t>direct result of their performance of approved activities related to the project receiving federal funding.</w:t>
      </w:r>
    </w:p>
    <w:p w14:paraId="5C072F24" w14:textId="77777777" w:rsidR="007C12A1" w:rsidRPr="008D1A3F" w:rsidRDefault="007C12A1" w:rsidP="007C12A1">
      <w:pPr>
        <w:pStyle w:val="ListParagraph"/>
        <w:numPr>
          <w:ilvl w:val="0"/>
          <w:numId w:val="24"/>
        </w:numPr>
        <w:ind w:left="540"/>
        <w:contextualSpacing/>
        <w:rPr>
          <w:rFonts w:ascii="Times New Roman" w:hAnsi="Times New Roman"/>
          <w:sz w:val="24"/>
        </w:rPr>
      </w:pPr>
      <w:r w:rsidRPr="008D1A3F">
        <w:rPr>
          <w:rFonts w:ascii="Times New Roman" w:hAnsi="Times New Roman"/>
          <w:iCs/>
          <w:sz w:val="24"/>
          <w:u w:val="single"/>
        </w:rPr>
        <w:lastRenderedPageBreak/>
        <w:t>Backfill related Overtime</w:t>
      </w:r>
      <w:r w:rsidR="00EC61AF" w:rsidRPr="008D1A3F">
        <w:rPr>
          <w:rFonts w:ascii="Times New Roman" w:hAnsi="Times New Roman"/>
          <w:iCs/>
          <w:sz w:val="24"/>
        </w:rPr>
        <w:t xml:space="preserve"> </w:t>
      </w:r>
      <w:r w:rsidRPr="008D1A3F">
        <w:rPr>
          <w:rFonts w:ascii="Times New Roman" w:hAnsi="Times New Roman"/>
          <w:iCs/>
          <w:sz w:val="24"/>
        </w:rPr>
        <w:t>-</w:t>
      </w:r>
      <w:r w:rsidR="00EC61AF" w:rsidRPr="008D1A3F">
        <w:rPr>
          <w:rFonts w:ascii="Times New Roman" w:hAnsi="Times New Roman"/>
          <w:iCs/>
          <w:sz w:val="24"/>
        </w:rPr>
        <w:t xml:space="preserve"> </w:t>
      </w:r>
      <w:r w:rsidRPr="008D1A3F">
        <w:rPr>
          <w:rFonts w:ascii="Times New Roman" w:hAnsi="Times New Roman"/>
          <w:sz w:val="24"/>
        </w:rPr>
        <w:t>Expenses limited to overtime costs that result from personnel who are working overtime (as identified above) to perform the duties of other personnel who are temporarily assigned to an approved grant activity outside of their core responsibilities.</w:t>
      </w:r>
    </w:p>
    <w:p w14:paraId="1AA859A3" w14:textId="77777777" w:rsidR="007C12A1" w:rsidRPr="008D1A3F" w:rsidRDefault="007C12A1" w:rsidP="007C12A1">
      <w:pPr>
        <w:pStyle w:val="ListParagraph"/>
        <w:numPr>
          <w:ilvl w:val="0"/>
          <w:numId w:val="24"/>
        </w:numPr>
        <w:ind w:left="540"/>
        <w:contextualSpacing/>
        <w:rPr>
          <w:rFonts w:ascii="Times New Roman" w:hAnsi="Times New Roman"/>
          <w:sz w:val="24"/>
        </w:rPr>
      </w:pPr>
      <w:r w:rsidRPr="008D1A3F">
        <w:rPr>
          <w:rFonts w:ascii="Times New Roman" w:hAnsi="Times New Roman"/>
          <w:iCs/>
          <w:sz w:val="24"/>
          <w:u w:val="single"/>
        </w:rPr>
        <w:t>Subrecipient</w:t>
      </w:r>
      <w:r w:rsidR="00EC61AF" w:rsidRPr="008D1A3F">
        <w:rPr>
          <w:rFonts w:ascii="Times New Roman" w:hAnsi="Times New Roman"/>
          <w:iCs/>
          <w:sz w:val="24"/>
        </w:rPr>
        <w:t xml:space="preserve"> </w:t>
      </w:r>
      <w:r w:rsidRPr="008D1A3F">
        <w:rPr>
          <w:rFonts w:ascii="Times New Roman" w:hAnsi="Times New Roman"/>
          <w:iCs/>
          <w:sz w:val="24"/>
        </w:rPr>
        <w:t>-</w:t>
      </w:r>
      <w:r w:rsidR="000B530B" w:rsidRPr="008D1A3F">
        <w:rPr>
          <w:rFonts w:ascii="Times New Roman" w:hAnsi="Times New Roman"/>
          <w:iCs/>
          <w:sz w:val="24"/>
        </w:rPr>
        <w:t xml:space="preserve"> </w:t>
      </w:r>
      <w:r w:rsidRPr="008D1A3F">
        <w:rPr>
          <w:rFonts w:ascii="Times New Roman" w:hAnsi="Times New Roman"/>
          <w:sz w:val="24"/>
        </w:rPr>
        <w:t>An entity receiving a grant award from OGR.</w:t>
      </w:r>
    </w:p>
    <w:p w14:paraId="1C20F820" w14:textId="6FFC5AB8" w:rsidR="007C12A1" w:rsidRPr="008D1A3F" w:rsidRDefault="007C12A1" w:rsidP="001B14C2">
      <w:pPr>
        <w:pStyle w:val="ListParagraph"/>
        <w:numPr>
          <w:ilvl w:val="0"/>
          <w:numId w:val="24"/>
        </w:numPr>
        <w:ind w:left="540"/>
        <w:contextualSpacing/>
        <w:rPr>
          <w:rFonts w:ascii="Times New Roman" w:hAnsi="Times New Roman"/>
        </w:rPr>
      </w:pPr>
      <w:r w:rsidRPr="008D1A3F">
        <w:rPr>
          <w:rFonts w:ascii="Times New Roman" w:hAnsi="Times New Roman"/>
          <w:iCs/>
          <w:sz w:val="24"/>
          <w:u w:val="single"/>
        </w:rPr>
        <w:t>First Responder</w:t>
      </w:r>
      <w:r w:rsidR="00EC61AF" w:rsidRPr="008D1A3F">
        <w:rPr>
          <w:rFonts w:ascii="Times New Roman" w:hAnsi="Times New Roman"/>
          <w:iCs/>
          <w:sz w:val="24"/>
        </w:rPr>
        <w:t xml:space="preserve"> </w:t>
      </w:r>
      <w:r w:rsidRPr="008D1A3F">
        <w:rPr>
          <w:rFonts w:ascii="Times New Roman" w:hAnsi="Times New Roman"/>
          <w:sz w:val="24"/>
        </w:rPr>
        <w:t>-</w:t>
      </w:r>
      <w:r w:rsidR="000B530B" w:rsidRPr="008D1A3F">
        <w:rPr>
          <w:rFonts w:ascii="Times New Roman" w:hAnsi="Times New Roman"/>
          <w:sz w:val="24"/>
        </w:rPr>
        <w:t xml:space="preserve"> </w:t>
      </w:r>
      <w:r w:rsidRPr="008D1A3F">
        <w:rPr>
          <w:rFonts w:ascii="Times New Roman" w:hAnsi="Times New Roman"/>
          <w:sz w:val="24"/>
        </w:rPr>
        <w:t xml:space="preserve">State or local law enforcement, fire services, emergency medical services, emergency management, health care, hazardous materials, public safety communications, public health, public works, and government administrative type employees.  </w:t>
      </w:r>
    </w:p>
    <w:p w14:paraId="3F314738" w14:textId="77777777" w:rsidR="00BD0181" w:rsidRPr="008D1A3F" w:rsidRDefault="00BD0181" w:rsidP="00BD0181">
      <w:pPr>
        <w:pStyle w:val="ListParagraph"/>
        <w:ind w:left="540"/>
        <w:contextualSpacing/>
        <w:rPr>
          <w:rFonts w:ascii="Times New Roman" w:hAnsi="Times New Roman"/>
        </w:rPr>
      </w:pPr>
    </w:p>
    <w:p w14:paraId="37DBB213" w14:textId="01E3B963" w:rsidR="00EC61AF" w:rsidRPr="008D1A3F" w:rsidRDefault="007C12A1" w:rsidP="007C12A1">
      <w:r w:rsidRPr="008D1A3F">
        <w:t xml:space="preserve">If awarded to utilize grant funding for overtime costs, OGR staff will provide additional criteria and reporting forms needed at the time an award is made to justify and support such reimbursement costs being charged against the grant.  </w:t>
      </w:r>
    </w:p>
    <w:p w14:paraId="0B401BD4" w14:textId="77777777" w:rsidR="001D3A01" w:rsidRPr="008D1A3F" w:rsidRDefault="001D3A01" w:rsidP="001D3A01">
      <w:pPr>
        <w:rPr>
          <w:highlight w:val="yellow"/>
        </w:rPr>
      </w:pPr>
    </w:p>
    <w:p w14:paraId="35784458" w14:textId="1338685A" w:rsidR="00620696" w:rsidRDefault="001D3A01" w:rsidP="001D3A01">
      <w:r w:rsidRPr="008D1A3F">
        <w:t>OGR reserves the right to discuss and modify any program or budget elements with applicants prior to final award selection.</w:t>
      </w:r>
    </w:p>
    <w:p w14:paraId="7607FDF0" w14:textId="77777777" w:rsidR="00620696" w:rsidRDefault="00620696">
      <w:pPr>
        <w:spacing w:after="200" w:line="276" w:lineRule="auto"/>
      </w:pPr>
      <w:r>
        <w:br w:type="page"/>
      </w:r>
    </w:p>
    <w:p w14:paraId="21374AEE" w14:textId="181A7DD2" w:rsidR="00760A70" w:rsidRPr="008D1A3F" w:rsidRDefault="00760A70" w:rsidP="000C4D5C">
      <w:pPr>
        <w:pStyle w:val="Heading1"/>
        <w:numPr>
          <w:ilvl w:val="0"/>
          <w:numId w:val="42"/>
        </w:numPr>
        <w:ind w:left="540" w:hanging="540"/>
      </w:pPr>
      <w:bookmarkStart w:id="6" w:name="_Toc31207032"/>
      <w:r w:rsidRPr="008D1A3F">
        <w:lastRenderedPageBreak/>
        <w:t xml:space="preserve">Submission </w:t>
      </w:r>
      <w:bookmarkEnd w:id="6"/>
      <w:r w:rsidR="000C4D5C" w:rsidRPr="008D1A3F">
        <w:t>Process and Deadline</w:t>
      </w:r>
    </w:p>
    <w:p w14:paraId="6142481B" w14:textId="77777777" w:rsidR="00612CAE" w:rsidRPr="008D1A3F" w:rsidRDefault="00612CAE" w:rsidP="00612CAE">
      <w:pPr>
        <w:rPr>
          <w:b/>
        </w:rPr>
      </w:pPr>
    </w:p>
    <w:p w14:paraId="46D514C4" w14:textId="05C34EE6" w:rsidR="00612CAE" w:rsidRPr="008D1A3F" w:rsidRDefault="00612CAE" w:rsidP="00BD0181">
      <w:pPr>
        <w:rPr>
          <w:rFonts w:eastAsiaTheme="minorHAnsi"/>
          <w:b/>
          <w:i/>
          <w:color w:val="C00000"/>
          <w:u w:val="single"/>
        </w:rPr>
      </w:pPr>
      <w:r w:rsidRPr="008D1A3F">
        <w:rPr>
          <w:rFonts w:eastAsiaTheme="minorHAnsi"/>
          <w:b/>
          <w:i/>
          <w:color w:val="C00000"/>
          <w:u w:val="single"/>
        </w:rPr>
        <w:t xml:space="preserve">Application Deadline – </w:t>
      </w:r>
      <w:r w:rsidR="00B67AF6" w:rsidRPr="008D1A3F">
        <w:rPr>
          <w:rFonts w:eastAsiaTheme="minorHAnsi"/>
          <w:b/>
          <w:i/>
          <w:color w:val="C00000"/>
          <w:u w:val="single"/>
        </w:rPr>
        <w:t>April 3</w:t>
      </w:r>
      <w:r w:rsidR="000D0AE7" w:rsidRPr="008D1A3F">
        <w:rPr>
          <w:rFonts w:eastAsiaTheme="minorHAnsi"/>
          <w:b/>
          <w:i/>
          <w:color w:val="C00000"/>
          <w:u w:val="single"/>
        </w:rPr>
        <w:t>, 2020</w:t>
      </w:r>
    </w:p>
    <w:p w14:paraId="778A7EB0" w14:textId="77777777" w:rsidR="009A1A87" w:rsidRPr="008D1A3F" w:rsidRDefault="009A1A87" w:rsidP="00612CAE">
      <w:pPr>
        <w:rPr>
          <w:rFonts w:eastAsiaTheme="minorHAnsi"/>
        </w:rPr>
      </w:pPr>
    </w:p>
    <w:p w14:paraId="172B1DD3" w14:textId="0F7D4ECF" w:rsidR="005F0AD8" w:rsidRPr="008D1A3F" w:rsidRDefault="000C4D5C" w:rsidP="00612CAE">
      <w:pPr>
        <w:rPr>
          <w:rFonts w:eastAsiaTheme="minorHAnsi"/>
          <w:b/>
        </w:rPr>
      </w:pPr>
      <w:r w:rsidRPr="008D1A3F">
        <w:rPr>
          <w:rFonts w:eastAsiaTheme="minorHAnsi"/>
        </w:rPr>
        <w:t>Only completed and signed OGR</w:t>
      </w:r>
      <w:r w:rsidR="006B0045">
        <w:rPr>
          <w:rFonts w:eastAsiaTheme="minorHAnsi"/>
        </w:rPr>
        <w:t>-</w:t>
      </w:r>
      <w:r w:rsidRPr="008D1A3F">
        <w:rPr>
          <w:rFonts w:eastAsiaTheme="minorHAnsi"/>
        </w:rPr>
        <w:t xml:space="preserve">provided AGF response documents will be considered. </w:t>
      </w:r>
      <w:r w:rsidR="00327B89" w:rsidRPr="008D1A3F">
        <w:rPr>
          <w:rFonts w:eastAsiaTheme="minorHAnsi"/>
        </w:rPr>
        <w:t>E</w:t>
      </w:r>
      <w:r w:rsidR="00612CAE" w:rsidRPr="008D1A3F">
        <w:rPr>
          <w:rFonts w:eastAsiaTheme="minorHAnsi"/>
        </w:rPr>
        <w:t>lectronic version</w:t>
      </w:r>
      <w:r w:rsidR="00327B89" w:rsidRPr="008D1A3F">
        <w:rPr>
          <w:rFonts w:eastAsiaTheme="minorHAnsi"/>
        </w:rPr>
        <w:t>s</w:t>
      </w:r>
      <w:r w:rsidR="001D3A01" w:rsidRPr="008D1A3F">
        <w:rPr>
          <w:rFonts w:eastAsiaTheme="minorHAnsi"/>
        </w:rPr>
        <w:t xml:space="preserve"> of the Application Template (Attachment A), Excel Budget Detail </w:t>
      </w:r>
      <w:r w:rsidR="00BD02C4" w:rsidRPr="008D1A3F">
        <w:rPr>
          <w:rFonts w:eastAsiaTheme="minorHAnsi"/>
        </w:rPr>
        <w:t>Worksheet</w:t>
      </w:r>
      <w:r w:rsidR="001D3A01" w:rsidRPr="008D1A3F">
        <w:rPr>
          <w:rFonts w:eastAsiaTheme="minorHAnsi"/>
        </w:rPr>
        <w:t xml:space="preserve"> (Attachment B)</w:t>
      </w:r>
      <w:r w:rsidR="00E13F42" w:rsidRPr="008D1A3F">
        <w:rPr>
          <w:rFonts w:eastAsiaTheme="minorHAnsi"/>
        </w:rPr>
        <w:t xml:space="preserve"> and all other required documents are </w:t>
      </w:r>
      <w:r w:rsidR="00612CAE" w:rsidRPr="008D1A3F">
        <w:rPr>
          <w:rFonts w:eastAsiaTheme="minorHAnsi"/>
        </w:rPr>
        <w:t xml:space="preserve">available at </w:t>
      </w:r>
      <w:hyperlink r:id="rId21" w:history="1">
        <w:r w:rsidR="000D0AE7" w:rsidRPr="008D1A3F">
          <w:rPr>
            <w:rStyle w:val="Hyperlink"/>
            <w:rFonts w:eastAsiaTheme="minorHAnsi"/>
          </w:rPr>
          <w:t>www.mass.gov/service-details/traffic-safety-grants</w:t>
        </w:r>
      </w:hyperlink>
      <w:r w:rsidR="00612CAE" w:rsidRPr="008D1A3F">
        <w:rPr>
          <w:rFonts w:eastAsiaTheme="minorHAnsi"/>
        </w:rPr>
        <w:t xml:space="preserve">. The </w:t>
      </w:r>
      <w:r w:rsidR="00327B89" w:rsidRPr="008D1A3F">
        <w:rPr>
          <w:rFonts w:eastAsiaTheme="minorHAnsi"/>
        </w:rPr>
        <w:t>A</w:t>
      </w:r>
      <w:r w:rsidR="00612CAE" w:rsidRPr="008D1A3F">
        <w:rPr>
          <w:rFonts w:eastAsiaTheme="minorHAnsi"/>
        </w:rPr>
        <w:t xml:space="preserve">pplication </w:t>
      </w:r>
      <w:r w:rsidR="001D3A01" w:rsidRPr="008D1A3F">
        <w:rPr>
          <w:rFonts w:eastAsiaTheme="minorHAnsi"/>
        </w:rPr>
        <w:t>T</w:t>
      </w:r>
      <w:r w:rsidR="00327B89" w:rsidRPr="008D1A3F">
        <w:rPr>
          <w:rFonts w:eastAsiaTheme="minorHAnsi"/>
        </w:rPr>
        <w:t xml:space="preserve">emplate </w:t>
      </w:r>
      <w:r w:rsidR="001D3A01" w:rsidRPr="008D1A3F">
        <w:rPr>
          <w:rFonts w:eastAsiaTheme="minorHAnsi"/>
        </w:rPr>
        <w:t>contains</w:t>
      </w:r>
      <w:r w:rsidR="00612CAE" w:rsidRPr="008D1A3F">
        <w:rPr>
          <w:rFonts w:eastAsiaTheme="minorHAnsi"/>
        </w:rPr>
        <w:t xml:space="preserve"> detailed instructions and checklists of all required</w:t>
      </w:r>
      <w:r w:rsidR="00E13F42" w:rsidRPr="008D1A3F">
        <w:rPr>
          <w:rFonts w:eastAsiaTheme="minorHAnsi"/>
        </w:rPr>
        <w:t xml:space="preserve"> elements</w:t>
      </w:r>
      <w:r w:rsidR="007B63EC" w:rsidRPr="008D1A3F">
        <w:rPr>
          <w:rFonts w:eastAsiaTheme="minorHAnsi"/>
        </w:rPr>
        <w:t>.</w:t>
      </w:r>
      <w:r w:rsidR="007B63EC" w:rsidRPr="008D1A3F">
        <w:rPr>
          <w:rFonts w:eastAsiaTheme="minorHAnsi"/>
          <w:b/>
        </w:rPr>
        <w:t xml:space="preserve"> </w:t>
      </w:r>
    </w:p>
    <w:p w14:paraId="6C23F31A" w14:textId="77777777" w:rsidR="009A1A87" w:rsidRPr="008D1A3F" w:rsidRDefault="009A1A87" w:rsidP="00612CAE">
      <w:pPr>
        <w:rPr>
          <w:rFonts w:eastAsiaTheme="minorHAnsi"/>
          <w:b/>
        </w:rPr>
      </w:pPr>
    </w:p>
    <w:p w14:paraId="3A322947" w14:textId="77777777" w:rsidR="009A1A87" w:rsidRPr="008D1A3F" w:rsidRDefault="009A1A87" w:rsidP="009A1A87">
      <w:r w:rsidRPr="008D1A3F">
        <w:t>Application packets must include the following documents:</w:t>
      </w:r>
    </w:p>
    <w:p w14:paraId="3DAF4BDF" w14:textId="23A6D0D3" w:rsidR="009A1A87" w:rsidRPr="008D1A3F" w:rsidRDefault="009A1A87" w:rsidP="000C4D5C">
      <w:pPr>
        <w:pStyle w:val="ListParagraph"/>
        <w:numPr>
          <w:ilvl w:val="0"/>
          <w:numId w:val="43"/>
        </w:numPr>
        <w:rPr>
          <w:rFonts w:ascii="Times New Roman" w:hAnsi="Times New Roman"/>
          <w:sz w:val="24"/>
        </w:rPr>
      </w:pPr>
      <w:r w:rsidRPr="008D1A3F">
        <w:rPr>
          <w:rFonts w:ascii="Times New Roman" w:hAnsi="Times New Roman"/>
          <w:sz w:val="24"/>
        </w:rPr>
        <w:t>Application</w:t>
      </w:r>
      <w:r w:rsidR="001D3A01" w:rsidRPr="008D1A3F">
        <w:rPr>
          <w:rFonts w:ascii="Times New Roman" w:hAnsi="Times New Roman"/>
          <w:sz w:val="24"/>
        </w:rPr>
        <w:t xml:space="preserve"> Template (Attachment A)</w:t>
      </w:r>
      <w:r w:rsidR="0021068B" w:rsidRPr="008D1A3F">
        <w:rPr>
          <w:rFonts w:ascii="Times New Roman" w:hAnsi="Times New Roman"/>
          <w:sz w:val="24"/>
        </w:rPr>
        <w:t>- one signed in blue ink and stamped “original</w:t>
      </w:r>
      <w:r w:rsidR="00D3516F" w:rsidRPr="008D1A3F">
        <w:rPr>
          <w:rFonts w:ascii="Times New Roman" w:hAnsi="Times New Roman"/>
          <w:sz w:val="24"/>
        </w:rPr>
        <w:t xml:space="preserve">,” </w:t>
      </w:r>
      <w:r w:rsidR="00A0289B" w:rsidRPr="008D1A3F">
        <w:rPr>
          <w:rFonts w:ascii="Times New Roman" w:hAnsi="Times New Roman"/>
          <w:sz w:val="24"/>
        </w:rPr>
        <w:t xml:space="preserve">and one copy, </w:t>
      </w:r>
      <w:r w:rsidR="0021068B" w:rsidRPr="008D1A3F">
        <w:rPr>
          <w:rFonts w:ascii="Times New Roman" w:hAnsi="Times New Roman"/>
          <w:sz w:val="24"/>
        </w:rPr>
        <w:t>stamped “copy</w:t>
      </w:r>
      <w:r w:rsidR="00D3516F" w:rsidRPr="008D1A3F">
        <w:rPr>
          <w:rFonts w:ascii="Times New Roman" w:hAnsi="Times New Roman"/>
          <w:sz w:val="24"/>
        </w:rPr>
        <w:t>.”</w:t>
      </w:r>
    </w:p>
    <w:p w14:paraId="08FE8581" w14:textId="0D2E4201" w:rsidR="009A1A87" w:rsidRPr="008D1A3F" w:rsidRDefault="001D3A01" w:rsidP="000C4D5C">
      <w:pPr>
        <w:pStyle w:val="ListParagraph"/>
        <w:numPr>
          <w:ilvl w:val="0"/>
          <w:numId w:val="43"/>
        </w:numPr>
        <w:rPr>
          <w:rFonts w:ascii="Times New Roman" w:hAnsi="Times New Roman"/>
          <w:sz w:val="24"/>
        </w:rPr>
      </w:pPr>
      <w:r w:rsidRPr="008D1A3F">
        <w:rPr>
          <w:rFonts w:ascii="Times New Roman" w:hAnsi="Times New Roman"/>
          <w:sz w:val="24"/>
        </w:rPr>
        <w:t>Attachment B-Excel Budget Detail Worksheet</w:t>
      </w:r>
    </w:p>
    <w:p w14:paraId="493D2BCB" w14:textId="77777777" w:rsidR="009A1A87" w:rsidRPr="008D1A3F" w:rsidRDefault="009A1A87" w:rsidP="009A1A87">
      <w:pPr>
        <w:rPr>
          <w:bCs/>
        </w:rPr>
      </w:pPr>
      <w:r w:rsidRPr="008D1A3F">
        <w:rPr>
          <w:bCs/>
        </w:rPr>
        <w:t xml:space="preserve">Incomplete packets may be disqualified.  </w:t>
      </w:r>
      <w:r w:rsidRPr="008D1A3F">
        <w:rPr>
          <w:color w:val="000000"/>
        </w:rPr>
        <w:t>Only application packets with original signatures will be accepted.</w:t>
      </w:r>
    </w:p>
    <w:p w14:paraId="4AC5DDC4" w14:textId="77777777" w:rsidR="009A1A87" w:rsidRPr="008D1A3F" w:rsidRDefault="009A1A87" w:rsidP="009A1A87">
      <w:pPr>
        <w:rPr>
          <w:bCs/>
        </w:rPr>
      </w:pPr>
    </w:p>
    <w:p w14:paraId="23D98BEF" w14:textId="65B6C933" w:rsidR="00612CAE" w:rsidRPr="008D1A3F" w:rsidRDefault="007B63EC" w:rsidP="00E13F42">
      <w:pPr>
        <w:rPr>
          <w:rFonts w:eastAsiaTheme="minorHAnsi"/>
          <w:i/>
        </w:rPr>
      </w:pPr>
      <w:r w:rsidRPr="008D1A3F">
        <w:rPr>
          <w:rFonts w:eastAsiaTheme="minorHAnsi"/>
          <w:b/>
          <w:i/>
        </w:rPr>
        <w:t>Note:</w:t>
      </w:r>
      <w:r w:rsidR="005F0AD8" w:rsidRPr="008D1A3F">
        <w:rPr>
          <w:rFonts w:eastAsiaTheme="minorHAnsi"/>
          <w:i/>
        </w:rPr>
        <w:t xml:space="preserve">  </w:t>
      </w:r>
      <w:r w:rsidRPr="008D1A3F">
        <w:rPr>
          <w:rFonts w:eastAsiaTheme="minorHAnsi"/>
          <w:i/>
        </w:rPr>
        <w:t>A</w:t>
      </w:r>
      <w:r w:rsidR="008F23DC" w:rsidRPr="008D1A3F">
        <w:rPr>
          <w:rFonts w:eastAsiaTheme="minorHAnsi"/>
          <w:i/>
        </w:rPr>
        <w:t xml:space="preserve"> signed </w:t>
      </w:r>
      <w:r w:rsidR="005F0AD8" w:rsidRPr="008D1A3F">
        <w:rPr>
          <w:rFonts w:eastAsiaTheme="minorHAnsi"/>
          <w:i/>
        </w:rPr>
        <w:t>A</w:t>
      </w:r>
      <w:r w:rsidR="008F23DC" w:rsidRPr="008D1A3F">
        <w:rPr>
          <w:rFonts w:eastAsiaTheme="minorHAnsi"/>
          <w:i/>
        </w:rPr>
        <w:t>ssurance</w:t>
      </w:r>
      <w:r w:rsidR="005F0AD8" w:rsidRPr="008D1A3F">
        <w:rPr>
          <w:rFonts w:eastAsiaTheme="minorHAnsi"/>
          <w:i/>
        </w:rPr>
        <w:t xml:space="preserve"> </w:t>
      </w:r>
      <w:r w:rsidR="00A76D41" w:rsidRPr="008D1A3F">
        <w:rPr>
          <w:rFonts w:eastAsiaTheme="minorHAnsi"/>
          <w:i/>
        </w:rPr>
        <w:t>sheet</w:t>
      </w:r>
      <w:r w:rsidR="008F23DC" w:rsidRPr="008D1A3F">
        <w:rPr>
          <w:rFonts w:eastAsiaTheme="minorHAnsi"/>
          <w:i/>
        </w:rPr>
        <w:t xml:space="preserve"> acknowledging</w:t>
      </w:r>
      <w:r w:rsidR="004667F0" w:rsidRPr="008D1A3F">
        <w:rPr>
          <w:rFonts w:eastAsiaTheme="minorHAnsi"/>
          <w:i/>
        </w:rPr>
        <w:t xml:space="preserve"> having read and understood th</w:t>
      </w:r>
      <w:r w:rsidR="00D62A3A" w:rsidRPr="008D1A3F">
        <w:rPr>
          <w:rFonts w:eastAsiaTheme="minorHAnsi"/>
          <w:i/>
        </w:rPr>
        <w:t>e</w:t>
      </w:r>
      <w:r w:rsidRPr="008D1A3F">
        <w:rPr>
          <w:rFonts w:eastAsiaTheme="minorHAnsi"/>
          <w:i/>
        </w:rPr>
        <w:t xml:space="preserve"> </w:t>
      </w:r>
      <w:r w:rsidR="00D62A3A" w:rsidRPr="008D1A3F">
        <w:rPr>
          <w:rFonts w:eastAsiaTheme="minorHAnsi"/>
          <w:i/>
        </w:rPr>
        <w:t>entire</w:t>
      </w:r>
      <w:r w:rsidRPr="008D1A3F">
        <w:rPr>
          <w:rFonts w:eastAsiaTheme="minorHAnsi"/>
          <w:i/>
        </w:rPr>
        <w:t xml:space="preserve"> AGF </w:t>
      </w:r>
      <w:r w:rsidR="005F0AD8" w:rsidRPr="008D1A3F">
        <w:rPr>
          <w:rFonts w:eastAsiaTheme="minorHAnsi"/>
          <w:i/>
        </w:rPr>
        <w:t>is</w:t>
      </w:r>
      <w:r w:rsidRPr="008D1A3F">
        <w:rPr>
          <w:rFonts w:eastAsiaTheme="minorHAnsi"/>
          <w:i/>
        </w:rPr>
        <w:t xml:space="preserve"> required</w:t>
      </w:r>
      <w:r w:rsidR="005F0AD8" w:rsidRPr="008D1A3F">
        <w:rPr>
          <w:rFonts w:eastAsiaTheme="minorHAnsi"/>
          <w:i/>
        </w:rPr>
        <w:t xml:space="preserve"> and is located </w:t>
      </w:r>
      <w:r w:rsidR="00A76D41" w:rsidRPr="008D1A3F">
        <w:rPr>
          <w:rFonts w:eastAsiaTheme="minorHAnsi"/>
          <w:i/>
        </w:rPr>
        <w:t>withi</w:t>
      </w:r>
      <w:r w:rsidR="005F0AD8" w:rsidRPr="008D1A3F">
        <w:rPr>
          <w:rFonts w:eastAsiaTheme="minorHAnsi"/>
          <w:i/>
        </w:rPr>
        <w:t xml:space="preserve">n the </w:t>
      </w:r>
      <w:r w:rsidRPr="008D1A3F">
        <w:rPr>
          <w:rFonts w:eastAsiaTheme="minorHAnsi"/>
          <w:i/>
        </w:rPr>
        <w:t>application</w:t>
      </w:r>
      <w:r w:rsidR="005F0AD8" w:rsidRPr="008D1A3F">
        <w:rPr>
          <w:rFonts w:eastAsiaTheme="minorHAnsi"/>
          <w:i/>
        </w:rPr>
        <w:t xml:space="preserve">.  Please sign and return the </w:t>
      </w:r>
      <w:r w:rsidR="00A76D41" w:rsidRPr="008D1A3F">
        <w:rPr>
          <w:rFonts w:eastAsiaTheme="minorHAnsi"/>
          <w:i/>
        </w:rPr>
        <w:t xml:space="preserve">AGF </w:t>
      </w:r>
      <w:r w:rsidR="005F0AD8" w:rsidRPr="008D1A3F">
        <w:rPr>
          <w:rFonts w:eastAsiaTheme="minorHAnsi"/>
          <w:i/>
        </w:rPr>
        <w:t>Assurance Form</w:t>
      </w:r>
      <w:r w:rsidR="00A76D41" w:rsidRPr="008D1A3F">
        <w:rPr>
          <w:rFonts w:eastAsiaTheme="minorHAnsi"/>
          <w:i/>
        </w:rPr>
        <w:t xml:space="preserve"> with the application</w:t>
      </w:r>
      <w:r w:rsidR="005F0AD8" w:rsidRPr="008D1A3F">
        <w:rPr>
          <w:rFonts w:eastAsiaTheme="minorHAnsi"/>
          <w:i/>
        </w:rPr>
        <w:t xml:space="preserve">.  Do not return </w:t>
      </w:r>
      <w:r w:rsidR="001D3A01" w:rsidRPr="008D1A3F">
        <w:rPr>
          <w:rFonts w:eastAsiaTheme="minorHAnsi"/>
          <w:i/>
        </w:rPr>
        <w:t>this</w:t>
      </w:r>
      <w:r w:rsidR="005F0AD8" w:rsidRPr="008D1A3F">
        <w:rPr>
          <w:rFonts w:eastAsiaTheme="minorHAnsi"/>
          <w:i/>
        </w:rPr>
        <w:t xml:space="preserve"> AGF document.  Please keep </w:t>
      </w:r>
      <w:r w:rsidR="001D3A01" w:rsidRPr="008D1A3F">
        <w:rPr>
          <w:rFonts w:eastAsiaTheme="minorHAnsi"/>
          <w:i/>
        </w:rPr>
        <w:t>this</w:t>
      </w:r>
      <w:r w:rsidR="00E13F42" w:rsidRPr="008D1A3F">
        <w:rPr>
          <w:rFonts w:eastAsiaTheme="minorHAnsi"/>
          <w:i/>
        </w:rPr>
        <w:t xml:space="preserve"> AGF </w:t>
      </w:r>
      <w:r w:rsidR="005F0AD8" w:rsidRPr="008D1A3F">
        <w:rPr>
          <w:rFonts w:eastAsiaTheme="minorHAnsi"/>
          <w:i/>
        </w:rPr>
        <w:t>for your records.</w:t>
      </w:r>
      <w:r w:rsidR="00612CAE" w:rsidRPr="008D1A3F">
        <w:rPr>
          <w:rFonts w:eastAsiaTheme="minorHAnsi"/>
          <w:i/>
        </w:rPr>
        <w:t xml:space="preserve">  </w:t>
      </w:r>
    </w:p>
    <w:p w14:paraId="6BDA2098" w14:textId="77777777" w:rsidR="007B63EC" w:rsidRPr="008D1A3F" w:rsidRDefault="007B63EC" w:rsidP="00612CAE">
      <w:pPr>
        <w:rPr>
          <w:rFonts w:eastAsiaTheme="minorHAnsi"/>
          <w:b/>
          <w:i/>
        </w:rPr>
      </w:pPr>
    </w:p>
    <w:p w14:paraId="2A216014" w14:textId="77777777" w:rsidR="00612CAE" w:rsidRPr="008D1A3F" w:rsidRDefault="004A49AD" w:rsidP="00612CAE">
      <w:pPr>
        <w:rPr>
          <w:rFonts w:eastAsiaTheme="minorHAnsi"/>
        </w:rPr>
      </w:pPr>
      <w:r w:rsidRPr="008D1A3F">
        <w:rPr>
          <w:rFonts w:eastAsiaTheme="minorHAnsi"/>
        </w:rPr>
        <w:t xml:space="preserve">All original application packets must be submitted either via U.S. Postal Service (USPS), United Parcel Service (UPS), FedEx, or hand delivery to OGR at the exact address below. Applicants are encouraged to use tracking numbers if submitted via USPS, UPS, or FedEx. </w:t>
      </w:r>
    </w:p>
    <w:p w14:paraId="5D6FB8A7" w14:textId="77777777" w:rsidR="004A49AD" w:rsidRPr="008D1A3F" w:rsidRDefault="004A49AD" w:rsidP="00612CAE">
      <w:pPr>
        <w:rPr>
          <w:rFonts w:eastAsiaTheme="minorHAnsi"/>
        </w:rPr>
      </w:pPr>
    </w:p>
    <w:p w14:paraId="220BD342" w14:textId="77777777" w:rsidR="00612CAE" w:rsidRPr="008D1A3F" w:rsidRDefault="00612CAE" w:rsidP="007B63EC">
      <w:pPr>
        <w:ind w:left="720"/>
        <w:rPr>
          <w:rFonts w:eastAsiaTheme="minorHAnsi"/>
        </w:rPr>
      </w:pPr>
      <w:r w:rsidRPr="008D1A3F">
        <w:rPr>
          <w:rFonts w:eastAsiaTheme="minorHAnsi"/>
        </w:rPr>
        <w:t>Office of Grants and Research</w:t>
      </w:r>
    </w:p>
    <w:p w14:paraId="3AB456BB" w14:textId="2BB55D8A" w:rsidR="00612CAE" w:rsidRPr="008D1A3F" w:rsidRDefault="00C93011" w:rsidP="007B63EC">
      <w:pPr>
        <w:ind w:left="720"/>
        <w:rPr>
          <w:rFonts w:eastAsiaTheme="minorHAnsi"/>
          <w:color w:val="FF0000"/>
        </w:rPr>
      </w:pPr>
      <w:r w:rsidRPr="008D1A3F">
        <w:rPr>
          <w:rFonts w:eastAsiaTheme="minorHAnsi"/>
        </w:rPr>
        <w:t>ATTN: Highway Safety Division</w:t>
      </w:r>
      <w:r w:rsidR="00701B60" w:rsidRPr="008D1A3F">
        <w:rPr>
          <w:rFonts w:eastAsiaTheme="minorHAnsi"/>
        </w:rPr>
        <w:t>, Jeffrey Brownell</w:t>
      </w:r>
    </w:p>
    <w:p w14:paraId="33700FE9" w14:textId="77777777" w:rsidR="00612CAE" w:rsidRPr="008D1A3F" w:rsidRDefault="00612CAE" w:rsidP="007B63EC">
      <w:pPr>
        <w:ind w:left="720"/>
        <w:rPr>
          <w:rFonts w:eastAsiaTheme="minorHAnsi"/>
        </w:rPr>
      </w:pPr>
      <w:r w:rsidRPr="008D1A3F">
        <w:rPr>
          <w:rFonts w:eastAsiaTheme="minorHAnsi"/>
        </w:rPr>
        <w:t>10 Park Plaza, Suite 3720-A</w:t>
      </w:r>
    </w:p>
    <w:p w14:paraId="6D1F3E86" w14:textId="77777777" w:rsidR="00612CAE" w:rsidRPr="008D1A3F" w:rsidRDefault="00612CAE" w:rsidP="007B63EC">
      <w:pPr>
        <w:ind w:left="720"/>
        <w:rPr>
          <w:rFonts w:eastAsiaTheme="minorHAnsi"/>
        </w:rPr>
      </w:pPr>
      <w:r w:rsidRPr="008D1A3F">
        <w:rPr>
          <w:rFonts w:eastAsiaTheme="minorHAnsi"/>
        </w:rPr>
        <w:t xml:space="preserve">Boston, MA 02116 -3933 </w:t>
      </w:r>
    </w:p>
    <w:p w14:paraId="62AE958F" w14:textId="77777777" w:rsidR="00612CAE" w:rsidRPr="008D1A3F" w:rsidRDefault="00612CAE" w:rsidP="00612CAE">
      <w:pPr>
        <w:rPr>
          <w:rFonts w:eastAsiaTheme="minorHAnsi"/>
        </w:rPr>
      </w:pPr>
    </w:p>
    <w:p w14:paraId="5EAC8AF4" w14:textId="77777777" w:rsidR="002A1A56" w:rsidRPr="008D1A3F" w:rsidRDefault="002A1A56" w:rsidP="00612CAE">
      <w:pPr>
        <w:rPr>
          <w:rFonts w:eastAsiaTheme="minorHAnsi"/>
        </w:rPr>
      </w:pPr>
      <w:r w:rsidRPr="008D1A3F">
        <w:rPr>
          <w:rFonts w:eastAsiaTheme="minorHAnsi"/>
        </w:rPr>
        <w:t>An electronic copy of the application and budget must be sent via email to</w:t>
      </w:r>
      <w:r w:rsidR="001C698A" w:rsidRPr="008D1A3F">
        <w:rPr>
          <w:rFonts w:eastAsiaTheme="minorHAnsi"/>
        </w:rPr>
        <w:t xml:space="preserve"> the </w:t>
      </w:r>
      <w:r w:rsidR="003D5792" w:rsidRPr="008D1A3F">
        <w:rPr>
          <w:rFonts w:eastAsiaTheme="minorHAnsi"/>
        </w:rPr>
        <w:t xml:space="preserve">appropriate </w:t>
      </w:r>
      <w:r w:rsidR="001C698A" w:rsidRPr="008D1A3F">
        <w:rPr>
          <w:rFonts w:eastAsiaTheme="minorHAnsi"/>
        </w:rPr>
        <w:t>addresses below:</w:t>
      </w:r>
    </w:p>
    <w:p w14:paraId="1CDACAC5" w14:textId="424149F4" w:rsidR="00612CAE" w:rsidRPr="008D1A3F" w:rsidRDefault="00D72C64" w:rsidP="00612CAE">
      <w:hyperlink r:id="rId22" w:history="1">
        <w:r w:rsidR="00701B60" w:rsidRPr="008D1A3F">
          <w:rPr>
            <w:rStyle w:val="Hyperlink"/>
          </w:rPr>
          <w:t>jeffrey.brownell@mass.gov</w:t>
        </w:r>
      </w:hyperlink>
      <w:r w:rsidR="00701B60" w:rsidRPr="008D1A3F">
        <w:t xml:space="preserve"> </w:t>
      </w:r>
    </w:p>
    <w:p w14:paraId="5AB119A4" w14:textId="77777777" w:rsidR="001D3A01" w:rsidRPr="008D1A3F" w:rsidRDefault="001D3A01" w:rsidP="00612CAE">
      <w:pPr>
        <w:rPr>
          <w:rFonts w:eastAsiaTheme="minorHAnsi"/>
        </w:rPr>
      </w:pPr>
    </w:p>
    <w:p w14:paraId="10A19EA4" w14:textId="04570D12" w:rsidR="0099676E" w:rsidRPr="008D1A3F" w:rsidRDefault="00612CAE" w:rsidP="00BE5D20">
      <w:pPr>
        <w:rPr>
          <w:rFonts w:eastAsiaTheme="minorHAnsi"/>
        </w:rPr>
      </w:pPr>
      <w:r w:rsidRPr="008D1A3F">
        <w:rPr>
          <w:rFonts w:eastAsiaTheme="minorHAnsi"/>
        </w:rPr>
        <w:t xml:space="preserve">If you have any </w:t>
      </w:r>
      <w:r w:rsidR="00BE6F11" w:rsidRPr="008D1A3F">
        <w:rPr>
          <w:rFonts w:eastAsiaTheme="minorHAnsi"/>
        </w:rPr>
        <w:t xml:space="preserve">additional questions regarding </w:t>
      </w:r>
      <w:r w:rsidRPr="008D1A3F">
        <w:rPr>
          <w:rFonts w:eastAsiaTheme="minorHAnsi"/>
        </w:rPr>
        <w:t xml:space="preserve">the application or the program </w:t>
      </w:r>
      <w:r w:rsidR="00BE6F11" w:rsidRPr="008D1A3F">
        <w:rPr>
          <w:rFonts w:eastAsiaTheme="minorHAnsi"/>
        </w:rPr>
        <w:t>more</w:t>
      </w:r>
      <w:r w:rsidRPr="008D1A3F">
        <w:rPr>
          <w:rFonts w:eastAsiaTheme="minorHAnsi"/>
        </w:rPr>
        <w:t>, please contact</w:t>
      </w:r>
      <w:r w:rsidR="00F61995" w:rsidRPr="008D1A3F">
        <w:rPr>
          <w:rFonts w:eastAsiaTheme="minorHAnsi"/>
        </w:rPr>
        <w:t xml:space="preserve"> </w:t>
      </w:r>
      <w:r w:rsidR="00E5300E" w:rsidRPr="008D1A3F">
        <w:rPr>
          <w:rFonts w:eastAsiaTheme="minorHAnsi"/>
        </w:rPr>
        <w:t>Jeffrey Brownell at the email address above.</w:t>
      </w:r>
    </w:p>
    <w:p w14:paraId="430527A2" w14:textId="77777777" w:rsidR="000C4D5C" w:rsidRPr="008D1A3F" w:rsidRDefault="000C4D5C" w:rsidP="00BE5D20">
      <w:pPr>
        <w:rPr>
          <w:rFonts w:eastAsiaTheme="minorHAnsi"/>
        </w:rPr>
      </w:pPr>
    </w:p>
    <w:p w14:paraId="023FFFB3" w14:textId="6B82949B" w:rsidR="000C4D5C" w:rsidRPr="008D1A3F" w:rsidRDefault="000C4D5C" w:rsidP="000C4D5C">
      <w:pPr>
        <w:rPr>
          <w:rStyle w:val="Hyperlink"/>
          <w:color w:val="auto"/>
        </w:rPr>
      </w:pPr>
      <w:r w:rsidRPr="008D1A3F">
        <w:t>The AGF, application form, and all other related documents can be found here:</w:t>
      </w:r>
      <w:r w:rsidRPr="008D1A3F">
        <w:rPr>
          <w:rStyle w:val="Hyperlink"/>
          <w:color w:val="auto"/>
        </w:rPr>
        <w:t xml:space="preserve"> </w:t>
      </w:r>
    </w:p>
    <w:p w14:paraId="439031B7" w14:textId="3D965A3E" w:rsidR="00201603" w:rsidRPr="008D1A3F" w:rsidRDefault="00D72C64" w:rsidP="00D72C64">
      <w:pPr>
        <w:rPr>
          <w:rFonts w:eastAsiaTheme="minorHAnsi"/>
        </w:rPr>
      </w:pPr>
      <w:hyperlink r:id="rId23" w:history="1">
        <w:r w:rsidR="000C4D5C" w:rsidRPr="008D1A3F">
          <w:rPr>
            <w:rStyle w:val="Hyperlink"/>
          </w:rPr>
          <w:t>https://www.mass.gov/service-details/traffic-safety-grants</w:t>
        </w:r>
      </w:hyperlink>
      <w:bookmarkStart w:id="7" w:name="_GoBack"/>
      <w:bookmarkEnd w:id="7"/>
    </w:p>
    <w:sectPr w:rsidR="00201603" w:rsidRPr="008D1A3F" w:rsidSect="00AD4D41">
      <w:headerReference w:type="firs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CE11E" w14:textId="77777777" w:rsidR="00D7718B" w:rsidRDefault="00D7718B" w:rsidP="00A977B9">
      <w:r>
        <w:separator/>
      </w:r>
    </w:p>
  </w:endnote>
  <w:endnote w:type="continuationSeparator" w:id="0">
    <w:p w14:paraId="5CBE714D" w14:textId="77777777" w:rsidR="00D7718B" w:rsidRDefault="00D7718B" w:rsidP="00A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8330" w14:textId="77777777" w:rsidR="00D7718B" w:rsidRDefault="00D7718B" w:rsidP="00A31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E9F0F" w14:textId="77777777" w:rsidR="00D7718B" w:rsidRDefault="00D77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9852" w14:textId="18117E08" w:rsidR="00D7718B" w:rsidRDefault="00D7718B" w:rsidP="0043253A">
    <w:pPr>
      <w:pStyle w:val="Footer"/>
      <w:jc w:val="right"/>
    </w:pPr>
    <w:r>
      <w:fldChar w:fldCharType="begin"/>
    </w:r>
    <w:r>
      <w:instrText xml:space="preserve"> PAGE   \* MERGEFORMAT </w:instrText>
    </w:r>
    <w:r>
      <w:fldChar w:fldCharType="separate"/>
    </w:r>
    <w:r w:rsidR="00D72C64">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A333" w14:textId="77777777" w:rsidR="00834D1E" w:rsidRDefault="0083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95D15" w14:textId="77777777" w:rsidR="00D7718B" w:rsidRDefault="00D7718B" w:rsidP="00A977B9">
      <w:r>
        <w:separator/>
      </w:r>
    </w:p>
  </w:footnote>
  <w:footnote w:type="continuationSeparator" w:id="0">
    <w:p w14:paraId="6AACA3EF" w14:textId="77777777" w:rsidR="00D7718B" w:rsidRDefault="00D7718B" w:rsidP="00A9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9FB2" w14:textId="77777777" w:rsidR="00834D1E" w:rsidRDefault="0083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CB5A" w14:textId="77777777" w:rsidR="00D7718B" w:rsidRPr="008648D5" w:rsidRDefault="00D7718B">
    <w:pPr>
      <w:pStyle w:val="Header"/>
      <w:jc w:val="right"/>
      <w:rPr>
        <w:rFonts w:asciiTheme="minorHAnsi" w:hAnsiTheme="minorHAnsi"/>
      </w:rPr>
    </w:pPr>
  </w:p>
  <w:p w14:paraId="3CEC0F8A" w14:textId="77777777" w:rsidR="00D7718B" w:rsidRDefault="00D77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42D8" w14:textId="05C8E372" w:rsidR="00D7718B" w:rsidRDefault="00D7718B" w:rsidP="00AD4D41">
    <w:pPr>
      <w:pStyle w:val="Header"/>
      <w:tabs>
        <w:tab w:val="clear" w:pos="4320"/>
        <w:tab w:val="clear" w:pos="8640"/>
        <w:tab w:val="left" w:pos="258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EB74" w14:textId="54A19FEB" w:rsidR="00D7718B" w:rsidRPr="00AD4D41" w:rsidRDefault="00D7718B" w:rsidP="00AD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11" w:hanging="252"/>
      </w:pPr>
      <w:rPr>
        <w:rFonts w:ascii="Segoe UI Symbol" w:hAnsi="Segoe UI Symbol"/>
        <w:b w:val="0"/>
        <w:w w:val="99"/>
        <w:sz w:val="22"/>
      </w:rPr>
    </w:lvl>
    <w:lvl w:ilvl="1">
      <w:numFmt w:val="bullet"/>
      <w:lvlText w:val="•"/>
      <w:lvlJc w:val="left"/>
      <w:pPr>
        <w:ind w:left="629" w:hanging="252"/>
      </w:pPr>
    </w:lvl>
    <w:lvl w:ilvl="2">
      <w:numFmt w:val="bullet"/>
      <w:lvlText w:val="•"/>
      <w:lvlJc w:val="left"/>
      <w:pPr>
        <w:ind w:left="847" w:hanging="252"/>
      </w:pPr>
    </w:lvl>
    <w:lvl w:ilvl="3">
      <w:numFmt w:val="bullet"/>
      <w:lvlText w:val="•"/>
      <w:lvlJc w:val="left"/>
      <w:pPr>
        <w:ind w:left="1065" w:hanging="252"/>
      </w:pPr>
    </w:lvl>
    <w:lvl w:ilvl="4">
      <w:numFmt w:val="bullet"/>
      <w:lvlText w:val="•"/>
      <w:lvlJc w:val="left"/>
      <w:pPr>
        <w:ind w:left="1283" w:hanging="252"/>
      </w:pPr>
    </w:lvl>
    <w:lvl w:ilvl="5">
      <w:numFmt w:val="bullet"/>
      <w:lvlText w:val="•"/>
      <w:lvlJc w:val="left"/>
      <w:pPr>
        <w:ind w:left="1500" w:hanging="252"/>
      </w:pPr>
    </w:lvl>
    <w:lvl w:ilvl="6">
      <w:numFmt w:val="bullet"/>
      <w:lvlText w:val="•"/>
      <w:lvlJc w:val="left"/>
      <w:pPr>
        <w:ind w:left="1718" w:hanging="252"/>
      </w:pPr>
    </w:lvl>
    <w:lvl w:ilvl="7">
      <w:numFmt w:val="bullet"/>
      <w:lvlText w:val="•"/>
      <w:lvlJc w:val="left"/>
      <w:pPr>
        <w:ind w:left="1936" w:hanging="252"/>
      </w:pPr>
    </w:lvl>
    <w:lvl w:ilvl="8">
      <w:numFmt w:val="bullet"/>
      <w:lvlText w:val="•"/>
      <w:lvlJc w:val="left"/>
      <w:pPr>
        <w:ind w:left="2154" w:hanging="252"/>
      </w:pPr>
    </w:lvl>
  </w:abstractNum>
  <w:abstractNum w:abstractNumId="1" w15:restartNumberingAfterBreak="0">
    <w:nsid w:val="00000403"/>
    <w:multiLevelType w:val="multilevel"/>
    <w:tmpl w:val="00000886"/>
    <w:lvl w:ilvl="0">
      <w:numFmt w:val="bullet"/>
      <w:lvlText w:val="□"/>
      <w:lvlJc w:val="left"/>
      <w:pPr>
        <w:ind w:left="349" w:hanging="254"/>
      </w:pPr>
      <w:rPr>
        <w:rFonts w:ascii="Segoe UI Symbol" w:hAnsi="Segoe UI Symbol"/>
        <w:b w:val="0"/>
        <w:w w:val="99"/>
        <w:sz w:val="22"/>
      </w:rPr>
    </w:lvl>
    <w:lvl w:ilvl="1">
      <w:numFmt w:val="bullet"/>
      <w:lvlText w:val="•"/>
      <w:lvlJc w:val="left"/>
      <w:pPr>
        <w:ind w:left="573" w:hanging="254"/>
      </w:pPr>
    </w:lvl>
    <w:lvl w:ilvl="2">
      <w:numFmt w:val="bullet"/>
      <w:lvlText w:val="•"/>
      <w:lvlJc w:val="left"/>
      <w:pPr>
        <w:ind w:left="797" w:hanging="254"/>
      </w:pPr>
    </w:lvl>
    <w:lvl w:ilvl="3">
      <w:numFmt w:val="bullet"/>
      <w:lvlText w:val="•"/>
      <w:lvlJc w:val="left"/>
      <w:pPr>
        <w:ind w:left="1021" w:hanging="254"/>
      </w:pPr>
    </w:lvl>
    <w:lvl w:ilvl="4">
      <w:numFmt w:val="bullet"/>
      <w:lvlText w:val="•"/>
      <w:lvlJc w:val="left"/>
      <w:pPr>
        <w:ind w:left="1245" w:hanging="254"/>
      </w:pPr>
    </w:lvl>
    <w:lvl w:ilvl="5">
      <w:numFmt w:val="bullet"/>
      <w:lvlText w:val="•"/>
      <w:lvlJc w:val="left"/>
      <w:pPr>
        <w:ind w:left="1469" w:hanging="254"/>
      </w:pPr>
    </w:lvl>
    <w:lvl w:ilvl="6">
      <w:numFmt w:val="bullet"/>
      <w:lvlText w:val="•"/>
      <w:lvlJc w:val="left"/>
      <w:pPr>
        <w:ind w:left="1693" w:hanging="254"/>
      </w:pPr>
    </w:lvl>
    <w:lvl w:ilvl="7">
      <w:numFmt w:val="bullet"/>
      <w:lvlText w:val="•"/>
      <w:lvlJc w:val="left"/>
      <w:pPr>
        <w:ind w:left="1917" w:hanging="254"/>
      </w:pPr>
    </w:lvl>
    <w:lvl w:ilvl="8">
      <w:numFmt w:val="bullet"/>
      <w:lvlText w:val="•"/>
      <w:lvlJc w:val="left"/>
      <w:pPr>
        <w:ind w:left="2141" w:hanging="254"/>
      </w:pPr>
    </w:lvl>
  </w:abstractNum>
  <w:abstractNum w:abstractNumId="2" w15:restartNumberingAfterBreak="0">
    <w:nsid w:val="00000404"/>
    <w:multiLevelType w:val="multilevel"/>
    <w:tmpl w:val="00000887"/>
    <w:lvl w:ilvl="0">
      <w:numFmt w:val="bullet"/>
      <w:lvlText w:val="□"/>
      <w:lvlJc w:val="left"/>
      <w:pPr>
        <w:ind w:left="460" w:hanging="278"/>
      </w:pPr>
      <w:rPr>
        <w:rFonts w:ascii="MS Gothic" w:eastAsia="MS Gothic"/>
        <w:b w:val="0"/>
        <w:w w:val="99"/>
        <w:sz w:val="22"/>
      </w:rPr>
    </w:lvl>
    <w:lvl w:ilvl="1">
      <w:numFmt w:val="bullet"/>
      <w:lvlText w:val="•"/>
      <w:lvlJc w:val="left"/>
      <w:pPr>
        <w:ind w:left="1492" w:hanging="278"/>
      </w:pPr>
    </w:lvl>
    <w:lvl w:ilvl="2">
      <w:numFmt w:val="bullet"/>
      <w:lvlText w:val="•"/>
      <w:lvlJc w:val="left"/>
      <w:pPr>
        <w:ind w:left="2524" w:hanging="278"/>
      </w:pPr>
    </w:lvl>
    <w:lvl w:ilvl="3">
      <w:numFmt w:val="bullet"/>
      <w:lvlText w:val="•"/>
      <w:lvlJc w:val="left"/>
      <w:pPr>
        <w:ind w:left="3556" w:hanging="278"/>
      </w:pPr>
    </w:lvl>
    <w:lvl w:ilvl="4">
      <w:numFmt w:val="bullet"/>
      <w:lvlText w:val="•"/>
      <w:lvlJc w:val="left"/>
      <w:pPr>
        <w:ind w:left="4588" w:hanging="278"/>
      </w:pPr>
    </w:lvl>
    <w:lvl w:ilvl="5">
      <w:numFmt w:val="bullet"/>
      <w:lvlText w:val="•"/>
      <w:lvlJc w:val="left"/>
      <w:pPr>
        <w:ind w:left="5620" w:hanging="278"/>
      </w:pPr>
    </w:lvl>
    <w:lvl w:ilvl="6">
      <w:numFmt w:val="bullet"/>
      <w:lvlText w:val="•"/>
      <w:lvlJc w:val="left"/>
      <w:pPr>
        <w:ind w:left="6652" w:hanging="278"/>
      </w:pPr>
    </w:lvl>
    <w:lvl w:ilvl="7">
      <w:numFmt w:val="bullet"/>
      <w:lvlText w:val="•"/>
      <w:lvlJc w:val="left"/>
      <w:pPr>
        <w:ind w:left="7684" w:hanging="278"/>
      </w:pPr>
    </w:lvl>
    <w:lvl w:ilvl="8">
      <w:numFmt w:val="bullet"/>
      <w:lvlText w:val="•"/>
      <w:lvlJc w:val="left"/>
      <w:pPr>
        <w:ind w:left="8716" w:hanging="278"/>
      </w:pPr>
    </w:lvl>
  </w:abstractNum>
  <w:abstractNum w:abstractNumId="3" w15:restartNumberingAfterBreak="0">
    <w:nsid w:val="02A51693"/>
    <w:multiLevelType w:val="hybridMultilevel"/>
    <w:tmpl w:val="250804B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b w:val="0"/>
        <w:i w:val="0"/>
        <w:color w:val="000000"/>
        <w:sz w:val="24"/>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2A2DB2"/>
    <w:multiLevelType w:val="hybridMultilevel"/>
    <w:tmpl w:val="F574EB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3294B"/>
    <w:multiLevelType w:val="hybridMultilevel"/>
    <w:tmpl w:val="696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6166"/>
    <w:multiLevelType w:val="hybridMultilevel"/>
    <w:tmpl w:val="212AAC5E"/>
    <w:lvl w:ilvl="0" w:tplc="3F4C93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5118C"/>
    <w:multiLevelType w:val="hybridMultilevel"/>
    <w:tmpl w:val="945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456C"/>
    <w:multiLevelType w:val="hybridMultilevel"/>
    <w:tmpl w:val="CC4AF15C"/>
    <w:lvl w:ilvl="0" w:tplc="04090001">
      <w:start w:val="1"/>
      <w:numFmt w:val="bullet"/>
      <w:lvlText w:val=""/>
      <w:lvlJc w:val="left"/>
      <w:pPr>
        <w:ind w:left="720" w:hanging="360"/>
      </w:pPr>
      <w:rPr>
        <w:rFonts w:ascii="Symbol" w:hAnsi="Symbol" w:hint="default"/>
      </w:rPr>
    </w:lvl>
    <w:lvl w:ilvl="1" w:tplc="9AAEA9C8">
      <w:start w:val="40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44597"/>
    <w:multiLevelType w:val="hybridMultilevel"/>
    <w:tmpl w:val="E796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90F6C"/>
    <w:multiLevelType w:val="hybridMultilevel"/>
    <w:tmpl w:val="32122B38"/>
    <w:lvl w:ilvl="0" w:tplc="1DF6BBB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551BD0"/>
    <w:multiLevelType w:val="hybridMultilevel"/>
    <w:tmpl w:val="7040BC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18651FB"/>
    <w:multiLevelType w:val="hybridMultilevel"/>
    <w:tmpl w:val="A22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05B49"/>
    <w:multiLevelType w:val="hybridMultilevel"/>
    <w:tmpl w:val="1B642AB8"/>
    <w:lvl w:ilvl="0" w:tplc="184A2558">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6C33949"/>
    <w:multiLevelType w:val="hybridMultilevel"/>
    <w:tmpl w:val="E64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46843"/>
    <w:multiLevelType w:val="hybridMultilevel"/>
    <w:tmpl w:val="492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201E2"/>
    <w:multiLevelType w:val="hybridMultilevel"/>
    <w:tmpl w:val="BD5639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C04B10"/>
    <w:multiLevelType w:val="hybridMultilevel"/>
    <w:tmpl w:val="D95651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07125BA"/>
    <w:multiLevelType w:val="singleLevel"/>
    <w:tmpl w:val="EA009910"/>
    <w:lvl w:ilvl="0">
      <w:start w:val="1"/>
      <w:numFmt w:val="bullet"/>
      <w:pStyle w:val="TableListBullet1"/>
      <w:lvlText w:val=""/>
      <w:lvlJc w:val="left"/>
      <w:pPr>
        <w:tabs>
          <w:tab w:val="num" w:pos="360"/>
        </w:tabs>
        <w:ind w:left="360" w:hanging="360"/>
      </w:pPr>
      <w:rPr>
        <w:rFonts w:ascii="Symbol" w:hAnsi="Symbol" w:hint="default"/>
      </w:rPr>
    </w:lvl>
  </w:abstractNum>
  <w:abstractNum w:abstractNumId="19" w15:restartNumberingAfterBreak="0">
    <w:nsid w:val="33E92860"/>
    <w:multiLevelType w:val="hybridMultilevel"/>
    <w:tmpl w:val="413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7725E"/>
    <w:multiLevelType w:val="hybridMultilevel"/>
    <w:tmpl w:val="AF1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12C8A"/>
    <w:multiLevelType w:val="hybridMultilevel"/>
    <w:tmpl w:val="340A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3F0E65"/>
    <w:multiLevelType w:val="hybridMultilevel"/>
    <w:tmpl w:val="E12045A0"/>
    <w:lvl w:ilvl="0" w:tplc="2862AF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C4AE6"/>
    <w:multiLevelType w:val="hybridMultilevel"/>
    <w:tmpl w:val="5D8E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86648"/>
    <w:multiLevelType w:val="hybridMultilevel"/>
    <w:tmpl w:val="696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A777D"/>
    <w:multiLevelType w:val="hybridMultilevel"/>
    <w:tmpl w:val="B732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E62777"/>
    <w:multiLevelType w:val="hybridMultilevel"/>
    <w:tmpl w:val="B0BE051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9A6963"/>
    <w:multiLevelType w:val="hybridMultilevel"/>
    <w:tmpl w:val="8FFC2100"/>
    <w:lvl w:ilvl="0" w:tplc="68B2F16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0365"/>
    <w:multiLevelType w:val="hybridMultilevel"/>
    <w:tmpl w:val="EA9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71BEE"/>
    <w:multiLevelType w:val="hybridMultilevel"/>
    <w:tmpl w:val="6FCC3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53894"/>
    <w:multiLevelType w:val="hybridMultilevel"/>
    <w:tmpl w:val="3120F2DE"/>
    <w:lvl w:ilvl="0" w:tplc="21C0327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4E600769"/>
    <w:multiLevelType w:val="hybridMultilevel"/>
    <w:tmpl w:val="EE78F81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51921220"/>
    <w:multiLevelType w:val="hybridMultilevel"/>
    <w:tmpl w:val="1B48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E5059"/>
    <w:multiLevelType w:val="hybridMultilevel"/>
    <w:tmpl w:val="36E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E667F"/>
    <w:multiLevelType w:val="hybridMultilevel"/>
    <w:tmpl w:val="CE4275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53AA74F3"/>
    <w:multiLevelType w:val="hybridMultilevel"/>
    <w:tmpl w:val="4A2E15A6"/>
    <w:lvl w:ilvl="0" w:tplc="184A255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C0CC4"/>
    <w:multiLevelType w:val="hybridMultilevel"/>
    <w:tmpl w:val="596011DA"/>
    <w:lvl w:ilvl="0" w:tplc="5616D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566A4F"/>
    <w:multiLevelType w:val="hybridMultilevel"/>
    <w:tmpl w:val="40E4E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85BB0"/>
    <w:multiLevelType w:val="hybridMultilevel"/>
    <w:tmpl w:val="93D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57094"/>
    <w:multiLevelType w:val="hybridMultilevel"/>
    <w:tmpl w:val="5E2E82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75A3FE7"/>
    <w:multiLevelType w:val="hybridMultilevel"/>
    <w:tmpl w:val="13588778"/>
    <w:lvl w:ilvl="0" w:tplc="898401F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327EE"/>
    <w:multiLevelType w:val="hybridMultilevel"/>
    <w:tmpl w:val="BF6E507A"/>
    <w:lvl w:ilvl="0" w:tplc="AE8CD5DE">
      <w:start w:val="1"/>
      <w:numFmt w:val="upperLetter"/>
      <w:pStyle w:val="Heading1"/>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E56A81"/>
    <w:multiLevelType w:val="hybridMultilevel"/>
    <w:tmpl w:val="3984D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B1C80"/>
    <w:multiLevelType w:val="hybridMultilevel"/>
    <w:tmpl w:val="3FA29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F07CC"/>
    <w:multiLevelType w:val="hybridMultilevel"/>
    <w:tmpl w:val="CC5C6F28"/>
    <w:lvl w:ilvl="0" w:tplc="DD18744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312E0"/>
    <w:multiLevelType w:val="hybridMultilevel"/>
    <w:tmpl w:val="6EE276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10099"/>
    <w:multiLevelType w:val="hybridMultilevel"/>
    <w:tmpl w:val="274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A1EA4"/>
    <w:multiLevelType w:val="hybridMultilevel"/>
    <w:tmpl w:val="D9FE635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4"/>
  </w:num>
  <w:num w:numId="3">
    <w:abstractNumId w:val="16"/>
  </w:num>
  <w:num w:numId="4">
    <w:abstractNumId w:val="26"/>
  </w:num>
  <w:num w:numId="5">
    <w:abstractNumId w:val="3"/>
  </w:num>
  <w:num w:numId="6">
    <w:abstractNumId w:val="10"/>
  </w:num>
  <w:num w:numId="7">
    <w:abstractNumId w:val="31"/>
  </w:num>
  <w:num w:numId="8">
    <w:abstractNumId w:val="18"/>
  </w:num>
  <w:num w:numId="9">
    <w:abstractNumId w:val="6"/>
  </w:num>
  <w:num w:numId="10">
    <w:abstractNumId w:val="12"/>
  </w:num>
  <w:num w:numId="11">
    <w:abstractNumId w:val="39"/>
  </w:num>
  <w:num w:numId="12">
    <w:abstractNumId w:val="25"/>
  </w:num>
  <w:num w:numId="13">
    <w:abstractNumId w:val="41"/>
  </w:num>
  <w:num w:numId="14">
    <w:abstractNumId w:val="8"/>
  </w:num>
  <w:num w:numId="15">
    <w:abstractNumId w:val="20"/>
  </w:num>
  <w:num w:numId="16">
    <w:abstractNumId w:val="32"/>
  </w:num>
  <w:num w:numId="17">
    <w:abstractNumId w:val="17"/>
  </w:num>
  <w:num w:numId="18">
    <w:abstractNumId w:val="28"/>
  </w:num>
  <w:num w:numId="19">
    <w:abstractNumId w:val="38"/>
  </w:num>
  <w:num w:numId="20">
    <w:abstractNumId w:val="35"/>
  </w:num>
  <w:num w:numId="21">
    <w:abstractNumId w:val="37"/>
  </w:num>
  <w:num w:numId="22">
    <w:abstractNumId w:val="42"/>
  </w:num>
  <w:num w:numId="23">
    <w:abstractNumId w:val="22"/>
  </w:num>
  <w:num w:numId="24">
    <w:abstractNumId w:val="21"/>
  </w:num>
  <w:num w:numId="25">
    <w:abstractNumId w:val="23"/>
  </w:num>
  <w:num w:numId="26">
    <w:abstractNumId w:val="24"/>
  </w:num>
  <w:num w:numId="27">
    <w:abstractNumId w:val="7"/>
  </w:num>
  <w:num w:numId="28">
    <w:abstractNumId w:val="43"/>
  </w:num>
  <w:num w:numId="29">
    <w:abstractNumId w:val="9"/>
  </w:num>
  <w:num w:numId="30">
    <w:abstractNumId w:val="11"/>
  </w:num>
  <w:num w:numId="31">
    <w:abstractNumId w:val="46"/>
  </w:num>
  <w:num w:numId="32">
    <w:abstractNumId w:val="15"/>
  </w:num>
  <w:num w:numId="33">
    <w:abstractNumId w:val="27"/>
  </w:num>
  <w:num w:numId="34">
    <w:abstractNumId w:val="33"/>
  </w:num>
  <w:num w:numId="35">
    <w:abstractNumId w:val="5"/>
  </w:num>
  <w:num w:numId="36">
    <w:abstractNumId w:val="2"/>
  </w:num>
  <w:num w:numId="37">
    <w:abstractNumId w:val="45"/>
  </w:num>
  <w:num w:numId="38">
    <w:abstractNumId w:val="34"/>
  </w:num>
  <w:num w:numId="39">
    <w:abstractNumId w:val="30"/>
  </w:num>
  <w:num w:numId="40">
    <w:abstractNumId w:val="13"/>
  </w:num>
  <w:num w:numId="41">
    <w:abstractNumId w:val="29"/>
  </w:num>
  <w:num w:numId="42">
    <w:abstractNumId w:val="36"/>
  </w:num>
  <w:num w:numId="43">
    <w:abstractNumId w:val="14"/>
  </w:num>
  <w:num w:numId="44">
    <w:abstractNumId w:val="19"/>
  </w:num>
  <w:num w:numId="45">
    <w:abstractNumId w:val="1"/>
  </w:num>
  <w:num w:numId="46">
    <w:abstractNumId w:val="0"/>
  </w:num>
  <w:num w:numId="47">
    <w:abstractNumId w:val="40"/>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MDA0MzIBMk0NDJR0lIJTi4sz8/NACkxqAX62TR4sAAAA"/>
  </w:docVars>
  <w:rsids>
    <w:rsidRoot w:val="00073F1E"/>
    <w:rsid w:val="0000128D"/>
    <w:rsid w:val="00004754"/>
    <w:rsid w:val="00006E58"/>
    <w:rsid w:val="000072A6"/>
    <w:rsid w:val="000128BF"/>
    <w:rsid w:val="00015575"/>
    <w:rsid w:val="00016772"/>
    <w:rsid w:val="00016FD7"/>
    <w:rsid w:val="00023905"/>
    <w:rsid w:val="00024F96"/>
    <w:rsid w:val="0002551E"/>
    <w:rsid w:val="00030DA3"/>
    <w:rsid w:val="00034C9D"/>
    <w:rsid w:val="00043FCF"/>
    <w:rsid w:val="000448AE"/>
    <w:rsid w:val="00046E6D"/>
    <w:rsid w:val="0004774F"/>
    <w:rsid w:val="000509BA"/>
    <w:rsid w:val="000516FE"/>
    <w:rsid w:val="00052910"/>
    <w:rsid w:val="00056DD5"/>
    <w:rsid w:val="00057367"/>
    <w:rsid w:val="000622FB"/>
    <w:rsid w:val="00062510"/>
    <w:rsid w:val="00066871"/>
    <w:rsid w:val="00067E62"/>
    <w:rsid w:val="00072C0C"/>
    <w:rsid w:val="00073F1E"/>
    <w:rsid w:val="0007456A"/>
    <w:rsid w:val="00076844"/>
    <w:rsid w:val="00077730"/>
    <w:rsid w:val="000826A2"/>
    <w:rsid w:val="00082951"/>
    <w:rsid w:val="00085E37"/>
    <w:rsid w:val="000874A6"/>
    <w:rsid w:val="00090282"/>
    <w:rsid w:val="00091569"/>
    <w:rsid w:val="00092094"/>
    <w:rsid w:val="00092C7C"/>
    <w:rsid w:val="0009439F"/>
    <w:rsid w:val="00095941"/>
    <w:rsid w:val="000A5F4D"/>
    <w:rsid w:val="000A7052"/>
    <w:rsid w:val="000B3DC1"/>
    <w:rsid w:val="000B3EBF"/>
    <w:rsid w:val="000B530B"/>
    <w:rsid w:val="000B7177"/>
    <w:rsid w:val="000C1D07"/>
    <w:rsid w:val="000C3B21"/>
    <w:rsid w:val="000C4D5C"/>
    <w:rsid w:val="000C7465"/>
    <w:rsid w:val="000D0244"/>
    <w:rsid w:val="000D0AE7"/>
    <w:rsid w:val="000D0BF0"/>
    <w:rsid w:val="000D15A2"/>
    <w:rsid w:val="000D2758"/>
    <w:rsid w:val="000D33A4"/>
    <w:rsid w:val="000D453A"/>
    <w:rsid w:val="000D514A"/>
    <w:rsid w:val="000D5CC4"/>
    <w:rsid w:val="000E1B37"/>
    <w:rsid w:val="000E5C88"/>
    <w:rsid w:val="000E60A5"/>
    <w:rsid w:val="000F63F1"/>
    <w:rsid w:val="0010144F"/>
    <w:rsid w:val="0010244F"/>
    <w:rsid w:val="0010340C"/>
    <w:rsid w:val="0010346B"/>
    <w:rsid w:val="00104A75"/>
    <w:rsid w:val="0010531E"/>
    <w:rsid w:val="00105790"/>
    <w:rsid w:val="00107176"/>
    <w:rsid w:val="00111EAE"/>
    <w:rsid w:val="00114191"/>
    <w:rsid w:val="00117313"/>
    <w:rsid w:val="0012252F"/>
    <w:rsid w:val="0012343C"/>
    <w:rsid w:val="001249D6"/>
    <w:rsid w:val="00125127"/>
    <w:rsid w:val="00130636"/>
    <w:rsid w:val="00131EFA"/>
    <w:rsid w:val="00140F2C"/>
    <w:rsid w:val="001437DB"/>
    <w:rsid w:val="001442AA"/>
    <w:rsid w:val="00150BF3"/>
    <w:rsid w:val="00150EF6"/>
    <w:rsid w:val="0015332B"/>
    <w:rsid w:val="0015354E"/>
    <w:rsid w:val="0015452A"/>
    <w:rsid w:val="00156097"/>
    <w:rsid w:val="001568C8"/>
    <w:rsid w:val="0015717B"/>
    <w:rsid w:val="00160958"/>
    <w:rsid w:val="00165DB4"/>
    <w:rsid w:val="00166761"/>
    <w:rsid w:val="00166BDC"/>
    <w:rsid w:val="00172F91"/>
    <w:rsid w:val="001755E6"/>
    <w:rsid w:val="0017612E"/>
    <w:rsid w:val="001821EE"/>
    <w:rsid w:val="00183EAC"/>
    <w:rsid w:val="001852D0"/>
    <w:rsid w:val="001900E7"/>
    <w:rsid w:val="00190D2A"/>
    <w:rsid w:val="001955CC"/>
    <w:rsid w:val="001A1945"/>
    <w:rsid w:val="001A1EE2"/>
    <w:rsid w:val="001A4700"/>
    <w:rsid w:val="001A5C4E"/>
    <w:rsid w:val="001A6BCF"/>
    <w:rsid w:val="001B03FA"/>
    <w:rsid w:val="001B1382"/>
    <w:rsid w:val="001B14C2"/>
    <w:rsid w:val="001C26AC"/>
    <w:rsid w:val="001C5698"/>
    <w:rsid w:val="001C671D"/>
    <w:rsid w:val="001C698A"/>
    <w:rsid w:val="001D189F"/>
    <w:rsid w:val="001D3A01"/>
    <w:rsid w:val="001D3F73"/>
    <w:rsid w:val="001D5053"/>
    <w:rsid w:val="001E00AF"/>
    <w:rsid w:val="001E06FA"/>
    <w:rsid w:val="001E0A9A"/>
    <w:rsid w:val="001E2761"/>
    <w:rsid w:val="001F0FEC"/>
    <w:rsid w:val="001F2012"/>
    <w:rsid w:val="001F4829"/>
    <w:rsid w:val="001F5981"/>
    <w:rsid w:val="001F7D80"/>
    <w:rsid w:val="00201603"/>
    <w:rsid w:val="00202B67"/>
    <w:rsid w:val="00205713"/>
    <w:rsid w:val="00205A5E"/>
    <w:rsid w:val="0021068B"/>
    <w:rsid w:val="00214609"/>
    <w:rsid w:val="00215EED"/>
    <w:rsid w:val="002206F2"/>
    <w:rsid w:val="00220E40"/>
    <w:rsid w:val="00222AED"/>
    <w:rsid w:val="00227DC0"/>
    <w:rsid w:val="002347D7"/>
    <w:rsid w:val="00234805"/>
    <w:rsid w:val="002352C6"/>
    <w:rsid w:val="0023599B"/>
    <w:rsid w:val="00236688"/>
    <w:rsid w:val="002422DC"/>
    <w:rsid w:val="00244B2C"/>
    <w:rsid w:val="00246231"/>
    <w:rsid w:val="00246B19"/>
    <w:rsid w:val="00250603"/>
    <w:rsid w:val="00255295"/>
    <w:rsid w:val="0025611D"/>
    <w:rsid w:val="00260D12"/>
    <w:rsid w:val="00262B33"/>
    <w:rsid w:val="00264362"/>
    <w:rsid w:val="002666DA"/>
    <w:rsid w:val="00271F18"/>
    <w:rsid w:val="00273395"/>
    <w:rsid w:val="00280E5B"/>
    <w:rsid w:val="002832A9"/>
    <w:rsid w:val="002878BF"/>
    <w:rsid w:val="00287DFD"/>
    <w:rsid w:val="00291577"/>
    <w:rsid w:val="00295428"/>
    <w:rsid w:val="0029624A"/>
    <w:rsid w:val="0029693C"/>
    <w:rsid w:val="002A1A56"/>
    <w:rsid w:val="002A47C4"/>
    <w:rsid w:val="002B00EE"/>
    <w:rsid w:val="002B1BE0"/>
    <w:rsid w:val="002B42E5"/>
    <w:rsid w:val="002C7210"/>
    <w:rsid w:val="002D5A87"/>
    <w:rsid w:val="002E0B60"/>
    <w:rsid w:val="002E2E37"/>
    <w:rsid w:val="002E304E"/>
    <w:rsid w:val="002E3541"/>
    <w:rsid w:val="002E4742"/>
    <w:rsid w:val="002E6078"/>
    <w:rsid w:val="002F4D54"/>
    <w:rsid w:val="002F5442"/>
    <w:rsid w:val="00304E2A"/>
    <w:rsid w:val="00305446"/>
    <w:rsid w:val="00305CB1"/>
    <w:rsid w:val="0030735B"/>
    <w:rsid w:val="00313157"/>
    <w:rsid w:val="00314941"/>
    <w:rsid w:val="003156AD"/>
    <w:rsid w:val="00322129"/>
    <w:rsid w:val="0032397D"/>
    <w:rsid w:val="00324733"/>
    <w:rsid w:val="00326284"/>
    <w:rsid w:val="00326FF6"/>
    <w:rsid w:val="00327B89"/>
    <w:rsid w:val="00331508"/>
    <w:rsid w:val="00331E31"/>
    <w:rsid w:val="00333429"/>
    <w:rsid w:val="00335C5B"/>
    <w:rsid w:val="00336BFC"/>
    <w:rsid w:val="003371E3"/>
    <w:rsid w:val="003409EB"/>
    <w:rsid w:val="003417C5"/>
    <w:rsid w:val="0034203F"/>
    <w:rsid w:val="00342B1D"/>
    <w:rsid w:val="0035264F"/>
    <w:rsid w:val="003533DF"/>
    <w:rsid w:val="00357301"/>
    <w:rsid w:val="00360168"/>
    <w:rsid w:val="00363528"/>
    <w:rsid w:val="0036502C"/>
    <w:rsid w:val="003718E4"/>
    <w:rsid w:val="0037719B"/>
    <w:rsid w:val="003775BC"/>
    <w:rsid w:val="0039414C"/>
    <w:rsid w:val="003A2065"/>
    <w:rsid w:val="003A5032"/>
    <w:rsid w:val="003A6908"/>
    <w:rsid w:val="003A7C9B"/>
    <w:rsid w:val="003B1A2F"/>
    <w:rsid w:val="003B25C0"/>
    <w:rsid w:val="003B3B41"/>
    <w:rsid w:val="003C00D3"/>
    <w:rsid w:val="003D008D"/>
    <w:rsid w:val="003D1759"/>
    <w:rsid w:val="003D36AD"/>
    <w:rsid w:val="003D433E"/>
    <w:rsid w:val="003D4B85"/>
    <w:rsid w:val="003D5792"/>
    <w:rsid w:val="003D6B2B"/>
    <w:rsid w:val="003D749F"/>
    <w:rsid w:val="003E3B66"/>
    <w:rsid w:val="003E4D3B"/>
    <w:rsid w:val="00400340"/>
    <w:rsid w:val="0040271F"/>
    <w:rsid w:val="00406499"/>
    <w:rsid w:val="004072B6"/>
    <w:rsid w:val="00407A93"/>
    <w:rsid w:val="00411417"/>
    <w:rsid w:val="00412F21"/>
    <w:rsid w:val="00413805"/>
    <w:rsid w:val="00414795"/>
    <w:rsid w:val="00414998"/>
    <w:rsid w:val="00415704"/>
    <w:rsid w:val="00422CEE"/>
    <w:rsid w:val="00422F05"/>
    <w:rsid w:val="0042392E"/>
    <w:rsid w:val="00424588"/>
    <w:rsid w:val="00425D15"/>
    <w:rsid w:val="004312AC"/>
    <w:rsid w:val="0043253A"/>
    <w:rsid w:val="00432898"/>
    <w:rsid w:val="00435C75"/>
    <w:rsid w:val="004403C9"/>
    <w:rsid w:val="00440DEA"/>
    <w:rsid w:val="00441D75"/>
    <w:rsid w:val="00443A96"/>
    <w:rsid w:val="00447964"/>
    <w:rsid w:val="00447C7E"/>
    <w:rsid w:val="004506B3"/>
    <w:rsid w:val="00453100"/>
    <w:rsid w:val="004545C9"/>
    <w:rsid w:val="004559CE"/>
    <w:rsid w:val="00455B9A"/>
    <w:rsid w:val="004609C8"/>
    <w:rsid w:val="00461FA8"/>
    <w:rsid w:val="00465116"/>
    <w:rsid w:val="004662B8"/>
    <w:rsid w:val="004667F0"/>
    <w:rsid w:val="004705BE"/>
    <w:rsid w:val="00473EA4"/>
    <w:rsid w:val="00474F54"/>
    <w:rsid w:val="0047551D"/>
    <w:rsid w:val="00476CC6"/>
    <w:rsid w:val="00481C5C"/>
    <w:rsid w:val="0048429F"/>
    <w:rsid w:val="004844C6"/>
    <w:rsid w:val="00485647"/>
    <w:rsid w:val="004941C7"/>
    <w:rsid w:val="00497CA2"/>
    <w:rsid w:val="004A0F48"/>
    <w:rsid w:val="004A2904"/>
    <w:rsid w:val="004A49AD"/>
    <w:rsid w:val="004A70C3"/>
    <w:rsid w:val="004A7502"/>
    <w:rsid w:val="004A7895"/>
    <w:rsid w:val="004B490A"/>
    <w:rsid w:val="004C2FC2"/>
    <w:rsid w:val="004C341E"/>
    <w:rsid w:val="004C4B4E"/>
    <w:rsid w:val="004D6762"/>
    <w:rsid w:val="004E14E3"/>
    <w:rsid w:val="004E1B83"/>
    <w:rsid w:val="004E2EB9"/>
    <w:rsid w:val="004E5AEA"/>
    <w:rsid w:val="004E6599"/>
    <w:rsid w:val="004E687C"/>
    <w:rsid w:val="004F13A3"/>
    <w:rsid w:val="004F316C"/>
    <w:rsid w:val="004F358D"/>
    <w:rsid w:val="004F62BF"/>
    <w:rsid w:val="005026B7"/>
    <w:rsid w:val="005034DF"/>
    <w:rsid w:val="0050392A"/>
    <w:rsid w:val="00505717"/>
    <w:rsid w:val="00505828"/>
    <w:rsid w:val="0051112E"/>
    <w:rsid w:val="00511622"/>
    <w:rsid w:val="00520ADC"/>
    <w:rsid w:val="00521976"/>
    <w:rsid w:val="00522100"/>
    <w:rsid w:val="00523255"/>
    <w:rsid w:val="00523F18"/>
    <w:rsid w:val="00525C93"/>
    <w:rsid w:val="0052631C"/>
    <w:rsid w:val="00527A72"/>
    <w:rsid w:val="0053164A"/>
    <w:rsid w:val="00532F9D"/>
    <w:rsid w:val="00535D00"/>
    <w:rsid w:val="00537DDA"/>
    <w:rsid w:val="0054050A"/>
    <w:rsid w:val="0054151C"/>
    <w:rsid w:val="00542671"/>
    <w:rsid w:val="0054633C"/>
    <w:rsid w:val="00550AC3"/>
    <w:rsid w:val="00550D7B"/>
    <w:rsid w:val="00554923"/>
    <w:rsid w:val="00554A04"/>
    <w:rsid w:val="00554D3E"/>
    <w:rsid w:val="005600DE"/>
    <w:rsid w:val="00560BDA"/>
    <w:rsid w:val="00561519"/>
    <w:rsid w:val="00562391"/>
    <w:rsid w:val="0056422F"/>
    <w:rsid w:val="0057324E"/>
    <w:rsid w:val="00573C56"/>
    <w:rsid w:val="00573C74"/>
    <w:rsid w:val="00574226"/>
    <w:rsid w:val="005761E6"/>
    <w:rsid w:val="0057703C"/>
    <w:rsid w:val="00580C30"/>
    <w:rsid w:val="00584573"/>
    <w:rsid w:val="00586D96"/>
    <w:rsid w:val="00591156"/>
    <w:rsid w:val="005935E7"/>
    <w:rsid w:val="00593FC1"/>
    <w:rsid w:val="0059726A"/>
    <w:rsid w:val="005A06AA"/>
    <w:rsid w:val="005A1609"/>
    <w:rsid w:val="005A3428"/>
    <w:rsid w:val="005A5A77"/>
    <w:rsid w:val="005A68EE"/>
    <w:rsid w:val="005B19AE"/>
    <w:rsid w:val="005B1BE3"/>
    <w:rsid w:val="005C1BDF"/>
    <w:rsid w:val="005C2A19"/>
    <w:rsid w:val="005C397D"/>
    <w:rsid w:val="005C7034"/>
    <w:rsid w:val="005D3D94"/>
    <w:rsid w:val="005D63F0"/>
    <w:rsid w:val="005E3CF7"/>
    <w:rsid w:val="005F0AD8"/>
    <w:rsid w:val="005F13B2"/>
    <w:rsid w:val="005F49C5"/>
    <w:rsid w:val="005F6B98"/>
    <w:rsid w:val="00600409"/>
    <w:rsid w:val="00606E24"/>
    <w:rsid w:val="006100D5"/>
    <w:rsid w:val="00612134"/>
    <w:rsid w:val="00612495"/>
    <w:rsid w:val="00612802"/>
    <w:rsid w:val="00612CAE"/>
    <w:rsid w:val="00614F19"/>
    <w:rsid w:val="00615BF8"/>
    <w:rsid w:val="00616D8B"/>
    <w:rsid w:val="00620696"/>
    <w:rsid w:val="00623A45"/>
    <w:rsid w:val="00623EAE"/>
    <w:rsid w:val="006250E3"/>
    <w:rsid w:val="00625EF6"/>
    <w:rsid w:val="00626893"/>
    <w:rsid w:val="00626A10"/>
    <w:rsid w:val="00626CCD"/>
    <w:rsid w:val="00633AF0"/>
    <w:rsid w:val="0063614B"/>
    <w:rsid w:val="00640E71"/>
    <w:rsid w:val="00641B31"/>
    <w:rsid w:val="00644D0E"/>
    <w:rsid w:val="006475DC"/>
    <w:rsid w:val="006512EA"/>
    <w:rsid w:val="0065398A"/>
    <w:rsid w:val="00655E5E"/>
    <w:rsid w:val="00656643"/>
    <w:rsid w:val="0066291B"/>
    <w:rsid w:val="00666208"/>
    <w:rsid w:val="00666666"/>
    <w:rsid w:val="00674ABE"/>
    <w:rsid w:val="00676C2A"/>
    <w:rsid w:val="00680443"/>
    <w:rsid w:val="00680498"/>
    <w:rsid w:val="00681366"/>
    <w:rsid w:val="00681FD1"/>
    <w:rsid w:val="006827D8"/>
    <w:rsid w:val="00683E22"/>
    <w:rsid w:val="00686605"/>
    <w:rsid w:val="0069010B"/>
    <w:rsid w:val="0069027B"/>
    <w:rsid w:val="0069246F"/>
    <w:rsid w:val="00692C0C"/>
    <w:rsid w:val="006A161E"/>
    <w:rsid w:val="006A35DE"/>
    <w:rsid w:val="006A47ED"/>
    <w:rsid w:val="006A5F03"/>
    <w:rsid w:val="006A78C8"/>
    <w:rsid w:val="006B0045"/>
    <w:rsid w:val="006B1D47"/>
    <w:rsid w:val="006B2009"/>
    <w:rsid w:val="006B2F68"/>
    <w:rsid w:val="006B429E"/>
    <w:rsid w:val="006B7176"/>
    <w:rsid w:val="006B7C0E"/>
    <w:rsid w:val="006B7C6E"/>
    <w:rsid w:val="006C5CCC"/>
    <w:rsid w:val="006D117A"/>
    <w:rsid w:val="006D4EDF"/>
    <w:rsid w:val="006D6A58"/>
    <w:rsid w:val="006D77DD"/>
    <w:rsid w:val="006E2E20"/>
    <w:rsid w:val="006E4591"/>
    <w:rsid w:val="006E4994"/>
    <w:rsid w:val="006F1599"/>
    <w:rsid w:val="006F3C3F"/>
    <w:rsid w:val="006F5D69"/>
    <w:rsid w:val="00701B60"/>
    <w:rsid w:val="00702206"/>
    <w:rsid w:val="007077A6"/>
    <w:rsid w:val="00710923"/>
    <w:rsid w:val="007115D3"/>
    <w:rsid w:val="007123C4"/>
    <w:rsid w:val="00712AE5"/>
    <w:rsid w:val="00714175"/>
    <w:rsid w:val="00714CAA"/>
    <w:rsid w:val="00714D79"/>
    <w:rsid w:val="00715055"/>
    <w:rsid w:val="00717DF7"/>
    <w:rsid w:val="00721254"/>
    <w:rsid w:val="00721A9A"/>
    <w:rsid w:val="007251A0"/>
    <w:rsid w:val="00727C69"/>
    <w:rsid w:val="0073356C"/>
    <w:rsid w:val="007367D7"/>
    <w:rsid w:val="007415C1"/>
    <w:rsid w:val="007453A5"/>
    <w:rsid w:val="00745693"/>
    <w:rsid w:val="00745F29"/>
    <w:rsid w:val="0074615F"/>
    <w:rsid w:val="00746EC0"/>
    <w:rsid w:val="00750106"/>
    <w:rsid w:val="00750AA9"/>
    <w:rsid w:val="00751304"/>
    <w:rsid w:val="00751ABA"/>
    <w:rsid w:val="00751F56"/>
    <w:rsid w:val="0076025B"/>
    <w:rsid w:val="00760A70"/>
    <w:rsid w:val="007621AB"/>
    <w:rsid w:val="007622BB"/>
    <w:rsid w:val="00762B5F"/>
    <w:rsid w:val="00764670"/>
    <w:rsid w:val="00765018"/>
    <w:rsid w:val="007703FF"/>
    <w:rsid w:val="007707E1"/>
    <w:rsid w:val="00774603"/>
    <w:rsid w:val="00777BFE"/>
    <w:rsid w:val="00782226"/>
    <w:rsid w:val="007824C9"/>
    <w:rsid w:val="0078360A"/>
    <w:rsid w:val="00783649"/>
    <w:rsid w:val="00785457"/>
    <w:rsid w:val="007854AE"/>
    <w:rsid w:val="00785F8C"/>
    <w:rsid w:val="00790B4B"/>
    <w:rsid w:val="00790E68"/>
    <w:rsid w:val="00790F6E"/>
    <w:rsid w:val="00793C4B"/>
    <w:rsid w:val="00795663"/>
    <w:rsid w:val="00796279"/>
    <w:rsid w:val="007963B4"/>
    <w:rsid w:val="007963B9"/>
    <w:rsid w:val="00797426"/>
    <w:rsid w:val="007A17A4"/>
    <w:rsid w:val="007A4563"/>
    <w:rsid w:val="007B0751"/>
    <w:rsid w:val="007B3248"/>
    <w:rsid w:val="007B5B1C"/>
    <w:rsid w:val="007B5BF1"/>
    <w:rsid w:val="007B63EC"/>
    <w:rsid w:val="007C12A1"/>
    <w:rsid w:val="007C38B1"/>
    <w:rsid w:val="007C4081"/>
    <w:rsid w:val="007C41B1"/>
    <w:rsid w:val="007C756B"/>
    <w:rsid w:val="007C780D"/>
    <w:rsid w:val="007C7B20"/>
    <w:rsid w:val="007D1C79"/>
    <w:rsid w:val="007D2B59"/>
    <w:rsid w:val="007D2F4B"/>
    <w:rsid w:val="007E5060"/>
    <w:rsid w:val="007E7EE4"/>
    <w:rsid w:val="007F3384"/>
    <w:rsid w:val="007F360B"/>
    <w:rsid w:val="007F42A7"/>
    <w:rsid w:val="007F5CB2"/>
    <w:rsid w:val="007F6280"/>
    <w:rsid w:val="007F6552"/>
    <w:rsid w:val="007F6CD5"/>
    <w:rsid w:val="0080348C"/>
    <w:rsid w:val="008063D1"/>
    <w:rsid w:val="0081038E"/>
    <w:rsid w:val="00811C82"/>
    <w:rsid w:val="00813DF9"/>
    <w:rsid w:val="008146FF"/>
    <w:rsid w:val="00814C33"/>
    <w:rsid w:val="00816302"/>
    <w:rsid w:val="008169B3"/>
    <w:rsid w:val="008171C6"/>
    <w:rsid w:val="00817A26"/>
    <w:rsid w:val="00817B75"/>
    <w:rsid w:val="00820014"/>
    <w:rsid w:val="00823924"/>
    <w:rsid w:val="00823D88"/>
    <w:rsid w:val="00825530"/>
    <w:rsid w:val="008278E5"/>
    <w:rsid w:val="008300B0"/>
    <w:rsid w:val="00831F98"/>
    <w:rsid w:val="0083409D"/>
    <w:rsid w:val="0083459A"/>
    <w:rsid w:val="00834A90"/>
    <w:rsid w:val="00834D1E"/>
    <w:rsid w:val="00835FD9"/>
    <w:rsid w:val="00836438"/>
    <w:rsid w:val="00836DAD"/>
    <w:rsid w:val="00837B7B"/>
    <w:rsid w:val="00843F85"/>
    <w:rsid w:val="00851C1D"/>
    <w:rsid w:val="00853F55"/>
    <w:rsid w:val="00854072"/>
    <w:rsid w:val="0085424C"/>
    <w:rsid w:val="00860B02"/>
    <w:rsid w:val="008642D9"/>
    <w:rsid w:val="008648D5"/>
    <w:rsid w:val="0086630A"/>
    <w:rsid w:val="0087401A"/>
    <w:rsid w:val="00874FAB"/>
    <w:rsid w:val="00877380"/>
    <w:rsid w:val="0087770B"/>
    <w:rsid w:val="0088397E"/>
    <w:rsid w:val="008855D4"/>
    <w:rsid w:val="00885D87"/>
    <w:rsid w:val="00891E2B"/>
    <w:rsid w:val="00893743"/>
    <w:rsid w:val="00894997"/>
    <w:rsid w:val="008949F3"/>
    <w:rsid w:val="00896732"/>
    <w:rsid w:val="00897D47"/>
    <w:rsid w:val="008A1855"/>
    <w:rsid w:val="008A2F81"/>
    <w:rsid w:val="008A7797"/>
    <w:rsid w:val="008B1638"/>
    <w:rsid w:val="008B6E47"/>
    <w:rsid w:val="008B7E11"/>
    <w:rsid w:val="008C0537"/>
    <w:rsid w:val="008D0C95"/>
    <w:rsid w:val="008D121E"/>
    <w:rsid w:val="008D1A3F"/>
    <w:rsid w:val="008D228E"/>
    <w:rsid w:val="008D69E6"/>
    <w:rsid w:val="008D6AC7"/>
    <w:rsid w:val="008E19D5"/>
    <w:rsid w:val="008E3891"/>
    <w:rsid w:val="008E4464"/>
    <w:rsid w:val="008F23DC"/>
    <w:rsid w:val="008F55AA"/>
    <w:rsid w:val="008F5876"/>
    <w:rsid w:val="008F6889"/>
    <w:rsid w:val="00903575"/>
    <w:rsid w:val="00904A2A"/>
    <w:rsid w:val="0090734C"/>
    <w:rsid w:val="00914B36"/>
    <w:rsid w:val="00917C41"/>
    <w:rsid w:val="00921270"/>
    <w:rsid w:val="009223FC"/>
    <w:rsid w:val="00924CFA"/>
    <w:rsid w:val="00925338"/>
    <w:rsid w:val="00925B22"/>
    <w:rsid w:val="00925DB0"/>
    <w:rsid w:val="00934220"/>
    <w:rsid w:val="00936D88"/>
    <w:rsid w:val="009371A7"/>
    <w:rsid w:val="009379AD"/>
    <w:rsid w:val="00941947"/>
    <w:rsid w:val="009436B9"/>
    <w:rsid w:val="00946747"/>
    <w:rsid w:val="00951154"/>
    <w:rsid w:val="00951923"/>
    <w:rsid w:val="00952EF4"/>
    <w:rsid w:val="00953E9F"/>
    <w:rsid w:val="00953F34"/>
    <w:rsid w:val="00954BCA"/>
    <w:rsid w:val="00960C38"/>
    <w:rsid w:val="00965E9C"/>
    <w:rsid w:val="00966967"/>
    <w:rsid w:val="009818A1"/>
    <w:rsid w:val="00982E0C"/>
    <w:rsid w:val="0098439A"/>
    <w:rsid w:val="00985229"/>
    <w:rsid w:val="009854AD"/>
    <w:rsid w:val="00985850"/>
    <w:rsid w:val="00991E5D"/>
    <w:rsid w:val="0099598A"/>
    <w:rsid w:val="0099676E"/>
    <w:rsid w:val="00996D66"/>
    <w:rsid w:val="009A16E8"/>
    <w:rsid w:val="009A1A87"/>
    <w:rsid w:val="009A1E54"/>
    <w:rsid w:val="009A20EC"/>
    <w:rsid w:val="009B1048"/>
    <w:rsid w:val="009B5878"/>
    <w:rsid w:val="009B72AB"/>
    <w:rsid w:val="009B7BA8"/>
    <w:rsid w:val="009C247E"/>
    <w:rsid w:val="009C4306"/>
    <w:rsid w:val="009C448F"/>
    <w:rsid w:val="009C5A9B"/>
    <w:rsid w:val="009C7507"/>
    <w:rsid w:val="009D025F"/>
    <w:rsid w:val="009D0D83"/>
    <w:rsid w:val="009D0EC4"/>
    <w:rsid w:val="009D0EDD"/>
    <w:rsid w:val="009D33FA"/>
    <w:rsid w:val="009E1722"/>
    <w:rsid w:val="009E41BD"/>
    <w:rsid w:val="009E54BE"/>
    <w:rsid w:val="009F02AC"/>
    <w:rsid w:val="009F2491"/>
    <w:rsid w:val="009F3941"/>
    <w:rsid w:val="009F3974"/>
    <w:rsid w:val="009F4ABD"/>
    <w:rsid w:val="009F6A8F"/>
    <w:rsid w:val="00A0289B"/>
    <w:rsid w:val="00A05527"/>
    <w:rsid w:val="00A05C52"/>
    <w:rsid w:val="00A122B4"/>
    <w:rsid w:val="00A1466A"/>
    <w:rsid w:val="00A1497A"/>
    <w:rsid w:val="00A15B91"/>
    <w:rsid w:val="00A16B2F"/>
    <w:rsid w:val="00A2069D"/>
    <w:rsid w:val="00A20DE1"/>
    <w:rsid w:val="00A23A38"/>
    <w:rsid w:val="00A30C5D"/>
    <w:rsid w:val="00A319DB"/>
    <w:rsid w:val="00A31AF5"/>
    <w:rsid w:val="00A34A80"/>
    <w:rsid w:val="00A37621"/>
    <w:rsid w:val="00A42991"/>
    <w:rsid w:val="00A42BE5"/>
    <w:rsid w:val="00A463BA"/>
    <w:rsid w:val="00A50920"/>
    <w:rsid w:val="00A51975"/>
    <w:rsid w:val="00A51A1C"/>
    <w:rsid w:val="00A57A80"/>
    <w:rsid w:val="00A60D1D"/>
    <w:rsid w:val="00A679FA"/>
    <w:rsid w:val="00A67FAA"/>
    <w:rsid w:val="00A70667"/>
    <w:rsid w:val="00A708FB"/>
    <w:rsid w:val="00A722F0"/>
    <w:rsid w:val="00A73657"/>
    <w:rsid w:val="00A76D41"/>
    <w:rsid w:val="00A82142"/>
    <w:rsid w:val="00A82802"/>
    <w:rsid w:val="00A830FD"/>
    <w:rsid w:val="00A85636"/>
    <w:rsid w:val="00A952E4"/>
    <w:rsid w:val="00A97679"/>
    <w:rsid w:val="00A977B9"/>
    <w:rsid w:val="00A97874"/>
    <w:rsid w:val="00AA0E0C"/>
    <w:rsid w:val="00AA20C0"/>
    <w:rsid w:val="00AA26AB"/>
    <w:rsid w:val="00AA3192"/>
    <w:rsid w:val="00AA340C"/>
    <w:rsid w:val="00AB62E5"/>
    <w:rsid w:val="00AC020A"/>
    <w:rsid w:val="00AC0344"/>
    <w:rsid w:val="00AC1C18"/>
    <w:rsid w:val="00AC4164"/>
    <w:rsid w:val="00AC58A3"/>
    <w:rsid w:val="00AC728C"/>
    <w:rsid w:val="00AD1244"/>
    <w:rsid w:val="00AD4D41"/>
    <w:rsid w:val="00AE0F21"/>
    <w:rsid w:val="00AE2CF3"/>
    <w:rsid w:val="00AE2FA4"/>
    <w:rsid w:val="00AE32C6"/>
    <w:rsid w:val="00AE7BA3"/>
    <w:rsid w:val="00AF1E98"/>
    <w:rsid w:val="00B05E8E"/>
    <w:rsid w:val="00B07574"/>
    <w:rsid w:val="00B12AAE"/>
    <w:rsid w:val="00B132B5"/>
    <w:rsid w:val="00B13C9C"/>
    <w:rsid w:val="00B1424F"/>
    <w:rsid w:val="00B264AB"/>
    <w:rsid w:val="00B27FAD"/>
    <w:rsid w:val="00B301DF"/>
    <w:rsid w:val="00B3500A"/>
    <w:rsid w:val="00B36494"/>
    <w:rsid w:val="00B3752E"/>
    <w:rsid w:val="00B37A68"/>
    <w:rsid w:val="00B40FFB"/>
    <w:rsid w:val="00B4124F"/>
    <w:rsid w:val="00B45502"/>
    <w:rsid w:val="00B4599C"/>
    <w:rsid w:val="00B46362"/>
    <w:rsid w:val="00B46D54"/>
    <w:rsid w:val="00B602C2"/>
    <w:rsid w:val="00B60CB3"/>
    <w:rsid w:val="00B6262B"/>
    <w:rsid w:val="00B636F6"/>
    <w:rsid w:val="00B66A9A"/>
    <w:rsid w:val="00B67AF6"/>
    <w:rsid w:val="00B7129B"/>
    <w:rsid w:val="00B753D1"/>
    <w:rsid w:val="00B75C99"/>
    <w:rsid w:val="00B761B1"/>
    <w:rsid w:val="00B80D1D"/>
    <w:rsid w:val="00B84D7E"/>
    <w:rsid w:val="00B87B0C"/>
    <w:rsid w:val="00B94034"/>
    <w:rsid w:val="00B979C2"/>
    <w:rsid w:val="00BA14D9"/>
    <w:rsid w:val="00BA154B"/>
    <w:rsid w:val="00BA23D2"/>
    <w:rsid w:val="00BA497C"/>
    <w:rsid w:val="00BA5B21"/>
    <w:rsid w:val="00BA637C"/>
    <w:rsid w:val="00BA6EEE"/>
    <w:rsid w:val="00BB435E"/>
    <w:rsid w:val="00BC020F"/>
    <w:rsid w:val="00BC25DB"/>
    <w:rsid w:val="00BD0181"/>
    <w:rsid w:val="00BD02C4"/>
    <w:rsid w:val="00BD48EC"/>
    <w:rsid w:val="00BE0EF3"/>
    <w:rsid w:val="00BE1021"/>
    <w:rsid w:val="00BE10C0"/>
    <w:rsid w:val="00BE2E27"/>
    <w:rsid w:val="00BE33E5"/>
    <w:rsid w:val="00BE36E2"/>
    <w:rsid w:val="00BE3A3B"/>
    <w:rsid w:val="00BE5D20"/>
    <w:rsid w:val="00BE6A3F"/>
    <w:rsid w:val="00BE6F11"/>
    <w:rsid w:val="00BF3E05"/>
    <w:rsid w:val="00BF7045"/>
    <w:rsid w:val="00BF7B8E"/>
    <w:rsid w:val="00C01DC4"/>
    <w:rsid w:val="00C03751"/>
    <w:rsid w:val="00C04408"/>
    <w:rsid w:val="00C063FE"/>
    <w:rsid w:val="00C0688F"/>
    <w:rsid w:val="00C0691B"/>
    <w:rsid w:val="00C06D69"/>
    <w:rsid w:val="00C104EE"/>
    <w:rsid w:val="00C11B4F"/>
    <w:rsid w:val="00C12576"/>
    <w:rsid w:val="00C15502"/>
    <w:rsid w:val="00C16011"/>
    <w:rsid w:val="00C2308C"/>
    <w:rsid w:val="00C241D3"/>
    <w:rsid w:val="00C26A84"/>
    <w:rsid w:val="00C333E3"/>
    <w:rsid w:val="00C33B21"/>
    <w:rsid w:val="00C37846"/>
    <w:rsid w:val="00C40036"/>
    <w:rsid w:val="00C401DB"/>
    <w:rsid w:val="00C40C6F"/>
    <w:rsid w:val="00C42E63"/>
    <w:rsid w:val="00C44184"/>
    <w:rsid w:val="00C4467B"/>
    <w:rsid w:val="00C5113F"/>
    <w:rsid w:val="00C5133A"/>
    <w:rsid w:val="00C52F61"/>
    <w:rsid w:val="00C55070"/>
    <w:rsid w:val="00C558B9"/>
    <w:rsid w:val="00C57F9B"/>
    <w:rsid w:val="00C64F1A"/>
    <w:rsid w:val="00C65954"/>
    <w:rsid w:val="00C7115C"/>
    <w:rsid w:val="00C737BF"/>
    <w:rsid w:val="00C7611F"/>
    <w:rsid w:val="00C81103"/>
    <w:rsid w:val="00C8287D"/>
    <w:rsid w:val="00C83809"/>
    <w:rsid w:val="00C85658"/>
    <w:rsid w:val="00C879B6"/>
    <w:rsid w:val="00C90DA9"/>
    <w:rsid w:val="00C91B6D"/>
    <w:rsid w:val="00C93011"/>
    <w:rsid w:val="00C93EE7"/>
    <w:rsid w:val="00C979AD"/>
    <w:rsid w:val="00CA098F"/>
    <w:rsid w:val="00CA2341"/>
    <w:rsid w:val="00CA2E5E"/>
    <w:rsid w:val="00CB6ADB"/>
    <w:rsid w:val="00CB7D82"/>
    <w:rsid w:val="00CC01E4"/>
    <w:rsid w:val="00CC208C"/>
    <w:rsid w:val="00CC2177"/>
    <w:rsid w:val="00CC362D"/>
    <w:rsid w:val="00CC3AE5"/>
    <w:rsid w:val="00CC4228"/>
    <w:rsid w:val="00CC5D7B"/>
    <w:rsid w:val="00CC6B70"/>
    <w:rsid w:val="00CD01E8"/>
    <w:rsid w:val="00CD1A38"/>
    <w:rsid w:val="00CD1F95"/>
    <w:rsid w:val="00CD3B3C"/>
    <w:rsid w:val="00CD409E"/>
    <w:rsid w:val="00CD4617"/>
    <w:rsid w:val="00CD5C17"/>
    <w:rsid w:val="00CD7823"/>
    <w:rsid w:val="00CE1F0C"/>
    <w:rsid w:val="00CE450C"/>
    <w:rsid w:val="00CE5168"/>
    <w:rsid w:val="00CE6114"/>
    <w:rsid w:val="00CF2562"/>
    <w:rsid w:val="00CF431D"/>
    <w:rsid w:val="00CF534F"/>
    <w:rsid w:val="00CF620A"/>
    <w:rsid w:val="00CF797B"/>
    <w:rsid w:val="00CF7B09"/>
    <w:rsid w:val="00D00771"/>
    <w:rsid w:val="00D026D9"/>
    <w:rsid w:val="00D059DC"/>
    <w:rsid w:val="00D05F0E"/>
    <w:rsid w:val="00D1121C"/>
    <w:rsid w:val="00D13115"/>
    <w:rsid w:val="00D1434A"/>
    <w:rsid w:val="00D1451F"/>
    <w:rsid w:val="00D2275F"/>
    <w:rsid w:val="00D23B2E"/>
    <w:rsid w:val="00D2467A"/>
    <w:rsid w:val="00D258FB"/>
    <w:rsid w:val="00D25989"/>
    <w:rsid w:val="00D31F60"/>
    <w:rsid w:val="00D3516F"/>
    <w:rsid w:val="00D35509"/>
    <w:rsid w:val="00D357B9"/>
    <w:rsid w:val="00D37A1E"/>
    <w:rsid w:val="00D405C4"/>
    <w:rsid w:val="00D41D1E"/>
    <w:rsid w:val="00D42862"/>
    <w:rsid w:val="00D45495"/>
    <w:rsid w:val="00D457DB"/>
    <w:rsid w:val="00D538D8"/>
    <w:rsid w:val="00D54A2C"/>
    <w:rsid w:val="00D57552"/>
    <w:rsid w:val="00D57921"/>
    <w:rsid w:val="00D62275"/>
    <w:rsid w:val="00D62A3A"/>
    <w:rsid w:val="00D6562E"/>
    <w:rsid w:val="00D72715"/>
    <w:rsid w:val="00D72C64"/>
    <w:rsid w:val="00D73344"/>
    <w:rsid w:val="00D741CA"/>
    <w:rsid w:val="00D75DC3"/>
    <w:rsid w:val="00D766CB"/>
    <w:rsid w:val="00D7718B"/>
    <w:rsid w:val="00D8182D"/>
    <w:rsid w:val="00D85B4A"/>
    <w:rsid w:val="00D909A3"/>
    <w:rsid w:val="00D90E98"/>
    <w:rsid w:val="00DA1FDA"/>
    <w:rsid w:val="00DA34C5"/>
    <w:rsid w:val="00DA55D7"/>
    <w:rsid w:val="00DA5BCA"/>
    <w:rsid w:val="00DA7ECE"/>
    <w:rsid w:val="00DB01E5"/>
    <w:rsid w:val="00DB08AD"/>
    <w:rsid w:val="00DB1EBE"/>
    <w:rsid w:val="00DB1FA8"/>
    <w:rsid w:val="00DB7440"/>
    <w:rsid w:val="00DC1263"/>
    <w:rsid w:val="00DC1DED"/>
    <w:rsid w:val="00DC3120"/>
    <w:rsid w:val="00DC33B3"/>
    <w:rsid w:val="00DC4087"/>
    <w:rsid w:val="00DC4A30"/>
    <w:rsid w:val="00DC647B"/>
    <w:rsid w:val="00DC7698"/>
    <w:rsid w:val="00DD2182"/>
    <w:rsid w:val="00DD3DFE"/>
    <w:rsid w:val="00DD42B4"/>
    <w:rsid w:val="00DD4AAD"/>
    <w:rsid w:val="00DD5D7D"/>
    <w:rsid w:val="00DD77AC"/>
    <w:rsid w:val="00DE0F91"/>
    <w:rsid w:val="00DE2A67"/>
    <w:rsid w:val="00DE450B"/>
    <w:rsid w:val="00DE5BB8"/>
    <w:rsid w:val="00DE715D"/>
    <w:rsid w:val="00DF0436"/>
    <w:rsid w:val="00DF18E9"/>
    <w:rsid w:val="00DF46F9"/>
    <w:rsid w:val="00DF7380"/>
    <w:rsid w:val="00E006A3"/>
    <w:rsid w:val="00E01595"/>
    <w:rsid w:val="00E026EC"/>
    <w:rsid w:val="00E02E8A"/>
    <w:rsid w:val="00E03183"/>
    <w:rsid w:val="00E039B1"/>
    <w:rsid w:val="00E13F42"/>
    <w:rsid w:val="00E175E7"/>
    <w:rsid w:val="00E17862"/>
    <w:rsid w:val="00E2069E"/>
    <w:rsid w:val="00E2263B"/>
    <w:rsid w:val="00E25EAC"/>
    <w:rsid w:val="00E25EC1"/>
    <w:rsid w:val="00E30060"/>
    <w:rsid w:val="00E32058"/>
    <w:rsid w:val="00E322B4"/>
    <w:rsid w:val="00E33A65"/>
    <w:rsid w:val="00E3514F"/>
    <w:rsid w:val="00E41965"/>
    <w:rsid w:val="00E42DF5"/>
    <w:rsid w:val="00E4371F"/>
    <w:rsid w:val="00E45B99"/>
    <w:rsid w:val="00E46F79"/>
    <w:rsid w:val="00E47CE7"/>
    <w:rsid w:val="00E52FFC"/>
    <w:rsid w:val="00E5300E"/>
    <w:rsid w:val="00E55100"/>
    <w:rsid w:val="00E55EF6"/>
    <w:rsid w:val="00E56699"/>
    <w:rsid w:val="00E5722D"/>
    <w:rsid w:val="00E60D43"/>
    <w:rsid w:val="00E6547C"/>
    <w:rsid w:val="00E7073F"/>
    <w:rsid w:val="00E83A93"/>
    <w:rsid w:val="00E873FE"/>
    <w:rsid w:val="00E90B28"/>
    <w:rsid w:val="00E91E54"/>
    <w:rsid w:val="00E93158"/>
    <w:rsid w:val="00E93330"/>
    <w:rsid w:val="00EA0100"/>
    <w:rsid w:val="00EA08A3"/>
    <w:rsid w:val="00EA1BE7"/>
    <w:rsid w:val="00EA3500"/>
    <w:rsid w:val="00EA570C"/>
    <w:rsid w:val="00EA7ACA"/>
    <w:rsid w:val="00EB40E2"/>
    <w:rsid w:val="00EB588F"/>
    <w:rsid w:val="00EC0A67"/>
    <w:rsid w:val="00EC1FD0"/>
    <w:rsid w:val="00EC21FF"/>
    <w:rsid w:val="00EC5705"/>
    <w:rsid w:val="00EC61AF"/>
    <w:rsid w:val="00EC6373"/>
    <w:rsid w:val="00ED3FCC"/>
    <w:rsid w:val="00ED6E07"/>
    <w:rsid w:val="00EE11E4"/>
    <w:rsid w:val="00EE246D"/>
    <w:rsid w:val="00EE2697"/>
    <w:rsid w:val="00EE5A21"/>
    <w:rsid w:val="00EF1490"/>
    <w:rsid w:val="00EF39EB"/>
    <w:rsid w:val="00EF5374"/>
    <w:rsid w:val="00EF78C2"/>
    <w:rsid w:val="00F034F4"/>
    <w:rsid w:val="00F05D9B"/>
    <w:rsid w:val="00F07298"/>
    <w:rsid w:val="00F10018"/>
    <w:rsid w:val="00F10036"/>
    <w:rsid w:val="00F1107D"/>
    <w:rsid w:val="00F119AC"/>
    <w:rsid w:val="00F11AA9"/>
    <w:rsid w:val="00F126A6"/>
    <w:rsid w:val="00F145D7"/>
    <w:rsid w:val="00F15AD4"/>
    <w:rsid w:val="00F2021C"/>
    <w:rsid w:val="00F272B2"/>
    <w:rsid w:val="00F31E27"/>
    <w:rsid w:val="00F360C0"/>
    <w:rsid w:val="00F44A0C"/>
    <w:rsid w:val="00F46553"/>
    <w:rsid w:val="00F472FF"/>
    <w:rsid w:val="00F524FD"/>
    <w:rsid w:val="00F5279F"/>
    <w:rsid w:val="00F52D0B"/>
    <w:rsid w:val="00F53953"/>
    <w:rsid w:val="00F55C78"/>
    <w:rsid w:val="00F5789F"/>
    <w:rsid w:val="00F61995"/>
    <w:rsid w:val="00F620A9"/>
    <w:rsid w:val="00F648D5"/>
    <w:rsid w:val="00F65947"/>
    <w:rsid w:val="00F67EC6"/>
    <w:rsid w:val="00F7137B"/>
    <w:rsid w:val="00F74AB5"/>
    <w:rsid w:val="00F75A69"/>
    <w:rsid w:val="00F77B8A"/>
    <w:rsid w:val="00F8031F"/>
    <w:rsid w:val="00F81D66"/>
    <w:rsid w:val="00F82F13"/>
    <w:rsid w:val="00F84802"/>
    <w:rsid w:val="00F90EBB"/>
    <w:rsid w:val="00F924A2"/>
    <w:rsid w:val="00F94660"/>
    <w:rsid w:val="00F95C33"/>
    <w:rsid w:val="00F964C2"/>
    <w:rsid w:val="00FA07BD"/>
    <w:rsid w:val="00FA091D"/>
    <w:rsid w:val="00FA15EA"/>
    <w:rsid w:val="00FA2356"/>
    <w:rsid w:val="00FA47AB"/>
    <w:rsid w:val="00FA74E9"/>
    <w:rsid w:val="00FB3643"/>
    <w:rsid w:val="00FB72FC"/>
    <w:rsid w:val="00FB748B"/>
    <w:rsid w:val="00FB7F51"/>
    <w:rsid w:val="00FC6105"/>
    <w:rsid w:val="00FD2794"/>
    <w:rsid w:val="00FD386D"/>
    <w:rsid w:val="00FD5DDD"/>
    <w:rsid w:val="00FE281E"/>
    <w:rsid w:val="00FE37C9"/>
    <w:rsid w:val="00FE5C39"/>
    <w:rsid w:val="00FE6FB7"/>
    <w:rsid w:val="00FF02BF"/>
    <w:rsid w:val="00FF03E1"/>
    <w:rsid w:val="00FF11A5"/>
    <w:rsid w:val="00F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B3959"/>
  <w15:docId w15:val="{33F8B2A4-9F55-4D7E-8D49-A7DB248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C247E"/>
    <w:pPr>
      <w:keepNext/>
      <w:numPr>
        <w:numId w:val="13"/>
      </w:numPr>
      <w:ind w:left="540" w:hanging="540"/>
      <w:outlineLvl w:val="0"/>
    </w:pPr>
    <w:rPr>
      <w:b/>
    </w:rPr>
  </w:style>
  <w:style w:type="paragraph" w:styleId="Heading2">
    <w:name w:val="heading 2"/>
    <w:basedOn w:val="Normal"/>
    <w:next w:val="Normal"/>
    <w:link w:val="Heading2Char"/>
    <w:uiPriority w:val="1"/>
    <w:unhideWhenUsed/>
    <w:qFormat/>
    <w:rsid w:val="00E1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760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47E"/>
    <w:rPr>
      <w:rFonts w:ascii="Times New Roman" w:eastAsia="Times New Roman" w:hAnsi="Times New Roman" w:cs="Times New Roman"/>
      <w:b/>
      <w:sz w:val="24"/>
      <w:szCs w:val="24"/>
    </w:rPr>
  </w:style>
  <w:style w:type="character" w:styleId="Hyperlink">
    <w:name w:val="Hyperlink"/>
    <w:uiPriority w:val="99"/>
    <w:rsid w:val="00073F1E"/>
    <w:rPr>
      <w:color w:val="0000FF"/>
      <w:u w:val="single"/>
    </w:rPr>
  </w:style>
  <w:style w:type="paragraph" w:styleId="ListParagraph">
    <w:name w:val="List Paragraph"/>
    <w:basedOn w:val="Normal"/>
    <w:uiPriority w:val="1"/>
    <w:qFormat/>
    <w:rsid w:val="00073F1E"/>
    <w:pPr>
      <w:ind w:left="720"/>
    </w:pPr>
    <w:rPr>
      <w:rFonts w:ascii="Tahoma" w:hAnsi="Tahoma"/>
      <w:sz w:val="16"/>
    </w:rPr>
  </w:style>
  <w:style w:type="paragraph" w:styleId="BodyText">
    <w:name w:val="Body Text"/>
    <w:basedOn w:val="Normal"/>
    <w:link w:val="BodyTextChar"/>
    <w:uiPriority w:val="1"/>
    <w:qFormat/>
    <w:rsid w:val="009818A1"/>
    <w:pPr>
      <w:jc w:val="both"/>
    </w:pPr>
    <w:rPr>
      <w:rFonts w:ascii="Tahoma" w:hAnsi="Tahoma" w:cs="Tahoma"/>
      <w:bCs/>
      <w:szCs w:val="20"/>
    </w:rPr>
  </w:style>
  <w:style w:type="character" w:customStyle="1" w:styleId="BodyTextChar">
    <w:name w:val="Body Text Char"/>
    <w:basedOn w:val="DefaultParagraphFont"/>
    <w:link w:val="BodyText"/>
    <w:uiPriority w:val="99"/>
    <w:rsid w:val="009818A1"/>
    <w:rPr>
      <w:rFonts w:ascii="Tahoma" w:eastAsia="Times New Roman" w:hAnsi="Tahoma" w:cs="Tahoma"/>
      <w:bCs/>
      <w:sz w:val="24"/>
      <w:szCs w:val="20"/>
    </w:rPr>
  </w:style>
  <w:style w:type="character" w:customStyle="1" w:styleId="Heading3Char">
    <w:name w:val="Heading 3 Char"/>
    <w:basedOn w:val="DefaultParagraphFont"/>
    <w:link w:val="Heading3"/>
    <w:uiPriority w:val="9"/>
    <w:rsid w:val="00760A70"/>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760A70"/>
    <w:pPr>
      <w:tabs>
        <w:tab w:val="center" w:pos="4320"/>
        <w:tab w:val="right" w:pos="8640"/>
      </w:tabs>
    </w:pPr>
  </w:style>
  <w:style w:type="character" w:customStyle="1" w:styleId="HeaderChar">
    <w:name w:val="Header Char"/>
    <w:basedOn w:val="DefaultParagraphFont"/>
    <w:link w:val="Header"/>
    <w:uiPriority w:val="99"/>
    <w:rsid w:val="00760A70"/>
    <w:rPr>
      <w:rFonts w:ascii="Times New Roman" w:eastAsia="Times New Roman" w:hAnsi="Times New Roman" w:cs="Times New Roman"/>
      <w:sz w:val="24"/>
      <w:szCs w:val="24"/>
    </w:rPr>
  </w:style>
  <w:style w:type="paragraph" w:styleId="Footer">
    <w:name w:val="footer"/>
    <w:basedOn w:val="Normal"/>
    <w:link w:val="FooterChar"/>
    <w:uiPriority w:val="99"/>
    <w:rsid w:val="00760A70"/>
    <w:pPr>
      <w:tabs>
        <w:tab w:val="center" w:pos="4320"/>
        <w:tab w:val="right" w:pos="8640"/>
      </w:tabs>
    </w:pPr>
  </w:style>
  <w:style w:type="character" w:customStyle="1" w:styleId="FooterChar">
    <w:name w:val="Footer Char"/>
    <w:basedOn w:val="DefaultParagraphFont"/>
    <w:link w:val="Footer"/>
    <w:uiPriority w:val="99"/>
    <w:rsid w:val="00760A70"/>
    <w:rPr>
      <w:rFonts w:ascii="Times New Roman" w:eastAsia="Times New Roman" w:hAnsi="Times New Roman" w:cs="Times New Roman"/>
      <w:sz w:val="24"/>
      <w:szCs w:val="24"/>
    </w:rPr>
  </w:style>
  <w:style w:type="character" w:styleId="PageNumber">
    <w:name w:val="page number"/>
    <w:basedOn w:val="DefaultParagraphFont"/>
    <w:rsid w:val="00760A70"/>
  </w:style>
  <w:style w:type="paragraph" w:customStyle="1" w:styleId="TableListBullet1">
    <w:name w:val="TableListBullet1"/>
    <w:aliases w:val="tlb1"/>
    <w:basedOn w:val="Normal"/>
    <w:rsid w:val="00760A70"/>
    <w:pPr>
      <w:numPr>
        <w:numId w:val="8"/>
      </w:numPr>
      <w:spacing w:before="60" w:after="60"/>
    </w:pPr>
    <w:rPr>
      <w:rFonts w:ascii="Book Antiqua" w:hAnsi="Book Antiqua"/>
      <w:sz w:val="18"/>
      <w:szCs w:val="18"/>
    </w:rPr>
  </w:style>
  <w:style w:type="character" w:styleId="FollowedHyperlink">
    <w:name w:val="FollowedHyperlink"/>
    <w:basedOn w:val="DefaultParagraphFont"/>
    <w:uiPriority w:val="99"/>
    <w:semiHidden/>
    <w:unhideWhenUsed/>
    <w:rsid w:val="00E006A3"/>
    <w:rPr>
      <w:color w:val="800080" w:themeColor="followedHyperlink"/>
      <w:u w:val="single"/>
    </w:rPr>
  </w:style>
  <w:style w:type="character" w:styleId="CommentReference">
    <w:name w:val="annotation reference"/>
    <w:basedOn w:val="DefaultParagraphFont"/>
    <w:uiPriority w:val="99"/>
    <w:semiHidden/>
    <w:unhideWhenUsed/>
    <w:rsid w:val="000D2758"/>
    <w:rPr>
      <w:sz w:val="16"/>
      <w:szCs w:val="16"/>
    </w:rPr>
  </w:style>
  <w:style w:type="paragraph" w:styleId="CommentText">
    <w:name w:val="annotation text"/>
    <w:basedOn w:val="Normal"/>
    <w:link w:val="CommentTextChar"/>
    <w:uiPriority w:val="99"/>
    <w:semiHidden/>
    <w:unhideWhenUsed/>
    <w:rsid w:val="000D2758"/>
    <w:rPr>
      <w:sz w:val="20"/>
      <w:szCs w:val="20"/>
    </w:rPr>
  </w:style>
  <w:style w:type="character" w:customStyle="1" w:styleId="CommentTextChar">
    <w:name w:val="Comment Text Char"/>
    <w:basedOn w:val="DefaultParagraphFont"/>
    <w:link w:val="CommentText"/>
    <w:uiPriority w:val="99"/>
    <w:semiHidden/>
    <w:rsid w:val="000D2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58"/>
    <w:rPr>
      <w:b/>
      <w:bCs/>
    </w:rPr>
  </w:style>
  <w:style w:type="character" w:customStyle="1" w:styleId="CommentSubjectChar">
    <w:name w:val="Comment Subject Char"/>
    <w:basedOn w:val="CommentTextChar"/>
    <w:link w:val="CommentSubject"/>
    <w:uiPriority w:val="99"/>
    <w:semiHidden/>
    <w:rsid w:val="000D27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758"/>
    <w:rPr>
      <w:rFonts w:ascii="Tahoma" w:hAnsi="Tahoma" w:cs="Tahoma"/>
      <w:sz w:val="16"/>
      <w:szCs w:val="16"/>
    </w:rPr>
  </w:style>
  <w:style w:type="character" w:customStyle="1" w:styleId="BalloonTextChar">
    <w:name w:val="Balloon Text Char"/>
    <w:basedOn w:val="DefaultParagraphFont"/>
    <w:link w:val="BalloonText"/>
    <w:uiPriority w:val="99"/>
    <w:semiHidden/>
    <w:rsid w:val="000D2758"/>
    <w:rPr>
      <w:rFonts w:ascii="Tahoma" w:eastAsia="Times New Roman" w:hAnsi="Tahoma" w:cs="Tahoma"/>
      <w:sz w:val="16"/>
      <w:szCs w:val="16"/>
    </w:rPr>
  </w:style>
  <w:style w:type="character" w:styleId="HTMLCite">
    <w:name w:val="HTML Cite"/>
    <w:basedOn w:val="DefaultParagraphFont"/>
    <w:uiPriority w:val="99"/>
    <w:semiHidden/>
    <w:unhideWhenUsed/>
    <w:rsid w:val="00E90B28"/>
    <w:rPr>
      <w:i/>
      <w:iCs/>
    </w:rPr>
  </w:style>
  <w:style w:type="paragraph" w:styleId="NoSpacing">
    <w:name w:val="No Spacing"/>
    <w:uiPriority w:val="1"/>
    <w:qFormat/>
    <w:rsid w:val="00960C38"/>
    <w:pPr>
      <w:spacing w:after="0" w:line="240" w:lineRule="auto"/>
    </w:pPr>
  </w:style>
  <w:style w:type="character" w:customStyle="1" w:styleId="Heading2Char">
    <w:name w:val="Heading 2 Char"/>
    <w:basedOn w:val="DefaultParagraphFont"/>
    <w:link w:val="Heading2"/>
    <w:uiPriority w:val="9"/>
    <w:rsid w:val="00E175E7"/>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9726A"/>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4151C"/>
    <w:pPr>
      <w:tabs>
        <w:tab w:val="left" w:pos="540"/>
        <w:tab w:val="right" w:leader="dot" w:pos="9350"/>
      </w:tabs>
      <w:spacing w:after="100"/>
    </w:pPr>
  </w:style>
  <w:style w:type="table" w:styleId="TableGrid">
    <w:name w:val="Table Grid"/>
    <w:basedOn w:val="TableNormal"/>
    <w:uiPriority w:val="39"/>
    <w:rsid w:val="0055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A3F"/>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940">
      <w:bodyDiv w:val="1"/>
      <w:marLeft w:val="0"/>
      <w:marRight w:val="0"/>
      <w:marTop w:val="0"/>
      <w:marBottom w:val="0"/>
      <w:divBdr>
        <w:top w:val="none" w:sz="0" w:space="0" w:color="auto"/>
        <w:left w:val="none" w:sz="0" w:space="0" w:color="auto"/>
        <w:bottom w:val="none" w:sz="0" w:space="0" w:color="auto"/>
        <w:right w:val="none" w:sz="0" w:space="0" w:color="auto"/>
      </w:divBdr>
    </w:div>
    <w:div w:id="262107575">
      <w:bodyDiv w:val="1"/>
      <w:marLeft w:val="0"/>
      <w:marRight w:val="0"/>
      <w:marTop w:val="0"/>
      <w:marBottom w:val="0"/>
      <w:divBdr>
        <w:top w:val="none" w:sz="0" w:space="0" w:color="auto"/>
        <w:left w:val="none" w:sz="0" w:space="0" w:color="auto"/>
        <w:bottom w:val="none" w:sz="0" w:space="0" w:color="auto"/>
        <w:right w:val="none" w:sz="0" w:space="0" w:color="auto"/>
      </w:divBdr>
    </w:div>
    <w:div w:id="268007721">
      <w:bodyDiv w:val="1"/>
      <w:marLeft w:val="0"/>
      <w:marRight w:val="0"/>
      <w:marTop w:val="0"/>
      <w:marBottom w:val="0"/>
      <w:divBdr>
        <w:top w:val="none" w:sz="0" w:space="0" w:color="auto"/>
        <w:left w:val="none" w:sz="0" w:space="0" w:color="auto"/>
        <w:bottom w:val="none" w:sz="0" w:space="0" w:color="auto"/>
        <w:right w:val="none" w:sz="0" w:space="0" w:color="auto"/>
      </w:divBdr>
    </w:div>
    <w:div w:id="268976976">
      <w:bodyDiv w:val="1"/>
      <w:marLeft w:val="0"/>
      <w:marRight w:val="0"/>
      <w:marTop w:val="0"/>
      <w:marBottom w:val="0"/>
      <w:divBdr>
        <w:top w:val="none" w:sz="0" w:space="0" w:color="auto"/>
        <w:left w:val="none" w:sz="0" w:space="0" w:color="auto"/>
        <w:bottom w:val="none" w:sz="0" w:space="0" w:color="auto"/>
        <w:right w:val="none" w:sz="0" w:space="0" w:color="auto"/>
      </w:divBdr>
    </w:div>
    <w:div w:id="335379947">
      <w:bodyDiv w:val="1"/>
      <w:marLeft w:val="0"/>
      <w:marRight w:val="0"/>
      <w:marTop w:val="0"/>
      <w:marBottom w:val="0"/>
      <w:divBdr>
        <w:top w:val="none" w:sz="0" w:space="0" w:color="auto"/>
        <w:left w:val="none" w:sz="0" w:space="0" w:color="auto"/>
        <w:bottom w:val="none" w:sz="0" w:space="0" w:color="auto"/>
        <w:right w:val="none" w:sz="0" w:space="0" w:color="auto"/>
      </w:divBdr>
    </w:div>
    <w:div w:id="421069741">
      <w:bodyDiv w:val="1"/>
      <w:marLeft w:val="0"/>
      <w:marRight w:val="0"/>
      <w:marTop w:val="0"/>
      <w:marBottom w:val="0"/>
      <w:divBdr>
        <w:top w:val="none" w:sz="0" w:space="0" w:color="auto"/>
        <w:left w:val="none" w:sz="0" w:space="0" w:color="auto"/>
        <w:bottom w:val="none" w:sz="0" w:space="0" w:color="auto"/>
        <w:right w:val="none" w:sz="0" w:space="0" w:color="auto"/>
      </w:divBdr>
    </w:div>
    <w:div w:id="753478158">
      <w:bodyDiv w:val="1"/>
      <w:marLeft w:val="0"/>
      <w:marRight w:val="0"/>
      <w:marTop w:val="0"/>
      <w:marBottom w:val="0"/>
      <w:divBdr>
        <w:top w:val="none" w:sz="0" w:space="0" w:color="auto"/>
        <w:left w:val="none" w:sz="0" w:space="0" w:color="auto"/>
        <w:bottom w:val="none" w:sz="0" w:space="0" w:color="auto"/>
        <w:right w:val="none" w:sz="0" w:space="0" w:color="auto"/>
      </w:divBdr>
    </w:div>
    <w:div w:id="840504969">
      <w:bodyDiv w:val="1"/>
      <w:marLeft w:val="0"/>
      <w:marRight w:val="0"/>
      <w:marTop w:val="0"/>
      <w:marBottom w:val="0"/>
      <w:divBdr>
        <w:top w:val="none" w:sz="0" w:space="0" w:color="auto"/>
        <w:left w:val="none" w:sz="0" w:space="0" w:color="auto"/>
        <w:bottom w:val="none" w:sz="0" w:space="0" w:color="auto"/>
        <w:right w:val="none" w:sz="0" w:space="0" w:color="auto"/>
      </w:divBdr>
    </w:div>
    <w:div w:id="849371636">
      <w:bodyDiv w:val="1"/>
      <w:marLeft w:val="0"/>
      <w:marRight w:val="0"/>
      <w:marTop w:val="0"/>
      <w:marBottom w:val="0"/>
      <w:divBdr>
        <w:top w:val="none" w:sz="0" w:space="0" w:color="auto"/>
        <w:left w:val="none" w:sz="0" w:space="0" w:color="auto"/>
        <w:bottom w:val="none" w:sz="0" w:space="0" w:color="auto"/>
        <w:right w:val="none" w:sz="0" w:space="0" w:color="auto"/>
      </w:divBdr>
    </w:div>
    <w:div w:id="1027946105">
      <w:bodyDiv w:val="1"/>
      <w:marLeft w:val="0"/>
      <w:marRight w:val="0"/>
      <w:marTop w:val="0"/>
      <w:marBottom w:val="0"/>
      <w:divBdr>
        <w:top w:val="none" w:sz="0" w:space="0" w:color="auto"/>
        <w:left w:val="none" w:sz="0" w:space="0" w:color="auto"/>
        <w:bottom w:val="none" w:sz="0" w:space="0" w:color="auto"/>
        <w:right w:val="none" w:sz="0" w:space="0" w:color="auto"/>
      </w:divBdr>
    </w:div>
    <w:div w:id="1074624076">
      <w:bodyDiv w:val="1"/>
      <w:marLeft w:val="0"/>
      <w:marRight w:val="0"/>
      <w:marTop w:val="0"/>
      <w:marBottom w:val="0"/>
      <w:divBdr>
        <w:top w:val="none" w:sz="0" w:space="0" w:color="auto"/>
        <w:left w:val="none" w:sz="0" w:space="0" w:color="auto"/>
        <w:bottom w:val="none" w:sz="0" w:space="0" w:color="auto"/>
        <w:right w:val="none" w:sz="0" w:space="0" w:color="auto"/>
      </w:divBdr>
    </w:div>
    <w:div w:id="1100905677">
      <w:bodyDiv w:val="1"/>
      <w:marLeft w:val="0"/>
      <w:marRight w:val="0"/>
      <w:marTop w:val="0"/>
      <w:marBottom w:val="0"/>
      <w:divBdr>
        <w:top w:val="none" w:sz="0" w:space="0" w:color="auto"/>
        <w:left w:val="none" w:sz="0" w:space="0" w:color="auto"/>
        <w:bottom w:val="none" w:sz="0" w:space="0" w:color="auto"/>
        <w:right w:val="none" w:sz="0" w:space="0" w:color="auto"/>
      </w:divBdr>
    </w:div>
    <w:div w:id="1143042419">
      <w:bodyDiv w:val="1"/>
      <w:marLeft w:val="0"/>
      <w:marRight w:val="0"/>
      <w:marTop w:val="0"/>
      <w:marBottom w:val="0"/>
      <w:divBdr>
        <w:top w:val="none" w:sz="0" w:space="0" w:color="auto"/>
        <w:left w:val="none" w:sz="0" w:space="0" w:color="auto"/>
        <w:bottom w:val="none" w:sz="0" w:space="0" w:color="auto"/>
        <w:right w:val="none" w:sz="0" w:space="0" w:color="auto"/>
      </w:divBdr>
      <w:divsChild>
        <w:div w:id="1676878355">
          <w:marLeft w:val="0"/>
          <w:marRight w:val="0"/>
          <w:marTop w:val="0"/>
          <w:marBottom w:val="0"/>
          <w:divBdr>
            <w:top w:val="none" w:sz="0" w:space="0" w:color="auto"/>
            <w:left w:val="none" w:sz="0" w:space="0" w:color="auto"/>
            <w:bottom w:val="none" w:sz="0" w:space="0" w:color="auto"/>
            <w:right w:val="none" w:sz="0" w:space="0" w:color="auto"/>
          </w:divBdr>
          <w:divsChild>
            <w:div w:id="1861579643">
              <w:marLeft w:val="0"/>
              <w:marRight w:val="0"/>
              <w:marTop w:val="0"/>
              <w:marBottom w:val="0"/>
              <w:divBdr>
                <w:top w:val="none" w:sz="0" w:space="0" w:color="auto"/>
                <w:left w:val="none" w:sz="0" w:space="0" w:color="auto"/>
                <w:bottom w:val="none" w:sz="0" w:space="0" w:color="auto"/>
                <w:right w:val="none" w:sz="0" w:space="0" w:color="auto"/>
              </w:divBdr>
              <w:divsChild>
                <w:div w:id="1331105669">
                  <w:marLeft w:val="0"/>
                  <w:marRight w:val="0"/>
                  <w:marTop w:val="0"/>
                  <w:marBottom w:val="0"/>
                  <w:divBdr>
                    <w:top w:val="none" w:sz="0" w:space="0" w:color="auto"/>
                    <w:left w:val="none" w:sz="0" w:space="0" w:color="auto"/>
                    <w:bottom w:val="none" w:sz="0" w:space="0" w:color="auto"/>
                    <w:right w:val="none" w:sz="0" w:space="0" w:color="auto"/>
                  </w:divBdr>
                  <w:divsChild>
                    <w:div w:id="201984763">
                      <w:marLeft w:val="0"/>
                      <w:marRight w:val="0"/>
                      <w:marTop w:val="45"/>
                      <w:marBottom w:val="0"/>
                      <w:divBdr>
                        <w:top w:val="none" w:sz="0" w:space="0" w:color="auto"/>
                        <w:left w:val="none" w:sz="0" w:space="0" w:color="auto"/>
                        <w:bottom w:val="none" w:sz="0" w:space="0" w:color="auto"/>
                        <w:right w:val="none" w:sz="0" w:space="0" w:color="auto"/>
                      </w:divBdr>
                      <w:divsChild>
                        <w:div w:id="72894319">
                          <w:marLeft w:val="0"/>
                          <w:marRight w:val="0"/>
                          <w:marTop w:val="0"/>
                          <w:marBottom w:val="0"/>
                          <w:divBdr>
                            <w:top w:val="none" w:sz="0" w:space="0" w:color="auto"/>
                            <w:left w:val="none" w:sz="0" w:space="0" w:color="auto"/>
                            <w:bottom w:val="none" w:sz="0" w:space="0" w:color="auto"/>
                            <w:right w:val="none" w:sz="0" w:space="0" w:color="auto"/>
                          </w:divBdr>
                          <w:divsChild>
                            <w:div w:id="464201047">
                              <w:marLeft w:val="2070"/>
                              <w:marRight w:val="3960"/>
                              <w:marTop w:val="0"/>
                              <w:marBottom w:val="0"/>
                              <w:divBdr>
                                <w:top w:val="none" w:sz="0" w:space="0" w:color="auto"/>
                                <w:left w:val="none" w:sz="0" w:space="0" w:color="auto"/>
                                <w:bottom w:val="none" w:sz="0" w:space="0" w:color="auto"/>
                                <w:right w:val="none" w:sz="0" w:space="0" w:color="auto"/>
                              </w:divBdr>
                              <w:divsChild>
                                <w:div w:id="1203247356">
                                  <w:marLeft w:val="0"/>
                                  <w:marRight w:val="0"/>
                                  <w:marTop w:val="0"/>
                                  <w:marBottom w:val="0"/>
                                  <w:divBdr>
                                    <w:top w:val="none" w:sz="0" w:space="0" w:color="auto"/>
                                    <w:left w:val="none" w:sz="0" w:space="0" w:color="auto"/>
                                    <w:bottom w:val="none" w:sz="0" w:space="0" w:color="auto"/>
                                    <w:right w:val="none" w:sz="0" w:space="0" w:color="auto"/>
                                  </w:divBdr>
                                  <w:divsChild>
                                    <w:div w:id="1364598965">
                                      <w:marLeft w:val="0"/>
                                      <w:marRight w:val="0"/>
                                      <w:marTop w:val="0"/>
                                      <w:marBottom w:val="0"/>
                                      <w:divBdr>
                                        <w:top w:val="none" w:sz="0" w:space="0" w:color="auto"/>
                                        <w:left w:val="none" w:sz="0" w:space="0" w:color="auto"/>
                                        <w:bottom w:val="none" w:sz="0" w:space="0" w:color="auto"/>
                                        <w:right w:val="none" w:sz="0" w:space="0" w:color="auto"/>
                                      </w:divBdr>
                                      <w:divsChild>
                                        <w:div w:id="1986929308">
                                          <w:marLeft w:val="0"/>
                                          <w:marRight w:val="0"/>
                                          <w:marTop w:val="0"/>
                                          <w:marBottom w:val="0"/>
                                          <w:divBdr>
                                            <w:top w:val="none" w:sz="0" w:space="0" w:color="auto"/>
                                            <w:left w:val="none" w:sz="0" w:space="0" w:color="auto"/>
                                            <w:bottom w:val="none" w:sz="0" w:space="0" w:color="auto"/>
                                            <w:right w:val="none" w:sz="0" w:space="0" w:color="auto"/>
                                          </w:divBdr>
                                          <w:divsChild>
                                            <w:div w:id="353579078">
                                              <w:marLeft w:val="0"/>
                                              <w:marRight w:val="0"/>
                                              <w:marTop w:val="90"/>
                                              <w:marBottom w:val="0"/>
                                              <w:divBdr>
                                                <w:top w:val="none" w:sz="0" w:space="0" w:color="auto"/>
                                                <w:left w:val="none" w:sz="0" w:space="0" w:color="auto"/>
                                                <w:bottom w:val="none" w:sz="0" w:space="0" w:color="auto"/>
                                                <w:right w:val="none" w:sz="0" w:space="0" w:color="auto"/>
                                              </w:divBdr>
                                              <w:divsChild>
                                                <w:div w:id="693389074">
                                                  <w:marLeft w:val="0"/>
                                                  <w:marRight w:val="0"/>
                                                  <w:marTop w:val="0"/>
                                                  <w:marBottom w:val="0"/>
                                                  <w:divBdr>
                                                    <w:top w:val="none" w:sz="0" w:space="0" w:color="auto"/>
                                                    <w:left w:val="none" w:sz="0" w:space="0" w:color="auto"/>
                                                    <w:bottom w:val="none" w:sz="0" w:space="0" w:color="auto"/>
                                                    <w:right w:val="none" w:sz="0" w:space="0" w:color="auto"/>
                                                  </w:divBdr>
                                                  <w:divsChild>
                                                    <w:div w:id="1153182581">
                                                      <w:marLeft w:val="0"/>
                                                      <w:marRight w:val="0"/>
                                                      <w:marTop w:val="0"/>
                                                      <w:marBottom w:val="0"/>
                                                      <w:divBdr>
                                                        <w:top w:val="none" w:sz="0" w:space="0" w:color="auto"/>
                                                        <w:left w:val="none" w:sz="0" w:space="0" w:color="auto"/>
                                                        <w:bottom w:val="none" w:sz="0" w:space="0" w:color="auto"/>
                                                        <w:right w:val="none" w:sz="0" w:space="0" w:color="auto"/>
                                                      </w:divBdr>
                                                      <w:divsChild>
                                                        <w:div w:id="1217811567">
                                                          <w:marLeft w:val="0"/>
                                                          <w:marRight w:val="0"/>
                                                          <w:marTop w:val="0"/>
                                                          <w:marBottom w:val="0"/>
                                                          <w:divBdr>
                                                            <w:top w:val="none" w:sz="0" w:space="0" w:color="auto"/>
                                                            <w:left w:val="none" w:sz="0" w:space="0" w:color="auto"/>
                                                            <w:bottom w:val="none" w:sz="0" w:space="0" w:color="auto"/>
                                                            <w:right w:val="none" w:sz="0" w:space="0" w:color="auto"/>
                                                          </w:divBdr>
                                                          <w:divsChild>
                                                            <w:div w:id="670370748">
                                                              <w:marLeft w:val="0"/>
                                                              <w:marRight w:val="0"/>
                                                              <w:marTop w:val="0"/>
                                                              <w:marBottom w:val="390"/>
                                                              <w:divBdr>
                                                                <w:top w:val="none" w:sz="0" w:space="0" w:color="auto"/>
                                                                <w:left w:val="none" w:sz="0" w:space="0" w:color="auto"/>
                                                                <w:bottom w:val="none" w:sz="0" w:space="0" w:color="auto"/>
                                                                <w:right w:val="none" w:sz="0" w:space="0" w:color="auto"/>
                                                              </w:divBdr>
                                                              <w:divsChild>
                                                                <w:div w:id="457919141">
                                                                  <w:marLeft w:val="0"/>
                                                                  <w:marRight w:val="0"/>
                                                                  <w:marTop w:val="0"/>
                                                                  <w:marBottom w:val="0"/>
                                                                  <w:divBdr>
                                                                    <w:top w:val="none" w:sz="0" w:space="0" w:color="auto"/>
                                                                    <w:left w:val="none" w:sz="0" w:space="0" w:color="auto"/>
                                                                    <w:bottom w:val="none" w:sz="0" w:space="0" w:color="auto"/>
                                                                    <w:right w:val="none" w:sz="0" w:space="0" w:color="auto"/>
                                                                  </w:divBdr>
                                                                  <w:divsChild>
                                                                    <w:div w:id="566763509">
                                                                      <w:marLeft w:val="0"/>
                                                                      <w:marRight w:val="0"/>
                                                                      <w:marTop w:val="0"/>
                                                                      <w:marBottom w:val="0"/>
                                                                      <w:divBdr>
                                                                        <w:top w:val="none" w:sz="0" w:space="0" w:color="auto"/>
                                                                        <w:left w:val="none" w:sz="0" w:space="0" w:color="auto"/>
                                                                        <w:bottom w:val="none" w:sz="0" w:space="0" w:color="auto"/>
                                                                        <w:right w:val="none" w:sz="0" w:space="0" w:color="auto"/>
                                                                      </w:divBdr>
                                                                      <w:divsChild>
                                                                        <w:div w:id="1887257225">
                                                                          <w:marLeft w:val="0"/>
                                                                          <w:marRight w:val="0"/>
                                                                          <w:marTop w:val="0"/>
                                                                          <w:marBottom w:val="0"/>
                                                                          <w:divBdr>
                                                                            <w:top w:val="none" w:sz="0" w:space="0" w:color="auto"/>
                                                                            <w:left w:val="none" w:sz="0" w:space="0" w:color="auto"/>
                                                                            <w:bottom w:val="none" w:sz="0" w:space="0" w:color="auto"/>
                                                                            <w:right w:val="none" w:sz="0" w:space="0" w:color="auto"/>
                                                                          </w:divBdr>
                                                                          <w:divsChild>
                                                                            <w:div w:id="321978988">
                                                                              <w:marLeft w:val="0"/>
                                                                              <w:marRight w:val="0"/>
                                                                              <w:marTop w:val="0"/>
                                                                              <w:marBottom w:val="0"/>
                                                                              <w:divBdr>
                                                                                <w:top w:val="none" w:sz="0" w:space="0" w:color="auto"/>
                                                                                <w:left w:val="none" w:sz="0" w:space="0" w:color="auto"/>
                                                                                <w:bottom w:val="none" w:sz="0" w:space="0" w:color="auto"/>
                                                                                <w:right w:val="none" w:sz="0" w:space="0" w:color="auto"/>
                                                                              </w:divBdr>
                                                                              <w:divsChild>
                                                                                <w:div w:id="17065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092687">
      <w:bodyDiv w:val="1"/>
      <w:marLeft w:val="0"/>
      <w:marRight w:val="0"/>
      <w:marTop w:val="0"/>
      <w:marBottom w:val="0"/>
      <w:divBdr>
        <w:top w:val="none" w:sz="0" w:space="0" w:color="auto"/>
        <w:left w:val="none" w:sz="0" w:space="0" w:color="auto"/>
        <w:bottom w:val="none" w:sz="0" w:space="0" w:color="auto"/>
        <w:right w:val="none" w:sz="0" w:space="0" w:color="auto"/>
      </w:divBdr>
    </w:div>
    <w:div w:id="1260682131">
      <w:bodyDiv w:val="1"/>
      <w:marLeft w:val="0"/>
      <w:marRight w:val="0"/>
      <w:marTop w:val="0"/>
      <w:marBottom w:val="0"/>
      <w:divBdr>
        <w:top w:val="none" w:sz="0" w:space="0" w:color="auto"/>
        <w:left w:val="none" w:sz="0" w:space="0" w:color="auto"/>
        <w:bottom w:val="none" w:sz="0" w:space="0" w:color="auto"/>
        <w:right w:val="none" w:sz="0" w:space="0" w:color="auto"/>
      </w:divBdr>
    </w:div>
    <w:div w:id="1279988381">
      <w:bodyDiv w:val="1"/>
      <w:marLeft w:val="0"/>
      <w:marRight w:val="0"/>
      <w:marTop w:val="0"/>
      <w:marBottom w:val="0"/>
      <w:divBdr>
        <w:top w:val="none" w:sz="0" w:space="0" w:color="auto"/>
        <w:left w:val="none" w:sz="0" w:space="0" w:color="auto"/>
        <w:bottom w:val="none" w:sz="0" w:space="0" w:color="auto"/>
        <w:right w:val="none" w:sz="0" w:space="0" w:color="auto"/>
      </w:divBdr>
    </w:div>
    <w:div w:id="1303118045">
      <w:bodyDiv w:val="1"/>
      <w:marLeft w:val="0"/>
      <w:marRight w:val="0"/>
      <w:marTop w:val="0"/>
      <w:marBottom w:val="0"/>
      <w:divBdr>
        <w:top w:val="none" w:sz="0" w:space="0" w:color="auto"/>
        <w:left w:val="none" w:sz="0" w:space="0" w:color="auto"/>
        <w:bottom w:val="none" w:sz="0" w:space="0" w:color="auto"/>
        <w:right w:val="none" w:sz="0" w:space="0" w:color="auto"/>
      </w:divBdr>
    </w:div>
    <w:div w:id="1333996355">
      <w:bodyDiv w:val="1"/>
      <w:marLeft w:val="0"/>
      <w:marRight w:val="0"/>
      <w:marTop w:val="0"/>
      <w:marBottom w:val="0"/>
      <w:divBdr>
        <w:top w:val="none" w:sz="0" w:space="0" w:color="auto"/>
        <w:left w:val="none" w:sz="0" w:space="0" w:color="auto"/>
        <w:bottom w:val="none" w:sz="0" w:space="0" w:color="auto"/>
        <w:right w:val="none" w:sz="0" w:space="0" w:color="auto"/>
      </w:divBdr>
    </w:div>
    <w:div w:id="1464234065">
      <w:bodyDiv w:val="1"/>
      <w:marLeft w:val="0"/>
      <w:marRight w:val="0"/>
      <w:marTop w:val="0"/>
      <w:marBottom w:val="0"/>
      <w:divBdr>
        <w:top w:val="none" w:sz="0" w:space="0" w:color="auto"/>
        <w:left w:val="none" w:sz="0" w:space="0" w:color="auto"/>
        <w:bottom w:val="none" w:sz="0" w:space="0" w:color="auto"/>
        <w:right w:val="none" w:sz="0" w:space="0" w:color="auto"/>
      </w:divBdr>
    </w:div>
    <w:div w:id="1566530197">
      <w:bodyDiv w:val="1"/>
      <w:marLeft w:val="0"/>
      <w:marRight w:val="0"/>
      <w:marTop w:val="0"/>
      <w:marBottom w:val="0"/>
      <w:divBdr>
        <w:top w:val="none" w:sz="0" w:space="0" w:color="auto"/>
        <w:left w:val="none" w:sz="0" w:space="0" w:color="auto"/>
        <w:bottom w:val="none" w:sz="0" w:space="0" w:color="auto"/>
        <w:right w:val="none" w:sz="0" w:space="0" w:color="auto"/>
      </w:divBdr>
    </w:div>
    <w:div w:id="1575974511">
      <w:bodyDiv w:val="1"/>
      <w:marLeft w:val="0"/>
      <w:marRight w:val="0"/>
      <w:marTop w:val="0"/>
      <w:marBottom w:val="0"/>
      <w:divBdr>
        <w:top w:val="none" w:sz="0" w:space="0" w:color="auto"/>
        <w:left w:val="none" w:sz="0" w:space="0" w:color="auto"/>
        <w:bottom w:val="none" w:sz="0" w:space="0" w:color="auto"/>
        <w:right w:val="none" w:sz="0" w:space="0" w:color="auto"/>
      </w:divBdr>
    </w:div>
    <w:div w:id="1586718116">
      <w:bodyDiv w:val="1"/>
      <w:marLeft w:val="0"/>
      <w:marRight w:val="0"/>
      <w:marTop w:val="0"/>
      <w:marBottom w:val="0"/>
      <w:divBdr>
        <w:top w:val="none" w:sz="0" w:space="0" w:color="auto"/>
        <w:left w:val="none" w:sz="0" w:space="0" w:color="auto"/>
        <w:bottom w:val="none" w:sz="0" w:space="0" w:color="auto"/>
        <w:right w:val="none" w:sz="0" w:space="0" w:color="auto"/>
      </w:divBdr>
    </w:div>
    <w:div w:id="1636132539">
      <w:bodyDiv w:val="1"/>
      <w:marLeft w:val="0"/>
      <w:marRight w:val="0"/>
      <w:marTop w:val="0"/>
      <w:marBottom w:val="0"/>
      <w:divBdr>
        <w:top w:val="none" w:sz="0" w:space="0" w:color="auto"/>
        <w:left w:val="none" w:sz="0" w:space="0" w:color="auto"/>
        <w:bottom w:val="none" w:sz="0" w:space="0" w:color="auto"/>
        <w:right w:val="none" w:sz="0" w:space="0" w:color="auto"/>
      </w:divBdr>
    </w:div>
    <w:div w:id="1746684842">
      <w:bodyDiv w:val="1"/>
      <w:marLeft w:val="0"/>
      <w:marRight w:val="0"/>
      <w:marTop w:val="0"/>
      <w:marBottom w:val="0"/>
      <w:divBdr>
        <w:top w:val="none" w:sz="0" w:space="0" w:color="auto"/>
        <w:left w:val="none" w:sz="0" w:space="0" w:color="auto"/>
        <w:bottom w:val="none" w:sz="0" w:space="0" w:color="auto"/>
        <w:right w:val="none" w:sz="0" w:space="0" w:color="auto"/>
      </w:divBdr>
    </w:div>
    <w:div w:id="1891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mass.gov/service-details/traffic-safety-gra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s.gov/service-details/traffic-safety-gra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info.gov/app/details/CFR-2014-title2-vol1/CFR-2014-title2-vol1-part2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info.gov/content/pkg/FR-2018-01-25/pdf/2018-01266.pdf" TargetMode="External"/><Relationship Id="rId20" Type="http://schemas.openxmlformats.org/officeDocument/2006/relationships/hyperlink" Target="https://www.mass.gov/service-details/traffic-safety-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ass.gov/service-details/traffic-safety-grants" TargetMode="External"/><Relationship Id="rId23" Type="http://schemas.openxmlformats.org/officeDocument/2006/relationships/hyperlink" Target="https://www.mass.gov/service-details/traffic-safety-grants" TargetMode="External"/><Relationship Id="rId10" Type="http://schemas.openxmlformats.org/officeDocument/2006/relationships/header" Target="header2.xml"/><Relationship Id="rId19" Type="http://schemas.openxmlformats.org/officeDocument/2006/relationships/hyperlink" Target="https://www.mass.gov/service-details/traffic-safety-gra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effrey.brownell@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F82F-D726-46A0-8A85-0C4D221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Phelan, Lindsey (OGR)</dc:creator>
  <cp:lastModifiedBy>Brownell, Jeffrey (OGR)</cp:lastModifiedBy>
  <cp:revision>56</cp:revision>
  <cp:lastPrinted>2020-01-27T17:57:00Z</cp:lastPrinted>
  <dcterms:created xsi:type="dcterms:W3CDTF">2020-02-18T15:05:00Z</dcterms:created>
  <dcterms:modified xsi:type="dcterms:W3CDTF">2020-03-03T20:35:00Z</dcterms:modified>
</cp:coreProperties>
</file>