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charts/chart31.xml" ContentType="application/vnd.openxmlformats-officedocument.drawingml.chart+xml"/>
  <Override PartName="/word/theme/themeOverride30.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16FC" w:rsidRPr="001F290A" w:rsidRDefault="002116FC" w:rsidP="002116FC">
      <w:pPr>
        <w:keepLines/>
        <w:jc w:val="center"/>
        <w:outlineLvl w:val="0"/>
        <w:rPr>
          <w:rFonts w:eastAsia="Times New Roman"/>
          <w:b/>
          <w:sz w:val="32"/>
          <w:lang w:eastAsia="en-US"/>
        </w:rPr>
      </w:pPr>
      <w:bookmarkStart w:id="0" w:name="_GoBack"/>
      <w:bookmarkEnd w:id="0"/>
      <w:r w:rsidRPr="001F290A">
        <w:rPr>
          <w:rFonts w:eastAsia="Times New Roman"/>
          <w:b/>
          <w:sz w:val="32"/>
          <w:lang w:eastAsia="en-US"/>
        </w:rPr>
        <w:t>Commonwealth of Massachusetts</w:t>
      </w:r>
    </w:p>
    <w:p w:rsidR="002116FC" w:rsidRPr="001F290A" w:rsidRDefault="002116FC" w:rsidP="002116FC">
      <w:pPr>
        <w:keepLines/>
        <w:jc w:val="center"/>
        <w:outlineLvl w:val="0"/>
        <w:rPr>
          <w:rFonts w:eastAsia="Times New Roman"/>
          <w:b/>
          <w:sz w:val="32"/>
          <w:lang w:eastAsia="en-US"/>
        </w:rPr>
      </w:pPr>
      <w:r w:rsidRPr="001F290A">
        <w:rPr>
          <w:rFonts w:eastAsia="Times New Roman"/>
          <w:b/>
          <w:sz w:val="32"/>
          <w:lang w:eastAsia="en-US"/>
        </w:rPr>
        <w:t>Executive Office of Public Safety and Security</w:t>
      </w:r>
    </w:p>
    <w:p w:rsidR="002116FC" w:rsidRPr="001F290A" w:rsidRDefault="002116FC" w:rsidP="002116FC">
      <w:pPr>
        <w:keepLines/>
        <w:jc w:val="center"/>
        <w:outlineLvl w:val="0"/>
        <w:rPr>
          <w:rFonts w:eastAsia="Times New Roman"/>
          <w:b/>
          <w:i/>
          <w:lang w:eastAsia="en-US"/>
        </w:rPr>
      </w:pPr>
      <w:r w:rsidRPr="001F290A">
        <w:rPr>
          <w:rFonts w:eastAsia="Times New Roman"/>
          <w:b/>
          <w:sz w:val="32"/>
          <w:lang w:eastAsia="en-US"/>
        </w:rPr>
        <w:t>Office of Grants and Research</w:t>
      </w:r>
    </w:p>
    <w:p w:rsidR="002116FC" w:rsidRPr="001F290A" w:rsidRDefault="002116FC" w:rsidP="002116FC">
      <w:pPr>
        <w:jc w:val="center"/>
        <w:rPr>
          <w:rFonts w:eastAsia="Times New Roman"/>
          <w:sz w:val="32"/>
          <w:szCs w:val="20"/>
          <w:lang w:eastAsia="en-US"/>
        </w:rPr>
      </w:pPr>
    </w:p>
    <w:p w:rsidR="002116FC" w:rsidRPr="001F290A" w:rsidRDefault="002116FC" w:rsidP="002116FC">
      <w:pPr>
        <w:jc w:val="center"/>
        <w:rPr>
          <w:rFonts w:eastAsia="Times New Roman"/>
          <w:sz w:val="32"/>
          <w:szCs w:val="20"/>
          <w:lang w:eastAsia="en-US"/>
        </w:rPr>
      </w:pPr>
      <w:r w:rsidRPr="001F290A">
        <w:rPr>
          <w:rFonts w:eastAsia="Times New Roman"/>
          <w:noProof/>
          <w:sz w:val="20"/>
          <w:szCs w:val="20"/>
          <w:lang w:eastAsia="en-US"/>
        </w:rPr>
        <w:drawing>
          <wp:inline distT="0" distB="0" distL="0" distR="0" wp14:anchorId="212A19D3" wp14:editId="672D64BA">
            <wp:extent cx="2114550" cy="19431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4550" cy="1943100"/>
                    </a:xfrm>
                    <a:prstGeom prst="rect">
                      <a:avLst/>
                    </a:prstGeom>
                    <a:noFill/>
                    <a:ln>
                      <a:noFill/>
                    </a:ln>
                  </pic:spPr>
                </pic:pic>
              </a:graphicData>
            </a:graphic>
          </wp:inline>
        </w:drawing>
      </w:r>
    </w:p>
    <w:p w:rsidR="002116FC" w:rsidRPr="001F290A" w:rsidRDefault="002116FC" w:rsidP="002116FC">
      <w:pPr>
        <w:jc w:val="center"/>
        <w:rPr>
          <w:rFonts w:eastAsia="Times New Roman"/>
          <w:sz w:val="32"/>
          <w:szCs w:val="20"/>
          <w:lang w:eastAsia="en-US"/>
        </w:rPr>
      </w:pPr>
    </w:p>
    <w:p w:rsidR="002116FC" w:rsidRPr="00753515" w:rsidRDefault="002116FC" w:rsidP="002116FC">
      <w:pPr>
        <w:jc w:val="center"/>
        <w:rPr>
          <w:b/>
          <w:sz w:val="28"/>
          <w:szCs w:val="28"/>
        </w:rPr>
      </w:pPr>
      <w:r w:rsidRPr="00753515">
        <w:rPr>
          <w:b/>
          <w:sz w:val="28"/>
          <w:szCs w:val="28"/>
        </w:rPr>
        <w:t>Edward J. Byrne Memorial</w:t>
      </w:r>
    </w:p>
    <w:p w:rsidR="002116FC" w:rsidRPr="00753515" w:rsidRDefault="002116FC" w:rsidP="002116FC">
      <w:pPr>
        <w:jc w:val="center"/>
        <w:rPr>
          <w:b/>
          <w:sz w:val="28"/>
          <w:szCs w:val="28"/>
        </w:rPr>
      </w:pPr>
      <w:r w:rsidRPr="00753515">
        <w:rPr>
          <w:b/>
          <w:sz w:val="28"/>
          <w:szCs w:val="28"/>
        </w:rPr>
        <w:t>Justice Assistance Grant</w:t>
      </w:r>
    </w:p>
    <w:p w:rsidR="002116FC" w:rsidRPr="00753515" w:rsidRDefault="002116FC" w:rsidP="002116FC">
      <w:pPr>
        <w:jc w:val="center"/>
        <w:rPr>
          <w:b/>
          <w:sz w:val="28"/>
          <w:szCs w:val="28"/>
        </w:rPr>
      </w:pPr>
    </w:p>
    <w:p w:rsidR="002116FC" w:rsidRPr="00753515" w:rsidRDefault="002116FC" w:rsidP="002116FC">
      <w:pPr>
        <w:jc w:val="center"/>
        <w:rPr>
          <w:b/>
          <w:sz w:val="28"/>
          <w:szCs w:val="28"/>
        </w:rPr>
      </w:pPr>
      <w:r w:rsidRPr="00753515">
        <w:rPr>
          <w:b/>
          <w:sz w:val="28"/>
          <w:szCs w:val="28"/>
        </w:rPr>
        <w:t>Federal Fiscal Year 201</w:t>
      </w:r>
      <w:r w:rsidR="006825D6">
        <w:rPr>
          <w:b/>
          <w:sz w:val="28"/>
          <w:szCs w:val="28"/>
        </w:rPr>
        <w:t>8</w:t>
      </w:r>
      <w:r w:rsidRPr="00753515">
        <w:rPr>
          <w:b/>
          <w:sz w:val="28"/>
          <w:szCs w:val="28"/>
        </w:rPr>
        <w:t xml:space="preserve"> Application</w:t>
      </w:r>
    </w:p>
    <w:p w:rsidR="005653BD" w:rsidRDefault="005653BD" w:rsidP="005653BD">
      <w:pPr>
        <w:tabs>
          <w:tab w:val="left" w:pos="450"/>
        </w:tabs>
      </w:pPr>
    </w:p>
    <w:p w:rsidR="00475521" w:rsidRPr="005653BD" w:rsidRDefault="00475521" w:rsidP="005653BD">
      <w:pPr>
        <w:tabs>
          <w:tab w:val="left" w:pos="450"/>
        </w:tabs>
      </w:pPr>
    </w:p>
    <w:p w:rsidR="005653BD" w:rsidRPr="001F290A" w:rsidRDefault="005653BD" w:rsidP="005653BD">
      <w:pPr>
        <w:rPr>
          <w:rFonts w:eastAsiaTheme="minorHAnsi"/>
          <w:b/>
          <w:lang w:eastAsia="en-US"/>
        </w:rPr>
      </w:pPr>
      <w:r w:rsidRPr="001F290A">
        <w:rPr>
          <w:rFonts w:eastAsiaTheme="minorHAnsi"/>
          <w:b/>
          <w:lang w:eastAsia="en-US"/>
        </w:rPr>
        <w:t>Charles Baker</w:t>
      </w:r>
      <w:r>
        <w:rPr>
          <w:rFonts w:eastAsiaTheme="minorHAnsi"/>
          <w:b/>
          <w:lang w:eastAsia="en-US"/>
        </w:rPr>
        <w:tab/>
      </w:r>
      <w:r>
        <w:rPr>
          <w:rFonts w:eastAsiaTheme="minorHAnsi"/>
          <w:b/>
          <w:lang w:eastAsia="en-US"/>
        </w:rPr>
        <w:tab/>
      </w:r>
      <w:r>
        <w:rPr>
          <w:rFonts w:eastAsiaTheme="minorHAnsi"/>
          <w:b/>
          <w:lang w:eastAsia="en-US"/>
        </w:rPr>
        <w:tab/>
      </w:r>
      <w:r>
        <w:rPr>
          <w:rFonts w:eastAsiaTheme="minorHAnsi"/>
          <w:b/>
          <w:lang w:eastAsia="en-US"/>
        </w:rPr>
        <w:tab/>
      </w:r>
      <w:r>
        <w:rPr>
          <w:rFonts w:eastAsiaTheme="minorHAnsi"/>
          <w:b/>
          <w:lang w:eastAsia="en-US"/>
        </w:rPr>
        <w:tab/>
      </w:r>
      <w:r>
        <w:rPr>
          <w:rFonts w:eastAsiaTheme="minorHAnsi"/>
          <w:b/>
          <w:lang w:eastAsia="en-US"/>
        </w:rPr>
        <w:tab/>
      </w:r>
      <w:r>
        <w:rPr>
          <w:rFonts w:eastAsiaTheme="minorHAnsi"/>
          <w:b/>
          <w:lang w:eastAsia="en-US"/>
        </w:rPr>
        <w:tab/>
      </w:r>
      <w:r>
        <w:rPr>
          <w:rFonts w:eastAsiaTheme="minorHAnsi"/>
          <w:b/>
          <w:lang w:eastAsia="en-US"/>
        </w:rPr>
        <w:tab/>
      </w:r>
      <w:r w:rsidRPr="001F290A">
        <w:rPr>
          <w:rFonts w:eastAsiaTheme="minorHAnsi"/>
          <w:b/>
          <w:lang w:eastAsia="en-US"/>
        </w:rPr>
        <w:t>Karyn Polito</w:t>
      </w:r>
    </w:p>
    <w:p w:rsidR="005653BD" w:rsidRPr="005653BD" w:rsidRDefault="005653BD" w:rsidP="005653BD">
      <w:r>
        <w:rPr>
          <w:rFonts w:eastAsiaTheme="minorHAnsi"/>
          <w:b/>
          <w:lang w:eastAsia="en-US"/>
        </w:rPr>
        <w:t xml:space="preserve">    Governor </w:t>
      </w:r>
      <w:r>
        <w:rPr>
          <w:rFonts w:eastAsiaTheme="minorHAnsi"/>
          <w:b/>
          <w:lang w:eastAsia="en-US"/>
        </w:rPr>
        <w:tab/>
      </w:r>
      <w:r>
        <w:rPr>
          <w:rFonts w:eastAsiaTheme="minorHAnsi"/>
          <w:b/>
          <w:lang w:eastAsia="en-US"/>
        </w:rPr>
        <w:tab/>
      </w:r>
      <w:r>
        <w:rPr>
          <w:rFonts w:eastAsiaTheme="minorHAnsi"/>
          <w:b/>
          <w:lang w:eastAsia="en-US"/>
        </w:rPr>
        <w:tab/>
      </w:r>
      <w:r>
        <w:rPr>
          <w:rFonts w:eastAsiaTheme="minorHAnsi"/>
          <w:b/>
          <w:lang w:eastAsia="en-US"/>
        </w:rPr>
        <w:tab/>
      </w:r>
      <w:r>
        <w:rPr>
          <w:rFonts w:eastAsiaTheme="minorHAnsi"/>
          <w:b/>
          <w:lang w:eastAsia="en-US"/>
        </w:rPr>
        <w:tab/>
      </w:r>
      <w:r>
        <w:rPr>
          <w:rFonts w:eastAsiaTheme="minorHAnsi"/>
          <w:b/>
          <w:lang w:eastAsia="en-US"/>
        </w:rPr>
        <w:tab/>
      </w:r>
      <w:r>
        <w:rPr>
          <w:rFonts w:eastAsiaTheme="minorHAnsi"/>
          <w:b/>
          <w:lang w:eastAsia="en-US"/>
        </w:rPr>
        <w:tab/>
      </w:r>
      <w:r>
        <w:rPr>
          <w:rFonts w:eastAsiaTheme="minorHAnsi"/>
          <w:b/>
          <w:lang w:eastAsia="en-US"/>
        </w:rPr>
        <w:tab/>
        <w:t xml:space="preserve">       L</w:t>
      </w:r>
      <w:r w:rsidRPr="001F290A">
        <w:rPr>
          <w:rFonts w:eastAsiaTheme="minorHAnsi"/>
          <w:b/>
          <w:lang w:eastAsia="en-US"/>
        </w:rPr>
        <w:t>ieutenant Governor</w:t>
      </w:r>
    </w:p>
    <w:p w:rsidR="005653BD" w:rsidRPr="005653BD" w:rsidRDefault="005653BD" w:rsidP="005653BD">
      <w:pPr>
        <w:tabs>
          <w:tab w:val="left" w:pos="450"/>
        </w:tabs>
      </w:pPr>
    </w:p>
    <w:p w:rsidR="005653BD" w:rsidRPr="001F290A" w:rsidRDefault="005653BD" w:rsidP="005653BD">
      <w:pPr>
        <w:rPr>
          <w:rFonts w:eastAsiaTheme="minorHAnsi"/>
          <w:b/>
          <w:lang w:eastAsia="en-US"/>
        </w:rPr>
      </w:pPr>
      <w:r w:rsidRPr="001F290A">
        <w:rPr>
          <w:rFonts w:eastAsiaTheme="minorHAnsi"/>
          <w:b/>
          <w:lang w:eastAsia="en-US"/>
        </w:rPr>
        <w:t>Daniel Bennett</w:t>
      </w:r>
      <w:r w:rsidRPr="001F290A">
        <w:rPr>
          <w:rFonts w:eastAsiaTheme="minorHAnsi"/>
          <w:b/>
          <w:lang w:eastAsia="en-US"/>
        </w:rPr>
        <w:tab/>
      </w:r>
      <w:r w:rsidRPr="001F290A">
        <w:rPr>
          <w:rFonts w:eastAsiaTheme="minorHAnsi"/>
          <w:b/>
          <w:lang w:eastAsia="en-US"/>
        </w:rPr>
        <w:tab/>
      </w:r>
      <w:r w:rsidRPr="001F290A">
        <w:rPr>
          <w:rFonts w:eastAsiaTheme="minorHAnsi"/>
          <w:b/>
          <w:lang w:eastAsia="en-US"/>
        </w:rPr>
        <w:tab/>
      </w:r>
      <w:r w:rsidRPr="001F290A">
        <w:rPr>
          <w:rFonts w:eastAsiaTheme="minorHAnsi"/>
          <w:b/>
          <w:lang w:eastAsia="en-US"/>
        </w:rPr>
        <w:tab/>
      </w:r>
      <w:r w:rsidRPr="001F290A">
        <w:rPr>
          <w:rFonts w:eastAsiaTheme="minorHAnsi"/>
          <w:b/>
          <w:lang w:eastAsia="en-US"/>
        </w:rPr>
        <w:tab/>
      </w:r>
      <w:r w:rsidRPr="001F290A">
        <w:rPr>
          <w:rFonts w:eastAsiaTheme="minorHAnsi"/>
          <w:b/>
          <w:lang w:eastAsia="en-US"/>
        </w:rPr>
        <w:tab/>
      </w:r>
      <w:r>
        <w:rPr>
          <w:rFonts w:eastAsiaTheme="minorHAnsi"/>
          <w:b/>
          <w:lang w:eastAsia="en-US"/>
        </w:rPr>
        <w:tab/>
        <w:t xml:space="preserve">     </w:t>
      </w:r>
      <w:r w:rsidR="00475521">
        <w:rPr>
          <w:rFonts w:eastAsiaTheme="minorHAnsi"/>
          <w:b/>
          <w:lang w:eastAsia="en-US"/>
        </w:rPr>
        <w:t xml:space="preserve">  </w:t>
      </w:r>
      <w:r>
        <w:rPr>
          <w:rFonts w:eastAsiaTheme="minorHAnsi"/>
          <w:b/>
          <w:lang w:eastAsia="en-US"/>
        </w:rPr>
        <w:t xml:space="preserve">  </w:t>
      </w:r>
      <w:r w:rsidRPr="001F290A">
        <w:rPr>
          <w:rFonts w:eastAsiaTheme="minorHAnsi"/>
          <w:b/>
          <w:lang w:eastAsia="en-US"/>
        </w:rPr>
        <w:t>Angela</w:t>
      </w:r>
      <w:r>
        <w:rPr>
          <w:rFonts w:eastAsiaTheme="minorHAnsi"/>
          <w:b/>
          <w:lang w:eastAsia="en-US"/>
        </w:rPr>
        <w:t xml:space="preserve"> F.F. </w:t>
      </w:r>
      <w:r w:rsidRPr="001F290A">
        <w:rPr>
          <w:rFonts w:eastAsiaTheme="minorHAnsi"/>
          <w:b/>
          <w:lang w:eastAsia="en-US"/>
        </w:rPr>
        <w:t>Davis</w:t>
      </w:r>
    </w:p>
    <w:p w:rsidR="005653BD" w:rsidRPr="005653BD" w:rsidRDefault="00475521" w:rsidP="005653BD">
      <w:pPr>
        <w:tabs>
          <w:tab w:val="left" w:pos="450"/>
        </w:tabs>
      </w:pPr>
      <w:r>
        <w:rPr>
          <w:rFonts w:eastAsiaTheme="minorHAnsi"/>
          <w:b/>
          <w:lang w:eastAsia="en-US"/>
        </w:rPr>
        <w:t xml:space="preserve">    </w:t>
      </w:r>
      <w:r w:rsidR="005653BD" w:rsidRPr="001F290A">
        <w:rPr>
          <w:rFonts w:eastAsiaTheme="minorHAnsi"/>
          <w:b/>
          <w:lang w:eastAsia="en-US"/>
        </w:rPr>
        <w:t>Secretary</w:t>
      </w:r>
      <w:r w:rsidR="005653BD" w:rsidRPr="001F290A">
        <w:rPr>
          <w:rFonts w:eastAsiaTheme="minorHAnsi"/>
          <w:b/>
          <w:lang w:eastAsia="en-US"/>
        </w:rPr>
        <w:tab/>
      </w:r>
      <w:r w:rsidR="005653BD" w:rsidRPr="001F290A">
        <w:rPr>
          <w:rFonts w:eastAsiaTheme="minorHAnsi"/>
          <w:b/>
          <w:lang w:eastAsia="en-US"/>
        </w:rPr>
        <w:tab/>
      </w:r>
      <w:r w:rsidR="005653BD" w:rsidRPr="001F290A">
        <w:rPr>
          <w:rFonts w:eastAsiaTheme="minorHAnsi"/>
          <w:b/>
          <w:lang w:eastAsia="en-US"/>
        </w:rPr>
        <w:tab/>
      </w:r>
      <w:r w:rsidR="005653BD" w:rsidRPr="001F290A">
        <w:rPr>
          <w:rFonts w:eastAsiaTheme="minorHAnsi"/>
          <w:b/>
          <w:lang w:eastAsia="en-US"/>
        </w:rPr>
        <w:tab/>
      </w:r>
      <w:r w:rsidR="005653BD" w:rsidRPr="001F290A">
        <w:rPr>
          <w:rFonts w:eastAsiaTheme="minorHAnsi"/>
          <w:b/>
          <w:lang w:eastAsia="en-US"/>
        </w:rPr>
        <w:tab/>
      </w:r>
      <w:r>
        <w:rPr>
          <w:rFonts w:eastAsiaTheme="minorHAnsi"/>
          <w:b/>
          <w:lang w:eastAsia="en-US"/>
        </w:rPr>
        <w:tab/>
      </w:r>
      <w:r>
        <w:rPr>
          <w:rFonts w:eastAsiaTheme="minorHAnsi"/>
          <w:b/>
          <w:lang w:eastAsia="en-US"/>
        </w:rPr>
        <w:tab/>
      </w:r>
      <w:r>
        <w:rPr>
          <w:rFonts w:eastAsiaTheme="minorHAnsi"/>
          <w:b/>
          <w:lang w:eastAsia="en-US"/>
        </w:rPr>
        <w:tab/>
        <w:t xml:space="preserve">         </w:t>
      </w:r>
      <w:r w:rsidR="005653BD">
        <w:rPr>
          <w:rFonts w:eastAsiaTheme="minorHAnsi"/>
          <w:b/>
          <w:lang w:eastAsia="en-US"/>
        </w:rPr>
        <w:t>E</w:t>
      </w:r>
      <w:r w:rsidR="005653BD" w:rsidRPr="001F290A">
        <w:rPr>
          <w:rFonts w:eastAsiaTheme="minorHAnsi"/>
          <w:b/>
          <w:lang w:eastAsia="en-US"/>
        </w:rPr>
        <w:t>xecutive Director</w:t>
      </w:r>
    </w:p>
    <w:p w:rsidR="00475521" w:rsidRDefault="00475521" w:rsidP="002116FC">
      <w:pPr>
        <w:tabs>
          <w:tab w:val="left" w:pos="450"/>
        </w:tabs>
        <w:jc w:val="center"/>
        <w:rPr>
          <w:b/>
          <w:sz w:val="28"/>
          <w:szCs w:val="28"/>
        </w:rPr>
      </w:pPr>
    </w:p>
    <w:p w:rsidR="00475521" w:rsidRDefault="00475521" w:rsidP="002116FC">
      <w:pPr>
        <w:tabs>
          <w:tab w:val="left" w:pos="450"/>
        </w:tabs>
        <w:jc w:val="center"/>
        <w:rPr>
          <w:b/>
          <w:sz w:val="28"/>
          <w:szCs w:val="28"/>
        </w:rPr>
      </w:pPr>
    </w:p>
    <w:p w:rsidR="00475521" w:rsidRDefault="00475521" w:rsidP="002116FC">
      <w:pPr>
        <w:tabs>
          <w:tab w:val="left" w:pos="450"/>
        </w:tabs>
        <w:jc w:val="center"/>
        <w:rPr>
          <w:b/>
          <w:sz w:val="28"/>
          <w:szCs w:val="28"/>
        </w:rPr>
      </w:pPr>
    </w:p>
    <w:p w:rsidR="002116FC" w:rsidRPr="00753515" w:rsidRDefault="002116FC" w:rsidP="002116FC">
      <w:pPr>
        <w:tabs>
          <w:tab w:val="left" w:pos="450"/>
        </w:tabs>
        <w:jc w:val="center"/>
        <w:rPr>
          <w:b/>
          <w:sz w:val="28"/>
          <w:szCs w:val="28"/>
        </w:rPr>
      </w:pPr>
      <w:r w:rsidRPr="00753515">
        <w:rPr>
          <w:b/>
          <w:sz w:val="28"/>
          <w:szCs w:val="28"/>
        </w:rPr>
        <w:t>Submitted to:</w:t>
      </w:r>
    </w:p>
    <w:p w:rsidR="002116FC" w:rsidRPr="00753515" w:rsidRDefault="002116FC" w:rsidP="002116FC">
      <w:pPr>
        <w:tabs>
          <w:tab w:val="left" w:pos="450"/>
        </w:tabs>
        <w:jc w:val="center"/>
        <w:rPr>
          <w:b/>
          <w:sz w:val="28"/>
          <w:szCs w:val="28"/>
        </w:rPr>
      </w:pPr>
      <w:r w:rsidRPr="00753515">
        <w:rPr>
          <w:b/>
          <w:sz w:val="28"/>
          <w:szCs w:val="28"/>
        </w:rPr>
        <w:t>U.S. Department of Justice</w:t>
      </w:r>
    </w:p>
    <w:p w:rsidR="002116FC" w:rsidRPr="00753515" w:rsidRDefault="002116FC" w:rsidP="002116FC">
      <w:pPr>
        <w:tabs>
          <w:tab w:val="left" w:pos="450"/>
        </w:tabs>
        <w:jc w:val="center"/>
        <w:rPr>
          <w:b/>
          <w:sz w:val="28"/>
          <w:szCs w:val="28"/>
        </w:rPr>
      </w:pPr>
      <w:r w:rsidRPr="00753515">
        <w:rPr>
          <w:b/>
          <w:sz w:val="28"/>
          <w:szCs w:val="28"/>
        </w:rPr>
        <w:t>Office of Justice Programs</w:t>
      </w:r>
    </w:p>
    <w:p w:rsidR="002116FC" w:rsidRPr="00753515" w:rsidRDefault="002116FC" w:rsidP="002116FC">
      <w:pPr>
        <w:tabs>
          <w:tab w:val="left" w:pos="450"/>
        </w:tabs>
        <w:jc w:val="center"/>
        <w:rPr>
          <w:b/>
          <w:sz w:val="28"/>
          <w:szCs w:val="28"/>
        </w:rPr>
      </w:pPr>
      <w:r w:rsidRPr="00753515">
        <w:rPr>
          <w:b/>
          <w:sz w:val="28"/>
          <w:szCs w:val="28"/>
        </w:rPr>
        <w:t>Bureau of Justice Assistance</w:t>
      </w:r>
    </w:p>
    <w:p w:rsidR="002116FC" w:rsidRPr="00753515" w:rsidRDefault="002116FC" w:rsidP="002116FC">
      <w:pPr>
        <w:tabs>
          <w:tab w:val="left" w:pos="450"/>
        </w:tabs>
        <w:jc w:val="center"/>
        <w:rPr>
          <w:b/>
          <w:sz w:val="28"/>
          <w:szCs w:val="28"/>
        </w:rPr>
      </w:pPr>
    </w:p>
    <w:p w:rsidR="00362E8E" w:rsidRDefault="009039B7" w:rsidP="002116FC">
      <w:pPr>
        <w:ind w:left="2880" w:firstLine="720"/>
        <w:rPr>
          <w:b/>
          <w:sz w:val="28"/>
          <w:szCs w:val="28"/>
        </w:rPr>
      </w:pPr>
      <w:r>
        <w:rPr>
          <w:b/>
          <w:sz w:val="28"/>
          <w:szCs w:val="28"/>
        </w:rPr>
        <w:t>August 22</w:t>
      </w:r>
      <w:r w:rsidR="002116FC" w:rsidRPr="006B2B57">
        <w:rPr>
          <w:b/>
          <w:sz w:val="28"/>
          <w:szCs w:val="28"/>
        </w:rPr>
        <w:t>, 201</w:t>
      </w:r>
      <w:r w:rsidR="00227BF1" w:rsidRPr="006B2B57">
        <w:rPr>
          <w:b/>
          <w:sz w:val="28"/>
          <w:szCs w:val="28"/>
        </w:rPr>
        <w:t>8</w:t>
      </w:r>
    </w:p>
    <w:p w:rsidR="002116FC" w:rsidRDefault="002116FC" w:rsidP="002116FC">
      <w:pPr>
        <w:ind w:left="2880" w:firstLine="720"/>
        <w:rPr>
          <w:b/>
          <w:sz w:val="28"/>
          <w:szCs w:val="28"/>
        </w:rPr>
      </w:pPr>
    </w:p>
    <w:p w:rsidR="00CF75D1" w:rsidRPr="00923AC4" w:rsidRDefault="002116FC" w:rsidP="00923AC4">
      <w:pPr>
        <w:spacing w:after="200" w:line="276" w:lineRule="auto"/>
        <w:rPr>
          <w:rStyle w:val="Strong"/>
          <w:bCs w:val="0"/>
          <w:sz w:val="28"/>
          <w:szCs w:val="28"/>
          <w:highlight w:val="yellow"/>
        </w:rPr>
      </w:pPr>
      <w:r>
        <w:rPr>
          <w:b/>
          <w:sz w:val="28"/>
          <w:szCs w:val="28"/>
          <w:highlight w:val="yellow"/>
        </w:rPr>
        <w:br w:type="page"/>
      </w:r>
    </w:p>
    <w:p w:rsidR="00923AC4" w:rsidRDefault="00923AC4" w:rsidP="00923AC4">
      <w:pPr>
        <w:jc w:val="center"/>
        <w:rPr>
          <w:b/>
          <w:sz w:val="28"/>
          <w:szCs w:val="28"/>
        </w:rPr>
      </w:pPr>
      <w:r>
        <w:rPr>
          <w:b/>
          <w:sz w:val="28"/>
          <w:szCs w:val="28"/>
        </w:rPr>
        <w:lastRenderedPageBreak/>
        <w:t>Table of Contents</w:t>
      </w:r>
    </w:p>
    <w:p w:rsidR="00CD017F" w:rsidRPr="00CD017F" w:rsidRDefault="00CD017F" w:rsidP="00CD017F">
      <w:pPr>
        <w:autoSpaceDE w:val="0"/>
        <w:autoSpaceDN w:val="0"/>
        <w:adjustRightInd w:val="0"/>
        <w:rPr>
          <w:rFonts w:eastAsiaTheme="minorHAnsi"/>
          <w:color w:val="000000"/>
          <w:lang w:eastAsia="en-US"/>
        </w:rPr>
      </w:pPr>
    </w:p>
    <w:p w:rsidR="00CD017F" w:rsidRPr="00CD017F" w:rsidRDefault="00CD017F" w:rsidP="00A358C3">
      <w:pPr>
        <w:autoSpaceDE w:val="0"/>
        <w:autoSpaceDN w:val="0"/>
        <w:adjustRightInd w:val="0"/>
        <w:spacing w:line="360" w:lineRule="auto"/>
        <w:ind w:left="90" w:hanging="630"/>
        <w:rPr>
          <w:rFonts w:eastAsiaTheme="minorHAnsi"/>
          <w:color w:val="000000"/>
          <w:sz w:val="28"/>
          <w:szCs w:val="28"/>
          <w:lang w:eastAsia="en-US"/>
        </w:rPr>
      </w:pPr>
      <w:r w:rsidRPr="00CD017F">
        <w:rPr>
          <w:rFonts w:eastAsiaTheme="minorHAnsi"/>
          <w:b/>
          <w:bCs/>
          <w:color w:val="000000"/>
          <w:sz w:val="28"/>
          <w:szCs w:val="28"/>
          <w:lang w:eastAsia="en-US"/>
        </w:rPr>
        <w:t xml:space="preserve">I. </w:t>
      </w:r>
      <w:r>
        <w:rPr>
          <w:rFonts w:eastAsiaTheme="minorHAnsi"/>
          <w:b/>
          <w:bCs/>
          <w:color w:val="000000"/>
          <w:sz w:val="28"/>
          <w:szCs w:val="28"/>
          <w:lang w:eastAsia="en-US"/>
        </w:rPr>
        <w:tab/>
      </w:r>
      <w:r w:rsidRPr="00CD017F">
        <w:rPr>
          <w:rFonts w:eastAsiaTheme="minorHAnsi"/>
          <w:b/>
          <w:bCs/>
          <w:color w:val="000000"/>
          <w:sz w:val="28"/>
          <w:szCs w:val="28"/>
          <w:lang w:eastAsia="en-US"/>
        </w:rPr>
        <w:t xml:space="preserve">INTRODUCTION </w:t>
      </w:r>
    </w:p>
    <w:p w:rsidR="00CD017F" w:rsidRPr="00CD017F" w:rsidRDefault="00CD017F" w:rsidP="00A358C3">
      <w:pPr>
        <w:autoSpaceDE w:val="0"/>
        <w:autoSpaceDN w:val="0"/>
        <w:adjustRightInd w:val="0"/>
        <w:spacing w:line="360" w:lineRule="auto"/>
        <w:rPr>
          <w:rFonts w:eastAsiaTheme="minorHAnsi"/>
          <w:color w:val="000000"/>
          <w:sz w:val="23"/>
          <w:szCs w:val="23"/>
          <w:lang w:eastAsia="en-US"/>
        </w:rPr>
      </w:pPr>
    </w:p>
    <w:p w:rsidR="00CD017F" w:rsidRPr="00CD017F" w:rsidRDefault="00CD017F" w:rsidP="00A358C3">
      <w:pPr>
        <w:autoSpaceDE w:val="0"/>
        <w:autoSpaceDN w:val="0"/>
        <w:adjustRightInd w:val="0"/>
        <w:spacing w:line="360" w:lineRule="auto"/>
        <w:ind w:left="-540"/>
        <w:rPr>
          <w:rFonts w:eastAsiaTheme="minorHAnsi"/>
          <w:color w:val="000000"/>
          <w:sz w:val="28"/>
          <w:szCs w:val="28"/>
          <w:lang w:eastAsia="en-US"/>
        </w:rPr>
      </w:pPr>
      <w:r w:rsidRPr="00CD017F">
        <w:rPr>
          <w:rFonts w:eastAsiaTheme="minorHAnsi"/>
          <w:b/>
          <w:bCs/>
          <w:color w:val="000000"/>
          <w:sz w:val="28"/>
          <w:szCs w:val="28"/>
          <w:lang w:eastAsia="en-US"/>
        </w:rPr>
        <w:t xml:space="preserve">II. </w:t>
      </w:r>
      <w:r>
        <w:rPr>
          <w:rFonts w:eastAsiaTheme="minorHAnsi"/>
          <w:b/>
          <w:bCs/>
          <w:color w:val="000000"/>
          <w:sz w:val="28"/>
          <w:szCs w:val="28"/>
          <w:lang w:eastAsia="en-US"/>
        </w:rPr>
        <w:tab/>
      </w:r>
      <w:r w:rsidRPr="00CD017F">
        <w:rPr>
          <w:rFonts w:eastAsiaTheme="minorHAnsi"/>
          <w:b/>
          <w:bCs/>
          <w:color w:val="000000"/>
          <w:sz w:val="28"/>
          <w:szCs w:val="28"/>
          <w:lang w:eastAsia="en-US"/>
        </w:rPr>
        <w:t xml:space="preserve">PROGRAM NARRATIVE </w:t>
      </w:r>
    </w:p>
    <w:p w:rsidR="00CD017F" w:rsidRPr="00CD017F" w:rsidRDefault="00CD017F" w:rsidP="00A358C3">
      <w:pPr>
        <w:autoSpaceDE w:val="0"/>
        <w:autoSpaceDN w:val="0"/>
        <w:adjustRightInd w:val="0"/>
        <w:spacing w:line="360" w:lineRule="auto"/>
        <w:rPr>
          <w:rFonts w:eastAsiaTheme="minorHAnsi"/>
          <w:color w:val="000000"/>
          <w:sz w:val="23"/>
          <w:szCs w:val="23"/>
          <w:lang w:eastAsia="en-US"/>
        </w:rPr>
      </w:pPr>
    </w:p>
    <w:p w:rsidR="00CD017F" w:rsidRPr="00CD017F" w:rsidRDefault="00CD017F" w:rsidP="00A358C3">
      <w:pPr>
        <w:autoSpaceDE w:val="0"/>
        <w:autoSpaceDN w:val="0"/>
        <w:adjustRightInd w:val="0"/>
        <w:spacing w:line="360" w:lineRule="auto"/>
        <w:rPr>
          <w:rFonts w:eastAsiaTheme="minorHAnsi"/>
          <w:color w:val="000000"/>
          <w:sz w:val="28"/>
          <w:szCs w:val="28"/>
          <w:lang w:eastAsia="en-US"/>
        </w:rPr>
      </w:pPr>
      <w:r w:rsidRPr="00CD017F">
        <w:rPr>
          <w:rFonts w:eastAsiaTheme="minorHAnsi"/>
          <w:b/>
          <w:bCs/>
          <w:color w:val="000000"/>
          <w:sz w:val="28"/>
          <w:szCs w:val="28"/>
          <w:lang w:eastAsia="en-US"/>
        </w:rPr>
        <w:t xml:space="preserve">A. Justice Assistance Grant Priorities and Programs </w:t>
      </w:r>
    </w:p>
    <w:p w:rsidR="00CD017F" w:rsidRDefault="00CD017F" w:rsidP="00A358C3">
      <w:pPr>
        <w:autoSpaceDE w:val="0"/>
        <w:autoSpaceDN w:val="0"/>
        <w:adjustRightInd w:val="0"/>
        <w:spacing w:line="360" w:lineRule="auto"/>
        <w:rPr>
          <w:rFonts w:eastAsiaTheme="minorHAnsi"/>
          <w:color w:val="000000"/>
          <w:sz w:val="23"/>
          <w:szCs w:val="23"/>
          <w:lang w:eastAsia="en-US"/>
        </w:rPr>
      </w:pPr>
    </w:p>
    <w:p w:rsidR="00CD017F" w:rsidRPr="00CD017F" w:rsidRDefault="00CD017F" w:rsidP="00A358C3">
      <w:pPr>
        <w:autoSpaceDE w:val="0"/>
        <w:autoSpaceDN w:val="0"/>
        <w:adjustRightInd w:val="0"/>
        <w:spacing w:line="360" w:lineRule="auto"/>
        <w:rPr>
          <w:rFonts w:eastAsiaTheme="minorHAnsi"/>
          <w:color w:val="000000"/>
          <w:lang w:eastAsia="en-US"/>
        </w:rPr>
      </w:pPr>
      <w:r w:rsidRPr="00CD017F">
        <w:rPr>
          <w:rFonts w:eastAsiaTheme="minorHAnsi"/>
          <w:color w:val="000000"/>
          <w:lang w:eastAsia="en-US"/>
        </w:rPr>
        <w:t xml:space="preserve">Priority #1. Reducing Gun, Gang and Youth Violence </w:t>
      </w:r>
    </w:p>
    <w:p w:rsidR="00CD017F" w:rsidRDefault="00CD017F" w:rsidP="00A358C3">
      <w:pPr>
        <w:autoSpaceDE w:val="0"/>
        <w:autoSpaceDN w:val="0"/>
        <w:adjustRightInd w:val="0"/>
        <w:spacing w:line="360" w:lineRule="auto"/>
        <w:rPr>
          <w:rFonts w:eastAsiaTheme="minorHAnsi"/>
          <w:color w:val="000000"/>
          <w:lang w:eastAsia="en-US"/>
        </w:rPr>
      </w:pPr>
    </w:p>
    <w:p w:rsidR="00CD017F" w:rsidRPr="00CD017F" w:rsidRDefault="00CD017F" w:rsidP="00A358C3">
      <w:pPr>
        <w:autoSpaceDE w:val="0"/>
        <w:autoSpaceDN w:val="0"/>
        <w:adjustRightInd w:val="0"/>
        <w:spacing w:line="360" w:lineRule="auto"/>
        <w:rPr>
          <w:rFonts w:eastAsiaTheme="minorHAnsi"/>
          <w:color w:val="000000"/>
          <w:lang w:eastAsia="en-US"/>
        </w:rPr>
      </w:pPr>
      <w:r w:rsidRPr="00CD017F">
        <w:rPr>
          <w:rFonts w:eastAsiaTheme="minorHAnsi"/>
          <w:color w:val="000000"/>
          <w:lang w:eastAsia="en-US"/>
        </w:rPr>
        <w:t xml:space="preserve">Priority #2. Support Evidence Based Reentry Programs to Reduce Recidivism </w:t>
      </w:r>
    </w:p>
    <w:p w:rsidR="00CD017F" w:rsidRDefault="00CD017F" w:rsidP="00A358C3">
      <w:pPr>
        <w:autoSpaceDE w:val="0"/>
        <w:autoSpaceDN w:val="0"/>
        <w:adjustRightInd w:val="0"/>
        <w:spacing w:line="360" w:lineRule="auto"/>
        <w:rPr>
          <w:rFonts w:eastAsiaTheme="minorHAnsi"/>
          <w:color w:val="000000"/>
          <w:lang w:eastAsia="en-US"/>
        </w:rPr>
      </w:pPr>
    </w:p>
    <w:p w:rsidR="00CD017F" w:rsidRPr="00CD017F" w:rsidRDefault="00CD017F" w:rsidP="00A358C3">
      <w:pPr>
        <w:autoSpaceDE w:val="0"/>
        <w:autoSpaceDN w:val="0"/>
        <w:adjustRightInd w:val="0"/>
        <w:spacing w:line="360" w:lineRule="auto"/>
        <w:rPr>
          <w:rFonts w:eastAsiaTheme="minorHAnsi"/>
          <w:color w:val="000000"/>
          <w:lang w:eastAsia="en-US"/>
        </w:rPr>
      </w:pPr>
      <w:r w:rsidRPr="00CD017F">
        <w:rPr>
          <w:rFonts w:eastAsiaTheme="minorHAnsi"/>
          <w:color w:val="000000"/>
          <w:lang w:eastAsia="en-US"/>
        </w:rPr>
        <w:t xml:space="preserve">Priority #3. Targeting Domestic Violence and Sexual Assault Offenders </w:t>
      </w:r>
    </w:p>
    <w:p w:rsidR="00CD017F" w:rsidRDefault="00CD017F" w:rsidP="00A358C3">
      <w:pPr>
        <w:autoSpaceDE w:val="0"/>
        <w:autoSpaceDN w:val="0"/>
        <w:adjustRightInd w:val="0"/>
        <w:spacing w:line="360" w:lineRule="auto"/>
        <w:rPr>
          <w:rFonts w:eastAsiaTheme="minorHAnsi"/>
          <w:color w:val="000000"/>
          <w:lang w:eastAsia="en-US"/>
        </w:rPr>
      </w:pPr>
    </w:p>
    <w:p w:rsidR="00CD017F" w:rsidRPr="00CD017F" w:rsidRDefault="00CD017F" w:rsidP="00A358C3">
      <w:pPr>
        <w:autoSpaceDE w:val="0"/>
        <w:autoSpaceDN w:val="0"/>
        <w:adjustRightInd w:val="0"/>
        <w:spacing w:line="360" w:lineRule="auto"/>
        <w:rPr>
          <w:rFonts w:eastAsiaTheme="minorHAnsi"/>
          <w:color w:val="000000"/>
          <w:lang w:eastAsia="en-US"/>
        </w:rPr>
      </w:pPr>
      <w:r w:rsidRPr="00CD017F">
        <w:rPr>
          <w:rFonts w:eastAsiaTheme="minorHAnsi"/>
          <w:color w:val="000000"/>
          <w:lang w:eastAsia="en-US"/>
        </w:rPr>
        <w:t xml:space="preserve">Priority #4. Combating Heroin, Opioids and Other Illegal Drugs </w:t>
      </w:r>
    </w:p>
    <w:p w:rsidR="00CD017F" w:rsidRDefault="00CD017F" w:rsidP="00A358C3">
      <w:pPr>
        <w:autoSpaceDE w:val="0"/>
        <w:autoSpaceDN w:val="0"/>
        <w:adjustRightInd w:val="0"/>
        <w:spacing w:line="360" w:lineRule="auto"/>
        <w:rPr>
          <w:rFonts w:eastAsiaTheme="minorHAnsi"/>
          <w:color w:val="000000"/>
          <w:lang w:eastAsia="en-US"/>
        </w:rPr>
      </w:pPr>
    </w:p>
    <w:p w:rsidR="00CD017F" w:rsidRPr="00CD017F" w:rsidRDefault="00CD017F" w:rsidP="00A358C3">
      <w:pPr>
        <w:autoSpaceDE w:val="0"/>
        <w:autoSpaceDN w:val="0"/>
        <w:adjustRightInd w:val="0"/>
        <w:spacing w:line="360" w:lineRule="auto"/>
        <w:rPr>
          <w:rFonts w:eastAsiaTheme="minorHAnsi"/>
          <w:color w:val="000000"/>
          <w:lang w:eastAsia="en-US"/>
        </w:rPr>
      </w:pPr>
      <w:r w:rsidRPr="00CD017F">
        <w:rPr>
          <w:rFonts w:eastAsiaTheme="minorHAnsi"/>
          <w:color w:val="000000"/>
          <w:lang w:eastAsia="en-US"/>
        </w:rPr>
        <w:t xml:space="preserve">Priority #5. Collaborative Prosecution and Prevention Programs </w:t>
      </w:r>
    </w:p>
    <w:p w:rsidR="00CD017F" w:rsidRDefault="00CD017F" w:rsidP="00A358C3">
      <w:pPr>
        <w:autoSpaceDE w:val="0"/>
        <w:autoSpaceDN w:val="0"/>
        <w:adjustRightInd w:val="0"/>
        <w:spacing w:line="360" w:lineRule="auto"/>
        <w:rPr>
          <w:rFonts w:eastAsiaTheme="minorHAnsi"/>
          <w:color w:val="000000"/>
          <w:lang w:eastAsia="en-US"/>
        </w:rPr>
      </w:pPr>
    </w:p>
    <w:p w:rsidR="00CD017F" w:rsidRPr="00CD017F" w:rsidRDefault="00CD017F" w:rsidP="00A358C3">
      <w:pPr>
        <w:autoSpaceDE w:val="0"/>
        <w:autoSpaceDN w:val="0"/>
        <w:adjustRightInd w:val="0"/>
        <w:spacing w:line="360" w:lineRule="auto"/>
        <w:rPr>
          <w:rFonts w:eastAsiaTheme="minorHAnsi"/>
          <w:color w:val="000000"/>
          <w:lang w:eastAsia="en-US"/>
        </w:rPr>
      </w:pPr>
      <w:r w:rsidRPr="00CD017F">
        <w:rPr>
          <w:rFonts w:eastAsiaTheme="minorHAnsi"/>
          <w:color w:val="000000"/>
          <w:lang w:eastAsia="en-US"/>
        </w:rPr>
        <w:t xml:space="preserve">Priority #6. Utilizing Research to Assess the Effectiveness of JAG Programs </w:t>
      </w:r>
    </w:p>
    <w:p w:rsidR="00CD017F" w:rsidRDefault="00CD017F" w:rsidP="00A358C3">
      <w:pPr>
        <w:autoSpaceDE w:val="0"/>
        <w:autoSpaceDN w:val="0"/>
        <w:adjustRightInd w:val="0"/>
        <w:spacing w:line="360" w:lineRule="auto"/>
        <w:rPr>
          <w:rFonts w:eastAsiaTheme="minorHAnsi"/>
          <w:b/>
          <w:bCs/>
          <w:color w:val="000000"/>
          <w:sz w:val="23"/>
          <w:szCs w:val="23"/>
          <w:lang w:eastAsia="en-US"/>
        </w:rPr>
      </w:pPr>
    </w:p>
    <w:p w:rsidR="00CD017F" w:rsidRPr="00CD017F" w:rsidRDefault="00CD017F" w:rsidP="00A358C3">
      <w:pPr>
        <w:autoSpaceDE w:val="0"/>
        <w:autoSpaceDN w:val="0"/>
        <w:adjustRightInd w:val="0"/>
        <w:spacing w:line="360" w:lineRule="auto"/>
        <w:rPr>
          <w:rFonts w:eastAsiaTheme="minorHAnsi"/>
          <w:color w:val="000000"/>
          <w:sz w:val="28"/>
          <w:szCs w:val="28"/>
          <w:lang w:eastAsia="en-US"/>
        </w:rPr>
      </w:pPr>
      <w:r w:rsidRPr="00CD017F">
        <w:rPr>
          <w:rFonts w:eastAsiaTheme="minorHAnsi"/>
          <w:b/>
          <w:bCs/>
          <w:color w:val="000000"/>
          <w:sz w:val="28"/>
          <w:szCs w:val="28"/>
          <w:lang w:eastAsia="en-US"/>
        </w:rPr>
        <w:t xml:space="preserve">B. </w:t>
      </w:r>
      <w:r w:rsidR="005C3B04" w:rsidRPr="005C3B04">
        <w:rPr>
          <w:rFonts w:eastAsia="Times New Roman"/>
          <w:b/>
          <w:sz w:val="28"/>
          <w:szCs w:val="28"/>
          <w:lang w:eastAsia="en-US"/>
        </w:rPr>
        <w:t>Project Design and Implementation</w:t>
      </w:r>
    </w:p>
    <w:p w:rsidR="00CD017F" w:rsidRPr="00CD017F" w:rsidRDefault="00CD017F" w:rsidP="00A358C3">
      <w:pPr>
        <w:autoSpaceDE w:val="0"/>
        <w:autoSpaceDN w:val="0"/>
        <w:adjustRightInd w:val="0"/>
        <w:spacing w:line="360" w:lineRule="auto"/>
        <w:rPr>
          <w:rFonts w:eastAsiaTheme="minorHAnsi"/>
          <w:color w:val="000000"/>
          <w:sz w:val="23"/>
          <w:szCs w:val="23"/>
          <w:lang w:eastAsia="en-US"/>
        </w:rPr>
      </w:pPr>
    </w:p>
    <w:p w:rsidR="00CD017F" w:rsidRPr="00CD017F" w:rsidRDefault="00CD017F" w:rsidP="00A358C3">
      <w:pPr>
        <w:autoSpaceDE w:val="0"/>
        <w:autoSpaceDN w:val="0"/>
        <w:adjustRightInd w:val="0"/>
        <w:spacing w:line="360" w:lineRule="auto"/>
        <w:rPr>
          <w:rFonts w:eastAsiaTheme="minorHAnsi"/>
          <w:color w:val="000000"/>
          <w:sz w:val="28"/>
          <w:szCs w:val="28"/>
          <w:lang w:eastAsia="en-US"/>
        </w:rPr>
      </w:pPr>
      <w:r w:rsidRPr="00CD017F">
        <w:rPr>
          <w:rFonts w:eastAsiaTheme="minorHAnsi"/>
          <w:b/>
          <w:bCs/>
          <w:color w:val="000000"/>
          <w:sz w:val="28"/>
          <w:szCs w:val="28"/>
          <w:lang w:eastAsia="en-US"/>
        </w:rPr>
        <w:t xml:space="preserve">C. </w:t>
      </w:r>
      <w:r w:rsidR="005C3B04" w:rsidRPr="005C3B04">
        <w:rPr>
          <w:rFonts w:eastAsia="Times New Roman"/>
          <w:b/>
          <w:sz w:val="28"/>
          <w:szCs w:val="28"/>
          <w:lang w:eastAsia="en-US"/>
        </w:rPr>
        <w:t>Capabilities and Competencies</w:t>
      </w:r>
    </w:p>
    <w:p w:rsidR="00CD017F" w:rsidRPr="00CD017F" w:rsidRDefault="00CD017F" w:rsidP="00A358C3">
      <w:pPr>
        <w:autoSpaceDE w:val="0"/>
        <w:autoSpaceDN w:val="0"/>
        <w:adjustRightInd w:val="0"/>
        <w:spacing w:line="360" w:lineRule="auto"/>
        <w:rPr>
          <w:rFonts w:eastAsiaTheme="minorHAnsi"/>
          <w:color w:val="000000"/>
          <w:sz w:val="23"/>
          <w:szCs w:val="23"/>
          <w:lang w:eastAsia="en-US"/>
        </w:rPr>
      </w:pPr>
    </w:p>
    <w:p w:rsidR="00CD017F" w:rsidRPr="00CD017F" w:rsidRDefault="00CD017F" w:rsidP="00A358C3">
      <w:pPr>
        <w:autoSpaceDE w:val="0"/>
        <w:autoSpaceDN w:val="0"/>
        <w:adjustRightInd w:val="0"/>
        <w:spacing w:line="360" w:lineRule="auto"/>
        <w:rPr>
          <w:rFonts w:eastAsiaTheme="minorHAnsi"/>
          <w:color w:val="000000"/>
          <w:sz w:val="28"/>
          <w:szCs w:val="28"/>
          <w:lang w:eastAsia="en-US"/>
        </w:rPr>
      </w:pPr>
      <w:r w:rsidRPr="00CD017F">
        <w:rPr>
          <w:rFonts w:eastAsiaTheme="minorHAnsi"/>
          <w:b/>
          <w:bCs/>
          <w:color w:val="000000"/>
          <w:sz w:val="28"/>
          <w:szCs w:val="28"/>
          <w:lang w:eastAsia="en-US"/>
        </w:rPr>
        <w:t xml:space="preserve">D. Collecting and Submitting Performance Measurement Data </w:t>
      </w:r>
    </w:p>
    <w:p w:rsidR="00923AC4" w:rsidRPr="00923AC4" w:rsidRDefault="00923AC4" w:rsidP="00A358C3">
      <w:pPr>
        <w:spacing w:line="360" w:lineRule="auto"/>
      </w:pPr>
    </w:p>
    <w:p w:rsidR="00E55E54" w:rsidRPr="00CD017F" w:rsidRDefault="00CD017F" w:rsidP="00A358C3">
      <w:pPr>
        <w:pStyle w:val="ListParagraph"/>
        <w:numPr>
          <w:ilvl w:val="0"/>
          <w:numId w:val="31"/>
        </w:numPr>
        <w:spacing w:line="360" w:lineRule="auto"/>
        <w:ind w:left="0" w:hanging="270"/>
        <w:rPr>
          <w:b/>
          <w:sz w:val="28"/>
          <w:szCs w:val="28"/>
        </w:rPr>
      </w:pPr>
      <w:r w:rsidRPr="00CD017F">
        <w:rPr>
          <w:b/>
          <w:sz w:val="28"/>
          <w:szCs w:val="28"/>
        </w:rPr>
        <w:t>APPENDIX</w:t>
      </w:r>
    </w:p>
    <w:p w:rsidR="00E55E54" w:rsidRDefault="00E55E54">
      <w:pPr>
        <w:spacing w:after="200" w:line="276" w:lineRule="auto"/>
      </w:pPr>
      <w:r>
        <w:br w:type="page"/>
      </w:r>
    </w:p>
    <w:p w:rsidR="009431BF" w:rsidRPr="00B828FA" w:rsidRDefault="009431BF" w:rsidP="00B828FA">
      <w:pPr>
        <w:pStyle w:val="NoSpacing"/>
        <w:numPr>
          <w:ilvl w:val="0"/>
          <w:numId w:val="2"/>
        </w:numPr>
        <w:ind w:left="630" w:hanging="630"/>
        <w:rPr>
          <w:b/>
        </w:rPr>
      </w:pPr>
      <w:r w:rsidRPr="00B828FA">
        <w:rPr>
          <w:b/>
        </w:rPr>
        <w:lastRenderedPageBreak/>
        <w:t>INTRODUCTION</w:t>
      </w:r>
    </w:p>
    <w:p w:rsidR="009431BF" w:rsidRDefault="009431BF" w:rsidP="009431BF">
      <w:pPr>
        <w:pStyle w:val="NoSpacing"/>
        <w:rPr>
          <w:highlight w:val="yellow"/>
        </w:rPr>
      </w:pPr>
    </w:p>
    <w:p w:rsidR="001978B1" w:rsidRPr="003C439C" w:rsidRDefault="009431BF" w:rsidP="001978B1">
      <w:r>
        <w:t>The Executive Office of Public Safety and Security (EOPSS) is responsi</w:t>
      </w:r>
      <w:r w:rsidR="00D95159">
        <w:t xml:space="preserve">ble for the policy development </w:t>
      </w:r>
      <w:r>
        <w:t xml:space="preserve">and budgetary oversight of the secretariat agencies, independent programs, and several boards which aid in crime prevention, homeland security preparedness, and ensuring the safety of residents and visitors in the Commonwealth.  The Office of Grants and Research (OGR) is the arm of EOPSS that serves as the State Administering Agency (SAA) for federal criminal justice and highway safety funds.  Additionally, OGR uses research and evaluation to promote public safety in the Commonwealth of Massachusetts by informing criminal justice and public safety policy.  </w:t>
      </w:r>
      <w:r w:rsidR="001978B1" w:rsidRPr="003C439C">
        <w:t>The goals of the OGR include:</w:t>
      </w:r>
    </w:p>
    <w:p w:rsidR="001978B1" w:rsidRPr="003C439C" w:rsidRDefault="001978B1" w:rsidP="001978B1">
      <w:pPr>
        <w:pStyle w:val="ListParagraph"/>
        <w:numPr>
          <w:ilvl w:val="0"/>
          <w:numId w:val="35"/>
        </w:numPr>
      </w:pPr>
      <w:r w:rsidRPr="003C439C">
        <w:t>Improving community safety and local preparedness by providing resources to communities based on need;</w:t>
      </w:r>
    </w:p>
    <w:p w:rsidR="001978B1" w:rsidRPr="003C439C" w:rsidRDefault="001978B1" w:rsidP="001978B1">
      <w:pPr>
        <w:pStyle w:val="ListParagraph"/>
        <w:numPr>
          <w:ilvl w:val="0"/>
          <w:numId w:val="35"/>
        </w:numPr>
      </w:pPr>
      <w:r w:rsidRPr="003C439C">
        <w:t>Investing in innovative programs;</w:t>
      </w:r>
    </w:p>
    <w:p w:rsidR="001978B1" w:rsidRPr="003C439C" w:rsidRDefault="001978B1" w:rsidP="001978B1">
      <w:pPr>
        <w:pStyle w:val="ListParagraph"/>
        <w:numPr>
          <w:ilvl w:val="0"/>
          <w:numId w:val="35"/>
        </w:numPr>
      </w:pPr>
      <w:r w:rsidRPr="003C439C">
        <w:t>Granting awards based on national and state priorities;</w:t>
      </w:r>
    </w:p>
    <w:p w:rsidR="001978B1" w:rsidRPr="003C439C" w:rsidRDefault="001978B1" w:rsidP="001978B1">
      <w:pPr>
        <w:pStyle w:val="ListParagraph"/>
        <w:numPr>
          <w:ilvl w:val="0"/>
          <w:numId w:val="35"/>
        </w:numPr>
      </w:pPr>
      <w:r w:rsidRPr="003C439C">
        <w:t xml:space="preserve">Fostering collaboration across jurisdictions by delivering grant </w:t>
      </w:r>
      <w:r w:rsidR="00752CC4" w:rsidRPr="003C439C">
        <w:t>dollars</w:t>
      </w:r>
      <w:r w:rsidRPr="003C439C">
        <w:t xml:space="preserve"> with a regional approach;</w:t>
      </w:r>
    </w:p>
    <w:p w:rsidR="001978B1" w:rsidRPr="003C439C" w:rsidRDefault="001978B1" w:rsidP="001978B1">
      <w:pPr>
        <w:pStyle w:val="ListParagraph"/>
        <w:numPr>
          <w:ilvl w:val="0"/>
          <w:numId w:val="35"/>
        </w:numPr>
      </w:pPr>
      <w:r w:rsidRPr="003C439C">
        <w:t xml:space="preserve">Making funding decisions factoring in research, </w:t>
      </w:r>
      <w:r w:rsidR="00752CC4" w:rsidRPr="003C439C">
        <w:t>empirical</w:t>
      </w:r>
      <w:r w:rsidRPr="003C439C">
        <w:t xml:space="preserve"> data, and best practices; and</w:t>
      </w:r>
    </w:p>
    <w:p w:rsidR="001978B1" w:rsidRPr="003C439C" w:rsidRDefault="001978B1" w:rsidP="001978B1">
      <w:pPr>
        <w:pStyle w:val="ListParagraph"/>
        <w:numPr>
          <w:ilvl w:val="0"/>
          <w:numId w:val="35"/>
        </w:numPr>
      </w:pPr>
      <w:r w:rsidRPr="003C439C">
        <w:t>Ensuring the grant awarding process is open, public, and competitive; and in compliance with federal and state guidelines.</w:t>
      </w:r>
    </w:p>
    <w:p w:rsidR="009431BF" w:rsidRDefault="009431BF" w:rsidP="001D2CD6"/>
    <w:p w:rsidR="009431BF" w:rsidRDefault="009431BF" w:rsidP="001D2CD6">
      <w:r>
        <w:t>This document serves as the Commonw</w:t>
      </w:r>
      <w:r w:rsidR="00B60BB7">
        <w:t>ealth of Massachusetts’s FY 2018</w:t>
      </w:r>
      <w:r>
        <w:t xml:space="preserve"> Edward Byrne Memorial Justice Assistance Grant (JAG) Program application.  Over the past several years, EOPSS has improved its grant making policies and procedures; enhanced communications, provided personalized technical assistance and quicker response time to sub-recipients, and standardized the reimbursement documentation required of sub-recipients.  Furthermore, it is paramount to EOPSS to improve upon and implement systems that ensure transparency and accountability in awarding and monitoring all federal and state grant funds.  Sub-recipients are required </w:t>
      </w:r>
      <w:r w:rsidR="001D2CD6">
        <w:t>to report quarterly on programmatic progress and financial expenditures.  In addition, the required performance metrics data are reported quarterly by sub-recipients using the B</w:t>
      </w:r>
      <w:r w:rsidR="00D95159">
        <w:t xml:space="preserve">ureau of </w:t>
      </w:r>
      <w:r w:rsidR="001D2CD6">
        <w:t>J</w:t>
      </w:r>
      <w:r w:rsidR="00D95159">
        <w:t>ustice Assistance (BJA)</w:t>
      </w:r>
      <w:r w:rsidR="001D2CD6">
        <w:t xml:space="preserve"> Performance Measurement Tool.  Through effective administration, monitoring, and evaluation, t</w:t>
      </w:r>
      <w:r w:rsidR="002238BE">
        <w:t xml:space="preserve">he JAG Program </w:t>
      </w:r>
      <w:r w:rsidR="001D2CD6">
        <w:t>aims to support both innovative and proven eff</w:t>
      </w:r>
      <w:r w:rsidR="002238BE">
        <w:t>ective programs and practices that</w:t>
      </w:r>
      <w:r w:rsidR="001D2CD6">
        <w:t xml:space="preserve"> increase public safety and enhance the quality of life in the Commonwealth.  </w:t>
      </w:r>
    </w:p>
    <w:p w:rsidR="001D2CD6" w:rsidRDefault="001D2CD6" w:rsidP="001D2CD6"/>
    <w:p w:rsidR="001D2CD6" w:rsidRDefault="002238BE">
      <w:pPr>
        <w:spacing w:after="200" w:line="276" w:lineRule="auto"/>
      </w:pPr>
      <w:r>
        <w:t>EOPSS</w:t>
      </w:r>
      <w:r w:rsidR="001D2CD6">
        <w:t xml:space="preserve"> intends to utilize JAG funds for a broad range of activities to prevent and control crime and to improve the criminal justice system in keeping with JAG</w:t>
      </w:r>
      <w:r w:rsidR="00D95159">
        <w:t xml:space="preserve"> purpose areas.  There are six</w:t>
      </w:r>
      <w:r w:rsidR="001D2CD6">
        <w:t xml:space="preserve"> state-i</w:t>
      </w:r>
      <w:r w:rsidR="00B60BB7">
        <w:t>dentified priorities for FY 2018</w:t>
      </w:r>
      <w:r w:rsidR="001D2CD6">
        <w:t xml:space="preserve"> JAG.  In its strategic planning efforts to make informed decisions regarding priorities and allocations, particularly for the state portion of JAG funds, EOPSS will continue to assess its public safety agencies’ needs as well as participate in the </w:t>
      </w:r>
      <w:r w:rsidR="001D2CD6" w:rsidRPr="00B60BB7">
        <w:t>Specia</w:t>
      </w:r>
      <w:r w:rsidR="00FF08B1" w:rsidRPr="00B60BB7">
        <w:t xml:space="preserve">l Commission on Criminal Justice, and </w:t>
      </w:r>
      <w:r w:rsidR="001D2CD6" w:rsidRPr="00B60BB7">
        <w:t>participate in the Council o</w:t>
      </w:r>
      <w:r w:rsidR="00D57791" w:rsidRPr="00B60BB7">
        <w:t>f</w:t>
      </w:r>
      <w:r w:rsidR="001D2CD6" w:rsidRPr="00B60BB7">
        <w:t xml:space="preserve"> State Gover</w:t>
      </w:r>
      <w:r w:rsidR="00FF08B1" w:rsidRPr="00B60BB7">
        <w:t>nment state-related endeavors</w:t>
      </w:r>
      <w:r w:rsidR="00FF08B1">
        <w:t>.</w:t>
      </w:r>
    </w:p>
    <w:p w:rsidR="001D2CD6" w:rsidRDefault="00D57791">
      <w:pPr>
        <w:spacing w:after="200" w:line="276" w:lineRule="auto"/>
      </w:pPr>
      <w:r w:rsidRPr="00D57791">
        <w:t xml:space="preserve">In addition to the JAG </w:t>
      </w:r>
      <w:r w:rsidR="002238BE">
        <w:t>Program, EOPSS/OGR</w:t>
      </w:r>
      <w:r>
        <w:t xml:space="preserve"> administers several other state and federal criminal justice grant programs with purposes that complement the proposed JAG initiatives (e.g., state-funded programs for youth and gang violence prevention, the distribution of sexual </w:t>
      </w:r>
      <w:r>
        <w:lastRenderedPageBreak/>
        <w:t xml:space="preserve">assault evidence </w:t>
      </w:r>
      <w:r w:rsidR="002238BE">
        <w:t>collection kits).  EOPSS/OGR</w:t>
      </w:r>
      <w:r>
        <w:t xml:space="preserve"> is the SAA for funding from the United States Department of Justice</w:t>
      </w:r>
      <w:r w:rsidR="00D95159">
        <w:t xml:space="preserve"> (DOJ)</w:t>
      </w:r>
      <w:r>
        <w:t>, B</w:t>
      </w:r>
      <w:r w:rsidR="00D95159">
        <w:t>JA</w:t>
      </w:r>
      <w:r>
        <w:t>, the Office of Juvenile Justice and Delinquency Prevention</w:t>
      </w:r>
      <w:r w:rsidR="00D95159">
        <w:t xml:space="preserve"> (OJJDP)</w:t>
      </w:r>
      <w:r>
        <w:t>, the Office on Violence Against Women</w:t>
      </w:r>
      <w:r w:rsidR="00D95159">
        <w:t xml:space="preserve"> (VAWA)</w:t>
      </w:r>
      <w:r>
        <w:t>, and the Bureau of Justice Statistics</w:t>
      </w:r>
      <w:r w:rsidR="00D95159">
        <w:t xml:space="preserve"> (BJS)</w:t>
      </w:r>
      <w:r>
        <w:t>.  EOPSS</w:t>
      </w:r>
      <w:r w:rsidR="002238BE">
        <w:t>/OGR</w:t>
      </w:r>
      <w:r>
        <w:t xml:space="preserve"> is also </w:t>
      </w:r>
      <w:r w:rsidR="006B7181">
        <w:t>the SAA for federal funds from the National Highway Traffic Safety Administration</w:t>
      </w:r>
      <w:r w:rsidR="00D95159">
        <w:t xml:space="preserve"> (NHTSA)</w:t>
      </w:r>
      <w:r w:rsidR="006B7181">
        <w:t xml:space="preserve">.  These grant programs are centralized under EOPSS in order to provide a unified and coordinated approach to the criminal justice and public safety needs of the Commonwealth.  </w:t>
      </w:r>
    </w:p>
    <w:p w:rsidR="006B7181" w:rsidRDefault="006B7181">
      <w:pPr>
        <w:spacing w:after="200" w:line="276" w:lineRule="auto"/>
      </w:pPr>
      <w:r>
        <w:t>All JAG funded programs support the overall goal to improve public safety and the quality of life in Massachusetts.  OGR is currently managing contracts to sub-recipients which support programs that focus on youth violence prevention, smart policing, gangs, substance abuse, reentry, victims of domestic violence and sexual assault, technology, and research.  It is anticipated that JAG funding will continue to support evidence-based</w:t>
      </w:r>
      <w:r w:rsidR="00890375">
        <w:t>,</w:t>
      </w:r>
      <w:r>
        <w:t xml:space="preserve"> innovative</w:t>
      </w:r>
      <w:r w:rsidR="00890375">
        <w:t>,</w:t>
      </w:r>
      <w:r>
        <w:t xml:space="preserve"> and promising programs and practices statewide.  </w:t>
      </w:r>
      <w:r w:rsidRPr="00B60BB7">
        <w:t xml:space="preserve">More detailed </w:t>
      </w:r>
      <w:r w:rsidR="00B60BB7" w:rsidRPr="00B60BB7">
        <w:t>processes for allocating FY 2018</w:t>
      </w:r>
      <w:r w:rsidR="00890375" w:rsidRPr="00B60BB7">
        <w:t xml:space="preserve"> JAG funds are being developed now and will begin to be</w:t>
      </w:r>
      <w:r w:rsidR="00B60BB7" w:rsidRPr="00B60BB7">
        <w:t xml:space="preserve"> implemented in the fall of 2018</w:t>
      </w:r>
      <w:r w:rsidR="00890375" w:rsidRPr="00B60BB7">
        <w:t xml:space="preserve"> upon receipt of the federal funds.</w:t>
      </w:r>
      <w:r w:rsidR="00890375">
        <w:t xml:space="preserve">  </w:t>
      </w:r>
    </w:p>
    <w:p w:rsidR="001D2CD6" w:rsidRDefault="001D2CD6">
      <w:pPr>
        <w:spacing w:after="200" w:line="276" w:lineRule="auto"/>
        <w:rPr>
          <w:highlight w:val="yellow"/>
        </w:rPr>
      </w:pPr>
    </w:p>
    <w:p w:rsidR="009431BF" w:rsidRDefault="009431BF">
      <w:pPr>
        <w:spacing w:after="200" w:line="276" w:lineRule="auto"/>
        <w:rPr>
          <w:highlight w:val="yellow"/>
        </w:rPr>
      </w:pPr>
      <w:r>
        <w:rPr>
          <w:highlight w:val="yellow"/>
        </w:rPr>
        <w:br w:type="page"/>
      </w:r>
    </w:p>
    <w:p w:rsidR="00B828FA" w:rsidRDefault="00B828FA" w:rsidP="00B828FA">
      <w:pPr>
        <w:pStyle w:val="ListParagraph"/>
        <w:numPr>
          <w:ilvl w:val="0"/>
          <w:numId w:val="2"/>
        </w:numPr>
        <w:spacing w:after="200" w:line="276" w:lineRule="auto"/>
        <w:ind w:left="720"/>
        <w:rPr>
          <w:b/>
        </w:rPr>
      </w:pPr>
      <w:r w:rsidRPr="00B828FA">
        <w:rPr>
          <w:b/>
        </w:rPr>
        <w:lastRenderedPageBreak/>
        <w:t xml:space="preserve">PROGRAM NARRATIVE </w:t>
      </w:r>
    </w:p>
    <w:p w:rsidR="009F1E3E" w:rsidRPr="009F1E3E" w:rsidRDefault="009F1E3E" w:rsidP="009F1E3E">
      <w:pPr>
        <w:pStyle w:val="ListParagraph"/>
        <w:spacing w:after="200" w:line="276" w:lineRule="auto"/>
      </w:pPr>
    </w:p>
    <w:p w:rsidR="00B828FA" w:rsidRPr="009F1E3E" w:rsidRDefault="009F1E3E" w:rsidP="009F1E3E">
      <w:pPr>
        <w:pStyle w:val="ListParagraph"/>
        <w:numPr>
          <w:ilvl w:val="0"/>
          <w:numId w:val="5"/>
        </w:numPr>
        <w:spacing w:after="200" w:line="276" w:lineRule="auto"/>
        <w:ind w:left="450" w:hanging="450"/>
      </w:pPr>
      <w:r>
        <w:t xml:space="preserve">Justice Assistance Grant Priorities and Programs </w:t>
      </w:r>
    </w:p>
    <w:p w:rsidR="00B828FA" w:rsidRDefault="001978B1">
      <w:pPr>
        <w:spacing w:after="200" w:line="276" w:lineRule="auto"/>
      </w:pPr>
      <w:r>
        <w:t>EOPSS</w:t>
      </w:r>
      <w:r w:rsidR="002238BE">
        <w:t>/OGR</w:t>
      </w:r>
      <w:r>
        <w:t xml:space="preserve"> is applying for FY 2018</w:t>
      </w:r>
      <w:r w:rsidR="002238BE">
        <w:t xml:space="preserve"> Byrne </w:t>
      </w:r>
      <w:r w:rsidR="007211D7">
        <w:t>JAG</w:t>
      </w:r>
      <w:r w:rsidR="00E817A7">
        <w:t xml:space="preserve"> funds.  Up to 10% of the funding will be utilized for grant admin</w:t>
      </w:r>
      <w:r w:rsidR="002238BE">
        <w:t xml:space="preserve">istration as purposed by the </w:t>
      </w:r>
      <w:r w:rsidR="00E817A7">
        <w:t>OGR</w:t>
      </w:r>
      <w:r w:rsidR="00964E1A">
        <w:t xml:space="preserve">.  The balance of JAG funds will be awarded to state </w:t>
      </w:r>
      <w:r w:rsidR="00F56C03">
        <w:t>agencies while, 33.9</w:t>
      </w:r>
      <w:r w:rsidR="00964E1A" w:rsidRPr="00F56C03">
        <w:t xml:space="preserve">% will be awarded </w:t>
      </w:r>
      <w:r w:rsidR="002238BE">
        <w:t>as required to meet the variable p</w:t>
      </w:r>
      <w:r w:rsidR="00F56C03">
        <w:t>ass</w:t>
      </w:r>
      <w:r w:rsidR="002238BE">
        <w:t>- through r</w:t>
      </w:r>
      <w:r w:rsidR="00F56C03">
        <w:t>ate (VPT)</w:t>
      </w:r>
      <w:r w:rsidR="00964E1A" w:rsidRPr="00F56C03">
        <w:t xml:space="preserve"> </w:t>
      </w:r>
      <w:r w:rsidR="002238BE">
        <w:t>to implement the various</w:t>
      </w:r>
      <w:r w:rsidR="00964E1A">
        <w:t xml:space="preserve"> public safety programs </w:t>
      </w:r>
      <w:r w:rsidR="002238BE">
        <w:t xml:space="preserve">and services </w:t>
      </w:r>
      <w:r w:rsidR="00964E1A">
        <w:t>throughout t</w:t>
      </w:r>
      <w:r w:rsidR="002238BE">
        <w:t>he Commonwealth</w:t>
      </w:r>
      <w:r w:rsidR="00964E1A">
        <w:t xml:space="preserve">.  </w:t>
      </w:r>
    </w:p>
    <w:p w:rsidR="00964E1A" w:rsidRDefault="002238BE">
      <w:pPr>
        <w:spacing w:after="200" w:line="276" w:lineRule="auto"/>
      </w:pPr>
      <w:r>
        <w:t xml:space="preserve">OGR </w:t>
      </w:r>
      <w:r w:rsidR="00964E1A">
        <w:t xml:space="preserve">will address its JAG funding priority areas by implementing JAG funded programs that include proven effective programs and practices, innovative ideas, and creative solutions. </w:t>
      </w:r>
      <w:r>
        <w:t xml:space="preserve"> OGR </w:t>
      </w:r>
      <w:r w:rsidR="00C14B3D">
        <w:t>will also promote regionalism, research-based policy, and rational decision-making via an open and public competitive grant process that ensures the distribution of funds geographically and across disciplines within JAG purpose areas.  Reducing violence through crime prevention strategies is a top priority for the Commonwealth.  Massachu</w:t>
      </w:r>
      <w:r w:rsidR="001978B1">
        <w:t>setts intends to utilize FY 2018</w:t>
      </w:r>
      <w:r w:rsidR="00C14B3D">
        <w:t xml:space="preserve"> JAG funds for a broad range of activities to prevent and control crime and to improve the criminal justice system in keeping with the JAG purpose areas and our identified JAG priorities.  </w:t>
      </w:r>
    </w:p>
    <w:p w:rsidR="00C14B3D" w:rsidRPr="009F1E3E" w:rsidRDefault="00C14B3D">
      <w:pPr>
        <w:spacing w:after="200" w:line="276" w:lineRule="auto"/>
      </w:pPr>
      <w:r>
        <w:t xml:space="preserve">The Commonwealth will maintain focus on priorities identified previously: guns, youth violence and gang membership, reducing recidivism; preventing and addressing domestic violence and sexual assault; reducing drug-related crime and substance abuse with an emphasis on opioids; and advancing criminal justice policies and systems through smart policing, technology, equipment, district attorney programs, and research and evaluation.  </w:t>
      </w:r>
      <w:r w:rsidR="00B56FFC">
        <w:t>Funding will be provided to support evidence-based programs and best practices.  Ultimately, all JAG allocations will be based on an assessment of the relative public safety and criminal justice needs of the Commonwealth as determined by the</w:t>
      </w:r>
      <w:r w:rsidR="002238BE">
        <w:t xml:space="preserve"> Governor and</w:t>
      </w:r>
      <w:r w:rsidR="00B56FFC">
        <w:t xml:space="preserve"> Secretary of Public Safety and Security and informed by the statewide strategic planning process, undertaken in part by the </w:t>
      </w:r>
      <w:r w:rsidR="00B56FFC" w:rsidRPr="00D95159">
        <w:t>Special Commission on Criminal Justice</w:t>
      </w:r>
      <w:r w:rsidR="00B56FFC">
        <w:t xml:space="preserve"> as well as by local law enforcement </w:t>
      </w:r>
      <w:r w:rsidR="002238BE">
        <w:t xml:space="preserve">officials that represent our </w:t>
      </w:r>
      <w:r w:rsidR="00B56FFC">
        <w:t xml:space="preserve">local units of government. </w:t>
      </w:r>
    </w:p>
    <w:p w:rsidR="00B828FA" w:rsidRPr="009F1E3E" w:rsidRDefault="00B828FA">
      <w:pPr>
        <w:spacing w:after="200" w:line="276" w:lineRule="auto"/>
      </w:pPr>
    </w:p>
    <w:p w:rsidR="00B828FA" w:rsidRPr="009F1E3E" w:rsidRDefault="00B828FA">
      <w:pPr>
        <w:spacing w:after="200" w:line="276" w:lineRule="auto"/>
      </w:pPr>
    </w:p>
    <w:p w:rsidR="00B828FA" w:rsidRPr="009F1E3E" w:rsidRDefault="00B828FA">
      <w:pPr>
        <w:spacing w:after="200" w:line="276" w:lineRule="auto"/>
      </w:pPr>
    </w:p>
    <w:p w:rsidR="00B828FA" w:rsidRPr="00B12037" w:rsidRDefault="00B828FA">
      <w:pPr>
        <w:spacing w:after="200" w:line="276" w:lineRule="auto"/>
      </w:pPr>
    </w:p>
    <w:p w:rsidR="00B828FA" w:rsidRDefault="00B828FA">
      <w:pPr>
        <w:spacing w:after="200" w:line="276" w:lineRule="auto"/>
        <w:rPr>
          <w:highlight w:val="yellow"/>
        </w:rPr>
      </w:pPr>
      <w:r>
        <w:rPr>
          <w:highlight w:val="yellow"/>
        </w:rPr>
        <w:br w:type="page"/>
      </w:r>
    </w:p>
    <w:p w:rsidR="00B12037" w:rsidRPr="00B12037" w:rsidRDefault="00B12037" w:rsidP="00B12037">
      <w:pPr>
        <w:pStyle w:val="NoSpacing"/>
        <w:rPr>
          <w:b/>
          <w:smallCaps/>
          <w:sz w:val="26"/>
          <w:szCs w:val="26"/>
          <w:u w:val="single"/>
        </w:rPr>
      </w:pPr>
      <w:r w:rsidRPr="00B12037">
        <w:rPr>
          <w:b/>
          <w:smallCaps/>
          <w:sz w:val="26"/>
          <w:szCs w:val="26"/>
          <w:u w:val="single"/>
        </w:rPr>
        <w:lastRenderedPageBreak/>
        <w:t xml:space="preserve">Priority #1: </w:t>
      </w:r>
      <w:r w:rsidR="009F5A28">
        <w:rPr>
          <w:b/>
          <w:smallCaps/>
          <w:sz w:val="26"/>
          <w:szCs w:val="26"/>
          <w:u w:val="single"/>
        </w:rPr>
        <w:t xml:space="preserve">Reducing </w:t>
      </w:r>
      <w:r w:rsidRPr="00B12037">
        <w:rPr>
          <w:b/>
          <w:smallCaps/>
          <w:sz w:val="26"/>
          <w:szCs w:val="26"/>
          <w:u w:val="single"/>
        </w:rPr>
        <w:t xml:space="preserve">Guns, </w:t>
      </w:r>
      <w:r w:rsidR="007178DA">
        <w:rPr>
          <w:b/>
          <w:smallCaps/>
          <w:sz w:val="26"/>
          <w:szCs w:val="26"/>
          <w:u w:val="single"/>
        </w:rPr>
        <w:t>Gang and Youth Violence</w:t>
      </w:r>
    </w:p>
    <w:p w:rsidR="00B12037" w:rsidRPr="00B12037" w:rsidRDefault="00B12037" w:rsidP="00B12037">
      <w:pPr>
        <w:pStyle w:val="NoSpacing"/>
      </w:pPr>
    </w:p>
    <w:p w:rsidR="00B12037" w:rsidRPr="005C6726" w:rsidRDefault="00B12037" w:rsidP="00B12037">
      <w:pPr>
        <w:pStyle w:val="NoSpacing"/>
        <w:rPr>
          <w:b/>
          <w:i/>
        </w:rPr>
      </w:pPr>
      <w:r w:rsidRPr="005C6726">
        <w:rPr>
          <w:b/>
          <w:i/>
        </w:rPr>
        <w:t>Goal</w:t>
      </w:r>
    </w:p>
    <w:p w:rsidR="00B12037" w:rsidRPr="00B12037" w:rsidRDefault="00B12037" w:rsidP="00B12037">
      <w:pPr>
        <w:pStyle w:val="NoSpacing"/>
      </w:pPr>
      <w:r>
        <w:t>Improve the quality of life for all citizens by reducing firearm related crime and preventing youth violence, in particular the formation of gang associations.</w:t>
      </w:r>
    </w:p>
    <w:p w:rsidR="00B12037" w:rsidRPr="00B12037" w:rsidRDefault="00B12037" w:rsidP="00B12037">
      <w:pPr>
        <w:pStyle w:val="NoSpacing"/>
      </w:pPr>
    </w:p>
    <w:p w:rsidR="00B12037" w:rsidRPr="005C6726" w:rsidRDefault="005C6726" w:rsidP="00B12037">
      <w:pPr>
        <w:pStyle w:val="NoSpacing"/>
        <w:rPr>
          <w:b/>
          <w:i/>
        </w:rPr>
      </w:pPr>
      <w:r w:rsidRPr="005C6726">
        <w:rPr>
          <w:b/>
          <w:i/>
        </w:rPr>
        <w:t>Purpose Areas Addressed</w:t>
      </w:r>
    </w:p>
    <w:p w:rsidR="005C6726" w:rsidRDefault="005C6726" w:rsidP="005C6726">
      <w:pPr>
        <w:pStyle w:val="NoSpacing"/>
        <w:numPr>
          <w:ilvl w:val="0"/>
          <w:numId w:val="6"/>
        </w:numPr>
      </w:pPr>
      <w:r>
        <w:t>Law enforcement programs</w:t>
      </w:r>
    </w:p>
    <w:p w:rsidR="005C6726" w:rsidRDefault="005C6726" w:rsidP="005C6726">
      <w:pPr>
        <w:pStyle w:val="NoSpacing"/>
        <w:numPr>
          <w:ilvl w:val="0"/>
          <w:numId w:val="6"/>
        </w:numPr>
      </w:pPr>
      <w:r>
        <w:t>Prevention, intervention and education programs</w:t>
      </w:r>
    </w:p>
    <w:p w:rsidR="005C6726" w:rsidRPr="00B12037" w:rsidRDefault="005C6726" w:rsidP="005C6726">
      <w:pPr>
        <w:pStyle w:val="NoSpacing"/>
        <w:numPr>
          <w:ilvl w:val="0"/>
          <w:numId w:val="6"/>
        </w:numPr>
      </w:pPr>
      <w:r>
        <w:t>Prosecution and court programs</w:t>
      </w:r>
    </w:p>
    <w:p w:rsidR="00B12037" w:rsidRPr="00B12037" w:rsidRDefault="00B12037" w:rsidP="00B12037">
      <w:pPr>
        <w:pStyle w:val="NoSpacing"/>
      </w:pPr>
    </w:p>
    <w:p w:rsidR="00B12037" w:rsidRPr="00462A52" w:rsidRDefault="00462A52" w:rsidP="00B12037">
      <w:pPr>
        <w:pStyle w:val="NoSpacing"/>
        <w:rPr>
          <w:b/>
          <w:i/>
        </w:rPr>
      </w:pPr>
      <w:r w:rsidRPr="00462A52">
        <w:rPr>
          <w:b/>
          <w:i/>
        </w:rPr>
        <w:t>Anticipated Activities</w:t>
      </w:r>
    </w:p>
    <w:p w:rsidR="00462A52" w:rsidRDefault="00462A52" w:rsidP="00462A52">
      <w:pPr>
        <w:pStyle w:val="NoSpacing"/>
        <w:numPr>
          <w:ilvl w:val="0"/>
          <w:numId w:val="7"/>
        </w:numPr>
      </w:pPr>
      <w:r>
        <w:t>Revitalize neighborhoods by developing collaborative model projects at the state level that promote efforts of local law enforcement and human service agencies.</w:t>
      </w:r>
    </w:p>
    <w:p w:rsidR="00462A52" w:rsidRDefault="00462A52" w:rsidP="00462A52">
      <w:pPr>
        <w:pStyle w:val="NoSpacing"/>
        <w:numPr>
          <w:ilvl w:val="0"/>
          <w:numId w:val="7"/>
        </w:numPr>
      </w:pPr>
      <w:r>
        <w:t>Continue community</w:t>
      </w:r>
      <w:r w:rsidR="001A317D">
        <w:t>-</w:t>
      </w:r>
      <w:r>
        <w:t xml:space="preserve">oriented policing initiatives statewide in conjunction with innovative, community-based law enforcement programs. </w:t>
      </w:r>
    </w:p>
    <w:p w:rsidR="00462A52" w:rsidRDefault="00462A52" w:rsidP="00462A52">
      <w:pPr>
        <w:pStyle w:val="NoSpacing"/>
        <w:numPr>
          <w:ilvl w:val="0"/>
          <w:numId w:val="7"/>
        </w:numPr>
      </w:pPr>
      <w:r>
        <w:t>Promote and support programs that provide wrap-around services to high risk youth, including faith-based and community-based efforts.</w:t>
      </w:r>
    </w:p>
    <w:p w:rsidR="00462A52" w:rsidRDefault="00462A52" w:rsidP="00462A52">
      <w:pPr>
        <w:pStyle w:val="NoSpacing"/>
        <w:numPr>
          <w:ilvl w:val="0"/>
          <w:numId w:val="7"/>
        </w:numPr>
      </w:pPr>
      <w:r>
        <w:t>Promote and support education and training, including curriculum development addressing youth violence prevention.</w:t>
      </w:r>
    </w:p>
    <w:p w:rsidR="00462A52" w:rsidRPr="00B12037" w:rsidRDefault="00462A52" w:rsidP="00462A52">
      <w:pPr>
        <w:pStyle w:val="NoSpacing"/>
        <w:numPr>
          <w:ilvl w:val="0"/>
          <w:numId w:val="7"/>
        </w:numPr>
      </w:pPr>
      <w:r>
        <w:t xml:space="preserve">Continue to support traditional law enforcement activities (apprehension, detention, deterrence, suppression). </w:t>
      </w:r>
    </w:p>
    <w:p w:rsidR="00B12037" w:rsidRPr="00B12037" w:rsidRDefault="00B12037" w:rsidP="00B12037">
      <w:pPr>
        <w:pStyle w:val="NoSpacing"/>
      </w:pPr>
    </w:p>
    <w:p w:rsidR="00B12037" w:rsidRPr="00462A52" w:rsidRDefault="00462A52" w:rsidP="00B12037">
      <w:pPr>
        <w:pStyle w:val="NoSpacing"/>
        <w:rPr>
          <w:b/>
          <w:i/>
        </w:rPr>
      </w:pPr>
      <w:r w:rsidRPr="00462A52">
        <w:rPr>
          <w:b/>
          <w:i/>
        </w:rPr>
        <w:t>Rationale</w:t>
      </w:r>
    </w:p>
    <w:p w:rsidR="00462A52" w:rsidRDefault="00462A52" w:rsidP="005F08C3">
      <w:pPr>
        <w:autoSpaceDE w:val="0"/>
        <w:autoSpaceDN w:val="0"/>
        <w:adjustRightInd w:val="0"/>
      </w:pPr>
      <w:r>
        <w:t xml:space="preserve">Gun-related crimes, gang affiliation and youth violence in Massachusetts have received increased attention in recent years.  Initiatives that target high-risk communities and youth are yielding some positive results.  </w:t>
      </w:r>
      <w:r w:rsidRPr="00850EA2">
        <w:t xml:space="preserve">This is </w:t>
      </w:r>
      <w:r w:rsidR="00103DBD" w:rsidRPr="00850EA2">
        <w:t>evident</w:t>
      </w:r>
      <w:r w:rsidRPr="00850EA2">
        <w:t xml:space="preserve"> by the substantial decline in the amount of youth violence in the past fifteen years.  </w:t>
      </w:r>
      <w:r w:rsidR="00850EA2" w:rsidRPr="00850EA2">
        <w:t>H</w:t>
      </w:r>
      <w:r w:rsidRPr="00850EA2">
        <w:t xml:space="preserve">igh school students self-reporting gang membership </w:t>
      </w:r>
      <w:r w:rsidR="00850EA2" w:rsidRPr="00850EA2">
        <w:t>was</w:t>
      </w:r>
      <w:r w:rsidRPr="00850EA2">
        <w:t xml:space="preserve"> </w:t>
      </w:r>
      <w:r w:rsidR="00850EA2" w:rsidRPr="00850EA2">
        <w:t>declining until there was a slight uptick in 2013 and 2015</w:t>
      </w:r>
      <w:r w:rsidRPr="00850EA2">
        <w:t>.</w:t>
      </w:r>
      <w:r w:rsidR="007D4C87">
        <w:t xml:space="preserve">  Unfortunately, </w:t>
      </w:r>
      <w:r w:rsidR="005F08C3">
        <w:t>gang membership</w:t>
      </w:r>
      <w:r w:rsidR="007D4C87">
        <w:t xml:space="preserve"> was not on the 2017 survey.</w:t>
      </w:r>
      <w:r w:rsidRPr="00850EA2">
        <w:t xml:space="preserve">  </w:t>
      </w:r>
      <w:r w:rsidR="005F08C3" w:rsidRPr="005F08C3">
        <w:t>M</w:t>
      </w:r>
      <w:r w:rsidR="005F08C3">
        <w:t xml:space="preserve">assachusetts </w:t>
      </w:r>
      <w:r w:rsidR="005F08C3" w:rsidRPr="005F08C3">
        <w:t>G</w:t>
      </w:r>
      <w:r w:rsidR="005F08C3">
        <w:t xml:space="preserve">eneral </w:t>
      </w:r>
      <w:r w:rsidR="005F08C3" w:rsidRPr="005F08C3">
        <w:t>L</w:t>
      </w:r>
      <w:r w:rsidR="005F08C3">
        <w:t>aw</w:t>
      </w:r>
      <w:r w:rsidR="005F08C3" w:rsidRPr="005F08C3">
        <w:t xml:space="preserve"> c.265 s.44 references a gang as an "organization of three or more persons which has a common</w:t>
      </w:r>
      <w:r w:rsidR="005F08C3">
        <w:t xml:space="preserve"> </w:t>
      </w:r>
      <w:r w:rsidR="005F08C3" w:rsidRPr="005F08C3">
        <w:t>name, identifying sign or symbol and whose members individually or collectively engage in criminal</w:t>
      </w:r>
      <w:r w:rsidR="005F08C3">
        <w:t xml:space="preserve"> </w:t>
      </w:r>
      <w:r w:rsidR="005F08C3" w:rsidRPr="005F08C3">
        <w:t>activity."</w:t>
      </w:r>
      <w:r w:rsidR="005F08C3">
        <w:rPr>
          <w:rStyle w:val="FootnoteReference"/>
        </w:rPr>
        <w:footnoteReference w:id="1"/>
      </w:r>
      <w:r w:rsidR="005F08C3">
        <w:t xml:space="preserve">  </w:t>
      </w:r>
      <w:r w:rsidRPr="00850EA2">
        <w:t>To</w:t>
      </w:r>
      <w:r>
        <w:t xml:space="preserve"> ensure the</w:t>
      </w:r>
      <w:r w:rsidR="001A317D">
        <w:t xml:space="preserve"> positive</w:t>
      </w:r>
      <w:r>
        <w:t xml:space="preserve"> trends are sustained, it is necessary to continue to fund and support the policy and program initiatives that have contributed to these outcomes.  </w:t>
      </w:r>
    </w:p>
    <w:p w:rsidR="00462A52" w:rsidRDefault="00462A52" w:rsidP="00B12037">
      <w:pPr>
        <w:pStyle w:val="NoSpacing"/>
      </w:pPr>
    </w:p>
    <w:p w:rsidR="00462A52" w:rsidRPr="00C55799" w:rsidRDefault="00462A52" w:rsidP="00B12037">
      <w:pPr>
        <w:pStyle w:val="NoSpacing"/>
        <w:rPr>
          <w:b/>
          <w:i/>
        </w:rPr>
      </w:pPr>
      <w:r w:rsidRPr="00C55799">
        <w:rPr>
          <w:b/>
          <w:i/>
        </w:rPr>
        <w:t>Statement of the Problem</w:t>
      </w:r>
    </w:p>
    <w:p w:rsidR="00B12037" w:rsidRDefault="00462A52" w:rsidP="005F08C3">
      <w:pPr>
        <w:pStyle w:val="NoSpacing"/>
        <w:rPr>
          <w:highlight w:val="yellow"/>
        </w:rPr>
      </w:pPr>
      <w:r>
        <w:t xml:space="preserve">Crime is an act that is harmful not only to individuals, but also to communities and society as a whole.  Crime, committed by youth and adults, exists at all levels of society with wide-ranging degrees of seriousness.  It may range from drug-related offenses, property crime, aggravated assault or homicide.  Resources are needed for intervention and enforcement and effective programming is needed to prevent and reduce crime.  The trends that have emerged with each of the topics regarding </w:t>
      </w:r>
      <w:r w:rsidR="005D1465">
        <w:t>firearms</w:t>
      </w:r>
      <w:r w:rsidR="00C55799">
        <w:t>, gangs</w:t>
      </w:r>
      <w:r>
        <w:t xml:space="preserve"> and youth violence are examined in the </w:t>
      </w:r>
      <w:r w:rsidRPr="00C55799">
        <w:t>charts that fo</w:t>
      </w:r>
      <w:r w:rsidR="005F08C3">
        <w:t>llow.</w:t>
      </w:r>
      <w:r w:rsidR="00B12037">
        <w:rPr>
          <w:highlight w:val="yellow"/>
        </w:rPr>
        <w:br w:type="page"/>
      </w:r>
    </w:p>
    <w:p w:rsidR="00352BE5" w:rsidRPr="009F25CB" w:rsidRDefault="00352BE5" w:rsidP="00352BE5">
      <w:pPr>
        <w:pStyle w:val="NoSpacing"/>
        <w:rPr>
          <w:smallCaps/>
          <w:sz w:val="26"/>
          <w:szCs w:val="26"/>
          <w:u w:val="single"/>
        </w:rPr>
      </w:pPr>
      <w:r w:rsidRPr="009F25CB">
        <w:rPr>
          <w:smallCaps/>
          <w:sz w:val="26"/>
          <w:szCs w:val="26"/>
          <w:u w:val="single"/>
        </w:rPr>
        <w:lastRenderedPageBreak/>
        <w:t>Crimes Involving Firearms</w:t>
      </w:r>
    </w:p>
    <w:p w:rsidR="00352BE5" w:rsidRPr="00352BE5" w:rsidRDefault="00352BE5" w:rsidP="00352BE5">
      <w:pPr>
        <w:pStyle w:val="NoSpacing"/>
      </w:pPr>
    </w:p>
    <w:p w:rsidR="00352BE5" w:rsidRPr="00352BE5" w:rsidRDefault="00A942A7" w:rsidP="00352BE5">
      <w:pPr>
        <w:pStyle w:val="NoSpacing"/>
      </w:pPr>
      <w:r>
        <w:t xml:space="preserve">The Federal Bureau of Investigation’s (FBI) annual </w:t>
      </w:r>
      <w:r w:rsidRPr="00A942A7">
        <w:rPr>
          <w:i/>
        </w:rPr>
        <w:t>Uniform Crime Reports</w:t>
      </w:r>
      <w:r>
        <w:t xml:space="preserve"> (UCR) publication presents crime statistics from police departments nationwide, including the number of offenses committed involving firearms.  In 201</w:t>
      </w:r>
      <w:r w:rsidR="003235F1">
        <w:t>6</w:t>
      </w:r>
      <w:r>
        <w:t xml:space="preserve">, there </w:t>
      </w:r>
      <w:r w:rsidR="00D2650A">
        <w:t>were</w:t>
      </w:r>
      <w:r>
        <w:t xml:space="preserve"> a combined total of 3,3</w:t>
      </w:r>
      <w:r w:rsidR="003235F1">
        <w:t>82</w:t>
      </w:r>
      <w:r>
        <w:t xml:space="preserve"> homicides, robberies, and aggravated assaults in Massachusetts that involved the use of fi</w:t>
      </w:r>
      <w:r w:rsidR="003235F1">
        <w:t>rearms.  This figure represents</w:t>
      </w:r>
      <w:r w:rsidR="00D2650A">
        <w:t xml:space="preserve"> </w:t>
      </w:r>
      <w:r w:rsidR="003235F1">
        <w:t>a slight uptick (2%)</w:t>
      </w:r>
      <w:r w:rsidR="00D2650A">
        <w:t xml:space="preserve"> from the prior year and a 1</w:t>
      </w:r>
      <w:r w:rsidR="003235F1">
        <w:t>3</w:t>
      </w:r>
      <w:r w:rsidR="00D2650A">
        <w:t xml:space="preserve">% decrease from the peak of 3,873 offenses in 2013 (Figure 1). </w:t>
      </w:r>
    </w:p>
    <w:p w:rsidR="00352BE5" w:rsidRDefault="00352BE5" w:rsidP="00352BE5">
      <w:pPr>
        <w:pStyle w:val="NoSpacing"/>
      </w:pPr>
    </w:p>
    <w:p w:rsidR="00352BE5" w:rsidRPr="00352BE5" w:rsidRDefault="00944B99" w:rsidP="00094B2B">
      <w:pPr>
        <w:pStyle w:val="NoSpacing"/>
        <w:jc w:val="center"/>
      </w:pPr>
      <w:r>
        <w:rPr>
          <w:noProof/>
          <w:lang w:eastAsia="en-US"/>
        </w:rPr>
        <w:drawing>
          <wp:inline distT="0" distB="0" distL="0" distR="0" wp14:anchorId="1564A44A" wp14:editId="3F8844AB">
            <wp:extent cx="5410200" cy="2842895"/>
            <wp:effectExtent l="0" t="0" r="0" b="1460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5024D" w:rsidRDefault="00D2650A" w:rsidP="00944B99">
      <w:pPr>
        <w:ind w:left="450"/>
        <w:rPr>
          <w:bCs/>
          <w:iCs/>
          <w:color w:val="000000"/>
          <w:sz w:val="20"/>
        </w:rPr>
      </w:pPr>
      <w:r w:rsidRPr="00D2650A">
        <w:rPr>
          <w:bCs/>
          <w:i/>
          <w:iCs/>
          <w:color w:val="000000"/>
          <w:sz w:val="20"/>
        </w:rPr>
        <w:t>Figure 1.</w:t>
      </w:r>
      <w:r>
        <w:rPr>
          <w:bCs/>
          <w:iCs/>
          <w:color w:val="000000"/>
          <w:sz w:val="20"/>
        </w:rPr>
        <w:t xml:space="preserve"> </w:t>
      </w:r>
      <w:r w:rsidR="00094B2B" w:rsidRPr="00CB3A48">
        <w:rPr>
          <w:bCs/>
          <w:iCs/>
          <w:color w:val="000000"/>
          <w:sz w:val="20"/>
        </w:rPr>
        <w:t xml:space="preserve">Source: FBI </w:t>
      </w:r>
      <w:r w:rsidR="00D95159">
        <w:rPr>
          <w:bCs/>
          <w:i/>
          <w:iCs/>
          <w:color w:val="000000"/>
          <w:sz w:val="20"/>
        </w:rPr>
        <w:t>UCR</w:t>
      </w:r>
      <w:r w:rsidR="00094B2B">
        <w:rPr>
          <w:bCs/>
          <w:iCs/>
          <w:color w:val="000000"/>
          <w:sz w:val="20"/>
        </w:rPr>
        <w:t xml:space="preserve">, </w:t>
      </w:r>
      <w:r w:rsidR="00094B2B" w:rsidRPr="00CB3A48">
        <w:rPr>
          <w:bCs/>
          <w:iCs/>
          <w:color w:val="000000"/>
          <w:sz w:val="20"/>
        </w:rPr>
        <w:t>Table #</w:t>
      </w:r>
      <w:r w:rsidR="005B11CE">
        <w:rPr>
          <w:bCs/>
          <w:iCs/>
          <w:color w:val="000000"/>
          <w:sz w:val="20"/>
        </w:rPr>
        <w:t>1</w:t>
      </w:r>
      <w:r w:rsidR="00094B2B" w:rsidRPr="00CB3A48">
        <w:rPr>
          <w:bCs/>
          <w:iCs/>
          <w:color w:val="000000"/>
          <w:sz w:val="20"/>
        </w:rPr>
        <w:t>2 (Murder, by State, Types of Weapons), Table #1</w:t>
      </w:r>
      <w:r w:rsidR="005B11CE">
        <w:rPr>
          <w:bCs/>
          <w:iCs/>
          <w:color w:val="000000"/>
          <w:sz w:val="20"/>
        </w:rPr>
        <w:t>3</w:t>
      </w:r>
      <w:r w:rsidR="00094B2B" w:rsidRPr="00CB3A48">
        <w:rPr>
          <w:bCs/>
          <w:iCs/>
          <w:color w:val="000000"/>
          <w:sz w:val="20"/>
        </w:rPr>
        <w:t xml:space="preserve"> </w:t>
      </w:r>
    </w:p>
    <w:p w:rsidR="00094B2B" w:rsidRPr="00CB3A48" w:rsidRDefault="00094B2B" w:rsidP="00C5024D">
      <w:pPr>
        <w:ind w:left="540" w:hanging="90"/>
        <w:rPr>
          <w:bCs/>
          <w:iCs/>
          <w:color w:val="000000"/>
          <w:sz w:val="20"/>
        </w:rPr>
      </w:pPr>
      <w:r w:rsidRPr="00CB3A48">
        <w:rPr>
          <w:bCs/>
          <w:iCs/>
          <w:color w:val="000000"/>
          <w:sz w:val="20"/>
        </w:rPr>
        <w:t>(Robbery, by State, Types of Weapons), and Table #</w:t>
      </w:r>
      <w:r w:rsidR="005B11CE">
        <w:rPr>
          <w:bCs/>
          <w:iCs/>
          <w:color w:val="000000"/>
          <w:sz w:val="20"/>
        </w:rPr>
        <w:t>14</w:t>
      </w:r>
      <w:r w:rsidRPr="00CB3A48">
        <w:rPr>
          <w:bCs/>
          <w:iCs/>
          <w:color w:val="000000"/>
          <w:sz w:val="20"/>
        </w:rPr>
        <w:t xml:space="preserve"> (Aggravated Assault, by State, Types </w:t>
      </w:r>
      <w:r>
        <w:rPr>
          <w:bCs/>
          <w:iCs/>
          <w:color w:val="000000"/>
          <w:sz w:val="20"/>
        </w:rPr>
        <w:t>of Weapons).</w:t>
      </w:r>
    </w:p>
    <w:p w:rsidR="00352BE5" w:rsidRPr="00352BE5" w:rsidRDefault="00352BE5" w:rsidP="00352BE5">
      <w:pPr>
        <w:pStyle w:val="NoSpacing"/>
      </w:pPr>
    </w:p>
    <w:p w:rsidR="00352BE5" w:rsidRPr="000D69C1" w:rsidRDefault="00FB07FA" w:rsidP="00352BE5">
      <w:pPr>
        <w:pStyle w:val="NoSpacing"/>
        <w:rPr>
          <w:smallCaps/>
          <w:sz w:val="26"/>
          <w:szCs w:val="26"/>
          <w:u w:val="single"/>
        </w:rPr>
      </w:pPr>
      <w:r w:rsidRPr="000D69C1">
        <w:rPr>
          <w:smallCaps/>
          <w:sz w:val="26"/>
          <w:szCs w:val="26"/>
          <w:u w:val="single"/>
        </w:rPr>
        <w:t>Youth Violence</w:t>
      </w:r>
      <w:r w:rsidR="00AB2919">
        <w:rPr>
          <w:smallCaps/>
          <w:sz w:val="26"/>
          <w:szCs w:val="26"/>
          <w:u w:val="single"/>
        </w:rPr>
        <w:t xml:space="preserve"> and Gang Violence</w:t>
      </w:r>
    </w:p>
    <w:p w:rsidR="00352BE5" w:rsidRDefault="00352BE5" w:rsidP="00352BE5">
      <w:pPr>
        <w:pStyle w:val="NoSpacing"/>
      </w:pPr>
    </w:p>
    <w:p w:rsidR="00676D8A" w:rsidRPr="00E40BBD" w:rsidRDefault="00676D8A" w:rsidP="00676D8A">
      <w:pPr>
        <w:rPr>
          <w:i/>
        </w:rPr>
      </w:pPr>
      <w:r w:rsidRPr="00E40BBD">
        <w:rPr>
          <w:i/>
        </w:rPr>
        <w:t>Juvenile Part I Arrest Rates</w:t>
      </w:r>
    </w:p>
    <w:p w:rsidR="00676D8A" w:rsidRPr="004362AB" w:rsidRDefault="00676D8A" w:rsidP="00676D8A"/>
    <w:p w:rsidR="00676D8A" w:rsidRPr="004362AB" w:rsidRDefault="00676D8A" w:rsidP="00676D8A">
      <w:pPr>
        <w:ind w:right="-90"/>
      </w:pPr>
      <w:r w:rsidRPr="004362AB">
        <w:t xml:space="preserve">The eight offenses that </w:t>
      </w:r>
      <w:r>
        <w:t>comprise</w:t>
      </w:r>
      <w:r w:rsidRPr="004362AB">
        <w:t xml:space="preserve"> Part I Crimes or Index Crimes –homicide, rape, robbery, aggravated assault, burglary, larceny, motor vehicle theft, and arson – are the most serious offenses against perso</w:t>
      </w:r>
      <w:r w:rsidR="00BA78CC">
        <w:t>ns and property tracked by the FBI</w:t>
      </w:r>
      <w:r w:rsidRPr="004362AB">
        <w:t>.  For the past ten years, Massachusetts almost consistently ha</w:t>
      </w:r>
      <w:r>
        <w:t>ve</w:t>
      </w:r>
      <w:r w:rsidRPr="004362AB">
        <w:t xml:space="preserve"> Part I juvenile arrest rates</w:t>
      </w:r>
      <w:r w:rsidRPr="004362AB">
        <w:rPr>
          <w:vertAlign w:val="superscript"/>
        </w:rPr>
        <w:footnoteReference w:id="2"/>
      </w:r>
      <w:r w:rsidRPr="004362AB">
        <w:t xml:space="preserve"> that </w:t>
      </w:r>
      <w:r>
        <w:t>are</w:t>
      </w:r>
      <w:r w:rsidRPr="004362AB">
        <w:t xml:space="preserve"> half that of the national rate</w:t>
      </w:r>
      <w:r w:rsidR="003235F1">
        <w:t>,</w:t>
      </w:r>
      <w:r w:rsidRPr="004362AB">
        <w:rPr>
          <w:vertAlign w:val="superscript"/>
        </w:rPr>
        <w:footnoteReference w:id="3"/>
      </w:r>
      <w:r w:rsidRPr="004362AB">
        <w:t xml:space="preserve"> while more recently, rates across the nation and within the Commonwealth </w:t>
      </w:r>
      <w:r>
        <w:t>are</w:t>
      </w:r>
      <w:r w:rsidRPr="004362AB">
        <w:t xml:space="preserve"> steadily declining since 200</w:t>
      </w:r>
      <w:r w:rsidR="000D69C1">
        <w:t>9</w:t>
      </w:r>
      <w:r w:rsidRPr="004362AB">
        <w:t xml:space="preserve">.  In the past </w:t>
      </w:r>
      <w:r>
        <w:t>eight</w:t>
      </w:r>
      <w:r w:rsidRPr="004362AB">
        <w:t xml:space="preserve"> years, the national rate of juvenile arrests for Part I crimes fell </w:t>
      </w:r>
      <w:r>
        <w:t>5</w:t>
      </w:r>
      <w:r w:rsidR="003235F1">
        <w:t>7</w:t>
      </w:r>
      <w:r w:rsidRPr="004362AB">
        <w:t xml:space="preserve">%, while the rate within Massachusetts during the same timeframe dropped </w:t>
      </w:r>
      <w:r w:rsidR="003235F1">
        <w:t>58</w:t>
      </w:r>
      <w:r w:rsidRPr="004362AB">
        <w:t xml:space="preserve">% </w:t>
      </w:r>
      <w:r w:rsidRPr="00E40BBD">
        <w:t xml:space="preserve">(Figure </w:t>
      </w:r>
      <w:r w:rsidR="00E40BBD" w:rsidRPr="00E40BBD">
        <w:t>2</w:t>
      </w:r>
      <w:r w:rsidR="00166540">
        <w:t>, page 8</w:t>
      </w:r>
      <w:r w:rsidRPr="00E40BBD">
        <w:t>).</w:t>
      </w:r>
    </w:p>
    <w:p w:rsidR="00676D8A" w:rsidRPr="004362AB" w:rsidRDefault="00676D8A" w:rsidP="00676D8A"/>
    <w:p w:rsidR="00676D8A" w:rsidRPr="004362AB" w:rsidRDefault="00ED0B93" w:rsidP="00676D8A">
      <w:pPr>
        <w:jc w:val="center"/>
      </w:pPr>
      <w:r>
        <w:rPr>
          <w:noProof/>
          <w:lang w:eastAsia="en-US"/>
        </w:rPr>
        <w:lastRenderedPageBreak/>
        <w:drawing>
          <wp:inline distT="0" distB="0" distL="0" distR="0" wp14:anchorId="409BAD5A" wp14:editId="171CFB72">
            <wp:extent cx="4791075" cy="2314575"/>
            <wp:effectExtent l="0" t="0" r="9525"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D0B93" w:rsidRDefault="00676D8A" w:rsidP="00ED0B93">
      <w:pPr>
        <w:ind w:left="900"/>
        <w:rPr>
          <w:sz w:val="18"/>
          <w:szCs w:val="18"/>
        </w:rPr>
      </w:pPr>
      <w:r w:rsidRPr="0074226F">
        <w:rPr>
          <w:i/>
          <w:sz w:val="18"/>
          <w:szCs w:val="18"/>
        </w:rPr>
        <w:t xml:space="preserve">Figure </w:t>
      </w:r>
      <w:r w:rsidR="00E40BBD">
        <w:rPr>
          <w:i/>
          <w:sz w:val="18"/>
          <w:szCs w:val="18"/>
        </w:rPr>
        <w:t>2</w:t>
      </w:r>
      <w:r w:rsidRPr="0074226F">
        <w:rPr>
          <w:i/>
          <w:sz w:val="18"/>
          <w:szCs w:val="18"/>
        </w:rPr>
        <w:t>.</w:t>
      </w:r>
      <w:r>
        <w:rPr>
          <w:sz w:val="18"/>
          <w:szCs w:val="18"/>
        </w:rPr>
        <w:t xml:space="preserve"> </w:t>
      </w:r>
      <w:r w:rsidR="00ED0B93" w:rsidRPr="003649C1">
        <w:rPr>
          <w:sz w:val="18"/>
          <w:szCs w:val="18"/>
        </w:rPr>
        <w:t>Source:</w:t>
      </w:r>
      <w:r w:rsidR="00D95159">
        <w:rPr>
          <w:sz w:val="18"/>
          <w:szCs w:val="18"/>
        </w:rPr>
        <w:t xml:space="preserve"> FBI</w:t>
      </w:r>
      <w:r w:rsidR="00ED0B93" w:rsidRPr="003649C1">
        <w:rPr>
          <w:sz w:val="18"/>
          <w:szCs w:val="18"/>
        </w:rPr>
        <w:t xml:space="preserve">, </w:t>
      </w:r>
      <w:r w:rsidR="00ED0B93" w:rsidRPr="003649C1">
        <w:rPr>
          <w:i/>
          <w:sz w:val="18"/>
          <w:szCs w:val="18"/>
        </w:rPr>
        <w:t>U</w:t>
      </w:r>
      <w:r w:rsidR="00D95159">
        <w:rPr>
          <w:i/>
          <w:sz w:val="18"/>
          <w:szCs w:val="18"/>
        </w:rPr>
        <w:t>CR</w:t>
      </w:r>
      <w:r w:rsidR="00ED0B93" w:rsidRPr="003649C1">
        <w:rPr>
          <w:sz w:val="18"/>
          <w:szCs w:val="18"/>
        </w:rPr>
        <w:t xml:space="preserve">, </w:t>
      </w:r>
      <w:r w:rsidR="00633097">
        <w:rPr>
          <w:sz w:val="18"/>
          <w:szCs w:val="18"/>
        </w:rPr>
        <w:t xml:space="preserve">2007-2015, </w:t>
      </w:r>
      <w:r w:rsidR="00ED0B93" w:rsidRPr="003649C1">
        <w:rPr>
          <w:sz w:val="18"/>
          <w:szCs w:val="18"/>
        </w:rPr>
        <w:t>Table 41</w:t>
      </w:r>
      <w:r w:rsidR="00ED0B93">
        <w:rPr>
          <w:sz w:val="18"/>
          <w:szCs w:val="18"/>
        </w:rPr>
        <w:t xml:space="preserve"> and </w:t>
      </w:r>
      <w:r w:rsidR="00633097">
        <w:rPr>
          <w:sz w:val="18"/>
          <w:szCs w:val="18"/>
        </w:rPr>
        <w:t xml:space="preserve">2016, </w:t>
      </w:r>
      <w:r w:rsidR="00ED0B93">
        <w:rPr>
          <w:sz w:val="18"/>
          <w:szCs w:val="18"/>
        </w:rPr>
        <w:t>Table 20</w:t>
      </w:r>
      <w:r w:rsidR="00ED0B93" w:rsidRPr="003649C1">
        <w:rPr>
          <w:sz w:val="18"/>
          <w:szCs w:val="18"/>
        </w:rPr>
        <w:t xml:space="preserve"> </w:t>
      </w:r>
    </w:p>
    <w:p w:rsidR="00ED0B93" w:rsidRPr="003649C1" w:rsidRDefault="00ED0B93" w:rsidP="00ED0B93">
      <w:pPr>
        <w:ind w:left="900"/>
        <w:rPr>
          <w:sz w:val="18"/>
          <w:szCs w:val="18"/>
        </w:rPr>
      </w:pPr>
      <w:r w:rsidRPr="003649C1">
        <w:rPr>
          <w:sz w:val="18"/>
          <w:szCs w:val="18"/>
        </w:rPr>
        <w:t xml:space="preserve">(National data) and </w:t>
      </w:r>
      <w:r w:rsidR="00633097">
        <w:rPr>
          <w:sz w:val="18"/>
          <w:szCs w:val="18"/>
        </w:rPr>
        <w:t xml:space="preserve">2007-2015, </w:t>
      </w:r>
      <w:r w:rsidRPr="003649C1">
        <w:rPr>
          <w:sz w:val="18"/>
          <w:szCs w:val="18"/>
        </w:rPr>
        <w:t xml:space="preserve">Table 69 </w:t>
      </w:r>
      <w:r>
        <w:rPr>
          <w:sz w:val="18"/>
          <w:szCs w:val="18"/>
        </w:rPr>
        <w:t>and</w:t>
      </w:r>
      <w:r w:rsidR="00633097">
        <w:rPr>
          <w:sz w:val="18"/>
          <w:szCs w:val="18"/>
        </w:rPr>
        <w:t xml:space="preserve"> 2016,</w:t>
      </w:r>
      <w:r>
        <w:rPr>
          <w:sz w:val="18"/>
          <w:szCs w:val="18"/>
        </w:rPr>
        <w:t xml:space="preserve"> Table 22 </w:t>
      </w:r>
      <w:r w:rsidRPr="003649C1">
        <w:rPr>
          <w:sz w:val="18"/>
          <w:szCs w:val="18"/>
        </w:rPr>
        <w:t xml:space="preserve">(MA data).  </w:t>
      </w:r>
    </w:p>
    <w:p w:rsidR="00633097" w:rsidRDefault="00633097" w:rsidP="00ED0B93">
      <w:pPr>
        <w:ind w:left="990"/>
      </w:pPr>
    </w:p>
    <w:p w:rsidR="00676D8A" w:rsidRDefault="00D94B08" w:rsidP="00352BE5">
      <w:pPr>
        <w:pStyle w:val="NoSpacing"/>
      </w:pPr>
      <w:r>
        <w:t xml:space="preserve">Figure 3 below further breaks down a comparison of juvenile violent crime </w:t>
      </w:r>
      <w:r w:rsidR="00EC33A9">
        <w:t xml:space="preserve">arrest </w:t>
      </w:r>
      <w:r>
        <w:t xml:space="preserve">rates nationally and in Massachusetts.  Excluding </w:t>
      </w:r>
      <w:r w:rsidR="00EC33A9">
        <w:t>a</w:t>
      </w:r>
      <w:r>
        <w:t xml:space="preserve">ggravated </w:t>
      </w:r>
      <w:r w:rsidR="00EC33A9">
        <w:t>a</w:t>
      </w:r>
      <w:r>
        <w:t xml:space="preserve">ssault, Massachusetts </w:t>
      </w:r>
      <w:r w:rsidR="00EC33A9">
        <w:t>arrest rates for homicide, rape and robbery have steadily been lower than the national rates.  However, the juvenile arrest rates for aggravated assault in Massachusetts consistently exceed the national rate during the ten-year trend analysis (200</w:t>
      </w:r>
      <w:r w:rsidR="000C1E2C">
        <w:t>7</w:t>
      </w:r>
      <w:r w:rsidR="00EC33A9">
        <w:t>-201</w:t>
      </w:r>
      <w:r w:rsidR="000C1E2C">
        <w:t>6</w:t>
      </w:r>
      <w:r w:rsidR="00EC33A9">
        <w:t>).</w:t>
      </w:r>
    </w:p>
    <w:p w:rsidR="00676D8A" w:rsidRDefault="00676D8A" w:rsidP="00352BE5">
      <w:pPr>
        <w:pStyle w:val="NoSpacing"/>
      </w:pPr>
    </w:p>
    <w:p w:rsidR="00FB07FA" w:rsidRDefault="00205B71" w:rsidP="00676D8A">
      <w:pPr>
        <w:pStyle w:val="NoSpacing"/>
        <w:jc w:val="center"/>
      </w:pPr>
      <w:r>
        <w:rPr>
          <w:noProof/>
          <w:lang w:eastAsia="en-US"/>
        </w:rPr>
        <w:drawing>
          <wp:inline distT="0" distB="0" distL="0" distR="0" wp14:anchorId="3F55F102" wp14:editId="394A36DA">
            <wp:extent cx="5943600" cy="3435985"/>
            <wp:effectExtent l="0" t="0" r="0" b="1206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B07FA" w:rsidRDefault="00320522" w:rsidP="00205B71">
      <w:r w:rsidRPr="0074226F">
        <w:rPr>
          <w:i/>
          <w:sz w:val="18"/>
          <w:szCs w:val="18"/>
        </w:rPr>
        <w:t xml:space="preserve">Figure </w:t>
      </w:r>
      <w:r w:rsidR="00D94B08">
        <w:rPr>
          <w:i/>
          <w:sz w:val="18"/>
          <w:szCs w:val="18"/>
        </w:rPr>
        <w:t>3</w:t>
      </w:r>
      <w:r w:rsidRPr="0074226F">
        <w:rPr>
          <w:i/>
          <w:sz w:val="18"/>
          <w:szCs w:val="18"/>
        </w:rPr>
        <w:t>.</w:t>
      </w:r>
      <w:r>
        <w:rPr>
          <w:sz w:val="18"/>
          <w:szCs w:val="18"/>
        </w:rPr>
        <w:t xml:space="preserve"> </w:t>
      </w:r>
      <w:r w:rsidRPr="003649C1">
        <w:rPr>
          <w:sz w:val="18"/>
          <w:szCs w:val="18"/>
        </w:rPr>
        <w:t>Source:</w:t>
      </w:r>
      <w:r w:rsidR="00D95159">
        <w:rPr>
          <w:sz w:val="18"/>
          <w:szCs w:val="18"/>
        </w:rPr>
        <w:t xml:space="preserve"> FBI</w:t>
      </w:r>
      <w:r w:rsidRPr="003649C1">
        <w:rPr>
          <w:sz w:val="18"/>
          <w:szCs w:val="18"/>
        </w:rPr>
        <w:t xml:space="preserve">, </w:t>
      </w:r>
      <w:r w:rsidRPr="003649C1">
        <w:rPr>
          <w:i/>
          <w:sz w:val="18"/>
          <w:szCs w:val="18"/>
        </w:rPr>
        <w:t>U</w:t>
      </w:r>
      <w:r w:rsidR="00D95159">
        <w:rPr>
          <w:i/>
          <w:sz w:val="18"/>
          <w:szCs w:val="18"/>
        </w:rPr>
        <w:t>CR</w:t>
      </w:r>
      <w:r w:rsidRPr="003649C1">
        <w:rPr>
          <w:sz w:val="18"/>
          <w:szCs w:val="18"/>
        </w:rPr>
        <w:t xml:space="preserve">, </w:t>
      </w:r>
      <w:r w:rsidR="00633097">
        <w:rPr>
          <w:sz w:val="18"/>
          <w:szCs w:val="18"/>
        </w:rPr>
        <w:t xml:space="preserve">2007-2015, </w:t>
      </w:r>
      <w:r w:rsidRPr="003649C1">
        <w:rPr>
          <w:sz w:val="18"/>
          <w:szCs w:val="18"/>
        </w:rPr>
        <w:t>Table 41</w:t>
      </w:r>
      <w:r w:rsidR="00633097">
        <w:rPr>
          <w:sz w:val="18"/>
          <w:szCs w:val="18"/>
        </w:rPr>
        <w:t xml:space="preserve"> and 2016, Table 20</w:t>
      </w:r>
      <w:r w:rsidRPr="003649C1">
        <w:rPr>
          <w:sz w:val="18"/>
          <w:szCs w:val="18"/>
        </w:rPr>
        <w:t xml:space="preserve"> (National data) and </w:t>
      </w:r>
      <w:r w:rsidR="00633097">
        <w:rPr>
          <w:sz w:val="18"/>
          <w:szCs w:val="18"/>
        </w:rPr>
        <w:t xml:space="preserve">2007-2015, </w:t>
      </w:r>
      <w:r w:rsidRPr="003649C1">
        <w:rPr>
          <w:sz w:val="18"/>
          <w:szCs w:val="18"/>
        </w:rPr>
        <w:t>Table 69</w:t>
      </w:r>
      <w:r w:rsidR="00633097">
        <w:rPr>
          <w:sz w:val="18"/>
          <w:szCs w:val="18"/>
        </w:rPr>
        <w:t xml:space="preserve"> and 2016, Table 22</w:t>
      </w:r>
      <w:r w:rsidRPr="003649C1">
        <w:rPr>
          <w:sz w:val="18"/>
          <w:szCs w:val="18"/>
        </w:rPr>
        <w:t xml:space="preserve"> (MA data)</w:t>
      </w:r>
      <w:r w:rsidR="00633097">
        <w:rPr>
          <w:sz w:val="18"/>
          <w:szCs w:val="18"/>
        </w:rPr>
        <w:t>.</w:t>
      </w:r>
    </w:p>
    <w:p w:rsidR="00FB07FA" w:rsidRPr="00352BE5" w:rsidRDefault="00FB07FA" w:rsidP="00352BE5">
      <w:pPr>
        <w:pStyle w:val="NoSpacing"/>
      </w:pPr>
    </w:p>
    <w:p w:rsidR="00D417B1" w:rsidRPr="004362AB" w:rsidRDefault="00D417B1" w:rsidP="00D417B1">
      <w:r w:rsidRPr="004362AB">
        <w:t xml:space="preserve">Ideally, school should be an environment that fosters teaching and learning, and not where one is exposed to crime and violence.  Crime and violence at school can </w:t>
      </w:r>
      <w:r>
        <w:t>influence</w:t>
      </w:r>
      <w:r w:rsidRPr="004362AB">
        <w:t xml:space="preserve"> negative behaviors such as alcohol and drug use and suicide.  It also can have </w:t>
      </w:r>
      <w:r>
        <w:t>psychological</w:t>
      </w:r>
      <w:r w:rsidRPr="004362AB">
        <w:t xml:space="preserve"> effects such as fear, </w:t>
      </w:r>
      <w:r w:rsidRPr="004362AB">
        <w:lastRenderedPageBreak/>
        <w:t xml:space="preserve">isolation and depression </w:t>
      </w:r>
      <w:r>
        <w:t>that can</w:t>
      </w:r>
      <w:r w:rsidRPr="004362AB">
        <w:t xml:space="preserve"> lea</w:t>
      </w:r>
      <w:r>
        <w:t>d to poor academic performance and</w:t>
      </w:r>
      <w:r w:rsidRPr="004362AB">
        <w:t xml:space="preserve"> contribute to truancy and dropping out of school.  </w:t>
      </w:r>
    </w:p>
    <w:p w:rsidR="00C95D02" w:rsidRDefault="00C95D02" w:rsidP="00F92887">
      <w:pPr>
        <w:rPr>
          <w:i/>
        </w:rPr>
      </w:pPr>
    </w:p>
    <w:p w:rsidR="00F92887" w:rsidRPr="00E40BBD" w:rsidRDefault="00CD11F7" w:rsidP="00F92887">
      <w:pPr>
        <w:rPr>
          <w:i/>
        </w:rPr>
      </w:pPr>
      <w:r>
        <w:rPr>
          <w:i/>
        </w:rPr>
        <w:t xml:space="preserve">Juvenile </w:t>
      </w:r>
      <w:r w:rsidR="00F92887">
        <w:rPr>
          <w:i/>
        </w:rPr>
        <w:t>Violence-related Experiences and Gang Involvement</w:t>
      </w:r>
    </w:p>
    <w:p w:rsidR="00F92887" w:rsidRDefault="00F92887" w:rsidP="00352BE5">
      <w:pPr>
        <w:pStyle w:val="NoSpacing"/>
      </w:pPr>
    </w:p>
    <w:p w:rsidR="00D417B1" w:rsidRPr="004362AB" w:rsidRDefault="00603C2E" w:rsidP="00166540">
      <w:pPr>
        <w:pStyle w:val="NoSpacing"/>
      </w:pPr>
      <w:r>
        <w:t xml:space="preserve">The </w:t>
      </w:r>
      <w:r w:rsidRPr="004362AB">
        <w:t>201</w:t>
      </w:r>
      <w:r w:rsidR="000C1E2C">
        <w:t>7</w:t>
      </w:r>
      <w:r>
        <w:t xml:space="preserve"> </w:t>
      </w:r>
      <w:r w:rsidRPr="00F10D93">
        <w:rPr>
          <w:i/>
        </w:rPr>
        <w:t>Health and Risk Behaviors of Massachusetts Youth</w:t>
      </w:r>
      <w:r w:rsidR="005E65E3">
        <w:rPr>
          <w:rStyle w:val="FootnoteReference"/>
          <w:i/>
        </w:rPr>
        <w:footnoteReference w:id="4"/>
      </w:r>
      <w:r w:rsidRPr="004362AB">
        <w:t xml:space="preserve"> capture violence and school safety concerns </w:t>
      </w:r>
      <w:r>
        <w:t xml:space="preserve">reported </w:t>
      </w:r>
      <w:r w:rsidRPr="004362AB">
        <w:t xml:space="preserve">by Massachusetts youth.  </w:t>
      </w:r>
      <w:r w:rsidR="00D417B1" w:rsidRPr="00166540">
        <w:t xml:space="preserve">Figure </w:t>
      </w:r>
      <w:r w:rsidR="00166540">
        <w:t>4</w:t>
      </w:r>
      <w:r w:rsidR="00D417B1">
        <w:t xml:space="preserve"> depicts</w:t>
      </w:r>
      <w:r w:rsidR="00D417B1" w:rsidRPr="004362AB">
        <w:t xml:space="preserve"> the </w:t>
      </w:r>
      <w:r w:rsidR="00D417B1">
        <w:t xml:space="preserve">violence-related experiences and behavior at </w:t>
      </w:r>
      <w:r w:rsidR="00166540">
        <w:t xml:space="preserve">Massachusetts </w:t>
      </w:r>
      <w:r w:rsidR="00D417B1">
        <w:t xml:space="preserve">high schools </w:t>
      </w:r>
      <w:r w:rsidR="006F0C3F">
        <w:t>from 200</w:t>
      </w:r>
      <w:r w:rsidR="00ED6A9F">
        <w:t>7</w:t>
      </w:r>
      <w:r w:rsidR="006F0C3F">
        <w:t xml:space="preserve"> through</w:t>
      </w:r>
      <w:r w:rsidR="00D417B1" w:rsidRPr="004777B1">
        <w:t xml:space="preserve"> 201</w:t>
      </w:r>
      <w:r w:rsidR="00ED6A9F">
        <w:t>7</w:t>
      </w:r>
      <w:r w:rsidR="00D417B1" w:rsidRPr="004777B1">
        <w:t>:</w:t>
      </w:r>
      <w:r w:rsidR="00D417B1" w:rsidRPr="004362AB">
        <w:t xml:space="preserve"> </w:t>
      </w:r>
    </w:p>
    <w:p w:rsidR="00D417B1" w:rsidRPr="004362AB" w:rsidRDefault="00D417B1" w:rsidP="00D417B1">
      <w:pPr>
        <w:numPr>
          <w:ilvl w:val="0"/>
          <w:numId w:val="8"/>
        </w:numPr>
      </w:pPr>
      <w:r>
        <w:t>1</w:t>
      </w:r>
      <w:r w:rsidR="00FD2CE7">
        <w:t>5</w:t>
      </w:r>
      <w:r>
        <w:t>% of high school students report</w:t>
      </w:r>
      <w:r w:rsidRPr="004362AB">
        <w:t xml:space="preserve"> being bullied at school in the past year</w:t>
      </w:r>
      <w:r>
        <w:t xml:space="preserve"> – a slight decline from </w:t>
      </w:r>
      <w:r w:rsidR="004C23CA">
        <w:t>2015</w:t>
      </w:r>
      <w:r w:rsidRPr="004362AB">
        <w:t>;</w:t>
      </w:r>
      <w:r>
        <w:rPr>
          <w:rStyle w:val="FootnoteReference"/>
        </w:rPr>
        <w:footnoteReference w:id="5"/>
      </w:r>
    </w:p>
    <w:p w:rsidR="00D417B1" w:rsidRPr="004362AB" w:rsidRDefault="00D417B1" w:rsidP="00D417B1">
      <w:pPr>
        <w:numPr>
          <w:ilvl w:val="0"/>
          <w:numId w:val="8"/>
        </w:numPr>
      </w:pPr>
      <w:r>
        <w:t>6</w:t>
      </w:r>
      <w:r w:rsidRPr="004362AB">
        <w:t xml:space="preserve">% of </w:t>
      </w:r>
      <w:r>
        <w:t xml:space="preserve">high school </w:t>
      </w:r>
      <w:r w:rsidRPr="004362AB">
        <w:t xml:space="preserve">students </w:t>
      </w:r>
      <w:r>
        <w:t>fought</w:t>
      </w:r>
      <w:r w:rsidRPr="004362AB">
        <w:t xml:space="preserve"> on school property in the past year</w:t>
      </w:r>
      <w:r>
        <w:t xml:space="preserve"> – </w:t>
      </w:r>
      <w:r w:rsidR="004C23CA">
        <w:t>remaining static from 2015;</w:t>
      </w:r>
    </w:p>
    <w:p w:rsidR="00D417B1" w:rsidRPr="004362AB" w:rsidRDefault="00D417B1" w:rsidP="00D417B1">
      <w:pPr>
        <w:numPr>
          <w:ilvl w:val="0"/>
          <w:numId w:val="8"/>
        </w:numPr>
      </w:pPr>
      <w:r>
        <w:t>5</w:t>
      </w:r>
      <w:r w:rsidRPr="004362AB">
        <w:t>% skipped school because they felt unsafe in the past month</w:t>
      </w:r>
      <w:r>
        <w:t xml:space="preserve"> – </w:t>
      </w:r>
      <w:r w:rsidR="004C23CA">
        <w:t>remaining static from 2015</w:t>
      </w:r>
      <w:r w:rsidRPr="004362AB">
        <w:t>;</w:t>
      </w:r>
    </w:p>
    <w:p w:rsidR="00D417B1" w:rsidRDefault="00D417B1" w:rsidP="00D417B1">
      <w:pPr>
        <w:numPr>
          <w:ilvl w:val="0"/>
          <w:numId w:val="8"/>
        </w:numPr>
      </w:pPr>
      <w:r>
        <w:t>3% of students report</w:t>
      </w:r>
      <w:r w:rsidRPr="004362AB">
        <w:t xml:space="preserve"> carrying a gun on school</w:t>
      </w:r>
      <w:r>
        <w:t xml:space="preserve"> property in the past month – remaining level </w:t>
      </w:r>
      <w:r w:rsidR="004C23CA">
        <w:t>2013 and 2015</w:t>
      </w:r>
      <w:r>
        <w:t>; and</w:t>
      </w:r>
    </w:p>
    <w:p w:rsidR="00D417B1" w:rsidRPr="004362AB" w:rsidRDefault="004C23CA" w:rsidP="00D417B1">
      <w:pPr>
        <w:numPr>
          <w:ilvl w:val="0"/>
          <w:numId w:val="8"/>
        </w:numPr>
      </w:pPr>
      <w:r>
        <w:t>5</w:t>
      </w:r>
      <w:r w:rsidR="00D417B1">
        <w:t>% report</w:t>
      </w:r>
      <w:r w:rsidR="00D417B1" w:rsidRPr="004362AB">
        <w:t xml:space="preserve"> being injured or threatened with a weapon at school in the past year</w:t>
      </w:r>
      <w:r w:rsidR="00D417B1">
        <w:t xml:space="preserve"> – </w:t>
      </w:r>
      <w:r>
        <w:t>a slight uptick from the 2015</w:t>
      </w:r>
      <w:r w:rsidR="00BA78CC">
        <w:t xml:space="preserve"> </w:t>
      </w:r>
      <w:r>
        <w:t>s</w:t>
      </w:r>
      <w:r w:rsidR="00D417B1">
        <w:t>urvey.</w:t>
      </w:r>
    </w:p>
    <w:p w:rsidR="00D417B1" w:rsidRDefault="00D417B1" w:rsidP="00352BE5">
      <w:pPr>
        <w:pStyle w:val="NoSpacing"/>
      </w:pPr>
    </w:p>
    <w:p w:rsidR="00D417B1" w:rsidRDefault="00E63BB2" w:rsidP="00A3296A">
      <w:pPr>
        <w:pStyle w:val="NoSpacing"/>
        <w:jc w:val="center"/>
      </w:pPr>
      <w:r>
        <w:rPr>
          <w:noProof/>
          <w:lang w:eastAsia="en-US"/>
        </w:rPr>
        <w:drawing>
          <wp:inline distT="0" distB="0" distL="0" distR="0" wp14:anchorId="41AC4537" wp14:editId="7D8A2230">
            <wp:extent cx="5943600" cy="2672715"/>
            <wp:effectExtent l="0" t="0" r="0" b="1333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417B1" w:rsidRPr="00B33A4C" w:rsidRDefault="00D934A1" w:rsidP="00B33A4C">
      <w:pPr>
        <w:rPr>
          <w:sz w:val="18"/>
          <w:szCs w:val="18"/>
        </w:rPr>
      </w:pPr>
      <w:r w:rsidRPr="00166540">
        <w:rPr>
          <w:i/>
          <w:sz w:val="18"/>
          <w:szCs w:val="18"/>
        </w:rPr>
        <w:t xml:space="preserve">Figure </w:t>
      </w:r>
      <w:r w:rsidR="00166540" w:rsidRPr="00166540">
        <w:rPr>
          <w:i/>
          <w:sz w:val="18"/>
          <w:szCs w:val="18"/>
        </w:rPr>
        <w:t>4</w:t>
      </w:r>
      <w:r w:rsidRPr="00166540">
        <w:rPr>
          <w:i/>
          <w:sz w:val="18"/>
          <w:szCs w:val="18"/>
        </w:rPr>
        <w:t>.</w:t>
      </w:r>
      <w:r w:rsidRPr="00A62B87">
        <w:rPr>
          <w:sz w:val="18"/>
          <w:szCs w:val="18"/>
        </w:rPr>
        <w:t xml:space="preserve"> </w:t>
      </w:r>
      <w:r w:rsidR="00B33A4C" w:rsidRPr="00B33A4C">
        <w:rPr>
          <w:sz w:val="18"/>
          <w:szCs w:val="18"/>
        </w:rPr>
        <w:t xml:space="preserve">Centers for Disease Control and Prevention, </w:t>
      </w:r>
      <w:r w:rsidR="00B33A4C" w:rsidRPr="00B33A4C">
        <w:rPr>
          <w:i/>
          <w:sz w:val="18"/>
          <w:szCs w:val="18"/>
        </w:rPr>
        <w:t>Massachusetts Youth Risk Behavior Surveillance System, 2017</w:t>
      </w:r>
    </w:p>
    <w:p w:rsidR="00B33A4C" w:rsidRDefault="00B33A4C" w:rsidP="00A3296A"/>
    <w:p w:rsidR="00A3296A" w:rsidRDefault="007F4180" w:rsidP="00A3296A">
      <w:r>
        <w:t xml:space="preserve">While the levels of gang membership and illegal gang activity are difficult to measure, a few sources shed light on the extent to which gangs are active in Massachusetts.  </w:t>
      </w:r>
      <w:r w:rsidR="00A3296A">
        <w:t>Generally, student reported physical violence indicators show a decline, leveling off, or a slight uptick between 200</w:t>
      </w:r>
      <w:r w:rsidR="00B01813">
        <w:t>7</w:t>
      </w:r>
      <w:r w:rsidR="00A3296A">
        <w:t xml:space="preserve"> and 201</w:t>
      </w:r>
      <w:r w:rsidR="00B01813">
        <w:t>7</w:t>
      </w:r>
      <w:r w:rsidR="00A3296A">
        <w:t xml:space="preserve">.  Physical fights declined since 2009, carrying weapons and gang membership increased since 2011, and carrying a gun remained steady.  Figure </w:t>
      </w:r>
      <w:r w:rsidR="00166540">
        <w:t>5</w:t>
      </w:r>
      <w:r w:rsidR="00D10F87">
        <w:t xml:space="preserve"> page 10</w:t>
      </w:r>
      <w:r w:rsidR="00166540">
        <w:t xml:space="preserve">, </w:t>
      </w:r>
      <w:r w:rsidR="00A3296A" w:rsidRPr="00166540">
        <w:t>s</w:t>
      </w:r>
      <w:r w:rsidR="00A3296A">
        <w:t>hows</w:t>
      </w:r>
      <w:r w:rsidR="00A3296A" w:rsidRPr="004362AB">
        <w:t xml:space="preserve"> the following</w:t>
      </w:r>
      <w:r w:rsidR="00A3296A">
        <w:t xml:space="preserve"> indicators for 201</w:t>
      </w:r>
      <w:r w:rsidR="00B01813">
        <w:t>7</w:t>
      </w:r>
      <w:r w:rsidR="00A3296A" w:rsidRPr="004362AB">
        <w:t xml:space="preserve">: </w:t>
      </w:r>
    </w:p>
    <w:p w:rsidR="00A3296A" w:rsidRPr="004362AB" w:rsidRDefault="00A3296A" w:rsidP="00A3296A">
      <w:pPr>
        <w:numPr>
          <w:ilvl w:val="0"/>
          <w:numId w:val="8"/>
        </w:numPr>
      </w:pPr>
      <w:r>
        <w:lastRenderedPageBreak/>
        <w:t>1</w:t>
      </w:r>
      <w:r w:rsidR="00B01813">
        <w:t>8</w:t>
      </w:r>
      <w:r w:rsidRPr="004362AB">
        <w:t>% of students report having been involved in a fight in the past year</w:t>
      </w:r>
      <w:r>
        <w:t xml:space="preserve"> – a slight decline from 201</w:t>
      </w:r>
      <w:r w:rsidR="00B01813">
        <w:t>5</w:t>
      </w:r>
      <w:r w:rsidRPr="004362AB">
        <w:t>;</w:t>
      </w:r>
    </w:p>
    <w:p w:rsidR="00A3296A" w:rsidRPr="004362AB" w:rsidRDefault="00A3296A" w:rsidP="00A3296A">
      <w:pPr>
        <w:numPr>
          <w:ilvl w:val="0"/>
          <w:numId w:val="8"/>
        </w:numPr>
      </w:pPr>
      <w:r w:rsidRPr="004362AB">
        <w:t>1</w:t>
      </w:r>
      <w:r w:rsidR="00B01813">
        <w:t>1</w:t>
      </w:r>
      <w:r w:rsidRPr="004362AB">
        <w:t xml:space="preserve">% carried a weapon in the past 30 days – </w:t>
      </w:r>
      <w:r>
        <w:t xml:space="preserve">a </w:t>
      </w:r>
      <w:r w:rsidR="00B01813">
        <w:t>decrease</w:t>
      </w:r>
      <w:r w:rsidRPr="004362AB">
        <w:t xml:space="preserve"> from 201</w:t>
      </w:r>
      <w:r w:rsidR="00B01813">
        <w:t>5</w:t>
      </w:r>
      <w:r w:rsidRPr="004362AB">
        <w:t>;</w:t>
      </w:r>
    </w:p>
    <w:p w:rsidR="00A3296A" w:rsidRPr="004362AB" w:rsidRDefault="00B01813" w:rsidP="00A3296A">
      <w:pPr>
        <w:numPr>
          <w:ilvl w:val="0"/>
          <w:numId w:val="8"/>
        </w:numPr>
      </w:pPr>
      <w:r>
        <w:t>G</w:t>
      </w:r>
      <w:r w:rsidR="00A3296A" w:rsidRPr="004362AB">
        <w:t>ang membership</w:t>
      </w:r>
      <w:r>
        <w:t xml:space="preserve"> was not captured in the 2017 survey</w:t>
      </w:r>
      <w:r w:rsidR="00A3296A" w:rsidRPr="004362AB">
        <w:t xml:space="preserve"> and</w:t>
      </w:r>
      <w:r w:rsidR="00C55799">
        <w:t>;</w:t>
      </w:r>
    </w:p>
    <w:p w:rsidR="00A3296A" w:rsidRDefault="00A3296A" w:rsidP="00A3296A">
      <w:pPr>
        <w:numPr>
          <w:ilvl w:val="0"/>
          <w:numId w:val="8"/>
        </w:numPr>
      </w:pPr>
      <w:r w:rsidRPr="004362AB">
        <w:t>3% carried a gun in the past 30 days</w:t>
      </w:r>
      <w:r>
        <w:t xml:space="preserve"> – remaining level since 2011.</w:t>
      </w:r>
    </w:p>
    <w:p w:rsidR="00D417B1" w:rsidRDefault="00D417B1" w:rsidP="00352BE5">
      <w:pPr>
        <w:pStyle w:val="NoSpacing"/>
      </w:pPr>
    </w:p>
    <w:p w:rsidR="00D417B1" w:rsidRDefault="00F25ED0" w:rsidP="00A3296A">
      <w:pPr>
        <w:pStyle w:val="NoSpacing"/>
        <w:jc w:val="center"/>
      </w:pPr>
      <w:r>
        <w:rPr>
          <w:noProof/>
          <w:lang w:eastAsia="en-US"/>
        </w:rPr>
        <w:drawing>
          <wp:inline distT="0" distB="0" distL="0" distR="0" wp14:anchorId="474A126C" wp14:editId="59DCF7A7">
            <wp:extent cx="5572125" cy="2028825"/>
            <wp:effectExtent l="0" t="0" r="9525" b="952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33A4C" w:rsidRPr="00B33A4C" w:rsidRDefault="00A3296A" w:rsidP="00B01813">
      <w:pPr>
        <w:ind w:left="270"/>
        <w:rPr>
          <w:sz w:val="18"/>
          <w:szCs w:val="18"/>
        </w:rPr>
      </w:pPr>
      <w:r w:rsidRPr="00A62B87">
        <w:rPr>
          <w:i/>
          <w:sz w:val="18"/>
          <w:szCs w:val="18"/>
        </w:rPr>
        <w:t xml:space="preserve">Figure </w:t>
      </w:r>
      <w:r w:rsidR="00166540">
        <w:rPr>
          <w:i/>
          <w:sz w:val="18"/>
          <w:szCs w:val="18"/>
        </w:rPr>
        <w:t>5</w:t>
      </w:r>
      <w:r w:rsidRPr="00A62B87">
        <w:rPr>
          <w:sz w:val="18"/>
          <w:szCs w:val="18"/>
        </w:rPr>
        <w:t xml:space="preserve">. </w:t>
      </w:r>
      <w:r w:rsidR="00B33A4C" w:rsidRPr="00B33A4C">
        <w:rPr>
          <w:sz w:val="18"/>
          <w:szCs w:val="18"/>
        </w:rPr>
        <w:t xml:space="preserve">Centers for Disease Control and Prevention, </w:t>
      </w:r>
      <w:r w:rsidR="00B33A4C" w:rsidRPr="00B33A4C">
        <w:rPr>
          <w:i/>
          <w:sz w:val="18"/>
          <w:szCs w:val="18"/>
        </w:rPr>
        <w:t>Massachusetts Youth Risk Behavior Surveillance System, 2017</w:t>
      </w:r>
    </w:p>
    <w:p w:rsidR="00A3296A" w:rsidRPr="00B01813" w:rsidRDefault="00B01813" w:rsidP="00B33A4C">
      <w:pPr>
        <w:ind w:left="270"/>
        <w:rPr>
          <w:sz w:val="18"/>
          <w:szCs w:val="18"/>
        </w:rPr>
      </w:pPr>
      <w:r w:rsidRPr="00B01813">
        <w:rPr>
          <w:sz w:val="18"/>
          <w:szCs w:val="18"/>
        </w:rPr>
        <w:t>^Question not asked in 2017.</w:t>
      </w:r>
    </w:p>
    <w:p w:rsidR="00B01813" w:rsidRDefault="00B01813" w:rsidP="00A3296A">
      <w:pPr>
        <w:pStyle w:val="NoSpacing"/>
      </w:pPr>
    </w:p>
    <w:p w:rsidR="00A3296A" w:rsidRDefault="00FB2D1A" w:rsidP="00A3296A">
      <w:pPr>
        <w:pStyle w:val="NoSpacing"/>
      </w:pPr>
      <w:r>
        <w:t xml:space="preserve">Furthermore, an analysis </w:t>
      </w:r>
      <w:r w:rsidR="00AC0360">
        <w:t xml:space="preserve">of physical violence indicators </w:t>
      </w:r>
      <w:r>
        <w:t>by gender reveals the following statistics:</w:t>
      </w:r>
    </w:p>
    <w:p w:rsidR="00FB2D1A" w:rsidRPr="004362AB" w:rsidRDefault="00DB10A5" w:rsidP="00FB2D1A">
      <w:pPr>
        <w:numPr>
          <w:ilvl w:val="0"/>
          <w:numId w:val="8"/>
        </w:numPr>
      </w:pPr>
      <w:r>
        <w:t>18</w:t>
      </w:r>
      <w:r w:rsidR="00FB2D1A" w:rsidRPr="004362AB">
        <w:t xml:space="preserve">% of male students and </w:t>
      </w:r>
      <w:r>
        <w:t>4</w:t>
      </w:r>
      <w:r w:rsidR="00FB2D1A" w:rsidRPr="004362AB">
        <w:t>% of female students reported carrying a weapon in the past 30 days;</w:t>
      </w:r>
    </w:p>
    <w:p w:rsidR="00FB2D1A" w:rsidRPr="004362AB" w:rsidRDefault="00DB10A5" w:rsidP="00FB2D1A">
      <w:pPr>
        <w:numPr>
          <w:ilvl w:val="0"/>
          <w:numId w:val="8"/>
        </w:numPr>
      </w:pPr>
      <w:r>
        <w:t>4</w:t>
      </w:r>
      <w:r w:rsidR="00FB2D1A" w:rsidRPr="004362AB">
        <w:t xml:space="preserve">% of males and 1% of females reported carrying a gun in the past </w:t>
      </w:r>
      <w:r>
        <w:t>12 months</w:t>
      </w:r>
      <w:r w:rsidR="00FB2D1A" w:rsidRPr="004362AB">
        <w:t>;</w:t>
      </w:r>
    </w:p>
    <w:p w:rsidR="00FB2D1A" w:rsidRDefault="00FB2D1A" w:rsidP="00FB2D1A">
      <w:pPr>
        <w:numPr>
          <w:ilvl w:val="0"/>
          <w:numId w:val="8"/>
        </w:numPr>
      </w:pPr>
      <w:r w:rsidRPr="004362AB">
        <w:t>2</w:t>
      </w:r>
      <w:r w:rsidR="00DB10A5">
        <w:t>3</w:t>
      </w:r>
      <w:r w:rsidRPr="004362AB">
        <w:t>%</w:t>
      </w:r>
      <w:r>
        <w:t xml:space="preserve"> of males and 1</w:t>
      </w:r>
      <w:r w:rsidR="00DB10A5">
        <w:t>2</w:t>
      </w:r>
      <w:r>
        <w:t>% of females</w:t>
      </w:r>
      <w:r w:rsidRPr="004362AB">
        <w:t xml:space="preserve"> reported </w:t>
      </w:r>
      <w:r w:rsidR="00DB10A5">
        <w:t xml:space="preserve">being in a physical fight; and </w:t>
      </w:r>
    </w:p>
    <w:p w:rsidR="00DB10A5" w:rsidRDefault="00DB10A5" w:rsidP="00FB2D1A">
      <w:pPr>
        <w:numPr>
          <w:ilvl w:val="0"/>
          <w:numId w:val="8"/>
        </w:numPr>
      </w:pPr>
      <w:r>
        <w:t>6% of both male and female students experienced physical dating violence.</w:t>
      </w:r>
    </w:p>
    <w:p w:rsidR="00A3296A" w:rsidRDefault="00A3296A" w:rsidP="00A3296A">
      <w:pPr>
        <w:pStyle w:val="NoSpacing"/>
      </w:pPr>
    </w:p>
    <w:p w:rsidR="006C1718" w:rsidRDefault="006C1718" w:rsidP="006C1718">
      <w:r w:rsidRPr="004362AB">
        <w:t xml:space="preserve">According to additional results from high school students who responded to the </w:t>
      </w:r>
      <w:r>
        <w:t>survey</w:t>
      </w:r>
      <w:r w:rsidRPr="004362AB">
        <w:t>, 1</w:t>
      </w:r>
      <w:r w:rsidR="00DB10A5">
        <w:t>4</w:t>
      </w:r>
      <w:r w:rsidRPr="004362AB">
        <w:t xml:space="preserve">% report being a victim of cyber bullying, </w:t>
      </w:r>
      <w:r w:rsidR="00DB10A5">
        <w:t>6</w:t>
      </w:r>
      <w:r w:rsidRPr="004362AB">
        <w:t xml:space="preserve">% experience dating violence and </w:t>
      </w:r>
      <w:r w:rsidR="00DB10A5">
        <w:t>7</w:t>
      </w:r>
      <w:r w:rsidRPr="004362AB">
        <w:t xml:space="preserve">% </w:t>
      </w:r>
      <w:r>
        <w:t xml:space="preserve">are </w:t>
      </w:r>
      <w:r w:rsidRPr="004362AB">
        <w:t xml:space="preserve">a victim of sexual assault (Figure </w:t>
      </w:r>
      <w:r w:rsidR="00166540">
        <w:t>6</w:t>
      </w:r>
      <w:r w:rsidRPr="004362AB">
        <w:t>).</w:t>
      </w:r>
    </w:p>
    <w:p w:rsidR="006C1718" w:rsidRDefault="006C1718" w:rsidP="00A3296A">
      <w:pPr>
        <w:pStyle w:val="NoSpacing"/>
      </w:pPr>
    </w:p>
    <w:p w:rsidR="00E95DDF" w:rsidRDefault="00E53E1C" w:rsidP="008D41F4">
      <w:pPr>
        <w:pStyle w:val="NoSpacing"/>
        <w:jc w:val="center"/>
      </w:pPr>
      <w:r>
        <w:rPr>
          <w:noProof/>
          <w:lang w:eastAsia="en-US"/>
        </w:rPr>
        <w:lastRenderedPageBreak/>
        <w:drawing>
          <wp:inline distT="0" distB="0" distL="0" distR="0" wp14:anchorId="4DC5A2A9" wp14:editId="16C3685E">
            <wp:extent cx="5943600" cy="2793365"/>
            <wp:effectExtent l="0" t="0" r="0" b="698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7447C" w:rsidRPr="00B33A4C" w:rsidRDefault="006C1718" w:rsidP="00A7447C">
      <w:pPr>
        <w:rPr>
          <w:sz w:val="18"/>
          <w:szCs w:val="18"/>
        </w:rPr>
      </w:pPr>
      <w:r w:rsidRPr="00184D09">
        <w:rPr>
          <w:i/>
          <w:sz w:val="20"/>
          <w:szCs w:val="20"/>
        </w:rPr>
        <w:t xml:space="preserve">Figure </w:t>
      </w:r>
      <w:r w:rsidR="00166540">
        <w:rPr>
          <w:i/>
          <w:sz w:val="20"/>
          <w:szCs w:val="20"/>
        </w:rPr>
        <w:t>6</w:t>
      </w:r>
      <w:r>
        <w:rPr>
          <w:sz w:val="20"/>
          <w:szCs w:val="20"/>
        </w:rPr>
        <w:t>.</w:t>
      </w:r>
      <w:r w:rsidRPr="004362AB">
        <w:rPr>
          <w:sz w:val="20"/>
          <w:szCs w:val="20"/>
        </w:rPr>
        <w:t xml:space="preserve"> </w:t>
      </w:r>
      <w:r w:rsidR="00A7447C" w:rsidRPr="00B33A4C">
        <w:rPr>
          <w:sz w:val="18"/>
          <w:szCs w:val="18"/>
        </w:rPr>
        <w:t xml:space="preserve">Centers for Disease Control and Prevention, </w:t>
      </w:r>
      <w:r w:rsidR="00A7447C" w:rsidRPr="00B33A4C">
        <w:rPr>
          <w:i/>
          <w:sz w:val="18"/>
          <w:szCs w:val="18"/>
        </w:rPr>
        <w:t>Massachusetts Youth Risk Behavior Surveillance System, 2017</w:t>
      </w:r>
    </w:p>
    <w:p w:rsidR="006C1718" w:rsidRDefault="006C1718" w:rsidP="006C1718">
      <w:pPr>
        <w:rPr>
          <w:sz w:val="20"/>
          <w:szCs w:val="20"/>
        </w:rPr>
      </w:pPr>
      <w:r w:rsidRPr="00371BC3">
        <w:rPr>
          <w:sz w:val="20"/>
          <w:szCs w:val="20"/>
        </w:rPr>
        <w:t>^</w:t>
      </w:r>
      <w:r>
        <w:rPr>
          <w:sz w:val="20"/>
          <w:szCs w:val="20"/>
        </w:rPr>
        <w:t>Information for 2009 is unavailable.</w:t>
      </w:r>
    </w:p>
    <w:p w:rsidR="00DF0540" w:rsidRDefault="00DF0540">
      <w:pPr>
        <w:spacing w:after="200" w:line="276" w:lineRule="auto"/>
        <w:rPr>
          <w:sz w:val="20"/>
          <w:szCs w:val="20"/>
        </w:rPr>
      </w:pPr>
      <w:r>
        <w:rPr>
          <w:sz w:val="20"/>
          <w:szCs w:val="20"/>
        </w:rPr>
        <w:br w:type="page"/>
      </w:r>
    </w:p>
    <w:p w:rsidR="007178DA" w:rsidRDefault="00C55799" w:rsidP="007178DA">
      <w:pPr>
        <w:pStyle w:val="NoSpacing"/>
        <w:jc w:val="center"/>
        <w:rPr>
          <w:b/>
          <w:smallCaps/>
          <w:sz w:val="26"/>
          <w:szCs w:val="26"/>
          <w:u w:val="single"/>
        </w:rPr>
      </w:pPr>
      <w:r w:rsidRPr="00B12037">
        <w:rPr>
          <w:b/>
          <w:smallCaps/>
          <w:sz w:val="26"/>
          <w:szCs w:val="26"/>
          <w:u w:val="single"/>
        </w:rPr>
        <w:lastRenderedPageBreak/>
        <w:t>Priority #</w:t>
      </w:r>
      <w:r>
        <w:rPr>
          <w:b/>
          <w:smallCaps/>
          <w:sz w:val="26"/>
          <w:szCs w:val="26"/>
          <w:u w:val="single"/>
        </w:rPr>
        <w:t>2</w:t>
      </w:r>
      <w:r w:rsidRPr="00B12037">
        <w:rPr>
          <w:b/>
          <w:smallCaps/>
          <w:sz w:val="26"/>
          <w:szCs w:val="26"/>
          <w:u w:val="single"/>
        </w:rPr>
        <w:t xml:space="preserve">: </w:t>
      </w:r>
      <w:r w:rsidR="007178DA">
        <w:rPr>
          <w:b/>
          <w:smallCaps/>
          <w:sz w:val="26"/>
          <w:szCs w:val="26"/>
          <w:u w:val="single"/>
        </w:rPr>
        <w:t xml:space="preserve">Supporting Evidence-Based </w:t>
      </w:r>
      <w:r>
        <w:rPr>
          <w:b/>
          <w:smallCaps/>
          <w:sz w:val="26"/>
          <w:szCs w:val="26"/>
          <w:u w:val="single"/>
        </w:rPr>
        <w:t xml:space="preserve">Reentry </w:t>
      </w:r>
      <w:r w:rsidR="007178DA">
        <w:rPr>
          <w:b/>
          <w:smallCaps/>
          <w:sz w:val="26"/>
          <w:szCs w:val="26"/>
          <w:u w:val="single"/>
        </w:rPr>
        <w:t xml:space="preserve">Programs </w:t>
      </w:r>
    </w:p>
    <w:p w:rsidR="00E95DDF" w:rsidRDefault="007178DA" w:rsidP="007178DA">
      <w:pPr>
        <w:pStyle w:val="NoSpacing"/>
        <w:jc w:val="center"/>
        <w:rPr>
          <w:b/>
          <w:smallCaps/>
          <w:sz w:val="26"/>
          <w:szCs w:val="26"/>
          <w:u w:val="single"/>
        </w:rPr>
      </w:pPr>
      <w:r>
        <w:rPr>
          <w:b/>
          <w:smallCaps/>
          <w:sz w:val="26"/>
          <w:szCs w:val="26"/>
          <w:u w:val="single"/>
        </w:rPr>
        <w:t>to Reduce</w:t>
      </w:r>
      <w:r w:rsidR="00C55799">
        <w:rPr>
          <w:b/>
          <w:smallCaps/>
          <w:sz w:val="26"/>
          <w:szCs w:val="26"/>
          <w:u w:val="single"/>
        </w:rPr>
        <w:t xml:space="preserve"> Recidivism</w:t>
      </w:r>
    </w:p>
    <w:p w:rsidR="007178DA" w:rsidRDefault="007178DA" w:rsidP="00A3296A">
      <w:pPr>
        <w:pStyle w:val="NoSpacing"/>
      </w:pPr>
    </w:p>
    <w:p w:rsidR="00C55799" w:rsidRPr="00C55799" w:rsidRDefault="00C55799" w:rsidP="00A3296A">
      <w:pPr>
        <w:pStyle w:val="NoSpacing"/>
        <w:rPr>
          <w:b/>
          <w:i/>
        </w:rPr>
      </w:pPr>
      <w:r w:rsidRPr="00C55799">
        <w:rPr>
          <w:b/>
          <w:i/>
        </w:rPr>
        <w:t>Goal</w:t>
      </w:r>
    </w:p>
    <w:p w:rsidR="00C55799" w:rsidRDefault="00C55799" w:rsidP="00A3296A">
      <w:pPr>
        <w:pStyle w:val="NoSpacing"/>
      </w:pPr>
      <w:r>
        <w:t>Reduce recidivism and future victimization, as well as increase the chances for success for offenders leaving incarceration and returning to our communities.</w:t>
      </w:r>
    </w:p>
    <w:p w:rsidR="00C55799" w:rsidRDefault="00C55799" w:rsidP="00A3296A">
      <w:pPr>
        <w:pStyle w:val="NoSpacing"/>
      </w:pPr>
    </w:p>
    <w:p w:rsidR="00C55799" w:rsidRPr="0046263E" w:rsidRDefault="00C55799" w:rsidP="00A3296A">
      <w:pPr>
        <w:pStyle w:val="NoSpacing"/>
        <w:rPr>
          <w:b/>
          <w:i/>
        </w:rPr>
      </w:pPr>
      <w:r w:rsidRPr="0046263E">
        <w:rPr>
          <w:b/>
          <w:i/>
        </w:rPr>
        <w:t>Purpose Areas Addressed</w:t>
      </w:r>
    </w:p>
    <w:p w:rsidR="00C55799" w:rsidRDefault="0046263E" w:rsidP="0046263E">
      <w:pPr>
        <w:pStyle w:val="NoSpacing"/>
        <w:numPr>
          <w:ilvl w:val="0"/>
          <w:numId w:val="9"/>
        </w:numPr>
        <w:ind w:left="720"/>
      </w:pPr>
      <w:r>
        <w:t>Law enforcement programs</w:t>
      </w:r>
    </w:p>
    <w:p w:rsidR="0046263E" w:rsidRDefault="0046263E" w:rsidP="0046263E">
      <w:pPr>
        <w:pStyle w:val="NoSpacing"/>
        <w:numPr>
          <w:ilvl w:val="0"/>
          <w:numId w:val="9"/>
        </w:numPr>
        <w:ind w:left="720"/>
      </w:pPr>
      <w:r>
        <w:t>Prosecution and court programs</w:t>
      </w:r>
    </w:p>
    <w:p w:rsidR="0046263E" w:rsidRDefault="0046263E" w:rsidP="0046263E">
      <w:pPr>
        <w:pStyle w:val="NoSpacing"/>
        <w:numPr>
          <w:ilvl w:val="0"/>
          <w:numId w:val="9"/>
        </w:numPr>
        <w:ind w:left="720"/>
      </w:pPr>
      <w:r>
        <w:t>Education and training</w:t>
      </w:r>
    </w:p>
    <w:p w:rsidR="0046263E" w:rsidRDefault="0046263E" w:rsidP="0046263E">
      <w:pPr>
        <w:pStyle w:val="NoSpacing"/>
        <w:numPr>
          <w:ilvl w:val="0"/>
          <w:numId w:val="9"/>
        </w:numPr>
        <w:ind w:left="720"/>
      </w:pPr>
      <w:r>
        <w:t>Job readiness, life skills, and housing support</w:t>
      </w:r>
    </w:p>
    <w:p w:rsidR="0046263E" w:rsidRDefault="0046263E" w:rsidP="0046263E">
      <w:pPr>
        <w:pStyle w:val="NoSpacing"/>
        <w:numPr>
          <w:ilvl w:val="0"/>
          <w:numId w:val="9"/>
        </w:numPr>
        <w:ind w:left="720"/>
      </w:pPr>
      <w:r>
        <w:t>Corrections and community corrections programs</w:t>
      </w:r>
    </w:p>
    <w:p w:rsidR="0046263E" w:rsidRDefault="0046263E" w:rsidP="0046263E">
      <w:pPr>
        <w:pStyle w:val="NoSpacing"/>
        <w:numPr>
          <w:ilvl w:val="0"/>
          <w:numId w:val="9"/>
        </w:numPr>
        <w:ind w:left="720"/>
      </w:pPr>
      <w:r>
        <w:t>Drug treatment</w:t>
      </w:r>
    </w:p>
    <w:p w:rsidR="0046263E" w:rsidRDefault="0046263E" w:rsidP="0046263E">
      <w:pPr>
        <w:pStyle w:val="NoSpacing"/>
      </w:pPr>
    </w:p>
    <w:p w:rsidR="0046263E" w:rsidRPr="0046263E" w:rsidRDefault="0046263E" w:rsidP="0046263E">
      <w:pPr>
        <w:pStyle w:val="NoSpacing"/>
        <w:rPr>
          <w:b/>
          <w:i/>
        </w:rPr>
      </w:pPr>
      <w:r w:rsidRPr="0046263E">
        <w:rPr>
          <w:b/>
          <w:i/>
        </w:rPr>
        <w:t>Anticipated Activities</w:t>
      </w:r>
    </w:p>
    <w:p w:rsidR="0046263E" w:rsidRDefault="0046263E" w:rsidP="0046263E">
      <w:pPr>
        <w:pStyle w:val="NoSpacing"/>
        <w:numPr>
          <w:ilvl w:val="0"/>
          <w:numId w:val="10"/>
        </w:numPr>
      </w:pPr>
      <w:r>
        <w:t>Revitalize neighborhoods by developing and supporting collaborative model projects that promote efforts of local agencies to provide and ensure comprehensive reintegration programs for juvenile and adult offenders reentering the community.</w:t>
      </w:r>
    </w:p>
    <w:p w:rsidR="0046263E" w:rsidRDefault="0046263E" w:rsidP="0046263E">
      <w:pPr>
        <w:pStyle w:val="NoSpacing"/>
        <w:numPr>
          <w:ilvl w:val="0"/>
          <w:numId w:val="10"/>
        </w:numPr>
      </w:pPr>
      <w:r>
        <w:t>Support expansion of rehabilitative and educational corrections programming in jails, prisons, and community-based facilities.</w:t>
      </w:r>
    </w:p>
    <w:p w:rsidR="00C55799" w:rsidRDefault="00C55799" w:rsidP="00A3296A">
      <w:pPr>
        <w:pStyle w:val="NoSpacing"/>
      </w:pPr>
    </w:p>
    <w:p w:rsidR="00C55799" w:rsidRPr="005E65E3" w:rsidRDefault="005E65E3" w:rsidP="00A3296A">
      <w:pPr>
        <w:pStyle w:val="NoSpacing"/>
        <w:rPr>
          <w:b/>
          <w:i/>
        </w:rPr>
      </w:pPr>
      <w:r w:rsidRPr="005E65E3">
        <w:rPr>
          <w:b/>
          <w:i/>
        </w:rPr>
        <w:t>Rationale</w:t>
      </w:r>
    </w:p>
    <w:p w:rsidR="005E65E3" w:rsidRDefault="005E65E3" w:rsidP="00A3296A">
      <w:pPr>
        <w:pStyle w:val="NoSpacing"/>
      </w:pPr>
      <w:r>
        <w:t>Improving the reentry process for released prisoners is a critical public safety issue for Massachusetts, one that has received increasing attention in the last few years.  Several reports have been published that describe the population of individuals being released from prison and document the challenges that they face.  The challenges to reentry include obtaining employment and housing and addressing health and substance abuse problems in a community setting.  Many released prisoners are returning to major metropolitan areas and are often concentrated in a few neighborhoods – which have public safety implications.  All of t</w:t>
      </w:r>
      <w:r w:rsidR="00071558">
        <w:t>hese studies conclude that the S</w:t>
      </w:r>
      <w:r>
        <w:t>tate, communities, and families are not doing enough to ensure a successful transition of offenders from prison back to their community.</w:t>
      </w:r>
      <w:r>
        <w:rPr>
          <w:rStyle w:val="FootnoteReference"/>
        </w:rPr>
        <w:footnoteReference w:id="6"/>
      </w:r>
    </w:p>
    <w:p w:rsidR="005E65E3" w:rsidRDefault="005E65E3" w:rsidP="00A3296A">
      <w:pPr>
        <w:pStyle w:val="NoSpacing"/>
      </w:pPr>
    </w:p>
    <w:p w:rsidR="00C55799" w:rsidRPr="00033256" w:rsidRDefault="005F5C88" w:rsidP="00A3296A">
      <w:pPr>
        <w:pStyle w:val="NoSpacing"/>
        <w:rPr>
          <w:b/>
          <w:i/>
        </w:rPr>
      </w:pPr>
      <w:r w:rsidRPr="00033256">
        <w:rPr>
          <w:b/>
          <w:i/>
        </w:rPr>
        <w:t>Statement of the Problem</w:t>
      </w:r>
    </w:p>
    <w:p w:rsidR="00C55799" w:rsidRDefault="0069707F" w:rsidP="00A3296A">
      <w:pPr>
        <w:pStyle w:val="NoSpacing"/>
      </w:pPr>
      <w:r>
        <w:t>Returning to the community after a period of confinement in and jail or prison often is a difficult transition for most offenders as well as their families and communities.  Many former offenders still struggle with substance abuse, mental health issues, inadequate education and job skills, and restrictive housing options.  In 201</w:t>
      </w:r>
      <w:r w:rsidR="00395424">
        <w:t>6, 626</w:t>
      </w:r>
      <w:r>
        <w:t>,</w:t>
      </w:r>
      <w:r w:rsidR="00395424">
        <w:t>000</w:t>
      </w:r>
      <w:r>
        <w:t xml:space="preserve"> men and women – approximately 1,7</w:t>
      </w:r>
      <w:r w:rsidR="00395424">
        <w:t>15</w:t>
      </w:r>
      <w:r>
        <w:t xml:space="preserve"> </w:t>
      </w:r>
      <w:r>
        <w:lastRenderedPageBreak/>
        <w:t>individuals a day – were released from state or federal custody.</w:t>
      </w:r>
      <w:r w:rsidRPr="0069707F">
        <w:rPr>
          <w:rStyle w:val="FootnoteReference"/>
        </w:rPr>
        <w:t xml:space="preserve"> </w:t>
      </w:r>
      <w:r>
        <w:rPr>
          <w:rStyle w:val="FootnoteReference"/>
        </w:rPr>
        <w:footnoteReference w:id="7"/>
      </w:r>
      <w:r>
        <w:t xml:space="preserve">  According to </w:t>
      </w:r>
      <w:r w:rsidR="007211D7">
        <w:t>BJS</w:t>
      </w:r>
      <w:r>
        <w:t xml:space="preserve">, </w:t>
      </w:r>
      <w:r w:rsidR="00AB224D">
        <w:t>over 4.</w:t>
      </w:r>
      <w:r w:rsidR="00412C81">
        <w:t>5</w:t>
      </w:r>
      <w:r w:rsidR="00AB224D">
        <w:t xml:space="preserve"> </w:t>
      </w:r>
      <w:r>
        <w:t>million offenders were under community supervision by the end of 201</w:t>
      </w:r>
      <w:r w:rsidR="00412C81">
        <w:t>6</w:t>
      </w:r>
      <w:r>
        <w:t>.</w:t>
      </w:r>
      <w:r w:rsidR="00AB224D">
        <w:rPr>
          <w:rStyle w:val="FootnoteReference"/>
        </w:rPr>
        <w:footnoteReference w:id="8"/>
      </w:r>
    </w:p>
    <w:p w:rsidR="00C55799" w:rsidRDefault="00C55799" w:rsidP="00A3296A">
      <w:pPr>
        <w:pStyle w:val="NoSpacing"/>
      </w:pPr>
    </w:p>
    <w:p w:rsidR="00033256" w:rsidRPr="00073C76" w:rsidRDefault="00033256" w:rsidP="00033256">
      <w:pPr>
        <w:pStyle w:val="NoSpacing"/>
        <w:rPr>
          <w:smallCaps/>
          <w:sz w:val="26"/>
          <w:szCs w:val="26"/>
          <w:u w:val="single"/>
        </w:rPr>
      </w:pPr>
      <w:r>
        <w:rPr>
          <w:smallCaps/>
          <w:sz w:val="26"/>
          <w:szCs w:val="26"/>
          <w:u w:val="single"/>
        </w:rPr>
        <w:t>Recidivism</w:t>
      </w:r>
    </w:p>
    <w:p w:rsidR="00033256" w:rsidRDefault="00033256" w:rsidP="00A3296A">
      <w:pPr>
        <w:pStyle w:val="NoSpacing"/>
      </w:pPr>
    </w:p>
    <w:p w:rsidR="00C55799" w:rsidRDefault="003948A8" w:rsidP="00A3296A">
      <w:pPr>
        <w:pStyle w:val="NoSpacing"/>
      </w:pPr>
      <w:r>
        <w:t>Recidivism refers to a person’s relapse into criminal behavior, often after the person receives sanctions or undergoes intervention for a previous crime.  According to the National Institute of Justice, “recidivism is measured by criminal acts that result in rearrests, reconviction, or return to prison with or without a new sentence during a three-year period following the prisoner’s release.”</w:t>
      </w:r>
      <w:r>
        <w:rPr>
          <w:rStyle w:val="FootnoteReference"/>
        </w:rPr>
        <w:footnoteReference w:id="9"/>
      </w:r>
      <w:r>
        <w:t xml:space="preserve"> </w:t>
      </w:r>
      <w:r w:rsidR="00004956">
        <w:t xml:space="preserve"> In</w:t>
      </w:r>
      <w:r w:rsidR="00D06728">
        <w:t xml:space="preserve"> 201</w:t>
      </w:r>
      <w:r w:rsidR="0040346A">
        <w:t>8</w:t>
      </w:r>
      <w:r w:rsidR="00004956">
        <w:t xml:space="preserve">, a 9-year follow-up on </w:t>
      </w:r>
      <w:r w:rsidR="0016092E">
        <w:t>recidivism</w:t>
      </w:r>
      <w:r w:rsidR="0016092E">
        <w:rPr>
          <w:rStyle w:val="FootnoteReference"/>
        </w:rPr>
        <w:footnoteReference w:id="10"/>
      </w:r>
      <w:r w:rsidR="0016092E">
        <w:t xml:space="preserve"> </w:t>
      </w:r>
      <w:r w:rsidR="00004956">
        <w:t xml:space="preserve">conducted </w:t>
      </w:r>
      <w:r w:rsidR="0016092E">
        <w:t>by</w:t>
      </w:r>
      <w:r w:rsidR="00D06728">
        <w:t xml:space="preserve"> BJS illuminates the high reoccurrence of criminal behavior among released prisoners.  The</w:t>
      </w:r>
      <w:r w:rsidR="00D27E58">
        <w:t xml:space="preserve"> updated</w:t>
      </w:r>
      <w:r w:rsidR="00D06728">
        <w:t xml:space="preserve"> study </w:t>
      </w:r>
      <w:r w:rsidR="00D67B4E">
        <w:t>found:</w:t>
      </w:r>
    </w:p>
    <w:p w:rsidR="00004956" w:rsidRDefault="00004956" w:rsidP="00D67B4E">
      <w:pPr>
        <w:pStyle w:val="NoSpacing"/>
        <w:numPr>
          <w:ilvl w:val="0"/>
          <w:numId w:val="11"/>
        </w:numPr>
      </w:pPr>
      <w:r>
        <w:t xml:space="preserve">The 401,288 prisoners released </w:t>
      </w:r>
      <w:r w:rsidR="00B2176A">
        <w:t>in</w:t>
      </w:r>
      <w:r>
        <w:t xml:space="preserve"> 2005 had an estimated 1,994,000 arrests during the 9-year period, an average of 5 arrests per released prisoner;</w:t>
      </w:r>
    </w:p>
    <w:p w:rsidR="00004956" w:rsidRDefault="004B30C9" w:rsidP="00D67B4E">
      <w:pPr>
        <w:pStyle w:val="NoSpacing"/>
        <w:numPr>
          <w:ilvl w:val="0"/>
          <w:numId w:val="11"/>
        </w:numPr>
      </w:pPr>
      <w:r>
        <w:t>60%</w:t>
      </w:r>
      <w:r w:rsidR="00507577">
        <w:t xml:space="preserve"> of these arrests occurred during years 4 through 9;</w:t>
      </w:r>
    </w:p>
    <w:p w:rsidR="00004956" w:rsidRDefault="003F4D1E" w:rsidP="00D67B4E">
      <w:pPr>
        <w:pStyle w:val="NoSpacing"/>
        <w:numPr>
          <w:ilvl w:val="0"/>
          <w:numId w:val="11"/>
        </w:numPr>
      </w:pPr>
      <w:r>
        <w:t>An estimated</w:t>
      </w:r>
      <w:r w:rsidR="004B30C9">
        <w:t xml:space="preserve"> 68% of released prisoners were arrested within 3 years, 79% within 6 years, and 83% within 9 years;</w:t>
      </w:r>
    </w:p>
    <w:p w:rsidR="00004956" w:rsidRDefault="004B30C9" w:rsidP="00D67B4E">
      <w:pPr>
        <w:pStyle w:val="NoSpacing"/>
        <w:numPr>
          <w:ilvl w:val="0"/>
          <w:numId w:val="11"/>
        </w:numPr>
      </w:pPr>
      <w:r>
        <w:t>Almost half (47%) of prisoners who did not have an arrest within 3 years of release were arrested during years 4 through 9;</w:t>
      </w:r>
    </w:p>
    <w:p w:rsidR="004B30C9" w:rsidRDefault="004B30C9" w:rsidP="00D67B4E">
      <w:pPr>
        <w:pStyle w:val="NoSpacing"/>
        <w:numPr>
          <w:ilvl w:val="0"/>
          <w:numId w:val="11"/>
        </w:numPr>
      </w:pPr>
      <w:r>
        <w:t>44% of released prisoners were arrested during the first year following release, while 24% were arrested during year 9;</w:t>
      </w:r>
      <w:r w:rsidR="00B2176A">
        <w:t xml:space="preserve"> and</w:t>
      </w:r>
    </w:p>
    <w:p w:rsidR="00A5190B" w:rsidRDefault="00B2176A" w:rsidP="00296DCC">
      <w:pPr>
        <w:pStyle w:val="NoSpacing"/>
        <w:numPr>
          <w:ilvl w:val="0"/>
          <w:numId w:val="11"/>
        </w:numPr>
      </w:pPr>
      <w:r>
        <w:t xml:space="preserve">5% </w:t>
      </w:r>
      <w:r w:rsidR="001B1D67">
        <w:t>o</w:t>
      </w:r>
      <w:r>
        <w:t>f prisoners were arrested during the first year after release and not arrested again dur</w:t>
      </w:r>
      <w:r w:rsidR="00296DCC">
        <w:t>ing the 9-year follow-up period</w:t>
      </w:r>
      <w:r w:rsidR="00F75AE8">
        <w:t>.</w:t>
      </w:r>
      <w:r w:rsidR="00F75AE8">
        <w:rPr>
          <w:rStyle w:val="FootnoteReference"/>
        </w:rPr>
        <w:footnoteReference w:id="11"/>
      </w:r>
    </w:p>
    <w:p w:rsidR="00C55799" w:rsidRDefault="00C55799" w:rsidP="00A3296A">
      <w:pPr>
        <w:pStyle w:val="NoSpacing"/>
      </w:pPr>
    </w:p>
    <w:p w:rsidR="00C55799" w:rsidRDefault="00165B32" w:rsidP="00A3296A">
      <w:pPr>
        <w:pStyle w:val="NoSpacing"/>
      </w:pPr>
      <w:r>
        <w:t>The Research and Policy A</w:t>
      </w:r>
      <w:r w:rsidR="00071558">
        <w:t>nalysis Division (RPAD) at OGR</w:t>
      </w:r>
      <w:r>
        <w:t xml:space="preserve">, together with research partners in other Massachusetts criminal justice agencies, analyzed recidivism data for approximately 43,000 offenders released in 2005 with or without supervision from either county or state correctional facilities, the Department of Youth Services (DYS), or from cases beginning a term of probation or parole supervision.  </w:t>
      </w:r>
      <w:r w:rsidR="00927D31">
        <w:t xml:space="preserve">Recidivism for this analysis is defined as any offense committed after release to the community, or after initial placement in the community, that results in a conviction from an adult or juvenile court.  Cases with a disposition of “continue without a finding” were counted as a conviction for this study.  The Massachusetts statewide recidivism analysis is displayed in </w:t>
      </w:r>
      <w:r w:rsidR="00927D31" w:rsidRPr="00DF0540">
        <w:t xml:space="preserve">Table </w:t>
      </w:r>
      <w:r w:rsidR="00DF0540">
        <w:t>1, page 1</w:t>
      </w:r>
      <w:r w:rsidR="00864050">
        <w:t>4</w:t>
      </w:r>
      <w:r w:rsidR="00927D31">
        <w:t xml:space="preserve">. </w:t>
      </w:r>
    </w:p>
    <w:p w:rsidR="004B4DEE" w:rsidRDefault="004B4DEE" w:rsidP="00A3296A">
      <w:pPr>
        <w:pStyle w:val="NoSpacing"/>
      </w:pPr>
    </w:p>
    <w:p w:rsidR="00C55799" w:rsidRDefault="00C55799" w:rsidP="00A3296A">
      <w:pPr>
        <w:pStyle w:val="NoSpacing"/>
      </w:pPr>
    </w:p>
    <w:tbl>
      <w:tblPr>
        <w:tblStyle w:val="LightShading-Accent1"/>
        <w:tblW w:w="0" w:type="auto"/>
        <w:tblLook w:val="04A0" w:firstRow="1" w:lastRow="0" w:firstColumn="1" w:lastColumn="0" w:noHBand="0" w:noVBand="1"/>
      </w:tblPr>
      <w:tblGrid>
        <w:gridCol w:w="4680"/>
        <w:gridCol w:w="4320"/>
      </w:tblGrid>
      <w:tr w:rsidR="00B50B4E" w:rsidRPr="00B031C2" w:rsidTr="00251F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rsidR="00B50B4E" w:rsidRPr="00B031C2" w:rsidRDefault="00B50B4E" w:rsidP="00DF0540">
            <w:pPr>
              <w:pStyle w:val="NoSpacing"/>
              <w:rPr>
                <w:smallCaps/>
                <w:sz w:val="22"/>
                <w:szCs w:val="22"/>
              </w:rPr>
            </w:pPr>
            <w:r w:rsidRPr="00B031C2">
              <w:rPr>
                <w:smallCaps/>
                <w:sz w:val="22"/>
                <w:szCs w:val="22"/>
              </w:rPr>
              <w:lastRenderedPageBreak/>
              <w:t xml:space="preserve">Table </w:t>
            </w:r>
            <w:r w:rsidR="00DF0540" w:rsidRPr="00B031C2">
              <w:rPr>
                <w:smallCaps/>
                <w:sz w:val="22"/>
                <w:szCs w:val="22"/>
              </w:rPr>
              <w:t>1</w:t>
            </w:r>
            <w:r w:rsidRPr="00B031C2">
              <w:rPr>
                <w:smallCaps/>
                <w:sz w:val="22"/>
                <w:szCs w:val="22"/>
              </w:rPr>
              <w:t>. Massachusetts Statewide Seven-Year Cumulative Recidivism Rates</w:t>
            </w:r>
          </w:p>
        </w:tc>
      </w:tr>
      <w:tr w:rsidR="00B50B4E" w:rsidRPr="00B031C2" w:rsidTr="00251F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B50B4E" w:rsidRPr="00B031C2" w:rsidRDefault="00B50B4E" w:rsidP="00A3296A">
            <w:pPr>
              <w:pStyle w:val="NoSpacing"/>
              <w:rPr>
                <w:smallCaps/>
                <w:sz w:val="22"/>
                <w:szCs w:val="22"/>
              </w:rPr>
            </w:pPr>
            <w:r w:rsidRPr="00B031C2">
              <w:rPr>
                <w:smallCaps/>
                <w:sz w:val="22"/>
                <w:szCs w:val="22"/>
              </w:rPr>
              <w:t>Agency</w:t>
            </w:r>
          </w:p>
        </w:tc>
        <w:tc>
          <w:tcPr>
            <w:tcW w:w="4320" w:type="dxa"/>
          </w:tcPr>
          <w:p w:rsidR="00B50B4E" w:rsidRPr="00B031C2" w:rsidRDefault="00B50B4E" w:rsidP="00B50B4E">
            <w:pPr>
              <w:pStyle w:val="NoSpacing"/>
              <w:jc w:val="center"/>
              <w:cnfStyle w:val="000000100000" w:firstRow="0" w:lastRow="0" w:firstColumn="0" w:lastColumn="0" w:oddVBand="0" w:evenVBand="0" w:oddHBand="1" w:evenHBand="0" w:firstRowFirstColumn="0" w:firstRowLastColumn="0" w:lastRowFirstColumn="0" w:lastRowLastColumn="0"/>
              <w:rPr>
                <w:b/>
                <w:smallCaps/>
                <w:sz w:val="22"/>
                <w:szCs w:val="22"/>
              </w:rPr>
            </w:pPr>
            <w:r w:rsidRPr="00B031C2">
              <w:rPr>
                <w:b/>
                <w:smallCaps/>
                <w:sz w:val="22"/>
                <w:szCs w:val="22"/>
              </w:rPr>
              <w:t>Recidivism Rate</w:t>
            </w:r>
          </w:p>
        </w:tc>
      </w:tr>
      <w:tr w:rsidR="00B50B4E" w:rsidRPr="00B031C2" w:rsidTr="00251F8A">
        <w:tc>
          <w:tcPr>
            <w:cnfStyle w:val="001000000000" w:firstRow="0" w:lastRow="0" w:firstColumn="1" w:lastColumn="0" w:oddVBand="0" w:evenVBand="0" w:oddHBand="0" w:evenHBand="0" w:firstRowFirstColumn="0" w:firstRowLastColumn="0" w:lastRowFirstColumn="0" w:lastRowLastColumn="0"/>
            <w:tcW w:w="4680" w:type="dxa"/>
          </w:tcPr>
          <w:p w:rsidR="00B50B4E" w:rsidRPr="00B031C2" w:rsidRDefault="00B50B4E" w:rsidP="00A3296A">
            <w:pPr>
              <w:pStyle w:val="NoSpacing"/>
              <w:rPr>
                <w:b w:val="0"/>
                <w:sz w:val="22"/>
                <w:szCs w:val="22"/>
              </w:rPr>
            </w:pPr>
            <w:r w:rsidRPr="00B031C2">
              <w:rPr>
                <w:b w:val="0"/>
                <w:sz w:val="22"/>
                <w:szCs w:val="22"/>
              </w:rPr>
              <w:t>Probation – Adult</w:t>
            </w:r>
          </w:p>
        </w:tc>
        <w:tc>
          <w:tcPr>
            <w:tcW w:w="4320" w:type="dxa"/>
          </w:tcPr>
          <w:p w:rsidR="00B50B4E" w:rsidRPr="00B031C2" w:rsidRDefault="00B50B4E" w:rsidP="00B50B4E">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57%</w:t>
            </w:r>
          </w:p>
        </w:tc>
      </w:tr>
      <w:tr w:rsidR="00B50B4E" w:rsidRPr="00B031C2" w:rsidTr="00251F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B50B4E" w:rsidRPr="00B031C2" w:rsidRDefault="00B50B4E" w:rsidP="00A3296A">
            <w:pPr>
              <w:pStyle w:val="NoSpacing"/>
              <w:rPr>
                <w:b w:val="0"/>
                <w:sz w:val="22"/>
                <w:szCs w:val="22"/>
              </w:rPr>
            </w:pPr>
            <w:r w:rsidRPr="00B031C2">
              <w:rPr>
                <w:b w:val="0"/>
                <w:sz w:val="22"/>
                <w:szCs w:val="22"/>
              </w:rPr>
              <w:t>Department of Correction</w:t>
            </w:r>
            <w:r w:rsidRPr="00B031C2">
              <w:rPr>
                <w:b w:val="0"/>
                <w:sz w:val="22"/>
                <w:szCs w:val="22"/>
                <w:vertAlign w:val="superscript"/>
              </w:rPr>
              <w:t xml:space="preserve"> a</w:t>
            </w:r>
          </w:p>
        </w:tc>
        <w:tc>
          <w:tcPr>
            <w:tcW w:w="4320" w:type="dxa"/>
          </w:tcPr>
          <w:p w:rsidR="00B50B4E" w:rsidRPr="00B031C2" w:rsidRDefault="00B50B4E" w:rsidP="00B50B4E">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63%</w:t>
            </w:r>
          </w:p>
        </w:tc>
      </w:tr>
      <w:tr w:rsidR="00B50B4E" w:rsidRPr="00B031C2" w:rsidTr="00251F8A">
        <w:tc>
          <w:tcPr>
            <w:cnfStyle w:val="001000000000" w:firstRow="0" w:lastRow="0" w:firstColumn="1" w:lastColumn="0" w:oddVBand="0" w:evenVBand="0" w:oddHBand="0" w:evenHBand="0" w:firstRowFirstColumn="0" w:firstRowLastColumn="0" w:lastRowFirstColumn="0" w:lastRowLastColumn="0"/>
            <w:tcW w:w="4680" w:type="dxa"/>
          </w:tcPr>
          <w:p w:rsidR="00B50B4E" w:rsidRPr="00B031C2" w:rsidRDefault="00B50B4E" w:rsidP="00A3296A">
            <w:pPr>
              <w:pStyle w:val="NoSpacing"/>
              <w:rPr>
                <w:b w:val="0"/>
                <w:sz w:val="22"/>
                <w:szCs w:val="22"/>
              </w:rPr>
            </w:pPr>
            <w:r w:rsidRPr="00B031C2">
              <w:rPr>
                <w:b w:val="0"/>
                <w:sz w:val="22"/>
                <w:szCs w:val="22"/>
              </w:rPr>
              <w:t xml:space="preserve">Probation – Juvenile </w:t>
            </w:r>
          </w:p>
        </w:tc>
        <w:tc>
          <w:tcPr>
            <w:tcW w:w="4320" w:type="dxa"/>
          </w:tcPr>
          <w:p w:rsidR="00B50B4E" w:rsidRPr="00B031C2" w:rsidRDefault="00B50B4E" w:rsidP="00B50B4E">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65%</w:t>
            </w:r>
          </w:p>
        </w:tc>
      </w:tr>
      <w:tr w:rsidR="00B50B4E" w:rsidRPr="00B031C2" w:rsidTr="00251F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B50B4E" w:rsidRPr="00B031C2" w:rsidRDefault="00B50B4E" w:rsidP="00A3296A">
            <w:pPr>
              <w:pStyle w:val="NoSpacing"/>
              <w:rPr>
                <w:b w:val="0"/>
                <w:sz w:val="22"/>
                <w:szCs w:val="22"/>
              </w:rPr>
            </w:pPr>
            <w:r w:rsidRPr="00B031C2">
              <w:rPr>
                <w:b w:val="0"/>
                <w:sz w:val="22"/>
                <w:szCs w:val="22"/>
              </w:rPr>
              <w:t>Parole</w:t>
            </w:r>
            <w:r w:rsidRPr="00B031C2">
              <w:rPr>
                <w:b w:val="0"/>
                <w:sz w:val="22"/>
                <w:szCs w:val="22"/>
                <w:vertAlign w:val="superscript"/>
              </w:rPr>
              <w:t xml:space="preserve"> b</w:t>
            </w:r>
          </w:p>
        </w:tc>
        <w:tc>
          <w:tcPr>
            <w:tcW w:w="4320" w:type="dxa"/>
          </w:tcPr>
          <w:p w:rsidR="00B50B4E" w:rsidRPr="00B031C2" w:rsidRDefault="00B50B4E" w:rsidP="00B50B4E">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66%</w:t>
            </w:r>
          </w:p>
        </w:tc>
      </w:tr>
      <w:tr w:rsidR="00B50B4E" w:rsidRPr="00B031C2" w:rsidTr="00251F8A">
        <w:tc>
          <w:tcPr>
            <w:cnfStyle w:val="001000000000" w:firstRow="0" w:lastRow="0" w:firstColumn="1" w:lastColumn="0" w:oddVBand="0" w:evenVBand="0" w:oddHBand="0" w:evenHBand="0" w:firstRowFirstColumn="0" w:firstRowLastColumn="0" w:lastRowFirstColumn="0" w:lastRowLastColumn="0"/>
            <w:tcW w:w="4680" w:type="dxa"/>
          </w:tcPr>
          <w:p w:rsidR="00B50B4E" w:rsidRPr="00B031C2" w:rsidRDefault="00B50B4E" w:rsidP="00A3296A">
            <w:pPr>
              <w:pStyle w:val="NoSpacing"/>
              <w:rPr>
                <w:b w:val="0"/>
                <w:sz w:val="22"/>
                <w:szCs w:val="22"/>
              </w:rPr>
            </w:pPr>
            <w:r w:rsidRPr="00B031C2">
              <w:rPr>
                <w:b w:val="0"/>
                <w:sz w:val="22"/>
                <w:szCs w:val="22"/>
              </w:rPr>
              <w:t>House of Correction</w:t>
            </w:r>
            <w:r w:rsidRPr="00B031C2">
              <w:rPr>
                <w:b w:val="0"/>
                <w:sz w:val="22"/>
                <w:szCs w:val="22"/>
                <w:vertAlign w:val="superscript"/>
              </w:rPr>
              <w:t xml:space="preserve"> b</w:t>
            </w:r>
          </w:p>
        </w:tc>
        <w:tc>
          <w:tcPr>
            <w:tcW w:w="4320" w:type="dxa"/>
          </w:tcPr>
          <w:p w:rsidR="00B50B4E" w:rsidRPr="00B031C2" w:rsidRDefault="00B50B4E" w:rsidP="00B50B4E">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71%</w:t>
            </w:r>
          </w:p>
        </w:tc>
      </w:tr>
      <w:tr w:rsidR="00B50B4E" w:rsidRPr="00B031C2" w:rsidTr="00251F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B50B4E" w:rsidRPr="00B031C2" w:rsidRDefault="00B50B4E" w:rsidP="00A3296A">
            <w:pPr>
              <w:pStyle w:val="NoSpacing"/>
              <w:rPr>
                <w:b w:val="0"/>
                <w:sz w:val="22"/>
                <w:szCs w:val="22"/>
              </w:rPr>
            </w:pPr>
            <w:r w:rsidRPr="00B031C2">
              <w:rPr>
                <w:b w:val="0"/>
                <w:sz w:val="22"/>
                <w:szCs w:val="22"/>
              </w:rPr>
              <w:t>Department of Youth Services</w:t>
            </w:r>
          </w:p>
        </w:tc>
        <w:tc>
          <w:tcPr>
            <w:tcW w:w="4320" w:type="dxa"/>
          </w:tcPr>
          <w:p w:rsidR="00B50B4E" w:rsidRPr="00B031C2" w:rsidRDefault="00B50B4E" w:rsidP="00B50B4E">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77%</w:t>
            </w:r>
          </w:p>
        </w:tc>
      </w:tr>
    </w:tbl>
    <w:p w:rsidR="00AB224D" w:rsidRPr="0013110E" w:rsidRDefault="00B50B4E" w:rsidP="00D10F87">
      <w:pPr>
        <w:pStyle w:val="NoSpacing"/>
        <w:rPr>
          <w:sz w:val="20"/>
          <w:szCs w:val="20"/>
        </w:rPr>
      </w:pPr>
      <w:r w:rsidRPr="0013110E">
        <w:rPr>
          <w:sz w:val="20"/>
          <w:szCs w:val="20"/>
          <w:vertAlign w:val="superscript"/>
        </w:rPr>
        <w:t xml:space="preserve">a </w:t>
      </w:r>
      <w:r w:rsidRPr="0013110E">
        <w:rPr>
          <w:sz w:val="20"/>
          <w:szCs w:val="20"/>
        </w:rPr>
        <w:t>Discharges and Paroles</w:t>
      </w:r>
    </w:p>
    <w:p w:rsidR="00B50B4E" w:rsidRPr="0013110E" w:rsidRDefault="00B50B4E" w:rsidP="00D10F87">
      <w:pPr>
        <w:pStyle w:val="NoSpacing"/>
        <w:rPr>
          <w:sz w:val="20"/>
          <w:szCs w:val="20"/>
        </w:rPr>
      </w:pPr>
      <w:r w:rsidRPr="0013110E">
        <w:rPr>
          <w:sz w:val="20"/>
          <w:szCs w:val="20"/>
          <w:vertAlign w:val="superscript"/>
        </w:rPr>
        <w:t>b</w:t>
      </w:r>
      <w:r w:rsidRPr="0013110E">
        <w:rPr>
          <w:sz w:val="20"/>
          <w:szCs w:val="20"/>
        </w:rPr>
        <w:t xml:space="preserve"> Parolees released from the Department of Correction and Houses of Correction</w:t>
      </w:r>
    </w:p>
    <w:p w:rsidR="00073C76" w:rsidRDefault="00073C76" w:rsidP="00D10F87">
      <w:pPr>
        <w:pStyle w:val="NoSpacing"/>
      </w:pPr>
    </w:p>
    <w:p w:rsidR="00073C76" w:rsidRPr="00073C76" w:rsidRDefault="00073C76" w:rsidP="00A3296A">
      <w:pPr>
        <w:pStyle w:val="NoSpacing"/>
        <w:rPr>
          <w:smallCaps/>
          <w:sz w:val="26"/>
          <w:szCs w:val="26"/>
          <w:u w:val="single"/>
        </w:rPr>
      </w:pPr>
      <w:r w:rsidRPr="00073C76">
        <w:rPr>
          <w:smallCaps/>
          <w:sz w:val="26"/>
          <w:szCs w:val="26"/>
          <w:u w:val="single"/>
        </w:rPr>
        <w:t xml:space="preserve">Prisoner Reentry </w:t>
      </w:r>
    </w:p>
    <w:p w:rsidR="00073C76" w:rsidRPr="00033256" w:rsidRDefault="00073C76" w:rsidP="00A3296A">
      <w:pPr>
        <w:pStyle w:val="NoSpacing"/>
        <w:rPr>
          <w:b/>
        </w:rPr>
      </w:pPr>
    </w:p>
    <w:p w:rsidR="00073C76" w:rsidRDefault="00073C76" w:rsidP="00A3296A">
      <w:pPr>
        <w:pStyle w:val="NoSpacing"/>
      </w:pPr>
      <w:r>
        <w:t>The Department of Correction (DOC) utilizes the COMPAS</w:t>
      </w:r>
      <w:r w:rsidR="005E18F3">
        <w:t xml:space="preserve"> Risk/Needs assessment to determine inmates’ risk for recidivism and their programming needs.  The assessment identifies the following areas: criminal history factors, criminal associates/peers, criminal attitudes, social environment, and needs assessment (e.g. substance abuse, financial problems, vocational/education problems).  Properly assessing the risk and needs of offenders and providing the appropriate programming will help reduce recidivism.  </w:t>
      </w:r>
    </w:p>
    <w:p w:rsidR="00073C76" w:rsidRDefault="00073C76" w:rsidP="00A3296A">
      <w:pPr>
        <w:pStyle w:val="NoSpacing"/>
      </w:pPr>
    </w:p>
    <w:p w:rsidR="00073C76" w:rsidRDefault="009B06C7" w:rsidP="00A3296A">
      <w:pPr>
        <w:pStyle w:val="NoSpacing"/>
      </w:pPr>
      <w:r>
        <w:t>Substance abuse treatment</w:t>
      </w:r>
      <w:r w:rsidR="00DE5C91">
        <w:t xml:space="preserve"> in correctional facilities is crucial to breaking the cycle of drug use and criminal involvement.  Comprehensive intervention strategies enable inmates to participate in correctional programs designed to reduce recidivism and help prevent relapse upon release to their community.  This is crucial as many ex-offenders return to the same community in which they were living prior to incarceration.  </w:t>
      </w:r>
    </w:p>
    <w:p w:rsidR="005E18F3" w:rsidRDefault="005E18F3" w:rsidP="00A3296A">
      <w:pPr>
        <w:pStyle w:val="NoSpacing"/>
      </w:pPr>
    </w:p>
    <w:p w:rsidR="00911777" w:rsidRDefault="00E9234A" w:rsidP="003F207F">
      <w:pPr>
        <w:ind w:right="-810"/>
      </w:pPr>
      <w:r>
        <w:t>In 201</w:t>
      </w:r>
      <w:r w:rsidR="00864050">
        <w:t>7</w:t>
      </w:r>
      <w:r>
        <w:t>, 2,</w:t>
      </w:r>
      <w:r w:rsidR="00864050">
        <w:t>178</w:t>
      </w:r>
      <w:r>
        <w:t xml:space="preserve"> prisoners were released to the community, of which, 1,</w:t>
      </w:r>
      <w:r w:rsidR="00C1775D">
        <w:t>183</w:t>
      </w:r>
      <w:r>
        <w:t xml:space="preserve"> (5</w:t>
      </w:r>
      <w:r w:rsidR="00C1775D">
        <w:t>4</w:t>
      </w:r>
      <w:r>
        <w:t xml:space="preserve">%) reported a release address in one of the top ten cities listed in </w:t>
      </w:r>
      <w:r w:rsidRPr="00DF0540">
        <w:t xml:space="preserve">Table </w:t>
      </w:r>
      <w:r w:rsidR="00DF0540" w:rsidRPr="00DF0540">
        <w:t>2</w:t>
      </w:r>
      <w:r>
        <w:t xml:space="preserve">.  </w:t>
      </w:r>
      <w:r w:rsidR="00911777" w:rsidRPr="00E023BB">
        <w:t>Boston had the highest number of criminally sentenced inmates released to the community (</w:t>
      </w:r>
      <w:r w:rsidR="00911777">
        <w:t>4</w:t>
      </w:r>
      <w:r w:rsidR="00C1775D">
        <w:t>97</w:t>
      </w:r>
      <w:r w:rsidR="00911777" w:rsidRPr="00E023BB">
        <w:t>)</w:t>
      </w:r>
      <w:r w:rsidR="00911777">
        <w:t>,</w:t>
      </w:r>
      <w:r w:rsidR="00911777" w:rsidRPr="00E023BB">
        <w:t xml:space="preserve"> followed</w:t>
      </w:r>
      <w:r w:rsidR="00C1775D">
        <w:t xml:space="preserve"> by Springfield (162</w:t>
      </w:r>
      <w:r w:rsidR="00911777">
        <w:t>) and Worcester (1</w:t>
      </w:r>
      <w:r w:rsidR="00C1775D">
        <w:t>09</w:t>
      </w:r>
      <w:r w:rsidR="00911777">
        <w:t>).</w:t>
      </w:r>
    </w:p>
    <w:p w:rsidR="005E18F3" w:rsidRDefault="005E18F3" w:rsidP="00A3296A">
      <w:pPr>
        <w:pStyle w:val="NoSpacing"/>
      </w:pPr>
    </w:p>
    <w:tbl>
      <w:tblPr>
        <w:tblStyle w:val="LightShading-Accent1"/>
        <w:tblW w:w="0" w:type="auto"/>
        <w:jc w:val="center"/>
        <w:tblLook w:val="04A0" w:firstRow="1" w:lastRow="0" w:firstColumn="1" w:lastColumn="0" w:noHBand="0" w:noVBand="1"/>
      </w:tblPr>
      <w:tblGrid>
        <w:gridCol w:w="2070"/>
        <w:gridCol w:w="2340"/>
        <w:gridCol w:w="2430"/>
      </w:tblGrid>
      <w:tr w:rsidR="00911777" w:rsidRPr="00B031C2" w:rsidTr="0040612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40" w:type="dxa"/>
            <w:gridSpan w:val="3"/>
          </w:tcPr>
          <w:p w:rsidR="00911777" w:rsidRPr="00B031C2" w:rsidRDefault="00911777" w:rsidP="00D96BE4">
            <w:pPr>
              <w:pStyle w:val="NoSpacing"/>
              <w:jc w:val="center"/>
              <w:rPr>
                <w:smallCaps/>
                <w:sz w:val="22"/>
                <w:szCs w:val="22"/>
              </w:rPr>
            </w:pPr>
            <w:r w:rsidRPr="00B031C2">
              <w:rPr>
                <w:smallCaps/>
                <w:sz w:val="22"/>
                <w:szCs w:val="22"/>
              </w:rPr>
              <w:t xml:space="preserve">Table </w:t>
            </w:r>
            <w:r w:rsidR="00DF0540" w:rsidRPr="00B031C2">
              <w:rPr>
                <w:smallCaps/>
                <w:sz w:val="22"/>
                <w:szCs w:val="22"/>
              </w:rPr>
              <w:t>2</w:t>
            </w:r>
            <w:r w:rsidRPr="00B031C2">
              <w:rPr>
                <w:smallCaps/>
                <w:sz w:val="22"/>
                <w:szCs w:val="22"/>
              </w:rPr>
              <w:t>. Total Criminally Sentenced Releases From the DOC to the Street by Top Ten Massachusetts Cities, 201</w:t>
            </w:r>
            <w:r w:rsidR="00D96BE4">
              <w:rPr>
                <w:smallCaps/>
                <w:sz w:val="22"/>
                <w:szCs w:val="22"/>
              </w:rPr>
              <w:t>7</w:t>
            </w:r>
          </w:p>
        </w:tc>
      </w:tr>
      <w:tr w:rsidR="00911777" w:rsidRPr="00B031C2" w:rsidTr="004061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0" w:type="dxa"/>
          </w:tcPr>
          <w:p w:rsidR="00911777" w:rsidRPr="00B031C2" w:rsidRDefault="00E144C6" w:rsidP="00A3296A">
            <w:pPr>
              <w:pStyle w:val="NoSpacing"/>
              <w:rPr>
                <w:smallCaps/>
                <w:sz w:val="22"/>
                <w:szCs w:val="22"/>
              </w:rPr>
            </w:pPr>
            <w:r w:rsidRPr="00B031C2">
              <w:rPr>
                <w:smallCaps/>
                <w:sz w:val="22"/>
                <w:szCs w:val="22"/>
              </w:rPr>
              <w:t>City</w:t>
            </w:r>
          </w:p>
        </w:tc>
        <w:tc>
          <w:tcPr>
            <w:tcW w:w="2340" w:type="dxa"/>
          </w:tcPr>
          <w:p w:rsidR="00911777" w:rsidRPr="00B031C2" w:rsidRDefault="00E144C6" w:rsidP="003F207F">
            <w:pPr>
              <w:pStyle w:val="NoSpacing"/>
              <w:jc w:val="center"/>
              <w:cnfStyle w:val="000000100000" w:firstRow="0" w:lastRow="0" w:firstColumn="0" w:lastColumn="0" w:oddVBand="0" w:evenVBand="0" w:oddHBand="1" w:evenHBand="0" w:firstRowFirstColumn="0" w:firstRowLastColumn="0" w:lastRowFirstColumn="0" w:lastRowLastColumn="0"/>
              <w:rPr>
                <w:b/>
                <w:smallCaps/>
                <w:sz w:val="22"/>
                <w:szCs w:val="22"/>
              </w:rPr>
            </w:pPr>
            <w:r w:rsidRPr="00B031C2">
              <w:rPr>
                <w:b/>
                <w:smallCaps/>
                <w:sz w:val="22"/>
                <w:szCs w:val="22"/>
              </w:rPr>
              <w:t>Number</w:t>
            </w:r>
          </w:p>
        </w:tc>
        <w:tc>
          <w:tcPr>
            <w:tcW w:w="2430" w:type="dxa"/>
          </w:tcPr>
          <w:p w:rsidR="00911777" w:rsidRPr="00B031C2" w:rsidRDefault="00E144C6" w:rsidP="003F207F">
            <w:pPr>
              <w:pStyle w:val="NoSpacing"/>
              <w:jc w:val="center"/>
              <w:cnfStyle w:val="000000100000" w:firstRow="0" w:lastRow="0" w:firstColumn="0" w:lastColumn="0" w:oddVBand="0" w:evenVBand="0" w:oddHBand="1" w:evenHBand="0" w:firstRowFirstColumn="0" w:firstRowLastColumn="0" w:lastRowFirstColumn="0" w:lastRowLastColumn="0"/>
              <w:rPr>
                <w:b/>
                <w:smallCaps/>
                <w:sz w:val="22"/>
                <w:szCs w:val="22"/>
              </w:rPr>
            </w:pPr>
            <w:r w:rsidRPr="00B031C2">
              <w:rPr>
                <w:b/>
                <w:smallCaps/>
                <w:sz w:val="22"/>
                <w:szCs w:val="22"/>
              </w:rPr>
              <w:t>Percentage</w:t>
            </w:r>
          </w:p>
        </w:tc>
      </w:tr>
      <w:tr w:rsidR="00911777" w:rsidRPr="00B031C2" w:rsidTr="0040612C">
        <w:trPr>
          <w:jc w:val="center"/>
        </w:trPr>
        <w:tc>
          <w:tcPr>
            <w:cnfStyle w:val="001000000000" w:firstRow="0" w:lastRow="0" w:firstColumn="1" w:lastColumn="0" w:oddVBand="0" w:evenVBand="0" w:oddHBand="0" w:evenHBand="0" w:firstRowFirstColumn="0" w:firstRowLastColumn="0" w:lastRowFirstColumn="0" w:lastRowLastColumn="0"/>
            <w:tcW w:w="2070" w:type="dxa"/>
          </w:tcPr>
          <w:p w:rsidR="00911777" w:rsidRPr="00B031C2" w:rsidRDefault="00E144C6" w:rsidP="00A3296A">
            <w:pPr>
              <w:pStyle w:val="NoSpacing"/>
              <w:rPr>
                <w:b w:val="0"/>
                <w:sz w:val="22"/>
                <w:szCs w:val="22"/>
              </w:rPr>
            </w:pPr>
            <w:r w:rsidRPr="00B031C2">
              <w:rPr>
                <w:b w:val="0"/>
                <w:sz w:val="22"/>
                <w:szCs w:val="22"/>
              </w:rPr>
              <w:t>Boston</w:t>
            </w:r>
          </w:p>
        </w:tc>
        <w:tc>
          <w:tcPr>
            <w:tcW w:w="2340" w:type="dxa"/>
          </w:tcPr>
          <w:p w:rsidR="00911777" w:rsidRPr="00B031C2" w:rsidRDefault="00E144C6" w:rsidP="00DE429D">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4</w:t>
            </w:r>
            <w:r w:rsidR="00DE429D">
              <w:rPr>
                <w:sz w:val="22"/>
                <w:szCs w:val="22"/>
              </w:rPr>
              <w:t>97</w:t>
            </w:r>
          </w:p>
        </w:tc>
        <w:tc>
          <w:tcPr>
            <w:tcW w:w="2430" w:type="dxa"/>
          </w:tcPr>
          <w:p w:rsidR="00911777" w:rsidRPr="00B031C2" w:rsidRDefault="00DE429D" w:rsidP="003F207F">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23</w:t>
            </w:r>
            <w:r w:rsidR="003F207F" w:rsidRPr="00B031C2">
              <w:rPr>
                <w:sz w:val="22"/>
                <w:szCs w:val="22"/>
              </w:rPr>
              <w:t>%</w:t>
            </w:r>
          </w:p>
        </w:tc>
      </w:tr>
      <w:tr w:rsidR="00911777" w:rsidRPr="00B031C2" w:rsidTr="004061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0" w:type="dxa"/>
          </w:tcPr>
          <w:p w:rsidR="00911777" w:rsidRPr="00B031C2" w:rsidRDefault="00E144C6" w:rsidP="00A3296A">
            <w:pPr>
              <w:pStyle w:val="NoSpacing"/>
              <w:rPr>
                <w:b w:val="0"/>
                <w:sz w:val="22"/>
                <w:szCs w:val="22"/>
              </w:rPr>
            </w:pPr>
            <w:r w:rsidRPr="00B031C2">
              <w:rPr>
                <w:b w:val="0"/>
                <w:sz w:val="22"/>
                <w:szCs w:val="22"/>
              </w:rPr>
              <w:t>Springfield</w:t>
            </w:r>
          </w:p>
        </w:tc>
        <w:tc>
          <w:tcPr>
            <w:tcW w:w="2340" w:type="dxa"/>
          </w:tcPr>
          <w:p w:rsidR="00911777" w:rsidRPr="00B031C2" w:rsidRDefault="003F207F" w:rsidP="00DE429D">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1</w:t>
            </w:r>
            <w:r w:rsidR="00DE429D">
              <w:rPr>
                <w:sz w:val="22"/>
                <w:szCs w:val="22"/>
              </w:rPr>
              <w:t>62</w:t>
            </w:r>
          </w:p>
        </w:tc>
        <w:tc>
          <w:tcPr>
            <w:tcW w:w="2430" w:type="dxa"/>
          </w:tcPr>
          <w:p w:rsidR="00911777" w:rsidRPr="00B031C2" w:rsidRDefault="00DE429D" w:rsidP="003F207F">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w:t>
            </w:r>
            <w:r w:rsidR="003F207F" w:rsidRPr="00B031C2">
              <w:rPr>
                <w:sz w:val="22"/>
                <w:szCs w:val="22"/>
              </w:rPr>
              <w:t>%</w:t>
            </w:r>
          </w:p>
        </w:tc>
      </w:tr>
      <w:tr w:rsidR="00911777" w:rsidRPr="00B031C2" w:rsidTr="0040612C">
        <w:trPr>
          <w:jc w:val="center"/>
        </w:trPr>
        <w:tc>
          <w:tcPr>
            <w:cnfStyle w:val="001000000000" w:firstRow="0" w:lastRow="0" w:firstColumn="1" w:lastColumn="0" w:oddVBand="0" w:evenVBand="0" w:oddHBand="0" w:evenHBand="0" w:firstRowFirstColumn="0" w:firstRowLastColumn="0" w:lastRowFirstColumn="0" w:lastRowLastColumn="0"/>
            <w:tcW w:w="2070" w:type="dxa"/>
          </w:tcPr>
          <w:p w:rsidR="00911777" w:rsidRPr="00B031C2" w:rsidRDefault="00E144C6" w:rsidP="00A3296A">
            <w:pPr>
              <w:pStyle w:val="NoSpacing"/>
              <w:rPr>
                <w:b w:val="0"/>
                <w:sz w:val="22"/>
                <w:szCs w:val="22"/>
              </w:rPr>
            </w:pPr>
            <w:r w:rsidRPr="00B031C2">
              <w:rPr>
                <w:b w:val="0"/>
                <w:sz w:val="22"/>
                <w:szCs w:val="22"/>
              </w:rPr>
              <w:t>Worcester</w:t>
            </w:r>
          </w:p>
        </w:tc>
        <w:tc>
          <w:tcPr>
            <w:tcW w:w="2340" w:type="dxa"/>
          </w:tcPr>
          <w:p w:rsidR="00911777" w:rsidRPr="00B031C2" w:rsidRDefault="003F207F" w:rsidP="00DE429D">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1</w:t>
            </w:r>
            <w:r w:rsidR="00DE429D">
              <w:rPr>
                <w:sz w:val="22"/>
                <w:szCs w:val="22"/>
              </w:rPr>
              <w:t>09</w:t>
            </w:r>
          </w:p>
        </w:tc>
        <w:tc>
          <w:tcPr>
            <w:tcW w:w="2430" w:type="dxa"/>
          </w:tcPr>
          <w:p w:rsidR="00911777" w:rsidRPr="00B031C2" w:rsidRDefault="003F207F" w:rsidP="003F207F">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5%</w:t>
            </w:r>
          </w:p>
        </w:tc>
      </w:tr>
      <w:tr w:rsidR="00911777" w:rsidRPr="00B031C2" w:rsidTr="004061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0" w:type="dxa"/>
          </w:tcPr>
          <w:p w:rsidR="00911777" w:rsidRPr="00B031C2" w:rsidRDefault="00DE429D" w:rsidP="00A3296A">
            <w:pPr>
              <w:pStyle w:val="NoSpacing"/>
              <w:rPr>
                <w:b w:val="0"/>
                <w:sz w:val="22"/>
                <w:szCs w:val="22"/>
              </w:rPr>
            </w:pPr>
            <w:r>
              <w:rPr>
                <w:b w:val="0"/>
                <w:sz w:val="22"/>
                <w:szCs w:val="22"/>
              </w:rPr>
              <w:t>New Bedford</w:t>
            </w:r>
          </w:p>
        </w:tc>
        <w:tc>
          <w:tcPr>
            <w:tcW w:w="2340" w:type="dxa"/>
          </w:tcPr>
          <w:p w:rsidR="00911777" w:rsidRPr="00B031C2" w:rsidRDefault="00DE429D" w:rsidP="003F207F">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68</w:t>
            </w:r>
          </w:p>
        </w:tc>
        <w:tc>
          <w:tcPr>
            <w:tcW w:w="2430" w:type="dxa"/>
          </w:tcPr>
          <w:p w:rsidR="00911777" w:rsidRPr="00B031C2" w:rsidRDefault="00DE429D" w:rsidP="003F207F">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r w:rsidR="003F207F" w:rsidRPr="00B031C2">
              <w:rPr>
                <w:sz w:val="22"/>
                <w:szCs w:val="22"/>
              </w:rPr>
              <w:t>%</w:t>
            </w:r>
          </w:p>
        </w:tc>
      </w:tr>
      <w:tr w:rsidR="00DE429D" w:rsidRPr="00B031C2" w:rsidTr="0040612C">
        <w:trPr>
          <w:jc w:val="center"/>
        </w:trPr>
        <w:tc>
          <w:tcPr>
            <w:cnfStyle w:val="001000000000" w:firstRow="0" w:lastRow="0" w:firstColumn="1" w:lastColumn="0" w:oddVBand="0" w:evenVBand="0" w:oddHBand="0" w:evenHBand="0" w:firstRowFirstColumn="0" w:firstRowLastColumn="0" w:lastRowFirstColumn="0" w:lastRowLastColumn="0"/>
            <w:tcW w:w="2070" w:type="dxa"/>
          </w:tcPr>
          <w:p w:rsidR="00DE429D" w:rsidRPr="00B031C2" w:rsidRDefault="00DE429D" w:rsidP="00DE429D">
            <w:pPr>
              <w:pStyle w:val="NoSpacing"/>
              <w:rPr>
                <w:b w:val="0"/>
                <w:sz w:val="22"/>
                <w:szCs w:val="22"/>
              </w:rPr>
            </w:pPr>
            <w:r w:rsidRPr="00B031C2">
              <w:rPr>
                <w:b w:val="0"/>
                <w:sz w:val="22"/>
                <w:szCs w:val="22"/>
              </w:rPr>
              <w:t>Lawrence</w:t>
            </w:r>
          </w:p>
        </w:tc>
        <w:tc>
          <w:tcPr>
            <w:tcW w:w="2340" w:type="dxa"/>
          </w:tcPr>
          <w:p w:rsidR="00DE429D" w:rsidRPr="00B031C2" w:rsidRDefault="00DE429D" w:rsidP="00DE429D">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67</w:t>
            </w:r>
          </w:p>
        </w:tc>
        <w:tc>
          <w:tcPr>
            <w:tcW w:w="2430" w:type="dxa"/>
          </w:tcPr>
          <w:p w:rsidR="00DE429D" w:rsidRPr="00B031C2" w:rsidRDefault="00DE429D" w:rsidP="00DE429D">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r>
      <w:tr w:rsidR="00DE429D" w:rsidRPr="00B031C2" w:rsidTr="004061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0" w:type="dxa"/>
          </w:tcPr>
          <w:p w:rsidR="00DE429D" w:rsidRPr="00B031C2" w:rsidRDefault="00DE429D" w:rsidP="00DE429D">
            <w:pPr>
              <w:pStyle w:val="NoSpacing"/>
              <w:rPr>
                <w:b w:val="0"/>
                <w:sz w:val="22"/>
                <w:szCs w:val="22"/>
              </w:rPr>
            </w:pPr>
            <w:r>
              <w:rPr>
                <w:b w:val="0"/>
                <w:sz w:val="22"/>
                <w:szCs w:val="22"/>
              </w:rPr>
              <w:t>Lowell</w:t>
            </w:r>
          </w:p>
        </w:tc>
        <w:tc>
          <w:tcPr>
            <w:tcW w:w="2340" w:type="dxa"/>
          </w:tcPr>
          <w:p w:rsidR="00DE429D" w:rsidRPr="00B031C2" w:rsidRDefault="00DE429D" w:rsidP="00DE429D">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w:t>
            </w:r>
            <w:r w:rsidRPr="00B031C2">
              <w:rPr>
                <w:sz w:val="22"/>
                <w:szCs w:val="22"/>
              </w:rPr>
              <w:t>6</w:t>
            </w:r>
          </w:p>
        </w:tc>
        <w:tc>
          <w:tcPr>
            <w:tcW w:w="2430" w:type="dxa"/>
          </w:tcPr>
          <w:p w:rsidR="00DE429D" w:rsidRPr="00B031C2" w:rsidRDefault="00DE429D" w:rsidP="00DE429D">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r w:rsidRPr="00B031C2">
              <w:rPr>
                <w:sz w:val="22"/>
                <w:szCs w:val="22"/>
              </w:rPr>
              <w:t>%</w:t>
            </w:r>
          </w:p>
        </w:tc>
      </w:tr>
      <w:tr w:rsidR="00DE429D" w:rsidRPr="00B031C2" w:rsidTr="0040612C">
        <w:trPr>
          <w:jc w:val="center"/>
        </w:trPr>
        <w:tc>
          <w:tcPr>
            <w:cnfStyle w:val="001000000000" w:firstRow="0" w:lastRow="0" w:firstColumn="1" w:lastColumn="0" w:oddVBand="0" w:evenVBand="0" w:oddHBand="0" w:evenHBand="0" w:firstRowFirstColumn="0" w:firstRowLastColumn="0" w:lastRowFirstColumn="0" w:lastRowLastColumn="0"/>
            <w:tcW w:w="2070" w:type="dxa"/>
          </w:tcPr>
          <w:p w:rsidR="00DE429D" w:rsidRPr="00B031C2" w:rsidRDefault="00DE429D" w:rsidP="00DE429D">
            <w:pPr>
              <w:pStyle w:val="NoSpacing"/>
              <w:rPr>
                <w:b w:val="0"/>
                <w:sz w:val="22"/>
                <w:szCs w:val="22"/>
              </w:rPr>
            </w:pPr>
            <w:r>
              <w:rPr>
                <w:b w:val="0"/>
                <w:sz w:val="22"/>
                <w:szCs w:val="22"/>
              </w:rPr>
              <w:t>Lynn</w:t>
            </w:r>
          </w:p>
        </w:tc>
        <w:tc>
          <w:tcPr>
            <w:tcW w:w="2340" w:type="dxa"/>
          </w:tcPr>
          <w:p w:rsidR="00DE429D" w:rsidRPr="00B031C2" w:rsidRDefault="00DE429D" w:rsidP="00DE429D">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66</w:t>
            </w:r>
          </w:p>
        </w:tc>
        <w:tc>
          <w:tcPr>
            <w:tcW w:w="2430" w:type="dxa"/>
          </w:tcPr>
          <w:p w:rsidR="00DE429D" w:rsidRPr="00B031C2" w:rsidRDefault="00DE429D" w:rsidP="00DE429D">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r>
      <w:tr w:rsidR="00DE429D" w:rsidRPr="00B031C2" w:rsidTr="004061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0" w:type="dxa"/>
          </w:tcPr>
          <w:p w:rsidR="00DE429D" w:rsidRPr="00B031C2" w:rsidRDefault="00DE429D" w:rsidP="00DE429D">
            <w:pPr>
              <w:pStyle w:val="NoSpacing"/>
              <w:rPr>
                <w:b w:val="0"/>
                <w:sz w:val="22"/>
                <w:szCs w:val="22"/>
              </w:rPr>
            </w:pPr>
            <w:r>
              <w:rPr>
                <w:b w:val="0"/>
                <w:sz w:val="22"/>
                <w:szCs w:val="22"/>
              </w:rPr>
              <w:t>Brockton</w:t>
            </w:r>
          </w:p>
        </w:tc>
        <w:tc>
          <w:tcPr>
            <w:tcW w:w="2340" w:type="dxa"/>
          </w:tcPr>
          <w:p w:rsidR="00DE429D" w:rsidRPr="00B031C2" w:rsidRDefault="00DE429D" w:rsidP="00DE429D">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59</w:t>
            </w:r>
          </w:p>
        </w:tc>
        <w:tc>
          <w:tcPr>
            <w:tcW w:w="2430" w:type="dxa"/>
          </w:tcPr>
          <w:p w:rsidR="00DE429D" w:rsidRPr="00B031C2" w:rsidRDefault="00DE429D" w:rsidP="00DE429D">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r>
      <w:tr w:rsidR="00DE429D" w:rsidRPr="00B031C2" w:rsidTr="0040612C">
        <w:trPr>
          <w:jc w:val="center"/>
        </w:trPr>
        <w:tc>
          <w:tcPr>
            <w:cnfStyle w:val="001000000000" w:firstRow="0" w:lastRow="0" w:firstColumn="1" w:lastColumn="0" w:oddVBand="0" w:evenVBand="0" w:oddHBand="0" w:evenHBand="0" w:firstRowFirstColumn="0" w:firstRowLastColumn="0" w:lastRowFirstColumn="0" w:lastRowLastColumn="0"/>
            <w:tcW w:w="2070" w:type="dxa"/>
          </w:tcPr>
          <w:p w:rsidR="00DE429D" w:rsidRPr="00B031C2" w:rsidRDefault="00DE429D" w:rsidP="00DE429D">
            <w:pPr>
              <w:pStyle w:val="NoSpacing"/>
              <w:rPr>
                <w:b w:val="0"/>
                <w:sz w:val="22"/>
                <w:szCs w:val="22"/>
              </w:rPr>
            </w:pPr>
            <w:r w:rsidRPr="00B031C2">
              <w:rPr>
                <w:b w:val="0"/>
                <w:sz w:val="22"/>
                <w:szCs w:val="22"/>
              </w:rPr>
              <w:t>Fall River</w:t>
            </w:r>
          </w:p>
        </w:tc>
        <w:tc>
          <w:tcPr>
            <w:tcW w:w="2340" w:type="dxa"/>
          </w:tcPr>
          <w:p w:rsidR="00DE429D" w:rsidRPr="00B031C2" w:rsidRDefault="00DE429D" w:rsidP="00DE429D">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59</w:t>
            </w:r>
          </w:p>
        </w:tc>
        <w:tc>
          <w:tcPr>
            <w:tcW w:w="2430" w:type="dxa"/>
          </w:tcPr>
          <w:p w:rsidR="00DE429D" w:rsidRPr="00B031C2" w:rsidRDefault="00DE429D" w:rsidP="00DE429D">
            <w:pPr>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3%</w:t>
            </w:r>
          </w:p>
        </w:tc>
      </w:tr>
      <w:tr w:rsidR="00DE429D" w:rsidRPr="00B031C2" w:rsidTr="004061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0" w:type="dxa"/>
          </w:tcPr>
          <w:p w:rsidR="00DE429D" w:rsidRPr="00B031C2" w:rsidRDefault="00DE429D" w:rsidP="00DE429D">
            <w:pPr>
              <w:pStyle w:val="NoSpacing"/>
              <w:rPr>
                <w:b w:val="0"/>
                <w:sz w:val="22"/>
                <w:szCs w:val="22"/>
              </w:rPr>
            </w:pPr>
            <w:r>
              <w:rPr>
                <w:b w:val="0"/>
                <w:sz w:val="22"/>
                <w:szCs w:val="22"/>
              </w:rPr>
              <w:t>Haverhill</w:t>
            </w:r>
          </w:p>
        </w:tc>
        <w:tc>
          <w:tcPr>
            <w:tcW w:w="2340" w:type="dxa"/>
          </w:tcPr>
          <w:p w:rsidR="00DE429D" w:rsidRPr="00B031C2" w:rsidRDefault="00DE429D" w:rsidP="00DE429D">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30</w:t>
            </w:r>
          </w:p>
        </w:tc>
        <w:tc>
          <w:tcPr>
            <w:tcW w:w="2430" w:type="dxa"/>
          </w:tcPr>
          <w:p w:rsidR="00DE429D" w:rsidRPr="00B031C2" w:rsidRDefault="00DE429D" w:rsidP="00DE429D">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r w:rsidRPr="00B031C2">
              <w:rPr>
                <w:sz w:val="22"/>
                <w:szCs w:val="22"/>
              </w:rPr>
              <w:t>%</w:t>
            </w:r>
          </w:p>
        </w:tc>
      </w:tr>
    </w:tbl>
    <w:p w:rsidR="0040612C" w:rsidRDefault="003F207F" w:rsidP="003F207F">
      <w:pPr>
        <w:ind w:left="720" w:firstLine="540"/>
        <w:outlineLvl w:val="0"/>
        <w:rPr>
          <w:sz w:val="20"/>
        </w:rPr>
      </w:pPr>
      <w:r w:rsidRPr="006642E2">
        <w:rPr>
          <w:sz w:val="20"/>
        </w:rPr>
        <w:t>Source: Massac</w:t>
      </w:r>
      <w:r w:rsidR="004B4DEE">
        <w:rPr>
          <w:sz w:val="20"/>
        </w:rPr>
        <w:t>husetts DOC</w:t>
      </w:r>
      <w:r w:rsidRPr="006642E2">
        <w:rPr>
          <w:sz w:val="20"/>
        </w:rPr>
        <w:t xml:space="preserve">. </w:t>
      </w:r>
      <w:r w:rsidRPr="0040612C">
        <w:rPr>
          <w:i/>
          <w:sz w:val="20"/>
        </w:rPr>
        <w:t>“Prison Population Trends 201</w:t>
      </w:r>
      <w:r w:rsidR="00DE429D">
        <w:rPr>
          <w:i/>
          <w:sz w:val="20"/>
        </w:rPr>
        <w:t>7</w:t>
      </w:r>
      <w:r w:rsidRPr="0040612C">
        <w:rPr>
          <w:i/>
          <w:sz w:val="20"/>
        </w:rPr>
        <w:t>,”</w:t>
      </w:r>
      <w:r w:rsidRPr="006642E2">
        <w:rPr>
          <w:sz w:val="20"/>
        </w:rPr>
        <w:t xml:space="preserve"> </w:t>
      </w:r>
    </w:p>
    <w:p w:rsidR="003F207F" w:rsidRDefault="003F207F" w:rsidP="003F207F">
      <w:pPr>
        <w:ind w:left="720" w:firstLine="540"/>
        <w:outlineLvl w:val="0"/>
        <w:rPr>
          <w:sz w:val="20"/>
        </w:rPr>
      </w:pPr>
      <w:r>
        <w:rPr>
          <w:sz w:val="20"/>
        </w:rPr>
        <w:t>March 201</w:t>
      </w:r>
      <w:r w:rsidR="00DE429D">
        <w:rPr>
          <w:sz w:val="20"/>
        </w:rPr>
        <w:t>8</w:t>
      </w:r>
      <w:r>
        <w:rPr>
          <w:sz w:val="20"/>
        </w:rPr>
        <w:t>.</w:t>
      </w:r>
    </w:p>
    <w:p w:rsidR="003F207F" w:rsidRDefault="003F207F" w:rsidP="003F207F">
      <w:pPr>
        <w:ind w:left="720" w:firstLine="540"/>
        <w:outlineLvl w:val="0"/>
        <w:rPr>
          <w:b/>
        </w:rPr>
      </w:pPr>
      <w:r>
        <w:rPr>
          <w:sz w:val="20"/>
        </w:rPr>
        <w:t>Note: Release address is self-reported by the inmate prior to release.</w:t>
      </w:r>
    </w:p>
    <w:p w:rsidR="00DE5C91" w:rsidRDefault="00DE5C91" w:rsidP="00A3296A">
      <w:pPr>
        <w:pStyle w:val="NoSpacing"/>
      </w:pPr>
    </w:p>
    <w:p w:rsidR="0050027B" w:rsidRDefault="001C5FFA" w:rsidP="0050027B">
      <w:pPr>
        <w:pStyle w:val="NoSpacing"/>
      </w:pPr>
      <w:r>
        <w:t xml:space="preserve">Between 2007 and 2016, there was a 37% decline </w:t>
      </w:r>
      <w:r w:rsidR="00AA4C78">
        <w:t xml:space="preserve">in the number of admissions to the DOC.  Excluding 2007, 2008, and 2011, the number of releases from the DOC surpassed the number of </w:t>
      </w:r>
      <w:r w:rsidR="00AA4C78">
        <w:lastRenderedPageBreak/>
        <w:t xml:space="preserve">admissions, reflecting a trend of sporadic decline in the incarcerated population across the Commonwealth </w:t>
      </w:r>
      <w:r w:rsidR="00AA4C78" w:rsidRPr="00DF0540">
        <w:t xml:space="preserve">(Figure </w:t>
      </w:r>
      <w:r w:rsidR="00DF0540">
        <w:t>7</w:t>
      </w:r>
      <w:r w:rsidR="00AA4C78">
        <w:t xml:space="preserve">).  In 2010, </w:t>
      </w:r>
      <w:r w:rsidR="00746723">
        <w:t>the number of annual admissions and the number of annual releases was closely aligned; however, this changed in 2011 with the reduction in parole releases.  This reduction in the number of overall releases from prison to the community in 2011 – a decline of 15% from the previous year – is an aberration.  In 2011, there was an overhaul of the Massachusetts Parole Board which reduced the number of hearings, votes, and parole releases to the street.  Parole hearings with a full Board complement resumed in mid-April 2011.</w:t>
      </w:r>
      <w:r w:rsidR="0050027B">
        <w:t xml:space="preserve">  Additionally, i</w:t>
      </w:r>
      <w:r w:rsidR="0050027B" w:rsidRPr="0050027B">
        <w:t>n 2013, there was an increase in inmates transferred to local jails prior to their release from prison as part of a step-down initiative for reentry; this accounts for the increase in the number of persons under Massachusetts’ jurisdiction held in local jail facilities.</w:t>
      </w:r>
      <w:r w:rsidR="00F46908">
        <w:t xml:space="preserve">  In 2017, there was a decline of 1% and 7.9% in DOC admissions and releases, respectively.</w:t>
      </w:r>
    </w:p>
    <w:p w:rsidR="001C5FFA" w:rsidRDefault="001C5FFA" w:rsidP="00A3296A">
      <w:pPr>
        <w:pStyle w:val="NoSpacing"/>
      </w:pPr>
    </w:p>
    <w:p w:rsidR="00AB224D" w:rsidRDefault="00D96BE4" w:rsidP="0013110E">
      <w:pPr>
        <w:pStyle w:val="NoSpacing"/>
        <w:jc w:val="center"/>
      </w:pPr>
      <w:r>
        <w:rPr>
          <w:noProof/>
          <w:lang w:eastAsia="en-US"/>
        </w:rPr>
        <w:drawing>
          <wp:inline distT="0" distB="0" distL="0" distR="0" wp14:anchorId="62493011" wp14:editId="6E9D3179">
            <wp:extent cx="5589767" cy="2768738"/>
            <wp:effectExtent l="0" t="0" r="11430" b="127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B224D" w:rsidRPr="00D97FFE" w:rsidRDefault="0013110E" w:rsidP="00D96BE4">
      <w:pPr>
        <w:pStyle w:val="NoSpacing"/>
        <w:ind w:left="270"/>
        <w:rPr>
          <w:sz w:val="20"/>
          <w:szCs w:val="20"/>
        </w:rPr>
      </w:pPr>
      <w:r w:rsidRPr="00CD11F7">
        <w:rPr>
          <w:i/>
          <w:sz w:val="20"/>
          <w:szCs w:val="20"/>
        </w:rPr>
        <w:t xml:space="preserve">Figure </w:t>
      </w:r>
      <w:r w:rsidR="00DF0540">
        <w:rPr>
          <w:i/>
          <w:sz w:val="20"/>
          <w:szCs w:val="20"/>
        </w:rPr>
        <w:t>7</w:t>
      </w:r>
      <w:r w:rsidRPr="00CD11F7">
        <w:rPr>
          <w:i/>
          <w:sz w:val="20"/>
          <w:szCs w:val="20"/>
        </w:rPr>
        <w:t>.</w:t>
      </w:r>
      <w:r w:rsidRPr="00D97FFE">
        <w:rPr>
          <w:sz w:val="20"/>
          <w:szCs w:val="20"/>
        </w:rPr>
        <w:t xml:space="preserve"> Source: Massac</w:t>
      </w:r>
      <w:r w:rsidR="004B4DEE">
        <w:rPr>
          <w:sz w:val="20"/>
          <w:szCs w:val="20"/>
        </w:rPr>
        <w:t>husetts DOC</w:t>
      </w:r>
      <w:r w:rsidRPr="00D97FFE">
        <w:rPr>
          <w:sz w:val="20"/>
          <w:szCs w:val="20"/>
        </w:rPr>
        <w:t xml:space="preserve">.  </w:t>
      </w:r>
      <w:r w:rsidRPr="00D97FFE">
        <w:rPr>
          <w:i/>
          <w:sz w:val="20"/>
          <w:szCs w:val="20"/>
        </w:rPr>
        <w:t>“Prison Population Trends 201</w:t>
      </w:r>
      <w:r w:rsidR="00D96BE4">
        <w:rPr>
          <w:i/>
          <w:sz w:val="20"/>
          <w:szCs w:val="20"/>
        </w:rPr>
        <w:t>7</w:t>
      </w:r>
      <w:r w:rsidRPr="00D97FFE">
        <w:rPr>
          <w:i/>
          <w:sz w:val="20"/>
          <w:szCs w:val="20"/>
        </w:rPr>
        <w:t>,”</w:t>
      </w:r>
      <w:r w:rsidRPr="00D97FFE">
        <w:rPr>
          <w:sz w:val="20"/>
          <w:szCs w:val="20"/>
        </w:rPr>
        <w:t xml:space="preserve"> </w:t>
      </w:r>
      <w:r w:rsidR="0040612C">
        <w:rPr>
          <w:sz w:val="20"/>
          <w:szCs w:val="20"/>
        </w:rPr>
        <w:t>March 201</w:t>
      </w:r>
      <w:r w:rsidR="00D96BE4">
        <w:rPr>
          <w:sz w:val="20"/>
          <w:szCs w:val="20"/>
        </w:rPr>
        <w:t>8</w:t>
      </w:r>
      <w:r w:rsidR="0040612C">
        <w:rPr>
          <w:sz w:val="20"/>
          <w:szCs w:val="20"/>
        </w:rPr>
        <w:t>.</w:t>
      </w:r>
    </w:p>
    <w:p w:rsidR="00AB224D" w:rsidRPr="00D97FFE" w:rsidRDefault="00D97FFE" w:rsidP="00D96BE4">
      <w:pPr>
        <w:pStyle w:val="NoSpacing"/>
        <w:ind w:left="270"/>
        <w:rPr>
          <w:sz w:val="20"/>
          <w:szCs w:val="20"/>
        </w:rPr>
      </w:pPr>
      <w:r w:rsidRPr="00D97FFE">
        <w:rPr>
          <w:sz w:val="20"/>
          <w:szCs w:val="20"/>
        </w:rPr>
        <w:t xml:space="preserve">Note: The criminally sentenced jurisdiction includes inmates under jurisdiction of the Massachusetts DOC serving their sentence in the Massachusetts DOC and other non-DOC facilities. </w:t>
      </w:r>
    </w:p>
    <w:p w:rsidR="0050027B" w:rsidRDefault="0050027B" w:rsidP="00A3296A">
      <w:pPr>
        <w:pStyle w:val="NoSpacing"/>
      </w:pPr>
    </w:p>
    <w:p w:rsidR="00AB224D" w:rsidRDefault="0082049C" w:rsidP="00A3296A">
      <w:pPr>
        <w:pStyle w:val="NoSpacing"/>
      </w:pPr>
      <w:r>
        <w:t>The Massachusetts inmate jurisdiction population continued to decline for the fourth year, decreasing 1</w:t>
      </w:r>
      <w:r w:rsidR="00734947">
        <w:t>9</w:t>
      </w:r>
      <w:r>
        <w:t xml:space="preserve">% after a peak of 11,723 in 2012 to </w:t>
      </w:r>
      <w:r w:rsidR="00734947">
        <w:t>9,496</w:t>
      </w:r>
      <w:r>
        <w:t xml:space="preserve"> in 201</w:t>
      </w:r>
      <w:r w:rsidR="00734947">
        <w:t>7</w:t>
      </w:r>
      <w:r>
        <w:t xml:space="preserve"> (</w:t>
      </w:r>
      <w:r w:rsidRPr="00DF0540">
        <w:t xml:space="preserve">Figure </w:t>
      </w:r>
      <w:r w:rsidR="00DF0540" w:rsidRPr="00DF0540">
        <w:t>8</w:t>
      </w:r>
      <w:r w:rsidR="000202AA">
        <w:t>, page 1</w:t>
      </w:r>
      <w:r w:rsidR="00734947">
        <w:t>6</w:t>
      </w:r>
      <w:r>
        <w:t>).</w:t>
      </w:r>
      <w:r>
        <w:rPr>
          <w:rStyle w:val="FootnoteReference"/>
        </w:rPr>
        <w:footnoteReference w:id="12"/>
      </w:r>
      <w:r w:rsidR="00A96FBA">
        <w:t xml:space="preserve">  </w:t>
      </w:r>
      <w:r w:rsidR="00690F0D">
        <w:t>Because nearly 95% of everyone who is sent to prison will eventually be released, the incarcerated population has significant implications for prisoners returning to Massachusetts communities and the efforts to reduce recidivism.</w:t>
      </w:r>
      <w:r w:rsidR="00690F0D">
        <w:rPr>
          <w:rStyle w:val="FootnoteReference"/>
        </w:rPr>
        <w:footnoteReference w:id="13"/>
      </w:r>
      <w:r w:rsidR="00690F0D">
        <w:t xml:space="preserve">  </w:t>
      </w:r>
      <w:r w:rsidR="00830371">
        <w:t xml:space="preserve">In varying degrees, </w:t>
      </w:r>
      <w:r w:rsidR="00690F0D">
        <w:t>the communities to which former prisoner</w:t>
      </w:r>
      <w:r w:rsidR="00830371">
        <w:t>s</w:t>
      </w:r>
      <w:r w:rsidR="00690F0D">
        <w:t xml:space="preserve"> return have socioeconomic factors such as poverty, disenfranchisement, minimal social supports, and persistently high crime rates </w:t>
      </w:r>
      <w:r w:rsidR="00830371">
        <w:t xml:space="preserve">that </w:t>
      </w:r>
      <w:r w:rsidR="00DF0AF8">
        <w:t xml:space="preserve">present a variety of challenges </w:t>
      </w:r>
      <w:r w:rsidR="00830371">
        <w:t>which</w:t>
      </w:r>
      <w:r w:rsidR="00DF0AF8">
        <w:t xml:space="preserve"> can hinder successful reintegration.</w:t>
      </w:r>
      <w:r w:rsidR="003A4CFA">
        <w:t xml:space="preserve">  Comparing releases to the community</w:t>
      </w:r>
      <w:r w:rsidR="003A4CFA">
        <w:rPr>
          <w:rStyle w:val="FootnoteReference"/>
        </w:rPr>
        <w:footnoteReference w:id="14"/>
      </w:r>
      <w:r w:rsidR="003A4CFA">
        <w:t xml:space="preserve"> in 2011 and 2012, there was a </w:t>
      </w:r>
      <w:r w:rsidR="003A4CFA">
        <w:lastRenderedPageBreak/>
        <w:t>significant difference between the two years.  There were two separate events in 2012</w:t>
      </w:r>
      <w:r w:rsidR="00E82154">
        <w:rPr>
          <w:rStyle w:val="FootnoteReference"/>
        </w:rPr>
        <w:footnoteReference w:id="15"/>
      </w:r>
      <w:r w:rsidR="003A4CFA">
        <w:t xml:space="preserve"> that contributed to a </w:t>
      </w:r>
      <w:r w:rsidR="00961429">
        <w:t>19</w:t>
      </w:r>
      <w:r w:rsidR="003A4CFA">
        <w:t xml:space="preserve">% increase from the previous year in the number of inmates released to the </w:t>
      </w:r>
      <w:r w:rsidR="0050027B">
        <w:t>community</w:t>
      </w:r>
      <w:r w:rsidR="003A4CFA">
        <w:t xml:space="preserve">. </w:t>
      </w:r>
    </w:p>
    <w:p w:rsidR="001A6BCF" w:rsidRDefault="001A6BCF" w:rsidP="00A3296A">
      <w:pPr>
        <w:pStyle w:val="NoSpacing"/>
      </w:pPr>
    </w:p>
    <w:p w:rsidR="001A6BCF" w:rsidRDefault="001E2B6A" w:rsidP="0082049C">
      <w:pPr>
        <w:pStyle w:val="NoSpacing"/>
        <w:jc w:val="center"/>
      </w:pPr>
      <w:r>
        <w:rPr>
          <w:noProof/>
          <w:lang w:eastAsia="en-US"/>
        </w:rPr>
        <w:drawing>
          <wp:inline distT="0" distB="0" distL="0" distR="0" wp14:anchorId="087C6723" wp14:editId="2CB38974">
            <wp:extent cx="4993005" cy="2449002"/>
            <wp:effectExtent l="0" t="0" r="17145" b="889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2049C" w:rsidRDefault="0082049C" w:rsidP="0082049C">
      <w:pPr>
        <w:pStyle w:val="NoSpacing"/>
        <w:ind w:left="720"/>
        <w:rPr>
          <w:sz w:val="20"/>
          <w:szCs w:val="20"/>
        </w:rPr>
      </w:pPr>
      <w:r w:rsidRPr="00CD11F7">
        <w:rPr>
          <w:i/>
          <w:sz w:val="20"/>
          <w:szCs w:val="20"/>
        </w:rPr>
        <w:t xml:space="preserve">Figure </w:t>
      </w:r>
      <w:r w:rsidR="00DF0540">
        <w:rPr>
          <w:i/>
          <w:sz w:val="20"/>
          <w:szCs w:val="20"/>
        </w:rPr>
        <w:t>8</w:t>
      </w:r>
      <w:r w:rsidRPr="00CD11F7">
        <w:rPr>
          <w:i/>
          <w:sz w:val="20"/>
          <w:szCs w:val="20"/>
        </w:rPr>
        <w:t>.</w:t>
      </w:r>
      <w:r w:rsidR="004B4DEE">
        <w:rPr>
          <w:sz w:val="20"/>
          <w:szCs w:val="20"/>
        </w:rPr>
        <w:t xml:space="preserve"> Source: Massachusetts DOC</w:t>
      </w:r>
      <w:r w:rsidRPr="00D97FFE">
        <w:rPr>
          <w:sz w:val="20"/>
          <w:szCs w:val="20"/>
        </w:rPr>
        <w:t xml:space="preserve">.  </w:t>
      </w:r>
      <w:r w:rsidRPr="00D97FFE">
        <w:rPr>
          <w:i/>
          <w:sz w:val="20"/>
          <w:szCs w:val="20"/>
        </w:rPr>
        <w:t>“Prison Population Trends 201</w:t>
      </w:r>
      <w:r w:rsidR="001E2B6A">
        <w:rPr>
          <w:i/>
          <w:sz w:val="20"/>
          <w:szCs w:val="20"/>
        </w:rPr>
        <w:t>7</w:t>
      </w:r>
      <w:r w:rsidRPr="00D97FFE">
        <w:rPr>
          <w:i/>
          <w:sz w:val="20"/>
          <w:szCs w:val="20"/>
        </w:rPr>
        <w:t>,”</w:t>
      </w:r>
      <w:r w:rsidRPr="00D97FFE">
        <w:rPr>
          <w:sz w:val="20"/>
          <w:szCs w:val="20"/>
        </w:rPr>
        <w:t xml:space="preserve"> </w:t>
      </w:r>
    </w:p>
    <w:p w:rsidR="0082049C" w:rsidRPr="00D97FFE" w:rsidRDefault="0082049C" w:rsidP="0082049C">
      <w:pPr>
        <w:pStyle w:val="NoSpacing"/>
        <w:ind w:left="720"/>
        <w:rPr>
          <w:sz w:val="20"/>
          <w:szCs w:val="20"/>
        </w:rPr>
      </w:pPr>
      <w:r>
        <w:rPr>
          <w:sz w:val="20"/>
          <w:szCs w:val="20"/>
        </w:rPr>
        <w:t>March 201</w:t>
      </w:r>
      <w:r w:rsidR="001E2B6A">
        <w:rPr>
          <w:sz w:val="20"/>
          <w:szCs w:val="20"/>
        </w:rPr>
        <w:t>8</w:t>
      </w:r>
      <w:r>
        <w:rPr>
          <w:sz w:val="20"/>
          <w:szCs w:val="20"/>
        </w:rPr>
        <w:t>.</w:t>
      </w:r>
    </w:p>
    <w:p w:rsidR="001A6BCF" w:rsidRDefault="001A6BCF" w:rsidP="00A3296A">
      <w:pPr>
        <w:pStyle w:val="NoSpacing"/>
      </w:pPr>
    </w:p>
    <w:p w:rsidR="007E5398" w:rsidRDefault="007E5398" w:rsidP="00A3296A">
      <w:pPr>
        <w:pStyle w:val="NoSpacing"/>
      </w:pPr>
      <w:r>
        <w:t xml:space="preserve">Evident in Table </w:t>
      </w:r>
      <w:r w:rsidR="00DF0540">
        <w:t>3</w:t>
      </w:r>
      <w:r>
        <w:t>, the trend of prisoners release</w:t>
      </w:r>
      <w:r w:rsidR="00656328">
        <w:t>d</w:t>
      </w:r>
      <w:r>
        <w:t xml:space="preserve"> to their communities under supervision account for 6-ou</w:t>
      </w:r>
      <w:r w:rsidR="00656328">
        <w:t xml:space="preserve">t-of-10 newly released prisoners.  </w:t>
      </w:r>
      <w:r w:rsidR="00DF624A">
        <w:t xml:space="preserve">This </w:t>
      </w:r>
      <w:r w:rsidR="00734947">
        <w:t>has remained static for the past four years</w:t>
      </w:r>
      <w:r w:rsidR="00DF624A">
        <w:t xml:space="preserve">.  </w:t>
      </w:r>
    </w:p>
    <w:p w:rsidR="00690F0D" w:rsidRDefault="00690F0D" w:rsidP="00A3296A">
      <w:pPr>
        <w:pStyle w:val="NoSpacing"/>
      </w:pPr>
    </w:p>
    <w:tbl>
      <w:tblPr>
        <w:tblStyle w:val="LightShading-Accent1"/>
        <w:tblW w:w="9900" w:type="dxa"/>
        <w:tblBorders>
          <w:insideH w:val="single" w:sz="4" w:space="0" w:color="4F81BD" w:themeColor="accent1"/>
          <w:insideV w:val="single" w:sz="12" w:space="0" w:color="4F81BD" w:themeColor="accent1"/>
        </w:tblBorders>
        <w:tblLayout w:type="fixed"/>
        <w:tblLook w:val="04A0" w:firstRow="1" w:lastRow="0" w:firstColumn="1" w:lastColumn="0" w:noHBand="0" w:noVBand="1"/>
      </w:tblPr>
      <w:tblGrid>
        <w:gridCol w:w="3780"/>
        <w:gridCol w:w="720"/>
        <w:gridCol w:w="810"/>
        <w:gridCol w:w="720"/>
        <w:gridCol w:w="810"/>
        <w:gridCol w:w="720"/>
        <w:gridCol w:w="810"/>
        <w:gridCol w:w="720"/>
        <w:gridCol w:w="810"/>
      </w:tblGrid>
      <w:tr w:rsidR="00383426" w:rsidRPr="002A6283" w:rsidTr="004F5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0" w:type="dxa"/>
            <w:gridSpan w:val="9"/>
            <w:tcBorders>
              <w:top w:val="none" w:sz="0" w:space="0" w:color="auto"/>
              <w:left w:val="none" w:sz="0" w:space="0" w:color="auto"/>
              <w:bottom w:val="none" w:sz="0" w:space="0" w:color="auto"/>
              <w:right w:val="none" w:sz="0" w:space="0" w:color="auto"/>
            </w:tcBorders>
          </w:tcPr>
          <w:p w:rsidR="00383426" w:rsidRPr="002A6283" w:rsidRDefault="00383426" w:rsidP="00BC62A0">
            <w:pPr>
              <w:pStyle w:val="NoSpacing"/>
              <w:jc w:val="center"/>
              <w:rPr>
                <w:b w:val="0"/>
                <w:smallCaps/>
                <w:sz w:val="22"/>
                <w:szCs w:val="22"/>
              </w:rPr>
            </w:pPr>
            <w:r w:rsidRPr="002A6283">
              <w:rPr>
                <w:smallCaps/>
                <w:sz w:val="22"/>
                <w:szCs w:val="22"/>
              </w:rPr>
              <w:t xml:space="preserve">Table </w:t>
            </w:r>
            <w:r w:rsidR="00DF0540">
              <w:rPr>
                <w:smallCaps/>
                <w:sz w:val="22"/>
                <w:szCs w:val="22"/>
              </w:rPr>
              <w:t>3</w:t>
            </w:r>
            <w:r w:rsidRPr="002A6283">
              <w:rPr>
                <w:smallCaps/>
                <w:sz w:val="22"/>
                <w:szCs w:val="22"/>
              </w:rPr>
              <w:t>. Massachusetts DOC Post Release Supervision Type, 201</w:t>
            </w:r>
            <w:r w:rsidR="00BC62A0">
              <w:rPr>
                <w:smallCaps/>
                <w:sz w:val="22"/>
                <w:szCs w:val="22"/>
              </w:rPr>
              <w:t>4</w:t>
            </w:r>
            <w:r w:rsidRPr="002A6283">
              <w:rPr>
                <w:smallCaps/>
                <w:sz w:val="22"/>
                <w:szCs w:val="22"/>
              </w:rPr>
              <w:t xml:space="preserve"> – 201</w:t>
            </w:r>
            <w:r w:rsidR="00BC62A0">
              <w:rPr>
                <w:smallCaps/>
                <w:sz w:val="22"/>
                <w:szCs w:val="22"/>
              </w:rPr>
              <w:t>7</w:t>
            </w:r>
          </w:p>
        </w:tc>
      </w:tr>
      <w:tr w:rsidR="000156D6" w:rsidRPr="002A6283" w:rsidTr="004F5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Borders>
              <w:left w:val="none" w:sz="0" w:space="0" w:color="auto"/>
              <w:right w:val="none" w:sz="0" w:space="0" w:color="auto"/>
            </w:tcBorders>
          </w:tcPr>
          <w:p w:rsidR="00BC6E48" w:rsidRPr="002A6283" w:rsidRDefault="00BC6E48" w:rsidP="00A3296A">
            <w:pPr>
              <w:pStyle w:val="NoSpacing"/>
              <w:rPr>
                <w:b w:val="0"/>
                <w:smallCaps/>
                <w:sz w:val="22"/>
                <w:szCs w:val="22"/>
              </w:rPr>
            </w:pPr>
            <w:r w:rsidRPr="002A6283">
              <w:rPr>
                <w:smallCaps/>
                <w:sz w:val="22"/>
                <w:szCs w:val="22"/>
              </w:rPr>
              <w:t xml:space="preserve">Post Release Supervision Type </w:t>
            </w:r>
          </w:p>
        </w:tc>
        <w:tc>
          <w:tcPr>
            <w:tcW w:w="1530" w:type="dxa"/>
            <w:gridSpan w:val="2"/>
            <w:tcBorders>
              <w:left w:val="none" w:sz="0" w:space="0" w:color="auto"/>
              <w:right w:val="none" w:sz="0" w:space="0" w:color="auto"/>
            </w:tcBorders>
          </w:tcPr>
          <w:p w:rsidR="00BC6E48" w:rsidRPr="002A6283" w:rsidRDefault="00BC6E48" w:rsidP="00FA0361">
            <w:pPr>
              <w:pStyle w:val="NoSpacing"/>
              <w:jc w:val="center"/>
              <w:cnfStyle w:val="000000100000" w:firstRow="0" w:lastRow="0" w:firstColumn="0" w:lastColumn="0" w:oddVBand="0" w:evenVBand="0" w:oddHBand="1" w:evenHBand="0" w:firstRowFirstColumn="0" w:firstRowLastColumn="0" w:lastRowFirstColumn="0" w:lastRowLastColumn="0"/>
              <w:rPr>
                <w:b/>
                <w:smallCaps/>
                <w:sz w:val="22"/>
                <w:szCs w:val="22"/>
              </w:rPr>
            </w:pPr>
            <w:r w:rsidRPr="002A6283">
              <w:rPr>
                <w:b/>
                <w:smallCaps/>
                <w:sz w:val="22"/>
                <w:szCs w:val="22"/>
              </w:rPr>
              <w:t>201</w:t>
            </w:r>
            <w:r w:rsidR="00FA0361">
              <w:rPr>
                <w:b/>
                <w:smallCaps/>
                <w:sz w:val="22"/>
                <w:szCs w:val="22"/>
              </w:rPr>
              <w:t>4</w:t>
            </w:r>
          </w:p>
        </w:tc>
        <w:tc>
          <w:tcPr>
            <w:tcW w:w="1530" w:type="dxa"/>
            <w:gridSpan w:val="2"/>
            <w:tcBorders>
              <w:left w:val="none" w:sz="0" w:space="0" w:color="auto"/>
              <w:right w:val="none" w:sz="0" w:space="0" w:color="auto"/>
            </w:tcBorders>
          </w:tcPr>
          <w:p w:rsidR="00BC6E48" w:rsidRPr="002A6283" w:rsidRDefault="00BC6E48" w:rsidP="00FA0361">
            <w:pPr>
              <w:pStyle w:val="NoSpacing"/>
              <w:jc w:val="center"/>
              <w:cnfStyle w:val="000000100000" w:firstRow="0" w:lastRow="0" w:firstColumn="0" w:lastColumn="0" w:oddVBand="0" w:evenVBand="0" w:oddHBand="1" w:evenHBand="0" w:firstRowFirstColumn="0" w:firstRowLastColumn="0" w:lastRowFirstColumn="0" w:lastRowLastColumn="0"/>
              <w:rPr>
                <w:b/>
                <w:smallCaps/>
                <w:sz w:val="22"/>
                <w:szCs w:val="22"/>
              </w:rPr>
            </w:pPr>
            <w:r w:rsidRPr="002A6283">
              <w:rPr>
                <w:b/>
                <w:smallCaps/>
                <w:sz w:val="22"/>
                <w:szCs w:val="22"/>
              </w:rPr>
              <w:t>201</w:t>
            </w:r>
            <w:r w:rsidR="00FA0361">
              <w:rPr>
                <w:b/>
                <w:smallCaps/>
                <w:sz w:val="22"/>
                <w:szCs w:val="22"/>
              </w:rPr>
              <w:t>5</w:t>
            </w:r>
          </w:p>
        </w:tc>
        <w:tc>
          <w:tcPr>
            <w:tcW w:w="1530" w:type="dxa"/>
            <w:gridSpan w:val="2"/>
            <w:tcBorders>
              <w:left w:val="none" w:sz="0" w:space="0" w:color="auto"/>
              <w:right w:val="none" w:sz="0" w:space="0" w:color="auto"/>
            </w:tcBorders>
          </w:tcPr>
          <w:p w:rsidR="00BC6E48" w:rsidRPr="002A6283" w:rsidRDefault="00BC6E48" w:rsidP="00455769">
            <w:pPr>
              <w:pStyle w:val="NoSpacing"/>
              <w:jc w:val="center"/>
              <w:cnfStyle w:val="000000100000" w:firstRow="0" w:lastRow="0" w:firstColumn="0" w:lastColumn="0" w:oddVBand="0" w:evenVBand="0" w:oddHBand="1" w:evenHBand="0" w:firstRowFirstColumn="0" w:firstRowLastColumn="0" w:lastRowFirstColumn="0" w:lastRowLastColumn="0"/>
              <w:rPr>
                <w:b/>
                <w:smallCaps/>
                <w:sz w:val="22"/>
                <w:szCs w:val="22"/>
              </w:rPr>
            </w:pPr>
            <w:r w:rsidRPr="002A6283">
              <w:rPr>
                <w:b/>
                <w:smallCaps/>
                <w:sz w:val="22"/>
                <w:szCs w:val="22"/>
              </w:rPr>
              <w:t>201</w:t>
            </w:r>
            <w:r w:rsidR="00455769">
              <w:rPr>
                <w:b/>
                <w:smallCaps/>
                <w:sz w:val="22"/>
                <w:szCs w:val="22"/>
              </w:rPr>
              <w:t>6</w:t>
            </w:r>
          </w:p>
        </w:tc>
        <w:tc>
          <w:tcPr>
            <w:tcW w:w="1530" w:type="dxa"/>
            <w:gridSpan w:val="2"/>
            <w:tcBorders>
              <w:left w:val="none" w:sz="0" w:space="0" w:color="auto"/>
              <w:right w:val="none" w:sz="0" w:space="0" w:color="auto"/>
            </w:tcBorders>
          </w:tcPr>
          <w:p w:rsidR="00BC6E48" w:rsidRPr="002A6283" w:rsidRDefault="00BC6E48" w:rsidP="0083753D">
            <w:pPr>
              <w:pStyle w:val="NoSpacing"/>
              <w:jc w:val="center"/>
              <w:cnfStyle w:val="000000100000" w:firstRow="0" w:lastRow="0" w:firstColumn="0" w:lastColumn="0" w:oddVBand="0" w:evenVBand="0" w:oddHBand="1" w:evenHBand="0" w:firstRowFirstColumn="0" w:firstRowLastColumn="0" w:lastRowFirstColumn="0" w:lastRowLastColumn="0"/>
              <w:rPr>
                <w:b/>
                <w:smallCaps/>
                <w:sz w:val="22"/>
                <w:szCs w:val="22"/>
              </w:rPr>
            </w:pPr>
            <w:r w:rsidRPr="002A6283">
              <w:rPr>
                <w:b/>
                <w:smallCaps/>
                <w:sz w:val="22"/>
                <w:szCs w:val="22"/>
              </w:rPr>
              <w:t>201</w:t>
            </w:r>
            <w:r w:rsidR="0083753D">
              <w:rPr>
                <w:b/>
                <w:smallCaps/>
                <w:sz w:val="22"/>
                <w:szCs w:val="22"/>
              </w:rPr>
              <w:t>7</w:t>
            </w:r>
          </w:p>
        </w:tc>
      </w:tr>
      <w:tr w:rsidR="00FA0361" w:rsidRPr="00DF624A" w:rsidTr="004F5D7C">
        <w:tc>
          <w:tcPr>
            <w:cnfStyle w:val="001000000000" w:firstRow="0" w:lastRow="0" w:firstColumn="1" w:lastColumn="0" w:oddVBand="0" w:evenVBand="0" w:oddHBand="0" w:evenHBand="0" w:firstRowFirstColumn="0" w:firstRowLastColumn="0" w:lastRowFirstColumn="0" w:lastRowLastColumn="0"/>
            <w:tcW w:w="3780" w:type="dxa"/>
          </w:tcPr>
          <w:p w:rsidR="00FA0361" w:rsidRPr="00DF624A" w:rsidRDefault="00FA0361" w:rsidP="00FA0361">
            <w:pPr>
              <w:pStyle w:val="NoSpacing"/>
              <w:rPr>
                <w:b w:val="0"/>
                <w:sz w:val="22"/>
                <w:szCs w:val="22"/>
              </w:rPr>
            </w:pPr>
            <w:r w:rsidRPr="00DF624A">
              <w:rPr>
                <w:b w:val="0"/>
                <w:sz w:val="22"/>
                <w:szCs w:val="22"/>
              </w:rPr>
              <w:t>Parole Supervision (only)</w:t>
            </w:r>
          </w:p>
        </w:tc>
        <w:tc>
          <w:tcPr>
            <w:tcW w:w="720" w:type="dxa"/>
          </w:tcPr>
          <w:p w:rsidR="00FA0361" w:rsidRPr="00DF624A" w:rsidRDefault="00FA0361" w:rsidP="00FA0361">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F624A">
              <w:rPr>
                <w:sz w:val="22"/>
                <w:szCs w:val="22"/>
              </w:rPr>
              <w:t>441</w:t>
            </w:r>
          </w:p>
        </w:tc>
        <w:tc>
          <w:tcPr>
            <w:tcW w:w="810" w:type="dxa"/>
          </w:tcPr>
          <w:p w:rsidR="00FA0361" w:rsidRPr="00DF624A" w:rsidRDefault="00FA0361" w:rsidP="00FA0361">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F624A">
              <w:rPr>
                <w:sz w:val="22"/>
                <w:szCs w:val="22"/>
              </w:rPr>
              <w:t>17%</w:t>
            </w:r>
          </w:p>
        </w:tc>
        <w:tc>
          <w:tcPr>
            <w:tcW w:w="720" w:type="dxa"/>
          </w:tcPr>
          <w:p w:rsidR="00FA0361" w:rsidRPr="00DF624A" w:rsidRDefault="00FA0361" w:rsidP="00FA0361">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F624A">
              <w:rPr>
                <w:sz w:val="22"/>
                <w:szCs w:val="22"/>
              </w:rPr>
              <w:t>455</w:t>
            </w:r>
          </w:p>
        </w:tc>
        <w:tc>
          <w:tcPr>
            <w:tcW w:w="810" w:type="dxa"/>
          </w:tcPr>
          <w:p w:rsidR="00FA0361" w:rsidRPr="00DF624A" w:rsidRDefault="00FA0361" w:rsidP="00FA0361">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F624A">
              <w:rPr>
                <w:sz w:val="22"/>
                <w:szCs w:val="22"/>
              </w:rPr>
              <w:t>18%</w:t>
            </w:r>
          </w:p>
        </w:tc>
        <w:tc>
          <w:tcPr>
            <w:tcW w:w="720" w:type="dxa"/>
          </w:tcPr>
          <w:p w:rsidR="00FA0361" w:rsidRPr="00DF624A" w:rsidRDefault="00FA0361" w:rsidP="00455769">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F624A">
              <w:rPr>
                <w:sz w:val="22"/>
                <w:szCs w:val="22"/>
              </w:rPr>
              <w:t>35</w:t>
            </w:r>
            <w:r w:rsidR="00455769">
              <w:rPr>
                <w:sz w:val="22"/>
                <w:szCs w:val="22"/>
              </w:rPr>
              <w:t>7</w:t>
            </w:r>
          </w:p>
        </w:tc>
        <w:tc>
          <w:tcPr>
            <w:tcW w:w="810" w:type="dxa"/>
          </w:tcPr>
          <w:p w:rsidR="00FA0361" w:rsidRPr="00DF624A" w:rsidRDefault="00FA0361" w:rsidP="00FA0361">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F624A">
              <w:rPr>
                <w:sz w:val="22"/>
                <w:szCs w:val="22"/>
              </w:rPr>
              <w:t>15%</w:t>
            </w:r>
          </w:p>
        </w:tc>
        <w:tc>
          <w:tcPr>
            <w:tcW w:w="720" w:type="dxa"/>
          </w:tcPr>
          <w:p w:rsidR="00FA0361" w:rsidRPr="00DF624A" w:rsidRDefault="005124DE" w:rsidP="00FA0361">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281</w:t>
            </w:r>
          </w:p>
        </w:tc>
        <w:tc>
          <w:tcPr>
            <w:tcW w:w="810" w:type="dxa"/>
          </w:tcPr>
          <w:p w:rsidR="00FA0361" w:rsidRPr="00DF624A" w:rsidRDefault="005124DE" w:rsidP="00FA0361">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w:t>
            </w:r>
            <w:r w:rsidR="00734947">
              <w:rPr>
                <w:sz w:val="22"/>
                <w:szCs w:val="22"/>
              </w:rPr>
              <w:t>%</w:t>
            </w:r>
          </w:p>
        </w:tc>
      </w:tr>
      <w:tr w:rsidR="00FA0361" w:rsidRPr="00DF624A" w:rsidTr="004F5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Borders>
              <w:left w:val="none" w:sz="0" w:space="0" w:color="auto"/>
              <w:right w:val="none" w:sz="0" w:space="0" w:color="auto"/>
            </w:tcBorders>
          </w:tcPr>
          <w:p w:rsidR="00FA0361" w:rsidRPr="00DF624A" w:rsidRDefault="00FA0361" w:rsidP="00FA0361">
            <w:pPr>
              <w:pStyle w:val="NoSpacing"/>
              <w:rPr>
                <w:b w:val="0"/>
                <w:sz w:val="22"/>
                <w:szCs w:val="22"/>
              </w:rPr>
            </w:pPr>
            <w:r w:rsidRPr="00DF624A">
              <w:rPr>
                <w:b w:val="0"/>
                <w:sz w:val="22"/>
                <w:szCs w:val="22"/>
              </w:rPr>
              <w:t>Probation Supervision (only)</w:t>
            </w:r>
          </w:p>
        </w:tc>
        <w:tc>
          <w:tcPr>
            <w:tcW w:w="720" w:type="dxa"/>
            <w:tcBorders>
              <w:left w:val="none" w:sz="0" w:space="0" w:color="auto"/>
              <w:right w:val="none" w:sz="0" w:space="0" w:color="auto"/>
            </w:tcBorders>
          </w:tcPr>
          <w:p w:rsidR="00FA0361" w:rsidRPr="00DF624A" w:rsidRDefault="00FA0361" w:rsidP="00FA0361">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F624A">
              <w:rPr>
                <w:sz w:val="22"/>
                <w:szCs w:val="22"/>
              </w:rPr>
              <w:t>830</w:t>
            </w:r>
          </w:p>
        </w:tc>
        <w:tc>
          <w:tcPr>
            <w:tcW w:w="810" w:type="dxa"/>
            <w:tcBorders>
              <w:left w:val="none" w:sz="0" w:space="0" w:color="auto"/>
              <w:right w:val="none" w:sz="0" w:space="0" w:color="auto"/>
            </w:tcBorders>
          </w:tcPr>
          <w:p w:rsidR="00FA0361" w:rsidRPr="00DF624A" w:rsidRDefault="00FA0361" w:rsidP="00FA0361">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F624A">
              <w:rPr>
                <w:sz w:val="22"/>
                <w:szCs w:val="22"/>
              </w:rPr>
              <w:t>33%</w:t>
            </w:r>
          </w:p>
        </w:tc>
        <w:tc>
          <w:tcPr>
            <w:tcW w:w="720" w:type="dxa"/>
            <w:tcBorders>
              <w:left w:val="none" w:sz="0" w:space="0" w:color="auto"/>
              <w:right w:val="none" w:sz="0" w:space="0" w:color="auto"/>
            </w:tcBorders>
          </w:tcPr>
          <w:p w:rsidR="00FA0361" w:rsidRPr="00DF624A" w:rsidRDefault="00FA0361" w:rsidP="00FA0361">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F624A">
              <w:rPr>
                <w:sz w:val="22"/>
                <w:szCs w:val="22"/>
              </w:rPr>
              <w:t>901</w:t>
            </w:r>
          </w:p>
        </w:tc>
        <w:tc>
          <w:tcPr>
            <w:tcW w:w="810" w:type="dxa"/>
            <w:tcBorders>
              <w:left w:val="none" w:sz="0" w:space="0" w:color="auto"/>
              <w:right w:val="none" w:sz="0" w:space="0" w:color="auto"/>
            </w:tcBorders>
          </w:tcPr>
          <w:p w:rsidR="00FA0361" w:rsidRPr="00DF624A" w:rsidRDefault="00FA0361" w:rsidP="00FA0361">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F624A">
              <w:rPr>
                <w:sz w:val="22"/>
                <w:szCs w:val="22"/>
              </w:rPr>
              <w:t>35%</w:t>
            </w:r>
          </w:p>
        </w:tc>
        <w:tc>
          <w:tcPr>
            <w:tcW w:w="720" w:type="dxa"/>
            <w:tcBorders>
              <w:left w:val="none" w:sz="0" w:space="0" w:color="auto"/>
              <w:right w:val="none" w:sz="0" w:space="0" w:color="auto"/>
            </w:tcBorders>
          </w:tcPr>
          <w:p w:rsidR="00FA0361" w:rsidRPr="00DF624A" w:rsidRDefault="00FA0361" w:rsidP="00FA0361">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F624A">
              <w:rPr>
                <w:sz w:val="22"/>
                <w:szCs w:val="22"/>
              </w:rPr>
              <w:t>859</w:t>
            </w:r>
          </w:p>
        </w:tc>
        <w:tc>
          <w:tcPr>
            <w:tcW w:w="810" w:type="dxa"/>
            <w:tcBorders>
              <w:left w:val="none" w:sz="0" w:space="0" w:color="auto"/>
              <w:right w:val="none" w:sz="0" w:space="0" w:color="auto"/>
            </w:tcBorders>
          </w:tcPr>
          <w:p w:rsidR="00FA0361" w:rsidRPr="00DF624A" w:rsidRDefault="00FA0361" w:rsidP="00FA0361">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F624A">
              <w:rPr>
                <w:sz w:val="22"/>
                <w:szCs w:val="22"/>
              </w:rPr>
              <w:t>37%</w:t>
            </w:r>
          </w:p>
        </w:tc>
        <w:tc>
          <w:tcPr>
            <w:tcW w:w="720" w:type="dxa"/>
            <w:tcBorders>
              <w:left w:val="none" w:sz="0" w:space="0" w:color="auto"/>
              <w:right w:val="none" w:sz="0" w:space="0" w:color="auto"/>
            </w:tcBorders>
          </w:tcPr>
          <w:p w:rsidR="00FA0361" w:rsidRPr="00DF624A" w:rsidRDefault="005124DE" w:rsidP="00FA0361">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787</w:t>
            </w:r>
          </w:p>
        </w:tc>
        <w:tc>
          <w:tcPr>
            <w:tcW w:w="810" w:type="dxa"/>
            <w:tcBorders>
              <w:left w:val="none" w:sz="0" w:space="0" w:color="auto"/>
              <w:right w:val="none" w:sz="0" w:space="0" w:color="auto"/>
            </w:tcBorders>
          </w:tcPr>
          <w:p w:rsidR="00FA0361" w:rsidRPr="00DF624A" w:rsidRDefault="005124DE" w:rsidP="00FA0361">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36</w:t>
            </w:r>
            <w:r w:rsidR="00734947">
              <w:rPr>
                <w:sz w:val="22"/>
                <w:szCs w:val="22"/>
              </w:rPr>
              <w:t>%</w:t>
            </w:r>
          </w:p>
        </w:tc>
      </w:tr>
      <w:tr w:rsidR="00FA0361" w:rsidRPr="00DF624A" w:rsidTr="004F5D7C">
        <w:tc>
          <w:tcPr>
            <w:cnfStyle w:val="001000000000" w:firstRow="0" w:lastRow="0" w:firstColumn="1" w:lastColumn="0" w:oddVBand="0" w:evenVBand="0" w:oddHBand="0" w:evenHBand="0" w:firstRowFirstColumn="0" w:firstRowLastColumn="0" w:lastRowFirstColumn="0" w:lastRowLastColumn="0"/>
            <w:tcW w:w="3780" w:type="dxa"/>
          </w:tcPr>
          <w:p w:rsidR="00FA0361" w:rsidRPr="00DF624A" w:rsidRDefault="00FA0361" w:rsidP="00FA0361">
            <w:pPr>
              <w:pStyle w:val="NoSpacing"/>
              <w:rPr>
                <w:b w:val="0"/>
                <w:sz w:val="22"/>
                <w:szCs w:val="22"/>
              </w:rPr>
            </w:pPr>
            <w:r w:rsidRPr="00DF624A">
              <w:rPr>
                <w:b w:val="0"/>
                <w:sz w:val="22"/>
                <w:szCs w:val="22"/>
              </w:rPr>
              <w:t>Parole and Probation Supervision (only)</w:t>
            </w:r>
          </w:p>
        </w:tc>
        <w:tc>
          <w:tcPr>
            <w:tcW w:w="720" w:type="dxa"/>
          </w:tcPr>
          <w:p w:rsidR="00FA0361" w:rsidRPr="00DF624A" w:rsidRDefault="00FA0361" w:rsidP="00FA0361">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F624A">
              <w:rPr>
                <w:sz w:val="22"/>
                <w:szCs w:val="22"/>
              </w:rPr>
              <w:t>254</w:t>
            </w:r>
          </w:p>
        </w:tc>
        <w:tc>
          <w:tcPr>
            <w:tcW w:w="810" w:type="dxa"/>
          </w:tcPr>
          <w:p w:rsidR="00FA0361" w:rsidRPr="00DF624A" w:rsidRDefault="00FA0361" w:rsidP="00FA0361">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F624A">
              <w:rPr>
                <w:sz w:val="22"/>
                <w:szCs w:val="22"/>
              </w:rPr>
              <w:t>10%</w:t>
            </w:r>
          </w:p>
        </w:tc>
        <w:tc>
          <w:tcPr>
            <w:tcW w:w="720" w:type="dxa"/>
          </w:tcPr>
          <w:p w:rsidR="00FA0361" w:rsidRPr="00DF624A" w:rsidRDefault="00FA0361" w:rsidP="00455769">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F624A">
              <w:rPr>
                <w:sz w:val="22"/>
                <w:szCs w:val="22"/>
              </w:rPr>
              <w:t>27</w:t>
            </w:r>
            <w:r w:rsidR="00455769">
              <w:rPr>
                <w:sz w:val="22"/>
                <w:szCs w:val="22"/>
              </w:rPr>
              <w:t>9</w:t>
            </w:r>
          </w:p>
        </w:tc>
        <w:tc>
          <w:tcPr>
            <w:tcW w:w="810" w:type="dxa"/>
          </w:tcPr>
          <w:p w:rsidR="00FA0361" w:rsidRPr="00DF624A" w:rsidRDefault="00FA0361" w:rsidP="00FA0361">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F624A">
              <w:rPr>
                <w:sz w:val="22"/>
                <w:szCs w:val="22"/>
              </w:rPr>
              <w:t>11%</w:t>
            </w:r>
          </w:p>
        </w:tc>
        <w:tc>
          <w:tcPr>
            <w:tcW w:w="720" w:type="dxa"/>
          </w:tcPr>
          <w:p w:rsidR="00FA0361" w:rsidRPr="00DF624A" w:rsidRDefault="00FA0361" w:rsidP="00FA0361">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F624A">
              <w:rPr>
                <w:sz w:val="22"/>
                <w:szCs w:val="22"/>
              </w:rPr>
              <w:t>227</w:t>
            </w:r>
          </w:p>
        </w:tc>
        <w:tc>
          <w:tcPr>
            <w:tcW w:w="810" w:type="dxa"/>
          </w:tcPr>
          <w:p w:rsidR="00FA0361" w:rsidRPr="00DF624A" w:rsidRDefault="00FA0361" w:rsidP="00FA0361">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F624A">
              <w:rPr>
                <w:sz w:val="22"/>
                <w:szCs w:val="22"/>
              </w:rPr>
              <w:t>10%</w:t>
            </w:r>
          </w:p>
        </w:tc>
        <w:tc>
          <w:tcPr>
            <w:tcW w:w="720" w:type="dxa"/>
          </w:tcPr>
          <w:p w:rsidR="00FA0361" w:rsidRPr="00DF624A" w:rsidRDefault="005124DE" w:rsidP="00FA0361">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233</w:t>
            </w:r>
          </w:p>
        </w:tc>
        <w:tc>
          <w:tcPr>
            <w:tcW w:w="810" w:type="dxa"/>
          </w:tcPr>
          <w:p w:rsidR="00FA0361" w:rsidRPr="00DF624A" w:rsidRDefault="005124DE" w:rsidP="00FA0361">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11</w:t>
            </w:r>
            <w:r w:rsidR="00734947">
              <w:rPr>
                <w:sz w:val="22"/>
                <w:szCs w:val="22"/>
              </w:rPr>
              <w:t>%</w:t>
            </w:r>
          </w:p>
        </w:tc>
      </w:tr>
      <w:tr w:rsidR="00FA0361" w:rsidRPr="00DF624A" w:rsidTr="004F5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Borders>
              <w:left w:val="none" w:sz="0" w:space="0" w:color="auto"/>
              <w:right w:val="none" w:sz="0" w:space="0" w:color="auto"/>
            </w:tcBorders>
          </w:tcPr>
          <w:p w:rsidR="00FA0361" w:rsidRPr="00DF624A" w:rsidRDefault="00FA0361" w:rsidP="00FA0361">
            <w:pPr>
              <w:pStyle w:val="NoSpacing"/>
              <w:rPr>
                <w:b w:val="0"/>
                <w:sz w:val="22"/>
                <w:szCs w:val="22"/>
              </w:rPr>
            </w:pPr>
            <w:r w:rsidRPr="00DF624A">
              <w:rPr>
                <w:b w:val="0"/>
                <w:sz w:val="22"/>
                <w:szCs w:val="22"/>
              </w:rPr>
              <w:t>No Post Release Supervision</w:t>
            </w:r>
          </w:p>
        </w:tc>
        <w:tc>
          <w:tcPr>
            <w:tcW w:w="720" w:type="dxa"/>
            <w:tcBorders>
              <w:left w:val="none" w:sz="0" w:space="0" w:color="auto"/>
              <w:right w:val="none" w:sz="0" w:space="0" w:color="auto"/>
            </w:tcBorders>
          </w:tcPr>
          <w:p w:rsidR="00FA0361" w:rsidRPr="00DF624A" w:rsidRDefault="00FA0361" w:rsidP="00FA0361">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F624A">
              <w:rPr>
                <w:sz w:val="22"/>
                <w:szCs w:val="22"/>
              </w:rPr>
              <w:t>1,012</w:t>
            </w:r>
          </w:p>
        </w:tc>
        <w:tc>
          <w:tcPr>
            <w:tcW w:w="810" w:type="dxa"/>
            <w:tcBorders>
              <w:left w:val="none" w:sz="0" w:space="0" w:color="auto"/>
              <w:right w:val="none" w:sz="0" w:space="0" w:color="auto"/>
            </w:tcBorders>
          </w:tcPr>
          <w:p w:rsidR="00FA0361" w:rsidRPr="00DF624A" w:rsidRDefault="00FA0361" w:rsidP="00FA0361">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F624A">
              <w:rPr>
                <w:sz w:val="22"/>
                <w:szCs w:val="22"/>
              </w:rPr>
              <w:t>40%</w:t>
            </w:r>
          </w:p>
        </w:tc>
        <w:tc>
          <w:tcPr>
            <w:tcW w:w="720" w:type="dxa"/>
            <w:tcBorders>
              <w:left w:val="none" w:sz="0" w:space="0" w:color="auto"/>
              <w:right w:val="none" w:sz="0" w:space="0" w:color="auto"/>
            </w:tcBorders>
          </w:tcPr>
          <w:p w:rsidR="00FA0361" w:rsidRPr="00DF624A" w:rsidRDefault="00FA0361" w:rsidP="00FA0361">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F624A">
              <w:rPr>
                <w:sz w:val="22"/>
                <w:szCs w:val="22"/>
              </w:rPr>
              <w:t>946</w:t>
            </w:r>
          </w:p>
        </w:tc>
        <w:tc>
          <w:tcPr>
            <w:tcW w:w="810" w:type="dxa"/>
            <w:tcBorders>
              <w:left w:val="none" w:sz="0" w:space="0" w:color="auto"/>
              <w:right w:val="none" w:sz="0" w:space="0" w:color="auto"/>
            </w:tcBorders>
          </w:tcPr>
          <w:p w:rsidR="00FA0361" w:rsidRPr="00DF624A" w:rsidRDefault="00FA0361" w:rsidP="00FA0361">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F624A">
              <w:rPr>
                <w:sz w:val="22"/>
                <w:szCs w:val="22"/>
              </w:rPr>
              <w:t>37%</w:t>
            </w:r>
          </w:p>
        </w:tc>
        <w:tc>
          <w:tcPr>
            <w:tcW w:w="720" w:type="dxa"/>
            <w:tcBorders>
              <w:left w:val="none" w:sz="0" w:space="0" w:color="auto"/>
              <w:right w:val="none" w:sz="0" w:space="0" w:color="auto"/>
            </w:tcBorders>
          </w:tcPr>
          <w:p w:rsidR="00FA0361" w:rsidRPr="00DF624A" w:rsidRDefault="00455769" w:rsidP="00FA0361">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885</w:t>
            </w:r>
          </w:p>
        </w:tc>
        <w:tc>
          <w:tcPr>
            <w:tcW w:w="810" w:type="dxa"/>
            <w:tcBorders>
              <w:left w:val="none" w:sz="0" w:space="0" w:color="auto"/>
              <w:right w:val="none" w:sz="0" w:space="0" w:color="auto"/>
            </w:tcBorders>
          </w:tcPr>
          <w:p w:rsidR="00FA0361" w:rsidRPr="00DF624A" w:rsidRDefault="00FA0361" w:rsidP="00FA0361">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F624A">
              <w:rPr>
                <w:sz w:val="22"/>
                <w:szCs w:val="22"/>
              </w:rPr>
              <w:t>38%</w:t>
            </w:r>
          </w:p>
        </w:tc>
        <w:tc>
          <w:tcPr>
            <w:tcW w:w="720" w:type="dxa"/>
            <w:tcBorders>
              <w:left w:val="none" w:sz="0" w:space="0" w:color="auto"/>
              <w:right w:val="none" w:sz="0" w:space="0" w:color="auto"/>
            </w:tcBorders>
          </w:tcPr>
          <w:p w:rsidR="00FA0361" w:rsidRPr="00DF624A" w:rsidRDefault="005124DE" w:rsidP="00FA0361">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877</w:t>
            </w:r>
          </w:p>
        </w:tc>
        <w:tc>
          <w:tcPr>
            <w:tcW w:w="810" w:type="dxa"/>
            <w:tcBorders>
              <w:left w:val="none" w:sz="0" w:space="0" w:color="auto"/>
              <w:right w:val="none" w:sz="0" w:space="0" w:color="auto"/>
            </w:tcBorders>
          </w:tcPr>
          <w:p w:rsidR="00FA0361" w:rsidRPr="00DF624A" w:rsidRDefault="005124DE" w:rsidP="00FA0361">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40</w:t>
            </w:r>
            <w:r w:rsidR="00734947">
              <w:rPr>
                <w:sz w:val="22"/>
                <w:szCs w:val="22"/>
              </w:rPr>
              <w:t>%</w:t>
            </w:r>
          </w:p>
        </w:tc>
      </w:tr>
      <w:tr w:rsidR="00FA0361" w:rsidRPr="002A6283" w:rsidTr="004F5D7C">
        <w:tc>
          <w:tcPr>
            <w:cnfStyle w:val="001000000000" w:firstRow="0" w:lastRow="0" w:firstColumn="1" w:lastColumn="0" w:oddVBand="0" w:evenVBand="0" w:oddHBand="0" w:evenHBand="0" w:firstRowFirstColumn="0" w:firstRowLastColumn="0" w:lastRowFirstColumn="0" w:lastRowLastColumn="0"/>
            <w:tcW w:w="3780" w:type="dxa"/>
          </w:tcPr>
          <w:p w:rsidR="00FA0361" w:rsidRPr="002A6283" w:rsidRDefault="00FA0361" w:rsidP="00FA0361">
            <w:pPr>
              <w:pStyle w:val="NoSpacing"/>
              <w:rPr>
                <w:b w:val="0"/>
                <w:smallCaps/>
                <w:sz w:val="22"/>
                <w:szCs w:val="22"/>
              </w:rPr>
            </w:pPr>
            <w:r w:rsidRPr="002A6283">
              <w:rPr>
                <w:smallCaps/>
                <w:sz w:val="22"/>
                <w:szCs w:val="22"/>
              </w:rPr>
              <w:t>Total</w:t>
            </w:r>
          </w:p>
        </w:tc>
        <w:tc>
          <w:tcPr>
            <w:tcW w:w="720" w:type="dxa"/>
          </w:tcPr>
          <w:p w:rsidR="00FA0361" w:rsidRPr="002A6283" w:rsidRDefault="00FA0361" w:rsidP="00FA0361">
            <w:pPr>
              <w:pStyle w:val="NoSpacing"/>
              <w:jc w:val="center"/>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2,537</w:t>
            </w:r>
          </w:p>
        </w:tc>
        <w:tc>
          <w:tcPr>
            <w:tcW w:w="810" w:type="dxa"/>
          </w:tcPr>
          <w:p w:rsidR="00FA0361" w:rsidRPr="002A6283" w:rsidRDefault="00FA0361" w:rsidP="00FA0361">
            <w:pPr>
              <w:pStyle w:val="NoSpacing"/>
              <w:jc w:val="center"/>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100%</w:t>
            </w:r>
          </w:p>
        </w:tc>
        <w:tc>
          <w:tcPr>
            <w:tcW w:w="720" w:type="dxa"/>
          </w:tcPr>
          <w:p w:rsidR="00FA0361" w:rsidRPr="002A6283" w:rsidRDefault="00FA0361" w:rsidP="00455769">
            <w:pPr>
              <w:pStyle w:val="NoSpacing"/>
              <w:jc w:val="center"/>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2,58</w:t>
            </w:r>
            <w:r w:rsidR="00455769">
              <w:rPr>
                <w:b/>
                <w:sz w:val="22"/>
                <w:szCs w:val="22"/>
              </w:rPr>
              <w:t>1</w:t>
            </w:r>
          </w:p>
        </w:tc>
        <w:tc>
          <w:tcPr>
            <w:tcW w:w="810" w:type="dxa"/>
          </w:tcPr>
          <w:p w:rsidR="00FA0361" w:rsidRPr="002A6283" w:rsidRDefault="00FA0361" w:rsidP="00FA0361">
            <w:pPr>
              <w:pStyle w:val="NoSpacing"/>
              <w:jc w:val="center"/>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100%</w:t>
            </w:r>
          </w:p>
        </w:tc>
        <w:tc>
          <w:tcPr>
            <w:tcW w:w="720" w:type="dxa"/>
          </w:tcPr>
          <w:p w:rsidR="00FA0361" w:rsidRPr="002A6283" w:rsidRDefault="00FA0361" w:rsidP="00FA0361">
            <w:pPr>
              <w:pStyle w:val="NoSpacing"/>
              <w:jc w:val="center"/>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2,328</w:t>
            </w:r>
          </w:p>
        </w:tc>
        <w:tc>
          <w:tcPr>
            <w:tcW w:w="810" w:type="dxa"/>
          </w:tcPr>
          <w:p w:rsidR="00FA0361" w:rsidRPr="002A6283" w:rsidRDefault="00FA0361" w:rsidP="00FA0361">
            <w:pPr>
              <w:pStyle w:val="NoSpacing"/>
              <w:jc w:val="center"/>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100%</w:t>
            </w:r>
          </w:p>
        </w:tc>
        <w:tc>
          <w:tcPr>
            <w:tcW w:w="720" w:type="dxa"/>
          </w:tcPr>
          <w:p w:rsidR="00FA0361" w:rsidRPr="002A6283" w:rsidRDefault="005124DE" w:rsidP="00FA0361">
            <w:pPr>
              <w:pStyle w:val="NoSpacing"/>
              <w:jc w:val="center"/>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2,178</w:t>
            </w:r>
          </w:p>
        </w:tc>
        <w:tc>
          <w:tcPr>
            <w:tcW w:w="810" w:type="dxa"/>
          </w:tcPr>
          <w:p w:rsidR="00FA0361" w:rsidRPr="002A6283" w:rsidRDefault="005124DE" w:rsidP="00FA0361">
            <w:pPr>
              <w:pStyle w:val="NoSpacing"/>
              <w:jc w:val="center"/>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100</w:t>
            </w:r>
            <w:r w:rsidR="00734947">
              <w:rPr>
                <w:b/>
                <w:sz w:val="22"/>
                <w:szCs w:val="22"/>
              </w:rPr>
              <w:t>%</w:t>
            </w:r>
          </w:p>
        </w:tc>
      </w:tr>
      <w:tr w:rsidR="00FA0361" w:rsidRPr="002A6283" w:rsidTr="004F5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Borders>
              <w:left w:val="none" w:sz="0" w:space="0" w:color="auto"/>
              <w:right w:val="none" w:sz="0" w:space="0" w:color="auto"/>
            </w:tcBorders>
          </w:tcPr>
          <w:p w:rsidR="00FA0361" w:rsidRPr="002A6283" w:rsidRDefault="00FA0361" w:rsidP="00FA0361">
            <w:pPr>
              <w:pStyle w:val="NoSpacing"/>
              <w:rPr>
                <w:sz w:val="22"/>
                <w:szCs w:val="22"/>
              </w:rPr>
            </w:pPr>
            <w:r w:rsidRPr="002A6283">
              <w:rPr>
                <w:smallCaps/>
                <w:sz w:val="22"/>
                <w:szCs w:val="22"/>
              </w:rPr>
              <w:t>Post Release Supervision</w:t>
            </w:r>
          </w:p>
        </w:tc>
        <w:tc>
          <w:tcPr>
            <w:tcW w:w="1530" w:type="dxa"/>
            <w:gridSpan w:val="2"/>
            <w:tcBorders>
              <w:left w:val="none" w:sz="0" w:space="0" w:color="auto"/>
              <w:right w:val="none" w:sz="0" w:space="0" w:color="auto"/>
            </w:tcBorders>
          </w:tcPr>
          <w:p w:rsidR="00FA0361" w:rsidRPr="002A6283" w:rsidRDefault="00FA0361" w:rsidP="00FA0361">
            <w:pPr>
              <w:pStyle w:val="NoSpacing"/>
              <w:jc w:val="center"/>
              <w:cnfStyle w:val="000000100000" w:firstRow="0" w:lastRow="0" w:firstColumn="0" w:lastColumn="0" w:oddVBand="0" w:evenVBand="0" w:oddHBand="1" w:evenHBand="0" w:firstRowFirstColumn="0" w:firstRowLastColumn="0" w:lastRowFirstColumn="0" w:lastRowLastColumn="0"/>
              <w:rPr>
                <w:b/>
                <w:sz w:val="22"/>
                <w:szCs w:val="22"/>
              </w:rPr>
            </w:pPr>
            <w:r w:rsidRPr="002A6283">
              <w:rPr>
                <w:b/>
                <w:sz w:val="22"/>
                <w:szCs w:val="22"/>
              </w:rPr>
              <w:t>2014</w:t>
            </w:r>
          </w:p>
        </w:tc>
        <w:tc>
          <w:tcPr>
            <w:tcW w:w="1530" w:type="dxa"/>
            <w:gridSpan w:val="2"/>
            <w:tcBorders>
              <w:left w:val="none" w:sz="0" w:space="0" w:color="auto"/>
              <w:right w:val="none" w:sz="0" w:space="0" w:color="auto"/>
            </w:tcBorders>
          </w:tcPr>
          <w:p w:rsidR="00FA0361" w:rsidRPr="002A6283" w:rsidRDefault="005124DE" w:rsidP="00FA0361">
            <w:pPr>
              <w:pStyle w:val="NoSpacing"/>
              <w:jc w:val="center"/>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2015</w:t>
            </w:r>
          </w:p>
        </w:tc>
        <w:tc>
          <w:tcPr>
            <w:tcW w:w="1530" w:type="dxa"/>
            <w:gridSpan w:val="2"/>
            <w:tcBorders>
              <w:left w:val="none" w:sz="0" w:space="0" w:color="auto"/>
              <w:right w:val="none" w:sz="0" w:space="0" w:color="auto"/>
            </w:tcBorders>
          </w:tcPr>
          <w:p w:rsidR="00FA0361" w:rsidRPr="002A6283" w:rsidRDefault="00FA0361" w:rsidP="005124DE">
            <w:pPr>
              <w:pStyle w:val="NoSpacing"/>
              <w:jc w:val="center"/>
              <w:cnfStyle w:val="000000100000" w:firstRow="0" w:lastRow="0" w:firstColumn="0" w:lastColumn="0" w:oddVBand="0" w:evenVBand="0" w:oddHBand="1" w:evenHBand="0" w:firstRowFirstColumn="0" w:firstRowLastColumn="0" w:lastRowFirstColumn="0" w:lastRowLastColumn="0"/>
              <w:rPr>
                <w:b/>
                <w:sz w:val="22"/>
                <w:szCs w:val="22"/>
              </w:rPr>
            </w:pPr>
            <w:r w:rsidRPr="002A6283">
              <w:rPr>
                <w:b/>
                <w:sz w:val="22"/>
                <w:szCs w:val="22"/>
              </w:rPr>
              <w:t>201</w:t>
            </w:r>
            <w:r w:rsidR="005124DE">
              <w:rPr>
                <w:b/>
                <w:sz w:val="22"/>
                <w:szCs w:val="22"/>
              </w:rPr>
              <w:t>6</w:t>
            </w:r>
          </w:p>
        </w:tc>
        <w:tc>
          <w:tcPr>
            <w:tcW w:w="1530" w:type="dxa"/>
            <w:gridSpan w:val="2"/>
            <w:tcBorders>
              <w:left w:val="none" w:sz="0" w:space="0" w:color="auto"/>
              <w:right w:val="none" w:sz="0" w:space="0" w:color="auto"/>
            </w:tcBorders>
          </w:tcPr>
          <w:p w:rsidR="00FA0361" w:rsidRPr="002A6283" w:rsidRDefault="005124DE" w:rsidP="00FA0361">
            <w:pPr>
              <w:pStyle w:val="NoSpacing"/>
              <w:jc w:val="center"/>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2017</w:t>
            </w:r>
          </w:p>
        </w:tc>
      </w:tr>
      <w:tr w:rsidR="00FA0361" w:rsidRPr="00DF624A" w:rsidTr="004F5D7C">
        <w:tc>
          <w:tcPr>
            <w:cnfStyle w:val="001000000000" w:firstRow="0" w:lastRow="0" w:firstColumn="1" w:lastColumn="0" w:oddVBand="0" w:evenVBand="0" w:oddHBand="0" w:evenHBand="0" w:firstRowFirstColumn="0" w:firstRowLastColumn="0" w:lastRowFirstColumn="0" w:lastRowLastColumn="0"/>
            <w:tcW w:w="3780" w:type="dxa"/>
          </w:tcPr>
          <w:p w:rsidR="00FA0361" w:rsidRPr="00DF624A" w:rsidRDefault="00FA0361" w:rsidP="00FA0361">
            <w:pPr>
              <w:pStyle w:val="NoSpacing"/>
              <w:rPr>
                <w:b w:val="0"/>
                <w:sz w:val="22"/>
                <w:szCs w:val="22"/>
              </w:rPr>
            </w:pPr>
            <w:r w:rsidRPr="00DF624A">
              <w:rPr>
                <w:b w:val="0"/>
                <w:sz w:val="22"/>
                <w:szCs w:val="22"/>
              </w:rPr>
              <w:t>Supervision</w:t>
            </w:r>
          </w:p>
        </w:tc>
        <w:tc>
          <w:tcPr>
            <w:tcW w:w="720" w:type="dxa"/>
          </w:tcPr>
          <w:p w:rsidR="00FA0361" w:rsidRPr="00DF624A" w:rsidRDefault="00FA0361" w:rsidP="00FA0361">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F624A">
              <w:rPr>
                <w:sz w:val="22"/>
                <w:szCs w:val="22"/>
              </w:rPr>
              <w:t>1,525</w:t>
            </w:r>
          </w:p>
        </w:tc>
        <w:tc>
          <w:tcPr>
            <w:tcW w:w="810" w:type="dxa"/>
          </w:tcPr>
          <w:p w:rsidR="00FA0361" w:rsidRPr="00DF624A" w:rsidRDefault="00FA0361" w:rsidP="00FA0361">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F624A">
              <w:rPr>
                <w:sz w:val="22"/>
                <w:szCs w:val="22"/>
              </w:rPr>
              <w:t>60%</w:t>
            </w:r>
          </w:p>
        </w:tc>
        <w:tc>
          <w:tcPr>
            <w:tcW w:w="720" w:type="dxa"/>
          </w:tcPr>
          <w:p w:rsidR="00FA0361" w:rsidRPr="00DF624A" w:rsidRDefault="00FA0361" w:rsidP="00455769">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F624A">
              <w:rPr>
                <w:sz w:val="22"/>
                <w:szCs w:val="22"/>
              </w:rPr>
              <w:t>1,63</w:t>
            </w:r>
            <w:r w:rsidR="00455769">
              <w:rPr>
                <w:sz w:val="22"/>
                <w:szCs w:val="22"/>
              </w:rPr>
              <w:t>5</w:t>
            </w:r>
          </w:p>
        </w:tc>
        <w:tc>
          <w:tcPr>
            <w:tcW w:w="810" w:type="dxa"/>
          </w:tcPr>
          <w:p w:rsidR="00FA0361" w:rsidRPr="00DF624A" w:rsidRDefault="00FA0361" w:rsidP="00FA0361">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F624A">
              <w:rPr>
                <w:sz w:val="22"/>
                <w:szCs w:val="22"/>
              </w:rPr>
              <w:t>63%</w:t>
            </w:r>
          </w:p>
        </w:tc>
        <w:tc>
          <w:tcPr>
            <w:tcW w:w="720" w:type="dxa"/>
          </w:tcPr>
          <w:p w:rsidR="00FA0361" w:rsidRPr="00DF624A" w:rsidRDefault="00FA0361" w:rsidP="00455769">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F624A">
              <w:rPr>
                <w:sz w:val="22"/>
                <w:szCs w:val="22"/>
              </w:rPr>
              <w:t>1,44</w:t>
            </w:r>
            <w:r w:rsidR="00455769">
              <w:rPr>
                <w:sz w:val="22"/>
                <w:szCs w:val="22"/>
              </w:rPr>
              <w:t>3</w:t>
            </w:r>
          </w:p>
        </w:tc>
        <w:tc>
          <w:tcPr>
            <w:tcW w:w="810" w:type="dxa"/>
          </w:tcPr>
          <w:p w:rsidR="00FA0361" w:rsidRPr="00DF624A" w:rsidRDefault="00FA0361" w:rsidP="00FA0361">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DF624A">
              <w:rPr>
                <w:sz w:val="22"/>
                <w:szCs w:val="22"/>
              </w:rPr>
              <w:t>62%</w:t>
            </w:r>
          </w:p>
        </w:tc>
        <w:tc>
          <w:tcPr>
            <w:tcW w:w="720" w:type="dxa"/>
          </w:tcPr>
          <w:p w:rsidR="00FA0361" w:rsidRPr="00DF624A" w:rsidRDefault="005124DE" w:rsidP="00FA0361">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1,301</w:t>
            </w:r>
          </w:p>
        </w:tc>
        <w:tc>
          <w:tcPr>
            <w:tcW w:w="810" w:type="dxa"/>
          </w:tcPr>
          <w:p w:rsidR="00FA0361" w:rsidRPr="00DF624A" w:rsidRDefault="005124DE" w:rsidP="00FA0361">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60</w:t>
            </w:r>
            <w:r w:rsidR="00734947">
              <w:rPr>
                <w:sz w:val="22"/>
                <w:szCs w:val="22"/>
              </w:rPr>
              <w:t>%</w:t>
            </w:r>
          </w:p>
        </w:tc>
      </w:tr>
      <w:tr w:rsidR="00FA0361" w:rsidRPr="00DF624A" w:rsidTr="004F5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Borders>
              <w:left w:val="none" w:sz="0" w:space="0" w:color="auto"/>
              <w:right w:val="none" w:sz="0" w:space="0" w:color="auto"/>
            </w:tcBorders>
          </w:tcPr>
          <w:p w:rsidR="00FA0361" w:rsidRPr="00DF624A" w:rsidRDefault="00FA0361" w:rsidP="00FA0361">
            <w:pPr>
              <w:pStyle w:val="NoSpacing"/>
              <w:rPr>
                <w:b w:val="0"/>
                <w:sz w:val="22"/>
                <w:szCs w:val="22"/>
              </w:rPr>
            </w:pPr>
            <w:r w:rsidRPr="00DF624A">
              <w:rPr>
                <w:b w:val="0"/>
                <w:sz w:val="22"/>
                <w:szCs w:val="22"/>
              </w:rPr>
              <w:t>No Supervision</w:t>
            </w:r>
          </w:p>
        </w:tc>
        <w:tc>
          <w:tcPr>
            <w:tcW w:w="720" w:type="dxa"/>
            <w:tcBorders>
              <w:left w:val="none" w:sz="0" w:space="0" w:color="auto"/>
              <w:right w:val="none" w:sz="0" w:space="0" w:color="auto"/>
            </w:tcBorders>
          </w:tcPr>
          <w:p w:rsidR="00FA0361" w:rsidRPr="00DF624A" w:rsidRDefault="00FA0361" w:rsidP="00FA0361">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F624A">
              <w:rPr>
                <w:sz w:val="22"/>
                <w:szCs w:val="22"/>
              </w:rPr>
              <w:t>1,012</w:t>
            </w:r>
          </w:p>
        </w:tc>
        <w:tc>
          <w:tcPr>
            <w:tcW w:w="810" w:type="dxa"/>
            <w:tcBorders>
              <w:left w:val="none" w:sz="0" w:space="0" w:color="auto"/>
              <w:right w:val="none" w:sz="0" w:space="0" w:color="auto"/>
            </w:tcBorders>
          </w:tcPr>
          <w:p w:rsidR="00FA0361" w:rsidRPr="00DF624A" w:rsidRDefault="00FA0361" w:rsidP="00FA0361">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F624A">
              <w:rPr>
                <w:sz w:val="22"/>
                <w:szCs w:val="22"/>
              </w:rPr>
              <w:t>40%</w:t>
            </w:r>
          </w:p>
        </w:tc>
        <w:tc>
          <w:tcPr>
            <w:tcW w:w="720" w:type="dxa"/>
            <w:tcBorders>
              <w:left w:val="none" w:sz="0" w:space="0" w:color="auto"/>
              <w:right w:val="none" w:sz="0" w:space="0" w:color="auto"/>
            </w:tcBorders>
          </w:tcPr>
          <w:p w:rsidR="00FA0361" w:rsidRPr="00DF624A" w:rsidRDefault="00FA0361" w:rsidP="00FA0361">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F624A">
              <w:rPr>
                <w:sz w:val="22"/>
                <w:szCs w:val="22"/>
              </w:rPr>
              <w:t>946</w:t>
            </w:r>
          </w:p>
        </w:tc>
        <w:tc>
          <w:tcPr>
            <w:tcW w:w="810" w:type="dxa"/>
            <w:tcBorders>
              <w:left w:val="none" w:sz="0" w:space="0" w:color="auto"/>
              <w:right w:val="none" w:sz="0" w:space="0" w:color="auto"/>
            </w:tcBorders>
          </w:tcPr>
          <w:p w:rsidR="00FA0361" w:rsidRPr="00DF624A" w:rsidRDefault="00FA0361" w:rsidP="00FA0361">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F624A">
              <w:rPr>
                <w:sz w:val="22"/>
                <w:szCs w:val="22"/>
              </w:rPr>
              <w:t>37%</w:t>
            </w:r>
          </w:p>
        </w:tc>
        <w:tc>
          <w:tcPr>
            <w:tcW w:w="720" w:type="dxa"/>
            <w:tcBorders>
              <w:left w:val="none" w:sz="0" w:space="0" w:color="auto"/>
              <w:right w:val="none" w:sz="0" w:space="0" w:color="auto"/>
            </w:tcBorders>
          </w:tcPr>
          <w:p w:rsidR="00FA0361" w:rsidRPr="00DF624A" w:rsidRDefault="00FA0361" w:rsidP="00455769">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F624A">
              <w:rPr>
                <w:sz w:val="22"/>
                <w:szCs w:val="22"/>
              </w:rPr>
              <w:t>88</w:t>
            </w:r>
            <w:r w:rsidR="00455769">
              <w:rPr>
                <w:sz w:val="22"/>
                <w:szCs w:val="22"/>
              </w:rPr>
              <w:t>5</w:t>
            </w:r>
          </w:p>
        </w:tc>
        <w:tc>
          <w:tcPr>
            <w:tcW w:w="810" w:type="dxa"/>
            <w:tcBorders>
              <w:left w:val="none" w:sz="0" w:space="0" w:color="auto"/>
              <w:right w:val="none" w:sz="0" w:space="0" w:color="auto"/>
            </w:tcBorders>
          </w:tcPr>
          <w:p w:rsidR="00FA0361" w:rsidRPr="00DF624A" w:rsidRDefault="00FA0361" w:rsidP="00FA0361">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DF624A">
              <w:rPr>
                <w:sz w:val="22"/>
                <w:szCs w:val="22"/>
              </w:rPr>
              <w:t>38%</w:t>
            </w:r>
          </w:p>
        </w:tc>
        <w:tc>
          <w:tcPr>
            <w:tcW w:w="720" w:type="dxa"/>
            <w:tcBorders>
              <w:left w:val="none" w:sz="0" w:space="0" w:color="auto"/>
              <w:right w:val="none" w:sz="0" w:space="0" w:color="auto"/>
            </w:tcBorders>
          </w:tcPr>
          <w:p w:rsidR="00FA0361" w:rsidRPr="00DF624A" w:rsidRDefault="005124DE" w:rsidP="00FA0361">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877</w:t>
            </w:r>
          </w:p>
        </w:tc>
        <w:tc>
          <w:tcPr>
            <w:tcW w:w="810" w:type="dxa"/>
            <w:tcBorders>
              <w:left w:val="none" w:sz="0" w:space="0" w:color="auto"/>
              <w:right w:val="none" w:sz="0" w:space="0" w:color="auto"/>
            </w:tcBorders>
          </w:tcPr>
          <w:p w:rsidR="00FA0361" w:rsidRPr="00DF624A" w:rsidRDefault="005124DE" w:rsidP="00FA0361">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40</w:t>
            </w:r>
            <w:r w:rsidR="00734947">
              <w:rPr>
                <w:sz w:val="22"/>
                <w:szCs w:val="22"/>
              </w:rPr>
              <w:t>%</w:t>
            </w:r>
          </w:p>
        </w:tc>
      </w:tr>
      <w:tr w:rsidR="00FA0361" w:rsidRPr="002A6283" w:rsidTr="004F5D7C">
        <w:tc>
          <w:tcPr>
            <w:cnfStyle w:val="001000000000" w:firstRow="0" w:lastRow="0" w:firstColumn="1" w:lastColumn="0" w:oddVBand="0" w:evenVBand="0" w:oddHBand="0" w:evenHBand="0" w:firstRowFirstColumn="0" w:firstRowLastColumn="0" w:lastRowFirstColumn="0" w:lastRowLastColumn="0"/>
            <w:tcW w:w="3780" w:type="dxa"/>
          </w:tcPr>
          <w:p w:rsidR="00FA0361" w:rsidRPr="002A6283" w:rsidRDefault="00FA0361" w:rsidP="00FA0361">
            <w:pPr>
              <w:pStyle w:val="NoSpacing"/>
              <w:rPr>
                <w:b w:val="0"/>
                <w:smallCaps/>
                <w:sz w:val="22"/>
                <w:szCs w:val="22"/>
              </w:rPr>
            </w:pPr>
            <w:r w:rsidRPr="002A6283">
              <w:rPr>
                <w:smallCaps/>
                <w:sz w:val="22"/>
                <w:szCs w:val="22"/>
              </w:rPr>
              <w:t>Total</w:t>
            </w:r>
          </w:p>
        </w:tc>
        <w:tc>
          <w:tcPr>
            <w:tcW w:w="720" w:type="dxa"/>
          </w:tcPr>
          <w:p w:rsidR="00FA0361" w:rsidRPr="000156D6" w:rsidRDefault="00FA0361" w:rsidP="00FA0361">
            <w:pPr>
              <w:pStyle w:val="NoSpacing"/>
              <w:jc w:val="center"/>
              <w:cnfStyle w:val="000000000000" w:firstRow="0" w:lastRow="0" w:firstColumn="0" w:lastColumn="0" w:oddVBand="0" w:evenVBand="0" w:oddHBand="0" w:evenHBand="0" w:firstRowFirstColumn="0" w:firstRowLastColumn="0" w:lastRowFirstColumn="0" w:lastRowLastColumn="0"/>
              <w:rPr>
                <w:b/>
                <w:sz w:val="22"/>
                <w:szCs w:val="22"/>
              </w:rPr>
            </w:pPr>
            <w:r w:rsidRPr="000156D6">
              <w:rPr>
                <w:b/>
                <w:sz w:val="22"/>
                <w:szCs w:val="22"/>
              </w:rPr>
              <w:t>2,537</w:t>
            </w:r>
          </w:p>
        </w:tc>
        <w:tc>
          <w:tcPr>
            <w:tcW w:w="810" w:type="dxa"/>
          </w:tcPr>
          <w:p w:rsidR="00FA0361" w:rsidRPr="000156D6" w:rsidRDefault="00FA0361" w:rsidP="00FA0361">
            <w:pPr>
              <w:pStyle w:val="NoSpacing"/>
              <w:jc w:val="center"/>
              <w:cnfStyle w:val="000000000000" w:firstRow="0" w:lastRow="0" w:firstColumn="0" w:lastColumn="0" w:oddVBand="0" w:evenVBand="0" w:oddHBand="0" w:evenHBand="0" w:firstRowFirstColumn="0" w:firstRowLastColumn="0" w:lastRowFirstColumn="0" w:lastRowLastColumn="0"/>
              <w:rPr>
                <w:b/>
                <w:sz w:val="22"/>
                <w:szCs w:val="22"/>
              </w:rPr>
            </w:pPr>
            <w:r w:rsidRPr="000156D6">
              <w:rPr>
                <w:b/>
                <w:sz w:val="22"/>
                <w:szCs w:val="22"/>
              </w:rPr>
              <w:t>100%</w:t>
            </w:r>
          </w:p>
        </w:tc>
        <w:tc>
          <w:tcPr>
            <w:tcW w:w="720" w:type="dxa"/>
          </w:tcPr>
          <w:p w:rsidR="00FA0361" w:rsidRPr="000156D6" w:rsidRDefault="00FA0361" w:rsidP="00455769">
            <w:pPr>
              <w:pStyle w:val="NoSpacing"/>
              <w:jc w:val="center"/>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2,58</w:t>
            </w:r>
            <w:r w:rsidR="00455769">
              <w:rPr>
                <w:b/>
                <w:sz w:val="22"/>
                <w:szCs w:val="22"/>
              </w:rPr>
              <w:t>1</w:t>
            </w:r>
          </w:p>
        </w:tc>
        <w:tc>
          <w:tcPr>
            <w:tcW w:w="810" w:type="dxa"/>
          </w:tcPr>
          <w:p w:rsidR="00FA0361" w:rsidRPr="000156D6" w:rsidRDefault="00FA0361" w:rsidP="00FA0361">
            <w:pPr>
              <w:pStyle w:val="NoSpacing"/>
              <w:jc w:val="center"/>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100%</w:t>
            </w:r>
          </w:p>
        </w:tc>
        <w:tc>
          <w:tcPr>
            <w:tcW w:w="720" w:type="dxa"/>
          </w:tcPr>
          <w:p w:rsidR="00FA0361" w:rsidRPr="000156D6" w:rsidRDefault="00FA0361" w:rsidP="00FA0361">
            <w:pPr>
              <w:pStyle w:val="NoSpacing"/>
              <w:jc w:val="center"/>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2,328</w:t>
            </w:r>
          </w:p>
        </w:tc>
        <w:tc>
          <w:tcPr>
            <w:tcW w:w="810" w:type="dxa"/>
          </w:tcPr>
          <w:p w:rsidR="00FA0361" w:rsidRPr="000156D6" w:rsidRDefault="00FA0361" w:rsidP="00FA0361">
            <w:pPr>
              <w:pStyle w:val="NoSpacing"/>
              <w:jc w:val="center"/>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100%</w:t>
            </w:r>
          </w:p>
        </w:tc>
        <w:tc>
          <w:tcPr>
            <w:tcW w:w="720" w:type="dxa"/>
          </w:tcPr>
          <w:p w:rsidR="00FA0361" w:rsidRPr="000156D6" w:rsidRDefault="005124DE" w:rsidP="00FA0361">
            <w:pPr>
              <w:pStyle w:val="NoSpacing"/>
              <w:jc w:val="center"/>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2,178</w:t>
            </w:r>
          </w:p>
        </w:tc>
        <w:tc>
          <w:tcPr>
            <w:tcW w:w="810" w:type="dxa"/>
          </w:tcPr>
          <w:p w:rsidR="00FA0361" w:rsidRPr="000156D6" w:rsidRDefault="005124DE" w:rsidP="00FA0361">
            <w:pPr>
              <w:pStyle w:val="NoSpacing"/>
              <w:jc w:val="center"/>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100</w:t>
            </w:r>
            <w:r w:rsidR="00734947">
              <w:rPr>
                <w:b/>
                <w:sz w:val="22"/>
                <w:szCs w:val="22"/>
              </w:rPr>
              <w:t>%</w:t>
            </w:r>
          </w:p>
        </w:tc>
      </w:tr>
    </w:tbl>
    <w:p w:rsidR="006B3A61" w:rsidRPr="00D97FFE" w:rsidRDefault="006B3A61" w:rsidP="00D10F87">
      <w:pPr>
        <w:pStyle w:val="NoSpacing"/>
        <w:rPr>
          <w:sz w:val="20"/>
          <w:szCs w:val="20"/>
        </w:rPr>
      </w:pPr>
      <w:r w:rsidRPr="00D97FFE">
        <w:rPr>
          <w:sz w:val="20"/>
          <w:szCs w:val="20"/>
        </w:rPr>
        <w:t xml:space="preserve">Source: Massachusetts </w:t>
      </w:r>
      <w:r w:rsidR="004B4DEE">
        <w:rPr>
          <w:sz w:val="20"/>
          <w:szCs w:val="20"/>
        </w:rPr>
        <w:t>DOC</w:t>
      </w:r>
      <w:r w:rsidRPr="00D97FFE">
        <w:rPr>
          <w:sz w:val="20"/>
          <w:szCs w:val="20"/>
        </w:rPr>
        <w:t xml:space="preserve">.  </w:t>
      </w:r>
      <w:r w:rsidRPr="00D97FFE">
        <w:rPr>
          <w:i/>
          <w:sz w:val="20"/>
          <w:szCs w:val="20"/>
        </w:rPr>
        <w:t>“Prison Population Trends 201</w:t>
      </w:r>
      <w:r w:rsidR="00A50781">
        <w:rPr>
          <w:i/>
          <w:sz w:val="20"/>
          <w:szCs w:val="20"/>
        </w:rPr>
        <w:t>7</w:t>
      </w:r>
      <w:r w:rsidRPr="00D97FFE">
        <w:rPr>
          <w:i/>
          <w:sz w:val="20"/>
          <w:szCs w:val="20"/>
        </w:rPr>
        <w:t>,”</w:t>
      </w:r>
      <w:r w:rsidRPr="00D97FFE">
        <w:rPr>
          <w:sz w:val="20"/>
          <w:szCs w:val="20"/>
        </w:rPr>
        <w:t xml:space="preserve"> </w:t>
      </w:r>
      <w:r>
        <w:rPr>
          <w:sz w:val="20"/>
          <w:szCs w:val="20"/>
        </w:rPr>
        <w:t>March 201</w:t>
      </w:r>
      <w:r w:rsidR="00A50781">
        <w:rPr>
          <w:sz w:val="20"/>
          <w:szCs w:val="20"/>
        </w:rPr>
        <w:t>8</w:t>
      </w:r>
      <w:r>
        <w:rPr>
          <w:sz w:val="20"/>
          <w:szCs w:val="20"/>
        </w:rPr>
        <w:t>.</w:t>
      </w:r>
    </w:p>
    <w:p w:rsidR="00F24385" w:rsidRDefault="00F24385">
      <w:pPr>
        <w:spacing w:after="200" w:line="276" w:lineRule="auto"/>
      </w:pPr>
      <w:r>
        <w:br w:type="page"/>
      </w:r>
    </w:p>
    <w:p w:rsidR="00830371" w:rsidRDefault="003F6B96" w:rsidP="00A3296A">
      <w:pPr>
        <w:pStyle w:val="NoSpacing"/>
      </w:pPr>
      <w:r w:rsidRPr="00DF0540">
        <w:lastRenderedPageBreak/>
        <w:t xml:space="preserve">Table </w:t>
      </w:r>
      <w:r w:rsidR="00DF0540">
        <w:t>4</w:t>
      </w:r>
      <w:r>
        <w:t xml:space="preserve"> provides the percentage of the Massachusetts population residing in each county in 201</w:t>
      </w:r>
      <w:r w:rsidR="00734947">
        <w:t>6</w:t>
      </w:r>
      <w:r>
        <w:rPr>
          <w:rStyle w:val="FootnoteReference"/>
        </w:rPr>
        <w:footnoteReference w:id="16"/>
      </w:r>
      <w:r>
        <w:t xml:space="preserve"> compared to the percentage of criminally sentenced DOC inmates released to each county in 201</w:t>
      </w:r>
      <w:r w:rsidR="006E44CF">
        <w:t>7</w:t>
      </w:r>
      <w:r>
        <w:t>.</w:t>
      </w:r>
      <w:r>
        <w:rPr>
          <w:rStyle w:val="FootnoteReference"/>
        </w:rPr>
        <w:footnoteReference w:id="17"/>
      </w:r>
      <w:r w:rsidR="00A457C9">
        <w:t xml:space="preserve">  </w:t>
      </w:r>
      <w:r w:rsidR="00591A49">
        <w:t xml:space="preserve">Suffolk, </w:t>
      </w:r>
      <w:r w:rsidR="0038342E">
        <w:t xml:space="preserve">Hampden, and </w:t>
      </w:r>
      <w:r w:rsidR="00591A49">
        <w:t xml:space="preserve">Bristol counties (in </w:t>
      </w:r>
      <w:r w:rsidR="00591A49" w:rsidRPr="00591A49">
        <w:rPr>
          <w:b/>
        </w:rPr>
        <w:t>bold</w:t>
      </w:r>
      <w:r w:rsidR="00591A49">
        <w:t xml:space="preserve"> below) had a higher percentage of inmates released to communities in those counties (</w:t>
      </w:r>
      <w:r w:rsidR="0038342E">
        <w:t>43</w:t>
      </w:r>
      <w:r w:rsidR="00591A49">
        <w:t>%) than the percentage of Massachusetts residents living there (</w:t>
      </w:r>
      <w:r w:rsidR="0038342E">
        <w:t>2</w:t>
      </w:r>
      <w:r w:rsidR="00591A49">
        <w:t>7%).</w:t>
      </w:r>
    </w:p>
    <w:p w:rsidR="00F24385" w:rsidRDefault="00F24385" w:rsidP="00A3296A">
      <w:pPr>
        <w:pStyle w:val="NoSpacing"/>
      </w:pPr>
    </w:p>
    <w:tbl>
      <w:tblPr>
        <w:tblStyle w:val="LightShading-Accent1"/>
        <w:tblW w:w="0" w:type="auto"/>
        <w:tblLook w:val="04A0" w:firstRow="1" w:lastRow="0" w:firstColumn="1" w:lastColumn="0" w:noHBand="0" w:noVBand="1"/>
      </w:tblPr>
      <w:tblGrid>
        <w:gridCol w:w="1728"/>
        <w:gridCol w:w="1620"/>
        <w:gridCol w:w="2610"/>
        <w:gridCol w:w="2790"/>
      </w:tblGrid>
      <w:tr w:rsidR="00204EC7" w:rsidRPr="00B031C2" w:rsidTr="000426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8" w:type="dxa"/>
            <w:gridSpan w:val="4"/>
          </w:tcPr>
          <w:p w:rsidR="00204EC7" w:rsidRPr="00B031C2" w:rsidRDefault="00204EC7" w:rsidP="002D1D7E">
            <w:pPr>
              <w:pStyle w:val="NoSpacing"/>
              <w:jc w:val="center"/>
              <w:rPr>
                <w:smallCaps/>
                <w:sz w:val="22"/>
                <w:szCs w:val="22"/>
              </w:rPr>
            </w:pPr>
            <w:r w:rsidRPr="00B031C2">
              <w:rPr>
                <w:smallCaps/>
                <w:sz w:val="22"/>
                <w:szCs w:val="22"/>
              </w:rPr>
              <w:t xml:space="preserve">Table </w:t>
            </w:r>
            <w:r w:rsidR="00DF0540" w:rsidRPr="00B031C2">
              <w:rPr>
                <w:smallCaps/>
                <w:sz w:val="22"/>
                <w:szCs w:val="22"/>
              </w:rPr>
              <w:t>4</w:t>
            </w:r>
            <w:r w:rsidRPr="00B031C2">
              <w:rPr>
                <w:smallCaps/>
                <w:sz w:val="22"/>
                <w:szCs w:val="22"/>
              </w:rPr>
              <w:t>. Massachusetts DOC 201</w:t>
            </w:r>
            <w:r w:rsidR="00A012E4">
              <w:rPr>
                <w:smallCaps/>
                <w:sz w:val="22"/>
                <w:szCs w:val="22"/>
              </w:rPr>
              <w:t>7</w:t>
            </w:r>
            <w:r w:rsidRPr="00B031C2">
              <w:rPr>
                <w:smallCaps/>
                <w:sz w:val="22"/>
                <w:szCs w:val="22"/>
              </w:rPr>
              <w:t xml:space="preserve"> Criminally Sentenced Releases to the Community by Counties Compared to the Estimated Population of</w:t>
            </w:r>
          </w:p>
          <w:p w:rsidR="00204EC7" w:rsidRPr="00B031C2" w:rsidRDefault="00204EC7" w:rsidP="00BC62A0">
            <w:pPr>
              <w:pStyle w:val="NoSpacing"/>
              <w:jc w:val="center"/>
              <w:rPr>
                <w:b w:val="0"/>
                <w:smallCaps/>
                <w:sz w:val="22"/>
                <w:szCs w:val="22"/>
              </w:rPr>
            </w:pPr>
            <w:r w:rsidRPr="00B031C2">
              <w:rPr>
                <w:smallCaps/>
                <w:sz w:val="22"/>
                <w:szCs w:val="22"/>
              </w:rPr>
              <w:t>Massachusetts in 201</w:t>
            </w:r>
            <w:r w:rsidR="00BC62A0">
              <w:rPr>
                <w:smallCaps/>
                <w:sz w:val="22"/>
                <w:szCs w:val="22"/>
              </w:rPr>
              <w:t>7</w:t>
            </w:r>
          </w:p>
        </w:tc>
      </w:tr>
      <w:tr w:rsidR="00204EC7" w:rsidRPr="00B031C2" w:rsidTr="000426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vAlign w:val="bottom"/>
          </w:tcPr>
          <w:p w:rsidR="00204EC7" w:rsidRPr="00B031C2" w:rsidRDefault="00204EC7" w:rsidP="00F24385">
            <w:pPr>
              <w:pStyle w:val="NoSpacing"/>
              <w:rPr>
                <w:smallCaps/>
                <w:sz w:val="22"/>
                <w:szCs w:val="22"/>
              </w:rPr>
            </w:pPr>
            <w:r w:rsidRPr="00B031C2">
              <w:rPr>
                <w:smallCaps/>
                <w:sz w:val="22"/>
                <w:szCs w:val="22"/>
              </w:rPr>
              <w:t>County</w:t>
            </w:r>
          </w:p>
        </w:tc>
        <w:tc>
          <w:tcPr>
            <w:tcW w:w="1620" w:type="dxa"/>
            <w:vAlign w:val="bottom"/>
          </w:tcPr>
          <w:p w:rsidR="00204EC7" w:rsidRPr="00B031C2" w:rsidRDefault="00204EC7" w:rsidP="00F24385">
            <w:pPr>
              <w:pStyle w:val="NoSpacing"/>
              <w:jc w:val="center"/>
              <w:cnfStyle w:val="000000100000" w:firstRow="0" w:lastRow="0" w:firstColumn="0" w:lastColumn="0" w:oddVBand="0" w:evenVBand="0" w:oddHBand="1" w:evenHBand="0" w:firstRowFirstColumn="0" w:firstRowLastColumn="0" w:lastRowFirstColumn="0" w:lastRowLastColumn="0"/>
              <w:rPr>
                <w:b/>
                <w:smallCaps/>
                <w:sz w:val="22"/>
                <w:szCs w:val="22"/>
              </w:rPr>
            </w:pPr>
            <w:r w:rsidRPr="00B031C2">
              <w:rPr>
                <w:b/>
                <w:smallCaps/>
                <w:sz w:val="22"/>
                <w:szCs w:val="22"/>
              </w:rPr>
              <w:t>Number</w:t>
            </w:r>
          </w:p>
        </w:tc>
        <w:tc>
          <w:tcPr>
            <w:tcW w:w="2610" w:type="dxa"/>
            <w:vAlign w:val="bottom"/>
          </w:tcPr>
          <w:p w:rsidR="00204EC7" w:rsidRPr="00B031C2" w:rsidRDefault="00204EC7" w:rsidP="00F24385">
            <w:pPr>
              <w:pStyle w:val="NoSpacing"/>
              <w:jc w:val="center"/>
              <w:cnfStyle w:val="000000100000" w:firstRow="0" w:lastRow="0" w:firstColumn="0" w:lastColumn="0" w:oddVBand="0" w:evenVBand="0" w:oddHBand="1" w:evenHBand="0" w:firstRowFirstColumn="0" w:firstRowLastColumn="0" w:lastRowFirstColumn="0" w:lastRowLastColumn="0"/>
              <w:rPr>
                <w:b/>
                <w:smallCaps/>
                <w:sz w:val="22"/>
                <w:szCs w:val="22"/>
              </w:rPr>
            </w:pPr>
            <w:r w:rsidRPr="00B031C2">
              <w:rPr>
                <w:b/>
                <w:smallCaps/>
                <w:sz w:val="22"/>
                <w:szCs w:val="22"/>
              </w:rPr>
              <w:t>% Releases to the Community</w:t>
            </w:r>
          </w:p>
        </w:tc>
        <w:tc>
          <w:tcPr>
            <w:tcW w:w="2790" w:type="dxa"/>
          </w:tcPr>
          <w:p w:rsidR="00204EC7" w:rsidRPr="00B031C2" w:rsidRDefault="00204EC7" w:rsidP="002D1D7E">
            <w:pPr>
              <w:pStyle w:val="NoSpacing"/>
              <w:jc w:val="center"/>
              <w:cnfStyle w:val="000000100000" w:firstRow="0" w:lastRow="0" w:firstColumn="0" w:lastColumn="0" w:oddVBand="0" w:evenVBand="0" w:oddHBand="1" w:evenHBand="0" w:firstRowFirstColumn="0" w:firstRowLastColumn="0" w:lastRowFirstColumn="0" w:lastRowLastColumn="0"/>
              <w:rPr>
                <w:b/>
                <w:smallCaps/>
                <w:sz w:val="22"/>
                <w:szCs w:val="22"/>
              </w:rPr>
            </w:pPr>
            <w:r w:rsidRPr="00B031C2">
              <w:rPr>
                <w:b/>
                <w:smallCaps/>
                <w:sz w:val="22"/>
                <w:szCs w:val="22"/>
              </w:rPr>
              <w:t>Percentage of MA Population Residing in County</w:t>
            </w:r>
          </w:p>
        </w:tc>
      </w:tr>
      <w:tr w:rsidR="00204EC7" w:rsidRPr="00B031C2" w:rsidTr="0004260B">
        <w:tc>
          <w:tcPr>
            <w:cnfStyle w:val="001000000000" w:firstRow="0" w:lastRow="0" w:firstColumn="1" w:lastColumn="0" w:oddVBand="0" w:evenVBand="0" w:oddHBand="0" w:evenHBand="0" w:firstRowFirstColumn="0" w:firstRowLastColumn="0" w:lastRowFirstColumn="0" w:lastRowLastColumn="0"/>
            <w:tcW w:w="1728" w:type="dxa"/>
          </w:tcPr>
          <w:p w:rsidR="00204EC7" w:rsidRPr="00B031C2" w:rsidRDefault="00204EC7" w:rsidP="00A3296A">
            <w:pPr>
              <w:pStyle w:val="NoSpacing"/>
              <w:rPr>
                <w:sz w:val="22"/>
                <w:szCs w:val="22"/>
              </w:rPr>
            </w:pPr>
            <w:r w:rsidRPr="00B031C2">
              <w:rPr>
                <w:sz w:val="22"/>
                <w:szCs w:val="22"/>
              </w:rPr>
              <w:t>Suffolk</w:t>
            </w:r>
          </w:p>
        </w:tc>
        <w:tc>
          <w:tcPr>
            <w:tcW w:w="1620" w:type="dxa"/>
          </w:tcPr>
          <w:p w:rsidR="00204EC7" w:rsidRPr="00B031C2" w:rsidRDefault="00DA4478" w:rsidP="00204EC7">
            <w:pPr>
              <w:pStyle w:val="NoSpacing"/>
              <w:jc w:val="center"/>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531</w:t>
            </w:r>
          </w:p>
        </w:tc>
        <w:tc>
          <w:tcPr>
            <w:tcW w:w="2610" w:type="dxa"/>
          </w:tcPr>
          <w:p w:rsidR="00204EC7" w:rsidRPr="00B031C2" w:rsidRDefault="00204EC7" w:rsidP="00DA4478">
            <w:pPr>
              <w:pStyle w:val="NoSpacing"/>
              <w:jc w:val="center"/>
              <w:cnfStyle w:val="000000000000" w:firstRow="0" w:lastRow="0" w:firstColumn="0" w:lastColumn="0" w:oddVBand="0" w:evenVBand="0" w:oddHBand="0" w:evenHBand="0" w:firstRowFirstColumn="0" w:firstRowLastColumn="0" w:lastRowFirstColumn="0" w:lastRowLastColumn="0"/>
              <w:rPr>
                <w:b/>
                <w:sz w:val="22"/>
                <w:szCs w:val="22"/>
              </w:rPr>
            </w:pPr>
            <w:r w:rsidRPr="00B031C2">
              <w:rPr>
                <w:b/>
                <w:sz w:val="22"/>
                <w:szCs w:val="22"/>
              </w:rPr>
              <w:t>2</w:t>
            </w:r>
            <w:r w:rsidR="00DA4478">
              <w:rPr>
                <w:b/>
                <w:sz w:val="22"/>
                <w:szCs w:val="22"/>
              </w:rPr>
              <w:t>4</w:t>
            </w:r>
            <w:r w:rsidRPr="00B031C2">
              <w:rPr>
                <w:b/>
                <w:sz w:val="22"/>
                <w:szCs w:val="22"/>
              </w:rPr>
              <w:t>%</w:t>
            </w:r>
          </w:p>
        </w:tc>
        <w:tc>
          <w:tcPr>
            <w:tcW w:w="2790" w:type="dxa"/>
          </w:tcPr>
          <w:p w:rsidR="00204EC7" w:rsidRPr="00B031C2" w:rsidRDefault="00F24385" w:rsidP="00A7274B">
            <w:pPr>
              <w:pStyle w:val="NoSpacing"/>
              <w:jc w:val="center"/>
              <w:cnfStyle w:val="000000000000" w:firstRow="0" w:lastRow="0" w:firstColumn="0" w:lastColumn="0" w:oddVBand="0" w:evenVBand="0" w:oddHBand="0" w:evenHBand="0" w:firstRowFirstColumn="0" w:firstRowLastColumn="0" w:lastRowFirstColumn="0" w:lastRowLastColumn="0"/>
              <w:rPr>
                <w:b/>
                <w:sz w:val="22"/>
                <w:szCs w:val="22"/>
              </w:rPr>
            </w:pPr>
            <w:r w:rsidRPr="00B031C2">
              <w:rPr>
                <w:b/>
                <w:sz w:val="22"/>
                <w:szCs w:val="22"/>
              </w:rPr>
              <w:t>1</w:t>
            </w:r>
            <w:r w:rsidR="00A7274B">
              <w:rPr>
                <w:b/>
                <w:sz w:val="22"/>
                <w:szCs w:val="22"/>
              </w:rPr>
              <w:t>2</w:t>
            </w:r>
            <w:r w:rsidRPr="00B031C2">
              <w:rPr>
                <w:b/>
                <w:sz w:val="22"/>
                <w:szCs w:val="22"/>
              </w:rPr>
              <w:t>%</w:t>
            </w:r>
          </w:p>
        </w:tc>
      </w:tr>
      <w:tr w:rsidR="00DA4478" w:rsidRPr="00B031C2" w:rsidTr="000426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DA4478" w:rsidRPr="00B031C2" w:rsidRDefault="00DA4478" w:rsidP="00DA4478">
            <w:pPr>
              <w:pStyle w:val="NoSpacing"/>
              <w:rPr>
                <w:b w:val="0"/>
                <w:sz w:val="22"/>
                <w:szCs w:val="22"/>
              </w:rPr>
            </w:pPr>
            <w:r w:rsidRPr="00B031C2">
              <w:rPr>
                <w:b w:val="0"/>
                <w:sz w:val="22"/>
                <w:szCs w:val="22"/>
              </w:rPr>
              <w:t>Middlesex</w:t>
            </w:r>
          </w:p>
        </w:tc>
        <w:tc>
          <w:tcPr>
            <w:tcW w:w="1620" w:type="dxa"/>
          </w:tcPr>
          <w:p w:rsidR="00DA4478" w:rsidRPr="00B031C2" w:rsidRDefault="00DA4478" w:rsidP="00DA4478">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2</w:t>
            </w:r>
            <w:r>
              <w:rPr>
                <w:sz w:val="22"/>
                <w:szCs w:val="22"/>
              </w:rPr>
              <w:t>46</w:t>
            </w:r>
          </w:p>
        </w:tc>
        <w:tc>
          <w:tcPr>
            <w:tcW w:w="2610" w:type="dxa"/>
          </w:tcPr>
          <w:p w:rsidR="00DA4478" w:rsidRPr="00B031C2" w:rsidRDefault="00DA4478" w:rsidP="00DA4478">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11%</w:t>
            </w:r>
          </w:p>
        </w:tc>
        <w:tc>
          <w:tcPr>
            <w:tcW w:w="2790" w:type="dxa"/>
          </w:tcPr>
          <w:p w:rsidR="00DA4478" w:rsidRPr="00B031C2" w:rsidRDefault="00DA4478" w:rsidP="00DA4478">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23%</w:t>
            </w:r>
          </w:p>
        </w:tc>
      </w:tr>
      <w:tr w:rsidR="00DA4478" w:rsidRPr="00B031C2" w:rsidTr="0004260B">
        <w:tc>
          <w:tcPr>
            <w:cnfStyle w:val="001000000000" w:firstRow="0" w:lastRow="0" w:firstColumn="1" w:lastColumn="0" w:oddVBand="0" w:evenVBand="0" w:oddHBand="0" w:evenHBand="0" w:firstRowFirstColumn="0" w:firstRowLastColumn="0" w:lastRowFirstColumn="0" w:lastRowLastColumn="0"/>
            <w:tcW w:w="1728" w:type="dxa"/>
          </w:tcPr>
          <w:p w:rsidR="00DA4478" w:rsidRPr="006E44CF" w:rsidRDefault="00DA4478" w:rsidP="00DA4478">
            <w:pPr>
              <w:pStyle w:val="NoSpacing"/>
              <w:rPr>
                <w:b w:val="0"/>
                <w:sz w:val="22"/>
                <w:szCs w:val="22"/>
              </w:rPr>
            </w:pPr>
            <w:r w:rsidRPr="006E44CF">
              <w:rPr>
                <w:b w:val="0"/>
                <w:sz w:val="22"/>
                <w:szCs w:val="22"/>
              </w:rPr>
              <w:t>Essex</w:t>
            </w:r>
          </w:p>
        </w:tc>
        <w:tc>
          <w:tcPr>
            <w:tcW w:w="1620" w:type="dxa"/>
          </w:tcPr>
          <w:p w:rsidR="00DA4478" w:rsidRPr="006E44CF" w:rsidRDefault="00DA4478" w:rsidP="00DA4478">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6E44CF">
              <w:rPr>
                <w:sz w:val="22"/>
                <w:szCs w:val="22"/>
              </w:rPr>
              <w:t>244</w:t>
            </w:r>
          </w:p>
        </w:tc>
        <w:tc>
          <w:tcPr>
            <w:tcW w:w="2610" w:type="dxa"/>
          </w:tcPr>
          <w:p w:rsidR="00DA4478" w:rsidRPr="006E44CF" w:rsidRDefault="00DA4478" w:rsidP="00DA4478">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6E44CF">
              <w:rPr>
                <w:sz w:val="22"/>
                <w:szCs w:val="22"/>
              </w:rPr>
              <w:t>11%</w:t>
            </w:r>
          </w:p>
        </w:tc>
        <w:tc>
          <w:tcPr>
            <w:tcW w:w="2790" w:type="dxa"/>
          </w:tcPr>
          <w:p w:rsidR="00DA4478" w:rsidRPr="006E44CF" w:rsidRDefault="00DA4478" w:rsidP="00DA4478">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6E44CF">
              <w:rPr>
                <w:sz w:val="22"/>
                <w:szCs w:val="22"/>
              </w:rPr>
              <w:t>11%</w:t>
            </w:r>
          </w:p>
        </w:tc>
      </w:tr>
      <w:tr w:rsidR="00DA4478" w:rsidRPr="00B031C2" w:rsidTr="000426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DA4478" w:rsidRPr="00B031C2" w:rsidRDefault="00DA4478" w:rsidP="00DA4478">
            <w:pPr>
              <w:pStyle w:val="NoSpacing"/>
              <w:rPr>
                <w:b w:val="0"/>
                <w:sz w:val="22"/>
                <w:szCs w:val="22"/>
              </w:rPr>
            </w:pPr>
            <w:r w:rsidRPr="00B031C2">
              <w:rPr>
                <w:b w:val="0"/>
                <w:sz w:val="22"/>
                <w:szCs w:val="22"/>
              </w:rPr>
              <w:t>Worcester</w:t>
            </w:r>
          </w:p>
        </w:tc>
        <w:tc>
          <w:tcPr>
            <w:tcW w:w="1620" w:type="dxa"/>
          </w:tcPr>
          <w:p w:rsidR="00DA4478" w:rsidRPr="00B031C2" w:rsidRDefault="00DA4478" w:rsidP="00DA4478">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2</w:t>
            </w:r>
            <w:r>
              <w:rPr>
                <w:sz w:val="22"/>
                <w:szCs w:val="22"/>
              </w:rPr>
              <w:t>36</w:t>
            </w:r>
          </w:p>
        </w:tc>
        <w:tc>
          <w:tcPr>
            <w:tcW w:w="2610" w:type="dxa"/>
          </w:tcPr>
          <w:p w:rsidR="00DA4478" w:rsidRPr="00B031C2" w:rsidRDefault="00DA4478" w:rsidP="00DA447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11</w:t>
            </w:r>
            <w:r w:rsidRPr="00B031C2">
              <w:rPr>
                <w:sz w:val="22"/>
                <w:szCs w:val="22"/>
              </w:rPr>
              <w:t>%</w:t>
            </w:r>
          </w:p>
        </w:tc>
        <w:tc>
          <w:tcPr>
            <w:tcW w:w="2790" w:type="dxa"/>
          </w:tcPr>
          <w:p w:rsidR="00DA4478" w:rsidRPr="00B031C2" w:rsidRDefault="00DA4478" w:rsidP="00DA4478">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12%</w:t>
            </w:r>
          </w:p>
        </w:tc>
      </w:tr>
      <w:tr w:rsidR="00DA4478" w:rsidRPr="00B031C2" w:rsidTr="0004260B">
        <w:tc>
          <w:tcPr>
            <w:cnfStyle w:val="001000000000" w:firstRow="0" w:lastRow="0" w:firstColumn="1" w:lastColumn="0" w:oddVBand="0" w:evenVBand="0" w:oddHBand="0" w:evenHBand="0" w:firstRowFirstColumn="0" w:firstRowLastColumn="0" w:lastRowFirstColumn="0" w:lastRowLastColumn="0"/>
            <w:tcW w:w="1728" w:type="dxa"/>
          </w:tcPr>
          <w:p w:rsidR="00DA4478" w:rsidRPr="00B031C2" w:rsidRDefault="00DA4478" w:rsidP="00DA4478">
            <w:pPr>
              <w:pStyle w:val="NoSpacing"/>
              <w:rPr>
                <w:sz w:val="22"/>
                <w:szCs w:val="22"/>
              </w:rPr>
            </w:pPr>
            <w:r w:rsidRPr="00B031C2">
              <w:rPr>
                <w:sz w:val="22"/>
                <w:szCs w:val="22"/>
              </w:rPr>
              <w:t>Hampden</w:t>
            </w:r>
          </w:p>
        </w:tc>
        <w:tc>
          <w:tcPr>
            <w:tcW w:w="1620" w:type="dxa"/>
          </w:tcPr>
          <w:p w:rsidR="00DA4478" w:rsidRPr="00B031C2" w:rsidRDefault="00DA4478" w:rsidP="00DA4478">
            <w:pPr>
              <w:pStyle w:val="NoSpacing"/>
              <w:jc w:val="center"/>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226</w:t>
            </w:r>
          </w:p>
        </w:tc>
        <w:tc>
          <w:tcPr>
            <w:tcW w:w="2610" w:type="dxa"/>
          </w:tcPr>
          <w:p w:rsidR="00DA4478" w:rsidRPr="00B031C2" w:rsidRDefault="00DA4478" w:rsidP="00DA4478">
            <w:pPr>
              <w:pStyle w:val="NoSpacing"/>
              <w:jc w:val="center"/>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10</w:t>
            </w:r>
            <w:r w:rsidRPr="00B031C2">
              <w:rPr>
                <w:b/>
                <w:sz w:val="22"/>
                <w:szCs w:val="22"/>
              </w:rPr>
              <w:t>%</w:t>
            </w:r>
          </w:p>
        </w:tc>
        <w:tc>
          <w:tcPr>
            <w:tcW w:w="2790" w:type="dxa"/>
          </w:tcPr>
          <w:p w:rsidR="00DA4478" w:rsidRPr="00B031C2" w:rsidRDefault="00DA4478" w:rsidP="00DA4478">
            <w:pPr>
              <w:pStyle w:val="NoSpacing"/>
              <w:jc w:val="center"/>
              <w:cnfStyle w:val="000000000000" w:firstRow="0" w:lastRow="0" w:firstColumn="0" w:lastColumn="0" w:oddVBand="0" w:evenVBand="0" w:oddHBand="0" w:evenHBand="0" w:firstRowFirstColumn="0" w:firstRowLastColumn="0" w:lastRowFirstColumn="0" w:lastRowLastColumn="0"/>
              <w:rPr>
                <w:b/>
                <w:sz w:val="22"/>
                <w:szCs w:val="22"/>
              </w:rPr>
            </w:pPr>
            <w:r w:rsidRPr="00B031C2">
              <w:rPr>
                <w:b/>
                <w:sz w:val="22"/>
                <w:szCs w:val="22"/>
              </w:rPr>
              <w:t>7%</w:t>
            </w:r>
          </w:p>
        </w:tc>
      </w:tr>
      <w:tr w:rsidR="00DA4478" w:rsidRPr="00B031C2" w:rsidTr="000426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DA4478" w:rsidRPr="00B031C2" w:rsidRDefault="00DA4478" w:rsidP="00DA4478">
            <w:pPr>
              <w:pStyle w:val="NoSpacing"/>
              <w:rPr>
                <w:sz w:val="22"/>
                <w:szCs w:val="22"/>
              </w:rPr>
            </w:pPr>
            <w:r w:rsidRPr="00B031C2">
              <w:rPr>
                <w:sz w:val="22"/>
                <w:szCs w:val="22"/>
              </w:rPr>
              <w:t>Bristol</w:t>
            </w:r>
          </w:p>
        </w:tc>
        <w:tc>
          <w:tcPr>
            <w:tcW w:w="1620" w:type="dxa"/>
          </w:tcPr>
          <w:p w:rsidR="00DA4478" w:rsidRPr="00B031C2" w:rsidRDefault="00DA4478" w:rsidP="00DA4478">
            <w:pPr>
              <w:pStyle w:val="NoSpacing"/>
              <w:jc w:val="center"/>
              <w:cnfStyle w:val="000000100000" w:firstRow="0" w:lastRow="0" w:firstColumn="0" w:lastColumn="0" w:oddVBand="0" w:evenVBand="0" w:oddHBand="1" w:evenHBand="0" w:firstRowFirstColumn="0" w:firstRowLastColumn="0" w:lastRowFirstColumn="0" w:lastRowLastColumn="0"/>
              <w:rPr>
                <w:b/>
                <w:sz w:val="22"/>
                <w:szCs w:val="22"/>
              </w:rPr>
            </w:pPr>
            <w:r w:rsidRPr="00B031C2">
              <w:rPr>
                <w:b/>
                <w:sz w:val="22"/>
                <w:szCs w:val="22"/>
              </w:rPr>
              <w:t>2</w:t>
            </w:r>
            <w:r>
              <w:rPr>
                <w:b/>
                <w:sz w:val="22"/>
                <w:szCs w:val="22"/>
              </w:rPr>
              <w:t>06</w:t>
            </w:r>
          </w:p>
        </w:tc>
        <w:tc>
          <w:tcPr>
            <w:tcW w:w="2610" w:type="dxa"/>
          </w:tcPr>
          <w:p w:rsidR="00DA4478" w:rsidRPr="00B031C2" w:rsidRDefault="00DA4478" w:rsidP="00DA4478">
            <w:pPr>
              <w:pStyle w:val="NoSpacing"/>
              <w:jc w:val="center"/>
              <w:cnfStyle w:val="000000100000" w:firstRow="0" w:lastRow="0" w:firstColumn="0" w:lastColumn="0" w:oddVBand="0" w:evenVBand="0" w:oddHBand="1" w:evenHBand="0" w:firstRowFirstColumn="0" w:firstRowLastColumn="0" w:lastRowFirstColumn="0" w:lastRowLastColumn="0"/>
              <w:rPr>
                <w:b/>
                <w:sz w:val="22"/>
                <w:szCs w:val="22"/>
              </w:rPr>
            </w:pPr>
            <w:r w:rsidRPr="00B031C2">
              <w:rPr>
                <w:b/>
                <w:sz w:val="22"/>
                <w:szCs w:val="22"/>
              </w:rPr>
              <w:t>9%</w:t>
            </w:r>
          </w:p>
        </w:tc>
        <w:tc>
          <w:tcPr>
            <w:tcW w:w="2790" w:type="dxa"/>
          </w:tcPr>
          <w:p w:rsidR="00DA4478" w:rsidRPr="00B031C2" w:rsidRDefault="00DA4478" w:rsidP="00DA4478">
            <w:pPr>
              <w:pStyle w:val="NoSpacing"/>
              <w:jc w:val="center"/>
              <w:cnfStyle w:val="000000100000" w:firstRow="0" w:lastRow="0" w:firstColumn="0" w:lastColumn="0" w:oddVBand="0" w:evenVBand="0" w:oddHBand="1" w:evenHBand="0" w:firstRowFirstColumn="0" w:firstRowLastColumn="0" w:lastRowFirstColumn="0" w:lastRowLastColumn="0"/>
              <w:rPr>
                <w:b/>
                <w:sz w:val="22"/>
                <w:szCs w:val="22"/>
              </w:rPr>
            </w:pPr>
            <w:r w:rsidRPr="00B031C2">
              <w:rPr>
                <w:b/>
                <w:sz w:val="22"/>
                <w:szCs w:val="22"/>
              </w:rPr>
              <w:t>8%</w:t>
            </w:r>
          </w:p>
        </w:tc>
      </w:tr>
      <w:tr w:rsidR="00DA4478" w:rsidRPr="00B031C2" w:rsidTr="0004260B">
        <w:tc>
          <w:tcPr>
            <w:cnfStyle w:val="001000000000" w:firstRow="0" w:lastRow="0" w:firstColumn="1" w:lastColumn="0" w:oddVBand="0" w:evenVBand="0" w:oddHBand="0" w:evenHBand="0" w:firstRowFirstColumn="0" w:firstRowLastColumn="0" w:lastRowFirstColumn="0" w:lastRowLastColumn="0"/>
            <w:tcW w:w="1728" w:type="dxa"/>
          </w:tcPr>
          <w:p w:rsidR="00DA4478" w:rsidRPr="00B031C2" w:rsidRDefault="00DA4478" w:rsidP="00DA4478">
            <w:pPr>
              <w:pStyle w:val="NoSpacing"/>
              <w:rPr>
                <w:b w:val="0"/>
                <w:sz w:val="22"/>
                <w:szCs w:val="22"/>
              </w:rPr>
            </w:pPr>
            <w:r w:rsidRPr="00B031C2">
              <w:rPr>
                <w:b w:val="0"/>
                <w:sz w:val="22"/>
                <w:szCs w:val="22"/>
              </w:rPr>
              <w:t>Plymouth</w:t>
            </w:r>
          </w:p>
        </w:tc>
        <w:tc>
          <w:tcPr>
            <w:tcW w:w="1620" w:type="dxa"/>
          </w:tcPr>
          <w:p w:rsidR="00DA4478" w:rsidRPr="00B031C2" w:rsidRDefault="00DA4478" w:rsidP="00DA4478">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15</w:t>
            </w:r>
            <w:r>
              <w:rPr>
                <w:sz w:val="22"/>
                <w:szCs w:val="22"/>
              </w:rPr>
              <w:t>6</w:t>
            </w:r>
          </w:p>
        </w:tc>
        <w:tc>
          <w:tcPr>
            <w:tcW w:w="2610" w:type="dxa"/>
          </w:tcPr>
          <w:p w:rsidR="00DA4478" w:rsidRPr="00B031C2" w:rsidRDefault="00DA4478" w:rsidP="00DA4478">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7%</w:t>
            </w:r>
          </w:p>
        </w:tc>
        <w:tc>
          <w:tcPr>
            <w:tcW w:w="2790" w:type="dxa"/>
          </w:tcPr>
          <w:p w:rsidR="00DA4478" w:rsidRPr="00B031C2" w:rsidRDefault="00DA4478" w:rsidP="00DA4478">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8%</w:t>
            </w:r>
          </w:p>
        </w:tc>
      </w:tr>
      <w:tr w:rsidR="00DA4478" w:rsidRPr="00B031C2" w:rsidTr="000426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DA4478" w:rsidRPr="00B031C2" w:rsidRDefault="00DA4478" w:rsidP="00DA4478">
            <w:pPr>
              <w:pStyle w:val="NoSpacing"/>
              <w:rPr>
                <w:b w:val="0"/>
                <w:sz w:val="22"/>
                <w:szCs w:val="22"/>
              </w:rPr>
            </w:pPr>
            <w:r w:rsidRPr="00B031C2">
              <w:rPr>
                <w:b w:val="0"/>
                <w:sz w:val="22"/>
                <w:szCs w:val="22"/>
              </w:rPr>
              <w:t>Norfolk</w:t>
            </w:r>
          </w:p>
        </w:tc>
        <w:tc>
          <w:tcPr>
            <w:tcW w:w="1620" w:type="dxa"/>
          </w:tcPr>
          <w:p w:rsidR="00DA4478" w:rsidRPr="00B031C2" w:rsidRDefault="00DA4478" w:rsidP="00DA4478">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105</w:t>
            </w:r>
          </w:p>
        </w:tc>
        <w:tc>
          <w:tcPr>
            <w:tcW w:w="2610" w:type="dxa"/>
          </w:tcPr>
          <w:p w:rsidR="00DA4478" w:rsidRPr="00B031C2" w:rsidRDefault="00DA4478" w:rsidP="00DA447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r w:rsidRPr="00B031C2">
              <w:rPr>
                <w:sz w:val="22"/>
                <w:szCs w:val="22"/>
              </w:rPr>
              <w:t>%</w:t>
            </w:r>
          </w:p>
        </w:tc>
        <w:tc>
          <w:tcPr>
            <w:tcW w:w="2790" w:type="dxa"/>
          </w:tcPr>
          <w:p w:rsidR="00DA4478" w:rsidRPr="00B031C2" w:rsidRDefault="00DA4478" w:rsidP="00DA4478">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10%</w:t>
            </w:r>
          </w:p>
        </w:tc>
      </w:tr>
      <w:tr w:rsidR="00DA4478" w:rsidRPr="00B031C2" w:rsidTr="0004260B">
        <w:tc>
          <w:tcPr>
            <w:cnfStyle w:val="001000000000" w:firstRow="0" w:lastRow="0" w:firstColumn="1" w:lastColumn="0" w:oddVBand="0" w:evenVBand="0" w:oddHBand="0" w:evenHBand="0" w:firstRowFirstColumn="0" w:firstRowLastColumn="0" w:lastRowFirstColumn="0" w:lastRowLastColumn="0"/>
            <w:tcW w:w="1728" w:type="dxa"/>
          </w:tcPr>
          <w:p w:rsidR="00DA4478" w:rsidRPr="00B031C2" w:rsidRDefault="00DA4478" w:rsidP="00DA4478">
            <w:pPr>
              <w:pStyle w:val="NoSpacing"/>
              <w:rPr>
                <w:b w:val="0"/>
                <w:sz w:val="22"/>
                <w:szCs w:val="22"/>
              </w:rPr>
            </w:pPr>
            <w:r w:rsidRPr="00B031C2">
              <w:rPr>
                <w:b w:val="0"/>
                <w:sz w:val="22"/>
                <w:szCs w:val="22"/>
              </w:rPr>
              <w:t>Barnstable</w:t>
            </w:r>
          </w:p>
        </w:tc>
        <w:tc>
          <w:tcPr>
            <w:tcW w:w="1620" w:type="dxa"/>
          </w:tcPr>
          <w:p w:rsidR="00DA4478" w:rsidRPr="00B031C2" w:rsidRDefault="00DA4478" w:rsidP="00DA4478">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52</w:t>
            </w:r>
          </w:p>
        </w:tc>
        <w:tc>
          <w:tcPr>
            <w:tcW w:w="2610" w:type="dxa"/>
          </w:tcPr>
          <w:p w:rsidR="00DA4478" w:rsidRPr="00B031C2" w:rsidRDefault="00DA4478" w:rsidP="00DA4478">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r w:rsidRPr="00B031C2">
              <w:rPr>
                <w:sz w:val="22"/>
                <w:szCs w:val="22"/>
              </w:rPr>
              <w:t>%</w:t>
            </w:r>
          </w:p>
        </w:tc>
        <w:tc>
          <w:tcPr>
            <w:tcW w:w="2790" w:type="dxa"/>
          </w:tcPr>
          <w:p w:rsidR="00DA4478" w:rsidRPr="00B031C2" w:rsidRDefault="00DA4478" w:rsidP="00DA4478">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3%</w:t>
            </w:r>
          </w:p>
        </w:tc>
      </w:tr>
      <w:tr w:rsidR="00DA4478" w:rsidRPr="00B031C2" w:rsidTr="000426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DA4478" w:rsidRPr="00B031C2" w:rsidRDefault="00DA4478" w:rsidP="00DA4478">
            <w:pPr>
              <w:pStyle w:val="NoSpacing"/>
              <w:rPr>
                <w:b w:val="0"/>
                <w:sz w:val="22"/>
                <w:szCs w:val="22"/>
              </w:rPr>
            </w:pPr>
            <w:r w:rsidRPr="00B031C2">
              <w:rPr>
                <w:b w:val="0"/>
                <w:sz w:val="22"/>
                <w:szCs w:val="22"/>
              </w:rPr>
              <w:t>Berkshire</w:t>
            </w:r>
          </w:p>
        </w:tc>
        <w:tc>
          <w:tcPr>
            <w:tcW w:w="1620" w:type="dxa"/>
          </w:tcPr>
          <w:p w:rsidR="00DA4478" w:rsidRPr="00B031C2" w:rsidRDefault="0004260B" w:rsidP="00DA4478">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33</w:t>
            </w:r>
          </w:p>
        </w:tc>
        <w:tc>
          <w:tcPr>
            <w:tcW w:w="2610" w:type="dxa"/>
          </w:tcPr>
          <w:p w:rsidR="00DA4478" w:rsidRPr="00B031C2" w:rsidRDefault="0004260B" w:rsidP="00DA4478">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w:t>
            </w:r>
            <w:r w:rsidR="00DA4478" w:rsidRPr="00B031C2">
              <w:rPr>
                <w:sz w:val="22"/>
                <w:szCs w:val="22"/>
              </w:rPr>
              <w:t>%</w:t>
            </w:r>
          </w:p>
        </w:tc>
        <w:tc>
          <w:tcPr>
            <w:tcW w:w="2790" w:type="dxa"/>
          </w:tcPr>
          <w:p w:rsidR="00DA4478" w:rsidRPr="00B031C2" w:rsidRDefault="00DA4478" w:rsidP="00DA4478">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2%</w:t>
            </w:r>
          </w:p>
        </w:tc>
      </w:tr>
      <w:tr w:rsidR="0004260B" w:rsidRPr="00B031C2" w:rsidTr="0004260B">
        <w:tc>
          <w:tcPr>
            <w:cnfStyle w:val="001000000000" w:firstRow="0" w:lastRow="0" w:firstColumn="1" w:lastColumn="0" w:oddVBand="0" w:evenVBand="0" w:oddHBand="0" w:evenHBand="0" w:firstRowFirstColumn="0" w:firstRowLastColumn="0" w:lastRowFirstColumn="0" w:lastRowLastColumn="0"/>
            <w:tcW w:w="1728" w:type="dxa"/>
          </w:tcPr>
          <w:p w:rsidR="0004260B" w:rsidRPr="00B031C2" w:rsidRDefault="0004260B" w:rsidP="0004260B">
            <w:pPr>
              <w:pStyle w:val="NoSpacing"/>
              <w:rPr>
                <w:b w:val="0"/>
                <w:sz w:val="22"/>
                <w:szCs w:val="22"/>
              </w:rPr>
            </w:pPr>
            <w:r w:rsidRPr="00B031C2">
              <w:rPr>
                <w:b w:val="0"/>
                <w:sz w:val="22"/>
                <w:szCs w:val="22"/>
              </w:rPr>
              <w:t>Hampshire</w:t>
            </w:r>
          </w:p>
        </w:tc>
        <w:tc>
          <w:tcPr>
            <w:tcW w:w="1620" w:type="dxa"/>
          </w:tcPr>
          <w:p w:rsidR="0004260B" w:rsidRPr="00B031C2" w:rsidRDefault="0004260B" w:rsidP="0004260B">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1</w:t>
            </w:r>
            <w:r>
              <w:rPr>
                <w:sz w:val="22"/>
                <w:szCs w:val="22"/>
              </w:rPr>
              <w:t>8</w:t>
            </w:r>
          </w:p>
        </w:tc>
        <w:tc>
          <w:tcPr>
            <w:tcW w:w="2610" w:type="dxa"/>
          </w:tcPr>
          <w:p w:rsidR="0004260B" w:rsidRPr="00B031C2" w:rsidRDefault="0004260B" w:rsidP="0004260B">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1%</w:t>
            </w:r>
          </w:p>
        </w:tc>
        <w:tc>
          <w:tcPr>
            <w:tcW w:w="2790" w:type="dxa"/>
          </w:tcPr>
          <w:p w:rsidR="0004260B" w:rsidRPr="00B031C2" w:rsidRDefault="0004260B" w:rsidP="0004260B">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2%</w:t>
            </w:r>
          </w:p>
        </w:tc>
      </w:tr>
      <w:tr w:rsidR="0004260B" w:rsidRPr="00B031C2" w:rsidTr="000426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4260B" w:rsidRPr="00B031C2" w:rsidRDefault="0004260B" w:rsidP="00DA4478">
            <w:pPr>
              <w:pStyle w:val="NoSpacing"/>
              <w:rPr>
                <w:b w:val="0"/>
                <w:sz w:val="22"/>
                <w:szCs w:val="22"/>
              </w:rPr>
            </w:pPr>
            <w:r w:rsidRPr="00B031C2">
              <w:rPr>
                <w:b w:val="0"/>
                <w:sz w:val="22"/>
                <w:szCs w:val="22"/>
              </w:rPr>
              <w:t>Franklin</w:t>
            </w:r>
          </w:p>
        </w:tc>
        <w:tc>
          <w:tcPr>
            <w:tcW w:w="1620" w:type="dxa"/>
          </w:tcPr>
          <w:p w:rsidR="0004260B" w:rsidRPr="00B031C2" w:rsidRDefault="0004260B" w:rsidP="0004260B">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1</w:t>
            </w:r>
            <w:r>
              <w:rPr>
                <w:sz w:val="22"/>
                <w:szCs w:val="22"/>
              </w:rPr>
              <w:t>2</w:t>
            </w:r>
          </w:p>
        </w:tc>
        <w:tc>
          <w:tcPr>
            <w:tcW w:w="2610" w:type="dxa"/>
          </w:tcPr>
          <w:p w:rsidR="0004260B" w:rsidRPr="00B031C2" w:rsidRDefault="0004260B" w:rsidP="00DA4478">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1%</w:t>
            </w:r>
          </w:p>
        </w:tc>
        <w:tc>
          <w:tcPr>
            <w:tcW w:w="2790" w:type="dxa"/>
          </w:tcPr>
          <w:p w:rsidR="0004260B" w:rsidRPr="00B031C2" w:rsidRDefault="0004260B" w:rsidP="00DA4478">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1%</w:t>
            </w:r>
          </w:p>
        </w:tc>
      </w:tr>
      <w:tr w:rsidR="0004260B" w:rsidRPr="00B031C2" w:rsidTr="0004260B">
        <w:tc>
          <w:tcPr>
            <w:cnfStyle w:val="001000000000" w:firstRow="0" w:lastRow="0" w:firstColumn="1" w:lastColumn="0" w:oddVBand="0" w:evenVBand="0" w:oddHBand="0" w:evenHBand="0" w:firstRowFirstColumn="0" w:firstRowLastColumn="0" w:lastRowFirstColumn="0" w:lastRowLastColumn="0"/>
            <w:tcW w:w="1728" w:type="dxa"/>
            <w:tcBorders>
              <w:bottom w:val="nil"/>
            </w:tcBorders>
          </w:tcPr>
          <w:p w:rsidR="0004260B" w:rsidRPr="00B031C2" w:rsidRDefault="0004260B" w:rsidP="00DA4478">
            <w:pPr>
              <w:pStyle w:val="NoSpacing"/>
              <w:rPr>
                <w:b w:val="0"/>
                <w:sz w:val="22"/>
                <w:szCs w:val="22"/>
              </w:rPr>
            </w:pPr>
            <w:r w:rsidRPr="00B031C2">
              <w:rPr>
                <w:b w:val="0"/>
                <w:sz w:val="22"/>
                <w:szCs w:val="22"/>
              </w:rPr>
              <w:t>Nantucket</w:t>
            </w:r>
          </w:p>
        </w:tc>
        <w:tc>
          <w:tcPr>
            <w:tcW w:w="1620" w:type="dxa"/>
            <w:tcBorders>
              <w:bottom w:val="nil"/>
            </w:tcBorders>
          </w:tcPr>
          <w:p w:rsidR="0004260B" w:rsidRPr="00B031C2" w:rsidRDefault="0004260B" w:rsidP="00DA4478">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2610" w:type="dxa"/>
            <w:tcBorders>
              <w:bottom w:val="nil"/>
            </w:tcBorders>
          </w:tcPr>
          <w:p w:rsidR="0004260B" w:rsidRPr="00B031C2" w:rsidRDefault="0004260B" w:rsidP="00DA4478">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&lt;1%</w:t>
            </w:r>
          </w:p>
        </w:tc>
        <w:tc>
          <w:tcPr>
            <w:tcW w:w="2790" w:type="dxa"/>
            <w:tcBorders>
              <w:bottom w:val="nil"/>
            </w:tcBorders>
          </w:tcPr>
          <w:p w:rsidR="0004260B" w:rsidRPr="00B031C2" w:rsidRDefault="0004260B" w:rsidP="00DA4478">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&lt;1%</w:t>
            </w:r>
          </w:p>
        </w:tc>
      </w:tr>
      <w:tr w:rsidR="0004260B" w:rsidRPr="00B031C2" w:rsidTr="000426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Borders>
              <w:top w:val="nil"/>
              <w:bottom w:val="single" w:sz="4" w:space="0" w:color="auto"/>
            </w:tcBorders>
          </w:tcPr>
          <w:p w:rsidR="0004260B" w:rsidRPr="00B031C2" w:rsidRDefault="0004260B" w:rsidP="00DA4478">
            <w:pPr>
              <w:pStyle w:val="NoSpacing"/>
              <w:rPr>
                <w:b w:val="0"/>
                <w:sz w:val="22"/>
                <w:szCs w:val="22"/>
              </w:rPr>
            </w:pPr>
            <w:r w:rsidRPr="00B031C2">
              <w:rPr>
                <w:b w:val="0"/>
                <w:sz w:val="22"/>
                <w:szCs w:val="22"/>
              </w:rPr>
              <w:t>Dukes</w:t>
            </w:r>
          </w:p>
        </w:tc>
        <w:tc>
          <w:tcPr>
            <w:tcW w:w="1620" w:type="dxa"/>
            <w:tcBorders>
              <w:top w:val="nil"/>
              <w:bottom w:val="single" w:sz="4" w:space="0" w:color="auto"/>
            </w:tcBorders>
          </w:tcPr>
          <w:p w:rsidR="0004260B" w:rsidRPr="00B031C2" w:rsidRDefault="0004260B" w:rsidP="00DA4478">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0</w:t>
            </w:r>
          </w:p>
        </w:tc>
        <w:tc>
          <w:tcPr>
            <w:tcW w:w="2610" w:type="dxa"/>
            <w:tcBorders>
              <w:top w:val="nil"/>
              <w:bottom w:val="single" w:sz="4" w:space="0" w:color="auto"/>
            </w:tcBorders>
          </w:tcPr>
          <w:p w:rsidR="0004260B" w:rsidRPr="00B031C2" w:rsidRDefault="0004260B" w:rsidP="00DA4478">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0%</w:t>
            </w:r>
          </w:p>
        </w:tc>
        <w:tc>
          <w:tcPr>
            <w:tcW w:w="2790" w:type="dxa"/>
            <w:tcBorders>
              <w:top w:val="nil"/>
              <w:bottom w:val="single" w:sz="4" w:space="0" w:color="auto"/>
            </w:tcBorders>
          </w:tcPr>
          <w:p w:rsidR="0004260B" w:rsidRPr="00B031C2" w:rsidRDefault="0004260B" w:rsidP="00DA4478">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&lt;1%</w:t>
            </w:r>
          </w:p>
        </w:tc>
      </w:tr>
      <w:tr w:rsidR="0004260B" w:rsidRPr="00B031C2" w:rsidTr="0004260B">
        <w:tc>
          <w:tcPr>
            <w:cnfStyle w:val="001000000000" w:firstRow="0" w:lastRow="0" w:firstColumn="1" w:lastColumn="0" w:oddVBand="0" w:evenVBand="0" w:oddHBand="0" w:evenHBand="0" w:firstRowFirstColumn="0" w:firstRowLastColumn="0" w:lastRowFirstColumn="0" w:lastRowLastColumn="0"/>
            <w:tcW w:w="1728" w:type="dxa"/>
            <w:tcBorders>
              <w:top w:val="single" w:sz="4" w:space="0" w:color="auto"/>
            </w:tcBorders>
          </w:tcPr>
          <w:p w:rsidR="0004260B" w:rsidRPr="00B031C2" w:rsidRDefault="0004260B" w:rsidP="00DA4478">
            <w:pPr>
              <w:pStyle w:val="NoSpacing"/>
              <w:rPr>
                <w:b w:val="0"/>
                <w:sz w:val="22"/>
                <w:szCs w:val="22"/>
              </w:rPr>
            </w:pPr>
            <w:r w:rsidRPr="00B031C2">
              <w:rPr>
                <w:smallCaps/>
                <w:sz w:val="22"/>
                <w:szCs w:val="22"/>
              </w:rPr>
              <w:t>Sub-Total</w:t>
            </w:r>
          </w:p>
        </w:tc>
        <w:tc>
          <w:tcPr>
            <w:tcW w:w="1620" w:type="dxa"/>
            <w:tcBorders>
              <w:top w:val="single" w:sz="4" w:space="0" w:color="auto"/>
            </w:tcBorders>
          </w:tcPr>
          <w:p w:rsidR="0004260B" w:rsidRPr="00B031C2" w:rsidRDefault="0004260B" w:rsidP="0004260B">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b/>
                <w:sz w:val="22"/>
                <w:szCs w:val="22"/>
              </w:rPr>
              <w:t>2,</w:t>
            </w:r>
            <w:r>
              <w:rPr>
                <w:b/>
                <w:sz w:val="22"/>
                <w:szCs w:val="22"/>
              </w:rPr>
              <w:t>066</w:t>
            </w:r>
          </w:p>
        </w:tc>
        <w:tc>
          <w:tcPr>
            <w:tcW w:w="2610" w:type="dxa"/>
            <w:tcBorders>
              <w:top w:val="single" w:sz="4" w:space="0" w:color="auto"/>
            </w:tcBorders>
          </w:tcPr>
          <w:p w:rsidR="0004260B" w:rsidRPr="00B031C2" w:rsidRDefault="0004260B" w:rsidP="0004260B">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b/>
                <w:sz w:val="22"/>
                <w:szCs w:val="22"/>
              </w:rPr>
              <w:t>9</w:t>
            </w:r>
            <w:r>
              <w:rPr>
                <w:b/>
                <w:sz w:val="22"/>
                <w:szCs w:val="22"/>
              </w:rPr>
              <w:t>5</w:t>
            </w:r>
            <w:r w:rsidRPr="00B031C2">
              <w:rPr>
                <w:b/>
                <w:sz w:val="22"/>
                <w:szCs w:val="22"/>
              </w:rPr>
              <w:t>%</w:t>
            </w:r>
          </w:p>
        </w:tc>
        <w:tc>
          <w:tcPr>
            <w:tcW w:w="2790" w:type="dxa"/>
            <w:tcBorders>
              <w:top w:val="single" w:sz="4" w:space="0" w:color="auto"/>
            </w:tcBorders>
          </w:tcPr>
          <w:p w:rsidR="0004260B" w:rsidRPr="00B031C2" w:rsidRDefault="0004260B" w:rsidP="006E44CF">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b/>
                <w:sz w:val="22"/>
                <w:szCs w:val="22"/>
              </w:rPr>
              <w:t>9</w:t>
            </w:r>
            <w:r w:rsidR="006E44CF">
              <w:rPr>
                <w:b/>
                <w:sz w:val="22"/>
                <w:szCs w:val="22"/>
              </w:rPr>
              <w:t>9</w:t>
            </w:r>
            <w:r w:rsidRPr="00B031C2">
              <w:rPr>
                <w:b/>
                <w:sz w:val="22"/>
                <w:szCs w:val="22"/>
              </w:rPr>
              <w:t>%</w:t>
            </w:r>
          </w:p>
        </w:tc>
      </w:tr>
      <w:tr w:rsidR="0004260B" w:rsidRPr="00B031C2" w:rsidTr="000426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Borders>
              <w:bottom w:val="nil"/>
            </w:tcBorders>
          </w:tcPr>
          <w:p w:rsidR="0004260B" w:rsidRPr="00B031C2" w:rsidRDefault="0004260B" w:rsidP="00DA4478">
            <w:pPr>
              <w:pStyle w:val="NoSpacing"/>
              <w:rPr>
                <w:b w:val="0"/>
                <w:sz w:val="22"/>
                <w:szCs w:val="22"/>
              </w:rPr>
            </w:pPr>
            <w:r w:rsidRPr="00B031C2">
              <w:rPr>
                <w:b w:val="0"/>
                <w:sz w:val="22"/>
                <w:szCs w:val="22"/>
              </w:rPr>
              <w:t>Outside MA</w:t>
            </w:r>
          </w:p>
        </w:tc>
        <w:tc>
          <w:tcPr>
            <w:tcW w:w="1620" w:type="dxa"/>
            <w:tcBorders>
              <w:bottom w:val="nil"/>
            </w:tcBorders>
          </w:tcPr>
          <w:p w:rsidR="0004260B" w:rsidRPr="00B031C2" w:rsidRDefault="0004260B" w:rsidP="00DA4478">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111</w:t>
            </w:r>
          </w:p>
        </w:tc>
        <w:tc>
          <w:tcPr>
            <w:tcW w:w="2610" w:type="dxa"/>
            <w:tcBorders>
              <w:bottom w:val="nil"/>
            </w:tcBorders>
          </w:tcPr>
          <w:p w:rsidR="0004260B" w:rsidRPr="00B031C2" w:rsidRDefault="0004260B" w:rsidP="00DA4478">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r w:rsidRPr="00B031C2">
              <w:rPr>
                <w:sz w:val="22"/>
                <w:szCs w:val="22"/>
              </w:rPr>
              <w:t>%</w:t>
            </w:r>
          </w:p>
        </w:tc>
        <w:tc>
          <w:tcPr>
            <w:tcW w:w="2790" w:type="dxa"/>
            <w:tcBorders>
              <w:bottom w:val="nil"/>
            </w:tcBorders>
          </w:tcPr>
          <w:p w:rsidR="0004260B" w:rsidRPr="00B031C2" w:rsidRDefault="006E44CF" w:rsidP="00DA4478">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r w:rsidR="0004260B" w:rsidRPr="00B031C2">
              <w:rPr>
                <w:sz w:val="22"/>
                <w:szCs w:val="22"/>
              </w:rPr>
              <w:t>%</w:t>
            </w:r>
          </w:p>
        </w:tc>
      </w:tr>
      <w:tr w:rsidR="0004260B" w:rsidRPr="00B031C2" w:rsidTr="0004260B">
        <w:tc>
          <w:tcPr>
            <w:cnfStyle w:val="001000000000" w:firstRow="0" w:lastRow="0" w:firstColumn="1" w:lastColumn="0" w:oddVBand="0" w:evenVBand="0" w:oddHBand="0" w:evenHBand="0" w:firstRowFirstColumn="0" w:firstRowLastColumn="0" w:lastRowFirstColumn="0" w:lastRowLastColumn="0"/>
            <w:tcW w:w="1728" w:type="dxa"/>
            <w:tcBorders>
              <w:top w:val="nil"/>
              <w:bottom w:val="single" w:sz="4" w:space="0" w:color="auto"/>
            </w:tcBorders>
          </w:tcPr>
          <w:p w:rsidR="0004260B" w:rsidRPr="00B031C2" w:rsidRDefault="0004260B" w:rsidP="00DA4478">
            <w:pPr>
              <w:pStyle w:val="NoSpacing"/>
              <w:rPr>
                <w:b w:val="0"/>
                <w:sz w:val="22"/>
                <w:szCs w:val="22"/>
              </w:rPr>
            </w:pPr>
            <w:r w:rsidRPr="00B031C2">
              <w:rPr>
                <w:b w:val="0"/>
                <w:sz w:val="22"/>
                <w:szCs w:val="22"/>
              </w:rPr>
              <w:t>Unknown</w:t>
            </w:r>
          </w:p>
        </w:tc>
        <w:tc>
          <w:tcPr>
            <w:tcW w:w="1620" w:type="dxa"/>
            <w:tcBorders>
              <w:top w:val="nil"/>
              <w:bottom w:val="single" w:sz="4" w:space="0" w:color="auto"/>
            </w:tcBorders>
          </w:tcPr>
          <w:p w:rsidR="0004260B" w:rsidRPr="00B031C2" w:rsidRDefault="0004260B" w:rsidP="00DA4478">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2610" w:type="dxa"/>
            <w:tcBorders>
              <w:top w:val="nil"/>
              <w:bottom w:val="single" w:sz="4" w:space="0" w:color="auto"/>
            </w:tcBorders>
          </w:tcPr>
          <w:p w:rsidR="0004260B" w:rsidRPr="00B031C2" w:rsidRDefault="0004260B" w:rsidP="00DA4478">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r w:rsidRPr="00B031C2">
              <w:rPr>
                <w:sz w:val="22"/>
                <w:szCs w:val="22"/>
              </w:rPr>
              <w:t>%</w:t>
            </w:r>
          </w:p>
        </w:tc>
        <w:tc>
          <w:tcPr>
            <w:tcW w:w="2790" w:type="dxa"/>
            <w:tcBorders>
              <w:top w:val="nil"/>
              <w:bottom w:val="single" w:sz="4" w:space="0" w:color="auto"/>
            </w:tcBorders>
          </w:tcPr>
          <w:p w:rsidR="0004260B" w:rsidRPr="00B031C2" w:rsidRDefault="0004260B" w:rsidP="00DA4478">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r>
      <w:tr w:rsidR="0004260B" w:rsidRPr="00B031C2" w:rsidTr="000426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Borders>
              <w:top w:val="single" w:sz="4" w:space="0" w:color="auto"/>
            </w:tcBorders>
          </w:tcPr>
          <w:p w:rsidR="0004260B" w:rsidRPr="00B031C2" w:rsidRDefault="0004260B" w:rsidP="00DA4478">
            <w:pPr>
              <w:pStyle w:val="NoSpacing"/>
              <w:rPr>
                <w:smallCaps/>
                <w:sz w:val="22"/>
                <w:szCs w:val="22"/>
              </w:rPr>
            </w:pPr>
            <w:r w:rsidRPr="00B031C2">
              <w:rPr>
                <w:smallCaps/>
                <w:sz w:val="22"/>
                <w:szCs w:val="22"/>
              </w:rPr>
              <w:t>Total</w:t>
            </w:r>
          </w:p>
        </w:tc>
        <w:tc>
          <w:tcPr>
            <w:tcW w:w="1620" w:type="dxa"/>
            <w:tcBorders>
              <w:top w:val="single" w:sz="4" w:space="0" w:color="auto"/>
            </w:tcBorders>
          </w:tcPr>
          <w:p w:rsidR="0004260B" w:rsidRPr="00B031C2" w:rsidRDefault="0004260B" w:rsidP="0004260B">
            <w:pPr>
              <w:pStyle w:val="NoSpacing"/>
              <w:jc w:val="center"/>
              <w:cnfStyle w:val="000000100000" w:firstRow="0" w:lastRow="0" w:firstColumn="0" w:lastColumn="0" w:oddVBand="0" w:evenVBand="0" w:oddHBand="1" w:evenHBand="0" w:firstRowFirstColumn="0" w:firstRowLastColumn="0" w:lastRowFirstColumn="0" w:lastRowLastColumn="0"/>
              <w:rPr>
                <w:b/>
                <w:sz w:val="22"/>
                <w:szCs w:val="22"/>
              </w:rPr>
            </w:pPr>
            <w:r w:rsidRPr="00B031C2">
              <w:rPr>
                <w:b/>
                <w:smallCaps/>
                <w:sz w:val="22"/>
                <w:szCs w:val="22"/>
              </w:rPr>
              <w:t>2,</w:t>
            </w:r>
            <w:r>
              <w:rPr>
                <w:b/>
                <w:smallCaps/>
                <w:sz w:val="22"/>
                <w:szCs w:val="22"/>
              </w:rPr>
              <w:t>178</w:t>
            </w:r>
          </w:p>
        </w:tc>
        <w:tc>
          <w:tcPr>
            <w:tcW w:w="2610" w:type="dxa"/>
            <w:tcBorders>
              <w:top w:val="single" w:sz="4" w:space="0" w:color="auto"/>
            </w:tcBorders>
          </w:tcPr>
          <w:p w:rsidR="0004260B" w:rsidRPr="00B031C2" w:rsidRDefault="0004260B" w:rsidP="00DA4478">
            <w:pPr>
              <w:pStyle w:val="NoSpacing"/>
              <w:jc w:val="center"/>
              <w:cnfStyle w:val="000000100000" w:firstRow="0" w:lastRow="0" w:firstColumn="0" w:lastColumn="0" w:oddVBand="0" w:evenVBand="0" w:oddHBand="1" w:evenHBand="0" w:firstRowFirstColumn="0" w:firstRowLastColumn="0" w:lastRowFirstColumn="0" w:lastRowLastColumn="0"/>
              <w:rPr>
                <w:b/>
                <w:sz w:val="22"/>
                <w:szCs w:val="22"/>
              </w:rPr>
            </w:pPr>
            <w:r w:rsidRPr="00B031C2">
              <w:rPr>
                <w:b/>
                <w:smallCaps/>
                <w:sz w:val="22"/>
                <w:szCs w:val="22"/>
              </w:rPr>
              <w:t>100%</w:t>
            </w:r>
          </w:p>
        </w:tc>
        <w:tc>
          <w:tcPr>
            <w:tcW w:w="2790" w:type="dxa"/>
            <w:tcBorders>
              <w:top w:val="single" w:sz="4" w:space="0" w:color="auto"/>
            </w:tcBorders>
          </w:tcPr>
          <w:p w:rsidR="0004260B" w:rsidRPr="00B031C2" w:rsidRDefault="0004260B" w:rsidP="00DA4478">
            <w:pPr>
              <w:pStyle w:val="NoSpacing"/>
              <w:jc w:val="center"/>
              <w:cnfStyle w:val="000000100000" w:firstRow="0" w:lastRow="0" w:firstColumn="0" w:lastColumn="0" w:oddVBand="0" w:evenVBand="0" w:oddHBand="1" w:evenHBand="0" w:firstRowFirstColumn="0" w:firstRowLastColumn="0" w:lastRowFirstColumn="0" w:lastRowLastColumn="0"/>
              <w:rPr>
                <w:b/>
                <w:sz w:val="22"/>
                <w:szCs w:val="22"/>
              </w:rPr>
            </w:pPr>
            <w:r w:rsidRPr="00B031C2">
              <w:rPr>
                <w:b/>
                <w:smallCaps/>
                <w:sz w:val="22"/>
                <w:szCs w:val="22"/>
              </w:rPr>
              <w:t>100%</w:t>
            </w:r>
          </w:p>
        </w:tc>
      </w:tr>
    </w:tbl>
    <w:p w:rsidR="00591A49" w:rsidRPr="00D97FFE" w:rsidRDefault="00591A49" w:rsidP="00D10F87">
      <w:pPr>
        <w:pStyle w:val="NoSpacing"/>
        <w:rPr>
          <w:sz w:val="20"/>
          <w:szCs w:val="20"/>
        </w:rPr>
      </w:pPr>
      <w:r w:rsidRPr="00D97FFE">
        <w:rPr>
          <w:sz w:val="20"/>
          <w:szCs w:val="20"/>
        </w:rPr>
        <w:t xml:space="preserve">Source: Massachusetts </w:t>
      </w:r>
      <w:r w:rsidR="004B4DEE">
        <w:rPr>
          <w:sz w:val="20"/>
          <w:szCs w:val="20"/>
        </w:rPr>
        <w:t>DOC</w:t>
      </w:r>
      <w:r w:rsidRPr="00D97FFE">
        <w:rPr>
          <w:sz w:val="20"/>
          <w:szCs w:val="20"/>
        </w:rPr>
        <w:t xml:space="preserve">.  </w:t>
      </w:r>
      <w:r w:rsidRPr="00D97FFE">
        <w:rPr>
          <w:i/>
          <w:sz w:val="20"/>
          <w:szCs w:val="20"/>
        </w:rPr>
        <w:t>“Prison Population Trends 201</w:t>
      </w:r>
      <w:r w:rsidR="006E44CF">
        <w:rPr>
          <w:i/>
          <w:sz w:val="20"/>
          <w:szCs w:val="20"/>
        </w:rPr>
        <w:t>7</w:t>
      </w:r>
      <w:r w:rsidRPr="00D97FFE">
        <w:rPr>
          <w:i/>
          <w:sz w:val="20"/>
          <w:szCs w:val="20"/>
        </w:rPr>
        <w:t>,”</w:t>
      </w:r>
      <w:r w:rsidRPr="00D97FFE">
        <w:rPr>
          <w:sz w:val="20"/>
          <w:szCs w:val="20"/>
        </w:rPr>
        <w:t xml:space="preserve"> </w:t>
      </w:r>
      <w:r>
        <w:rPr>
          <w:sz w:val="20"/>
          <w:szCs w:val="20"/>
        </w:rPr>
        <w:t>March 201</w:t>
      </w:r>
      <w:r w:rsidR="006E44CF">
        <w:rPr>
          <w:sz w:val="20"/>
          <w:szCs w:val="20"/>
        </w:rPr>
        <w:t>8</w:t>
      </w:r>
      <w:r>
        <w:rPr>
          <w:sz w:val="20"/>
          <w:szCs w:val="20"/>
        </w:rPr>
        <w:t>.</w:t>
      </w:r>
    </w:p>
    <w:p w:rsidR="00830371" w:rsidRDefault="00830371" w:rsidP="00A3296A">
      <w:pPr>
        <w:pStyle w:val="NoSpacing"/>
      </w:pPr>
    </w:p>
    <w:p w:rsidR="00830371" w:rsidRDefault="00830371" w:rsidP="00A3296A">
      <w:pPr>
        <w:pStyle w:val="NoSpacing"/>
      </w:pPr>
    </w:p>
    <w:p w:rsidR="00830371" w:rsidRDefault="00830371" w:rsidP="00A3296A">
      <w:pPr>
        <w:pStyle w:val="NoSpacing"/>
      </w:pPr>
    </w:p>
    <w:p w:rsidR="00830371" w:rsidRDefault="00830371" w:rsidP="00A3296A">
      <w:pPr>
        <w:pStyle w:val="NoSpacing"/>
      </w:pPr>
    </w:p>
    <w:p w:rsidR="00830371" w:rsidRDefault="00830371" w:rsidP="00A3296A">
      <w:pPr>
        <w:pStyle w:val="NoSpacing"/>
      </w:pPr>
    </w:p>
    <w:p w:rsidR="00352BE5" w:rsidRPr="00DF0AF8" w:rsidRDefault="00352BE5">
      <w:pPr>
        <w:spacing w:after="200" w:line="276" w:lineRule="auto"/>
        <w:rPr>
          <w:highlight w:val="yellow"/>
          <w:u w:val="single"/>
        </w:rPr>
      </w:pPr>
      <w:r w:rsidRPr="00DF0AF8">
        <w:rPr>
          <w:highlight w:val="yellow"/>
          <w:u w:val="single"/>
        </w:rPr>
        <w:br w:type="page"/>
      </w:r>
    </w:p>
    <w:p w:rsidR="00383931" w:rsidRPr="00B12037" w:rsidRDefault="000649F3" w:rsidP="00383931">
      <w:pPr>
        <w:pStyle w:val="NoSpacing"/>
        <w:rPr>
          <w:b/>
          <w:smallCaps/>
          <w:sz w:val="26"/>
          <w:szCs w:val="26"/>
          <w:u w:val="single"/>
        </w:rPr>
      </w:pPr>
      <w:r>
        <w:rPr>
          <w:b/>
          <w:smallCaps/>
          <w:sz w:val="26"/>
          <w:szCs w:val="26"/>
          <w:u w:val="single"/>
        </w:rPr>
        <w:lastRenderedPageBreak/>
        <w:t xml:space="preserve"> </w:t>
      </w:r>
      <w:r w:rsidR="00383931" w:rsidRPr="00B12037">
        <w:rPr>
          <w:b/>
          <w:smallCaps/>
          <w:sz w:val="26"/>
          <w:szCs w:val="26"/>
          <w:u w:val="single"/>
        </w:rPr>
        <w:t>Priority #</w:t>
      </w:r>
      <w:r w:rsidR="00383931">
        <w:rPr>
          <w:b/>
          <w:smallCaps/>
          <w:sz w:val="26"/>
          <w:szCs w:val="26"/>
          <w:u w:val="single"/>
        </w:rPr>
        <w:t>3</w:t>
      </w:r>
      <w:r w:rsidR="00383931" w:rsidRPr="00B12037">
        <w:rPr>
          <w:b/>
          <w:smallCaps/>
          <w:sz w:val="26"/>
          <w:szCs w:val="26"/>
          <w:u w:val="single"/>
        </w:rPr>
        <w:t xml:space="preserve">: </w:t>
      </w:r>
      <w:r w:rsidR="00C77727">
        <w:rPr>
          <w:b/>
          <w:smallCaps/>
          <w:sz w:val="26"/>
          <w:szCs w:val="26"/>
          <w:u w:val="single"/>
        </w:rPr>
        <w:t xml:space="preserve">Targeting </w:t>
      </w:r>
      <w:r w:rsidR="00383931">
        <w:rPr>
          <w:b/>
          <w:smallCaps/>
          <w:sz w:val="26"/>
          <w:szCs w:val="26"/>
          <w:u w:val="single"/>
        </w:rPr>
        <w:t>Domestic Violence and Sexual Assault</w:t>
      </w:r>
      <w:r w:rsidR="00C77727">
        <w:rPr>
          <w:b/>
          <w:smallCaps/>
          <w:sz w:val="26"/>
          <w:szCs w:val="26"/>
          <w:u w:val="single"/>
        </w:rPr>
        <w:t xml:space="preserve"> Offenders</w:t>
      </w:r>
    </w:p>
    <w:p w:rsidR="000E1D4D" w:rsidRDefault="000E1D4D" w:rsidP="000E1D4D">
      <w:pPr>
        <w:pStyle w:val="NoSpacing"/>
        <w:rPr>
          <w:highlight w:val="yellow"/>
        </w:rPr>
      </w:pPr>
    </w:p>
    <w:p w:rsidR="000E1D4D" w:rsidRPr="00383931" w:rsidRDefault="00383931" w:rsidP="000E1D4D">
      <w:pPr>
        <w:pStyle w:val="NoSpacing"/>
        <w:rPr>
          <w:b/>
          <w:i/>
        </w:rPr>
      </w:pPr>
      <w:r w:rsidRPr="00383931">
        <w:rPr>
          <w:b/>
          <w:i/>
        </w:rPr>
        <w:t>Goal</w:t>
      </w:r>
    </w:p>
    <w:p w:rsidR="00383931" w:rsidRDefault="004A432F" w:rsidP="000E1D4D">
      <w:pPr>
        <w:pStyle w:val="NoSpacing"/>
      </w:pPr>
      <w:r>
        <w:t>Reduce the incidents of domestic violence and sexual assault as well as increase the level of effective and appropriate services for these victims.</w:t>
      </w:r>
    </w:p>
    <w:p w:rsidR="004A432F" w:rsidRDefault="004A432F" w:rsidP="000E1D4D">
      <w:pPr>
        <w:pStyle w:val="NoSpacing"/>
      </w:pPr>
    </w:p>
    <w:p w:rsidR="004A432F" w:rsidRPr="004A432F" w:rsidRDefault="004A432F" w:rsidP="000E1D4D">
      <w:pPr>
        <w:pStyle w:val="NoSpacing"/>
        <w:rPr>
          <w:b/>
          <w:i/>
        </w:rPr>
      </w:pPr>
      <w:r w:rsidRPr="004A432F">
        <w:rPr>
          <w:b/>
          <w:i/>
        </w:rPr>
        <w:t>Purpose Areas Addressed</w:t>
      </w:r>
    </w:p>
    <w:p w:rsidR="00383931" w:rsidRDefault="004A432F" w:rsidP="004A432F">
      <w:pPr>
        <w:pStyle w:val="NoSpacing"/>
        <w:numPr>
          <w:ilvl w:val="0"/>
          <w:numId w:val="12"/>
        </w:numPr>
      </w:pPr>
      <w:r>
        <w:t>Law enforcement programs</w:t>
      </w:r>
    </w:p>
    <w:p w:rsidR="00112A98" w:rsidRDefault="00112A98" w:rsidP="004A432F">
      <w:pPr>
        <w:pStyle w:val="NoSpacing"/>
        <w:numPr>
          <w:ilvl w:val="0"/>
          <w:numId w:val="12"/>
        </w:numPr>
      </w:pPr>
      <w:r>
        <w:t>Prosecution and court programs</w:t>
      </w:r>
    </w:p>
    <w:p w:rsidR="00112A98" w:rsidRDefault="00112A98" w:rsidP="004A432F">
      <w:pPr>
        <w:pStyle w:val="NoSpacing"/>
        <w:numPr>
          <w:ilvl w:val="0"/>
          <w:numId w:val="12"/>
        </w:numPr>
      </w:pPr>
      <w:r>
        <w:t>Victim service programs</w:t>
      </w:r>
    </w:p>
    <w:p w:rsidR="00112A98" w:rsidRDefault="00112A98" w:rsidP="004A432F">
      <w:pPr>
        <w:pStyle w:val="NoSpacing"/>
        <w:numPr>
          <w:ilvl w:val="0"/>
          <w:numId w:val="12"/>
        </w:numPr>
      </w:pPr>
      <w:r>
        <w:t>Education and training</w:t>
      </w:r>
    </w:p>
    <w:p w:rsidR="00112A98" w:rsidRDefault="00112A98" w:rsidP="00112A98">
      <w:pPr>
        <w:pStyle w:val="NoSpacing"/>
      </w:pPr>
    </w:p>
    <w:p w:rsidR="00112A98" w:rsidRPr="00112A98" w:rsidRDefault="00112A98" w:rsidP="00112A98">
      <w:pPr>
        <w:pStyle w:val="NoSpacing"/>
        <w:rPr>
          <w:b/>
          <w:i/>
        </w:rPr>
      </w:pPr>
      <w:r w:rsidRPr="00112A98">
        <w:rPr>
          <w:b/>
          <w:i/>
        </w:rPr>
        <w:t>Anticipated Activities</w:t>
      </w:r>
    </w:p>
    <w:p w:rsidR="000E1D4D" w:rsidRDefault="002A4644" w:rsidP="002A4644">
      <w:pPr>
        <w:pStyle w:val="NoSpacing"/>
        <w:numPr>
          <w:ilvl w:val="0"/>
          <w:numId w:val="13"/>
        </w:numPr>
      </w:pPr>
      <w:r>
        <w:t>Develop and support projects that promote the collaboration of law enforcement, the courts, and local victim service agencies in responding to domestic violence and sexual assault incidents.</w:t>
      </w:r>
    </w:p>
    <w:p w:rsidR="002A4644" w:rsidRDefault="002A4644" w:rsidP="002A4644">
      <w:pPr>
        <w:pStyle w:val="NoSpacing"/>
        <w:numPr>
          <w:ilvl w:val="0"/>
          <w:numId w:val="13"/>
        </w:numPr>
      </w:pPr>
      <w:r>
        <w:t>Enhance domestic violence and sexual assault services.</w:t>
      </w:r>
    </w:p>
    <w:p w:rsidR="0065683B" w:rsidRDefault="0065683B" w:rsidP="002A4644">
      <w:pPr>
        <w:pStyle w:val="NoSpacing"/>
        <w:numPr>
          <w:ilvl w:val="0"/>
          <w:numId w:val="13"/>
        </w:numPr>
      </w:pPr>
      <w:r>
        <w:t>Promote regional and statewide approaches in the prevention of domestic and sexual assault.</w:t>
      </w:r>
    </w:p>
    <w:p w:rsidR="0065683B" w:rsidRDefault="0065683B" w:rsidP="0065683B">
      <w:pPr>
        <w:pStyle w:val="NoSpacing"/>
      </w:pPr>
    </w:p>
    <w:p w:rsidR="000E1D4D" w:rsidRPr="0065683B" w:rsidRDefault="0065683B" w:rsidP="000E1D4D">
      <w:pPr>
        <w:pStyle w:val="NoSpacing"/>
        <w:rPr>
          <w:b/>
          <w:i/>
        </w:rPr>
      </w:pPr>
      <w:r w:rsidRPr="0065683B">
        <w:rPr>
          <w:b/>
          <w:i/>
        </w:rPr>
        <w:t>Rationale</w:t>
      </w:r>
    </w:p>
    <w:p w:rsidR="0065683B" w:rsidRDefault="0065683B" w:rsidP="000E1D4D">
      <w:pPr>
        <w:pStyle w:val="NoSpacing"/>
      </w:pPr>
      <w:r>
        <w:t>There is no discrimination when it comes to who is victimized by domestic violence or sexual assault.  In the case of sexual assault, the perpetrator may be a stranger, acquaintance, friend, family member, or intimate partner.</w:t>
      </w:r>
      <w:r>
        <w:rPr>
          <w:rStyle w:val="FootnoteReference"/>
        </w:rPr>
        <w:footnoteReference w:id="18"/>
      </w:r>
      <w:r>
        <w:t xml:space="preserve">  Women, children, and men of all ages have been victims of sexual assault and domestic violence.  Domestic violence and sexual assault crosses all races and ethnicities, religions, and economic strata.  </w:t>
      </w:r>
    </w:p>
    <w:p w:rsidR="0065683B" w:rsidRDefault="0065683B" w:rsidP="000E1D4D">
      <w:pPr>
        <w:pStyle w:val="NoSpacing"/>
      </w:pPr>
    </w:p>
    <w:p w:rsidR="000824F6" w:rsidRPr="0065683B" w:rsidRDefault="000824F6" w:rsidP="000824F6">
      <w:pPr>
        <w:pStyle w:val="NoSpacing"/>
        <w:rPr>
          <w:b/>
          <w:i/>
        </w:rPr>
      </w:pPr>
      <w:r>
        <w:rPr>
          <w:b/>
          <w:i/>
        </w:rPr>
        <w:t>Statement of the Problem</w:t>
      </w:r>
    </w:p>
    <w:p w:rsidR="00ED1444" w:rsidRDefault="00ED1444" w:rsidP="00ED1444">
      <w:pPr>
        <w:pStyle w:val="NoSpacing"/>
      </w:pPr>
      <w:r>
        <w:t>According to the National Crime Victimization Survey</w:t>
      </w:r>
      <w:r w:rsidR="00071558">
        <w:t>:</w:t>
      </w:r>
      <w:r>
        <w:rPr>
          <w:rStyle w:val="FootnoteReference"/>
        </w:rPr>
        <w:footnoteReference w:id="19"/>
      </w:r>
    </w:p>
    <w:p w:rsidR="00D01A96" w:rsidRDefault="00D01A96" w:rsidP="00097F96">
      <w:pPr>
        <w:pStyle w:val="NoSpacing"/>
        <w:numPr>
          <w:ilvl w:val="0"/>
          <w:numId w:val="14"/>
        </w:numPr>
        <w:ind w:right="-450"/>
      </w:pPr>
      <w:r>
        <w:t>In 2015, there were 431,840 reports of rape or sexual assault in the United States;</w:t>
      </w:r>
    </w:p>
    <w:p w:rsidR="000C145F" w:rsidRDefault="000C145F" w:rsidP="00097F96">
      <w:pPr>
        <w:pStyle w:val="NoSpacing"/>
        <w:numPr>
          <w:ilvl w:val="0"/>
          <w:numId w:val="14"/>
        </w:numPr>
        <w:ind w:right="-450"/>
      </w:pPr>
      <w:r>
        <w:t>Females are more likely to be victims of rape or sexual assault (368,921</w:t>
      </w:r>
      <w:r w:rsidR="00D01A96">
        <w:t>) than males (62,916);</w:t>
      </w:r>
    </w:p>
    <w:p w:rsidR="000C145F" w:rsidRDefault="000C145F" w:rsidP="004424E7">
      <w:pPr>
        <w:pStyle w:val="NoSpacing"/>
        <w:numPr>
          <w:ilvl w:val="0"/>
          <w:numId w:val="14"/>
        </w:numPr>
      </w:pPr>
      <w:r>
        <w:t>Most victims of rape or sexual assault are femal</w:t>
      </w:r>
      <w:r w:rsidR="00D01A96">
        <w:t xml:space="preserve">es younger than 24 years of age; and </w:t>
      </w:r>
    </w:p>
    <w:p w:rsidR="000C145F" w:rsidRDefault="008706FD" w:rsidP="004424E7">
      <w:pPr>
        <w:pStyle w:val="NoSpacing"/>
        <w:numPr>
          <w:ilvl w:val="0"/>
          <w:numId w:val="14"/>
        </w:numPr>
      </w:pPr>
      <w:r>
        <w:t>Most rapes committed against women are committed by an intimate partner (spouse, boyfriend/girlfriend) or someone else they know (friend, family member, acquaintance).</w:t>
      </w:r>
    </w:p>
    <w:p w:rsidR="0065683B" w:rsidRDefault="0065683B" w:rsidP="000E1D4D">
      <w:pPr>
        <w:pStyle w:val="NoSpacing"/>
      </w:pPr>
    </w:p>
    <w:p w:rsidR="0065683B" w:rsidRDefault="002E3182" w:rsidP="000E1D4D">
      <w:pPr>
        <w:pStyle w:val="NoSpacing"/>
      </w:pPr>
      <w:r>
        <w:t>From the same survey, 62% reported being the victim of aggravated assault</w:t>
      </w:r>
      <w:r w:rsidR="000F1C66">
        <w:t>,</w:t>
      </w:r>
      <w:r>
        <w:t xml:space="preserve"> 58% the victim of domestic violence</w:t>
      </w:r>
      <w:r w:rsidR="000F1C66">
        <w:t>, and 32% the victim of rape or sexual assault</w:t>
      </w:r>
      <w:r>
        <w:t xml:space="preserve">.  Although there has been a decline in domestic violence and sexual assault victimizations </w:t>
      </w:r>
      <w:r w:rsidR="000F1C66">
        <w:t>over the years, the above statistics highlight these remain critical issues for the law enforcement community and victim service organizations.</w:t>
      </w:r>
    </w:p>
    <w:p w:rsidR="000824F6" w:rsidRDefault="000824F6" w:rsidP="000E1D4D">
      <w:pPr>
        <w:pStyle w:val="NoSpacing"/>
      </w:pPr>
    </w:p>
    <w:p w:rsidR="00ED1444" w:rsidRDefault="00ED1444" w:rsidP="000E1D4D">
      <w:pPr>
        <w:pStyle w:val="NoSpacing"/>
      </w:pPr>
    </w:p>
    <w:p w:rsidR="000824F6" w:rsidRPr="00073C76" w:rsidRDefault="000824F6" w:rsidP="000824F6">
      <w:pPr>
        <w:pStyle w:val="NoSpacing"/>
        <w:rPr>
          <w:smallCaps/>
          <w:sz w:val="26"/>
          <w:szCs w:val="26"/>
          <w:u w:val="single"/>
        </w:rPr>
      </w:pPr>
      <w:r>
        <w:rPr>
          <w:smallCaps/>
          <w:sz w:val="26"/>
          <w:szCs w:val="26"/>
          <w:u w:val="single"/>
        </w:rPr>
        <w:lastRenderedPageBreak/>
        <w:t>Intimate Partner and Family Violence</w:t>
      </w:r>
    </w:p>
    <w:p w:rsidR="00033256" w:rsidRDefault="00033256" w:rsidP="000E1D4D">
      <w:pPr>
        <w:pStyle w:val="NoSpacing"/>
      </w:pPr>
    </w:p>
    <w:p w:rsidR="00DF0540" w:rsidRDefault="00B26112" w:rsidP="00DF0540">
      <w:pPr>
        <w:pStyle w:val="NoSpacing"/>
      </w:pPr>
      <w:r>
        <w:t>Data compiled by the Massachusetts State Police’s (MSP) Fusion Center via the National Incident-Based Reporting System (NIBRS) reveals that there were a total of 2</w:t>
      </w:r>
      <w:r w:rsidR="00D01A96">
        <w:t>94,514</w:t>
      </w:r>
      <w:r>
        <w:t xml:space="preserve"> victims of intimate partner and family violence in Massachusetts during the ten-year period from 200</w:t>
      </w:r>
      <w:r w:rsidR="00D01A96">
        <w:t>8</w:t>
      </w:r>
      <w:r>
        <w:t xml:space="preserve"> to 201</w:t>
      </w:r>
      <w:r w:rsidR="00D01A96">
        <w:t>7</w:t>
      </w:r>
      <w:r w:rsidR="004A5F21">
        <w:t>,</w:t>
      </w:r>
      <w:r>
        <w:rPr>
          <w:rStyle w:val="FootnoteReference"/>
        </w:rPr>
        <w:footnoteReference w:id="20"/>
      </w:r>
      <w:r w:rsidR="004A5F21">
        <w:t xml:space="preserve"> this information is displayed in </w:t>
      </w:r>
      <w:r w:rsidR="004A5F21" w:rsidRPr="00DF0540">
        <w:t xml:space="preserve">Figure </w:t>
      </w:r>
      <w:r w:rsidR="00DF0540">
        <w:t>9</w:t>
      </w:r>
      <w:r w:rsidR="004A5F21">
        <w:t>.</w:t>
      </w:r>
      <w:r w:rsidR="00574323">
        <w:t xml:space="preserve">  Over the course of the ten-year period, incidents of domestic violence in Massachusetts peaked at 29,127 in 2010, and from this peak declined by 1</w:t>
      </w:r>
      <w:r w:rsidR="00D01A96">
        <w:t>7</w:t>
      </w:r>
      <w:r w:rsidR="00574323">
        <w:t>% in 201</w:t>
      </w:r>
      <w:r w:rsidR="00D01A96">
        <w:t>7</w:t>
      </w:r>
      <w:r w:rsidR="00574323">
        <w:t xml:space="preserve"> (24,</w:t>
      </w:r>
      <w:r w:rsidR="00D01A96">
        <w:t>296</w:t>
      </w:r>
      <w:r w:rsidR="00574323">
        <w:t>).</w:t>
      </w:r>
      <w:r w:rsidR="00574323">
        <w:rPr>
          <w:rStyle w:val="FootnoteReference"/>
        </w:rPr>
        <w:footnoteReference w:id="21"/>
      </w:r>
      <w:r w:rsidR="00574323" w:rsidRPr="00493A1C">
        <w:rPr>
          <w:vertAlign w:val="superscript"/>
        </w:rPr>
        <w:t>,</w:t>
      </w:r>
      <w:r w:rsidR="00393F02">
        <w:rPr>
          <w:rStyle w:val="FootnoteReference"/>
        </w:rPr>
        <w:footnoteReference w:id="22"/>
      </w:r>
      <w:r w:rsidR="00DF0540" w:rsidRPr="00DF0540">
        <w:t xml:space="preserve">  </w:t>
      </w:r>
      <w:r w:rsidR="00DF0540">
        <w:t xml:space="preserve">Despite the reduction displayed in Figure </w:t>
      </w:r>
      <w:r w:rsidR="00EF60E9">
        <w:t>9</w:t>
      </w:r>
      <w:r w:rsidR="00DF0540">
        <w:t>, the need remains for accessible victim services and a coordinated criminal justice system to maintain this downward trend.</w:t>
      </w:r>
    </w:p>
    <w:p w:rsidR="002E3182" w:rsidRDefault="002E3182" w:rsidP="000E1D4D">
      <w:pPr>
        <w:pStyle w:val="NoSpacing"/>
      </w:pPr>
    </w:p>
    <w:p w:rsidR="002E3182" w:rsidRDefault="001409D5" w:rsidP="002E3182">
      <w:pPr>
        <w:pStyle w:val="NoSpacing"/>
        <w:jc w:val="center"/>
      </w:pPr>
      <w:r>
        <w:rPr>
          <w:noProof/>
          <w:lang w:eastAsia="en-US"/>
        </w:rPr>
        <w:drawing>
          <wp:inline distT="0" distB="0" distL="0" distR="0" wp14:anchorId="73D708B8" wp14:editId="28339186">
            <wp:extent cx="4572000" cy="2615979"/>
            <wp:effectExtent l="0" t="0" r="0" b="1333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C62A0" w:rsidRDefault="00CC76BA" w:rsidP="00BC62A0">
      <w:pPr>
        <w:pStyle w:val="NoSpacing"/>
        <w:ind w:left="1080"/>
        <w:rPr>
          <w:sz w:val="20"/>
          <w:szCs w:val="20"/>
        </w:rPr>
      </w:pPr>
      <w:r w:rsidRPr="00CD11F7">
        <w:rPr>
          <w:i/>
          <w:sz w:val="20"/>
          <w:szCs w:val="20"/>
        </w:rPr>
        <w:t xml:space="preserve">Figure </w:t>
      </w:r>
      <w:r w:rsidR="00DF0540">
        <w:rPr>
          <w:i/>
          <w:sz w:val="20"/>
          <w:szCs w:val="20"/>
        </w:rPr>
        <w:t>9</w:t>
      </w:r>
      <w:r w:rsidRPr="00CD11F7">
        <w:rPr>
          <w:i/>
          <w:sz w:val="20"/>
          <w:szCs w:val="20"/>
        </w:rPr>
        <w:t>.</w:t>
      </w:r>
      <w:r w:rsidRPr="00CC76BA">
        <w:rPr>
          <w:sz w:val="20"/>
          <w:szCs w:val="20"/>
        </w:rPr>
        <w:t xml:space="preserve"> Source: NIBRS Data accessed via </w:t>
      </w:r>
      <w:proofErr w:type="spellStart"/>
      <w:r w:rsidRPr="00CC76BA">
        <w:rPr>
          <w:sz w:val="20"/>
          <w:szCs w:val="20"/>
        </w:rPr>
        <w:t>CrimeSOLV</w:t>
      </w:r>
      <w:proofErr w:type="spellEnd"/>
      <w:r w:rsidRPr="00CC76BA">
        <w:rPr>
          <w:sz w:val="20"/>
          <w:szCs w:val="20"/>
        </w:rPr>
        <w:t xml:space="preserve">, Crimes against Person, Number </w:t>
      </w:r>
    </w:p>
    <w:p w:rsidR="002E3182" w:rsidRPr="00CC76BA" w:rsidRDefault="00CC76BA" w:rsidP="00BC62A0">
      <w:pPr>
        <w:pStyle w:val="NoSpacing"/>
        <w:ind w:left="1080"/>
        <w:rPr>
          <w:sz w:val="20"/>
          <w:szCs w:val="20"/>
        </w:rPr>
      </w:pPr>
      <w:r w:rsidRPr="00CC76BA">
        <w:rPr>
          <w:sz w:val="20"/>
          <w:szCs w:val="20"/>
        </w:rPr>
        <w:t>of Victims by Select Characteristics by Victim/Offender Relationship.</w:t>
      </w:r>
    </w:p>
    <w:p w:rsidR="00493A1C" w:rsidRDefault="00493A1C" w:rsidP="000E1D4D">
      <w:pPr>
        <w:pStyle w:val="NoSpacing"/>
      </w:pPr>
    </w:p>
    <w:p w:rsidR="000824F6" w:rsidRPr="00073C76" w:rsidRDefault="000824F6" w:rsidP="000824F6">
      <w:pPr>
        <w:pStyle w:val="NoSpacing"/>
        <w:rPr>
          <w:smallCaps/>
          <w:sz w:val="26"/>
          <w:szCs w:val="26"/>
          <w:u w:val="single"/>
        </w:rPr>
      </w:pPr>
      <w:r>
        <w:rPr>
          <w:smallCaps/>
          <w:sz w:val="26"/>
          <w:szCs w:val="26"/>
          <w:u w:val="single"/>
        </w:rPr>
        <w:t>Reported Rapes</w:t>
      </w:r>
    </w:p>
    <w:p w:rsidR="000824F6" w:rsidRDefault="000824F6" w:rsidP="000E1D4D">
      <w:pPr>
        <w:pStyle w:val="NoSpacing"/>
      </w:pPr>
    </w:p>
    <w:p w:rsidR="00493A1C" w:rsidRDefault="00B653DD" w:rsidP="000E1D4D">
      <w:pPr>
        <w:pStyle w:val="NoSpacing"/>
      </w:pPr>
      <w:r>
        <w:t>The FBI’s definition of rape changed in 2013 to be more inclusive,</w:t>
      </w:r>
      <w:r>
        <w:rPr>
          <w:rStyle w:val="FootnoteReference"/>
        </w:rPr>
        <w:footnoteReference w:id="23"/>
      </w:r>
      <w:r>
        <w:t xml:space="preserve"> and as a result, the number of forcible rapes in Massachusetts spiked to </w:t>
      </w:r>
      <w:r w:rsidR="006A7938">
        <w:t>2,718.</w:t>
      </w:r>
      <w:r w:rsidR="006A7938">
        <w:rPr>
          <w:rStyle w:val="FootnoteReference"/>
        </w:rPr>
        <w:footnoteReference w:id="24"/>
      </w:r>
      <w:r w:rsidR="006A7938">
        <w:t xml:space="preserve">  Much of the increase can be attributed to the change in definition.  According to the FBI UCR</w:t>
      </w:r>
      <w:r w:rsidR="00056F39">
        <w:t>, there were a total of 1</w:t>
      </w:r>
      <w:r w:rsidR="00D01A96">
        <w:t>9</w:t>
      </w:r>
      <w:r w:rsidR="00056F39">
        <w:t>,</w:t>
      </w:r>
      <w:r w:rsidR="00D01A96">
        <w:t>220</w:t>
      </w:r>
      <w:r w:rsidR="00056F39">
        <w:t xml:space="preserve"> incidents of rape in Massachusetts from 200</w:t>
      </w:r>
      <w:r w:rsidR="00D01A96">
        <w:t>7</w:t>
      </w:r>
      <w:r w:rsidR="00056F39">
        <w:t xml:space="preserve"> to 201</w:t>
      </w:r>
      <w:r w:rsidR="00D01A96">
        <w:t>6</w:t>
      </w:r>
      <w:r w:rsidR="00056F39">
        <w:t xml:space="preserve">.  Incidents of rape </w:t>
      </w:r>
      <w:r w:rsidR="00680D36">
        <w:t>fell 6% between 2006 and 2012 (</w:t>
      </w:r>
      <w:r w:rsidR="00680D36" w:rsidRPr="00DF0540">
        <w:t xml:space="preserve">Figure </w:t>
      </w:r>
      <w:r w:rsidR="00DF0540">
        <w:t>10</w:t>
      </w:r>
      <w:r w:rsidR="008B6557">
        <w:t>, page 20</w:t>
      </w:r>
      <w:r w:rsidR="00680D36">
        <w:t xml:space="preserve">).  </w:t>
      </w:r>
      <w:r w:rsidR="00033256">
        <w:t xml:space="preserve">In 2014 and 2015, the number of rape offenses, using the revised </w:t>
      </w:r>
      <w:r w:rsidR="00033256">
        <w:lastRenderedPageBreak/>
        <w:t>definition, declined 20% and 5% from each previous year, respectively.</w:t>
      </w:r>
      <w:r w:rsidR="009300AE">
        <w:t xml:space="preserve">  In 2016, there was a 3% uptick in reported rapes from the previous year</w:t>
      </w:r>
      <w:r w:rsidR="00573F42">
        <w:t>,</w:t>
      </w:r>
      <w:r w:rsidR="009300AE">
        <w:t xml:space="preserve"> and the rate of reported rapes is 31.2 per 100,000.</w:t>
      </w:r>
    </w:p>
    <w:p w:rsidR="00B865E6" w:rsidRDefault="00B865E6" w:rsidP="000E1D4D">
      <w:pPr>
        <w:pStyle w:val="NoSpacing"/>
      </w:pPr>
    </w:p>
    <w:p w:rsidR="00EA6C94" w:rsidRDefault="00981837" w:rsidP="006A7938">
      <w:pPr>
        <w:pStyle w:val="NoSpacing"/>
        <w:jc w:val="center"/>
        <w:rPr>
          <w:highlight w:val="yellow"/>
        </w:rPr>
      </w:pPr>
      <w:r>
        <w:rPr>
          <w:noProof/>
          <w:lang w:eastAsia="en-US"/>
        </w:rPr>
        <w:drawing>
          <wp:inline distT="0" distB="0" distL="0" distR="0" wp14:anchorId="745B356D" wp14:editId="52B40145">
            <wp:extent cx="4190337" cy="2794083"/>
            <wp:effectExtent l="0" t="0" r="1270" b="63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A6C94" w:rsidRPr="00033256" w:rsidRDefault="00033256" w:rsidP="00981837">
      <w:pPr>
        <w:pStyle w:val="NoSpacing"/>
        <w:ind w:left="1350"/>
        <w:rPr>
          <w:sz w:val="20"/>
          <w:szCs w:val="20"/>
        </w:rPr>
      </w:pPr>
      <w:r w:rsidRPr="00033256">
        <w:rPr>
          <w:i/>
          <w:sz w:val="20"/>
          <w:szCs w:val="20"/>
        </w:rPr>
        <w:t xml:space="preserve">Figure </w:t>
      </w:r>
      <w:r w:rsidR="00DF0540">
        <w:rPr>
          <w:i/>
          <w:sz w:val="20"/>
          <w:szCs w:val="20"/>
        </w:rPr>
        <w:t>10</w:t>
      </w:r>
      <w:r w:rsidRPr="00033256">
        <w:rPr>
          <w:i/>
          <w:sz w:val="20"/>
          <w:szCs w:val="20"/>
        </w:rPr>
        <w:t>.</w:t>
      </w:r>
      <w:r w:rsidRPr="00033256">
        <w:rPr>
          <w:sz w:val="20"/>
          <w:szCs w:val="20"/>
        </w:rPr>
        <w:t xml:space="preserve"> So</w:t>
      </w:r>
      <w:r w:rsidR="00C870CB">
        <w:rPr>
          <w:sz w:val="20"/>
          <w:szCs w:val="20"/>
        </w:rPr>
        <w:t>urce: FBI, UCR</w:t>
      </w:r>
      <w:r w:rsidRPr="00033256">
        <w:rPr>
          <w:sz w:val="20"/>
          <w:szCs w:val="20"/>
        </w:rPr>
        <w:t xml:space="preserve">, </w:t>
      </w:r>
      <w:r w:rsidR="00981837">
        <w:rPr>
          <w:sz w:val="20"/>
          <w:szCs w:val="20"/>
        </w:rPr>
        <w:t xml:space="preserve">2007-2015, </w:t>
      </w:r>
      <w:r w:rsidRPr="00033256">
        <w:rPr>
          <w:sz w:val="20"/>
          <w:szCs w:val="20"/>
        </w:rPr>
        <w:t>Table #5</w:t>
      </w:r>
      <w:r w:rsidR="00981837">
        <w:rPr>
          <w:sz w:val="20"/>
          <w:szCs w:val="20"/>
        </w:rPr>
        <w:t xml:space="preserve"> and 2016, </w:t>
      </w:r>
      <w:r w:rsidR="00981837">
        <w:rPr>
          <w:sz w:val="20"/>
          <w:szCs w:val="20"/>
        </w:rPr>
        <w:br/>
        <w:t>Table #3</w:t>
      </w:r>
      <w:r w:rsidRPr="00033256">
        <w:rPr>
          <w:sz w:val="20"/>
          <w:szCs w:val="20"/>
        </w:rPr>
        <w:t xml:space="preserve"> (Crime in the United States by State, 201</w:t>
      </w:r>
      <w:r w:rsidR="00981837">
        <w:rPr>
          <w:sz w:val="20"/>
          <w:szCs w:val="20"/>
        </w:rPr>
        <w:t>6</w:t>
      </w:r>
      <w:r w:rsidRPr="00033256">
        <w:rPr>
          <w:sz w:val="20"/>
          <w:szCs w:val="20"/>
        </w:rPr>
        <w:t>).</w:t>
      </w:r>
    </w:p>
    <w:p w:rsidR="00EA6C94" w:rsidRPr="00033256" w:rsidRDefault="00EA6C94" w:rsidP="00EA6C94">
      <w:pPr>
        <w:pStyle w:val="NoSpacing"/>
      </w:pPr>
    </w:p>
    <w:p w:rsidR="0011530A" w:rsidRPr="00073C76" w:rsidRDefault="0011530A" w:rsidP="0011530A">
      <w:pPr>
        <w:pStyle w:val="NoSpacing"/>
        <w:rPr>
          <w:smallCaps/>
          <w:sz w:val="26"/>
          <w:szCs w:val="26"/>
          <w:u w:val="single"/>
        </w:rPr>
      </w:pPr>
      <w:r>
        <w:rPr>
          <w:smallCaps/>
          <w:sz w:val="26"/>
          <w:szCs w:val="26"/>
          <w:u w:val="single"/>
        </w:rPr>
        <w:t>Sexual Assault Reporting and Statistics</w:t>
      </w:r>
    </w:p>
    <w:p w:rsidR="00EA6C94" w:rsidRDefault="00EA6C94" w:rsidP="00EA6C94">
      <w:pPr>
        <w:pStyle w:val="NoSpacing"/>
      </w:pPr>
    </w:p>
    <w:p w:rsidR="00EA31B1" w:rsidRDefault="0011530A" w:rsidP="00EA6C94">
      <w:pPr>
        <w:pStyle w:val="NoSpacing"/>
      </w:pPr>
      <w:r>
        <w:t>Sexual assault is a serious problem that affects the lives of women, men, and children everywhere.  Generally, researchers are limited to statistics that estimate the prevalence or incidence of sexual assault.  Separate from incidents reported to law enforcement or indicated through the National Crime Victimization Survey, few details are known about the specific nature and context of sexual assault.  The Provider Sexual Crime Report (PSCR)</w:t>
      </w:r>
      <w:r w:rsidR="007910C5">
        <w:rPr>
          <w:rStyle w:val="FootnoteReference"/>
        </w:rPr>
        <w:footnoteReference w:id="25"/>
      </w:r>
      <w:r w:rsidR="007910C5">
        <w:t xml:space="preserve"> is both unique and significant because it allows for a more detailed analysis of both the nature and context of sexual assault in Massachusetts.  Exams are conducted by medical professionals; however, victims are not required to report the crime to the police.  Therefore, the PSCR captures cases that often go unreported to police.  </w:t>
      </w:r>
    </w:p>
    <w:p w:rsidR="00EA31B1" w:rsidRDefault="00EA31B1" w:rsidP="00EA6C94">
      <w:pPr>
        <w:pStyle w:val="NoSpacing"/>
      </w:pPr>
    </w:p>
    <w:p w:rsidR="000E1D53" w:rsidRDefault="000E1D53" w:rsidP="000E1D53">
      <w:pPr>
        <w:pStyle w:val="NoSpacing"/>
      </w:pPr>
      <w:r>
        <w:t xml:space="preserve">The statistics provided in Table 5 show that victims of sexual assault cross all age groups.  </w:t>
      </w:r>
      <w:r w:rsidR="00E90263">
        <w:t xml:space="preserve">Over the six year trend analysis, victims who were ages 0-12, and obtained a sexual assault exam, represented anywhere from 11.6% to 20.7% of the total cases.  The majority of people who obtained a sexual assault exam were younger than 25 years old. </w:t>
      </w:r>
    </w:p>
    <w:tbl>
      <w:tblPr>
        <w:tblStyle w:val="LightShading-Accent1"/>
        <w:tblW w:w="9810" w:type="dxa"/>
        <w:tblLayout w:type="fixed"/>
        <w:tblLook w:val="04A0" w:firstRow="1" w:lastRow="0" w:firstColumn="1" w:lastColumn="0" w:noHBand="0" w:noVBand="1"/>
      </w:tblPr>
      <w:tblGrid>
        <w:gridCol w:w="810"/>
        <w:gridCol w:w="828"/>
        <w:gridCol w:w="882"/>
        <w:gridCol w:w="900"/>
        <w:gridCol w:w="900"/>
        <w:gridCol w:w="810"/>
        <w:gridCol w:w="900"/>
        <w:gridCol w:w="810"/>
        <w:gridCol w:w="900"/>
        <w:gridCol w:w="990"/>
        <w:gridCol w:w="1080"/>
      </w:tblGrid>
      <w:tr w:rsidR="00F23E8E" w:rsidRPr="00B031C2" w:rsidTr="005D5D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0" w:type="dxa"/>
            <w:gridSpan w:val="11"/>
          </w:tcPr>
          <w:p w:rsidR="00F23E8E" w:rsidRPr="00B031C2" w:rsidRDefault="00F23E8E" w:rsidP="00A55B03">
            <w:pPr>
              <w:pStyle w:val="NoSpacing"/>
              <w:jc w:val="center"/>
              <w:rPr>
                <w:smallCaps/>
                <w:sz w:val="22"/>
                <w:szCs w:val="22"/>
              </w:rPr>
            </w:pPr>
            <w:r w:rsidRPr="00B031C2">
              <w:rPr>
                <w:smallCaps/>
                <w:sz w:val="22"/>
                <w:szCs w:val="22"/>
              </w:rPr>
              <w:lastRenderedPageBreak/>
              <w:t>Table 5. Number of Sexual Assault Exams Conducted by Victim Age</w:t>
            </w:r>
          </w:p>
        </w:tc>
      </w:tr>
      <w:tr w:rsidR="00B70E5C" w:rsidRPr="00B031C2" w:rsidTr="005D5D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Borders>
              <w:right w:val="single" w:sz="12" w:space="0" w:color="4F81BD" w:themeColor="accent1"/>
            </w:tcBorders>
          </w:tcPr>
          <w:p w:rsidR="00F23E8E" w:rsidRPr="00B031C2" w:rsidRDefault="00F23E8E" w:rsidP="00C428C6">
            <w:pPr>
              <w:pStyle w:val="NoSpacing"/>
              <w:jc w:val="center"/>
              <w:rPr>
                <w:smallCaps/>
                <w:sz w:val="22"/>
                <w:szCs w:val="22"/>
              </w:rPr>
            </w:pPr>
            <w:r w:rsidRPr="00B031C2">
              <w:rPr>
                <w:smallCaps/>
                <w:sz w:val="22"/>
                <w:szCs w:val="22"/>
              </w:rPr>
              <w:t>Year</w:t>
            </w:r>
          </w:p>
        </w:tc>
        <w:tc>
          <w:tcPr>
            <w:tcW w:w="828" w:type="dxa"/>
            <w:tcBorders>
              <w:top w:val="nil"/>
              <w:left w:val="single" w:sz="12" w:space="0" w:color="4F81BD" w:themeColor="accent1"/>
              <w:bottom w:val="nil"/>
            </w:tcBorders>
          </w:tcPr>
          <w:p w:rsidR="00F23E8E" w:rsidRPr="00B031C2" w:rsidRDefault="00F23E8E" w:rsidP="00C428C6">
            <w:pPr>
              <w:pStyle w:val="NoSpacing"/>
              <w:jc w:val="center"/>
              <w:cnfStyle w:val="000000100000" w:firstRow="0" w:lastRow="0" w:firstColumn="0" w:lastColumn="0" w:oddVBand="0" w:evenVBand="0" w:oddHBand="1" w:evenHBand="0" w:firstRowFirstColumn="0" w:firstRowLastColumn="0" w:lastRowFirstColumn="0" w:lastRowLastColumn="0"/>
              <w:rPr>
                <w:b/>
                <w:smallCaps/>
                <w:sz w:val="22"/>
                <w:szCs w:val="22"/>
              </w:rPr>
            </w:pPr>
            <w:r w:rsidRPr="00B031C2">
              <w:rPr>
                <w:b/>
                <w:smallCaps/>
                <w:sz w:val="22"/>
                <w:szCs w:val="22"/>
              </w:rPr>
              <w:t>Ages</w:t>
            </w:r>
          </w:p>
          <w:p w:rsidR="00F23E8E" w:rsidRPr="00B031C2" w:rsidRDefault="00F23E8E" w:rsidP="00C428C6">
            <w:pPr>
              <w:pStyle w:val="NoSpacing"/>
              <w:jc w:val="center"/>
              <w:cnfStyle w:val="000000100000" w:firstRow="0" w:lastRow="0" w:firstColumn="0" w:lastColumn="0" w:oddVBand="0" w:evenVBand="0" w:oddHBand="1" w:evenHBand="0" w:firstRowFirstColumn="0" w:firstRowLastColumn="0" w:lastRowFirstColumn="0" w:lastRowLastColumn="0"/>
              <w:rPr>
                <w:b/>
                <w:smallCaps/>
                <w:sz w:val="22"/>
                <w:szCs w:val="22"/>
              </w:rPr>
            </w:pPr>
            <w:r w:rsidRPr="00B031C2">
              <w:rPr>
                <w:b/>
                <w:smallCaps/>
                <w:sz w:val="22"/>
                <w:szCs w:val="22"/>
              </w:rPr>
              <w:t>0-12</w:t>
            </w:r>
          </w:p>
        </w:tc>
        <w:tc>
          <w:tcPr>
            <w:tcW w:w="882" w:type="dxa"/>
            <w:tcBorders>
              <w:right w:val="single" w:sz="12" w:space="0" w:color="4F81BD" w:themeColor="accent1"/>
            </w:tcBorders>
            <w:vAlign w:val="center"/>
          </w:tcPr>
          <w:p w:rsidR="00F23E8E" w:rsidRPr="00B031C2" w:rsidRDefault="00F23E8E" w:rsidP="005527C2">
            <w:pPr>
              <w:pStyle w:val="NoSpacing"/>
              <w:jc w:val="center"/>
              <w:cnfStyle w:val="000000100000" w:firstRow="0" w:lastRow="0" w:firstColumn="0" w:lastColumn="0" w:oddVBand="0" w:evenVBand="0" w:oddHBand="1" w:evenHBand="0" w:firstRowFirstColumn="0" w:firstRowLastColumn="0" w:lastRowFirstColumn="0" w:lastRowLastColumn="0"/>
              <w:rPr>
                <w:b/>
                <w:smallCaps/>
                <w:sz w:val="22"/>
                <w:szCs w:val="22"/>
              </w:rPr>
            </w:pPr>
            <w:r w:rsidRPr="00B031C2">
              <w:rPr>
                <w:b/>
                <w:smallCaps/>
                <w:sz w:val="22"/>
                <w:szCs w:val="22"/>
              </w:rPr>
              <w:t>%</w:t>
            </w:r>
          </w:p>
        </w:tc>
        <w:tc>
          <w:tcPr>
            <w:tcW w:w="900" w:type="dxa"/>
            <w:tcBorders>
              <w:top w:val="nil"/>
              <w:left w:val="single" w:sz="12" w:space="0" w:color="4F81BD" w:themeColor="accent1"/>
              <w:bottom w:val="nil"/>
            </w:tcBorders>
            <w:vAlign w:val="center"/>
          </w:tcPr>
          <w:p w:rsidR="00F23E8E" w:rsidRPr="00B031C2" w:rsidRDefault="00F23E8E" w:rsidP="005527C2">
            <w:pPr>
              <w:pStyle w:val="NoSpacing"/>
              <w:jc w:val="center"/>
              <w:cnfStyle w:val="000000100000" w:firstRow="0" w:lastRow="0" w:firstColumn="0" w:lastColumn="0" w:oddVBand="0" w:evenVBand="0" w:oddHBand="1" w:evenHBand="0" w:firstRowFirstColumn="0" w:firstRowLastColumn="0" w:lastRowFirstColumn="0" w:lastRowLastColumn="0"/>
              <w:rPr>
                <w:b/>
                <w:smallCaps/>
                <w:sz w:val="22"/>
                <w:szCs w:val="22"/>
              </w:rPr>
            </w:pPr>
            <w:r w:rsidRPr="00B031C2">
              <w:rPr>
                <w:b/>
                <w:smallCaps/>
                <w:sz w:val="22"/>
                <w:szCs w:val="22"/>
              </w:rPr>
              <w:t>Ages</w:t>
            </w:r>
          </w:p>
          <w:p w:rsidR="00F23E8E" w:rsidRPr="00B031C2" w:rsidRDefault="00F23E8E" w:rsidP="005527C2">
            <w:pPr>
              <w:pStyle w:val="NoSpacing"/>
              <w:jc w:val="center"/>
              <w:cnfStyle w:val="000000100000" w:firstRow="0" w:lastRow="0" w:firstColumn="0" w:lastColumn="0" w:oddVBand="0" w:evenVBand="0" w:oddHBand="1" w:evenHBand="0" w:firstRowFirstColumn="0" w:firstRowLastColumn="0" w:lastRowFirstColumn="0" w:lastRowLastColumn="0"/>
              <w:rPr>
                <w:b/>
                <w:smallCaps/>
                <w:sz w:val="22"/>
                <w:szCs w:val="22"/>
              </w:rPr>
            </w:pPr>
            <w:r w:rsidRPr="00B031C2">
              <w:rPr>
                <w:b/>
                <w:smallCaps/>
                <w:sz w:val="22"/>
                <w:szCs w:val="22"/>
              </w:rPr>
              <w:t>13-24</w:t>
            </w:r>
          </w:p>
        </w:tc>
        <w:tc>
          <w:tcPr>
            <w:tcW w:w="900" w:type="dxa"/>
            <w:tcBorders>
              <w:right w:val="single" w:sz="12" w:space="0" w:color="4F81BD" w:themeColor="accent1"/>
            </w:tcBorders>
            <w:vAlign w:val="center"/>
          </w:tcPr>
          <w:p w:rsidR="00F23E8E" w:rsidRPr="00B031C2" w:rsidRDefault="00F23E8E" w:rsidP="005527C2">
            <w:pPr>
              <w:pStyle w:val="NoSpacing"/>
              <w:jc w:val="center"/>
              <w:cnfStyle w:val="000000100000" w:firstRow="0" w:lastRow="0" w:firstColumn="0" w:lastColumn="0" w:oddVBand="0" w:evenVBand="0" w:oddHBand="1" w:evenHBand="0" w:firstRowFirstColumn="0" w:firstRowLastColumn="0" w:lastRowFirstColumn="0" w:lastRowLastColumn="0"/>
              <w:rPr>
                <w:b/>
                <w:smallCaps/>
                <w:sz w:val="22"/>
                <w:szCs w:val="22"/>
              </w:rPr>
            </w:pPr>
            <w:r w:rsidRPr="00B031C2">
              <w:rPr>
                <w:b/>
                <w:smallCaps/>
                <w:sz w:val="22"/>
                <w:szCs w:val="22"/>
              </w:rPr>
              <w:t>%</w:t>
            </w:r>
          </w:p>
        </w:tc>
        <w:tc>
          <w:tcPr>
            <w:tcW w:w="810" w:type="dxa"/>
            <w:tcBorders>
              <w:top w:val="nil"/>
              <w:left w:val="single" w:sz="12" w:space="0" w:color="4F81BD" w:themeColor="accent1"/>
              <w:bottom w:val="nil"/>
            </w:tcBorders>
            <w:vAlign w:val="center"/>
          </w:tcPr>
          <w:p w:rsidR="00F23E8E" w:rsidRPr="00B031C2" w:rsidRDefault="00F23E8E" w:rsidP="005527C2">
            <w:pPr>
              <w:pStyle w:val="NoSpacing"/>
              <w:jc w:val="center"/>
              <w:cnfStyle w:val="000000100000" w:firstRow="0" w:lastRow="0" w:firstColumn="0" w:lastColumn="0" w:oddVBand="0" w:evenVBand="0" w:oddHBand="1" w:evenHBand="0" w:firstRowFirstColumn="0" w:firstRowLastColumn="0" w:lastRowFirstColumn="0" w:lastRowLastColumn="0"/>
              <w:rPr>
                <w:b/>
                <w:smallCaps/>
                <w:sz w:val="22"/>
                <w:szCs w:val="22"/>
              </w:rPr>
            </w:pPr>
            <w:r w:rsidRPr="00B031C2">
              <w:rPr>
                <w:b/>
                <w:smallCaps/>
                <w:sz w:val="22"/>
                <w:szCs w:val="22"/>
              </w:rPr>
              <w:t>Ages 25+</w:t>
            </w:r>
          </w:p>
        </w:tc>
        <w:tc>
          <w:tcPr>
            <w:tcW w:w="900" w:type="dxa"/>
            <w:tcBorders>
              <w:top w:val="nil"/>
              <w:bottom w:val="nil"/>
              <w:right w:val="single" w:sz="12" w:space="0" w:color="4F81BD" w:themeColor="accent1"/>
            </w:tcBorders>
            <w:vAlign w:val="center"/>
          </w:tcPr>
          <w:p w:rsidR="00F23E8E" w:rsidRPr="00B031C2" w:rsidRDefault="00F23E8E" w:rsidP="005527C2">
            <w:pPr>
              <w:pStyle w:val="NoSpacing"/>
              <w:jc w:val="center"/>
              <w:cnfStyle w:val="000000100000" w:firstRow="0" w:lastRow="0" w:firstColumn="0" w:lastColumn="0" w:oddVBand="0" w:evenVBand="0" w:oddHBand="1" w:evenHBand="0" w:firstRowFirstColumn="0" w:firstRowLastColumn="0" w:lastRowFirstColumn="0" w:lastRowLastColumn="0"/>
              <w:rPr>
                <w:b/>
                <w:smallCaps/>
                <w:sz w:val="22"/>
                <w:szCs w:val="22"/>
              </w:rPr>
            </w:pPr>
            <w:r w:rsidRPr="00B031C2">
              <w:rPr>
                <w:b/>
                <w:smallCaps/>
                <w:sz w:val="22"/>
                <w:szCs w:val="22"/>
              </w:rPr>
              <w:t>%</w:t>
            </w:r>
          </w:p>
        </w:tc>
        <w:tc>
          <w:tcPr>
            <w:tcW w:w="810" w:type="dxa"/>
            <w:tcBorders>
              <w:left w:val="single" w:sz="12" w:space="0" w:color="4F81BD" w:themeColor="accent1"/>
            </w:tcBorders>
            <w:vAlign w:val="center"/>
          </w:tcPr>
          <w:p w:rsidR="00F23E8E" w:rsidRPr="00B031C2" w:rsidRDefault="00F23E8E" w:rsidP="005527C2">
            <w:pPr>
              <w:pStyle w:val="NoSpacing"/>
              <w:jc w:val="center"/>
              <w:cnfStyle w:val="000000100000" w:firstRow="0" w:lastRow="0" w:firstColumn="0" w:lastColumn="0" w:oddVBand="0" w:evenVBand="0" w:oddHBand="1" w:evenHBand="0" w:firstRowFirstColumn="0" w:firstRowLastColumn="0" w:lastRowFirstColumn="0" w:lastRowLastColumn="0"/>
              <w:rPr>
                <w:b/>
                <w:smallCaps/>
                <w:sz w:val="22"/>
                <w:szCs w:val="22"/>
              </w:rPr>
            </w:pPr>
            <w:proofErr w:type="spellStart"/>
            <w:r w:rsidRPr="00B031C2">
              <w:rPr>
                <w:b/>
                <w:smallCaps/>
                <w:sz w:val="22"/>
                <w:szCs w:val="22"/>
              </w:rPr>
              <w:t>Unk</w:t>
            </w:r>
            <w:proofErr w:type="spellEnd"/>
            <w:r w:rsidR="00B70E5C" w:rsidRPr="00B031C2">
              <w:rPr>
                <w:b/>
                <w:smallCaps/>
                <w:sz w:val="22"/>
                <w:szCs w:val="22"/>
              </w:rPr>
              <w:t>.</w:t>
            </w:r>
          </w:p>
        </w:tc>
        <w:tc>
          <w:tcPr>
            <w:tcW w:w="900" w:type="dxa"/>
            <w:tcBorders>
              <w:right w:val="single" w:sz="12" w:space="0" w:color="4F81BD" w:themeColor="accent1"/>
            </w:tcBorders>
            <w:vAlign w:val="center"/>
          </w:tcPr>
          <w:p w:rsidR="00F23E8E" w:rsidRPr="00B031C2" w:rsidRDefault="00F23E8E" w:rsidP="005527C2">
            <w:pPr>
              <w:pStyle w:val="NoSpacing"/>
              <w:jc w:val="center"/>
              <w:cnfStyle w:val="000000100000" w:firstRow="0" w:lastRow="0" w:firstColumn="0" w:lastColumn="0" w:oddVBand="0" w:evenVBand="0" w:oddHBand="1" w:evenHBand="0" w:firstRowFirstColumn="0" w:firstRowLastColumn="0" w:lastRowFirstColumn="0" w:lastRowLastColumn="0"/>
              <w:rPr>
                <w:b/>
                <w:smallCaps/>
                <w:sz w:val="22"/>
                <w:szCs w:val="22"/>
              </w:rPr>
            </w:pPr>
            <w:r w:rsidRPr="00B031C2">
              <w:rPr>
                <w:b/>
                <w:smallCaps/>
                <w:sz w:val="22"/>
                <w:szCs w:val="22"/>
              </w:rPr>
              <w:t>%</w:t>
            </w:r>
          </w:p>
        </w:tc>
        <w:tc>
          <w:tcPr>
            <w:tcW w:w="990" w:type="dxa"/>
            <w:tcBorders>
              <w:top w:val="nil"/>
              <w:left w:val="single" w:sz="12" w:space="0" w:color="4F81BD" w:themeColor="accent1"/>
              <w:bottom w:val="nil"/>
            </w:tcBorders>
            <w:vAlign w:val="center"/>
          </w:tcPr>
          <w:p w:rsidR="00F23E8E" w:rsidRPr="00B031C2" w:rsidRDefault="00F23E8E" w:rsidP="005527C2">
            <w:pPr>
              <w:pStyle w:val="NoSpacing"/>
              <w:jc w:val="center"/>
              <w:cnfStyle w:val="000000100000" w:firstRow="0" w:lastRow="0" w:firstColumn="0" w:lastColumn="0" w:oddVBand="0" w:evenVBand="0" w:oddHBand="1" w:evenHBand="0" w:firstRowFirstColumn="0" w:firstRowLastColumn="0" w:lastRowFirstColumn="0" w:lastRowLastColumn="0"/>
              <w:rPr>
                <w:b/>
                <w:smallCaps/>
                <w:sz w:val="22"/>
                <w:szCs w:val="22"/>
              </w:rPr>
            </w:pPr>
            <w:r w:rsidRPr="00B031C2">
              <w:rPr>
                <w:b/>
                <w:smallCaps/>
                <w:sz w:val="22"/>
                <w:szCs w:val="22"/>
              </w:rPr>
              <w:t>Total</w:t>
            </w:r>
          </w:p>
        </w:tc>
        <w:tc>
          <w:tcPr>
            <w:tcW w:w="1080" w:type="dxa"/>
            <w:vAlign w:val="center"/>
          </w:tcPr>
          <w:p w:rsidR="00F23E8E" w:rsidRPr="00B031C2" w:rsidRDefault="00B70E5C" w:rsidP="005527C2">
            <w:pPr>
              <w:pStyle w:val="NoSpacing"/>
              <w:jc w:val="center"/>
              <w:cnfStyle w:val="000000100000" w:firstRow="0" w:lastRow="0" w:firstColumn="0" w:lastColumn="0" w:oddVBand="0" w:evenVBand="0" w:oddHBand="1" w:evenHBand="0" w:firstRowFirstColumn="0" w:firstRowLastColumn="0" w:lastRowFirstColumn="0" w:lastRowLastColumn="0"/>
              <w:rPr>
                <w:b/>
                <w:smallCaps/>
                <w:sz w:val="22"/>
                <w:szCs w:val="22"/>
              </w:rPr>
            </w:pPr>
            <w:r w:rsidRPr="00B031C2">
              <w:rPr>
                <w:b/>
                <w:smallCaps/>
                <w:sz w:val="22"/>
                <w:szCs w:val="22"/>
              </w:rPr>
              <w:t xml:space="preserve">Total </w:t>
            </w:r>
            <w:r w:rsidR="00F23E8E" w:rsidRPr="00B031C2">
              <w:rPr>
                <w:b/>
                <w:smallCaps/>
                <w:sz w:val="22"/>
                <w:szCs w:val="22"/>
              </w:rPr>
              <w:t>%</w:t>
            </w:r>
          </w:p>
        </w:tc>
      </w:tr>
      <w:tr w:rsidR="00B70E5C" w:rsidRPr="00B031C2" w:rsidTr="005D5D9A">
        <w:tc>
          <w:tcPr>
            <w:cnfStyle w:val="001000000000" w:firstRow="0" w:lastRow="0" w:firstColumn="1" w:lastColumn="0" w:oddVBand="0" w:evenVBand="0" w:oddHBand="0" w:evenHBand="0" w:firstRowFirstColumn="0" w:firstRowLastColumn="0" w:lastRowFirstColumn="0" w:lastRowLastColumn="0"/>
            <w:tcW w:w="810" w:type="dxa"/>
            <w:tcBorders>
              <w:right w:val="single" w:sz="12" w:space="0" w:color="4F81BD" w:themeColor="accent1"/>
            </w:tcBorders>
          </w:tcPr>
          <w:p w:rsidR="00F23E8E" w:rsidRPr="00B031C2" w:rsidRDefault="00F23E8E" w:rsidP="00621B93">
            <w:pPr>
              <w:pStyle w:val="NoSpacing"/>
              <w:rPr>
                <w:b w:val="0"/>
                <w:sz w:val="22"/>
                <w:szCs w:val="22"/>
              </w:rPr>
            </w:pPr>
            <w:r w:rsidRPr="00B031C2">
              <w:rPr>
                <w:b w:val="0"/>
                <w:sz w:val="22"/>
                <w:szCs w:val="22"/>
              </w:rPr>
              <w:t>2011</w:t>
            </w:r>
          </w:p>
        </w:tc>
        <w:tc>
          <w:tcPr>
            <w:tcW w:w="828" w:type="dxa"/>
            <w:tcBorders>
              <w:top w:val="nil"/>
              <w:left w:val="single" w:sz="12" w:space="0" w:color="4F81BD" w:themeColor="accent1"/>
              <w:bottom w:val="nil"/>
              <w:right w:val="nil"/>
            </w:tcBorders>
          </w:tcPr>
          <w:p w:rsidR="00F23E8E" w:rsidRPr="00B031C2" w:rsidRDefault="00F23E8E" w:rsidP="00022DBC">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252</w:t>
            </w:r>
          </w:p>
        </w:tc>
        <w:tc>
          <w:tcPr>
            <w:tcW w:w="882" w:type="dxa"/>
            <w:tcBorders>
              <w:left w:val="nil"/>
              <w:right w:val="single" w:sz="12" w:space="0" w:color="4F81BD" w:themeColor="accent1"/>
            </w:tcBorders>
          </w:tcPr>
          <w:p w:rsidR="00F23E8E" w:rsidRPr="00B031C2" w:rsidRDefault="00F23E8E" w:rsidP="00D9148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20.7</w:t>
            </w:r>
            <w:r w:rsidR="00D90AA4" w:rsidRPr="00B031C2">
              <w:rPr>
                <w:sz w:val="22"/>
                <w:szCs w:val="22"/>
              </w:rPr>
              <w:t>%</w:t>
            </w:r>
          </w:p>
        </w:tc>
        <w:tc>
          <w:tcPr>
            <w:tcW w:w="900" w:type="dxa"/>
            <w:tcBorders>
              <w:top w:val="nil"/>
              <w:left w:val="single" w:sz="12" w:space="0" w:color="4F81BD" w:themeColor="accent1"/>
              <w:bottom w:val="nil"/>
              <w:right w:val="nil"/>
            </w:tcBorders>
          </w:tcPr>
          <w:p w:rsidR="00F23E8E" w:rsidRPr="00B031C2" w:rsidRDefault="00F23E8E" w:rsidP="00D9148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563</w:t>
            </w:r>
          </w:p>
        </w:tc>
        <w:tc>
          <w:tcPr>
            <w:tcW w:w="900" w:type="dxa"/>
            <w:tcBorders>
              <w:left w:val="nil"/>
              <w:right w:val="single" w:sz="12" w:space="0" w:color="4F81BD" w:themeColor="accent1"/>
            </w:tcBorders>
          </w:tcPr>
          <w:p w:rsidR="00F23E8E" w:rsidRPr="00B031C2" w:rsidRDefault="00D90AA4" w:rsidP="00D9148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46.3%</w:t>
            </w:r>
          </w:p>
        </w:tc>
        <w:tc>
          <w:tcPr>
            <w:tcW w:w="810" w:type="dxa"/>
            <w:tcBorders>
              <w:top w:val="nil"/>
              <w:left w:val="single" w:sz="12" w:space="0" w:color="4F81BD" w:themeColor="accent1"/>
              <w:bottom w:val="nil"/>
            </w:tcBorders>
          </w:tcPr>
          <w:p w:rsidR="00F23E8E" w:rsidRPr="00B031C2" w:rsidRDefault="00F23E8E" w:rsidP="00D9148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379</w:t>
            </w:r>
          </w:p>
        </w:tc>
        <w:tc>
          <w:tcPr>
            <w:tcW w:w="900" w:type="dxa"/>
            <w:tcBorders>
              <w:top w:val="nil"/>
              <w:bottom w:val="nil"/>
              <w:right w:val="single" w:sz="12" w:space="0" w:color="4F81BD" w:themeColor="accent1"/>
            </w:tcBorders>
          </w:tcPr>
          <w:p w:rsidR="00F23E8E" w:rsidRPr="00B031C2" w:rsidRDefault="00D90AA4" w:rsidP="00D9148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31.2%</w:t>
            </w:r>
          </w:p>
        </w:tc>
        <w:tc>
          <w:tcPr>
            <w:tcW w:w="810" w:type="dxa"/>
            <w:tcBorders>
              <w:left w:val="single" w:sz="12" w:space="0" w:color="4F81BD" w:themeColor="accent1"/>
            </w:tcBorders>
          </w:tcPr>
          <w:p w:rsidR="00F23E8E" w:rsidRPr="00B031C2" w:rsidRDefault="00F23E8E" w:rsidP="00D9148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21</w:t>
            </w:r>
          </w:p>
        </w:tc>
        <w:tc>
          <w:tcPr>
            <w:tcW w:w="900" w:type="dxa"/>
            <w:tcBorders>
              <w:right w:val="single" w:sz="12" w:space="0" w:color="4F81BD" w:themeColor="accent1"/>
            </w:tcBorders>
          </w:tcPr>
          <w:p w:rsidR="00F23E8E" w:rsidRPr="00B031C2" w:rsidRDefault="00B70E5C" w:rsidP="00D9148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1.7%</w:t>
            </w:r>
          </w:p>
        </w:tc>
        <w:tc>
          <w:tcPr>
            <w:tcW w:w="990" w:type="dxa"/>
            <w:tcBorders>
              <w:top w:val="nil"/>
              <w:left w:val="single" w:sz="12" w:space="0" w:color="4F81BD" w:themeColor="accent1"/>
              <w:bottom w:val="nil"/>
            </w:tcBorders>
          </w:tcPr>
          <w:p w:rsidR="00F23E8E" w:rsidRPr="00B031C2" w:rsidRDefault="00F23E8E" w:rsidP="00D91486">
            <w:pPr>
              <w:pStyle w:val="NoSpacing"/>
              <w:jc w:val="center"/>
              <w:cnfStyle w:val="000000000000" w:firstRow="0" w:lastRow="0" w:firstColumn="0" w:lastColumn="0" w:oddVBand="0" w:evenVBand="0" w:oddHBand="0" w:evenHBand="0" w:firstRowFirstColumn="0" w:firstRowLastColumn="0" w:lastRowFirstColumn="0" w:lastRowLastColumn="0"/>
              <w:rPr>
                <w:b/>
                <w:sz w:val="22"/>
                <w:szCs w:val="22"/>
              </w:rPr>
            </w:pPr>
            <w:r w:rsidRPr="00B031C2">
              <w:rPr>
                <w:b/>
                <w:sz w:val="22"/>
                <w:szCs w:val="22"/>
              </w:rPr>
              <w:t>1,215</w:t>
            </w:r>
          </w:p>
        </w:tc>
        <w:tc>
          <w:tcPr>
            <w:tcW w:w="1080" w:type="dxa"/>
          </w:tcPr>
          <w:p w:rsidR="00F23E8E" w:rsidRPr="00B031C2" w:rsidRDefault="00B70E5C" w:rsidP="00B70E5C">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100%</w:t>
            </w:r>
          </w:p>
        </w:tc>
      </w:tr>
      <w:tr w:rsidR="00B70E5C" w:rsidRPr="00B031C2" w:rsidTr="005D5D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Borders>
              <w:right w:val="single" w:sz="12" w:space="0" w:color="4F81BD" w:themeColor="accent1"/>
            </w:tcBorders>
          </w:tcPr>
          <w:p w:rsidR="00B70E5C" w:rsidRPr="00B031C2" w:rsidRDefault="00B70E5C" w:rsidP="00621B93">
            <w:pPr>
              <w:pStyle w:val="NoSpacing"/>
              <w:rPr>
                <w:b w:val="0"/>
                <w:sz w:val="22"/>
                <w:szCs w:val="22"/>
              </w:rPr>
            </w:pPr>
            <w:r w:rsidRPr="00B031C2">
              <w:rPr>
                <w:b w:val="0"/>
                <w:sz w:val="22"/>
                <w:szCs w:val="22"/>
              </w:rPr>
              <w:t>2012</w:t>
            </w:r>
          </w:p>
        </w:tc>
        <w:tc>
          <w:tcPr>
            <w:tcW w:w="828" w:type="dxa"/>
            <w:tcBorders>
              <w:top w:val="nil"/>
              <w:left w:val="single" w:sz="12" w:space="0" w:color="4F81BD" w:themeColor="accent1"/>
              <w:bottom w:val="nil"/>
            </w:tcBorders>
          </w:tcPr>
          <w:p w:rsidR="00B70E5C" w:rsidRPr="00B031C2" w:rsidRDefault="00B70E5C" w:rsidP="00022DBC">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174</w:t>
            </w:r>
          </w:p>
        </w:tc>
        <w:tc>
          <w:tcPr>
            <w:tcW w:w="882" w:type="dxa"/>
            <w:tcBorders>
              <w:right w:val="single" w:sz="12" w:space="0" w:color="4F81BD" w:themeColor="accent1"/>
            </w:tcBorders>
          </w:tcPr>
          <w:p w:rsidR="00B70E5C" w:rsidRPr="00B031C2" w:rsidRDefault="00B70E5C" w:rsidP="00D91486">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15.4%</w:t>
            </w:r>
          </w:p>
        </w:tc>
        <w:tc>
          <w:tcPr>
            <w:tcW w:w="900" w:type="dxa"/>
            <w:tcBorders>
              <w:top w:val="nil"/>
              <w:left w:val="single" w:sz="12" w:space="0" w:color="4F81BD" w:themeColor="accent1"/>
              <w:bottom w:val="nil"/>
            </w:tcBorders>
          </w:tcPr>
          <w:p w:rsidR="00B70E5C" w:rsidRPr="00B031C2" w:rsidRDefault="00B70E5C" w:rsidP="00D91486">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523</w:t>
            </w:r>
          </w:p>
        </w:tc>
        <w:tc>
          <w:tcPr>
            <w:tcW w:w="900" w:type="dxa"/>
            <w:tcBorders>
              <w:right w:val="single" w:sz="12" w:space="0" w:color="4F81BD" w:themeColor="accent1"/>
            </w:tcBorders>
          </w:tcPr>
          <w:p w:rsidR="00B70E5C" w:rsidRPr="00B031C2" w:rsidRDefault="00B70E5C" w:rsidP="00D91486">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46.2%</w:t>
            </w:r>
          </w:p>
        </w:tc>
        <w:tc>
          <w:tcPr>
            <w:tcW w:w="810" w:type="dxa"/>
            <w:tcBorders>
              <w:top w:val="nil"/>
              <w:left w:val="single" w:sz="12" w:space="0" w:color="4F81BD" w:themeColor="accent1"/>
              <w:bottom w:val="nil"/>
            </w:tcBorders>
          </w:tcPr>
          <w:p w:rsidR="00B70E5C" w:rsidRPr="00B031C2" w:rsidRDefault="00B70E5C" w:rsidP="00D91486">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417</w:t>
            </w:r>
          </w:p>
        </w:tc>
        <w:tc>
          <w:tcPr>
            <w:tcW w:w="900" w:type="dxa"/>
            <w:tcBorders>
              <w:top w:val="nil"/>
              <w:bottom w:val="nil"/>
              <w:right w:val="single" w:sz="12" w:space="0" w:color="4F81BD" w:themeColor="accent1"/>
            </w:tcBorders>
          </w:tcPr>
          <w:p w:rsidR="00B70E5C" w:rsidRPr="00B031C2" w:rsidRDefault="00B70E5C" w:rsidP="00D91486">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36.8%</w:t>
            </w:r>
          </w:p>
        </w:tc>
        <w:tc>
          <w:tcPr>
            <w:tcW w:w="810" w:type="dxa"/>
            <w:tcBorders>
              <w:left w:val="single" w:sz="12" w:space="0" w:color="4F81BD" w:themeColor="accent1"/>
            </w:tcBorders>
          </w:tcPr>
          <w:p w:rsidR="00B70E5C" w:rsidRPr="00B031C2" w:rsidRDefault="00B70E5C" w:rsidP="00D91486">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18</w:t>
            </w:r>
          </w:p>
        </w:tc>
        <w:tc>
          <w:tcPr>
            <w:tcW w:w="900" w:type="dxa"/>
            <w:tcBorders>
              <w:right w:val="single" w:sz="12" w:space="0" w:color="4F81BD" w:themeColor="accent1"/>
            </w:tcBorders>
          </w:tcPr>
          <w:p w:rsidR="00B70E5C" w:rsidRPr="00B031C2" w:rsidRDefault="00B70E5C" w:rsidP="00D91486">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1.6%</w:t>
            </w:r>
          </w:p>
        </w:tc>
        <w:tc>
          <w:tcPr>
            <w:tcW w:w="990" w:type="dxa"/>
            <w:tcBorders>
              <w:top w:val="nil"/>
              <w:left w:val="single" w:sz="12" w:space="0" w:color="4F81BD" w:themeColor="accent1"/>
              <w:bottom w:val="nil"/>
            </w:tcBorders>
          </w:tcPr>
          <w:p w:rsidR="00B70E5C" w:rsidRPr="00B031C2" w:rsidRDefault="00B70E5C" w:rsidP="00D91486">
            <w:pPr>
              <w:pStyle w:val="NoSpacing"/>
              <w:jc w:val="center"/>
              <w:cnfStyle w:val="000000100000" w:firstRow="0" w:lastRow="0" w:firstColumn="0" w:lastColumn="0" w:oddVBand="0" w:evenVBand="0" w:oddHBand="1" w:evenHBand="0" w:firstRowFirstColumn="0" w:firstRowLastColumn="0" w:lastRowFirstColumn="0" w:lastRowLastColumn="0"/>
              <w:rPr>
                <w:b/>
                <w:sz w:val="22"/>
                <w:szCs w:val="22"/>
              </w:rPr>
            </w:pPr>
            <w:r w:rsidRPr="00B031C2">
              <w:rPr>
                <w:b/>
                <w:sz w:val="22"/>
                <w:szCs w:val="22"/>
              </w:rPr>
              <w:t>1,132</w:t>
            </w:r>
          </w:p>
        </w:tc>
        <w:tc>
          <w:tcPr>
            <w:tcW w:w="1080" w:type="dxa"/>
          </w:tcPr>
          <w:p w:rsidR="00B70E5C" w:rsidRPr="00B031C2" w:rsidRDefault="00B70E5C" w:rsidP="00B70E5C">
            <w:pPr>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100%</w:t>
            </w:r>
          </w:p>
        </w:tc>
      </w:tr>
      <w:tr w:rsidR="00B70E5C" w:rsidRPr="00B031C2" w:rsidTr="005D5D9A">
        <w:tc>
          <w:tcPr>
            <w:cnfStyle w:val="001000000000" w:firstRow="0" w:lastRow="0" w:firstColumn="1" w:lastColumn="0" w:oddVBand="0" w:evenVBand="0" w:oddHBand="0" w:evenHBand="0" w:firstRowFirstColumn="0" w:firstRowLastColumn="0" w:lastRowFirstColumn="0" w:lastRowLastColumn="0"/>
            <w:tcW w:w="810" w:type="dxa"/>
            <w:tcBorders>
              <w:right w:val="single" w:sz="12" w:space="0" w:color="4F81BD" w:themeColor="accent1"/>
            </w:tcBorders>
          </w:tcPr>
          <w:p w:rsidR="00B70E5C" w:rsidRPr="00B031C2" w:rsidRDefault="00B70E5C" w:rsidP="00621B93">
            <w:pPr>
              <w:pStyle w:val="NoSpacing"/>
              <w:rPr>
                <w:b w:val="0"/>
                <w:sz w:val="22"/>
                <w:szCs w:val="22"/>
              </w:rPr>
            </w:pPr>
            <w:r w:rsidRPr="00B031C2">
              <w:rPr>
                <w:b w:val="0"/>
                <w:sz w:val="22"/>
                <w:szCs w:val="22"/>
              </w:rPr>
              <w:t>2013</w:t>
            </w:r>
          </w:p>
        </w:tc>
        <w:tc>
          <w:tcPr>
            <w:tcW w:w="828" w:type="dxa"/>
            <w:tcBorders>
              <w:top w:val="nil"/>
              <w:left w:val="single" w:sz="12" w:space="0" w:color="4F81BD" w:themeColor="accent1"/>
              <w:bottom w:val="nil"/>
              <w:right w:val="nil"/>
            </w:tcBorders>
          </w:tcPr>
          <w:p w:rsidR="00B70E5C" w:rsidRPr="00B031C2" w:rsidRDefault="00B70E5C" w:rsidP="00022DBC">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210</w:t>
            </w:r>
          </w:p>
        </w:tc>
        <w:tc>
          <w:tcPr>
            <w:tcW w:w="882" w:type="dxa"/>
            <w:tcBorders>
              <w:left w:val="nil"/>
              <w:right w:val="single" w:sz="12" w:space="0" w:color="4F81BD" w:themeColor="accent1"/>
            </w:tcBorders>
          </w:tcPr>
          <w:p w:rsidR="00B70E5C" w:rsidRPr="00B031C2" w:rsidRDefault="00B70E5C" w:rsidP="00D9148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16.2%</w:t>
            </w:r>
          </w:p>
        </w:tc>
        <w:tc>
          <w:tcPr>
            <w:tcW w:w="900" w:type="dxa"/>
            <w:tcBorders>
              <w:top w:val="nil"/>
              <w:left w:val="single" w:sz="12" w:space="0" w:color="4F81BD" w:themeColor="accent1"/>
              <w:bottom w:val="nil"/>
              <w:right w:val="nil"/>
            </w:tcBorders>
          </w:tcPr>
          <w:p w:rsidR="00B70E5C" w:rsidRPr="00B031C2" w:rsidRDefault="00B70E5C" w:rsidP="00D9148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574</w:t>
            </w:r>
          </w:p>
        </w:tc>
        <w:tc>
          <w:tcPr>
            <w:tcW w:w="900" w:type="dxa"/>
            <w:tcBorders>
              <w:left w:val="nil"/>
              <w:right w:val="single" w:sz="12" w:space="0" w:color="4F81BD" w:themeColor="accent1"/>
            </w:tcBorders>
          </w:tcPr>
          <w:p w:rsidR="00B70E5C" w:rsidRPr="00B031C2" w:rsidRDefault="00B70E5C" w:rsidP="00D9148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44.3%</w:t>
            </w:r>
          </w:p>
        </w:tc>
        <w:tc>
          <w:tcPr>
            <w:tcW w:w="810" w:type="dxa"/>
            <w:tcBorders>
              <w:top w:val="nil"/>
              <w:left w:val="single" w:sz="12" w:space="0" w:color="4F81BD" w:themeColor="accent1"/>
              <w:bottom w:val="nil"/>
            </w:tcBorders>
          </w:tcPr>
          <w:p w:rsidR="00B70E5C" w:rsidRPr="00B031C2" w:rsidRDefault="00B70E5C" w:rsidP="00D9148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486</w:t>
            </w:r>
          </w:p>
        </w:tc>
        <w:tc>
          <w:tcPr>
            <w:tcW w:w="900" w:type="dxa"/>
            <w:tcBorders>
              <w:top w:val="nil"/>
              <w:bottom w:val="nil"/>
              <w:right w:val="single" w:sz="12" w:space="0" w:color="4F81BD" w:themeColor="accent1"/>
            </w:tcBorders>
          </w:tcPr>
          <w:p w:rsidR="00B70E5C" w:rsidRPr="00B031C2" w:rsidRDefault="00B70E5C" w:rsidP="00D9148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37.5%</w:t>
            </w:r>
          </w:p>
        </w:tc>
        <w:tc>
          <w:tcPr>
            <w:tcW w:w="810" w:type="dxa"/>
            <w:tcBorders>
              <w:left w:val="single" w:sz="12" w:space="0" w:color="4F81BD" w:themeColor="accent1"/>
            </w:tcBorders>
          </w:tcPr>
          <w:p w:rsidR="00B70E5C" w:rsidRPr="00B031C2" w:rsidRDefault="00B70E5C" w:rsidP="00D9148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27</w:t>
            </w:r>
          </w:p>
        </w:tc>
        <w:tc>
          <w:tcPr>
            <w:tcW w:w="900" w:type="dxa"/>
            <w:tcBorders>
              <w:right w:val="single" w:sz="12" w:space="0" w:color="4F81BD" w:themeColor="accent1"/>
            </w:tcBorders>
          </w:tcPr>
          <w:p w:rsidR="00B70E5C" w:rsidRPr="00B031C2" w:rsidRDefault="00B70E5C" w:rsidP="00D9148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2.1%</w:t>
            </w:r>
          </w:p>
        </w:tc>
        <w:tc>
          <w:tcPr>
            <w:tcW w:w="990" w:type="dxa"/>
            <w:tcBorders>
              <w:top w:val="nil"/>
              <w:left w:val="single" w:sz="12" w:space="0" w:color="4F81BD" w:themeColor="accent1"/>
              <w:bottom w:val="nil"/>
            </w:tcBorders>
          </w:tcPr>
          <w:p w:rsidR="00B70E5C" w:rsidRPr="00B031C2" w:rsidRDefault="00B70E5C" w:rsidP="00D91486">
            <w:pPr>
              <w:pStyle w:val="NoSpacing"/>
              <w:jc w:val="center"/>
              <w:cnfStyle w:val="000000000000" w:firstRow="0" w:lastRow="0" w:firstColumn="0" w:lastColumn="0" w:oddVBand="0" w:evenVBand="0" w:oddHBand="0" w:evenHBand="0" w:firstRowFirstColumn="0" w:firstRowLastColumn="0" w:lastRowFirstColumn="0" w:lastRowLastColumn="0"/>
              <w:rPr>
                <w:b/>
                <w:sz w:val="22"/>
                <w:szCs w:val="22"/>
              </w:rPr>
            </w:pPr>
            <w:r w:rsidRPr="00B031C2">
              <w:rPr>
                <w:b/>
                <w:sz w:val="22"/>
                <w:szCs w:val="22"/>
              </w:rPr>
              <w:t>1,297</w:t>
            </w:r>
          </w:p>
        </w:tc>
        <w:tc>
          <w:tcPr>
            <w:tcW w:w="1080" w:type="dxa"/>
          </w:tcPr>
          <w:p w:rsidR="00B70E5C" w:rsidRPr="00B031C2" w:rsidRDefault="00B70E5C" w:rsidP="00B70E5C">
            <w:pPr>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100%</w:t>
            </w:r>
          </w:p>
        </w:tc>
      </w:tr>
      <w:tr w:rsidR="00B70E5C" w:rsidRPr="00B031C2" w:rsidTr="005D5D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Borders>
              <w:right w:val="single" w:sz="12" w:space="0" w:color="4F81BD" w:themeColor="accent1"/>
            </w:tcBorders>
          </w:tcPr>
          <w:p w:rsidR="00B70E5C" w:rsidRPr="00B031C2" w:rsidRDefault="00B70E5C" w:rsidP="00621B93">
            <w:pPr>
              <w:pStyle w:val="NoSpacing"/>
              <w:rPr>
                <w:b w:val="0"/>
                <w:sz w:val="22"/>
                <w:szCs w:val="22"/>
              </w:rPr>
            </w:pPr>
            <w:r w:rsidRPr="00B031C2">
              <w:rPr>
                <w:b w:val="0"/>
                <w:sz w:val="22"/>
                <w:szCs w:val="22"/>
              </w:rPr>
              <w:t>2014</w:t>
            </w:r>
          </w:p>
        </w:tc>
        <w:tc>
          <w:tcPr>
            <w:tcW w:w="828" w:type="dxa"/>
            <w:tcBorders>
              <w:top w:val="nil"/>
              <w:left w:val="single" w:sz="12" w:space="0" w:color="4F81BD" w:themeColor="accent1"/>
              <w:bottom w:val="nil"/>
            </w:tcBorders>
          </w:tcPr>
          <w:p w:rsidR="00B70E5C" w:rsidRPr="00B031C2" w:rsidRDefault="00B70E5C" w:rsidP="00022DBC">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240</w:t>
            </w:r>
          </w:p>
        </w:tc>
        <w:tc>
          <w:tcPr>
            <w:tcW w:w="882" w:type="dxa"/>
            <w:tcBorders>
              <w:right w:val="single" w:sz="12" w:space="0" w:color="4F81BD" w:themeColor="accent1"/>
            </w:tcBorders>
          </w:tcPr>
          <w:p w:rsidR="00B70E5C" w:rsidRPr="00B031C2" w:rsidRDefault="00B70E5C" w:rsidP="00D91486">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18.5%</w:t>
            </w:r>
          </w:p>
        </w:tc>
        <w:tc>
          <w:tcPr>
            <w:tcW w:w="900" w:type="dxa"/>
            <w:tcBorders>
              <w:top w:val="nil"/>
              <w:left w:val="single" w:sz="12" w:space="0" w:color="4F81BD" w:themeColor="accent1"/>
              <w:bottom w:val="nil"/>
            </w:tcBorders>
          </w:tcPr>
          <w:p w:rsidR="00B70E5C" w:rsidRPr="00B031C2" w:rsidRDefault="00B70E5C" w:rsidP="00D91486">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576</w:t>
            </w:r>
          </w:p>
        </w:tc>
        <w:tc>
          <w:tcPr>
            <w:tcW w:w="900" w:type="dxa"/>
            <w:tcBorders>
              <w:right w:val="single" w:sz="12" w:space="0" w:color="4F81BD" w:themeColor="accent1"/>
            </w:tcBorders>
          </w:tcPr>
          <w:p w:rsidR="00B70E5C" w:rsidRPr="00B031C2" w:rsidRDefault="00B70E5C" w:rsidP="00D91486">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44.5%</w:t>
            </w:r>
          </w:p>
        </w:tc>
        <w:tc>
          <w:tcPr>
            <w:tcW w:w="810" w:type="dxa"/>
            <w:tcBorders>
              <w:top w:val="nil"/>
              <w:left w:val="single" w:sz="12" w:space="0" w:color="4F81BD" w:themeColor="accent1"/>
              <w:bottom w:val="nil"/>
            </w:tcBorders>
          </w:tcPr>
          <w:p w:rsidR="00B70E5C" w:rsidRPr="00B031C2" w:rsidRDefault="00B70E5C" w:rsidP="00D91486">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457</w:t>
            </w:r>
          </w:p>
        </w:tc>
        <w:tc>
          <w:tcPr>
            <w:tcW w:w="900" w:type="dxa"/>
            <w:tcBorders>
              <w:top w:val="nil"/>
              <w:bottom w:val="nil"/>
              <w:right w:val="single" w:sz="12" w:space="0" w:color="4F81BD" w:themeColor="accent1"/>
            </w:tcBorders>
          </w:tcPr>
          <w:p w:rsidR="00B70E5C" w:rsidRPr="00B031C2" w:rsidRDefault="00B70E5C" w:rsidP="00D91486">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35.3%</w:t>
            </w:r>
          </w:p>
        </w:tc>
        <w:tc>
          <w:tcPr>
            <w:tcW w:w="810" w:type="dxa"/>
            <w:tcBorders>
              <w:left w:val="single" w:sz="12" w:space="0" w:color="4F81BD" w:themeColor="accent1"/>
            </w:tcBorders>
          </w:tcPr>
          <w:p w:rsidR="00B70E5C" w:rsidRPr="00B031C2" w:rsidRDefault="00B70E5C" w:rsidP="00D91486">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22</w:t>
            </w:r>
          </w:p>
        </w:tc>
        <w:tc>
          <w:tcPr>
            <w:tcW w:w="900" w:type="dxa"/>
            <w:tcBorders>
              <w:right w:val="single" w:sz="12" w:space="0" w:color="4F81BD" w:themeColor="accent1"/>
            </w:tcBorders>
          </w:tcPr>
          <w:p w:rsidR="00B70E5C" w:rsidRPr="00B031C2" w:rsidRDefault="00B70E5C" w:rsidP="00D91486">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1.7%</w:t>
            </w:r>
          </w:p>
        </w:tc>
        <w:tc>
          <w:tcPr>
            <w:tcW w:w="990" w:type="dxa"/>
            <w:tcBorders>
              <w:top w:val="nil"/>
              <w:left w:val="single" w:sz="12" w:space="0" w:color="4F81BD" w:themeColor="accent1"/>
              <w:bottom w:val="nil"/>
            </w:tcBorders>
          </w:tcPr>
          <w:p w:rsidR="00B70E5C" w:rsidRPr="00B031C2" w:rsidRDefault="00B70E5C" w:rsidP="00D91486">
            <w:pPr>
              <w:pStyle w:val="NoSpacing"/>
              <w:jc w:val="center"/>
              <w:cnfStyle w:val="000000100000" w:firstRow="0" w:lastRow="0" w:firstColumn="0" w:lastColumn="0" w:oddVBand="0" w:evenVBand="0" w:oddHBand="1" w:evenHBand="0" w:firstRowFirstColumn="0" w:firstRowLastColumn="0" w:lastRowFirstColumn="0" w:lastRowLastColumn="0"/>
              <w:rPr>
                <w:b/>
                <w:sz w:val="22"/>
                <w:szCs w:val="22"/>
              </w:rPr>
            </w:pPr>
            <w:r w:rsidRPr="00B031C2">
              <w:rPr>
                <w:b/>
                <w:sz w:val="22"/>
                <w:szCs w:val="22"/>
              </w:rPr>
              <w:t>1,295</w:t>
            </w:r>
          </w:p>
        </w:tc>
        <w:tc>
          <w:tcPr>
            <w:tcW w:w="1080" w:type="dxa"/>
          </w:tcPr>
          <w:p w:rsidR="00B70E5C" w:rsidRPr="00B031C2" w:rsidRDefault="00B70E5C" w:rsidP="00B70E5C">
            <w:pPr>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100%</w:t>
            </w:r>
          </w:p>
        </w:tc>
      </w:tr>
      <w:tr w:rsidR="00B70E5C" w:rsidRPr="00B031C2" w:rsidTr="005D5D9A">
        <w:tc>
          <w:tcPr>
            <w:cnfStyle w:val="001000000000" w:firstRow="0" w:lastRow="0" w:firstColumn="1" w:lastColumn="0" w:oddVBand="0" w:evenVBand="0" w:oddHBand="0" w:evenHBand="0" w:firstRowFirstColumn="0" w:firstRowLastColumn="0" w:lastRowFirstColumn="0" w:lastRowLastColumn="0"/>
            <w:tcW w:w="810" w:type="dxa"/>
            <w:tcBorders>
              <w:right w:val="single" w:sz="12" w:space="0" w:color="4F81BD" w:themeColor="accent1"/>
            </w:tcBorders>
          </w:tcPr>
          <w:p w:rsidR="00B70E5C" w:rsidRPr="00B031C2" w:rsidRDefault="00B70E5C" w:rsidP="00621B93">
            <w:pPr>
              <w:pStyle w:val="NoSpacing"/>
              <w:rPr>
                <w:b w:val="0"/>
                <w:sz w:val="22"/>
                <w:szCs w:val="22"/>
              </w:rPr>
            </w:pPr>
            <w:r w:rsidRPr="00B031C2">
              <w:rPr>
                <w:b w:val="0"/>
                <w:sz w:val="22"/>
                <w:szCs w:val="22"/>
              </w:rPr>
              <w:t>2015</w:t>
            </w:r>
          </w:p>
        </w:tc>
        <w:tc>
          <w:tcPr>
            <w:tcW w:w="828" w:type="dxa"/>
            <w:tcBorders>
              <w:top w:val="nil"/>
              <w:left w:val="single" w:sz="12" w:space="0" w:color="4F81BD" w:themeColor="accent1"/>
              <w:bottom w:val="nil"/>
              <w:right w:val="nil"/>
            </w:tcBorders>
          </w:tcPr>
          <w:p w:rsidR="00B70E5C" w:rsidRPr="00B031C2" w:rsidRDefault="00B70E5C" w:rsidP="00022DBC">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149</w:t>
            </w:r>
          </w:p>
        </w:tc>
        <w:tc>
          <w:tcPr>
            <w:tcW w:w="882" w:type="dxa"/>
            <w:tcBorders>
              <w:left w:val="nil"/>
              <w:right w:val="single" w:sz="12" w:space="0" w:color="4F81BD" w:themeColor="accent1"/>
            </w:tcBorders>
          </w:tcPr>
          <w:p w:rsidR="00B70E5C" w:rsidRPr="00B031C2" w:rsidRDefault="00B70E5C" w:rsidP="00D9148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12.0%</w:t>
            </w:r>
          </w:p>
        </w:tc>
        <w:tc>
          <w:tcPr>
            <w:tcW w:w="900" w:type="dxa"/>
            <w:tcBorders>
              <w:top w:val="nil"/>
              <w:left w:val="single" w:sz="12" w:space="0" w:color="4F81BD" w:themeColor="accent1"/>
              <w:bottom w:val="nil"/>
              <w:right w:val="nil"/>
            </w:tcBorders>
          </w:tcPr>
          <w:p w:rsidR="00B70E5C" w:rsidRPr="00B031C2" w:rsidRDefault="00B70E5C" w:rsidP="00D9148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556</w:t>
            </w:r>
          </w:p>
        </w:tc>
        <w:tc>
          <w:tcPr>
            <w:tcW w:w="900" w:type="dxa"/>
            <w:tcBorders>
              <w:left w:val="nil"/>
              <w:right w:val="single" w:sz="12" w:space="0" w:color="4F81BD" w:themeColor="accent1"/>
            </w:tcBorders>
          </w:tcPr>
          <w:p w:rsidR="00B70E5C" w:rsidRPr="00B031C2" w:rsidRDefault="00B70E5C" w:rsidP="00D9148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44.8%</w:t>
            </w:r>
          </w:p>
        </w:tc>
        <w:tc>
          <w:tcPr>
            <w:tcW w:w="810" w:type="dxa"/>
            <w:tcBorders>
              <w:top w:val="nil"/>
              <w:left w:val="single" w:sz="12" w:space="0" w:color="4F81BD" w:themeColor="accent1"/>
              <w:bottom w:val="nil"/>
            </w:tcBorders>
          </w:tcPr>
          <w:p w:rsidR="00B70E5C" w:rsidRPr="00B031C2" w:rsidRDefault="00B70E5C" w:rsidP="00D9148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507</w:t>
            </w:r>
          </w:p>
        </w:tc>
        <w:tc>
          <w:tcPr>
            <w:tcW w:w="900" w:type="dxa"/>
            <w:tcBorders>
              <w:top w:val="nil"/>
              <w:bottom w:val="nil"/>
              <w:right w:val="single" w:sz="12" w:space="0" w:color="4F81BD" w:themeColor="accent1"/>
            </w:tcBorders>
          </w:tcPr>
          <w:p w:rsidR="00B70E5C" w:rsidRPr="00B031C2" w:rsidRDefault="00B70E5C" w:rsidP="00D9148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40.9%</w:t>
            </w:r>
          </w:p>
        </w:tc>
        <w:tc>
          <w:tcPr>
            <w:tcW w:w="810" w:type="dxa"/>
            <w:tcBorders>
              <w:left w:val="single" w:sz="12" w:space="0" w:color="4F81BD" w:themeColor="accent1"/>
            </w:tcBorders>
          </w:tcPr>
          <w:p w:rsidR="00B70E5C" w:rsidRPr="00B031C2" w:rsidRDefault="00B70E5C" w:rsidP="00D9148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28</w:t>
            </w:r>
          </w:p>
        </w:tc>
        <w:tc>
          <w:tcPr>
            <w:tcW w:w="900" w:type="dxa"/>
            <w:tcBorders>
              <w:right w:val="single" w:sz="12" w:space="0" w:color="4F81BD" w:themeColor="accent1"/>
            </w:tcBorders>
          </w:tcPr>
          <w:p w:rsidR="00B70E5C" w:rsidRPr="00B031C2" w:rsidRDefault="00B70E5C" w:rsidP="00D9148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2.3%</w:t>
            </w:r>
          </w:p>
        </w:tc>
        <w:tc>
          <w:tcPr>
            <w:tcW w:w="990" w:type="dxa"/>
            <w:tcBorders>
              <w:top w:val="nil"/>
              <w:left w:val="single" w:sz="12" w:space="0" w:color="4F81BD" w:themeColor="accent1"/>
              <w:bottom w:val="nil"/>
            </w:tcBorders>
          </w:tcPr>
          <w:p w:rsidR="00B70E5C" w:rsidRPr="00B031C2" w:rsidRDefault="00B70E5C" w:rsidP="00D91486">
            <w:pPr>
              <w:pStyle w:val="NoSpacing"/>
              <w:jc w:val="center"/>
              <w:cnfStyle w:val="000000000000" w:firstRow="0" w:lastRow="0" w:firstColumn="0" w:lastColumn="0" w:oddVBand="0" w:evenVBand="0" w:oddHBand="0" w:evenHBand="0" w:firstRowFirstColumn="0" w:firstRowLastColumn="0" w:lastRowFirstColumn="0" w:lastRowLastColumn="0"/>
              <w:rPr>
                <w:b/>
                <w:sz w:val="22"/>
                <w:szCs w:val="22"/>
              </w:rPr>
            </w:pPr>
            <w:r w:rsidRPr="00B031C2">
              <w:rPr>
                <w:b/>
                <w:sz w:val="22"/>
                <w:szCs w:val="22"/>
              </w:rPr>
              <w:t>1,240</w:t>
            </w:r>
          </w:p>
        </w:tc>
        <w:tc>
          <w:tcPr>
            <w:tcW w:w="1080" w:type="dxa"/>
          </w:tcPr>
          <w:p w:rsidR="00B70E5C" w:rsidRPr="00B031C2" w:rsidRDefault="00B70E5C" w:rsidP="00B70E5C">
            <w:pPr>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100%</w:t>
            </w:r>
          </w:p>
        </w:tc>
      </w:tr>
      <w:tr w:rsidR="00B70E5C" w:rsidRPr="00B031C2" w:rsidTr="005D5D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Borders>
              <w:right w:val="single" w:sz="12" w:space="0" w:color="4F81BD" w:themeColor="accent1"/>
            </w:tcBorders>
          </w:tcPr>
          <w:p w:rsidR="00B70E5C" w:rsidRPr="00B031C2" w:rsidRDefault="00B70E5C" w:rsidP="00621B93">
            <w:pPr>
              <w:pStyle w:val="NoSpacing"/>
              <w:rPr>
                <w:b w:val="0"/>
                <w:sz w:val="22"/>
                <w:szCs w:val="22"/>
              </w:rPr>
            </w:pPr>
            <w:r w:rsidRPr="00B031C2">
              <w:rPr>
                <w:b w:val="0"/>
                <w:sz w:val="22"/>
                <w:szCs w:val="22"/>
              </w:rPr>
              <w:t>2016</w:t>
            </w:r>
          </w:p>
        </w:tc>
        <w:tc>
          <w:tcPr>
            <w:tcW w:w="828" w:type="dxa"/>
            <w:tcBorders>
              <w:top w:val="nil"/>
              <w:left w:val="single" w:sz="12" w:space="0" w:color="4F81BD" w:themeColor="accent1"/>
              <w:bottom w:val="nil"/>
            </w:tcBorders>
          </w:tcPr>
          <w:p w:rsidR="00B70E5C" w:rsidRPr="00B031C2" w:rsidRDefault="00B70E5C" w:rsidP="00022DBC">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157</w:t>
            </w:r>
          </w:p>
        </w:tc>
        <w:tc>
          <w:tcPr>
            <w:tcW w:w="882" w:type="dxa"/>
            <w:tcBorders>
              <w:right w:val="single" w:sz="12" w:space="0" w:color="4F81BD" w:themeColor="accent1"/>
            </w:tcBorders>
          </w:tcPr>
          <w:p w:rsidR="00B70E5C" w:rsidRPr="00B031C2" w:rsidRDefault="00B70E5C" w:rsidP="00D91486">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11.6%</w:t>
            </w:r>
          </w:p>
        </w:tc>
        <w:tc>
          <w:tcPr>
            <w:tcW w:w="900" w:type="dxa"/>
            <w:tcBorders>
              <w:top w:val="nil"/>
              <w:left w:val="single" w:sz="12" w:space="0" w:color="4F81BD" w:themeColor="accent1"/>
              <w:bottom w:val="nil"/>
            </w:tcBorders>
          </w:tcPr>
          <w:p w:rsidR="00B70E5C" w:rsidRPr="00B031C2" w:rsidRDefault="00B70E5C" w:rsidP="00D91486">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620</w:t>
            </w:r>
          </w:p>
        </w:tc>
        <w:tc>
          <w:tcPr>
            <w:tcW w:w="900" w:type="dxa"/>
            <w:tcBorders>
              <w:right w:val="single" w:sz="12" w:space="0" w:color="4F81BD" w:themeColor="accent1"/>
            </w:tcBorders>
          </w:tcPr>
          <w:p w:rsidR="00B70E5C" w:rsidRPr="00B031C2" w:rsidRDefault="00B70E5C" w:rsidP="00D91486">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45.8%</w:t>
            </w:r>
          </w:p>
        </w:tc>
        <w:tc>
          <w:tcPr>
            <w:tcW w:w="810" w:type="dxa"/>
            <w:tcBorders>
              <w:top w:val="nil"/>
              <w:left w:val="single" w:sz="12" w:space="0" w:color="4F81BD" w:themeColor="accent1"/>
              <w:bottom w:val="nil"/>
            </w:tcBorders>
          </w:tcPr>
          <w:p w:rsidR="00B70E5C" w:rsidRPr="00B031C2" w:rsidRDefault="00B70E5C" w:rsidP="00D91486">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556</w:t>
            </w:r>
          </w:p>
        </w:tc>
        <w:tc>
          <w:tcPr>
            <w:tcW w:w="900" w:type="dxa"/>
            <w:tcBorders>
              <w:top w:val="nil"/>
              <w:bottom w:val="nil"/>
              <w:right w:val="single" w:sz="12" w:space="0" w:color="4F81BD" w:themeColor="accent1"/>
            </w:tcBorders>
          </w:tcPr>
          <w:p w:rsidR="00B70E5C" w:rsidRPr="00B031C2" w:rsidRDefault="00B70E5C" w:rsidP="00D91486">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41.1%</w:t>
            </w:r>
          </w:p>
        </w:tc>
        <w:tc>
          <w:tcPr>
            <w:tcW w:w="810" w:type="dxa"/>
            <w:tcBorders>
              <w:left w:val="single" w:sz="12" w:space="0" w:color="4F81BD" w:themeColor="accent1"/>
            </w:tcBorders>
          </w:tcPr>
          <w:p w:rsidR="00B70E5C" w:rsidRPr="00B031C2" w:rsidRDefault="00B70E5C" w:rsidP="00D91486">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21</w:t>
            </w:r>
          </w:p>
        </w:tc>
        <w:tc>
          <w:tcPr>
            <w:tcW w:w="900" w:type="dxa"/>
            <w:tcBorders>
              <w:right w:val="single" w:sz="12" w:space="0" w:color="4F81BD" w:themeColor="accent1"/>
            </w:tcBorders>
          </w:tcPr>
          <w:p w:rsidR="00B70E5C" w:rsidRPr="00B031C2" w:rsidRDefault="00B70E5C" w:rsidP="00D91486">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1.6%</w:t>
            </w:r>
          </w:p>
        </w:tc>
        <w:tc>
          <w:tcPr>
            <w:tcW w:w="990" w:type="dxa"/>
            <w:tcBorders>
              <w:top w:val="nil"/>
              <w:left w:val="single" w:sz="12" w:space="0" w:color="4F81BD" w:themeColor="accent1"/>
              <w:bottom w:val="nil"/>
            </w:tcBorders>
          </w:tcPr>
          <w:p w:rsidR="00B70E5C" w:rsidRPr="00B031C2" w:rsidRDefault="00B70E5C" w:rsidP="00D91486">
            <w:pPr>
              <w:pStyle w:val="NoSpacing"/>
              <w:jc w:val="center"/>
              <w:cnfStyle w:val="000000100000" w:firstRow="0" w:lastRow="0" w:firstColumn="0" w:lastColumn="0" w:oddVBand="0" w:evenVBand="0" w:oddHBand="1" w:evenHBand="0" w:firstRowFirstColumn="0" w:firstRowLastColumn="0" w:lastRowFirstColumn="0" w:lastRowLastColumn="0"/>
              <w:rPr>
                <w:b/>
                <w:sz w:val="22"/>
                <w:szCs w:val="22"/>
              </w:rPr>
            </w:pPr>
            <w:r w:rsidRPr="00B031C2">
              <w:rPr>
                <w:b/>
                <w:sz w:val="22"/>
                <w:szCs w:val="22"/>
              </w:rPr>
              <w:t>1,354</w:t>
            </w:r>
          </w:p>
        </w:tc>
        <w:tc>
          <w:tcPr>
            <w:tcW w:w="1080" w:type="dxa"/>
          </w:tcPr>
          <w:p w:rsidR="00B70E5C" w:rsidRPr="00B031C2" w:rsidRDefault="00B70E5C" w:rsidP="00B70E5C">
            <w:pPr>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100%</w:t>
            </w:r>
          </w:p>
        </w:tc>
      </w:tr>
      <w:tr w:rsidR="002D5354" w:rsidRPr="00B031C2" w:rsidTr="005D5D9A">
        <w:tc>
          <w:tcPr>
            <w:cnfStyle w:val="001000000000" w:firstRow="0" w:lastRow="0" w:firstColumn="1" w:lastColumn="0" w:oddVBand="0" w:evenVBand="0" w:oddHBand="0" w:evenHBand="0" w:firstRowFirstColumn="0" w:firstRowLastColumn="0" w:lastRowFirstColumn="0" w:lastRowLastColumn="0"/>
            <w:tcW w:w="810" w:type="dxa"/>
            <w:tcBorders>
              <w:right w:val="single" w:sz="12" w:space="0" w:color="4F81BD" w:themeColor="accent1"/>
            </w:tcBorders>
          </w:tcPr>
          <w:p w:rsidR="002D5354" w:rsidRPr="00B031C2" w:rsidRDefault="002D5354" w:rsidP="00621B93">
            <w:pPr>
              <w:pStyle w:val="NoSpacing"/>
              <w:rPr>
                <w:b w:val="0"/>
                <w:sz w:val="22"/>
                <w:szCs w:val="22"/>
              </w:rPr>
            </w:pPr>
            <w:r>
              <w:rPr>
                <w:b w:val="0"/>
                <w:sz w:val="22"/>
                <w:szCs w:val="22"/>
              </w:rPr>
              <w:t>2017</w:t>
            </w:r>
          </w:p>
        </w:tc>
        <w:tc>
          <w:tcPr>
            <w:tcW w:w="828" w:type="dxa"/>
            <w:tcBorders>
              <w:top w:val="nil"/>
              <w:left w:val="single" w:sz="12" w:space="0" w:color="4F81BD" w:themeColor="accent1"/>
              <w:bottom w:val="nil"/>
            </w:tcBorders>
          </w:tcPr>
          <w:p w:rsidR="002D5354" w:rsidRPr="00B031C2" w:rsidRDefault="008E658A" w:rsidP="00022DBC">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218</w:t>
            </w:r>
          </w:p>
        </w:tc>
        <w:tc>
          <w:tcPr>
            <w:tcW w:w="882" w:type="dxa"/>
            <w:tcBorders>
              <w:right w:val="single" w:sz="12" w:space="0" w:color="4F81BD" w:themeColor="accent1"/>
            </w:tcBorders>
          </w:tcPr>
          <w:p w:rsidR="002D5354" w:rsidRPr="00B031C2" w:rsidRDefault="008E658A" w:rsidP="00D9148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14.6%</w:t>
            </w:r>
          </w:p>
        </w:tc>
        <w:tc>
          <w:tcPr>
            <w:tcW w:w="900" w:type="dxa"/>
            <w:tcBorders>
              <w:top w:val="nil"/>
              <w:left w:val="single" w:sz="12" w:space="0" w:color="4F81BD" w:themeColor="accent1"/>
              <w:bottom w:val="nil"/>
            </w:tcBorders>
          </w:tcPr>
          <w:p w:rsidR="002D5354" w:rsidRPr="00B031C2" w:rsidRDefault="008E658A" w:rsidP="00D9148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675</w:t>
            </w:r>
          </w:p>
        </w:tc>
        <w:tc>
          <w:tcPr>
            <w:tcW w:w="900" w:type="dxa"/>
            <w:tcBorders>
              <w:right w:val="single" w:sz="12" w:space="0" w:color="4F81BD" w:themeColor="accent1"/>
            </w:tcBorders>
          </w:tcPr>
          <w:p w:rsidR="002D5354" w:rsidRPr="00B031C2" w:rsidRDefault="008E658A" w:rsidP="00D9148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45.2%</w:t>
            </w:r>
          </w:p>
        </w:tc>
        <w:tc>
          <w:tcPr>
            <w:tcW w:w="810" w:type="dxa"/>
            <w:tcBorders>
              <w:top w:val="nil"/>
              <w:left w:val="single" w:sz="12" w:space="0" w:color="4F81BD" w:themeColor="accent1"/>
              <w:bottom w:val="nil"/>
            </w:tcBorders>
          </w:tcPr>
          <w:p w:rsidR="002D5354" w:rsidRPr="00B031C2" w:rsidRDefault="008E658A" w:rsidP="00295792">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573</w:t>
            </w:r>
          </w:p>
        </w:tc>
        <w:tc>
          <w:tcPr>
            <w:tcW w:w="900" w:type="dxa"/>
            <w:tcBorders>
              <w:top w:val="nil"/>
              <w:bottom w:val="nil"/>
              <w:right w:val="single" w:sz="12" w:space="0" w:color="4F81BD" w:themeColor="accent1"/>
            </w:tcBorders>
          </w:tcPr>
          <w:p w:rsidR="002D5354" w:rsidRPr="00B031C2" w:rsidRDefault="008E658A" w:rsidP="00D9148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38.3%</w:t>
            </w:r>
          </w:p>
        </w:tc>
        <w:tc>
          <w:tcPr>
            <w:tcW w:w="810" w:type="dxa"/>
            <w:tcBorders>
              <w:left w:val="single" w:sz="12" w:space="0" w:color="4F81BD" w:themeColor="accent1"/>
            </w:tcBorders>
          </w:tcPr>
          <w:p w:rsidR="002D5354" w:rsidRPr="00B031C2" w:rsidRDefault="008E658A" w:rsidP="00D9148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29</w:t>
            </w:r>
          </w:p>
        </w:tc>
        <w:tc>
          <w:tcPr>
            <w:tcW w:w="900" w:type="dxa"/>
            <w:tcBorders>
              <w:right w:val="single" w:sz="12" w:space="0" w:color="4F81BD" w:themeColor="accent1"/>
            </w:tcBorders>
          </w:tcPr>
          <w:p w:rsidR="002D5354" w:rsidRPr="00B031C2" w:rsidRDefault="008E658A" w:rsidP="00D9148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1.9%</w:t>
            </w:r>
          </w:p>
        </w:tc>
        <w:tc>
          <w:tcPr>
            <w:tcW w:w="990" w:type="dxa"/>
            <w:tcBorders>
              <w:top w:val="nil"/>
              <w:left w:val="single" w:sz="12" w:space="0" w:color="4F81BD" w:themeColor="accent1"/>
              <w:bottom w:val="nil"/>
            </w:tcBorders>
          </w:tcPr>
          <w:p w:rsidR="002D5354" w:rsidRPr="00B031C2" w:rsidRDefault="008E658A" w:rsidP="00D91486">
            <w:pPr>
              <w:pStyle w:val="NoSpacing"/>
              <w:jc w:val="center"/>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1,495</w:t>
            </w:r>
          </w:p>
        </w:tc>
        <w:tc>
          <w:tcPr>
            <w:tcW w:w="1080" w:type="dxa"/>
          </w:tcPr>
          <w:p w:rsidR="002D5354" w:rsidRPr="00B031C2" w:rsidRDefault="008E658A" w:rsidP="00B70E5C">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w:t>
            </w:r>
          </w:p>
        </w:tc>
      </w:tr>
      <w:tr w:rsidR="005D5D9A" w:rsidRPr="00B031C2" w:rsidTr="005D5D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Borders>
              <w:right w:val="single" w:sz="12" w:space="0" w:color="4F81BD" w:themeColor="accent1"/>
            </w:tcBorders>
          </w:tcPr>
          <w:p w:rsidR="00F23E8E" w:rsidRPr="00B031C2" w:rsidRDefault="00F23E8E" w:rsidP="00621B93">
            <w:pPr>
              <w:pStyle w:val="NoSpacing"/>
              <w:rPr>
                <w:sz w:val="22"/>
                <w:szCs w:val="22"/>
              </w:rPr>
            </w:pPr>
            <w:r w:rsidRPr="00B031C2">
              <w:rPr>
                <w:sz w:val="22"/>
                <w:szCs w:val="22"/>
              </w:rPr>
              <w:t>Total</w:t>
            </w:r>
          </w:p>
        </w:tc>
        <w:tc>
          <w:tcPr>
            <w:tcW w:w="828" w:type="dxa"/>
            <w:tcBorders>
              <w:top w:val="nil"/>
              <w:left w:val="single" w:sz="12" w:space="0" w:color="4F81BD" w:themeColor="accent1"/>
              <w:bottom w:val="single" w:sz="8" w:space="0" w:color="4F81BD" w:themeColor="accent1"/>
            </w:tcBorders>
          </w:tcPr>
          <w:p w:rsidR="00F23E8E" w:rsidRPr="00B031C2" w:rsidRDefault="008E658A" w:rsidP="00022DBC">
            <w:pPr>
              <w:pStyle w:val="NoSpacing"/>
              <w:jc w:val="center"/>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1,400</w:t>
            </w:r>
          </w:p>
        </w:tc>
        <w:tc>
          <w:tcPr>
            <w:tcW w:w="882" w:type="dxa"/>
            <w:tcBorders>
              <w:right w:val="single" w:sz="12" w:space="0" w:color="4F81BD" w:themeColor="accent1"/>
            </w:tcBorders>
          </w:tcPr>
          <w:p w:rsidR="00F23E8E" w:rsidRPr="00B031C2" w:rsidRDefault="008E658A" w:rsidP="00D91486">
            <w:pPr>
              <w:pStyle w:val="NoSpacing"/>
              <w:jc w:val="center"/>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15.5%</w:t>
            </w:r>
          </w:p>
        </w:tc>
        <w:tc>
          <w:tcPr>
            <w:tcW w:w="900" w:type="dxa"/>
            <w:tcBorders>
              <w:top w:val="nil"/>
              <w:left w:val="single" w:sz="12" w:space="0" w:color="4F81BD" w:themeColor="accent1"/>
              <w:bottom w:val="single" w:sz="8" w:space="0" w:color="4F81BD" w:themeColor="accent1"/>
            </w:tcBorders>
          </w:tcPr>
          <w:p w:rsidR="00F23E8E" w:rsidRPr="00B031C2" w:rsidRDefault="008E658A" w:rsidP="00D91486">
            <w:pPr>
              <w:pStyle w:val="NoSpacing"/>
              <w:jc w:val="center"/>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4,087</w:t>
            </w:r>
          </w:p>
        </w:tc>
        <w:tc>
          <w:tcPr>
            <w:tcW w:w="900" w:type="dxa"/>
            <w:tcBorders>
              <w:right w:val="single" w:sz="12" w:space="0" w:color="4F81BD" w:themeColor="accent1"/>
            </w:tcBorders>
          </w:tcPr>
          <w:p w:rsidR="00F23E8E" w:rsidRPr="00B031C2" w:rsidRDefault="008E658A" w:rsidP="00D91486">
            <w:pPr>
              <w:pStyle w:val="NoSpacing"/>
              <w:jc w:val="center"/>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45.2%</w:t>
            </w:r>
          </w:p>
        </w:tc>
        <w:tc>
          <w:tcPr>
            <w:tcW w:w="810" w:type="dxa"/>
            <w:tcBorders>
              <w:top w:val="nil"/>
              <w:left w:val="single" w:sz="12" w:space="0" w:color="4F81BD" w:themeColor="accent1"/>
              <w:bottom w:val="single" w:sz="8" w:space="0" w:color="4F81BD" w:themeColor="accent1"/>
            </w:tcBorders>
          </w:tcPr>
          <w:p w:rsidR="00F23E8E" w:rsidRPr="00B031C2" w:rsidRDefault="008E658A" w:rsidP="00D91486">
            <w:pPr>
              <w:pStyle w:val="NoSpacing"/>
              <w:jc w:val="center"/>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3,375</w:t>
            </w:r>
          </w:p>
        </w:tc>
        <w:tc>
          <w:tcPr>
            <w:tcW w:w="900" w:type="dxa"/>
            <w:tcBorders>
              <w:top w:val="nil"/>
              <w:bottom w:val="single" w:sz="8" w:space="0" w:color="4F81BD" w:themeColor="accent1"/>
              <w:right w:val="single" w:sz="12" w:space="0" w:color="4F81BD" w:themeColor="accent1"/>
            </w:tcBorders>
          </w:tcPr>
          <w:p w:rsidR="00F23E8E" w:rsidRPr="00B031C2" w:rsidRDefault="008E658A" w:rsidP="00D91486">
            <w:pPr>
              <w:pStyle w:val="NoSpacing"/>
              <w:jc w:val="center"/>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37.4%</w:t>
            </w:r>
          </w:p>
        </w:tc>
        <w:tc>
          <w:tcPr>
            <w:tcW w:w="810" w:type="dxa"/>
            <w:tcBorders>
              <w:left w:val="single" w:sz="12" w:space="0" w:color="4F81BD" w:themeColor="accent1"/>
            </w:tcBorders>
          </w:tcPr>
          <w:p w:rsidR="00F23E8E" w:rsidRPr="00B031C2" w:rsidRDefault="00F23E8E" w:rsidP="008E658A">
            <w:pPr>
              <w:pStyle w:val="NoSpacing"/>
              <w:jc w:val="center"/>
              <w:cnfStyle w:val="000000100000" w:firstRow="0" w:lastRow="0" w:firstColumn="0" w:lastColumn="0" w:oddVBand="0" w:evenVBand="0" w:oddHBand="1" w:evenHBand="0" w:firstRowFirstColumn="0" w:firstRowLastColumn="0" w:lastRowFirstColumn="0" w:lastRowLastColumn="0"/>
              <w:rPr>
                <w:b/>
                <w:sz w:val="22"/>
                <w:szCs w:val="22"/>
              </w:rPr>
            </w:pPr>
            <w:r w:rsidRPr="00B031C2">
              <w:rPr>
                <w:b/>
                <w:sz w:val="22"/>
                <w:szCs w:val="22"/>
              </w:rPr>
              <w:t>1</w:t>
            </w:r>
            <w:r w:rsidR="008E658A">
              <w:rPr>
                <w:b/>
                <w:sz w:val="22"/>
                <w:szCs w:val="22"/>
              </w:rPr>
              <w:t>66</w:t>
            </w:r>
          </w:p>
        </w:tc>
        <w:tc>
          <w:tcPr>
            <w:tcW w:w="900" w:type="dxa"/>
            <w:tcBorders>
              <w:right w:val="single" w:sz="12" w:space="0" w:color="4F81BD" w:themeColor="accent1"/>
            </w:tcBorders>
          </w:tcPr>
          <w:p w:rsidR="00F23E8E" w:rsidRPr="00B031C2" w:rsidRDefault="008E658A" w:rsidP="00D91486">
            <w:pPr>
              <w:pStyle w:val="NoSpacing"/>
              <w:jc w:val="center"/>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1.8%</w:t>
            </w:r>
          </w:p>
        </w:tc>
        <w:tc>
          <w:tcPr>
            <w:tcW w:w="990" w:type="dxa"/>
            <w:tcBorders>
              <w:top w:val="nil"/>
              <w:left w:val="single" w:sz="12" w:space="0" w:color="4F81BD" w:themeColor="accent1"/>
              <w:bottom w:val="single" w:sz="8" w:space="0" w:color="4F81BD" w:themeColor="accent1"/>
            </w:tcBorders>
          </w:tcPr>
          <w:p w:rsidR="00F23E8E" w:rsidRPr="00B031C2" w:rsidRDefault="008E658A" w:rsidP="00D91486">
            <w:pPr>
              <w:pStyle w:val="NoSpacing"/>
              <w:jc w:val="center"/>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9,028</w:t>
            </w:r>
          </w:p>
        </w:tc>
        <w:tc>
          <w:tcPr>
            <w:tcW w:w="1080" w:type="dxa"/>
          </w:tcPr>
          <w:p w:rsidR="00F23E8E" w:rsidRPr="00B031C2" w:rsidRDefault="008E658A" w:rsidP="00D91486">
            <w:pPr>
              <w:pStyle w:val="NoSpacing"/>
              <w:jc w:val="center"/>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100%</w:t>
            </w:r>
          </w:p>
        </w:tc>
      </w:tr>
    </w:tbl>
    <w:p w:rsidR="00621B93" w:rsidRPr="000E1432" w:rsidRDefault="00E90263" w:rsidP="005B0036">
      <w:pPr>
        <w:pStyle w:val="NoSpacing"/>
        <w:rPr>
          <w:sz w:val="20"/>
          <w:szCs w:val="20"/>
        </w:rPr>
      </w:pPr>
      <w:r w:rsidRPr="000E1432">
        <w:rPr>
          <w:sz w:val="20"/>
          <w:szCs w:val="20"/>
        </w:rPr>
        <w:t xml:space="preserve">Source: </w:t>
      </w:r>
      <w:r w:rsidR="00C870CB">
        <w:rPr>
          <w:sz w:val="20"/>
          <w:szCs w:val="20"/>
        </w:rPr>
        <w:t>RPAD</w:t>
      </w:r>
      <w:r w:rsidRPr="000E1432">
        <w:rPr>
          <w:sz w:val="20"/>
          <w:szCs w:val="20"/>
        </w:rPr>
        <w:t xml:space="preserve">, </w:t>
      </w:r>
      <w:r w:rsidR="00C870CB">
        <w:rPr>
          <w:sz w:val="20"/>
          <w:szCs w:val="20"/>
        </w:rPr>
        <w:t>EOPSS</w:t>
      </w:r>
      <w:r w:rsidRPr="000E1432">
        <w:rPr>
          <w:sz w:val="20"/>
          <w:szCs w:val="20"/>
        </w:rPr>
        <w:t xml:space="preserve">, PSCR database. Data obtained </w:t>
      </w:r>
      <w:r w:rsidR="000D6F16" w:rsidRPr="000E1432">
        <w:rPr>
          <w:sz w:val="20"/>
          <w:szCs w:val="20"/>
        </w:rPr>
        <w:t>June 30, 2017.</w:t>
      </w:r>
    </w:p>
    <w:p w:rsidR="000E1432" w:rsidRPr="000E1432" w:rsidRDefault="000E1432" w:rsidP="005B0036">
      <w:pPr>
        <w:pStyle w:val="NoSpacing"/>
        <w:rPr>
          <w:sz w:val="20"/>
          <w:szCs w:val="20"/>
        </w:rPr>
      </w:pPr>
      <w:r w:rsidRPr="000E1432">
        <w:rPr>
          <w:sz w:val="20"/>
          <w:szCs w:val="20"/>
        </w:rPr>
        <w:t>Note: Cases where the victim’s age was unknown (N=137) were excluded.</w:t>
      </w:r>
    </w:p>
    <w:p w:rsidR="00621B93" w:rsidRDefault="00621B93" w:rsidP="00621B93">
      <w:pPr>
        <w:pStyle w:val="NoSpacing"/>
      </w:pPr>
    </w:p>
    <w:p w:rsidR="00C23ECE" w:rsidRDefault="00C23ECE" w:rsidP="00F37634">
      <w:pPr>
        <w:pStyle w:val="NoSpacing"/>
        <w:ind w:right="-270"/>
      </w:pPr>
      <w:r>
        <w:t xml:space="preserve">Unfortunately, rape and sexual assault remain highly underreported crimes.  As noted, the PSCR provides an indication as to whether the victim reported the sexual assault to law enforcement prior to the exam.  It is possible that some victims reported after the exam date.  </w:t>
      </w:r>
      <w:r w:rsidR="00C64469">
        <w:t>Table 6 shows the number and percent of individuals who reported the crime to law enforcement.</w:t>
      </w:r>
      <w:r w:rsidR="00A3094C">
        <w:t xml:space="preserve">  Over the six year trend analysis, between 6</w:t>
      </w:r>
      <w:r w:rsidR="0031456A">
        <w:t>0</w:t>
      </w:r>
      <w:r w:rsidR="00A3094C">
        <w:t>.</w:t>
      </w:r>
      <w:r w:rsidR="0031456A">
        <w:t>6</w:t>
      </w:r>
      <w:r w:rsidR="00A3094C">
        <w:t>% and 70.2% of victims reported their sexual assault to the police.  The most recent year of data (201</w:t>
      </w:r>
      <w:r w:rsidR="0031456A">
        <w:t>7</w:t>
      </w:r>
      <w:r w:rsidR="00A3094C">
        <w:t xml:space="preserve">), had the lowest percentage of reporting sexual assaults to the police.  </w:t>
      </w:r>
    </w:p>
    <w:p w:rsidR="00621B93" w:rsidRPr="00E90263" w:rsidRDefault="00621B93" w:rsidP="00621B93">
      <w:pPr>
        <w:pStyle w:val="NoSpacing"/>
      </w:pPr>
    </w:p>
    <w:tbl>
      <w:tblPr>
        <w:tblStyle w:val="LightShading-Accent1"/>
        <w:tblW w:w="9738" w:type="dxa"/>
        <w:tblLayout w:type="fixed"/>
        <w:tblLook w:val="04A0" w:firstRow="1" w:lastRow="0" w:firstColumn="1" w:lastColumn="0" w:noHBand="0" w:noVBand="1"/>
      </w:tblPr>
      <w:tblGrid>
        <w:gridCol w:w="828"/>
        <w:gridCol w:w="1350"/>
        <w:gridCol w:w="900"/>
        <w:gridCol w:w="1350"/>
        <w:gridCol w:w="990"/>
        <w:gridCol w:w="1170"/>
        <w:gridCol w:w="990"/>
        <w:gridCol w:w="1170"/>
        <w:gridCol w:w="990"/>
      </w:tblGrid>
      <w:tr w:rsidR="00040E47" w:rsidRPr="00B031C2" w:rsidTr="00A01C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8" w:type="dxa"/>
            <w:gridSpan w:val="9"/>
          </w:tcPr>
          <w:p w:rsidR="00040E47" w:rsidRPr="00B031C2" w:rsidRDefault="00040E47" w:rsidP="005527C2">
            <w:pPr>
              <w:pStyle w:val="NoSpacing"/>
              <w:jc w:val="center"/>
              <w:rPr>
                <w:smallCaps/>
                <w:sz w:val="22"/>
                <w:szCs w:val="22"/>
              </w:rPr>
            </w:pPr>
            <w:r w:rsidRPr="00B031C2">
              <w:rPr>
                <w:smallCaps/>
                <w:sz w:val="22"/>
                <w:szCs w:val="22"/>
              </w:rPr>
              <w:t xml:space="preserve">Table 6. Number of Sexual Assault Exams Conducted </w:t>
            </w:r>
            <w:r w:rsidR="005527C2" w:rsidRPr="00B031C2">
              <w:rPr>
                <w:smallCaps/>
                <w:sz w:val="22"/>
                <w:szCs w:val="22"/>
              </w:rPr>
              <w:t xml:space="preserve">with </w:t>
            </w:r>
            <w:r w:rsidRPr="00B031C2">
              <w:rPr>
                <w:smallCaps/>
                <w:sz w:val="22"/>
                <w:szCs w:val="22"/>
              </w:rPr>
              <w:t>Report</w:t>
            </w:r>
            <w:r w:rsidR="005527C2" w:rsidRPr="00B031C2">
              <w:rPr>
                <w:smallCaps/>
                <w:sz w:val="22"/>
                <w:szCs w:val="22"/>
              </w:rPr>
              <w:t>ing</w:t>
            </w:r>
            <w:r w:rsidRPr="00B031C2">
              <w:rPr>
                <w:smallCaps/>
                <w:sz w:val="22"/>
                <w:szCs w:val="22"/>
              </w:rPr>
              <w:t xml:space="preserve"> to Police</w:t>
            </w:r>
          </w:p>
        </w:tc>
      </w:tr>
      <w:tr w:rsidR="005527C2" w:rsidRPr="00B031C2" w:rsidTr="00470034">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828" w:type="dxa"/>
            <w:tcBorders>
              <w:right w:val="single" w:sz="12" w:space="0" w:color="4F81BD" w:themeColor="accent1"/>
            </w:tcBorders>
            <w:vAlign w:val="center"/>
          </w:tcPr>
          <w:p w:rsidR="00040E47" w:rsidRPr="00B031C2" w:rsidRDefault="00040E47" w:rsidP="00A01C22">
            <w:pPr>
              <w:pStyle w:val="NoSpacing"/>
              <w:jc w:val="center"/>
              <w:rPr>
                <w:smallCaps/>
                <w:sz w:val="22"/>
                <w:szCs w:val="22"/>
              </w:rPr>
            </w:pPr>
            <w:r w:rsidRPr="00B031C2">
              <w:rPr>
                <w:smallCaps/>
                <w:sz w:val="22"/>
                <w:szCs w:val="22"/>
              </w:rPr>
              <w:t>Year</w:t>
            </w:r>
          </w:p>
        </w:tc>
        <w:tc>
          <w:tcPr>
            <w:tcW w:w="1350" w:type="dxa"/>
            <w:tcBorders>
              <w:top w:val="nil"/>
              <w:left w:val="single" w:sz="12" w:space="0" w:color="4F81BD" w:themeColor="accent1"/>
              <w:bottom w:val="nil"/>
            </w:tcBorders>
            <w:vAlign w:val="center"/>
          </w:tcPr>
          <w:p w:rsidR="00040E47" w:rsidRPr="00B031C2" w:rsidRDefault="00040E47" w:rsidP="00A01C22">
            <w:pPr>
              <w:pStyle w:val="NoSpacing"/>
              <w:jc w:val="center"/>
              <w:cnfStyle w:val="000000100000" w:firstRow="0" w:lastRow="0" w:firstColumn="0" w:lastColumn="0" w:oddVBand="0" w:evenVBand="0" w:oddHBand="1" w:evenHBand="0" w:firstRowFirstColumn="0" w:firstRowLastColumn="0" w:lastRowFirstColumn="0" w:lastRowLastColumn="0"/>
              <w:rPr>
                <w:b/>
                <w:smallCaps/>
                <w:sz w:val="22"/>
                <w:szCs w:val="22"/>
              </w:rPr>
            </w:pPr>
            <w:r w:rsidRPr="00B031C2">
              <w:rPr>
                <w:b/>
                <w:smallCaps/>
                <w:sz w:val="22"/>
                <w:szCs w:val="22"/>
              </w:rPr>
              <w:t>Not Reported</w:t>
            </w:r>
          </w:p>
        </w:tc>
        <w:tc>
          <w:tcPr>
            <w:tcW w:w="900" w:type="dxa"/>
            <w:tcBorders>
              <w:top w:val="nil"/>
              <w:bottom w:val="nil"/>
              <w:right w:val="single" w:sz="12" w:space="0" w:color="4F81BD" w:themeColor="accent1"/>
            </w:tcBorders>
            <w:vAlign w:val="center"/>
          </w:tcPr>
          <w:p w:rsidR="00040E47" w:rsidRPr="00B031C2" w:rsidRDefault="00040E47" w:rsidP="00A01C22">
            <w:pPr>
              <w:pStyle w:val="NoSpacing"/>
              <w:jc w:val="center"/>
              <w:cnfStyle w:val="000000100000" w:firstRow="0" w:lastRow="0" w:firstColumn="0" w:lastColumn="0" w:oddVBand="0" w:evenVBand="0" w:oddHBand="1" w:evenHBand="0" w:firstRowFirstColumn="0" w:firstRowLastColumn="0" w:lastRowFirstColumn="0" w:lastRowLastColumn="0"/>
              <w:rPr>
                <w:b/>
                <w:smallCaps/>
                <w:sz w:val="22"/>
                <w:szCs w:val="22"/>
              </w:rPr>
            </w:pPr>
            <w:r w:rsidRPr="00B031C2">
              <w:rPr>
                <w:b/>
                <w:smallCaps/>
                <w:sz w:val="22"/>
                <w:szCs w:val="22"/>
              </w:rPr>
              <w:t>%</w:t>
            </w:r>
          </w:p>
        </w:tc>
        <w:tc>
          <w:tcPr>
            <w:tcW w:w="1350" w:type="dxa"/>
            <w:tcBorders>
              <w:left w:val="single" w:sz="12" w:space="0" w:color="4F81BD" w:themeColor="accent1"/>
            </w:tcBorders>
            <w:vAlign w:val="center"/>
          </w:tcPr>
          <w:p w:rsidR="00040E47" w:rsidRPr="00B031C2" w:rsidRDefault="00040E47" w:rsidP="00A01C22">
            <w:pPr>
              <w:pStyle w:val="NoSpacing"/>
              <w:jc w:val="center"/>
              <w:cnfStyle w:val="000000100000" w:firstRow="0" w:lastRow="0" w:firstColumn="0" w:lastColumn="0" w:oddVBand="0" w:evenVBand="0" w:oddHBand="1" w:evenHBand="0" w:firstRowFirstColumn="0" w:firstRowLastColumn="0" w:lastRowFirstColumn="0" w:lastRowLastColumn="0"/>
              <w:rPr>
                <w:b/>
                <w:smallCaps/>
                <w:sz w:val="22"/>
                <w:szCs w:val="22"/>
              </w:rPr>
            </w:pPr>
            <w:r w:rsidRPr="00B031C2">
              <w:rPr>
                <w:b/>
                <w:smallCaps/>
                <w:sz w:val="22"/>
                <w:szCs w:val="22"/>
              </w:rPr>
              <w:t>Reported</w:t>
            </w:r>
          </w:p>
        </w:tc>
        <w:tc>
          <w:tcPr>
            <w:tcW w:w="990" w:type="dxa"/>
            <w:tcBorders>
              <w:right w:val="single" w:sz="12" w:space="0" w:color="4F81BD" w:themeColor="accent1"/>
            </w:tcBorders>
            <w:vAlign w:val="center"/>
          </w:tcPr>
          <w:p w:rsidR="00040E47" w:rsidRPr="00B031C2" w:rsidRDefault="00040E47" w:rsidP="00A01C22">
            <w:pPr>
              <w:pStyle w:val="NoSpacing"/>
              <w:jc w:val="center"/>
              <w:cnfStyle w:val="000000100000" w:firstRow="0" w:lastRow="0" w:firstColumn="0" w:lastColumn="0" w:oddVBand="0" w:evenVBand="0" w:oddHBand="1" w:evenHBand="0" w:firstRowFirstColumn="0" w:firstRowLastColumn="0" w:lastRowFirstColumn="0" w:lastRowLastColumn="0"/>
              <w:rPr>
                <w:b/>
                <w:smallCaps/>
                <w:sz w:val="22"/>
                <w:szCs w:val="22"/>
              </w:rPr>
            </w:pPr>
            <w:r w:rsidRPr="00B031C2">
              <w:rPr>
                <w:b/>
                <w:smallCaps/>
                <w:sz w:val="22"/>
                <w:szCs w:val="22"/>
              </w:rPr>
              <w:t>%</w:t>
            </w:r>
          </w:p>
        </w:tc>
        <w:tc>
          <w:tcPr>
            <w:tcW w:w="1170" w:type="dxa"/>
            <w:tcBorders>
              <w:top w:val="nil"/>
              <w:left w:val="single" w:sz="12" w:space="0" w:color="4F81BD" w:themeColor="accent1"/>
              <w:bottom w:val="nil"/>
            </w:tcBorders>
            <w:vAlign w:val="center"/>
          </w:tcPr>
          <w:p w:rsidR="00040E47" w:rsidRPr="00B031C2" w:rsidRDefault="00040E47" w:rsidP="00A01C22">
            <w:pPr>
              <w:pStyle w:val="NoSpacing"/>
              <w:jc w:val="center"/>
              <w:cnfStyle w:val="000000100000" w:firstRow="0" w:lastRow="0" w:firstColumn="0" w:lastColumn="0" w:oddVBand="0" w:evenVBand="0" w:oddHBand="1" w:evenHBand="0" w:firstRowFirstColumn="0" w:firstRowLastColumn="0" w:lastRowFirstColumn="0" w:lastRowLastColumn="0"/>
              <w:rPr>
                <w:b/>
                <w:smallCaps/>
                <w:sz w:val="22"/>
                <w:szCs w:val="22"/>
              </w:rPr>
            </w:pPr>
            <w:r w:rsidRPr="00B031C2">
              <w:rPr>
                <w:b/>
                <w:smallCaps/>
                <w:sz w:val="22"/>
                <w:szCs w:val="22"/>
              </w:rPr>
              <w:t>Missing</w:t>
            </w:r>
          </w:p>
        </w:tc>
        <w:tc>
          <w:tcPr>
            <w:tcW w:w="990" w:type="dxa"/>
            <w:tcBorders>
              <w:top w:val="nil"/>
              <w:bottom w:val="nil"/>
              <w:right w:val="single" w:sz="12" w:space="0" w:color="4F81BD" w:themeColor="accent1"/>
            </w:tcBorders>
            <w:vAlign w:val="center"/>
          </w:tcPr>
          <w:p w:rsidR="00040E47" w:rsidRPr="00B031C2" w:rsidRDefault="00040E47" w:rsidP="00A01C22">
            <w:pPr>
              <w:pStyle w:val="NoSpacing"/>
              <w:jc w:val="center"/>
              <w:cnfStyle w:val="000000100000" w:firstRow="0" w:lastRow="0" w:firstColumn="0" w:lastColumn="0" w:oddVBand="0" w:evenVBand="0" w:oddHBand="1" w:evenHBand="0" w:firstRowFirstColumn="0" w:firstRowLastColumn="0" w:lastRowFirstColumn="0" w:lastRowLastColumn="0"/>
              <w:rPr>
                <w:b/>
                <w:smallCaps/>
                <w:sz w:val="22"/>
                <w:szCs w:val="22"/>
              </w:rPr>
            </w:pPr>
            <w:r w:rsidRPr="00B031C2">
              <w:rPr>
                <w:b/>
                <w:smallCaps/>
                <w:sz w:val="22"/>
                <w:szCs w:val="22"/>
              </w:rPr>
              <w:t>%</w:t>
            </w:r>
          </w:p>
        </w:tc>
        <w:tc>
          <w:tcPr>
            <w:tcW w:w="1170" w:type="dxa"/>
            <w:tcBorders>
              <w:left w:val="single" w:sz="12" w:space="0" w:color="4F81BD" w:themeColor="accent1"/>
            </w:tcBorders>
            <w:vAlign w:val="center"/>
          </w:tcPr>
          <w:p w:rsidR="00040E47" w:rsidRPr="00B031C2" w:rsidRDefault="00040E47" w:rsidP="00A01C22">
            <w:pPr>
              <w:pStyle w:val="NoSpacing"/>
              <w:jc w:val="center"/>
              <w:cnfStyle w:val="000000100000" w:firstRow="0" w:lastRow="0" w:firstColumn="0" w:lastColumn="0" w:oddVBand="0" w:evenVBand="0" w:oddHBand="1" w:evenHBand="0" w:firstRowFirstColumn="0" w:firstRowLastColumn="0" w:lastRowFirstColumn="0" w:lastRowLastColumn="0"/>
              <w:rPr>
                <w:b/>
                <w:smallCaps/>
                <w:sz w:val="22"/>
                <w:szCs w:val="22"/>
              </w:rPr>
            </w:pPr>
            <w:r w:rsidRPr="00B031C2">
              <w:rPr>
                <w:b/>
                <w:smallCaps/>
                <w:sz w:val="22"/>
                <w:szCs w:val="22"/>
              </w:rPr>
              <w:t>Total</w:t>
            </w:r>
          </w:p>
        </w:tc>
        <w:tc>
          <w:tcPr>
            <w:tcW w:w="990" w:type="dxa"/>
          </w:tcPr>
          <w:p w:rsidR="00040E47" w:rsidRPr="00B031C2" w:rsidRDefault="00040E47" w:rsidP="005527C2">
            <w:pPr>
              <w:pStyle w:val="NoSpacing"/>
              <w:jc w:val="center"/>
              <w:cnfStyle w:val="000000100000" w:firstRow="0" w:lastRow="0" w:firstColumn="0" w:lastColumn="0" w:oddVBand="0" w:evenVBand="0" w:oddHBand="1" w:evenHBand="0" w:firstRowFirstColumn="0" w:firstRowLastColumn="0" w:lastRowFirstColumn="0" w:lastRowLastColumn="0"/>
              <w:rPr>
                <w:b/>
                <w:smallCaps/>
                <w:sz w:val="22"/>
                <w:szCs w:val="22"/>
              </w:rPr>
            </w:pPr>
            <w:r w:rsidRPr="00B031C2">
              <w:rPr>
                <w:b/>
                <w:smallCaps/>
                <w:sz w:val="22"/>
                <w:szCs w:val="22"/>
              </w:rPr>
              <w:t>Total %</w:t>
            </w:r>
          </w:p>
        </w:tc>
      </w:tr>
      <w:tr w:rsidR="005527C2" w:rsidRPr="00B031C2" w:rsidTr="00470034">
        <w:tc>
          <w:tcPr>
            <w:cnfStyle w:val="001000000000" w:firstRow="0" w:lastRow="0" w:firstColumn="1" w:lastColumn="0" w:oddVBand="0" w:evenVBand="0" w:oddHBand="0" w:evenHBand="0" w:firstRowFirstColumn="0" w:firstRowLastColumn="0" w:lastRowFirstColumn="0" w:lastRowLastColumn="0"/>
            <w:tcW w:w="828" w:type="dxa"/>
            <w:tcBorders>
              <w:right w:val="single" w:sz="12" w:space="0" w:color="4F81BD" w:themeColor="accent1"/>
            </w:tcBorders>
          </w:tcPr>
          <w:p w:rsidR="00040E47" w:rsidRPr="00B031C2" w:rsidRDefault="00040E47" w:rsidP="009F3706">
            <w:pPr>
              <w:pStyle w:val="NoSpacing"/>
              <w:rPr>
                <w:b w:val="0"/>
                <w:sz w:val="22"/>
                <w:szCs w:val="22"/>
              </w:rPr>
            </w:pPr>
            <w:r w:rsidRPr="00B031C2">
              <w:rPr>
                <w:b w:val="0"/>
                <w:sz w:val="22"/>
                <w:szCs w:val="22"/>
              </w:rPr>
              <w:t>2011</w:t>
            </w:r>
          </w:p>
        </w:tc>
        <w:tc>
          <w:tcPr>
            <w:tcW w:w="1350" w:type="dxa"/>
            <w:tcBorders>
              <w:top w:val="nil"/>
              <w:left w:val="single" w:sz="12" w:space="0" w:color="4F81BD" w:themeColor="accent1"/>
              <w:bottom w:val="nil"/>
            </w:tcBorders>
          </w:tcPr>
          <w:p w:rsidR="00040E47" w:rsidRPr="00B031C2" w:rsidRDefault="00D53026" w:rsidP="009F370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328</w:t>
            </w:r>
          </w:p>
        </w:tc>
        <w:tc>
          <w:tcPr>
            <w:tcW w:w="900" w:type="dxa"/>
            <w:tcBorders>
              <w:top w:val="nil"/>
              <w:bottom w:val="nil"/>
              <w:right w:val="single" w:sz="12" w:space="0" w:color="4F81BD" w:themeColor="accent1"/>
            </w:tcBorders>
          </w:tcPr>
          <w:p w:rsidR="00040E47" w:rsidRPr="00B031C2" w:rsidRDefault="00A01C22" w:rsidP="009F370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27.0%</w:t>
            </w:r>
          </w:p>
        </w:tc>
        <w:tc>
          <w:tcPr>
            <w:tcW w:w="1350" w:type="dxa"/>
            <w:tcBorders>
              <w:left w:val="single" w:sz="12" w:space="0" w:color="4F81BD" w:themeColor="accent1"/>
            </w:tcBorders>
          </w:tcPr>
          <w:p w:rsidR="00040E47" w:rsidRPr="00B031C2" w:rsidRDefault="00D53026" w:rsidP="009F370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853</w:t>
            </w:r>
          </w:p>
        </w:tc>
        <w:tc>
          <w:tcPr>
            <w:tcW w:w="990" w:type="dxa"/>
            <w:tcBorders>
              <w:right w:val="single" w:sz="12" w:space="0" w:color="4F81BD" w:themeColor="accent1"/>
            </w:tcBorders>
          </w:tcPr>
          <w:p w:rsidR="00040E47" w:rsidRPr="00B031C2" w:rsidRDefault="00A01C22" w:rsidP="009F370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70.2%</w:t>
            </w:r>
          </w:p>
        </w:tc>
        <w:tc>
          <w:tcPr>
            <w:tcW w:w="1170" w:type="dxa"/>
            <w:tcBorders>
              <w:top w:val="nil"/>
              <w:left w:val="single" w:sz="12" w:space="0" w:color="4F81BD" w:themeColor="accent1"/>
              <w:bottom w:val="nil"/>
            </w:tcBorders>
          </w:tcPr>
          <w:p w:rsidR="00040E47" w:rsidRPr="00B031C2" w:rsidRDefault="00D53026" w:rsidP="009F370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34</w:t>
            </w:r>
          </w:p>
        </w:tc>
        <w:tc>
          <w:tcPr>
            <w:tcW w:w="990" w:type="dxa"/>
            <w:tcBorders>
              <w:top w:val="nil"/>
              <w:bottom w:val="nil"/>
              <w:right w:val="single" w:sz="12" w:space="0" w:color="4F81BD" w:themeColor="accent1"/>
            </w:tcBorders>
          </w:tcPr>
          <w:p w:rsidR="00040E47" w:rsidRPr="00B031C2" w:rsidRDefault="00A01C22" w:rsidP="009F370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2.8%</w:t>
            </w:r>
          </w:p>
        </w:tc>
        <w:tc>
          <w:tcPr>
            <w:tcW w:w="1170" w:type="dxa"/>
            <w:tcBorders>
              <w:left w:val="single" w:sz="12" w:space="0" w:color="4F81BD" w:themeColor="accent1"/>
            </w:tcBorders>
          </w:tcPr>
          <w:p w:rsidR="00040E47" w:rsidRPr="00B031C2" w:rsidRDefault="00040E47" w:rsidP="009F3706">
            <w:pPr>
              <w:pStyle w:val="NoSpacing"/>
              <w:jc w:val="center"/>
              <w:cnfStyle w:val="000000000000" w:firstRow="0" w:lastRow="0" w:firstColumn="0" w:lastColumn="0" w:oddVBand="0" w:evenVBand="0" w:oddHBand="0" w:evenHBand="0" w:firstRowFirstColumn="0" w:firstRowLastColumn="0" w:lastRowFirstColumn="0" w:lastRowLastColumn="0"/>
              <w:rPr>
                <w:b/>
                <w:sz w:val="22"/>
                <w:szCs w:val="22"/>
              </w:rPr>
            </w:pPr>
            <w:r w:rsidRPr="00B031C2">
              <w:rPr>
                <w:b/>
                <w:sz w:val="22"/>
                <w:szCs w:val="22"/>
              </w:rPr>
              <w:t>1,215</w:t>
            </w:r>
          </w:p>
        </w:tc>
        <w:tc>
          <w:tcPr>
            <w:tcW w:w="990" w:type="dxa"/>
          </w:tcPr>
          <w:p w:rsidR="00040E47" w:rsidRPr="00B031C2" w:rsidRDefault="00040E47" w:rsidP="009F370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100%</w:t>
            </w:r>
          </w:p>
        </w:tc>
      </w:tr>
      <w:tr w:rsidR="005527C2" w:rsidRPr="00B031C2" w:rsidTr="00470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single" w:sz="12" w:space="0" w:color="4F81BD" w:themeColor="accent1"/>
            </w:tcBorders>
          </w:tcPr>
          <w:p w:rsidR="00040E47" w:rsidRPr="00B031C2" w:rsidRDefault="00040E47" w:rsidP="009F3706">
            <w:pPr>
              <w:pStyle w:val="NoSpacing"/>
              <w:rPr>
                <w:b w:val="0"/>
                <w:sz w:val="22"/>
                <w:szCs w:val="22"/>
              </w:rPr>
            </w:pPr>
            <w:r w:rsidRPr="00B031C2">
              <w:rPr>
                <w:b w:val="0"/>
                <w:sz w:val="22"/>
                <w:szCs w:val="22"/>
              </w:rPr>
              <w:t>2012</w:t>
            </w:r>
          </w:p>
        </w:tc>
        <w:tc>
          <w:tcPr>
            <w:tcW w:w="1350" w:type="dxa"/>
            <w:tcBorders>
              <w:top w:val="nil"/>
              <w:left w:val="single" w:sz="12" w:space="0" w:color="4F81BD" w:themeColor="accent1"/>
              <w:bottom w:val="nil"/>
            </w:tcBorders>
          </w:tcPr>
          <w:p w:rsidR="00040E47" w:rsidRPr="00B031C2" w:rsidRDefault="00D53026" w:rsidP="009F3706">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322</w:t>
            </w:r>
          </w:p>
        </w:tc>
        <w:tc>
          <w:tcPr>
            <w:tcW w:w="900" w:type="dxa"/>
            <w:tcBorders>
              <w:top w:val="nil"/>
              <w:bottom w:val="nil"/>
              <w:right w:val="single" w:sz="12" w:space="0" w:color="4F81BD" w:themeColor="accent1"/>
            </w:tcBorders>
          </w:tcPr>
          <w:p w:rsidR="00040E47" w:rsidRPr="00B031C2" w:rsidRDefault="00A01C22" w:rsidP="009F3706">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28.4%</w:t>
            </w:r>
          </w:p>
        </w:tc>
        <w:tc>
          <w:tcPr>
            <w:tcW w:w="1350" w:type="dxa"/>
            <w:tcBorders>
              <w:left w:val="single" w:sz="12" w:space="0" w:color="4F81BD" w:themeColor="accent1"/>
            </w:tcBorders>
          </w:tcPr>
          <w:p w:rsidR="00040E47" w:rsidRPr="00B031C2" w:rsidRDefault="00D53026" w:rsidP="009F3706">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785</w:t>
            </w:r>
          </w:p>
        </w:tc>
        <w:tc>
          <w:tcPr>
            <w:tcW w:w="990" w:type="dxa"/>
            <w:tcBorders>
              <w:right w:val="single" w:sz="12" w:space="0" w:color="4F81BD" w:themeColor="accent1"/>
            </w:tcBorders>
          </w:tcPr>
          <w:p w:rsidR="00040E47" w:rsidRPr="00B031C2" w:rsidRDefault="00A01C22" w:rsidP="009F3706">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69.3%</w:t>
            </w:r>
          </w:p>
        </w:tc>
        <w:tc>
          <w:tcPr>
            <w:tcW w:w="1170" w:type="dxa"/>
            <w:tcBorders>
              <w:top w:val="nil"/>
              <w:left w:val="single" w:sz="12" w:space="0" w:color="4F81BD" w:themeColor="accent1"/>
              <w:bottom w:val="nil"/>
            </w:tcBorders>
          </w:tcPr>
          <w:p w:rsidR="00040E47" w:rsidRPr="00B031C2" w:rsidRDefault="00D53026" w:rsidP="009F3706">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25</w:t>
            </w:r>
          </w:p>
        </w:tc>
        <w:tc>
          <w:tcPr>
            <w:tcW w:w="990" w:type="dxa"/>
            <w:tcBorders>
              <w:top w:val="nil"/>
              <w:bottom w:val="nil"/>
              <w:right w:val="single" w:sz="12" w:space="0" w:color="4F81BD" w:themeColor="accent1"/>
            </w:tcBorders>
          </w:tcPr>
          <w:p w:rsidR="00040E47" w:rsidRPr="00B031C2" w:rsidRDefault="00A01C22" w:rsidP="009F3706">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2.2%</w:t>
            </w:r>
          </w:p>
        </w:tc>
        <w:tc>
          <w:tcPr>
            <w:tcW w:w="1170" w:type="dxa"/>
            <w:tcBorders>
              <w:left w:val="single" w:sz="12" w:space="0" w:color="4F81BD" w:themeColor="accent1"/>
            </w:tcBorders>
          </w:tcPr>
          <w:p w:rsidR="00040E47" w:rsidRPr="00B031C2" w:rsidRDefault="00040E47" w:rsidP="009F3706">
            <w:pPr>
              <w:pStyle w:val="NoSpacing"/>
              <w:jc w:val="center"/>
              <w:cnfStyle w:val="000000100000" w:firstRow="0" w:lastRow="0" w:firstColumn="0" w:lastColumn="0" w:oddVBand="0" w:evenVBand="0" w:oddHBand="1" w:evenHBand="0" w:firstRowFirstColumn="0" w:firstRowLastColumn="0" w:lastRowFirstColumn="0" w:lastRowLastColumn="0"/>
              <w:rPr>
                <w:b/>
                <w:sz w:val="22"/>
                <w:szCs w:val="22"/>
              </w:rPr>
            </w:pPr>
            <w:r w:rsidRPr="00B031C2">
              <w:rPr>
                <w:b/>
                <w:sz w:val="22"/>
                <w:szCs w:val="22"/>
              </w:rPr>
              <w:t>1,132</w:t>
            </w:r>
          </w:p>
        </w:tc>
        <w:tc>
          <w:tcPr>
            <w:tcW w:w="990" w:type="dxa"/>
          </w:tcPr>
          <w:p w:rsidR="00040E47" w:rsidRPr="00B031C2" w:rsidRDefault="00040E47" w:rsidP="009F3706">
            <w:pPr>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100%</w:t>
            </w:r>
          </w:p>
        </w:tc>
      </w:tr>
      <w:tr w:rsidR="005527C2" w:rsidRPr="00B031C2" w:rsidTr="00470034">
        <w:tc>
          <w:tcPr>
            <w:cnfStyle w:val="001000000000" w:firstRow="0" w:lastRow="0" w:firstColumn="1" w:lastColumn="0" w:oddVBand="0" w:evenVBand="0" w:oddHBand="0" w:evenHBand="0" w:firstRowFirstColumn="0" w:firstRowLastColumn="0" w:lastRowFirstColumn="0" w:lastRowLastColumn="0"/>
            <w:tcW w:w="828" w:type="dxa"/>
            <w:tcBorders>
              <w:right w:val="single" w:sz="12" w:space="0" w:color="4F81BD" w:themeColor="accent1"/>
            </w:tcBorders>
          </w:tcPr>
          <w:p w:rsidR="00040E47" w:rsidRPr="00B031C2" w:rsidRDefault="00040E47" w:rsidP="009F3706">
            <w:pPr>
              <w:pStyle w:val="NoSpacing"/>
              <w:rPr>
                <w:b w:val="0"/>
                <w:sz w:val="22"/>
                <w:szCs w:val="22"/>
              </w:rPr>
            </w:pPr>
            <w:r w:rsidRPr="00B031C2">
              <w:rPr>
                <w:b w:val="0"/>
                <w:sz w:val="22"/>
                <w:szCs w:val="22"/>
              </w:rPr>
              <w:t>2013</w:t>
            </w:r>
          </w:p>
        </w:tc>
        <w:tc>
          <w:tcPr>
            <w:tcW w:w="1350" w:type="dxa"/>
            <w:tcBorders>
              <w:top w:val="nil"/>
              <w:left w:val="single" w:sz="12" w:space="0" w:color="4F81BD" w:themeColor="accent1"/>
              <w:bottom w:val="nil"/>
            </w:tcBorders>
          </w:tcPr>
          <w:p w:rsidR="00040E47" w:rsidRPr="00B031C2" w:rsidRDefault="00D53026" w:rsidP="009F370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384</w:t>
            </w:r>
          </w:p>
        </w:tc>
        <w:tc>
          <w:tcPr>
            <w:tcW w:w="900" w:type="dxa"/>
            <w:tcBorders>
              <w:top w:val="nil"/>
              <w:bottom w:val="nil"/>
              <w:right w:val="single" w:sz="12" w:space="0" w:color="4F81BD" w:themeColor="accent1"/>
            </w:tcBorders>
          </w:tcPr>
          <w:p w:rsidR="00040E47" w:rsidRPr="00B031C2" w:rsidRDefault="00A01C22" w:rsidP="009F370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29.6%</w:t>
            </w:r>
          </w:p>
        </w:tc>
        <w:tc>
          <w:tcPr>
            <w:tcW w:w="1350" w:type="dxa"/>
            <w:tcBorders>
              <w:left w:val="single" w:sz="12" w:space="0" w:color="4F81BD" w:themeColor="accent1"/>
            </w:tcBorders>
          </w:tcPr>
          <w:p w:rsidR="00040E47" w:rsidRPr="00B031C2" w:rsidRDefault="00D53026" w:rsidP="009F370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884</w:t>
            </w:r>
          </w:p>
        </w:tc>
        <w:tc>
          <w:tcPr>
            <w:tcW w:w="990" w:type="dxa"/>
            <w:tcBorders>
              <w:right w:val="single" w:sz="12" w:space="0" w:color="4F81BD" w:themeColor="accent1"/>
            </w:tcBorders>
          </w:tcPr>
          <w:p w:rsidR="00040E47" w:rsidRPr="00B031C2" w:rsidRDefault="00A01C22" w:rsidP="009F370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68.2%</w:t>
            </w:r>
          </w:p>
        </w:tc>
        <w:tc>
          <w:tcPr>
            <w:tcW w:w="1170" w:type="dxa"/>
            <w:tcBorders>
              <w:top w:val="nil"/>
              <w:left w:val="single" w:sz="12" w:space="0" w:color="4F81BD" w:themeColor="accent1"/>
              <w:bottom w:val="nil"/>
            </w:tcBorders>
          </w:tcPr>
          <w:p w:rsidR="00040E47" w:rsidRPr="00B031C2" w:rsidRDefault="00D53026" w:rsidP="009F370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29</w:t>
            </w:r>
          </w:p>
        </w:tc>
        <w:tc>
          <w:tcPr>
            <w:tcW w:w="990" w:type="dxa"/>
            <w:tcBorders>
              <w:top w:val="nil"/>
              <w:bottom w:val="nil"/>
              <w:right w:val="single" w:sz="12" w:space="0" w:color="4F81BD" w:themeColor="accent1"/>
            </w:tcBorders>
          </w:tcPr>
          <w:p w:rsidR="00040E47" w:rsidRPr="00B031C2" w:rsidRDefault="00A01C22" w:rsidP="009F370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2.2%</w:t>
            </w:r>
          </w:p>
        </w:tc>
        <w:tc>
          <w:tcPr>
            <w:tcW w:w="1170" w:type="dxa"/>
            <w:tcBorders>
              <w:left w:val="single" w:sz="12" w:space="0" w:color="4F81BD" w:themeColor="accent1"/>
            </w:tcBorders>
          </w:tcPr>
          <w:p w:rsidR="00040E47" w:rsidRPr="00B031C2" w:rsidRDefault="00040E47" w:rsidP="009F3706">
            <w:pPr>
              <w:pStyle w:val="NoSpacing"/>
              <w:jc w:val="center"/>
              <w:cnfStyle w:val="000000000000" w:firstRow="0" w:lastRow="0" w:firstColumn="0" w:lastColumn="0" w:oddVBand="0" w:evenVBand="0" w:oddHBand="0" w:evenHBand="0" w:firstRowFirstColumn="0" w:firstRowLastColumn="0" w:lastRowFirstColumn="0" w:lastRowLastColumn="0"/>
              <w:rPr>
                <w:b/>
                <w:sz w:val="22"/>
                <w:szCs w:val="22"/>
              </w:rPr>
            </w:pPr>
            <w:r w:rsidRPr="00B031C2">
              <w:rPr>
                <w:b/>
                <w:sz w:val="22"/>
                <w:szCs w:val="22"/>
              </w:rPr>
              <w:t>1,297</w:t>
            </w:r>
          </w:p>
        </w:tc>
        <w:tc>
          <w:tcPr>
            <w:tcW w:w="990" w:type="dxa"/>
          </w:tcPr>
          <w:p w:rsidR="00040E47" w:rsidRPr="00B031C2" w:rsidRDefault="00040E47" w:rsidP="009F3706">
            <w:pPr>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100%</w:t>
            </w:r>
          </w:p>
        </w:tc>
      </w:tr>
      <w:tr w:rsidR="005527C2" w:rsidRPr="00B031C2" w:rsidTr="00470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single" w:sz="12" w:space="0" w:color="4F81BD" w:themeColor="accent1"/>
            </w:tcBorders>
          </w:tcPr>
          <w:p w:rsidR="00040E47" w:rsidRPr="00B031C2" w:rsidRDefault="00040E47" w:rsidP="009F3706">
            <w:pPr>
              <w:pStyle w:val="NoSpacing"/>
              <w:rPr>
                <w:b w:val="0"/>
                <w:sz w:val="22"/>
                <w:szCs w:val="22"/>
              </w:rPr>
            </w:pPr>
            <w:r w:rsidRPr="00B031C2">
              <w:rPr>
                <w:b w:val="0"/>
                <w:sz w:val="22"/>
                <w:szCs w:val="22"/>
              </w:rPr>
              <w:t>2014</w:t>
            </w:r>
          </w:p>
        </w:tc>
        <w:tc>
          <w:tcPr>
            <w:tcW w:w="1350" w:type="dxa"/>
            <w:tcBorders>
              <w:top w:val="nil"/>
              <w:left w:val="single" w:sz="12" w:space="0" w:color="4F81BD" w:themeColor="accent1"/>
              <w:bottom w:val="nil"/>
            </w:tcBorders>
          </w:tcPr>
          <w:p w:rsidR="00040E47" w:rsidRPr="00B031C2" w:rsidRDefault="00D53026" w:rsidP="009F3706">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356</w:t>
            </w:r>
          </w:p>
        </w:tc>
        <w:tc>
          <w:tcPr>
            <w:tcW w:w="900" w:type="dxa"/>
            <w:tcBorders>
              <w:top w:val="nil"/>
              <w:bottom w:val="nil"/>
              <w:right w:val="single" w:sz="12" w:space="0" w:color="4F81BD" w:themeColor="accent1"/>
            </w:tcBorders>
          </w:tcPr>
          <w:p w:rsidR="00040E47" w:rsidRPr="00B031C2" w:rsidRDefault="00A01C22" w:rsidP="009F3706">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27.5%</w:t>
            </w:r>
          </w:p>
        </w:tc>
        <w:tc>
          <w:tcPr>
            <w:tcW w:w="1350" w:type="dxa"/>
            <w:tcBorders>
              <w:left w:val="single" w:sz="12" w:space="0" w:color="4F81BD" w:themeColor="accent1"/>
            </w:tcBorders>
          </w:tcPr>
          <w:p w:rsidR="00040E47" w:rsidRPr="00B031C2" w:rsidRDefault="00D53026" w:rsidP="009F3706">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901</w:t>
            </w:r>
          </w:p>
        </w:tc>
        <w:tc>
          <w:tcPr>
            <w:tcW w:w="990" w:type="dxa"/>
            <w:tcBorders>
              <w:right w:val="single" w:sz="12" w:space="0" w:color="4F81BD" w:themeColor="accent1"/>
            </w:tcBorders>
          </w:tcPr>
          <w:p w:rsidR="00040E47" w:rsidRPr="00B031C2" w:rsidRDefault="00A01C22" w:rsidP="009F3706">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69.6%</w:t>
            </w:r>
          </w:p>
        </w:tc>
        <w:tc>
          <w:tcPr>
            <w:tcW w:w="1170" w:type="dxa"/>
            <w:tcBorders>
              <w:top w:val="nil"/>
              <w:left w:val="single" w:sz="12" w:space="0" w:color="4F81BD" w:themeColor="accent1"/>
              <w:bottom w:val="nil"/>
            </w:tcBorders>
          </w:tcPr>
          <w:p w:rsidR="00040E47" w:rsidRPr="00B031C2" w:rsidRDefault="00D53026" w:rsidP="009F3706">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38</w:t>
            </w:r>
          </w:p>
        </w:tc>
        <w:tc>
          <w:tcPr>
            <w:tcW w:w="990" w:type="dxa"/>
            <w:tcBorders>
              <w:top w:val="nil"/>
              <w:bottom w:val="nil"/>
              <w:right w:val="single" w:sz="12" w:space="0" w:color="4F81BD" w:themeColor="accent1"/>
            </w:tcBorders>
          </w:tcPr>
          <w:p w:rsidR="00040E47" w:rsidRPr="00B031C2" w:rsidRDefault="00A01C22" w:rsidP="009F3706">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2.9%</w:t>
            </w:r>
          </w:p>
        </w:tc>
        <w:tc>
          <w:tcPr>
            <w:tcW w:w="1170" w:type="dxa"/>
            <w:tcBorders>
              <w:left w:val="single" w:sz="12" w:space="0" w:color="4F81BD" w:themeColor="accent1"/>
            </w:tcBorders>
          </w:tcPr>
          <w:p w:rsidR="00040E47" w:rsidRPr="00B031C2" w:rsidRDefault="00040E47" w:rsidP="009F3706">
            <w:pPr>
              <w:pStyle w:val="NoSpacing"/>
              <w:jc w:val="center"/>
              <w:cnfStyle w:val="000000100000" w:firstRow="0" w:lastRow="0" w:firstColumn="0" w:lastColumn="0" w:oddVBand="0" w:evenVBand="0" w:oddHBand="1" w:evenHBand="0" w:firstRowFirstColumn="0" w:firstRowLastColumn="0" w:lastRowFirstColumn="0" w:lastRowLastColumn="0"/>
              <w:rPr>
                <w:b/>
                <w:sz w:val="22"/>
                <w:szCs w:val="22"/>
              </w:rPr>
            </w:pPr>
            <w:r w:rsidRPr="00B031C2">
              <w:rPr>
                <w:b/>
                <w:sz w:val="22"/>
                <w:szCs w:val="22"/>
              </w:rPr>
              <w:t>1,295</w:t>
            </w:r>
          </w:p>
        </w:tc>
        <w:tc>
          <w:tcPr>
            <w:tcW w:w="990" w:type="dxa"/>
          </w:tcPr>
          <w:p w:rsidR="00040E47" w:rsidRPr="00B031C2" w:rsidRDefault="00040E47" w:rsidP="009F3706">
            <w:pPr>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100%</w:t>
            </w:r>
          </w:p>
        </w:tc>
      </w:tr>
      <w:tr w:rsidR="005527C2" w:rsidRPr="00B031C2" w:rsidTr="00470034">
        <w:tc>
          <w:tcPr>
            <w:cnfStyle w:val="001000000000" w:firstRow="0" w:lastRow="0" w:firstColumn="1" w:lastColumn="0" w:oddVBand="0" w:evenVBand="0" w:oddHBand="0" w:evenHBand="0" w:firstRowFirstColumn="0" w:firstRowLastColumn="0" w:lastRowFirstColumn="0" w:lastRowLastColumn="0"/>
            <w:tcW w:w="828" w:type="dxa"/>
            <w:tcBorders>
              <w:right w:val="single" w:sz="12" w:space="0" w:color="4F81BD" w:themeColor="accent1"/>
            </w:tcBorders>
          </w:tcPr>
          <w:p w:rsidR="00040E47" w:rsidRPr="00B031C2" w:rsidRDefault="00040E47" w:rsidP="009F3706">
            <w:pPr>
              <w:pStyle w:val="NoSpacing"/>
              <w:rPr>
                <w:b w:val="0"/>
                <w:sz w:val="22"/>
                <w:szCs w:val="22"/>
              </w:rPr>
            </w:pPr>
            <w:r w:rsidRPr="00B031C2">
              <w:rPr>
                <w:b w:val="0"/>
                <w:sz w:val="22"/>
                <w:szCs w:val="22"/>
              </w:rPr>
              <w:t>2015</w:t>
            </w:r>
          </w:p>
        </w:tc>
        <w:tc>
          <w:tcPr>
            <w:tcW w:w="1350" w:type="dxa"/>
            <w:tcBorders>
              <w:top w:val="nil"/>
              <w:left w:val="single" w:sz="12" w:space="0" w:color="4F81BD" w:themeColor="accent1"/>
              <w:bottom w:val="nil"/>
            </w:tcBorders>
          </w:tcPr>
          <w:p w:rsidR="00040E47" w:rsidRPr="00B031C2" w:rsidRDefault="00D53026" w:rsidP="009F370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414</w:t>
            </w:r>
          </w:p>
        </w:tc>
        <w:tc>
          <w:tcPr>
            <w:tcW w:w="900" w:type="dxa"/>
            <w:tcBorders>
              <w:top w:val="nil"/>
              <w:bottom w:val="nil"/>
              <w:right w:val="single" w:sz="12" w:space="0" w:color="4F81BD" w:themeColor="accent1"/>
            </w:tcBorders>
          </w:tcPr>
          <w:p w:rsidR="00040E47" w:rsidRPr="00B031C2" w:rsidRDefault="00A01C22" w:rsidP="009F370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33.4%</w:t>
            </w:r>
          </w:p>
        </w:tc>
        <w:tc>
          <w:tcPr>
            <w:tcW w:w="1350" w:type="dxa"/>
            <w:tcBorders>
              <w:left w:val="single" w:sz="12" w:space="0" w:color="4F81BD" w:themeColor="accent1"/>
            </w:tcBorders>
          </w:tcPr>
          <w:p w:rsidR="00040E47" w:rsidRPr="00B031C2" w:rsidRDefault="00D53026" w:rsidP="009F370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801</w:t>
            </w:r>
          </w:p>
        </w:tc>
        <w:tc>
          <w:tcPr>
            <w:tcW w:w="990" w:type="dxa"/>
            <w:tcBorders>
              <w:right w:val="single" w:sz="12" w:space="0" w:color="4F81BD" w:themeColor="accent1"/>
            </w:tcBorders>
          </w:tcPr>
          <w:p w:rsidR="00040E47" w:rsidRPr="00B031C2" w:rsidRDefault="00A01C22" w:rsidP="009F370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64.6%</w:t>
            </w:r>
          </w:p>
        </w:tc>
        <w:tc>
          <w:tcPr>
            <w:tcW w:w="1170" w:type="dxa"/>
            <w:tcBorders>
              <w:top w:val="nil"/>
              <w:left w:val="single" w:sz="12" w:space="0" w:color="4F81BD" w:themeColor="accent1"/>
              <w:bottom w:val="nil"/>
            </w:tcBorders>
          </w:tcPr>
          <w:p w:rsidR="00040E47" w:rsidRPr="00B031C2" w:rsidRDefault="00D53026" w:rsidP="009F370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25</w:t>
            </w:r>
          </w:p>
        </w:tc>
        <w:tc>
          <w:tcPr>
            <w:tcW w:w="990" w:type="dxa"/>
            <w:tcBorders>
              <w:top w:val="nil"/>
              <w:bottom w:val="nil"/>
              <w:right w:val="single" w:sz="12" w:space="0" w:color="4F81BD" w:themeColor="accent1"/>
            </w:tcBorders>
          </w:tcPr>
          <w:p w:rsidR="00040E47" w:rsidRPr="00B031C2" w:rsidRDefault="00A01C22" w:rsidP="009F370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2.0%</w:t>
            </w:r>
          </w:p>
        </w:tc>
        <w:tc>
          <w:tcPr>
            <w:tcW w:w="1170" w:type="dxa"/>
            <w:tcBorders>
              <w:left w:val="single" w:sz="12" w:space="0" w:color="4F81BD" w:themeColor="accent1"/>
            </w:tcBorders>
          </w:tcPr>
          <w:p w:rsidR="00040E47" w:rsidRPr="00B031C2" w:rsidRDefault="00040E47" w:rsidP="009F3706">
            <w:pPr>
              <w:pStyle w:val="NoSpacing"/>
              <w:jc w:val="center"/>
              <w:cnfStyle w:val="000000000000" w:firstRow="0" w:lastRow="0" w:firstColumn="0" w:lastColumn="0" w:oddVBand="0" w:evenVBand="0" w:oddHBand="0" w:evenHBand="0" w:firstRowFirstColumn="0" w:firstRowLastColumn="0" w:lastRowFirstColumn="0" w:lastRowLastColumn="0"/>
              <w:rPr>
                <w:b/>
                <w:sz w:val="22"/>
                <w:szCs w:val="22"/>
              </w:rPr>
            </w:pPr>
            <w:r w:rsidRPr="00B031C2">
              <w:rPr>
                <w:b/>
                <w:sz w:val="22"/>
                <w:szCs w:val="22"/>
              </w:rPr>
              <w:t>1,240</w:t>
            </w:r>
          </w:p>
        </w:tc>
        <w:tc>
          <w:tcPr>
            <w:tcW w:w="990" w:type="dxa"/>
          </w:tcPr>
          <w:p w:rsidR="00040E47" w:rsidRPr="00B031C2" w:rsidRDefault="00040E47" w:rsidP="009F3706">
            <w:pPr>
              <w:jc w:val="center"/>
              <w:cnfStyle w:val="000000000000" w:firstRow="0" w:lastRow="0" w:firstColumn="0" w:lastColumn="0" w:oddVBand="0" w:evenVBand="0" w:oddHBand="0" w:evenHBand="0" w:firstRowFirstColumn="0" w:firstRowLastColumn="0" w:lastRowFirstColumn="0" w:lastRowLastColumn="0"/>
              <w:rPr>
                <w:sz w:val="22"/>
                <w:szCs w:val="22"/>
              </w:rPr>
            </w:pPr>
            <w:r w:rsidRPr="00B031C2">
              <w:rPr>
                <w:sz w:val="22"/>
                <w:szCs w:val="22"/>
              </w:rPr>
              <w:t>100%</w:t>
            </w:r>
          </w:p>
        </w:tc>
      </w:tr>
      <w:tr w:rsidR="005527C2" w:rsidRPr="00B031C2" w:rsidTr="00470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single" w:sz="12" w:space="0" w:color="4F81BD" w:themeColor="accent1"/>
            </w:tcBorders>
          </w:tcPr>
          <w:p w:rsidR="00040E47" w:rsidRPr="00B031C2" w:rsidRDefault="00040E47" w:rsidP="009F3706">
            <w:pPr>
              <w:pStyle w:val="NoSpacing"/>
              <w:rPr>
                <w:b w:val="0"/>
                <w:sz w:val="22"/>
                <w:szCs w:val="22"/>
              </w:rPr>
            </w:pPr>
            <w:r w:rsidRPr="00B031C2">
              <w:rPr>
                <w:b w:val="0"/>
                <w:sz w:val="22"/>
                <w:szCs w:val="22"/>
              </w:rPr>
              <w:t>2016</w:t>
            </w:r>
          </w:p>
        </w:tc>
        <w:tc>
          <w:tcPr>
            <w:tcW w:w="1350" w:type="dxa"/>
            <w:tcBorders>
              <w:top w:val="nil"/>
              <w:left w:val="single" w:sz="12" w:space="0" w:color="4F81BD" w:themeColor="accent1"/>
              <w:bottom w:val="nil"/>
            </w:tcBorders>
          </w:tcPr>
          <w:p w:rsidR="00040E47" w:rsidRPr="00B031C2" w:rsidRDefault="00D53026" w:rsidP="009F3706">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471</w:t>
            </w:r>
          </w:p>
        </w:tc>
        <w:tc>
          <w:tcPr>
            <w:tcW w:w="900" w:type="dxa"/>
            <w:tcBorders>
              <w:top w:val="nil"/>
              <w:bottom w:val="nil"/>
              <w:right w:val="single" w:sz="12" w:space="0" w:color="4F81BD" w:themeColor="accent1"/>
            </w:tcBorders>
          </w:tcPr>
          <w:p w:rsidR="00040E47" w:rsidRPr="00B031C2" w:rsidRDefault="00A01C22" w:rsidP="009F3706">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34.8%</w:t>
            </w:r>
          </w:p>
        </w:tc>
        <w:tc>
          <w:tcPr>
            <w:tcW w:w="1350" w:type="dxa"/>
            <w:tcBorders>
              <w:left w:val="single" w:sz="12" w:space="0" w:color="4F81BD" w:themeColor="accent1"/>
            </w:tcBorders>
          </w:tcPr>
          <w:p w:rsidR="00040E47" w:rsidRPr="00B031C2" w:rsidRDefault="00D53026" w:rsidP="009F3706">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857</w:t>
            </w:r>
          </w:p>
        </w:tc>
        <w:tc>
          <w:tcPr>
            <w:tcW w:w="990" w:type="dxa"/>
            <w:tcBorders>
              <w:right w:val="single" w:sz="12" w:space="0" w:color="4F81BD" w:themeColor="accent1"/>
            </w:tcBorders>
          </w:tcPr>
          <w:p w:rsidR="00040E47" w:rsidRPr="00B031C2" w:rsidRDefault="00A01C22" w:rsidP="009F3706">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63.3%</w:t>
            </w:r>
          </w:p>
        </w:tc>
        <w:tc>
          <w:tcPr>
            <w:tcW w:w="1170" w:type="dxa"/>
            <w:tcBorders>
              <w:top w:val="nil"/>
              <w:left w:val="single" w:sz="12" w:space="0" w:color="4F81BD" w:themeColor="accent1"/>
              <w:bottom w:val="nil"/>
            </w:tcBorders>
          </w:tcPr>
          <w:p w:rsidR="00040E47" w:rsidRPr="00B031C2" w:rsidRDefault="00D53026" w:rsidP="009F3706">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26</w:t>
            </w:r>
          </w:p>
        </w:tc>
        <w:tc>
          <w:tcPr>
            <w:tcW w:w="990" w:type="dxa"/>
            <w:tcBorders>
              <w:top w:val="nil"/>
              <w:bottom w:val="nil"/>
              <w:right w:val="single" w:sz="12" w:space="0" w:color="4F81BD" w:themeColor="accent1"/>
            </w:tcBorders>
          </w:tcPr>
          <w:p w:rsidR="00040E47" w:rsidRPr="00B031C2" w:rsidRDefault="00A01C22" w:rsidP="009F3706">
            <w:pPr>
              <w:pStyle w:val="No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1.9%</w:t>
            </w:r>
          </w:p>
        </w:tc>
        <w:tc>
          <w:tcPr>
            <w:tcW w:w="1170" w:type="dxa"/>
            <w:tcBorders>
              <w:left w:val="single" w:sz="12" w:space="0" w:color="4F81BD" w:themeColor="accent1"/>
            </w:tcBorders>
          </w:tcPr>
          <w:p w:rsidR="00040E47" w:rsidRPr="00B031C2" w:rsidRDefault="00040E47" w:rsidP="009F3706">
            <w:pPr>
              <w:pStyle w:val="NoSpacing"/>
              <w:jc w:val="center"/>
              <w:cnfStyle w:val="000000100000" w:firstRow="0" w:lastRow="0" w:firstColumn="0" w:lastColumn="0" w:oddVBand="0" w:evenVBand="0" w:oddHBand="1" w:evenHBand="0" w:firstRowFirstColumn="0" w:firstRowLastColumn="0" w:lastRowFirstColumn="0" w:lastRowLastColumn="0"/>
              <w:rPr>
                <w:b/>
                <w:sz w:val="22"/>
                <w:szCs w:val="22"/>
              </w:rPr>
            </w:pPr>
            <w:r w:rsidRPr="00B031C2">
              <w:rPr>
                <w:b/>
                <w:sz w:val="22"/>
                <w:szCs w:val="22"/>
              </w:rPr>
              <w:t>1,354</w:t>
            </w:r>
          </w:p>
        </w:tc>
        <w:tc>
          <w:tcPr>
            <w:tcW w:w="990" w:type="dxa"/>
          </w:tcPr>
          <w:p w:rsidR="00040E47" w:rsidRPr="00B031C2" w:rsidRDefault="00040E47" w:rsidP="009F3706">
            <w:pPr>
              <w:jc w:val="center"/>
              <w:cnfStyle w:val="000000100000" w:firstRow="0" w:lastRow="0" w:firstColumn="0" w:lastColumn="0" w:oddVBand="0" w:evenVBand="0" w:oddHBand="1" w:evenHBand="0" w:firstRowFirstColumn="0" w:firstRowLastColumn="0" w:lastRowFirstColumn="0" w:lastRowLastColumn="0"/>
              <w:rPr>
                <w:sz w:val="22"/>
                <w:szCs w:val="22"/>
              </w:rPr>
            </w:pPr>
            <w:r w:rsidRPr="00B031C2">
              <w:rPr>
                <w:sz w:val="22"/>
                <w:szCs w:val="22"/>
              </w:rPr>
              <w:t>100%</w:t>
            </w:r>
          </w:p>
        </w:tc>
      </w:tr>
      <w:tr w:rsidR="002B25C8" w:rsidRPr="00B031C2" w:rsidTr="00470034">
        <w:tc>
          <w:tcPr>
            <w:cnfStyle w:val="001000000000" w:firstRow="0" w:lastRow="0" w:firstColumn="1" w:lastColumn="0" w:oddVBand="0" w:evenVBand="0" w:oddHBand="0" w:evenHBand="0" w:firstRowFirstColumn="0" w:firstRowLastColumn="0" w:lastRowFirstColumn="0" w:lastRowLastColumn="0"/>
            <w:tcW w:w="828" w:type="dxa"/>
            <w:tcBorders>
              <w:right w:val="single" w:sz="12" w:space="0" w:color="4F81BD" w:themeColor="accent1"/>
            </w:tcBorders>
          </w:tcPr>
          <w:p w:rsidR="002B25C8" w:rsidRPr="002B25C8" w:rsidRDefault="002B25C8" w:rsidP="009F3706">
            <w:pPr>
              <w:pStyle w:val="NoSpacing"/>
              <w:rPr>
                <w:b w:val="0"/>
                <w:sz w:val="22"/>
                <w:szCs w:val="22"/>
              </w:rPr>
            </w:pPr>
            <w:r w:rsidRPr="002B25C8">
              <w:rPr>
                <w:b w:val="0"/>
                <w:sz w:val="22"/>
                <w:szCs w:val="22"/>
              </w:rPr>
              <w:t>2017</w:t>
            </w:r>
          </w:p>
        </w:tc>
        <w:tc>
          <w:tcPr>
            <w:tcW w:w="1350" w:type="dxa"/>
            <w:tcBorders>
              <w:top w:val="nil"/>
              <w:left w:val="single" w:sz="12" w:space="0" w:color="4F81BD" w:themeColor="accent1"/>
              <w:bottom w:val="nil"/>
            </w:tcBorders>
          </w:tcPr>
          <w:p w:rsidR="002B25C8" w:rsidRPr="00B031C2" w:rsidRDefault="00396DCC" w:rsidP="009F370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533</w:t>
            </w:r>
          </w:p>
        </w:tc>
        <w:tc>
          <w:tcPr>
            <w:tcW w:w="900" w:type="dxa"/>
            <w:tcBorders>
              <w:top w:val="nil"/>
              <w:bottom w:val="nil"/>
              <w:right w:val="single" w:sz="12" w:space="0" w:color="4F81BD" w:themeColor="accent1"/>
            </w:tcBorders>
          </w:tcPr>
          <w:p w:rsidR="002B25C8" w:rsidRPr="00B031C2" w:rsidRDefault="00396DCC" w:rsidP="00396DCC">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35.7%</w:t>
            </w:r>
          </w:p>
        </w:tc>
        <w:tc>
          <w:tcPr>
            <w:tcW w:w="1350" w:type="dxa"/>
            <w:tcBorders>
              <w:left w:val="single" w:sz="12" w:space="0" w:color="4F81BD" w:themeColor="accent1"/>
            </w:tcBorders>
          </w:tcPr>
          <w:p w:rsidR="002B25C8" w:rsidRPr="00B031C2" w:rsidRDefault="00396DCC" w:rsidP="009F370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907</w:t>
            </w:r>
          </w:p>
        </w:tc>
        <w:tc>
          <w:tcPr>
            <w:tcW w:w="990" w:type="dxa"/>
            <w:tcBorders>
              <w:right w:val="single" w:sz="12" w:space="0" w:color="4F81BD" w:themeColor="accent1"/>
            </w:tcBorders>
          </w:tcPr>
          <w:p w:rsidR="002B25C8" w:rsidRPr="00B031C2" w:rsidRDefault="00396DCC" w:rsidP="00396DCC">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60.6%</w:t>
            </w:r>
          </w:p>
        </w:tc>
        <w:tc>
          <w:tcPr>
            <w:tcW w:w="1170" w:type="dxa"/>
            <w:tcBorders>
              <w:top w:val="nil"/>
              <w:left w:val="single" w:sz="12" w:space="0" w:color="4F81BD" w:themeColor="accent1"/>
              <w:bottom w:val="nil"/>
            </w:tcBorders>
          </w:tcPr>
          <w:p w:rsidR="002B25C8" w:rsidRPr="00B031C2" w:rsidRDefault="00396DCC" w:rsidP="009F370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55</w:t>
            </w:r>
          </w:p>
        </w:tc>
        <w:tc>
          <w:tcPr>
            <w:tcW w:w="990" w:type="dxa"/>
            <w:tcBorders>
              <w:top w:val="nil"/>
              <w:bottom w:val="nil"/>
              <w:right w:val="single" w:sz="12" w:space="0" w:color="4F81BD" w:themeColor="accent1"/>
            </w:tcBorders>
          </w:tcPr>
          <w:p w:rsidR="002B25C8" w:rsidRPr="00B031C2" w:rsidRDefault="00396DCC" w:rsidP="009F3706">
            <w:pPr>
              <w:pStyle w:val="NoSpacing"/>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3.7%</w:t>
            </w:r>
          </w:p>
        </w:tc>
        <w:tc>
          <w:tcPr>
            <w:tcW w:w="1170" w:type="dxa"/>
            <w:tcBorders>
              <w:left w:val="single" w:sz="12" w:space="0" w:color="4F81BD" w:themeColor="accent1"/>
            </w:tcBorders>
          </w:tcPr>
          <w:p w:rsidR="002B25C8" w:rsidRPr="00B031C2" w:rsidRDefault="00396DCC" w:rsidP="009F3706">
            <w:pPr>
              <w:pStyle w:val="NoSpacing"/>
              <w:jc w:val="center"/>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1,495</w:t>
            </w:r>
          </w:p>
        </w:tc>
        <w:tc>
          <w:tcPr>
            <w:tcW w:w="990" w:type="dxa"/>
          </w:tcPr>
          <w:p w:rsidR="002B25C8" w:rsidRPr="00B031C2" w:rsidRDefault="00396DCC" w:rsidP="009F3706">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w:t>
            </w:r>
          </w:p>
        </w:tc>
      </w:tr>
      <w:tr w:rsidR="005527C2" w:rsidRPr="00B031C2" w:rsidTr="00470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single" w:sz="12" w:space="0" w:color="4F81BD" w:themeColor="accent1"/>
            </w:tcBorders>
          </w:tcPr>
          <w:p w:rsidR="00040E47" w:rsidRPr="00B031C2" w:rsidRDefault="00040E47" w:rsidP="009F3706">
            <w:pPr>
              <w:pStyle w:val="NoSpacing"/>
              <w:rPr>
                <w:sz w:val="22"/>
                <w:szCs w:val="22"/>
              </w:rPr>
            </w:pPr>
            <w:r w:rsidRPr="00B031C2">
              <w:rPr>
                <w:sz w:val="22"/>
                <w:szCs w:val="22"/>
              </w:rPr>
              <w:t>Total</w:t>
            </w:r>
          </w:p>
        </w:tc>
        <w:tc>
          <w:tcPr>
            <w:tcW w:w="1350" w:type="dxa"/>
            <w:tcBorders>
              <w:top w:val="nil"/>
              <w:left w:val="single" w:sz="12" w:space="0" w:color="4F81BD" w:themeColor="accent1"/>
              <w:bottom w:val="single" w:sz="8" w:space="0" w:color="4F81BD" w:themeColor="accent1"/>
            </w:tcBorders>
          </w:tcPr>
          <w:p w:rsidR="00040E47" w:rsidRPr="00B031C2" w:rsidRDefault="00D53026" w:rsidP="00396DCC">
            <w:pPr>
              <w:pStyle w:val="NoSpacing"/>
              <w:jc w:val="center"/>
              <w:cnfStyle w:val="000000100000" w:firstRow="0" w:lastRow="0" w:firstColumn="0" w:lastColumn="0" w:oddVBand="0" w:evenVBand="0" w:oddHBand="1" w:evenHBand="0" w:firstRowFirstColumn="0" w:firstRowLastColumn="0" w:lastRowFirstColumn="0" w:lastRowLastColumn="0"/>
              <w:rPr>
                <w:b/>
                <w:sz w:val="22"/>
                <w:szCs w:val="22"/>
              </w:rPr>
            </w:pPr>
            <w:r w:rsidRPr="00B031C2">
              <w:rPr>
                <w:b/>
                <w:sz w:val="22"/>
                <w:szCs w:val="22"/>
              </w:rPr>
              <w:t>2,</w:t>
            </w:r>
            <w:r w:rsidR="00396DCC">
              <w:rPr>
                <w:b/>
                <w:sz w:val="22"/>
                <w:szCs w:val="22"/>
              </w:rPr>
              <w:t>808</w:t>
            </w:r>
          </w:p>
        </w:tc>
        <w:tc>
          <w:tcPr>
            <w:tcW w:w="900" w:type="dxa"/>
            <w:tcBorders>
              <w:top w:val="nil"/>
              <w:bottom w:val="single" w:sz="8" w:space="0" w:color="4F81BD" w:themeColor="accent1"/>
              <w:right w:val="single" w:sz="12" w:space="0" w:color="4F81BD" w:themeColor="accent1"/>
            </w:tcBorders>
          </w:tcPr>
          <w:p w:rsidR="00040E47" w:rsidRPr="00B031C2" w:rsidRDefault="007C40B0" w:rsidP="009F3706">
            <w:pPr>
              <w:pStyle w:val="NoSpacing"/>
              <w:jc w:val="center"/>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31.1%</w:t>
            </w:r>
          </w:p>
        </w:tc>
        <w:tc>
          <w:tcPr>
            <w:tcW w:w="1350" w:type="dxa"/>
            <w:tcBorders>
              <w:left w:val="single" w:sz="12" w:space="0" w:color="4F81BD" w:themeColor="accent1"/>
            </w:tcBorders>
          </w:tcPr>
          <w:p w:rsidR="00040E47" w:rsidRPr="00B031C2" w:rsidRDefault="00D53026" w:rsidP="00396DCC">
            <w:pPr>
              <w:pStyle w:val="NoSpacing"/>
              <w:jc w:val="center"/>
              <w:cnfStyle w:val="000000100000" w:firstRow="0" w:lastRow="0" w:firstColumn="0" w:lastColumn="0" w:oddVBand="0" w:evenVBand="0" w:oddHBand="1" w:evenHBand="0" w:firstRowFirstColumn="0" w:firstRowLastColumn="0" w:lastRowFirstColumn="0" w:lastRowLastColumn="0"/>
              <w:rPr>
                <w:b/>
                <w:sz w:val="22"/>
                <w:szCs w:val="22"/>
              </w:rPr>
            </w:pPr>
            <w:r w:rsidRPr="00B031C2">
              <w:rPr>
                <w:b/>
                <w:sz w:val="22"/>
                <w:szCs w:val="22"/>
              </w:rPr>
              <w:t>5,</w:t>
            </w:r>
            <w:r w:rsidR="00396DCC">
              <w:rPr>
                <w:b/>
                <w:sz w:val="22"/>
                <w:szCs w:val="22"/>
              </w:rPr>
              <w:t>988</w:t>
            </w:r>
          </w:p>
        </w:tc>
        <w:tc>
          <w:tcPr>
            <w:tcW w:w="990" w:type="dxa"/>
            <w:tcBorders>
              <w:right w:val="single" w:sz="12" w:space="0" w:color="4F81BD" w:themeColor="accent1"/>
            </w:tcBorders>
          </w:tcPr>
          <w:p w:rsidR="00040E47" w:rsidRPr="00B031C2" w:rsidRDefault="007C40B0" w:rsidP="009F3706">
            <w:pPr>
              <w:pStyle w:val="NoSpacing"/>
              <w:jc w:val="center"/>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66.3%</w:t>
            </w:r>
          </w:p>
        </w:tc>
        <w:tc>
          <w:tcPr>
            <w:tcW w:w="1170" w:type="dxa"/>
            <w:tcBorders>
              <w:top w:val="nil"/>
              <w:left w:val="single" w:sz="12" w:space="0" w:color="4F81BD" w:themeColor="accent1"/>
              <w:bottom w:val="single" w:sz="8" w:space="0" w:color="4F81BD" w:themeColor="accent1"/>
            </w:tcBorders>
          </w:tcPr>
          <w:p w:rsidR="00040E47" w:rsidRPr="00B031C2" w:rsidRDefault="00396DCC" w:rsidP="00396DCC">
            <w:pPr>
              <w:pStyle w:val="NoSpacing"/>
              <w:jc w:val="center"/>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232</w:t>
            </w:r>
          </w:p>
        </w:tc>
        <w:tc>
          <w:tcPr>
            <w:tcW w:w="990" w:type="dxa"/>
            <w:tcBorders>
              <w:top w:val="nil"/>
              <w:bottom w:val="single" w:sz="8" w:space="0" w:color="4F81BD" w:themeColor="accent1"/>
              <w:right w:val="single" w:sz="12" w:space="0" w:color="4F81BD" w:themeColor="accent1"/>
            </w:tcBorders>
          </w:tcPr>
          <w:p w:rsidR="00040E47" w:rsidRPr="00B031C2" w:rsidRDefault="006F3D94" w:rsidP="009F3706">
            <w:pPr>
              <w:pStyle w:val="NoSpacing"/>
              <w:jc w:val="center"/>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2.6%</w:t>
            </w:r>
          </w:p>
        </w:tc>
        <w:tc>
          <w:tcPr>
            <w:tcW w:w="1170" w:type="dxa"/>
            <w:tcBorders>
              <w:left w:val="single" w:sz="12" w:space="0" w:color="4F81BD" w:themeColor="accent1"/>
            </w:tcBorders>
          </w:tcPr>
          <w:p w:rsidR="00040E47" w:rsidRPr="00B031C2" w:rsidRDefault="00396DCC" w:rsidP="00396DCC">
            <w:pPr>
              <w:pStyle w:val="NoSpacing"/>
              <w:jc w:val="center"/>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9</w:t>
            </w:r>
            <w:r w:rsidR="00040E47" w:rsidRPr="00B031C2">
              <w:rPr>
                <w:b/>
                <w:sz w:val="22"/>
                <w:szCs w:val="22"/>
              </w:rPr>
              <w:t>,</w:t>
            </w:r>
            <w:r>
              <w:rPr>
                <w:b/>
                <w:sz w:val="22"/>
                <w:szCs w:val="22"/>
              </w:rPr>
              <w:t>028</w:t>
            </w:r>
          </w:p>
        </w:tc>
        <w:tc>
          <w:tcPr>
            <w:tcW w:w="990" w:type="dxa"/>
          </w:tcPr>
          <w:p w:rsidR="00040E47" w:rsidRPr="00B031C2" w:rsidRDefault="006F3D94" w:rsidP="009F3706">
            <w:pPr>
              <w:pStyle w:val="NoSpacing"/>
              <w:jc w:val="center"/>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100%</w:t>
            </w:r>
          </w:p>
        </w:tc>
      </w:tr>
    </w:tbl>
    <w:p w:rsidR="00A01C22" w:rsidRPr="000E1432" w:rsidRDefault="00A01C22" w:rsidP="005B0036">
      <w:pPr>
        <w:pStyle w:val="NoSpacing"/>
        <w:rPr>
          <w:sz w:val="20"/>
          <w:szCs w:val="20"/>
        </w:rPr>
      </w:pPr>
      <w:r w:rsidRPr="000E1432">
        <w:rPr>
          <w:sz w:val="20"/>
          <w:szCs w:val="20"/>
        </w:rPr>
        <w:t xml:space="preserve">Source: </w:t>
      </w:r>
      <w:r w:rsidR="00C870CB">
        <w:rPr>
          <w:sz w:val="20"/>
          <w:szCs w:val="20"/>
        </w:rPr>
        <w:t>RPAD</w:t>
      </w:r>
      <w:r w:rsidRPr="000E1432">
        <w:rPr>
          <w:sz w:val="20"/>
          <w:szCs w:val="20"/>
        </w:rPr>
        <w:t xml:space="preserve">, </w:t>
      </w:r>
      <w:r w:rsidR="00C870CB">
        <w:rPr>
          <w:sz w:val="20"/>
          <w:szCs w:val="20"/>
        </w:rPr>
        <w:t>EOPSS</w:t>
      </w:r>
      <w:r w:rsidRPr="000E1432">
        <w:rPr>
          <w:sz w:val="20"/>
          <w:szCs w:val="20"/>
        </w:rPr>
        <w:t>, PSCR database. Data obtained June 30, 2017.</w:t>
      </w:r>
    </w:p>
    <w:p w:rsidR="00A01C22" w:rsidRPr="000E1432" w:rsidRDefault="00A01C22" w:rsidP="005B0036">
      <w:pPr>
        <w:pStyle w:val="NoSpacing"/>
        <w:rPr>
          <w:sz w:val="20"/>
          <w:szCs w:val="20"/>
        </w:rPr>
      </w:pPr>
      <w:r w:rsidRPr="000E1432">
        <w:rPr>
          <w:sz w:val="20"/>
          <w:szCs w:val="20"/>
        </w:rPr>
        <w:t xml:space="preserve">Note: Cases where </w:t>
      </w:r>
      <w:r>
        <w:rPr>
          <w:sz w:val="20"/>
          <w:szCs w:val="20"/>
        </w:rPr>
        <w:t xml:space="preserve">it was unknown whether the victim reported to police (N=177) was excluded. </w:t>
      </w:r>
    </w:p>
    <w:p w:rsidR="005B0036" w:rsidRDefault="005B0036">
      <w:pPr>
        <w:spacing w:after="200" w:line="276" w:lineRule="auto"/>
      </w:pPr>
      <w:r>
        <w:br w:type="page"/>
      </w:r>
    </w:p>
    <w:p w:rsidR="00F37634" w:rsidRDefault="004D4A80">
      <w:pPr>
        <w:spacing w:after="200" w:line="276" w:lineRule="auto"/>
      </w:pPr>
      <w:r>
        <w:lastRenderedPageBreak/>
        <w:t>In over</w:t>
      </w:r>
      <w:r w:rsidR="00797ADE">
        <w:t xml:space="preserve"> half of the </w:t>
      </w:r>
      <w:r w:rsidR="00C31998">
        <w:t>sexual assault cases the victim</w:t>
      </w:r>
      <w:r w:rsidR="00F0373D">
        <w:t xml:space="preserve"> kn</w:t>
      </w:r>
      <w:r w:rsidR="00797ADE">
        <w:t>ew</w:t>
      </w:r>
      <w:r w:rsidR="00F0373D">
        <w:t xml:space="preserve"> her/his assailant</w:t>
      </w:r>
      <w:r w:rsidR="00797ADE">
        <w:t xml:space="preserve"> </w:t>
      </w:r>
      <w:r w:rsidR="00F0373D">
        <w:t xml:space="preserve">(Table 7).  </w:t>
      </w:r>
      <w:r w:rsidR="00797ADE">
        <w:t>Reviewing 201</w:t>
      </w:r>
      <w:r>
        <w:t>7</w:t>
      </w:r>
      <w:r w:rsidR="00797ADE">
        <w:t xml:space="preserve"> data, i</w:t>
      </w:r>
      <w:r w:rsidR="004F1A44">
        <w:t>n a small number of sexual assault cases, the assailant is identified as “other” or is not known</w:t>
      </w:r>
      <w:r w:rsidR="00797ADE">
        <w:t xml:space="preserve">, </w:t>
      </w:r>
      <w:r>
        <w:t>8</w:t>
      </w:r>
      <w:r w:rsidR="00797ADE">
        <w:t xml:space="preserve">% and </w:t>
      </w:r>
      <w:r>
        <w:t>6</w:t>
      </w:r>
      <w:r w:rsidR="00797ADE">
        <w:t>%, respectively</w:t>
      </w:r>
      <w:r w:rsidR="004F1A44">
        <w:t xml:space="preserve">.  </w:t>
      </w:r>
    </w:p>
    <w:tbl>
      <w:tblPr>
        <w:tblStyle w:val="LightShading-Accent1"/>
        <w:tblW w:w="10260" w:type="dxa"/>
        <w:jc w:val="center"/>
        <w:tblLayout w:type="fixed"/>
        <w:tblLook w:val="04A0" w:firstRow="1" w:lastRow="0" w:firstColumn="1" w:lastColumn="0" w:noHBand="0" w:noVBand="1"/>
      </w:tblPr>
      <w:tblGrid>
        <w:gridCol w:w="810"/>
        <w:gridCol w:w="1350"/>
        <w:gridCol w:w="900"/>
        <w:gridCol w:w="1260"/>
        <w:gridCol w:w="900"/>
        <w:gridCol w:w="1080"/>
        <w:gridCol w:w="720"/>
        <w:gridCol w:w="720"/>
        <w:gridCol w:w="720"/>
        <w:gridCol w:w="900"/>
        <w:gridCol w:w="900"/>
      </w:tblGrid>
      <w:tr w:rsidR="008B6464" w:rsidRPr="00BC54B2" w:rsidTr="00EA49F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260" w:type="dxa"/>
            <w:gridSpan w:val="11"/>
          </w:tcPr>
          <w:p w:rsidR="008B6464" w:rsidRPr="00BC54B2" w:rsidRDefault="008B6464" w:rsidP="009F3706">
            <w:pPr>
              <w:rPr>
                <w:smallCaps/>
                <w:sz w:val="22"/>
                <w:szCs w:val="22"/>
              </w:rPr>
            </w:pPr>
            <w:r w:rsidRPr="00BC54B2">
              <w:rPr>
                <w:smallCaps/>
                <w:sz w:val="22"/>
                <w:szCs w:val="22"/>
              </w:rPr>
              <w:t xml:space="preserve">Table </w:t>
            </w:r>
            <w:r w:rsidR="009F3706" w:rsidRPr="00BC54B2">
              <w:rPr>
                <w:smallCaps/>
                <w:sz w:val="22"/>
                <w:szCs w:val="22"/>
              </w:rPr>
              <w:t>7</w:t>
            </w:r>
            <w:r w:rsidRPr="00BC54B2">
              <w:rPr>
                <w:smallCaps/>
                <w:sz w:val="22"/>
                <w:szCs w:val="22"/>
              </w:rPr>
              <w:t xml:space="preserve">. Number of </w:t>
            </w:r>
            <w:r w:rsidR="009F3706" w:rsidRPr="00BC54B2">
              <w:rPr>
                <w:smallCaps/>
                <w:sz w:val="22"/>
                <w:szCs w:val="22"/>
              </w:rPr>
              <w:t xml:space="preserve">Reported </w:t>
            </w:r>
            <w:r w:rsidRPr="00BC54B2">
              <w:rPr>
                <w:smallCaps/>
                <w:sz w:val="22"/>
                <w:szCs w:val="22"/>
              </w:rPr>
              <w:t xml:space="preserve">Sexual Assault </w:t>
            </w:r>
            <w:proofErr w:type="spellStart"/>
            <w:r w:rsidR="009F3706" w:rsidRPr="00BC54B2">
              <w:rPr>
                <w:smallCaps/>
                <w:sz w:val="22"/>
                <w:szCs w:val="22"/>
              </w:rPr>
              <w:t>Assailants</w:t>
            </w:r>
            <w:r w:rsidR="00B031C2" w:rsidRPr="00BC54B2">
              <w:rPr>
                <w:b w:val="0"/>
                <w:sz w:val="22"/>
                <w:szCs w:val="22"/>
                <w:vertAlign w:val="superscript"/>
              </w:rPr>
              <w:t>a</w:t>
            </w:r>
            <w:proofErr w:type="spellEnd"/>
            <w:r w:rsidR="009F3706" w:rsidRPr="00BC54B2">
              <w:rPr>
                <w:smallCaps/>
                <w:sz w:val="22"/>
                <w:szCs w:val="22"/>
              </w:rPr>
              <w:t xml:space="preserve"> by </w:t>
            </w:r>
            <w:r w:rsidRPr="00BC54B2">
              <w:rPr>
                <w:smallCaps/>
                <w:sz w:val="22"/>
                <w:szCs w:val="22"/>
              </w:rPr>
              <w:t>Victim</w:t>
            </w:r>
            <w:r w:rsidR="009F3706" w:rsidRPr="00BC54B2">
              <w:rPr>
                <w:smallCaps/>
                <w:sz w:val="22"/>
                <w:szCs w:val="22"/>
              </w:rPr>
              <w:t>/Offender Relationship</w:t>
            </w:r>
          </w:p>
        </w:tc>
      </w:tr>
      <w:tr w:rsidR="00EA49F6" w:rsidRPr="00470034" w:rsidTr="004D53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 w:type="dxa"/>
            <w:tcBorders>
              <w:right w:val="single" w:sz="12" w:space="0" w:color="4F81BD" w:themeColor="accent1"/>
            </w:tcBorders>
            <w:vAlign w:val="center"/>
          </w:tcPr>
          <w:p w:rsidR="008B6464" w:rsidRPr="00EA49F6" w:rsidRDefault="008B6464" w:rsidP="00EA49F6">
            <w:pPr>
              <w:rPr>
                <w:smallCaps/>
                <w:sz w:val="22"/>
                <w:szCs w:val="22"/>
              </w:rPr>
            </w:pPr>
            <w:r w:rsidRPr="00EA49F6">
              <w:rPr>
                <w:smallCaps/>
                <w:sz w:val="22"/>
                <w:szCs w:val="22"/>
              </w:rPr>
              <w:t>Year</w:t>
            </w:r>
          </w:p>
        </w:tc>
        <w:tc>
          <w:tcPr>
            <w:tcW w:w="1350" w:type="dxa"/>
            <w:tcBorders>
              <w:top w:val="nil"/>
              <w:left w:val="single" w:sz="12" w:space="0" w:color="4F81BD" w:themeColor="accent1"/>
              <w:bottom w:val="nil"/>
            </w:tcBorders>
            <w:vAlign w:val="center"/>
          </w:tcPr>
          <w:p w:rsidR="008B6464" w:rsidRPr="00470034" w:rsidRDefault="009F3706" w:rsidP="00EA49F6">
            <w:pPr>
              <w:jc w:val="center"/>
              <w:cnfStyle w:val="000000100000" w:firstRow="0" w:lastRow="0" w:firstColumn="0" w:lastColumn="0" w:oddVBand="0" w:evenVBand="0" w:oddHBand="1" w:evenHBand="0" w:firstRowFirstColumn="0" w:firstRowLastColumn="0" w:lastRowFirstColumn="0" w:lastRowLastColumn="0"/>
              <w:rPr>
                <w:b/>
                <w:smallCaps/>
                <w:sz w:val="22"/>
                <w:szCs w:val="22"/>
              </w:rPr>
            </w:pPr>
            <w:r w:rsidRPr="00470034">
              <w:rPr>
                <w:b/>
                <w:smallCaps/>
                <w:sz w:val="22"/>
                <w:szCs w:val="22"/>
              </w:rPr>
              <w:t>Non-</w:t>
            </w:r>
            <w:proofErr w:type="spellStart"/>
            <w:r w:rsidRPr="00470034">
              <w:rPr>
                <w:b/>
                <w:smallCaps/>
                <w:sz w:val="22"/>
                <w:szCs w:val="22"/>
              </w:rPr>
              <w:t>stranger</w:t>
            </w:r>
            <w:r w:rsidR="00B031C2" w:rsidRPr="00470034">
              <w:rPr>
                <w:sz w:val="22"/>
                <w:szCs w:val="22"/>
                <w:vertAlign w:val="superscript"/>
              </w:rPr>
              <w:t>b</w:t>
            </w:r>
            <w:proofErr w:type="spellEnd"/>
          </w:p>
        </w:tc>
        <w:tc>
          <w:tcPr>
            <w:tcW w:w="900" w:type="dxa"/>
            <w:tcBorders>
              <w:top w:val="nil"/>
              <w:bottom w:val="nil"/>
              <w:right w:val="single" w:sz="12" w:space="0" w:color="4F81BD" w:themeColor="accent1"/>
            </w:tcBorders>
            <w:vAlign w:val="center"/>
          </w:tcPr>
          <w:p w:rsidR="008B6464" w:rsidRPr="00470034" w:rsidRDefault="008B6464" w:rsidP="00EA49F6">
            <w:pPr>
              <w:jc w:val="center"/>
              <w:cnfStyle w:val="000000100000" w:firstRow="0" w:lastRow="0" w:firstColumn="0" w:lastColumn="0" w:oddVBand="0" w:evenVBand="0" w:oddHBand="1" w:evenHBand="0" w:firstRowFirstColumn="0" w:firstRowLastColumn="0" w:lastRowFirstColumn="0" w:lastRowLastColumn="0"/>
              <w:rPr>
                <w:b/>
                <w:smallCaps/>
                <w:sz w:val="22"/>
                <w:szCs w:val="22"/>
              </w:rPr>
            </w:pPr>
            <w:r w:rsidRPr="00470034">
              <w:rPr>
                <w:b/>
                <w:smallCaps/>
                <w:sz w:val="22"/>
                <w:szCs w:val="22"/>
              </w:rPr>
              <w:t>%</w:t>
            </w:r>
          </w:p>
        </w:tc>
        <w:tc>
          <w:tcPr>
            <w:tcW w:w="1260" w:type="dxa"/>
            <w:tcBorders>
              <w:left w:val="single" w:sz="12" w:space="0" w:color="4F81BD" w:themeColor="accent1"/>
            </w:tcBorders>
            <w:vAlign w:val="center"/>
          </w:tcPr>
          <w:p w:rsidR="008B6464" w:rsidRPr="00470034" w:rsidRDefault="00B031C2" w:rsidP="00EA49F6">
            <w:pPr>
              <w:jc w:val="center"/>
              <w:cnfStyle w:val="000000100000" w:firstRow="0" w:lastRow="0" w:firstColumn="0" w:lastColumn="0" w:oddVBand="0" w:evenVBand="0" w:oddHBand="1" w:evenHBand="0" w:firstRowFirstColumn="0" w:firstRowLastColumn="0" w:lastRowFirstColumn="0" w:lastRowLastColumn="0"/>
              <w:rPr>
                <w:b/>
                <w:smallCaps/>
                <w:sz w:val="22"/>
                <w:szCs w:val="22"/>
              </w:rPr>
            </w:pPr>
            <w:r w:rsidRPr="00470034">
              <w:rPr>
                <w:b/>
                <w:smallCaps/>
                <w:sz w:val="22"/>
                <w:szCs w:val="22"/>
              </w:rPr>
              <w:t>Stranger</w:t>
            </w:r>
          </w:p>
        </w:tc>
        <w:tc>
          <w:tcPr>
            <w:tcW w:w="900" w:type="dxa"/>
            <w:tcBorders>
              <w:right w:val="single" w:sz="12" w:space="0" w:color="4F81BD" w:themeColor="accent1"/>
            </w:tcBorders>
            <w:vAlign w:val="center"/>
          </w:tcPr>
          <w:p w:rsidR="008B6464" w:rsidRPr="00470034" w:rsidRDefault="008B6464" w:rsidP="00EA49F6">
            <w:pPr>
              <w:jc w:val="center"/>
              <w:cnfStyle w:val="000000100000" w:firstRow="0" w:lastRow="0" w:firstColumn="0" w:lastColumn="0" w:oddVBand="0" w:evenVBand="0" w:oddHBand="1" w:evenHBand="0" w:firstRowFirstColumn="0" w:firstRowLastColumn="0" w:lastRowFirstColumn="0" w:lastRowLastColumn="0"/>
              <w:rPr>
                <w:b/>
                <w:smallCaps/>
                <w:sz w:val="22"/>
                <w:szCs w:val="22"/>
              </w:rPr>
            </w:pPr>
            <w:r w:rsidRPr="00470034">
              <w:rPr>
                <w:b/>
                <w:smallCaps/>
                <w:sz w:val="22"/>
                <w:szCs w:val="22"/>
              </w:rPr>
              <w:t>%</w:t>
            </w:r>
          </w:p>
        </w:tc>
        <w:tc>
          <w:tcPr>
            <w:tcW w:w="1080" w:type="dxa"/>
            <w:tcBorders>
              <w:top w:val="nil"/>
              <w:left w:val="single" w:sz="12" w:space="0" w:color="4F81BD" w:themeColor="accent1"/>
              <w:bottom w:val="nil"/>
            </w:tcBorders>
            <w:vAlign w:val="center"/>
          </w:tcPr>
          <w:p w:rsidR="008B6464" w:rsidRPr="00470034" w:rsidRDefault="00B031C2" w:rsidP="00EA49F6">
            <w:pPr>
              <w:jc w:val="center"/>
              <w:cnfStyle w:val="000000100000" w:firstRow="0" w:lastRow="0" w:firstColumn="0" w:lastColumn="0" w:oddVBand="0" w:evenVBand="0" w:oddHBand="1" w:evenHBand="0" w:firstRowFirstColumn="0" w:firstRowLastColumn="0" w:lastRowFirstColumn="0" w:lastRowLastColumn="0"/>
              <w:rPr>
                <w:b/>
                <w:smallCaps/>
                <w:sz w:val="22"/>
                <w:szCs w:val="22"/>
              </w:rPr>
            </w:pPr>
            <w:r w:rsidRPr="00470034">
              <w:rPr>
                <w:b/>
                <w:smallCaps/>
                <w:sz w:val="22"/>
                <w:szCs w:val="22"/>
              </w:rPr>
              <w:t>Others</w:t>
            </w:r>
          </w:p>
        </w:tc>
        <w:tc>
          <w:tcPr>
            <w:tcW w:w="720" w:type="dxa"/>
            <w:tcBorders>
              <w:top w:val="nil"/>
              <w:bottom w:val="nil"/>
              <w:right w:val="single" w:sz="12" w:space="0" w:color="4F81BD" w:themeColor="accent1"/>
            </w:tcBorders>
            <w:vAlign w:val="center"/>
          </w:tcPr>
          <w:p w:rsidR="008B6464" w:rsidRPr="00470034" w:rsidRDefault="008B6464" w:rsidP="00EA49F6">
            <w:pPr>
              <w:jc w:val="center"/>
              <w:cnfStyle w:val="000000100000" w:firstRow="0" w:lastRow="0" w:firstColumn="0" w:lastColumn="0" w:oddVBand="0" w:evenVBand="0" w:oddHBand="1" w:evenHBand="0" w:firstRowFirstColumn="0" w:firstRowLastColumn="0" w:lastRowFirstColumn="0" w:lastRowLastColumn="0"/>
              <w:rPr>
                <w:b/>
                <w:smallCaps/>
                <w:sz w:val="22"/>
                <w:szCs w:val="22"/>
              </w:rPr>
            </w:pPr>
            <w:r w:rsidRPr="00470034">
              <w:rPr>
                <w:b/>
                <w:smallCaps/>
                <w:sz w:val="22"/>
                <w:szCs w:val="22"/>
              </w:rPr>
              <w:t>%</w:t>
            </w:r>
          </w:p>
        </w:tc>
        <w:tc>
          <w:tcPr>
            <w:tcW w:w="720" w:type="dxa"/>
            <w:tcBorders>
              <w:left w:val="single" w:sz="12" w:space="0" w:color="4F81BD" w:themeColor="accent1"/>
            </w:tcBorders>
            <w:vAlign w:val="center"/>
          </w:tcPr>
          <w:p w:rsidR="008B6464" w:rsidRPr="00470034" w:rsidRDefault="008B6464" w:rsidP="00EA49F6">
            <w:pPr>
              <w:jc w:val="center"/>
              <w:cnfStyle w:val="000000100000" w:firstRow="0" w:lastRow="0" w:firstColumn="0" w:lastColumn="0" w:oddVBand="0" w:evenVBand="0" w:oddHBand="1" w:evenHBand="0" w:firstRowFirstColumn="0" w:firstRowLastColumn="0" w:lastRowFirstColumn="0" w:lastRowLastColumn="0"/>
              <w:rPr>
                <w:b/>
                <w:smallCaps/>
                <w:sz w:val="22"/>
                <w:szCs w:val="22"/>
              </w:rPr>
            </w:pPr>
            <w:proofErr w:type="spellStart"/>
            <w:r w:rsidRPr="00470034">
              <w:rPr>
                <w:b/>
                <w:smallCaps/>
                <w:sz w:val="22"/>
                <w:szCs w:val="22"/>
              </w:rPr>
              <w:t>Unk</w:t>
            </w:r>
            <w:proofErr w:type="spellEnd"/>
            <w:r w:rsidRPr="00470034">
              <w:rPr>
                <w:b/>
                <w:smallCaps/>
                <w:sz w:val="22"/>
                <w:szCs w:val="22"/>
              </w:rPr>
              <w:t>.</w:t>
            </w:r>
          </w:p>
        </w:tc>
        <w:tc>
          <w:tcPr>
            <w:tcW w:w="720" w:type="dxa"/>
            <w:tcBorders>
              <w:right w:val="single" w:sz="12" w:space="0" w:color="4F81BD" w:themeColor="accent1"/>
            </w:tcBorders>
            <w:vAlign w:val="center"/>
          </w:tcPr>
          <w:p w:rsidR="008B6464" w:rsidRPr="00470034" w:rsidRDefault="008B6464" w:rsidP="00EA49F6">
            <w:pPr>
              <w:jc w:val="center"/>
              <w:cnfStyle w:val="000000100000" w:firstRow="0" w:lastRow="0" w:firstColumn="0" w:lastColumn="0" w:oddVBand="0" w:evenVBand="0" w:oddHBand="1" w:evenHBand="0" w:firstRowFirstColumn="0" w:firstRowLastColumn="0" w:lastRowFirstColumn="0" w:lastRowLastColumn="0"/>
              <w:rPr>
                <w:b/>
                <w:smallCaps/>
                <w:sz w:val="22"/>
                <w:szCs w:val="22"/>
              </w:rPr>
            </w:pPr>
            <w:r w:rsidRPr="00470034">
              <w:rPr>
                <w:b/>
                <w:smallCaps/>
                <w:sz w:val="22"/>
                <w:szCs w:val="22"/>
              </w:rPr>
              <w:t>%</w:t>
            </w:r>
          </w:p>
        </w:tc>
        <w:tc>
          <w:tcPr>
            <w:tcW w:w="900" w:type="dxa"/>
            <w:tcBorders>
              <w:top w:val="nil"/>
              <w:left w:val="single" w:sz="12" w:space="0" w:color="4F81BD" w:themeColor="accent1"/>
              <w:bottom w:val="nil"/>
            </w:tcBorders>
            <w:vAlign w:val="center"/>
          </w:tcPr>
          <w:p w:rsidR="008B6464" w:rsidRPr="00470034" w:rsidRDefault="008B6464" w:rsidP="00EA49F6">
            <w:pPr>
              <w:jc w:val="center"/>
              <w:cnfStyle w:val="000000100000" w:firstRow="0" w:lastRow="0" w:firstColumn="0" w:lastColumn="0" w:oddVBand="0" w:evenVBand="0" w:oddHBand="1" w:evenHBand="0" w:firstRowFirstColumn="0" w:firstRowLastColumn="0" w:lastRowFirstColumn="0" w:lastRowLastColumn="0"/>
              <w:rPr>
                <w:b/>
                <w:smallCaps/>
                <w:sz w:val="22"/>
                <w:szCs w:val="22"/>
              </w:rPr>
            </w:pPr>
            <w:r w:rsidRPr="00470034">
              <w:rPr>
                <w:b/>
                <w:smallCaps/>
                <w:sz w:val="22"/>
                <w:szCs w:val="22"/>
              </w:rPr>
              <w:t>Total</w:t>
            </w:r>
          </w:p>
        </w:tc>
        <w:tc>
          <w:tcPr>
            <w:tcW w:w="900" w:type="dxa"/>
          </w:tcPr>
          <w:p w:rsidR="008B6464" w:rsidRPr="00470034" w:rsidRDefault="008B6464" w:rsidP="008B6464">
            <w:pPr>
              <w:jc w:val="center"/>
              <w:cnfStyle w:val="000000100000" w:firstRow="0" w:lastRow="0" w:firstColumn="0" w:lastColumn="0" w:oddVBand="0" w:evenVBand="0" w:oddHBand="1" w:evenHBand="0" w:firstRowFirstColumn="0" w:firstRowLastColumn="0" w:lastRowFirstColumn="0" w:lastRowLastColumn="0"/>
              <w:rPr>
                <w:b/>
                <w:smallCaps/>
                <w:sz w:val="22"/>
                <w:szCs w:val="22"/>
              </w:rPr>
            </w:pPr>
            <w:r w:rsidRPr="00470034">
              <w:rPr>
                <w:b/>
                <w:smallCaps/>
                <w:sz w:val="22"/>
                <w:szCs w:val="22"/>
              </w:rPr>
              <w:t>Total %</w:t>
            </w:r>
          </w:p>
        </w:tc>
      </w:tr>
      <w:tr w:rsidR="00A742BA" w:rsidRPr="00470034" w:rsidTr="004D5369">
        <w:trPr>
          <w:jc w:val="center"/>
        </w:trPr>
        <w:tc>
          <w:tcPr>
            <w:cnfStyle w:val="001000000000" w:firstRow="0" w:lastRow="0" w:firstColumn="1" w:lastColumn="0" w:oddVBand="0" w:evenVBand="0" w:oddHBand="0" w:evenHBand="0" w:firstRowFirstColumn="0" w:firstRowLastColumn="0" w:lastRowFirstColumn="0" w:lastRowLastColumn="0"/>
            <w:tcW w:w="810" w:type="dxa"/>
            <w:tcBorders>
              <w:right w:val="single" w:sz="12" w:space="0" w:color="4F81BD" w:themeColor="accent1"/>
            </w:tcBorders>
          </w:tcPr>
          <w:p w:rsidR="008B6464" w:rsidRPr="00EA49F6" w:rsidRDefault="008B6464" w:rsidP="008B6464">
            <w:pPr>
              <w:rPr>
                <w:b w:val="0"/>
                <w:sz w:val="22"/>
                <w:szCs w:val="22"/>
              </w:rPr>
            </w:pPr>
            <w:r w:rsidRPr="00EA49F6">
              <w:rPr>
                <w:b w:val="0"/>
                <w:sz w:val="22"/>
                <w:szCs w:val="22"/>
              </w:rPr>
              <w:t>2011</w:t>
            </w:r>
          </w:p>
        </w:tc>
        <w:tc>
          <w:tcPr>
            <w:tcW w:w="1350" w:type="dxa"/>
            <w:tcBorders>
              <w:top w:val="nil"/>
              <w:left w:val="single" w:sz="12" w:space="0" w:color="4F81BD" w:themeColor="accent1"/>
              <w:bottom w:val="nil"/>
            </w:tcBorders>
          </w:tcPr>
          <w:p w:rsidR="008B6464" w:rsidRPr="00470034" w:rsidRDefault="00A742BA" w:rsidP="008B646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572</w:t>
            </w:r>
          </w:p>
        </w:tc>
        <w:tc>
          <w:tcPr>
            <w:tcW w:w="900" w:type="dxa"/>
            <w:tcBorders>
              <w:top w:val="nil"/>
              <w:bottom w:val="nil"/>
              <w:right w:val="single" w:sz="12" w:space="0" w:color="4F81BD" w:themeColor="accent1"/>
            </w:tcBorders>
          </w:tcPr>
          <w:p w:rsidR="008B6464" w:rsidRPr="00470034" w:rsidRDefault="00FC0BAB" w:rsidP="008B646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56.0</w:t>
            </w:r>
            <w:r w:rsidR="008B6464" w:rsidRPr="00470034">
              <w:rPr>
                <w:sz w:val="22"/>
                <w:szCs w:val="22"/>
              </w:rPr>
              <w:t>%</w:t>
            </w:r>
          </w:p>
        </w:tc>
        <w:tc>
          <w:tcPr>
            <w:tcW w:w="1260" w:type="dxa"/>
            <w:tcBorders>
              <w:left w:val="single" w:sz="12" w:space="0" w:color="4F81BD" w:themeColor="accent1"/>
            </w:tcBorders>
          </w:tcPr>
          <w:p w:rsidR="008B6464" w:rsidRPr="00470034" w:rsidRDefault="00F54074" w:rsidP="008B646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303</w:t>
            </w:r>
          </w:p>
        </w:tc>
        <w:tc>
          <w:tcPr>
            <w:tcW w:w="900" w:type="dxa"/>
            <w:tcBorders>
              <w:right w:val="single" w:sz="12" w:space="0" w:color="4F81BD" w:themeColor="accent1"/>
            </w:tcBorders>
          </w:tcPr>
          <w:p w:rsidR="008B6464" w:rsidRPr="00470034" w:rsidRDefault="00FC0BAB" w:rsidP="008B646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29.7</w:t>
            </w:r>
            <w:r w:rsidR="008B6464" w:rsidRPr="00470034">
              <w:rPr>
                <w:sz w:val="22"/>
                <w:szCs w:val="22"/>
              </w:rPr>
              <w:t>%</w:t>
            </w:r>
          </w:p>
        </w:tc>
        <w:tc>
          <w:tcPr>
            <w:tcW w:w="1080" w:type="dxa"/>
            <w:tcBorders>
              <w:top w:val="nil"/>
              <w:left w:val="single" w:sz="12" w:space="0" w:color="4F81BD" w:themeColor="accent1"/>
              <w:bottom w:val="nil"/>
            </w:tcBorders>
          </w:tcPr>
          <w:p w:rsidR="008B6464" w:rsidRPr="00470034" w:rsidRDefault="00F54074" w:rsidP="008B646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73</w:t>
            </w:r>
          </w:p>
        </w:tc>
        <w:tc>
          <w:tcPr>
            <w:tcW w:w="720" w:type="dxa"/>
            <w:tcBorders>
              <w:top w:val="nil"/>
              <w:bottom w:val="nil"/>
              <w:right w:val="single" w:sz="12" w:space="0" w:color="4F81BD" w:themeColor="accent1"/>
            </w:tcBorders>
          </w:tcPr>
          <w:p w:rsidR="008B6464" w:rsidRPr="00470034" w:rsidRDefault="00071C6E" w:rsidP="008B646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7.1</w:t>
            </w:r>
            <w:r w:rsidR="008B6464" w:rsidRPr="00470034">
              <w:rPr>
                <w:sz w:val="22"/>
                <w:szCs w:val="22"/>
              </w:rPr>
              <w:t>%</w:t>
            </w:r>
          </w:p>
        </w:tc>
        <w:tc>
          <w:tcPr>
            <w:tcW w:w="720" w:type="dxa"/>
            <w:tcBorders>
              <w:left w:val="single" w:sz="12" w:space="0" w:color="4F81BD" w:themeColor="accent1"/>
            </w:tcBorders>
          </w:tcPr>
          <w:p w:rsidR="008B6464" w:rsidRPr="00470034" w:rsidRDefault="00F54074" w:rsidP="008B646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73</w:t>
            </w:r>
          </w:p>
        </w:tc>
        <w:tc>
          <w:tcPr>
            <w:tcW w:w="720" w:type="dxa"/>
            <w:tcBorders>
              <w:right w:val="single" w:sz="12" w:space="0" w:color="4F81BD" w:themeColor="accent1"/>
            </w:tcBorders>
          </w:tcPr>
          <w:p w:rsidR="008B6464" w:rsidRPr="00470034" w:rsidRDefault="00DB410E" w:rsidP="008B646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7.1</w:t>
            </w:r>
            <w:r w:rsidR="008B6464" w:rsidRPr="00470034">
              <w:rPr>
                <w:sz w:val="22"/>
                <w:szCs w:val="22"/>
              </w:rPr>
              <w:t>%</w:t>
            </w:r>
          </w:p>
        </w:tc>
        <w:tc>
          <w:tcPr>
            <w:tcW w:w="900" w:type="dxa"/>
            <w:tcBorders>
              <w:top w:val="nil"/>
              <w:left w:val="single" w:sz="12" w:space="0" w:color="4F81BD" w:themeColor="accent1"/>
              <w:bottom w:val="nil"/>
            </w:tcBorders>
          </w:tcPr>
          <w:p w:rsidR="008B6464" w:rsidRPr="002F79C8" w:rsidRDefault="008B6464" w:rsidP="002F79C8">
            <w:pPr>
              <w:jc w:val="center"/>
              <w:cnfStyle w:val="000000000000" w:firstRow="0" w:lastRow="0" w:firstColumn="0" w:lastColumn="0" w:oddVBand="0" w:evenVBand="0" w:oddHBand="0" w:evenHBand="0" w:firstRowFirstColumn="0" w:firstRowLastColumn="0" w:lastRowFirstColumn="0" w:lastRowLastColumn="0"/>
              <w:rPr>
                <w:b/>
                <w:sz w:val="22"/>
                <w:szCs w:val="22"/>
              </w:rPr>
            </w:pPr>
            <w:r w:rsidRPr="002F79C8">
              <w:rPr>
                <w:b/>
                <w:sz w:val="22"/>
                <w:szCs w:val="22"/>
              </w:rPr>
              <w:t>1,</w:t>
            </w:r>
            <w:r w:rsidR="002F79C8">
              <w:rPr>
                <w:b/>
                <w:sz w:val="22"/>
                <w:szCs w:val="22"/>
              </w:rPr>
              <w:t>021</w:t>
            </w:r>
          </w:p>
        </w:tc>
        <w:tc>
          <w:tcPr>
            <w:tcW w:w="900" w:type="dxa"/>
          </w:tcPr>
          <w:p w:rsidR="008B6464" w:rsidRPr="00470034" w:rsidRDefault="008B6464" w:rsidP="008B64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70034">
              <w:rPr>
                <w:sz w:val="22"/>
                <w:szCs w:val="22"/>
              </w:rPr>
              <w:t>100%</w:t>
            </w:r>
          </w:p>
        </w:tc>
      </w:tr>
      <w:tr w:rsidR="00EA49F6" w:rsidRPr="00470034" w:rsidTr="004D53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 w:type="dxa"/>
            <w:tcBorders>
              <w:right w:val="single" w:sz="12" w:space="0" w:color="4F81BD" w:themeColor="accent1"/>
            </w:tcBorders>
          </w:tcPr>
          <w:p w:rsidR="008B6464" w:rsidRPr="00EA49F6" w:rsidRDefault="008B6464" w:rsidP="008B6464">
            <w:pPr>
              <w:rPr>
                <w:b w:val="0"/>
                <w:sz w:val="22"/>
                <w:szCs w:val="22"/>
              </w:rPr>
            </w:pPr>
            <w:r w:rsidRPr="00EA49F6">
              <w:rPr>
                <w:b w:val="0"/>
                <w:sz w:val="22"/>
                <w:szCs w:val="22"/>
              </w:rPr>
              <w:t>2012</w:t>
            </w:r>
          </w:p>
        </w:tc>
        <w:tc>
          <w:tcPr>
            <w:tcW w:w="1350" w:type="dxa"/>
            <w:tcBorders>
              <w:top w:val="nil"/>
              <w:left w:val="single" w:sz="12" w:space="0" w:color="4F81BD" w:themeColor="accent1"/>
              <w:bottom w:val="nil"/>
            </w:tcBorders>
          </w:tcPr>
          <w:p w:rsidR="008B6464" w:rsidRPr="00470034" w:rsidRDefault="00A742BA" w:rsidP="008B646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579</w:t>
            </w:r>
          </w:p>
        </w:tc>
        <w:tc>
          <w:tcPr>
            <w:tcW w:w="900" w:type="dxa"/>
            <w:tcBorders>
              <w:top w:val="nil"/>
              <w:bottom w:val="nil"/>
              <w:right w:val="single" w:sz="12" w:space="0" w:color="4F81BD" w:themeColor="accent1"/>
            </w:tcBorders>
          </w:tcPr>
          <w:p w:rsidR="008B6464" w:rsidRPr="00470034" w:rsidRDefault="00FC0BAB" w:rsidP="008B646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56.6</w:t>
            </w:r>
            <w:r w:rsidR="008B6464" w:rsidRPr="00470034">
              <w:rPr>
                <w:sz w:val="22"/>
                <w:szCs w:val="22"/>
              </w:rPr>
              <w:t>%</w:t>
            </w:r>
          </w:p>
        </w:tc>
        <w:tc>
          <w:tcPr>
            <w:tcW w:w="1260" w:type="dxa"/>
            <w:tcBorders>
              <w:left w:val="single" w:sz="12" w:space="0" w:color="4F81BD" w:themeColor="accent1"/>
            </w:tcBorders>
          </w:tcPr>
          <w:p w:rsidR="008B6464" w:rsidRPr="00470034" w:rsidRDefault="00F54074" w:rsidP="008B646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326</w:t>
            </w:r>
          </w:p>
        </w:tc>
        <w:tc>
          <w:tcPr>
            <w:tcW w:w="900" w:type="dxa"/>
            <w:tcBorders>
              <w:right w:val="single" w:sz="12" w:space="0" w:color="4F81BD" w:themeColor="accent1"/>
            </w:tcBorders>
          </w:tcPr>
          <w:p w:rsidR="008B6464" w:rsidRPr="00470034" w:rsidRDefault="00FC0BAB" w:rsidP="008B646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31.3</w:t>
            </w:r>
            <w:r w:rsidR="008B6464" w:rsidRPr="00470034">
              <w:rPr>
                <w:sz w:val="22"/>
                <w:szCs w:val="22"/>
              </w:rPr>
              <w:t>%</w:t>
            </w:r>
          </w:p>
        </w:tc>
        <w:tc>
          <w:tcPr>
            <w:tcW w:w="1080" w:type="dxa"/>
            <w:tcBorders>
              <w:top w:val="nil"/>
              <w:left w:val="single" w:sz="12" w:space="0" w:color="4F81BD" w:themeColor="accent1"/>
              <w:bottom w:val="nil"/>
            </w:tcBorders>
          </w:tcPr>
          <w:p w:rsidR="008B6464" w:rsidRPr="00470034" w:rsidRDefault="00F54074" w:rsidP="008B646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79</w:t>
            </w:r>
          </w:p>
        </w:tc>
        <w:tc>
          <w:tcPr>
            <w:tcW w:w="720" w:type="dxa"/>
            <w:tcBorders>
              <w:top w:val="nil"/>
              <w:bottom w:val="nil"/>
              <w:right w:val="single" w:sz="12" w:space="0" w:color="4F81BD" w:themeColor="accent1"/>
            </w:tcBorders>
          </w:tcPr>
          <w:p w:rsidR="008B6464" w:rsidRPr="00470034" w:rsidRDefault="00071C6E" w:rsidP="00917B8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7.6</w:t>
            </w:r>
            <w:r w:rsidR="008B6464" w:rsidRPr="00470034">
              <w:rPr>
                <w:sz w:val="22"/>
                <w:szCs w:val="22"/>
              </w:rPr>
              <w:t>%</w:t>
            </w:r>
          </w:p>
        </w:tc>
        <w:tc>
          <w:tcPr>
            <w:tcW w:w="720" w:type="dxa"/>
            <w:tcBorders>
              <w:left w:val="single" w:sz="12" w:space="0" w:color="4F81BD" w:themeColor="accent1"/>
            </w:tcBorders>
          </w:tcPr>
          <w:p w:rsidR="008B6464" w:rsidRPr="00470034" w:rsidRDefault="00F54074" w:rsidP="008B646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57</w:t>
            </w:r>
          </w:p>
        </w:tc>
        <w:tc>
          <w:tcPr>
            <w:tcW w:w="720" w:type="dxa"/>
            <w:tcBorders>
              <w:right w:val="single" w:sz="12" w:space="0" w:color="4F81BD" w:themeColor="accent1"/>
            </w:tcBorders>
          </w:tcPr>
          <w:p w:rsidR="008B6464" w:rsidRPr="00470034" w:rsidRDefault="00DB410E" w:rsidP="008B646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5.5</w:t>
            </w:r>
            <w:r w:rsidR="008B6464" w:rsidRPr="00470034">
              <w:rPr>
                <w:sz w:val="22"/>
                <w:szCs w:val="22"/>
              </w:rPr>
              <w:t>%</w:t>
            </w:r>
          </w:p>
        </w:tc>
        <w:tc>
          <w:tcPr>
            <w:tcW w:w="900" w:type="dxa"/>
            <w:tcBorders>
              <w:top w:val="nil"/>
              <w:left w:val="single" w:sz="12" w:space="0" w:color="4F81BD" w:themeColor="accent1"/>
              <w:bottom w:val="nil"/>
            </w:tcBorders>
          </w:tcPr>
          <w:p w:rsidR="008B6464" w:rsidRPr="002F79C8" w:rsidRDefault="002F79C8" w:rsidP="008B6464">
            <w:pPr>
              <w:jc w:val="center"/>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1,041</w:t>
            </w:r>
          </w:p>
        </w:tc>
        <w:tc>
          <w:tcPr>
            <w:tcW w:w="900" w:type="dxa"/>
          </w:tcPr>
          <w:p w:rsidR="008B6464" w:rsidRPr="00470034" w:rsidRDefault="008B6464" w:rsidP="008B6464">
            <w:pPr>
              <w:jc w:val="center"/>
              <w:cnfStyle w:val="000000100000" w:firstRow="0" w:lastRow="0" w:firstColumn="0" w:lastColumn="0" w:oddVBand="0" w:evenVBand="0" w:oddHBand="1" w:evenHBand="0" w:firstRowFirstColumn="0" w:firstRowLastColumn="0" w:lastRowFirstColumn="0" w:lastRowLastColumn="0"/>
              <w:rPr>
                <w:sz w:val="22"/>
                <w:szCs w:val="22"/>
              </w:rPr>
            </w:pPr>
            <w:r w:rsidRPr="00470034">
              <w:rPr>
                <w:sz w:val="22"/>
                <w:szCs w:val="22"/>
              </w:rPr>
              <w:t>100%</w:t>
            </w:r>
          </w:p>
        </w:tc>
      </w:tr>
      <w:tr w:rsidR="00A742BA" w:rsidRPr="00470034" w:rsidTr="004D5369">
        <w:trPr>
          <w:jc w:val="center"/>
        </w:trPr>
        <w:tc>
          <w:tcPr>
            <w:cnfStyle w:val="001000000000" w:firstRow="0" w:lastRow="0" w:firstColumn="1" w:lastColumn="0" w:oddVBand="0" w:evenVBand="0" w:oddHBand="0" w:evenHBand="0" w:firstRowFirstColumn="0" w:firstRowLastColumn="0" w:lastRowFirstColumn="0" w:lastRowLastColumn="0"/>
            <w:tcW w:w="810" w:type="dxa"/>
            <w:tcBorders>
              <w:right w:val="single" w:sz="12" w:space="0" w:color="4F81BD" w:themeColor="accent1"/>
            </w:tcBorders>
          </w:tcPr>
          <w:p w:rsidR="008B6464" w:rsidRPr="00EA49F6" w:rsidRDefault="008B6464" w:rsidP="008B6464">
            <w:pPr>
              <w:rPr>
                <w:b w:val="0"/>
                <w:sz w:val="22"/>
                <w:szCs w:val="22"/>
              </w:rPr>
            </w:pPr>
            <w:r w:rsidRPr="00EA49F6">
              <w:rPr>
                <w:b w:val="0"/>
                <w:sz w:val="22"/>
                <w:szCs w:val="22"/>
              </w:rPr>
              <w:t>2013</w:t>
            </w:r>
          </w:p>
        </w:tc>
        <w:tc>
          <w:tcPr>
            <w:tcW w:w="1350" w:type="dxa"/>
            <w:tcBorders>
              <w:top w:val="nil"/>
              <w:left w:val="single" w:sz="12" w:space="0" w:color="4F81BD" w:themeColor="accent1"/>
              <w:bottom w:val="nil"/>
            </w:tcBorders>
          </w:tcPr>
          <w:p w:rsidR="008B6464" w:rsidRPr="00470034" w:rsidRDefault="00A742BA" w:rsidP="008B646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665</w:t>
            </w:r>
          </w:p>
        </w:tc>
        <w:tc>
          <w:tcPr>
            <w:tcW w:w="900" w:type="dxa"/>
            <w:tcBorders>
              <w:top w:val="nil"/>
              <w:bottom w:val="nil"/>
              <w:right w:val="single" w:sz="12" w:space="0" w:color="4F81BD" w:themeColor="accent1"/>
            </w:tcBorders>
          </w:tcPr>
          <w:p w:rsidR="008B6464" w:rsidRPr="00470034" w:rsidRDefault="00FC0BAB" w:rsidP="008B646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55.4</w:t>
            </w:r>
            <w:r w:rsidR="008B6464" w:rsidRPr="00470034">
              <w:rPr>
                <w:sz w:val="22"/>
                <w:szCs w:val="22"/>
              </w:rPr>
              <w:t>%</w:t>
            </w:r>
          </w:p>
        </w:tc>
        <w:tc>
          <w:tcPr>
            <w:tcW w:w="1260" w:type="dxa"/>
            <w:tcBorders>
              <w:left w:val="single" w:sz="12" w:space="0" w:color="4F81BD" w:themeColor="accent1"/>
            </w:tcBorders>
          </w:tcPr>
          <w:p w:rsidR="008B6464" w:rsidRPr="00470034" w:rsidRDefault="00F54074" w:rsidP="008B646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358</w:t>
            </w:r>
          </w:p>
        </w:tc>
        <w:tc>
          <w:tcPr>
            <w:tcW w:w="900" w:type="dxa"/>
            <w:tcBorders>
              <w:right w:val="single" w:sz="12" w:space="0" w:color="4F81BD" w:themeColor="accent1"/>
            </w:tcBorders>
          </w:tcPr>
          <w:p w:rsidR="008B6464" w:rsidRPr="00470034" w:rsidRDefault="00FC0BAB" w:rsidP="008B646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29.8</w:t>
            </w:r>
            <w:r w:rsidR="008B6464" w:rsidRPr="00470034">
              <w:rPr>
                <w:sz w:val="22"/>
                <w:szCs w:val="22"/>
              </w:rPr>
              <w:t>%</w:t>
            </w:r>
          </w:p>
        </w:tc>
        <w:tc>
          <w:tcPr>
            <w:tcW w:w="1080" w:type="dxa"/>
            <w:tcBorders>
              <w:top w:val="nil"/>
              <w:left w:val="single" w:sz="12" w:space="0" w:color="4F81BD" w:themeColor="accent1"/>
              <w:bottom w:val="nil"/>
            </w:tcBorders>
          </w:tcPr>
          <w:p w:rsidR="008B6464" w:rsidRPr="00470034" w:rsidRDefault="00F54074" w:rsidP="008B646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75</w:t>
            </w:r>
          </w:p>
        </w:tc>
        <w:tc>
          <w:tcPr>
            <w:tcW w:w="720" w:type="dxa"/>
            <w:tcBorders>
              <w:top w:val="nil"/>
              <w:bottom w:val="nil"/>
              <w:right w:val="single" w:sz="12" w:space="0" w:color="4F81BD" w:themeColor="accent1"/>
            </w:tcBorders>
          </w:tcPr>
          <w:p w:rsidR="008B6464" w:rsidRPr="00470034" w:rsidRDefault="00071C6E" w:rsidP="00917B83">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6.3</w:t>
            </w:r>
            <w:r w:rsidR="008B6464" w:rsidRPr="00470034">
              <w:rPr>
                <w:sz w:val="22"/>
                <w:szCs w:val="22"/>
              </w:rPr>
              <w:t>%</w:t>
            </w:r>
          </w:p>
        </w:tc>
        <w:tc>
          <w:tcPr>
            <w:tcW w:w="720" w:type="dxa"/>
            <w:tcBorders>
              <w:left w:val="single" w:sz="12" w:space="0" w:color="4F81BD" w:themeColor="accent1"/>
            </w:tcBorders>
          </w:tcPr>
          <w:p w:rsidR="008B6464" w:rsidRPr="00470034" w:rsidRDefault="00F54074" w:rsidP="008B646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102</w:t>
            </w:r>
          </w:p>
        </w:tc>
        <w:tc>
          <w:tcPr>
            <w:tcW w:w="720" w:type="dxa"/>
            <w:tcBorders>
              <w:right w:val="single" w:sz="12" w:space="0" w:color="4F81BD" w:themeColor="accent1"/>
            </w:tcBorders>
          </w:tcPr>
          <w:p w:rsidR="008B6464" w:rsidRPr="00470034" w:rsidRDefault="00DB410E" w:rsidP="008B646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8.5</w:t>
            </w:r>
            <w:r w:rsidR="008B6464" w:rsidRPr="00470034">
              <w:rPr>
                <w:sz w:val="22"/>
                <w:szCs w:val="22"/>
              </w:rPr>
              <w:t>%</w:t>
            </w:r>
          </w:p>
        </w:tc>
        <w:tc>
          <w:tcPr>
            <w:tcW w:w="900" w:type="dxa"/>
            <w:tcBorders>
              <w:top w:val="nil"/>
              <w:left w:val="single" w:sz="12" w:space="0" w:color="4F81BD" w:themeColor="accent1"/>
              <w:bottom w:val="nil"/>
            </w:tcBorders>
          </w:tcPr>
          <w:p w:rsidR="008B6464" w:rsidRPr="002F79C8" w:rsidRDefault="002F79C8" w:rsidP="008B6464">
            <w:pPr>
              <w:jc w:val="center"/>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1,200</w:t>
            </w:r>
          </w:p>
        </w:tc>
        <w:tc>
          <w:tcPr>
            <w:tcW w:w="900" w:type="dxa"/>
          </w:tcPr>
          <w:p w:rsidR="008B6464" w:rsidRPr="00470034" w:rsidRDefault="008B6464" w:rsidP="008B64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70034">
              <w:rPr>
                <w:sz w:val="22"/>
                <w:szCs w:val="22"/>
              </w:rPr>
              <w:t>100%</w:t>
            </w:r>
          </w:p>
        </w:tc>
      </w:tr>
      <w:tr w:rsidR="00EA49F6" w:rsidRPr="00470034" w:rsidTr="004D53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 w:type="dxa"/>
            <w:tcBorders>
              <w:right w:val="single" w:sz="12" w:space="0" w:color="4F81BD" w:themeColor="accent1"/>
            </w:tcBorders>
          </w:tcPr>
          <w:p w:rsidR="008B6464" w:rsidRPr="00EA49F6" w:rsidRDefault="008B6464" w:rsidP="008B6464">
            <w:pPr>
              <w:rPr>
                <w:b w:val="0"/>
                <w:sz w:val="22"/>
                <w:szCs w:val="22"/>
              </w:rPr>
            </w:pPr>
            <w:r w:rsidRPr="00EA49F6">
              <w:rPr>
                <w:b w:val="0"/>
                <w:sz w:val="22"/>
                <w:szCs w:val="22"/>
              </w:rPr>
              <w:t>2014</w:t>
            </w:r>
          </w:p>
        </w:tc>
        <w:tc>
          <w:tcPr>
            <w:tcW w:w="1350" w:type="dxa"/>
            <w:tcBorders>
              <w:top w:val="nil"/>
              <w:left w:val="single" w:sz="12" w:space="0" w:color="4F81BD" w:themeColor="accent1"/>
              <w:bottom w:val="nil"/>
            </w:tcBorders>
          </w:tcPr>
          <w:p w:rsidR="008B6464" w:rsidRPr="00470034" w:rsidRDefault="00A742BA" w:rsidP="008B646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667</w:t>
            </w:r>
          </w:p>
        </w:tc>
        <w:tc>
          <w:tcPr>
            <w:tcW w:w="900" w:type="dxa"/>
            <w:tcBorders>
              <w:top w:val="nil"/>
              <w:bottom w:val="nil"/>
              <w:right w:val="single" w:sz="12" w:space="0" w:color="4F81BD" w:themeColor="accent1"/>
            </w:tcBorders>
          </w:tcPr>
          <w:p w:rsidR="008B6464" w:rsidRPr="00470034" w:rsidRDefault="00FC0BAB" w:rsidP="008B646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59.2</w:t>
            </w:r>
            <w:r w:rsidR="008B6464" w:rsidRPr="00470034">
              <w:rPr>
                <w:sz w:val="22"/>
                <w:szCs w:val="22"/>
              </w:rPr>
              <w:t>%</w:t>
            </w:r>
          </w:p>
        </w:tc>
        <w:tc>
          <w:tcPr>
            <w:tcW w:w="1260" w:type="dxa"/>
            <w:tcBorders>
              <w:left w:val="single" w:sz="12" w:space="0" w:color="4F81BD" w:themeColor="accent1"/>
            </w:tcBorders>
          </w:tcPr>
          <w:p w:rsidR="008B6464" w:rsidRPr="00470034" w:rsidRDefault="00F54074" w:rsidP="008B646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344</w:t>
            </w:r>
          </w:p>
        </w:tc>
        <w:tc>
          <w:tcPr>
            <w:tcW w:w="900" w:type="dxa"/>
            <w:tcBorders>
              <w:right w:val="single" w:sz="12" w:space="0" w:color="4F81BD" w:themeColor="accent1"/>
            </w:tcBorders>
          </w:tcPr>
          <w:p w:rsidR="008B6464" w:rsidRPr="00470034" w:rsidRDefault="00FC0BAB" w:rsidP="008B646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30.5</w:t>
            </w:r>
            <w:r w:rsidR="008B6464" w:rsidRPr="00470034">
              <w:rPr>
                <w:sz w:val="22"/>
                <w:szCs w:val="22"/>
              </w:rPr>
              <w:t>%</w:t>
            </w:r>
          </w:p>
        </w:tc>
        <w:tc>
          <w:tcPr>
            <w:tcW w:w="1080" w:type="dxa"/>
            <w:tcBorders>
              <w:top w:val="nil"/>
              <w:left w:val="single" w:sz="12" w:space="0" w:color="4F81BD" w:themeColor="accent1"/>
              <w:bottom w:val="nil"/>
            </w:tcBorders>
          </w:tcPr>
          <w:p w:rsidR="008B6464" w:rsidRPr="00470034" w:rsidRDefault="00F54074" w:rsidP="008B646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57</w:t>
            </w:r>
          </w:p>
        </w:tc>
        <w:tc>
          <w:tcPr>
            <w:tcW w:w="720" w:type="dxa"/>
            <w:tcBorders>
              <w:top w:val="nil"/>
              <w:bottom w:val="nil"/>
              <w:right w:val="single" w:sz="12" w:space="0" w:color="4F81BD" w:themeColor="accent1"/>
            </w:tcBorders>
          </w:tcPr>
          <w:p w:rsidR="008B6464" w:rsidRPr="00470034" w:rsidRDefault="00071C6E" w:rsidP="00917B8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5.1</w:t>
            </w:r>
            <w:r w:rsidR="008B6464" w:rsidRPr="00470034">
              <w:rPr>
                <w:sz w:val="22"/>
                <w:szCs w:val="22"/>
              </w:rPr>
              <w:t>%</w:t>
            </w:r>
          </w:p>
        </w:tc>
        <w:tc>
          <w:tcPr>
            <w:tcW w:w="720" w:type="dxa"/>
            <w:tcBorders>
              <w:left w:val="single" w:sz="12" w:space="0" w:color="4F81BD" w:themeColor="accent1"/>
            </w:tcBorders>
          </w:tcPr>
          <w:p w:rsidR="008B6464" w:rsidRPr="00470034" w:rsidRDefault="00F54074" w:rsidP="008B646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59</w:t>
            </w:r>
          </w:p>
        </w:tc>
        <w:tc>
          <w:tcPr>
            <w:tcW w:w="720" w:type="dxa"/>
            <w:tcBorders>
              <w:right w:val="single" w:sz="12" w:space="0" w:color="4F81BD" w:themeColor="accent1"/>
            </w:tcBorders>
          </w:tcPr>
          <w:p w:rsidR="008B6464" w:rsidRPr="00470034" w:rsidRDefault="00DB410E" w:rsidP="008B646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5.2</w:t>
            </w:r>
            <w:r w:rsidR="008B6464" w:rsidRPr="00470034">
              <w:rPr>
                <w:sz w:val="22"/>
                <w:szCs w:val="22"/>
              </w:rPr>
              <w:t>%</w:t>
            </w:r>
          </w:p>
        </w:tc>
        <w:tc>
          <w:tcPr>
            <w:tcW w:w="900" w:type="dxa"/>
            <w:tcBorders>
              <w:top w:val="nil"/>
              <w:left w:val="single" w:sz="12" w:space="0" w:color="4F81BD" w:themeColor="accent1"/>
              <w:bottom w:val="nil"/>
            </w:tcBorders>
          </w:tcPr>
          <w:p w:rsidR="008B6464" w:rsidRPr="002F79C8" w:rsidRDefault="002F79C8" w:rsidP="008B6464">
            <w:pPr>
              <w:jc w:val="center"/>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1,127</w:t>
            </w:r>
          </w:p>
        </w:tc>
        <w:tc>
          <w:tcPr>
            <w:tcW w:w="900" w:type="dxa"/>
          </w:tcPr>
          <w:p w:rsidR="008B6464" w:rsidRPr="00470034" w:rsidRDefault="008B6464" w:rsidP="008B6464">
            <w:pPr>
              <w:jc w:val="center"/>
              <w:cnfStyle w:val="000000100000" w:firstRow="0" w:lastRow="0" w:firstColumn="0" w:lastColumn="0" w:oddVBand="0" w:evenVBand="0" w:oddHBand="1" w:evenHBand="0" w:firstRowFirstColumn="0" w:firstRowLastColumn="0" w:lastRowFirstColumn="0" w:lastRowLastColumn="0"/>
              <w:rPr>
                <w:sz w:val="22"/>
                <w:szCs w:val="22"/>
              </w:rPr>
            </w:pPr>
            <w:r w:rsidRPr="00470034">
              <w:rPr>
                <w:sz w:val="22"/>
                <w:szCs w:val="22"/>
              </w:rPr>
              <w:t>100%</w:t>
            </w:r>
          </w:p>
        </w:tc>
      </w:tr>
      <w:tr w:rsidR="00A742BA" w:rsidRPr="00470034" w:rsidTr="004D5369">
        <w:trPr>
          <w:jc w:val="center"/>
        </w:trPr>
        <w:tc>
          <w:tcPr>
            <w:cnfStyle w:val="001000000000" w:firstRow="0" w:lastRow="0" w:firstColumn="1" w:lastColumn="0" w:oddVBand="0" w:evenVBand="0" w:oddHBand="0" w:evenHBand="0" w:firstRowFirstColumn="0" w:firstRowLastColumn="0" w:lastRowFirstColumn="0" w:lastRowLastColumn="0"/>
            <w:tcW w:w="810" w:type="dxa"/>
            <w:tcBorders>
              <w:right w:val="single" w:sz="12" w:space="0" w:color="4F81BD" w:themeColor="accent1"/>
            </w:tcBorders>
          </w:tcPr>
          <w:p w:rsidR="008B6464" w:rsidRPr="00EA49F6" w:rsidRDefault="008B6464" w:rsidP="008B6464">
            <w:pPr>
              <w:rPr>
                <w:b w:val="0"/>
                <w:sz w:val="22"/>
                <w:szCs w:val="22"/>
              </w:rPr>
            </w:pPr>
            <w:r w:rsidRPr="00EA49F6">
              <w:rPr>
                <w:b w:val="0"/>
                <w:sz w:val="22"/>
                <w:szCs w:val="22"/>
              </w:rPr>
              <w:t>2015</w:t>
            </w:r>
          </w:p>
        </w:tc>
        <w:tc>
          <w:tcPr>
            <w:tcW w:w="1350" w:type="dxa"/>
            <w:tcBorders>
              <w:top w:val="nil"/>
              <w:left w:val="single" w:sz="12" w:space="0" w:color="4F81BD" w:themeColor="accent1"/>
              <w:bottom w:val="nil"/>
            </w:tcBorders>
          </w:tcPr>
          <w:p w:rsidR="008B6464" w:rsidRPr="00470034" w:rsidRDefault="00A742BA" w:rsidP="008B646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690</w:t>
            </w:r>
          </w:p>
        </w:tc>
        <w:tc>
          <w:tcPr>
            <w:tcW w:w="900" w:type="dxa"/>
            <w:tcBorders>
              <w:top w:val="nil"/>
              <w:bottom w:val="nil"/>
              <w:right w:val="single" w:sz="12" w:space="0" w:color="4F81BD" w:themeColor="accent1"/>
            </w:tcBorders>
          </w:tcPr>
          <w:p w:rsidR="008B6464" w:rsidRPr="00470034" w:rsidRDefault="00FC0BAB" w:rsidP="008B646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59.1</w:t>
            </w:r>
            <w:r w:rsidR="008B6464" w:rsidRPr="00470034">
              <w:rPr>
                <w:sz w:val="22"/>
                <w:szCs w:val="22"/>
              </w:rPr>
              <w:t>%</w:t>
            </w:r>
          </w:p>
        </w:tc>
        <w:tc>
          <w:tcPr>
            <w:tcW w:w="1260" w:type="dxa"/>
            <w:tcBorders>
              <w:left w:val="single" w:sz="12" w:space="0" w:color="4F81BD" w:themeColor="accent1"/>
            </w:tcBorders>
          </w:tcPr>
          <w:p w:rsidR="008B6464" w:rsidRPr="00470034" w:rsidRDefault="00F54074" w:rsidP="008B646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340</w:t>
            </w:r>
          </w:p>
        </w:tc>
        <w:tc>
          <w:tcPr>
            <w:tcW w:w="900" w:type="dxa"/>
            <w:tcBorders>
              <w:right w:val="single" w:sz="12" w:space="0" w:color="4F81BD" w:themeColor="accent1"/>
            </w:tcBorders>
          </w:tcPr>
          <w:p w:rsidR="008B6464" w:rsidRPr="00470034" w:rsidRDefault="00FC0BAB" w:rsidP="008B646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29.1</w:t>
            </w:r>
            <w:r w:rsidR="008B6464" w:rsidRPr="00470034">
              <w:rPr>
                <w:sz w:val="22"/>
                <w:szCs w:val="22"/>
              </w:rPr>
              <w:t>%</w:t>
            </w:r>
          </w:p>
        </w:tc>
        <w:tc>
          <w:tcPr>
            <w:tcW w:w="1080" w:type="dxa"/>
            <w:tcBorders>
              <w:top w:val="nil"/>
              <w:left w:val="single" w:sz="12" w:space="0" w:color="4F81BD" w:themeColor="accent1"/>
              <w:bottom w:val="nil"/>
            </w:tcBorders>
          </w:tcPr>
          <w:p w:rsidR="008B6464" w:rsidRPr="00470034" w:rsidRDefault="00F54074" w:rsidP="008B646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74</w:t>
            </w:r>
          </w:p>
        </w:tc>
        <w:tc>
          <w:tcPr>
            <w:tcW w:w="720" w:type="dxa"/>
            <w:tcBorders>
              <w:top w:val="nil"/>
              <w:bottom w:val="nil"/>
              <w:right w:val="single" w:sz="12" w:space="0" w:color="4F81BD" w:themeColor="accent1"/>
            </w:tcBorders>
          </w:tcPr>
          <w:p w:rsidR="008B6464" w:rsidRPr="00470034" w:rsidRDefault="00071C6E" w:rsidP="00917B83">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6.3</w:t>
            </w:r>
            <w:r w:rsidR="008B6464" w:rsidRPr="00470034">
              <w:rPr>
                <w:sz w:val="22"/>
                <w:szCs w:val="22"/>
              </w:rPr>
              <w:t>%</w:t>
            </w:r>
          </w:p>
        </w:tc>
        <w:tc>
          <w:tcPr>
            <w:tcW w:w="720" w:type="dxa"/>
            <w:tcBorders>
              <w:left w:val="single" w:sz="12" w:space="0" w:color="4F81BD" w:themeColor="accent1"/>
            </w:tcBorders>
          </w:tcPr>
          <w:p w:rsidR="008B6464" w:rsidRPr="00470034" w:rsidRDefault="00F54074" w:rsidP="008B646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63</w:t>
            </w:r>
          </w:p>
        </w:tc>
        <w:tc>
          <w:tcPr>
            <w:tcW w:w="720" w:type="dxa"/>
            <w:tcBorders>
              <w:right w:val="single" w:sz="12" w:space="0" w:color="4F81BD" w:themeColor="accent1"/>
            </w:tcBorders>
          </w:tcPr>
          <w:p w:rsidR="008B6464" w:rsidRPr="00470034" w:rsidRDefault="00DB410E" w:rsidP="008B646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5.4</w:t>
            </w:r>
            <w:r w:rsidR="008B6464" w:rsidRPr="00470034">
              <w:rPr>
                <w:sz w:val="22"/>
                <w:szCs w:val="22"/>
              </w:rPr>
              <w:t>%</w:t>
            </w:r>
          </w:p>
        </w:tc>
        <w:tc>
          <w:tcPr>
            <w:tcW w:w="900" w:type="dxa"/>
            <w:tcBorders>
              <w:top w:val="nil"/>
              <w:left w:val="single" w:sz="12" w:space="0" w:color="4F81BD" w:themeColor="accent1"/>
              <w:bottom w:val="nil"/>
            </w:tcBorders>
          </w:tcPr>
          <w:p w:rsidR="008B6464" w:rsidRPr="002F79C8" w:rsidRDefault="002F79C8" w:rsidP="008B6464">
            <w:pPr>
              <w:jc w:val="center"/>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1,167</w:t>
            </w:r>
          </w:p>
        </w:tc>
        <w:tc>
          <w:tcPr>
            <w:tcW w:w="900" w:type="dxa"/>
          </w:tcPr>
          <w:p w:rsidR="008B6464" w:rsidRPr="00470034" w:rsidRDefault="008B6464" w:rsidP="008B64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70034">
              <w:rPr>
                <w:sz w:val="22"/>
                <w:szCs w:val="22"/>
              </w:rPr>
              <w:t>100%</w:t>
            </w:r>
          </w:p>
        </w:tc>
      </w:tr>
      <w:tr w:rsidR="00EA49F6" w:rsidRPr="00470034" w:rsidTr="004D53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 w:type="dxa"/>
            <w:tcBorders>
              <w:right w:val="single" w:sz="12" w:space="0" w:color="4F81BD" w:themeColor="accent1"/>
            </w:tcBorders>
          </w:tcPr>
          <w:p w:rsidR="008B6464" w:rsidRPr="00EA49F6" w:rsidRDefault="008B6464" w:rsidP="008B6464">
            <w:pPr>
              <w:rPr>
                <w:b w:val="0"/>
                <w:sz w:val="22"/>
                <w:szCs w:val="22"/>
              </w:rPr>
            </w:pPr>
            <w:r w:rsidRPr="00EA49F6">
              <w:rPr>
                <w:b w:val="0"/>
                <w:sz w:val="22"/>
                <w:szCs w:val="22"/>
              </w:rPr>
              <w:t>2016</w:t>
            </w:r>
          </w:p>
        </w:tc>
        <w:tc>
          <w:tcPr>
            <w:tcW w:w="1350" w:type="dxa"/>
            <w:tcBorders>
              <w:top w:val="nil"/>
              <w:left w:val="single" w:sz="12" w:space="0" w:color="4F81BD" w:themeColor="accent1"/>
              <w:bottom w:val="nil"/>
            </w:tcBorders>
          </w:tcPr>
          <w:p w:rsidR="008B6464" w:rsidRPr="00470034" w:rsidRDefault="00A742BA" w:rsidP="008B646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703</w:t>
            </w:r>
          </w:p>
        </w:tc>
        <w:tc>
          <w:tcPr>
            <w:tcW w:w="900" w:type="dxa"/>
            <w:tcBorders>
              <w:top w:val="nil"/>
              <w:bottom w:val="nil"/>
              <w:right w:val="single" w:sz="12" w:space="0" w:color="4F81BD" w:themeColor="accent1"/>
            </w:tcBorders>
          </w:tcPr>
          <w:p w:rsidR="008B6464" w:rsidRPr="00470034" w:rsidRDefault="00FC0BAB" w:rsidP="008B646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58.2</w:t>
            </w:r>
            <w:r w:rsidR="008B6464" w:rsidRPr="00470034">
              <w:rPr>
                <w:sz w:val="22"/>
                <w:szCs w:val="22"/>
              </w:rPr>
              <w:t>%</w:t>
            </w:r>
          </w:p>
        </w:tc>
        <w:tc>
          <w:tcPr>
            <w:tcW w:w="1260" w:type="dxa"/>
            <w:tcBorders>
              <w:left w:val="single" w:sz="12" w:space="0" w:color="4F81BD" w:themeColor="accent1"/>
            </w:tcBorders>
          </w:tcPr>
          <w:p w:rsidR="008B6464" w:rsidRPr="00470034" w:rsidRDefault="00F54074" w:rsidP="008B646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348</w:t>
            </w:r>
          </w:p>
        </w:tc>
        <w:tc>
          <w:tcPr>
            <w:tcW w:w="900" w:type="dxa"/>
            <w:tcBorders>
              <w:right w:val="single" w:sz="12" w:space="0" w:color="4F81BD" w:themeColor="accent1"/>
            </w:tcBorders>
          </w:tcPr>
          <w:p w:rsidR="008B6464" w:rsidRPr="00470034" w:rsidRDefault="00071C6E" w:rsidP="008B646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28.8</w:t>
            </w:r>
            <w:r w:rsidR="008B6464" w:rsidRPr="00470034">
              <w:rPr>
                <w:sz w:val="22"/>
                <w:szCs w:val="22"/>
              </w:rPr>
              <w:t>%</w:t>
            </w:r>
          </w:p>
        </w:tc>
        <w:tc>
          <w:tcPr>
            <w:tcW w:w="1080" w:type="dxa"/>
            <w:tcBorders>
              <w:top w:val="nil"/>
              <w:left w:val="single" w:sz="12" w:space="0" w:color="4F81BD" w:themeColor="accent1"/>
              <w:bottom w:val="nil"/>
            </w:tcBorders>
          </w:tcPr>
          <w:p w:rsidR="008B6464" w:rsidRPr="00470034" w:rsidRDefault="00F54074" w:rsidP="008B646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89</w:t>
            </w:r>
          </w:p>
        </w:tc>
        <w:tc>
          <w:tcPr>
            <w:tcW w:w="720" w:type="dxa"/>
            <w:tcBorders>
              <w:top w:val="nil"/>
              <w:bottom w:val="nil"/>
              <w:right w:val="single" w:sz="12" w:space="0" w:color="4F81BD" w:themeColor="accent1"/>
            </w:tcBorders>
          </w:tcPr>
          <w:p w:rsidR="008B6464" w:rsidRPr="00470034" w:rsidRDefault="00071C6E" w:rsidP="00917B8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7.4</w:t>
            </w:r>
            <w:r w:rsidR="008B6464" w:rsidRPr="00470034">
              <w:rPr>
                <w:sz w:val="22"/>
                <w:szCs w:val="22"/>
              </w:rPr>
              <w:t>%</w:t>
            </w:r>
          </w:p>
        </w:tc>
        <w:tc>
          <w:tcPr>
            <w:tcW w:w="720" w:type="dxa"/>
            <w:tcBorders>
              <w:left w:val="single" w:sz="12" w:space="0" w:color="4F81BD" w:themeColor="accent1"/>
            </w:tcBorders>
          </w:tcPr>
          <w:p w:rsidR="008B6464" w:rsidRPr="00470034" w:rsidRDefault="00F54074" w:rsidP="008B646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68</w:t>
            </w:r>
          </w:p>
        </w:tc>
        <w:tc>
          <w:tcPr>
            <w:tcW w:w="720" w:type="dxa"/>
            <w:tcBorders>
              <w:right w:val="single" w:sz="12" w:space="0" w:color="4F81BD" w:themeColor="accent1"/>
            </w:tcBorders>
          </w:tcPr>
          <w:p w:rsidR="008B6464" w:rsidRPr="00470034" w:rsidRDefault="00DB410E" w:rsidP="008B646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5.6</w:t>
            </w:r>
            <w:r w:rsidR="008B6464" w:rsidRPr="00470034">
              <w:rPr>
                <w:sz w:val="22"/>
                <w:szCs w:val="22"/>
              </w:rPr>
              <w:t>%</w:t>
            </w:r>
          </w:p>
        </w:tc>
        <w:tc>
          <w:tcPr>
            <w:tcW w:w="900" w:type="dxa"/>
            <w:tcBorders>
              <w:top w:val="nil"/>
              <w:left w:val="single" w:sz="12" w:space="0" w:color="4F81BD" w:themeColor="accent1"/>
              <w:bottom w:val="nil"/>
            </w:tcBorders>
          </w:tcPr>
          <w:p w:rsidR="008B6464" w:rsidRPr="002F79C8" w:rsidRDefault="002F79C8" w:rsidP="008B6464">
            <w:pPr>
              <w:jc w:val="center"/>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1,208</w:t>
            </w:r>
          </w:p>
        </w:tc>
        <w:tc>
          <w:tcPr>
            <w:tcW w:w="900" w:type="dxa"/>
          </w:tcPr>
          <w:p w:rsidR="008B6464" w:rsidRPr="00470034" w:rsidRDefault="008B6464" w:rsidP="008B6464">
            <w:pPr>
              <w:jc w:val="center"/>
              <w:cnfStyle w:val="000000100000" w:firstRow="0" w:lastRow="0" w:firstColumn="0" w:lastColumn="0" w:oddVBand="0" w:evenVBand="0" w:oddHBand="1" w:evenHBand="0" w:firstRowFirstColumn="0" w:firstRowLastColumn="0" w:lastRowFirstColumn="0" w:lastRowLastColumn="0"/>
              <w:rPr>
                <w:sz w:val="22"/>
                <w:szCs w:val="22"/>
              </w:rPr>
            </w:pPr>
            <w:r w:rsidRPr="00470034">
              <w:rPr>
                <w:sz w:val="22"/>
                <w:szCs w:val="22"/>
              </w:rPr>
              <w:t>100%</w:t>
            </w:r>
          </w:p>
        </w:tc>
      </w:tr>
      <w:tr w:rsidR="006F3D94" w:rsidRPr="00470034" w:rsidTr="004D5369">
        <w:trPr>
          <w:jc w:val="center"/>
        </w:trPr>
        <w:tc>
          <w:tcPr>
            <w:cnfStyle w:val="001000000000" w:firstRow="0" w:lastRow="0" w:firstColumn="1" w:lastColumn="0" w:oddVBand="0" w:evenVBand="0" w:oddHBand="0" w:evenHBand="0" w:firstRowFirstColumn="0" w:firstRowLastColumn="0" w:lastRowFirstColumn="0" w:lastRowLastColumn="0"/>
            <w:tcW w:w="810" w:type="dxa"/>
            <w:tcBorders>
              <w:right w:val="single" w:sz="12" w:space="0" w:color="4F81BD" w:themeColor="accent1"/>
            </w:tcBorders>
          </w:tcPr>
          <w:p w:rsidR="006F3D94" w:rsidRPr="00EA49F6" w:rsidRDefault="00485027" w:rsidP="008B6464">
            <w:pPr>
              <w:rPr>
                <w:b w:val="0"/>
                <w:sz w:val="22"/>
                <w:szCs w:val="22"/>
              </w:rPr>
            </w:pPr>
            <w:r>
              <w:rPr>
                <w:b w:val="0"/>
                <w:sz w:val="22"/>
                <w:szCs w:val="22"/>
              </w:rPr>
              <w:t>2017</w:t>
            </w:r>
          </w:p>
        </w:tc>
        <w:tc>
          <w:tcPr>
            <w:tcW w:w="1350" w:type="dxa"/>
            <w:tcBorders>
              <w:top w:val="nil"/>
              <w:left w:val="single" w:sz="12" w:space="0" w:color="4F81BD" w:themeColor="accent1"/>
              <w:bottom w:val="nil"/>
            </w:tcBorders>
          </w:tcPr>
          <w:p w:rsidR="006F3D94" w:rsidRDefault="00C12B61" w:rsidP="008B646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760</w:t>
            </w:r>
          </w:p>
        </w:tc>
        <w:tc>
          <w:tcPr>
            <w:tcW w:w="900" w:type="dxa"/>
            <w:tcBorders>
              <w:top w:val="nil"/>
              <w:bottom w:val="nil"/>
              <w:right w:val="single" w:sz="12" w:space="0" w:color="4F81BD" w:themeColor="accent1"/>
            </w:tcBorders>
          </w:tcPr>
          <w:p w:rsidR="006F3D94" w:rsidRDefault="00FC0BAB" w:rsidP="008B646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58.6%</w:t>
            </w:r>
          </w:p>
        </w:tc>
        <w:tc>
          <w:tcPr>
            <w:tcW w:w="1260" w:type="dxa"/>
            <w:tcBorders>
              <w:left w:val="single" w:sz="12" w:space="0" w:color="4F81BD" w:themeColor="accent1"/>
            </w:tcBorders>
          </w:tcPr>
          <w:p w:rsidR="006F3D94" w:rsidRDefault="00C12B61" w:rsidP="008B646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372</w:t>
            </w:r>
          </w:p>
        </w:tc>
        <w:tc>
          <w:tcPr>
            <w:tcW w:w="900" w:type="dxa"/>
            <w:tcBorders>
              <w:right w:val="single" w:sz="12" w:space="0" w:color="4F81BD" w:themeColor="accent1"/>
            </w:tcBorders>
          </w:tcPr>
          <w:p w:rsidR="006F3D94" w:rsidRDefault="00071C6E" w:rsidP="008B646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28.7%</w:t>
            </w:r>
          </w:p>
        </w:tc>
        <w:tc>
          <w:tcPr>
            <w:tcW w:w="1080" w:type="dxa"/>
            <w:tcBorders>
              <w:top w:val="nil"/>
              <w:left w:val="single" w:sz="12" w:space="0" w:color="4F81BD" w:themeColor="accent1"/>
              <w:bottom w:val="nil"/>
            </w:tcBorders>
          </w:tcPr>
          <w:p w:rsidR="006F3D94" w:rsidRDefault="00C12B61" w:rsidP="008B646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97</w:t>
            </w:r>
          </w:p>
        </w:tc>
        <w:tc>
          <w:tcPr>
            <w:tcW w:w="720" w:type="dxa"/>
            <w:tcBorders>
              <w:top w:val="nil"/>
              <w:bottom w:val="nil"/>
              <w:right w:val="single" w:sz="12" w:space="0" w:color="4F81BD" w:themeColor="accent1"/>
            </w:tcBorders>
          </w:tcPr>
          <w:p w:rsidR="006F3D94" w:rsidRDefault="00071C6E" w:rsidP="00917B83">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7.5%</w:t>
            </w:r>
          </w:p>
        </w:tc>
        <w:tc>
          <w:tcPr>
            <w:tcW w:w="720" w:type="dxa"/>
            <w:tcBorders>
              <w:left w:val="single" w:sz="12" w:space="0" w:color="4F81BD" w:themeColor="accent1"/>
            </w:tcBorders>
          </w:tcPr>
          <w:p w:rsidR="006F3D94" w:rsidRDefault="00C12B61" w:rsidP="008B646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67</w:t>
            </w:r>
          </w:p>
        </w:tc>
        <w:tc>
          <w:tcPr>
            <w:tcW w:w="720" w:type="dxa"/>
            <w:tcBorders>
              <w:right w:val="single" w:sz="12" w:space="0" w:color="4F81BD" w:themeColor="accent1"/>
            </w:tcBorders>
          </w:tcPr>
          <w:p w:rsidR="006F3D94" w:rsidRDefault="00DB410E" w:rsidP="008B646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5.2%</w:t>
            </w:r>
          </w:p>
        </w:tc>
        <w:tc>
          <w:tcPr>
            <w:tcW w:w="900" w:type="dxa"/>
            <w:tcBorders>
              <w:top w:val="nil"/>
              <w:left w:val="single" w:sz="12" w:space="0" w:color="4F81BD" w:themeColor="accent1"/>
              <w:bottom w:val="nil"/>
            </w:tcBorders>
          </w:tcPr>
          <w:p w:rsidR="006F3D94" w:rsidRPr="002F79C8" w:rsidRDefault="002F79C8" w:rsidP="008B6464">
            <w:pPr>
              <w:jc w:val="center"/>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1,296</w:t>
            </w:r>
          </w:p>
        </w:tc>
        <w:tc>
          <w:tcPr>
            <w:tcW w:w="900" w:type="dxa"/>
          </w:tcPr>
          <w:p w:rsidR="006F3D94" w:rsidRPr="00470034" w:rsidRDefault="00DB410E" w:rsidP="008B646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w:t>
            </w:r>
          </w:p>
        </w:tc>
      </w:tr>
      <w:tr w:rsidR="00A742BA" w:rsidRPr="00470034" w:rsidTr="004D53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 w:type="dxa"/>
            <w:tcBorders>
              <w:right w:val="single" w:sz="12" w:space="0" w:color="4F81BD" w:themeColor="accent1"/>
            </w:tcBorders>
          </w:tcPr>
          <w:p w:rsidR="008B6464" w:rsidRPr="00470034" w:rsidRDefault="008B6464" w:rsidP="008B6464">
            <w:pPr>
              <w:rPr>
                <w:sz w:val="22"/>
                <w:szCs w:val="22"/>
              </w:rPr>
            </w:pPr>
            <w:r w:rsidRPr="00470034">
              <w:rPr>
                <w:sz w:val="22"/>
                <w:szCs w:val="22"/>
              </w:rPr>
              <w:t>Total</w:t>
            </w:r>
          </w:p>
        </w:tc>
        <w:tc>
          <w:tcPr>
            <w:tcW w:w="1350" w:type="dxa"/>
            <w:tcBorders>
              <w:top w:val="nil"/>
              <w:left w:val="single" w:sz="12" w:space="0" w:color="4F81BD" w:themeColor="accent1"/>
              <w:bottom w:val="single" w:sz="8" w:space="0" w:color="4F81BD" w:themeColor="accent1"/>
            </w:tcBorders>
          </w:tcPr>
          <w:p w:rsidR="008B6464" w:rsidRPr="00470034" w:rsidRDefault="00917B83" w:rsidP="008B6464">
            <w:pPr>
              <w:jc w:val="center"/>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3,876</w:t>
            </w:r>
          </w:p>
        </w:tc>
        <w:tc>
          <w:tcPr>
            <w:tcW w:w="900" w:type="dxa"/>
            <w:tcBorders>
              <w:top w:val="nil"/>
              <w:bottom w:val="single" w:sz="8" w:space="0" w:color="4F81BD" w:themeColor="accent1"/>
              <w:right w:val="single" w:sz="12" w:space="0" w:color="4F81BD" w:themeColor="accent1"/>
            </w:tcBorders>
          </w:tcPr>
          <w:p w:rsidR="008B6464" w:rsidRPr="00470034" w:rsidRDefault="00FC0BAB" w:rsidP="008B6464">
            <w:pPr>
              <w:jc w:val="center"/>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57.3%</w:t>
            </w:r>
          </w:p>
        </w:tc>
        <w:tc>
          <w:tcPr>
            <w:tcW w:w="1260" w:type="dxa"/>
            <w:tcBorders>
              <w:left w:val="single" w:sz="12" w:space="0" w:color="4F81BD" w:themeColor="accent1"/>
            </w:tcBorders>
          </w:tcPr>
          <w:p w:rsidR="008B6464" w:rsidRPr="00470034" w:rsidRDefault="00917B83" w:rsidP="008B6464">
            <w:pPr>
              <w:jc w:val="center"/>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2,019</w:t>
            </w:r>
          </w:p>
        </w:tc>
        <w:tc>
          <w:tcPr>
            <w:tcW w:w="900" w:type="dxa"/>
            <w:tcBorders>
              <w:right w:val="single" w:sz="12" w:space="0" w:color="4F81BD" w:themeColor="accent1"/>
            </w:tcBorders>
          </w:tcPr>
          <w:p w:rsidR="008B6464" w:rsidRPr="00470034" w:rsidRDefault="00071C6E" w:rsidP="008B6464">
            <w:pPr>
              <w:jc w:val="center"/>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29.8%</w:t>
            </w:r>
          </w:p>
        </w:tc>
        <w:tc>
          <w:tcPr>
            <w:tcW w:w="1080" w:type="dxa"/>
            <w:tcBorders>
              <w:top w:val="nil"/>
              <w:left w:val="single" w:sz="12" w:space="0" w:color="4F81BD" w:themeColor="accent1"/>
              <w:bottom w:val="single" w:sz="8" w:space="0" w:color="4F81BD" w:themeColor="accent1"/>
            </w:tcBorders>
          </w:tcPr>
          <w:p w:rsidR="008B6464" w:rsidRPr="00470034" w:rsidRDefault="00917B83" w:rsidP="008B6464">
            <w:pPr>
              <w:jc w:val="center"/>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447</w:t>
            </w:r>
          </w:p>
        </w:tc>
        <w:tc>
          <w:tcPr>
            <w:tcW w:w="720" w:type="dxa"/>
            <w:tcBorders>
              <w:top w:val="nil"/>
              <w:bottom w:val="single" w:sz="8" w:space="0" w:color="4F81BD" w:themeColor="accent1"/>
              <w:right w:val="single" w:sz="12" w:space="0" w:color="4F81BD" w:themeColor="accent1"/>
            </w:tcBorders>
          </w:tcPr>
          <w:p w:rsidR="008B6464" w:rsidRPr="00470034" w:rsidRDefault="00071C6E" w:rsidP="008B6464">
            <w:pPr>
              <w:jc w:val="center"/>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6.6%</w:t>
            </w:r>
          </w:p>
        </w:tc>
        <w:tc>
          <w:tcPr>
            <w:tcW w:w="720" w:type="dxa"/>
            <w:tcBorders>
              <w:left w:val="single" w:sz="12" w:space="0" w:color="4F81BD" w:themeColor="accent1"/>
            </w:tcBorders>
          </w:tcPr>
          <w:p w:rsidR="008B6464" w:rsidRPr="00470034" w:rsidRDefault="00917B83" w:rsidP="008B6464">
            <w:pPr>
              <w:jc w:val="center"/>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422</w:t>
            </w:r>
          </w:p>
        </w:tc>
        <w:tc>
          <w:tcPr>
            <w:tcW w:w="720" w:type="dxa"/>
            <w:tcBorders>
              <w:right w:val="single" w:sz="12" w:space="0" w:color="4F81BD" w:themeColor="accent1"/>
            </w:tcBorders>
          </w:tcPr>
          <w:p w:rsidR="008B6464" w:rsidRPr="00470034" w:rsidRDefault="00DB410E" w:rsidP="008B6464">
            <w:pPr>
              <w:jc w:val="center"/>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6.2%</w:t>
            </w:r>
          </w:p>
        </w:tc>
        <w:tc>
          <w:tcPr>
            <w:tcW w:w="900" w:type="dxa"/>
            <w:tcBorders>
              <w:top w:val="nil"/>
              <w:left w:val="single" w:sz="12" w:space="0" w:color="4F81BD" w:themeColor="accent1"/>
              <w:bottom w:val="single" w:sz="8" w:space="0" w:color="4F81BD" w:themeColor="accent1"/>
            </w:tcBorders>
          </w:tcPr>
          <w:p w:rsidR="008B6464" w:rsidRPr="002F79C8" w:rsidRDefault="002F79C8" w:rsidP="008B6464">
            <w:pPr>
              <w:jc w:val="center"/>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6,764</w:t>
            </w:r>
          </w:p>
        </w:tc>
        <w:tc>
          <w:tcPr>
            <w:tcW w:w="900" w:type="dxa"/>
          </w:tcPr>
          <w:p w:rsidR="008B6464" w:rsidRPr="00470034" w:rsidRDefault="00DB410E" w:rsidP="008B6464">
            <w:pPr>
              <w:jc w:val="center"/>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100%</w:t>
            </w:r>
          </w:p>
        </w:tc>
      </w:tr>
    </w:tbl>
    <w:p w:rsidR="00F54074" w:rsidRPr="000E1432" w:rsidRDefault="00F54074" w:rsidP="00C31998">
      <w:pPr>
        <w:pStyle w:val="NoSpacing"/>
        <w:ind w:left="-450"/>
        <w:rPr>
          <w:sz w:val="20"/>
          <w:szCs w:val="20"/>
        </w:rPr>
      </w:pPr>
      <w:r w:rsidRPr="000E1432">
        <w:rPr>
          <w:sz w:val="20"/>
          <w:szCs w:val="20"/>
        </w:rPr>
        <w:t xml:space="preserve">Source: </w:t>
      </w:r>
      <w:r w:rsidR="00C870CB">
        <w:rPr>
          <w:sz w:val="20"/>
          <w:szCs w:val="20"/>
        </w:rPr>
        <w:t>RPAD</w:t>
      </w:r>
      <w:r w:rsidRPr="000E1432">
        <w:rPr>
          <w:sz w:val="20"/>
          <w:szCs w:val="20"/>
        </w:rPr>
        <w:t xml:space="preserve">, </w:t>
      </w:r>
      <w:r w:rsidR="00C870CB">
        <w:rPr>
          <w:sz w:val="20"/>
          <w:szCs w:val="20"/>
        </w:rPr>
        <w:t>EOPSS</w:t>
      </w:r>
      <w:r w:rsidRPr="000E1432">
        <w:rPr>
          <w:sz w:val="20"/>
          <w:szCs w:val="20"/>
        </w:rPr>
        <w:t xml:space="preserve">, PSCR database. Data obtained </w:t>
      </w:r>
      <w:r w:rsidR="005A4C10">
        <w:rPr>
          <w:sz w:val="20"/>
          <w:szCs w:val="20"/>
        </w:rPr>
        <w:t>July</w:t>
      </w:r>
      <w:r w:rsidRPr="000E1432">
        <w:rPr>
          <w:sz w:val="20"/>
          <w:szCs w:val="20"/>
        </w:rPr>
        <w:t xml:space="preserve"> </w:t>
      </w:r>
      <w:r w:rsidR="005A4C10">
        <w:rPr>
          <w:sz w:val="20"/>
          <w:szCs w:val="20"/>
        </w:rPr>
        <w:t>1</w:t>
      </w:r>
      <w:r w:rsidRPr="000E1432">
        <w:rPr>
          <w:sz w:val="20"/>
          <w:szCs w:val="20"/>
        </w:rPr>
        <w:t>3, 201</w:t>
      </w:r>
      <w:r w:rsidR="005A4C10">
        <w:rPr>
          <w:sz w:val="20"/>
          <w:szCs w:val="20"/>
        </w:rPr>
        <w:t>8</w:t>
      </w:r>
      <w:r w:rsidRPr="000E1432">
        <w:rPr>
          <w:sz w:val="20"/>
          <w:szCs w:val="20"/>
        </w:rPr>
        <w:t>.</w:t>
      </w:r>
    </w:p>
    <w:p w:rsidR="008B6464" w:rsidRPr="000446DE" w:rsidRDefault="000446DE" w:rsidP="00C31998">
      <w:pPr>
        <w:pStyle w:val="NoSpacing"/>
        <w:ind w:left="-450"/>
        <w:rPr>
          <w:sz w:val="20"/>
          <w:szCs w:val="20"/>
        </w:rPr>
      </w:pPr>
      <w:proofErr w:type="spellStart"/>
      <w:proofErr w:type="gramStart"/>
      <w:r w:rsidRPr="000446DE">
        <w:rPr>
          <w:sz w:val="20"/>
          <w:szCs w:val="20"/>
          <w:vertAlign w:val="superscript"/>
        </w:rPr>
        <w:t>a</w:t>
      </w:r>
      <w:proofErr w:type="spellEnd"/>
      <w:proofErr w:type="gramEnd"/>
      <w:r w:rsidRPr="000446DE">
        <w:rPr>
          <w:sz w:val="20"/>
          <w:szCs w:val="20"/>
        </w:rPr>
        <w:t xml:space="preserve"> Individual sexual assault exams/cases can involve multiple assailants</w:t>
      </w:r>
    </w:p>
    <w:p w:rsidR="00917B83" w:rsidRPr="000446DE" w:rsidRDefault="000446DE" w:rsidP="00C31998">
      <w:pPr>
        <w:pStyle w:val="NoSpacing"/>
        <w:ind w:left="-450"/>
        <w:rPr>
          <w:sz w:val="20"/>
          <w:szCs w:val="20"/>
        </w:rPr>
      </w:pPr>
      <w:r w:rsidRPr="000446DE">
        <w:rPr>
          <w:sz w:val="20"/>
          <w:szCs w:val="20"/>
          <w:vertAlign w:val="superscript"/>
        </w:rPr>
        <w:t>b</w:t>
      </w:r>
      <w:r w:rsidRPr="000446DE">
        <w:rPr>
          <w:sz w:val="20"/>
          <w:szCs w:val="20"/>
        </w:rPr>
        <w:t xml:space="preserve"> Non-stranger relationships include friends, acquaintances, dates, boyfriend/girlfriend, ex-boyfriend/ex-girlfriend, spouses, relatives, parents, and parents’ live-in partners.</w:t>
      </w:r>
    </w:p>
    <w:p w:rsidR="00926C48" w:rsidRDefault="00926C48" w:rsidP="00926C48">
      <w:pPr>
        <w:pStyle w:val="NoSpacing"/>
      </w:pPr>
    </w:p>
    <w:p w:rsidR="00926C48" w:rsidRDefault="00797ADE" w:rsidP="00926C48">
      <w:pPr>
        <w:pStyle w:val="NoSpacing"/>
      </w:pPr>
      <w:r>
        <w:t xml:space="preserve">The non-stranger category entails a cross-section of relationships – friends, boyfriend/girlfriend, or exes, or date, spouse, relative or parent.  </w:t>
      </w:r>
      <w:r w:rsidR="008D4A68">
        <w:t>The victim/offender relationship that is identified as an acquaintance represents the highest percent</w:t>
      </w:r>
      <w:r w:rsidR="00EC6CAE">
        <w:t>age</w:t>
      </w:r>
      <w:r w:rsidR="008D4A68">
        <w:t xml:space="preserve"> of non-stranger assailants (4</w:t>
      </w:r>
      <w:r w:rsidR="00F37634">
        <w:t>1</w:t>
      </w:r>
      <w:r w:rsidR="008D4A68">
        <w:t>%) (Table 8).</w:t>
      </w:r>
    </w:p>
    <w:p w:rsidR="00AE2EA2" w:rsidRDefault="00AE2EA2" w:rsidP="00926C48">
      <w:pPr>
        <w:pStyle w:val="NoSpacing"/>
      </w:pPr>
    </w:p>
    <w:tbl>
      <w:tblPr>
        <w:tblStyle w:val="LightShading-Accent1"/>
        <w:tblW w:w="0" w:type="auto"/>
        <w:jc w:val="center"/>
        <w:tblLook w:val="04A0" w:firstRow="1" w:lastRow="0" w:firstColumn="1" w:lastColumn="0" w:noHBand="0" w:noVBand="1"/>
      </w:tblPr>
      <w:tblGrid>
        <w:gridCol w:w="3600"/>
        <w:gridCol w:w="1530"/>
        <w:gridCol w:w="2070"/>
      </w:tblGrid>
      <w:tr w:rsidR="00077D20" w:rsidRPr="00CD7C5D" w:rsidTr="00196E8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00" w:type="dxa"/>
            <w:gridSpan w:val="3"/>
          </w:tcPr>
          <w:p w:rsidR="00077D20" w:rsidRPr="00CD7C5D" w:rsidRDefault="00077D20" w:rsidP="005A4C10">
            <w:pPr>
              <w:pStyle w:val="NoSpacing"/>
              <w:jc w:val="center"/>
            </w:pPr>
            <w:r w:rsidRPr="00CD7C5D">
              <w:rPr>
                <w:smallCaps/>
              </w:rPr>
              <w:t xml:space="preserve">Table 8. Non-Stranger Victim/Offender </w:t>
            </w:r>
            <w:proofErr w:type="spellStart"/>
            <w:r w:rsidRPr="00CD7C5D">
              <w:rPr>
                <w:smallCaps/>
              </w:rPr>
              <w:t>Relationship</w:t>
            </w:r>
            <w:r w:rsidR="002B25C8">
              <w:rPr>
                <w:smallCaps/>
              </w:rPr>
              <w:t>,</w:t>
            </w:r>
            <w:r w:rsidRPr="00CD7C5D">
              <w:rPr>
                <w:vertAlign w:val="superscript"/>
              </w:rPr>
              <w:t>a</w:t>
            </w:r>
            <w:proofErr w:type="spellEnd"/>
            <w:r w:rsidR="002B25C8">
              <w:rPr>
                <w:vertAlign w:val="superscript"/>
              </w:rPr>
              <w:t xml:space="preserve"> </w:t>
            </w:r>
            <w:r w:rsidRPr="00CD7C5D">
              <w:rPr>
                <w:smallCaps/>
              </w:rPr>
              <w:t>201</w:t>
            </w:r>
            <w:r w:rsidR="005A4C10">
              <w:rPr>
                <w:smallCaps/>
              </w:rPr>
              <w:t>7</w:t>
            </w:r>
          </w:p>
        </w:tc>
      </w:tr>
      <w:tr w:rsidR="00077D20" w:rsidRPr="00CD7C5D" w:rsidTr="00196E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0" w:type="dxa"/>
          </w:tcPr>
          <w:p w:rsidR="00077D20" w:rsidRPr="00CD7C5D" w:rsidRDefault="00077D20" w:rsidP="00C7735F">
            <w:pPr>
              <w:pStyle w:val="NoSpacing"/>
            </w:pPr>
            <w:r w:rsidRPr="00CD7C5D">
              <w:t>Victim/Offender Relationship</w:t>
            </w:r>
          </w:p>
        </w:tc>
        <w:tc>
          <w:tcPr>
            <w:tcW w:w="1530" w:type="dxa"/>
          </w:tcPr>
          <w:p w:rsidR="00077D20" w:rsidRPr="00CD7C5D" w:rsidRDefault="00077D20" w:rsidP="00ED0F83">
            <w:pPr>
              <w:pStyle w:val="NoSpacing"/>
              <w:jc w:val="center"/>
              <w:cnfStyle w:val="000000100000" w:firstRow="0" w:lastRow="0" w:firstColumn="0" w:lastColumn="0" w:oddVBand="0" w:evenVBand="0" w:oddHBand="1" w:evenHBand="0" w:firstRowFirstColumn="0" w:firstRowLastColumn="0" w:lastRowFirstColumn="0" w:lastRowLastColumn="0"/>
              <w:rPr>
                <w:b/>
              </w:rPr>
            </w:pPr>
            <w:r w:rsidRPr="00CD7C5D">
              <w:rPr>
                <w:b/>
              </w:rPr>
              <w:t>Number</w:t>
            </w:r>
          </w:p>
        </w:tc>
        <w:tc>
          <w:tcPr>
            <w:tcW w:w="2070" w:type="dxa"/>
          </w:tcPr>
          <w:p w:rsidR="00077D20" w:rsidRPr="00CD7C5D" w:rsidRDefault="00077D20" w:rsidP="00ED0F83">
            <w:pPr>
              <w:pStyle w:val="NoSpacing"/>
              <w:jc w:val="center"/>
              <w:cnfStyle w:val="000000100000" w:firstRow="0" w:lastRow="0" w:firstColumn="0" w:lastColumn="0" w:oddVBand="0" w:evenVBand="0" w:oddHBand="1" w:evenHBand="0" w:firstRowFirstColumn="0" w:firstRowLastColumn="0" w:lastRowFirstColumn="0" w:lastRowLastColumn="0"/>
              <w:rPr>
                <w:b/>
              </w:rPr>
            </w:pPr>
            <w:r w:rsidRPr="00CD7C5D">
              <w:rPr>
                <w:b/>
              </w:rPr>
              <w:t>Percent</w:t>
            </w:r>
          </w:p>
        </w:tc>
      </w:tr>
      <w:tr w:rsidR="00077D20" w:rsidTr="00196E87">
        <w:trPr>
          <w:jc w:val="center"/>
        </w:trPr>
        <w:tc>
          <w:tcPr>
            <w:cnfStyle w:val="001000000000" w:firstRow="0" w:lastRow="0" w:firstColumn="1" w:lastColumn="0" w:oddVBand="0" w:evenVBand="0" w:oddHBand="0" w:evenHBand="0" w:firstRowFirstColumn="0" w:firstRowLastColumn="0" w:lastRowFirstColumn="0" w:lastRowLastColumn="0"/>
            <w:tcW w:w="3600" w:type="dxa"/>
          </w:tcPr>
          <w:p w:rsidR="00077D20" w:rsidRPr="00CD7C5D" w:rsidRDefault="00FD6111" w:rsidP="00926C48">
            <w:pPr>
              <w:pStyle w:val="NoSpacing"/>
              <w:rPr>
                <w:b w:val="0"/>
              </w:rPr>
            </w:pPr>
            <w:r w:rsidRPr="00CD7C5D">
              <w:rPr>
                <w:b w:val="0"/>
              </w:rPr>
              <w:t>Acquaintance</w:t>
            </w:r>
          </w:p>
        </w:tc>
        <w:tc>
          <w:tcPr>
            <w:tcW w:w="1530" w:type="dxa"/>
          </w:tcPr>
          <w:p w:rsidR="00077D20" w:rsidRDefault="005A4C10" w:rsidP="00ED0F83">
            <w:pPr>
              <w:pStyle w:val="NoSpacing"/>
              <w:jc w:val="center"/>
              <w:cnfStyle w:val="000000000000" w:firstRow="0" w:lastRow="0" w:firstColumn="0" w:lastColumn="0" w:oddVBand="0" w:evenVBand="0" w:oddHBand="0" w:evenHBand="0" w:firstRowFirstColumn="0" w:firstRowLastColumn="0" w:lastRowFirstColumn="0" w:lastRowLastColumn="0"/>
            </w:pPr>
            <w:r>
              <w:t>315</w:t>
            </w:r>
          </w:p>
        </w:tc>
        <w:tc>
          <w:tcPr>
            <w:tcW w:w="2070" w:type="dxa"/>
          </w:tcPr>
          <w:p w:rsidR="00077D20" w:rsidRDefault="00BD2FA1" w:rsidP="001410D7">
            <w:pPr>
              <w:pStyle w:val="NoSpacing"/>
              <w:jc w:val="center"/>
              <w:cnfStyle w:val="000000000000" w:firstRow="0" w:lastRow="0" w:firstColumn="0" w:lastColumn="0" w:oddVBand="0" w:evenVBand="0" w:oddHBand="0" w:evenHBand="0" w:firstRowFirstColumn="0" w:firstRowLastColumn="0" w:lastRowFirstColumn="0" w:lastRowLastColumn="0"/>
            </w:pPr>
            <w:r>
              <w:t>4</w:t>
            </w:r>
            <w:r w:rsidR="001410D7">
              <w:t>1</w:t>
            </w:r>
            <w:r>
              <w:t>.</w:t>
            </w:r>
            <w:r w:rsidR="001410D7">
              <w:t>4%</w:t>
            </w:r>
          </w:p>
        </w:tc>
      </w:tr>
      <w:tr w:rsidR="00077D20" w:rsidTr="00196E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0" w:type="dxa"/>
          </w:tcPr>
          <w:p w:rsidR="00077D20" w:rsidRPr="00CD7C5D" w:rsidRDefault="00BC54B2" w:rsidP="00926C48">
            <w:pPr>
              <w:pStyle w:val="NoSpacing"/>
              <w:rPr>
                <w:b w:val="0"/>
              </w:rPr>
            </w:pPr>
            <w:r w:rsidRPr="00CD7C5D">
              <w:rPr>
                <w:b w:val="0"/>
              </w:rPr>
              <w:t>Friend</w:t>
            </w:r>
          </w:p>
        </w:tc>
        <w:tc>
          <w:tcPr>
            <w:tcW w:w="1530" w:type="dxa"/>
          </w:tcPr>
          <w:p w:rsidR="00077D20" w:rsidRDefault="00DB410E" w:rsidP="00ED0F83">
            <w:pPr>
              <w:pStyle w:val="NoSpacing"/>
              <w:jc w:val="center"/>
              <w:cnfStyle w:val="000000100000" w:firstRow="0" w:lastRow="0" w:firstColumn="0" w:lastColumn="0" w:oddVBand="0" w:evenVBand="0" w:oddHBand="1" w:evenHBand="0" w:firstRowFirstColumn="0" w:firstRowLastColumn="0" w:lastRowFirstColumn="0" w:lastRowLastColumn="0"/>
            </w:pPr>
            <w:r>
              <w:t>214</w:t>
            </w:r>
          </w:p>
        </w:tc>
        <w:tc>
          <w:tcPr>
            <w:tcW w:w="2070" w:type="dxa"/>
          </w:tcPr>
          <w:p w:rsidR="00077D20" w:rsidRDefault="00BD2FA1" w:rsidP="001410D7">
            <w:pPr>
              <w:pStyle w:val="NoSpacing"/>
              <w:jc w:val="center"/>
              <w:cnfStyle w:val="000000100000" w:firstRow="0" w:lastRow="0" w:firstColumn="0" w:lastColumn="0" w:oddVBand="0" w:evenVBand="0" w:oddHBand="1" w:evenHBand="0" w:firstRowFirstColumn="0" w:firstRowLastColumn="0" w:lastRowFirstColumn="0" w:lastRowLastColumn="0"/>
            </w:pPr>
            <w:r>
              <w:t>2</w:t>
            </w:r>
            <w:r w:rsidR="001410D7">
              <w:t>8</w:t>
            </w:r>
            <w:r>
              <w:t>.</w:t>
            </w:r>
            <w:r w:rsidR="001410D7">
              <w:t>2%</w:t>
            </w:r>
          </w:p>
        </w:tc>
      </w:tr>
      <w:tr w:rsidR="00077D20" w:rsidTr="00196E87">
        <w:trPr>
          <w:jc w:val="center"/>
        </w:trPr>
        <w:tc>
          <w:tcPr>
            <w:cnfStyle w:val="001000000000" w:firstRow="0" w:lastRow="0" w:firstColumn="1" w:lastColumn="0" w:oddVBand="0" w:evenVBand="0" w:oddHBand="0" w:evenHBand="0" w:firstRowFirstColumn="0" w:firstRowLastColumn="0" w:lastRowFirstColumn="0" w:lastRowLastColumn="0"/>
            <w:tcW w:w="3600" w:type="dxa"/>
          </w:tcPr>
          <w:p w:rsidR="00077D20" w:rsidRPr="00CD7C5D" w:rsidRDefault="00BC54B2" w:rsidP="00926C48">
            <w:pPr>
              <w:pStyle w:val="NoSpacing"/>
              <w:rPr>
                <w:b w:val="0"/>
              </w:rPr>
            </w:pPr>
            <w:r w:rsidRPr="00CD7C5D">
              <w:rPr>
                <w:b w:val="0"/>
              </w:rPr>
              <w:t>Ex-boyfriend/ex-girlfriend</w:t>
            </w:r>
          </w:p>
        </w:tc>
        <w:tc>
          <w:tcPr>
            <w:tcW w:w="1530" w:type="dxa"/>
          </w:tcPr>
          <w:p w:rsidR="00077D20" w:rsidRDefault="00DB410E" w:rsidP="00ED0F83">
            <w:pPr>
              <w:pStyle w:val="NoSpacing"/>
              <w:jc w:val="center"/>
              <w:cnfStyle w:val="000000000000" w:firstRow="0" w:lastRow="0" w:firstColumn="0" w:lastColumn="0" w:oddVBand="0" w:evenVBand="0" w:oddHBand="0" w:evenHBand="0" w:firstRowFirstColumn="0" w:firstRowLastColumn="0" w:lastRowFirstColumn="0" w:lastRowLastColumn="0"/>
            </w:pPr>
            <w:r>
              <w:t>51</w:t>
            </w:r>
          </w:p>
        </w:tc>
        <w:tc>
          <w:tcPr>
            <w:tcW w:w="2070" w:type="dxa"/>
          </w:tcPr>
          <w:p w:rsidR="00077D20" w:rsidRDefault="001410D7" w:rsidP="00ED0F83">
            <w:pPr>
              <w:pStyle w:val="NoSpacing"/>
              <w:jc w:val="center"/>
              <w:cnfStyle w:val="000000000000" w:firstRow="0" w:lastRow="0" w:firstColumn="0" w:lastColumn="0" w:oddVBand="0" w:evenVBand="0" w:oddHBand="0" w:evenHBand="0" w:firstRowFirstColumn="0" w:firstRowLastColumn="0" w:lastRowFirstColumn="0" w:lastRowLastColumn="0"/>
            </w:pPr>
            <w:r>
              <w:t>6.7%</w:t>
            </w:r>
          </w:p>
        </w:tc>
      </w:tr>
      <w:tr w:rsidR="00077D20" w:rsidTr="00196E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0" w:type="dxa"/>
          </w:tcPr>
          <w:p w:rsidR="00077D20" w:rsidRPr="00CD7C5D" w:rsidRDefault="00BC54B2" w:rsidP="00926C48">
            <w:pPr>
              <w:pStyle w:val="NoSpacing"/>
              <w:rPr>
                <w:b w:val="0"/>
              </w:rPr>
            </w:pPr>
            <w:r w:rsidRPr="00CD7C5D">
              <w:rPr>
                <w:b w:val="0"/>
              </w:rPr>
              <w:t>Boyfriend/girlfriend</w:t>
            </w:r>
          </w:p>
        </w:tc>
        <w:tc>
          <w:tcPr>
            <w:tcW w:w="1530" w:type="dxa"/>
          </w:tcPr>
          <w:p w:rsidR="00077D20" w:rsidRDefault="00DB410E" w:rsidP="00ED0F83">
            <w:pPr>
              <w:pStyle w:val="NoSpacing"/>
              <w:jc w:val="center"/>
              <w:cnfStyle w:val="000000100000" w:firstRow="0" w:lastRow="0" w:firstColumn="0" w:lastColumn="0" w:oddVBand="0" w:evenVBand="0" w:oddHBand="1" w:evenHBand="0" w:firstRowFirstColumn="0" w:firstRowLastColumn="0" w:lastRowFirstColumn="0" w:lastRowLastColumn="0"/>
            </w:pPr>
            <w:r>
              <w:t>45</w:t>
            </w:r>
          </w:p>
        </w:tc>
        <w:tc>
          <w:tcPr>
            <w:tcW w:w="2070" w:type="dxa"/>
          </w:tcPr>
          <w:p w:rsidR="00077D20" w:rsidRDefault="001410D7" w:rsidP="00ED0F83">
            <w:pPr>
              <w:pStyle w:val="NoSpacing"/>
              <w:jc w:val="center"/>
              <w:cnfStyle w:val="000000100000" w:firstRow="0" w:lastRow="0" w:firstColumn="0" w:lastColumn="0" w:oddVBand="0" w:evenVBand="0" w:oddHBand="1" w:evenHBand="0" w:firstRowFirstColumn="0" w:firstRowLastColumn="0" w:lastRowFirstColumn="0" w:lastRowLastColumn="0"/>
            </w:pPr>
            <w:r>
              <w:t>5.9%</w:t>
            </w:r>
          </w:p>
        </w:tc>
      </w:tr>
      <w:tr w:rsidR="00196E87" w:rsidTr="00196E87">
        <w:trPr>
          <w:jc w:val="center"/>
        </w:trPr>
        <w:tc>
          <w:tcPr>
            <w:cnfStyle w:val="001000000000" w:firstRow="0" w:lastRow="0" w:firstColumn="1" w:lastColumn="0" w:oddVBand="0" w:evenVBand="0" w:oddHBand="0" w:evenHBand="0" w:firstRowFirstColumn="0" w:firstRowLastColumn="0" w:lastRowFirstColumn="0" w:lastRowLastColumn="0"/>
            <w:tcW w:w="3600" w:type="dxa"/>
          </w:tcPr>
          <w:p w:rsidR="00196E87" w:rsidRPr="00CD7C5D" w:rsidRDefault="00196E87" w:rsidP="00196E87">
            <w:pPr>
              <w:pStyle w:val="NoSpacing"/>
              <w:rPr>
                <w:b w:val="0"/>
              </w:rPr>
            </w:pPr>
            <w:r w:rsidRPr="00CD7C5D">
              <w:rPr>
                <w:b w:val="0"/>
              </w:rPr>
              <w:t>Date</w:t>
            </w:r>
          </w:p>
        </w:tc>
        <w:tc>
          <w:tcPr>
            <w:tcW w:w="1530" w:type="dxa"/>
          </w:tcPr>
          <w:p w:rsidR="00196E87" w:rsidRDefault="00196E87" w:rsidP="00196E87">
            <w:pPr>
              <w:pStyle w:val="NoSpacing"/>
              <w:jc w:val="center"/>
              <w:cnfStyle w:val="000000000000" w:firstRow="0" w:lastRow="0" w:firstColumn="0" w:lastColumn="0" w:oddVBand="0" w:evenVBand="0" w:oddHBand="0" w:evenHBand="0" w:firstRowFirstColumn="0" w:firstRowLastColumn="0" w:lastRowFirstColumn="0" w:lastRowLastColumn="0"/>
            </w:pPr>
            <w:r>
              <w:t>35</w:t>
            </w:r>
          </w:p>
        </w:tc>
        <w:tc>
          <w:tcPr>
            <w:tcW w:w="2070" w:type="dxa"/>
          </w:tcPr>
          <w:p w:rsidR="00196E87" w:rsidRDefault="001410D7" w:rsidP="00196E87">
            <w:pPr>
              <w:pStyle w:val="NoSpacing"/>
              <w:jc w:val="center"/>
              <w:cnfStyle w:val="000000000000" w:firstRow="0" w:lastRow="0" w:firstColumn="0" w:lastColumn="0" w:oddVBand="0" w:evenVBand="0" w:oddHBand="0" w:evenHBand="0" w:firstRowFirstColumn="0" w:firstRowLastColumn="0" w:lastRowFirstColumn="0" w:lastRowLastColumn="0"/>
            </w:pPr>
            <w:r>
              <w:t>4.6%</w:t>
            </w:r>
          </w:p>
        </w:tc>
      </w:tr>
      <w:tr w:rsidR="00196E87" w:rsidTr="00196E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0" w:type="dxa"/>
          </w:tcPr>
          <w:p w:rsidR="00196E87" w:rsidRPr="00CD7C5D" w:rsidRDefault="00196E87" w:rsidP="005D6398">
            <w:pPr>
              <w:pStyle w:val="NoSpacing"/>
              <w:rPr>
                <w:b w:val="0"/>
              </w:rPr>
            </w:pPr>
            <w:r w:rsidRPr="00CD7C5D">
              <w:rPr>
                <w:b w:val="0"/>
              </w:rPr>
              <w:t>Parent</w:t>
            </w:r>
          </w:p>
        </w:tc>
        <w:tc>
          <w:tcPr>
            <w:tcW w:w="1530" w:type="dxa"/>
          </w:tcPr>
          <w:p w:rsidR="00196E87" w:rsidRDefault="00196E87" w:rsidP="005D6398">
            <w:pPr>
              <w:pStyle w:val="NoSpacing"/>
              <w:jc w:val="center"/>
              <w:cnfStyle w:val="000000100000" w:firstRow="0" w:lastRow="0" w:firstColumn="0" w:lastColumn="0" w:oddVBand="0" w:evenVBand="0" w:oddHBand="1" w:evenHBand="0" w:firstRowFirstColumn="0" w:firstRowLastColumn="0" w:lastRowFirstColumn="0" w:lastRowLastColumn="0"/>
            </w:pPr>
            <w:r>
              <w:t>32</w:t>
            </w:r>
          </w:p>
        </w:tc>
        <w:tc>
          <w:tcPr>
            <w:tcW w:w="2070" w:type="dxa"/>
          </w:tcPr>
          <w:p w:rsidR="00196E87" w:rsidRDefault="001410D7" w:rsidP="005D6398">
            <w:pPr>
              <w:pStyle w:val="NoSpacing"/>
              <w:jc w:val="center"/>
              <w:cnfStyle w:val="000000100000" w:firstRow="0" w:lastRow="0" w:firstColumn="0" w:lastColumn="0" w:oddVBand="0" w:evenVBand="0" w:oddHBand="1" w:evenHBand="0" w:firstRowFirstColumn="0" w:firstRowLastColumn="0" w:lastRowFirstColumn="0" w:lastRowLastColumn="0"/>
            </w:pPr>
            <w:r>
              <w:t>4.2%</w:t>
            </w:r>
          </w:p>
        </w:tc>
      </w:tr>
      <w:tr w:rsidR="00196E87" w:rsidTr="00196E87">
        <w:trPr>
          <w:jc w:val="center"/>
        </w:trPr>
        <w:tc>
          <w:tcPr>
            <w:cnfStyle w:val="001000000000" w:firstRow="0" w:lastRow="0" w:firstColumn="1" w:lastColumn="0" w:oddVBand="0" w:evenVBand="0" w:oddHBand="0" w:evenHBand="0" w:firstRowFirstColumn="0" w:firstRowLastColumn="0" w:lastRowFirstColumn="0" w:lastRowLastColumn="0"/>
            <w:tcW w:w="3600" w:type="dxa"/>
          </w:tcPr>
          <w:p w:rsidR="00196E87" w:rsidRPr="00CD7C5D" w:rsidRDefault="00196E87" w:rsidP="00196E87">
            <w:pPr>
              <w:pStyle w:val="NoSpacing"/>
              <w:rPr>
                <w:b w:val="0"/>
              </w:rPr>
            </w:pPr>
            <w:r w:rsidRPr="00CD7C5D">
              <w:rPr>
                <w:b w:val="0"/>
              </w:rPr>
              <w:t>Relative</w:t>
            </w:r>
          </w:p>
        </w:tc>
        <w:tc>
          <w:tcPr>
            <w:tcW w:w="1530" w:type="dxa"/>
          </w:tcPr>
          <w:p w:rsidR="00196E87" w:rsidRDefault="00196E87" w:rsidP="00196E87">
            <w:pPr>
              <w:pStyle w:val="NoSpacing"/>
              <w:jc w:val="center"/>
              <w:cnfStyle w:val="000000000000" w:firstRow="0" w:lastRow="0" w:firstColumn="0" w:lastColumn="0" w:oddVBand="0" w:evenVBand="0" w:oddHBand="0" w:evenHBand="0" w:firstRowFirstColumn="0" w:firstRowLastColumn="0" w:lastRowFirstColumn="0" w:lastRowLastColumn="0"/>
            </w:pPr>
            <w:r>
              <w:t>31</w:t>
            </w:r>
          </w:p>
        </w:tc>
        <w:tc>
          <w:tcPr>
            <w:tcW w:w="2070" w:type="dxa"/>
          </w:tcPr>
          <w:p w:rsidR="00196E87" w:rsidRDefault="001410D7" w:rsidP="00196E87">
            <w:pPr>
              <w:pStyle w:val="NoSpacing"/>
              <w:jc w:val="center"/>
              <w:cnfStyle w:val="000000000000" w:firstRow="0" w:lastRow="0" w:firstColumn="0" w:lastColumn="0" w:oddVBand="0" w:evenVBand="0" w:oddHBand="0" w:evenHBand="0" w:firstRowFirstColumn="0" w:firstRowLastColumn="0" w:lastRowFirstColumn="0" w:lastRowLastColumn="0"/>
            </w:pPr>
            <w:r>
              <w:t>4.1%</w:t>
            </w:r>
          </w:p>
        </w:tc>
      </w:tr>
      <w:tr w:rsidR="00196E87" w:rsidTr="00196E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0" w:type="dxa"/>
          </w:tcPr>
          <w:p w:rsidR="00196E87" w:rsidRPr="00CD7C5D" w:rsidRDefault="00196E87" w:rsidP="005D6398">
            <w:pPr>
              <w:pStyle w:val="NoSpacing"/>
              <w:rPr>
                <w:b w:val="0"/>
              </w:rPr>
            </w:pPr>
            <w:r w:rsidRPr="00CD7C5D">
              <w:rPr>
                <w:b w:val="0"/>
              </w:rPr>
              <w:t>Ex-spouse</w:t>
            </w:r>
          </w:p>
        </w:tc>
        <w:tc>
          <w:tcPr>
            <w:tcW w:w="1530" w:type="dxa"/>
          </w:tcPr>
          <w:p w:rsidR="00196E87" w:rsidRDefault="00196E87" w:rsidP="005D6398">
            <w:pPr>
              <w:pStyle w:val="NoSpacing"/>
              <w:jc w:val="center"/>
              <w:cnfStyle w:val="000000100000" w:firstRow="0" w:lastRow="0" w:firstColumn="0" w:lastColumn="0" w:oddVBand="0" w:evenVBand="0" w:oddHBand="1" w:evenHBand="0" w:firstRowFirstColumn="0" w:firstRowLastColumn="0" w:lastRowFirstColumn="0" w:lastRowLastColumn="0"/>
            </w:pPr>
            <w:r>
              <w:t>16</w:t>
            </w:r>
          </w:p>
        </w:tc>
        <w:tc>
          <w:tcPr>
            <w:tcW w:w="2070" w:type="dxa"/>
          </w:tcPr>
          <w:p w:rsidR="00196E87" w:rsidRDefault="001410D7" w:rsidP="005D6398">
            <w:pPr>
              <w:pStyle w:val="NoSpacing"/>
              <w:jc w:val="center"/>
              <w:cnfStyle w:val="000000100000" w:firstRow="0" w:lastRow="0" w:firstColumn="0" w:lastColumn="0" w:oddVBand="0" w:evenVBand="0" w:oddHBand="1" w:evenHBand="0" w:firstRowFirstColumn="0" w:firstRowLastColumn="0" w:lastRowFirstColumn="0" w:lastRowLastColumn="0"/>
            </w:pPr>
            <w:r>
              <w:t>2.1%</w:t>
            </w:r>
          </w:p>
        </w:tc>
      </w:tr>
      <w:tr w:rsidR="00196E87" w:rsidTr="00196E87">
        <w:trPr>
          <w:jc w:val="center"/>
        </w:trPr>
        <w:tc>
          <w:tcPr>
            <w:cnfStyle w:val="001000000000" w:firstRow="0" w:lastRow="0" w:firstColumn="1" w:lastColumn="0" w:oddVBand="0" w:evenVBand="0" w:oddHBand="0" w:evenHBand="0" w:firstRowFirstColumn="0" w:firstRowLastColumn="0" w:lastRowFirstColumn="0" w:lastRowLastColumn="0"/>
            <w:tcW w:w="3600" w:type="dxa"/>
          </w:tcPr>
          <w:p w:rsidR="00196E87" w:rsidRPr="00CD7C5D" w:rsidRDefault="00196E87" w:rsidP="00196E87">
            <w:pPr>
              <w:pStyle w:val="NoSpacing"/>
              <w:rPr>
                <w:b w:val="0"/>
              </w:rPr>
            </w:pPr>
            <w:r w:rsidRPr="00CD7C5D">
              <w:rPr>
                <w:b w:val="0"/>
              </w:rPr>
              <w:t>Spouse</w:t>
            </w:r>
          </w:p>
        </w:tc>
        <w:tc>
          <w:tcPr>
            <w:tcW w:w="1530" w:type="dxa"/>
          </w:tcPr>
          <w:p w:rsidR="00196E87" w:rsidRDefault="00196E87" w:rsidP="00196E87">
            <w:pPr>
              <w:pStyle w:val="NoSpacing"/>
              <w:jc w:val="center"/>
              <w:cnfStyle w:val="000000000000" w:firstRow="0" w:lastRow="0" w:firstColumn="0" w:lastColumn="0" w:oddVBand="0" w:evenVBand="0" w:oddHBand="0" w:evenHBand="0" w:firstRowFirstColumn="0" w:firstRowLastColumn="0" w:lastRowFirstColumn="0" w:lastRowLastColumn="0"/>
            </w:pPr>
            <w:r>
              <w:t>14</w:t>
            </w:r>
          </w:p>
        </w:tc>
        <w:tc>
          <w:tcPr>
            <w:tcW w:w="2070" w:type="dxa"/>
          </w:tcPr>
          <w:p w:rsidR="00196E87" w:rsidRDefault="001410D7" w:rsidP="00196E87">
            <w:pPr>
              <w:pStyle w:val="NoSpacing"/>
              <w:jc w:val="center"/>
              <w:cnfStyle w:val="000000000000" w:firstRow="0" w:lastRow="0" w:firstColumn="0" w:lastColumn="0" w:oddVBand="0" w:evenVBand="0" w:oddHBand="0" w:evenHBand="0" w:firstRowFirstColumn="0" w:firstRowLastColumn="0" w:lastRowFirstColumn="0" w:lastRowLastColumn="0"/>
            </w:pPr>
            <w:r>
              <w:t>1.8%</w:t>
            </w:r>
          </w:p>
        </w:tc>
      </w:tr>
      <w:tr w:rsidR="00196E87" w:rsidTr="00196E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0" w:type="dxa"/>
          </w:tcPr>
          <w:p w:rsidR="00196E87" w:rsidRPr="00CD7C5D" w:rsidRDefault="00196E87" w:rsidP="00196E87">
            <w:pPr>
              <w:pStyle w:val="NoSpacing"/>
              <w:rPr>
                <w:b w:val="0"/>
              </w:rPr>
            </w:pPr>
            <w:r w:rsidRPr="00CD7C5D">
              <w:rPr>
                <w:b w:val="0"/>
              </w:rPr>
              <w:t>Parent’s Live-in Partner</w:t>
            </w:r>
          </w:p>
        </w:tc>
        <w:tc>
          <w:tcPr>
            <w:tcW w:w="1530" w:type="dxa"/>
          </w:tcPr>
          <w:p w:rsidR="00196E87" w:rsidRDefault="00196E87" w:rsidP="00196E87">
            <w:pPr>
              <w:pStyle w:val="NoSpacing"/>
              <w:jc w:val="center"/>
              <w:cnfStyle w:val="000000100000" w:firstRow="0" w:lastRow="0" w:firstColumn="0" w:lastColumn="0" w:oddVBand="0" w:evenVBand="0" w:oddHBand="1" w:evenHBand="0" w:firstRowFirstColumn="0" w:firstRowLastColumn="0" w:lastRowFirstColumn="0" w:lastRowLastColumn="0"/>
            </w:pPr>
            <w:r>
              <w:t>7</w:t>
            </w:r>
          </w:p>
        </w:tc>
        <w:tc>
          <w:tcPr>
            <w:tcW w:w="2070" w:type="dxa"/>
          </w:tcPr>
          <w:p w:rsidR="00196E87" w:rsidRDefault="001410D7" w:rsidP="00196E87">
            <w:pPr>
              <w:pStyle w:val="NoSpacing"/>
              <w:jc w:val="center"/>
              <w:cnfStyle w:val="000000100000" w:firstRow="0" w:lastRow="0" w:firstColumn="0" w:lastColumn="0" w:oddVBand="0" w:evenVBand="0" w:oddHBand="1" w:evenHBand="0" w:firstRowFirstColumn="0" w:firstRowLastColumn="0" w:lastRowFirstColumn="0" w:lastRowLastColumn="0"/>
            </w:pPr>
            <w:r>
              <w:t>0.9%</w:t>
            </w:r>
          </w:p>
        </w:tc>
      </w:tr>
      <w:tr w:rsidR="00196E87" w:rsidTr="00196E87">
        <w:trPr>
          <w:jc w:val="center"/>
        </w:trPr>
        <w:tc>
          <w:tcPr>
            <w:cnfStyle w:val="001000000000" w:firstRow="0" w:lastRow="0" w:firstColumn="1" w:lastColumn="0" w:oddVBand="0" w:evenVBand="0" w:oddHBand="0" w:evenHBand="0" w:firstRowFirstColumn="0" w:firstRowLastColumn="0" w:lastRowFirstColumn="0" w:lastRowLastColumn="0"/>
            <w:tcW w:w="3600" w:type="dxa"/>
          </w:tcPr>
          <w:p w:rsidR="00196E87" w:rsidRPr="00CD7C5D" w:rsidRDefault="00196E87" w:rsidP="00196E87">
            <w:pPr>
              <w:pStyle w:val="NoSpacing"/>
              <w:rPr>
                <w:b w:val="0"/>
              </w:rPr>
            </w:pPr>
            <w:r>
              <w:t>Total</w:t>
            </w:r>
          </w:p>
        </w:tc>
        <w:tc>
          <w:tcPr>
            <w:tcW w:w="1530" w:type="dxa"/>
          </w:tcPr>
          <w:p w:rsidR="00196E87" w:rsidRDefault="00196E87" w:rsidP="00196E87">
            <w:pPr>
              <w:pStyle w:val="NoSpacing"/>
              <w:jc w:val="center"/>
              <w:cnfStyle w:val="000000000000" w:firstRow="0" w:lastRow="0" w:firstColumn="0" w:lastColumn="0" w:oddVBand="0" w:evenVBand="0" w:oddHBand="0" w:evenHBand="0" w:firstRowFirstColumn="0" w:firstRowLastColumn="0" w:lastRowFirstColumn="0" w:lastRowLastColumn="0"/>
            </w:pPr>
            <w:r w:rsidRPr="00CD7C5D">
              <w:rPr>
                <w:b/>
              </w:rPr>
              <w:t>7</w:t>
            </w:r>
            <w:r>
              <w:rPr>
                <w:b/>
              </w:rPr>
              <w:t>60</w:t>
            </w:r>
          </w:p>
        </w:tc>
        <w:tc>
          <w:tcPr>
            <w:tcW w:w="2070" w:type="dxa"/>
          </w:tcPr>
          <w:p w:rsidR="00196E87" w:rsidRDefault="00196E87" w:rsidP="00196E87">
            <w:pPr>
              <w:pStyle w:val="NoSpacing"/>
              <w:jc w:val="center"/>
              <w:cnfStyle w:val="000000000000" w:firstRow="0" w:lastRow="0" w:firstColumn="0" w:lastColumn="0" w:oddVBand="0" w:evenVBand="0" w:oddHBand="0" w:evenHBand="0" w:firstRowFirstColumn="0" w:firstRowLastColumn="0" w:lastRowFirstColumn="0" w:lastRowLastColumn="0"/>
            </w:pPr>
            <w:r w:rsidRPr="00CD7C5D">
              <w:rPr>
                <w:b/>
              </w:rPr>
              <w:t>100%</w:t>
            </w:r>
          </w:p>
        </w:tc>
      </w:tr>
    </w:tbl>
    <w:p w:rsidR="007647E2" w:rsidRPr="000E1432" w:rsidRDefault="007647E2" w:rsidP="00C870CB">
      <w:pPr>
        <w:pStyle w:val="NoSpacing"/>
        <w:ind w:left="1080"/>
        <w:rPr>
          <w:sz w:val="20"/>
          <w:szCs w:val="20"/>
        </w:rPr>
      </w:pPr>
      <w:r w:rsidRPr="000E1432">
        <w:rPr>
          <w:sz w:val="20"/>
          <w:szCs w:val="20"/>
        </w:rPr>
        <w:t xml:space="preserve">Source: </w:t>
      </w:r>
      <w:r w:rsidR="00C870CB">
        <w:rPr>
          <w:sz w:val="20"/>
          <w:szCs w:val="20"/>
        </w:rPr>
        <w:t>RPAD</w:t>
      </w:r>
      <w:r w:rsidRPr="000E1432">
        <w:rPr>
          <w:sz w:val="20"/>
          <w:szCs w:val="20"/>
        </w:rPr>
        <w:t xml:space="preserve">, </w:t>
      </w:r>
      <w:r w:rsidR="00C870CB">
        <w:rPr>
          <w:sz w:val="20"/>
          <w:szCs w:val="20"/>
        </w:rPr>
        <w:t>EOPSS</w:t>
      </w:r>
      <w:r w:rsidRPr="000E1432">
        <w:rPr>
          <w:sz w:val="20"/>
          <w:szCs w:val="20"/>
        </w:rPr>
        <w:t xml:space="preserve">, PSCR database. Data obtained </w:t>
      </w:r>
      <w:r>
        <w:rPr>
          <w:sz w:val="20"/>
          <w:szCs w:val="20"/>
        </w:rPr>
        <w:t>July</w:t>
      </w:r>
      <w:r w:rsidRPr="000E1432">
        <w:rPr>
          <w:sz w:val="20"/>
          <w:szCs w:val="20"/>
        </w:rPr>
        <w:t xml:space="preserve"> </w:t>
      </w:r>
      <w:r>
        <w:rPr>
          <w:sz w:val="20"/>
          <w:szCs w:val="20"/>
        </w:rPr>
        <w:t>1</w:t>
      </w:r>
      <w:r w:rsidRPr="000E1432">
        <w:rPr>
          <w:sz w:val="20"/>
          <w:szCs w:val="20"/>
        </w:rPr>
        <w:t>3, 201</w:t>
      </w:r>
      <w:r>
        <w:rPr>
          <w:sz w:val="20"/>
          <w:szCs w:val="20"/>
        </w:rPr>
        <w:t>8</w:t>
      </w:r>
      <w:r w:rsidRPr="000E1432">
        <w:rPr>
          <w:sz w:val="20"/>
          <w:szCs w:val="20"/>
        </w:rPr>
        <w:t>.</w:t>
      </w:r>
    </w:p>
    <w:p w:rsidR="007647E2" w:rsidRPr="000446DE" w:rsidRDefault="007647E2" w:rsidP="007647E2">
      <w:pPr>
        <w:pStyle w:val="NoSpacing"/>
        <w:ind w:left="1080"/>
        <w:rPr>
          <w:sz w:val="20"/>
          <w:szCs w:val="20"/>
        </w:rPr>
      </w:pPr>
      <w:proofErr w:type="spellStart"/>
      <w:proofErr w:type="gramStart"/>
      <w:r w:rsidRPr="000446DE">
        <w:rPr>
          <w:sz w:val="20"/>
          <w:szCs w:val="20"/>
          <w:vertAlign w:val="superscript"/>
        </w:rPr>
        <w:t>a</w:t>
      </w:r>
      <w:proofErr w:type="spellEnd"/>
      <w:proofErr w:type="gramEnd"/>
      <w:r>
        <w:rPr>
          <w:sz w:val="20"/>
          <w:szCs w:val="20"/>
          <w:vertAlign w:val="superscript"/>
        </w:rPr>
        <w:t xml:space="preserve"> </w:t>
      </w:r>
      <w:r w:rsidRPr="000446DE">
        <w:rPr>
          <w:sz w:val="20"/>
          <w:szCs w:val="20"/>
        </w:rPr>
        <w:t>Individual sexual assault exams/cases can involve multiple assailants</w:t>
      </w:r>
    </w:p>
    <w:p w:rsidR="00926C48" w:rsidRDefault="00926C48" w:rsidP="00926C48">
      <w:pPr>
        <w:pStyle w:val="NoSpacing"/>
      </w:pPr>
    </w:p>
    <w:p w:rsidR="00F03D46" w:rsidRPr="00F03D46" w:rsidRDefault="00F03D46" w:rsidP="00F03D46">
      <w:r>
        <w:t>Sexual assault and d</w:t>
      </w:r>
      <w:r w:rsidRPr="00F03D46">
        <w:t xml:space="preserve">omestic </w:t>
      </w:r>
      <w:r>
        <w:t>v</w:t>
      </w:r>
      <w:r w:rsidRPr="00F03D46">
        <w:t>iolence are both public safety and public health issues that require collabo</w:t>
      </w:r>
      <w:r>
        <w:t xml:space="preserve">ration among all stakeholders.  </w:t>
      </w:r>
      <w:r w:rsidRPr="00F03D46">
        <w:t>To address this need, the Governor’s Council to Address Sexual Assault and Domestic Violence (Council) is charged to advise the Governor on how to help residents of the Commonwealth live a life free of sexual assault and domestic violence by improving prevention for all, enhancing support for individuals and families affected by sexual assault and domestic violence, and insisting on ac</w:t>
      </w:r>
      <w:r>
        <w:t xml:space="preserve">countability for perpetrators.  </w:t>
      </w:r>
    </w:p>
    <w:p w:rsidR="00280FEC" w:rsidRDefault="00280FEC" w:rsidP="00F03D46"/>
    <w:p w:rsidR="00FB14A4" w:rsidRDefault="00F03D46" w:rsidP="00F03D46">
      <w:r>
        <w:lastRenderedPageBreak/>
        <w:t xml:space="preserve">The </w:t>
      </w:r>
      <w:r w:rsidRPr="00F03D46">
        <w:t xml:space="preserve">Council created </w:t>
      </w:r>
      <w:r>
        <w:t>five</w:t>
      </w:r>
      <w:r w:rsidRPr="00F03D46">
        <w:t xml:space="preserve"> </w:t>
      </w:r>
      <w:r w:rsidR="00280FEC">
        <w:t>committees</w:t>
      </w:r>
      <w:r w:rsidRPr="00F03D46">
        <w:t xml:space="preserve"> in the following areas of priority: 1</w:t>
      </w:r>
      <w:r>
        <w:t>)</w:t>
      </w:r>
      <w:r w:rsidRPr="00F03D46">
        <w:t xml:space="preserve"> Veterans/Military</w:t>
      </w:r>
      <w:r w:rsidR="006B4BB1">
        <w:t>,</w:t>
      </w:r>
      <w:r w:rsidRPr="00F03D46">
        <w:t xml:space="preserve"> 2</w:t>
      </w:r>
      <w:r>
        <w:t>)</w:t>
      </w:r>
      <w:r w:rsidRPr="00F03D46">
        <w:t xml:space="preserve"> Child Trafficking</w:t>
      </w:r>
      <w:r w:rsidR="006B4BB1">
        <w:t>,</w:t>
      </w:r>
      <w:r w:rsidRPr="00F03D46">
        <w:t xml:space="preserve"> 3</w:t>
      </w:r>
      <w:r w:rsidR="006B4BB1">
        <w:t>)</w:t>
      </w:r>
      <w:r w:rsidRPr="00F03D46">
        <w:t xml:space="preserve"> Prevention Education</w:t>
      </w:r>
      <w:r w:rsidR="006B4BB1">
        <w:t>,</w:t>
      </w:r>
      <w:r w:rsidRPr="00F03D46">
        <w:t xml:space="preserve"> 4</w:t>
      </w:r>
      <w:r w:rsidR="006B4BB1">
        <w:t>)</w:t>
      </w:r>
      <w:r w:rsidRPr="00F03D46">
        <w:t xml:space="preserve"> Housing Stability and Self Sufficiency</w:t>
      </w:r>
      <w:r w:rsidR="006B4BB1">
        <w:t>,</w:t>
      </w:r>
      <w:r w:rsidRPr="00F03D46">
        <w:t xml:space="preserve"> and 5</w:t>
      </w:r>
      <w:r w:rsidR="006B4BB1">
        <w:t xml:space="preserve">) Response and Assessment.  </w:t>
      </w:r>
      <w:r w:rsidRPr="00F03D46">
        <w:t xml:space="preserve">Each </w:t>
      </w:r>
      <w:r w:rsidR="00FB14A4">
        <w:t>committee</w:t>
      </w:r>
      <w:r w:rsidRPr="00F03D46">
        <w:t xml:space="preserve"> sets and reports on annual goals and recommendations and informs the Common</w:t>
      </w:r>
      <w:r w:rsidR="006B4BB1">
        <w:t>wealth on improving prevention,</w:t>
      </w:r>
      <w:r w:rsidRPr="00F03D46">
        <w:t xml:space="preserve"> enhancing supports to survivors</w:t>
      </w:r>
      <w:r w:rsidR="006B4BB1">
        <w:t>,</w:t>
      </w:r>
      <w:r w:rsidRPr="00F03D46">
        <w:t xml:space="preserve"> and increasing a</w:t>
      </w:r>
      <w:r w:rsidR="006B4BB1">
        <w:t xml:space="preserve">ccountability of perpetrators.  </w:t>
      </w:r>
      <w:r w:rsidRPr="00F03D46">
        <w:t>The Council consists of 30 members representing providers, advocates, healthcare, the Attorney General’s Office, law enforcement, the courts and higher education</w:t>
      </w:r>
      <w:r w:rsidR="00FB14A4">
        <w:t>.</w:t>
      </w:r>
    </w:p>
    <w:p w:rsidR="00FB14A4" w:rsidRDefault="00FB14A4" w:rsidP="00F03D46"/>
    <w:p w:rsidR="00FB14A4" w:rsidRPr="00F03D46" w:rsidRDefault="00280FEC" w:rsidP="00FB14A4">
      <w:r w:rsidRPr="00F03D46">
        <w:t>The Council is chair</w:t>
      </w:r>
      <w:r>
        <w:t>ed by Lt. Governor Karyn Polito</w:t>
      </w:r>
      <w:r w:rsidR="00FB14A4">
        <w:t>,</w:t>
      </w:r>
      <w:r>
        <w:t xml:space="preserve"> meets bi-monthly</w:t>
      </w:r>
      <w:r w:rsidR="00FB14A4">
        <w:t>, and</w:t>
      </w:r>
      <w:r>
        <w:t xml:space="preserve"> </w:t>
      </w:r>
      <w:r w:rsidR="00FB14A4">
        <w:t xml:space="preserve">conducts </w:t>
      </w:r>
      <w:r w:rsidRPr="00F03D46">
        <w:t>outreach and support</w:t>
      </w:r>
      <w:r w:rsidR="00FB14A4">
        <w:t xml:space="preserve">s the committees in carrying </w:t>
      </w:r>
      <w:r w:rsidRPr="00F03D46">
        <w:t>out their tasks</w:t>
      </w:r>
      <w:r w:rsidR="00FB14A4">
        <w:t xml:space="preserve">.  </w:t>
      </w:r>
      <w:r w:rsidR="00FB14A4" w:rsidRPr="00F03D46">
        <w:t>Supporting the Council, the Executive Director is responsible</w:t>
      </w:r>
      <w:r w:rsidR="00FB14A4">
        <w:t xml:space="preserve"> for the day-to-day operations.</w:t>
      </w:r>
    </w:p>
    <w:p w:rsidR="00280FEC" w:rsidRPr="00F03D46" w:rsidRDefault="00280FEC" w:rsidP="00280FEC"/>
    <w:p w:rsidR="00926C48" w:rsidRDefault="00926C48" w:rsidP="00926C48">
      <w:pPr>
        <w:pStyle w:val="NoSpacing"/>
      </w:pPr>
    </w:p>
    <w:p w:rsidR="00621B93" w:rsidRDefault="00621B93">
      <w:pPr>
        <w:spacing w:after="200" w:line="276" w:lineRule="auto"/>
        <w:rPr>
          <w:highlight w:val="yellow"/>
        </w:rPr>
      </w:pPr>
      <w:r>
        <w:rPr>
          <w:highlight w:val="yellow"/>
        </w:rPr>
        <w:br w:type="page"/>
      </w:r>
    </w:p>
    <w:p w:rsidR="003C3226" w:rsidRPr="00B12037" w:rsidRDefault="003C3226" w:rsidP="003C3226">
      <w:pPr>
        <w:pStyle w:val="NoSpacing"/>
        <w:rPr>
          <w:b/>
          <w:smallCaps/>
          <w:sz w:val="26"/>
          <w:szCs w:val="26"/>
          <w:u w:val="single"/>
        </w:rPr>
      </w:pPr>
      <w:r w:rsidRPr="00B12037">
        <w:rPr>
          <w:b/>
          <w:smallCaps/>
          <w:sz w:val="26"/>
          <w:szCs w:val="26"/>
          <w:u w:val="single"/>
        </w:rPr>
        <w:lastRenderedPageBreak/>
        <w:t>Priority #</w:t>
      </w:r>
      <w:r>
        <w:rPr>
          <w:b/>
          <w:smallCaps/>
          <w:sz w:val="26"/>
          <w:szCs w:val="26"/>
          <w:u w:val="single"/>
        </w:rPr>
        <w:t>4</w:t>
      </w:r>
      <w:r w:rsidRPr="00B12037">
        <w:rPr>
          <w:b/>
          <w:smallCaps/>
          <w:sz w:val="26"/>
          <w:szCs w:val="26"/>
          <w:u w:val="single"/>
        </w:rPr>
        <w:t xml:space="preserve">: </w:t>
      </w:r>
      <w:r>
        <w:rPr>
          <w:b/>
          <w:smallCaps/>
          <w:sz w:val="26"/>
          <w:szCs w:val="26"/>
          <w:u w:val="single"/>
        </w:rPr>
        <w:t>Substance Abuse with an Emphasis on Opioids</w:t>
      </w:r>
    </w:p>
    <w:p w:rsidR="002D780F" w:rsidRPr="003C3226" w:rsidRDefault="002D780F" w:rsidP="002D780F">
      <w:pPr>
        <w:pStyle w:val="NoSpacing"/>
      </w:pPr>
    </w:p>
    <w:p w:rsidR="002D780F" w:rsidRPr="003C3226" w:rsidRDefault="003C3226" w:rsidP="002D780F">
      <w:pPr>
        <w:pStyle w:val="NoSpacing"/>
        <w:rPr>
          <w:b/>
          <w:i/>
        </w:rPr>
      </w:pPr>
      <w:r w:rsidRPr="003C3226">
        <w:rPr>
          <w:b/>
          <w:i/>
        </w:rPr>
        <w:t>Goal</w:t>
      </w:r>
    </w:p>
    <w:p w:rsidR="002D780F" w:rsidRDefault="00C27B2B" w:rsidP="002D780F">
      <w:pPr>
        <w:pStyle w:val="NoSpacing"/>
      </w:pPr>
      <w:r>
        <w:t>Prevent, enforce, and treat substance abuse (including illegal drugs, prescriptions drugs, and alcohol).</w:t>
      </w:r>
    </w:p>
    <w:p w:rsidR="00C27B2B" w:rsidRDefault="00C27B2B" w:rsidP="002D780F">
      <w:pPr>
        <w:pStyle w:val="NoSpacing"/>
      </w:pPr>
    </w:p>
    <w:p w:rsidR="00C27B2B" w:rsidRPr="003C3226" w:rsidRDefault="00C27B2B" w:rsidP="00C27B2B">
      <w:pPr>
        <w:pStyle w:val="NoSpacing"/>
        <w:rPr>
          <w:b/>
          <w:i/>
        </w:rPr>
      </w:pPr>
      <w:r>
        <w:rPr>
          <w:b/>
          <w:i/>
        </w:rPr>
        <w:t>Purpose Areas Addressed</w:t>
      </w:r>
    </w:p>
    <w:p w:rsidR="00C27B2B" w:rsidRDefault="00C27B2B" w:rsidP="00C27B2B">
      <w:pPr>
        <w:pStyle w:val="NoSpacing"/>
        <w:numPr>
          <w:ilvl w:val="0"/>
          <w:numId w:val="15"/>
        </w:numPr>
      </w:pPr>
      <w:r>
        <w:t>Law enforcement programs</w:t>
      </w:r>
    </w:p>
    <w:p w:rsidR="00C27B2B" w:rsidRDefault="00C27B2B" w:rsidP="00C27B2B">
      <w:pPr>
        <w:pStyle w:val="NoSpacing"/>
        <w:numPr>
          <w:ilvl w:val="0"/>
          <w:numId w:val="15"/>
        </w:numPr>
      </w:pPr>
      <w:r>
        <w:t>Prosecution and court programs</w:t>
      </w:r>
    </w:p>
    <w:p w:rsidR="00C27B2B" w:rsidRDefault="00C27B2B" w:rsidP="00C27B2B">
      <w:pPr>
        <w:pStyle w:val="NoSpacing"/>
        <w:numPr>
          <w:ilvl w:val="0"/>
          <w:numId w:val="15"/>
        </w:numPr>
      </w:pPr>
      <w:r>
        <w:t>Prevention and education programs</w:t>
      </w:r>
    </w:p>
    <w:p w:rsidR="00C27B2B" w:rsidRDefault="00C27B2B" w:rsidP="00C27B2B">
      <w:pPr>
        <w:pStyle w:val="NoSpacing"/>
        <w:numPr>
          <w:ilvl w:val="0"/>
          <w:numId w:val="15"/>
        </w:numPr>
      </w:pPr>
      <w:r>
        <w:t>Corrections and community corrections programs</w:t>
      </w:r>
    </w:p>
    <w:p w:rsidR="00C27B2B" w:rsidRDefault="00C27B2B" w:rsidP="00C27B2B">
      <w:pPr>
        <w:pStyle w:val="NoSpacing"/>
      </w:pPr>
    </w:p>
    <w:p w:rsidR="00C27B2B" w:rsidRPr="003C3226" w:rsidRDefault="00C27B2B" w:rsidP="00C27B2B">
      <w:pPr>
        <w:pStyle w:val="NoSpacing"/>
        <w:rPr>
          <w:b/>
          <w:i/>
        </w:rPr>
      </w:pPr>
      <w:r>
        <w:rPr>
          <w:b/>
          <w:i/>
        </w:rPr>
        <w:t>Anticipated Activities</w:t>
      </w:r>
    </w:p>
    <w:p w:rsidR="00C27B2B" w:rsidRDefault="008052F3" w:rsidP="008052F3">
      <w:pPr>
        <w:pStyle w:val="NoSpacing"/>
        <w:numPr>
          <w:ilvl w:val="0"/>
          <w:numId w:val="16"/>
        </w:numPr>
      </w:pPr>
      <w:r>
        <w:t>Continue to reduce drug and violent crime-related activities</w:t>
      </w:r>
      <w:r w:rsidR="008E19C6">
        <w:t>.</w:t>
      </w:r>
    </w:p>
    <w:p w:rsidR="008052F3" w:rsidRDefault="008052F3" w:rsidP="008052F3">
      <w:pPr>
        <w:pStyle w:val="NoSpacing"/>
        <w:numPr>
          <w:ilvl w:val="0"/>
          <w:numId w:val="16"/>
        </w:numPr>
      </w:pPr>
      <w:r>
        <w:t xml:space="preserve">Continue drug treatment intervention services including testing for illicit substances at all levels of the criminal and juvenile justice systems, from courts through probation and within the juvenile detention facilities, houses of correction and state prison system.  Support residential substance abuse treatment programs in state and county correctional </w:t>
      </w:r>
      <w:r w:rsidR="005A02B5">
        <w:t>facilities.</w:t>
      </w:r>
    </w:p>
    <w:p w:rsidR="005A02B5" w:rsidRDefault="005A02B5" w:rsidP="008052F3">
      <w:pPr>
        <w:pStyle w:val="NoSpacing"/>
        <w:numPr>
          <w:ilvl w:val="0"/>
          <w:numId w:val="16"/>
        </w:numPr>
      </w:pPr>
      <w:r>
        <w:t>Reduce the demand for drugs including prescription drugs amongst youth by continuing support of drug diversion models, underage drinking programs, and community-based violence prevention programs.</w:t>
      </w:r>
    </w:p>
    <w:p w:rsidR="005A02B5" w:rsidRDefault="005A02B5" w:rsidP="008052F3">
      <w:pPr>
        <w:pStyle w:val="NoSpacing"/>
        <w:numPr>
          <w:ilvl w:val="0"/>
          <w:numId w:val="16"/>
        </w:numPr>
      </w:pPr>
      <w:r>
        <w:t>Reduce heroin and other opioid use through prevention, intervention, treatment, interdiction, and system readiness.</w:t>
      </w:r>
    </w:p>
    <w:p w:rsidR="005A02B5" w:rsidRPr="003C3226" w:rsidRDefault="005A02B5" w:rsidP="008052F3">
      <w:pPr>
        <w:pStyle w:val="NoSpacing"/>
        <w:numPr>
          <w:ilvl w:val="0"/>
          <w:numId w:val="16"/>
        </w:numPr>
      </w:pPr>
      <w:r>
        <w:t>Continue to support multi-jurisdictional crime fighting efforts and traditional law enforcement activities (apprehension, detention, deterrence, and suppression)</w:t>
      </w:r>
      <w:r w:rsidR="008E19C6">
        <w:t>.</w:t>
      </w:r>
    </w:p>
    <w:p w:rsidR="002D780F" w:rsidRDefault="002D780F" w:rsidP="002D780F">
      <w:pPr>
        <w:pStyle w:val="NoSpacing"/>
      </w:pPr>
    </w:p>
    <w:p w:rsidR="005A02B5" w:rsidRPr="003C3226" w:rsidRDefault="005A02B5" w:rsidP="005A02B5">
      <w:pPr>
        <w:pStyle w:val="NoSpacing"/>
        <w:rPr>
          <w:b/>
          <w:i/>
        </w:rPr>
      </w:pPr>
      <w:r>
        <w:rPr>
          <w:b/>
          <w:i/>
        </w:rPr>
        <w:t>Rationale</w:t>
      </w:r>
    </w:p>
    <w:p w:rsidR="003C3226" w:rsidRDefault="00B02F10" w:rsidP="002D780F">
      <w:pPr>
        <w:pStyle w:val="NoSpacing"/>
      </w:pPr>
      <w:r>
        <w:t xml:space="preserve">Substance abuse is a serious and costly issue that affects all states, and Massachusetts is no exception.  Addiction to and distribution of illicit drugs impacts public safety and public health at the community level, not to mention the countless negative effects for the families of those directly impacted by this disease.  Most recently, in the past couple of years, the number of overdoses and deaths attributed to opioid abuse has been unprecedented in Massachusetts.  There is an increase in the number of admissions to substance abuse facilities for both opioid and heroin poisonings as well as new commitments to the </w:t>
      </w:r>
      <w:r w:rsidR="00BA46D2">
        <w:t>DOC</w:t>
      </w:r>
      <w:r>
        <w:t xml:space="preserve"> for a governing drug offense.  These trends demonstrate the need still remains for cost-effective access to services.</w:t>
      </w:r>
    </w:p>
    <w:p w:rsidR="003C3226" w:rsidRDefault="003C3226" w:rsidP="002D780F">
      <w:pPr>
        <w:pStyle w:val="NoSpacing"/>
      </w:pPr>
    </w:p>
    <w:p w:rsidR="00B02F10" w:rsidRPr="003C3226" w:rsidRDefault="00B02F10" w:rsidP="00B02F10">
      <w:pPr>
        <w:pStyle w:val="NoSpacing"/>
        <w:rPr>
          <w:b/>
          <w:i/>
        </w:rPr>
      </w:pPr>
      <w:r>
        <w:rPr>
          <w:b/>
          <w:i/>
        </w:rPr>
        <w:t>Statement of the Problem</w:t>
      </w:r>
    </w:p>
    <w:p w:rsidR="0061461C" w:rsidRPr="00440954" w:rsidRDefault="0061461C" w:rsidP="0061461C">
      <w:r w:rsidRPr="00440954">
        <w:t>Statistics demonstrate that there is a direct relationship between the use of drugs and the volume of crime committed by drug users.  A June 2017 report issued by th</w:t>
      </w:r>
      <w:r w:rsidR="00BA46D2">
        <w:t>e BJS</w:t>
      </w:r>
      <w:r w:rsidRPr="00440954">
        <w:t xml:space="preserve"> noted 42% of state inmates committed their offense under the influence of drugs.  Furthermore, </w:t>
      </w:r>
      <w:r>
        <w:t>7</w:t>
      </w:r>
      <w:r w:rsidRPr="00440954">
        <w:t>% of state inmates report</w:t>
      </w:r>
      <w:r>
        <w:t>ed</w:t>
      </w:r>
      <w:r w:rsidRPr="00440954">
        <w:t xml:space="preserve"> </w:t>
      </w:r>
      <w:r>
        <w:t>heroin/opiate use at the time of</w:t>
      </w:r>
      <w:r w:rsidRPr="00440954">
        <w:t xml:space="preserve"> the offense, and 5</w:t>
      </w:r>
      <w:r>
        <w:t>8</w:t>
      </w:r>
      <w:r w:rsidRPr="00440954">
        <w:t>% report drug dependence or abuse.</w:t>
      </w:r>
      <w:r w:rsidRPr="00440954">
        <w:rPr>
          <w:rStyle w:val="FootnoteReference"/>
        </w:rPr>
        <w:footnoteReference w:id="26"/>
      </w:r>
      <w:r w:rsidRPr="00440954">
        <w:t xml:space="preserve">  </w:t>
      </w:r>
      <w:r w:rsidRPr="00440954">
        <w:lastRenderedPageBreak/>
        <w:t>The ensuing statistics will demonstrate the need for substance abuse programming for incarcerated individuals as many have experience with drug and alcohol abuse.</w:t>
      </w:r>
    </w:p>
    <w:p w:rsidR="0061461C" w:rsidRPr="00742C40" w:rsidRDefault="0061461C" w:rsidP="0061461C">
      <w:pPr>
        <w:rPr>
          <w:highlight w:val="yellow"/>
        </w:rPr>
      </w:pPr>
    </w:p>
    <w:p w:rsidR="0061461C" w:rsidRDefault="0061461C" w:rsidP="0061461C">
      <w:r w:rsidRPr="00BF1BED">
        <w:t xml:space="preserve">The Drug Enforcement Administration (DEA) released a report in October 2017 entitled </w:t>
      </w:r>
      <w:r w:rsidRPr="00BF1BED">
        <w:rPr>
          <w:i/>
        </w:rPr>
        <w:t>National Drug Threat Assessment 2017</w:t>
      </w:r>
      <w:r w:rsidRPr="00BF1BED">
        <w:t xml:space="preserve">, which provides an in-depth analysis of the specific types of drugs and drug-abuse patterns nationally, and in the New England region.  The report identified opioid abuse, and in particular, heroin and controlled prescription medications, as the primary drug concerns for the New England region. Specifically, in Massachusetts, opioid abuse remains a serious public health concern as drug-related overdoses and deaths </w:t>
      </w:r>
      <w:r>
        <w:t>remain high</w:t>
      </w:r>
      <w:r w:rsidRPr="00BF1BED">
        <w:t>.</w:t>
      </w:r>
      <w:r>
        <w:t xml:space="preserve">  However, for the first time in seven years, overdose deaths decreased.  In 2017, there was a 6% decrease from 2016.</w:t>
      </w:r>
      <w:r>
        <w:rPr>
          <w:rStyle w:val="FootnoteReference"/>
        </w:rPr>
        <w:footnoteReference w:id="27"/>
      </w:r>
    </w:p>
    <w:p w:rsidR="0061461C" w:rsidRDefault="0061461C" w:rsidP="0061461C"/>
    <w:p w:rsidR="0061461C" w:rsidRDefault="0061461C" w:rsidP="0061461C">
      <w:pPr>
        <w:rPr>
          <w:rStyle w:val="Emphasis"/>
          <w:rFonts w:cs="Arial"/>
          <w:i w:val="0"/>
          <w:color w:val="222222"/>
          <w:shd w:val="clear" w:color="auto" w:fill="FFFFFF"/>
        </w:rPr>
      </w:pPr>
      <w:r>
        <w:t xml:space="preserve">Governor Baker continues to champion many initiatives to combat the continuing drug crisis in Massachusetts.  Noted in previous </w:t>
      </w:r>
      <w:r w:rsidR="002C7B10">
        <w:t>federal</w:t>
      </w:r>
      <w:r>
        <w:t xml:space="preserve"> applications, </w:t>
      </w:r>
      <w:r w:rsidRPr="00905129">
        <w:t>Chapter 55 of the Acts of 2015 (Chapter 55) was passed by the Massachusetts Legislature and signed into law by Governor Charles D. Baker in August 2015.  “First-in-the-nation, this law permits the linkage and analysis of existing data across state government in order to better guide policy development and programmatic decision-making to successfully tackle the current opioid epidemic.”</w:t>
      </w:r>
      <w:r w:rsidRPr="00905129">
        <w:rPr>
          <w:rStyle w:val="FootnoteReference"/>
        </w:rPr>
        <w:footnoteReference w:id="28"/>
      </w:r>
      <w:r>
        <w:t xml:space="preserve">  </w:t>
      </w:r>
      <w:r w:rsidRPr="007F4F8C">
        <w:rPr>
          <w:rStyle w:val="Emphasis"/>
          <w:rFonts w:cs="Arial"/>
          <w:i w:val="0"/>
          <w:color w:val="222222"/>
          <w:shd w:val="clear" w:color="auto" w:fill="FFFFFF"/>
        </w:rPr>
        <w:t>In the year since the release of the first Chapter 55 report in September 2016, approximately 2,000 Massachusetts residents have died of opioid-related overdoses.</w:t>
      </w:r>
      <w:r w:rsidRPr="00B42D0F">
        <w:rPr>
          <w:rStyle w:val="FootnoteReference"/>
          <w:rFonts w:cs="Arial"/>
          <w:iCs/>
          <w:color w:val="222222"/>
          <w:shd w:val="clear" w:color="auto" w:fill="FFFFFF"/>
        </w:rPr>
        <w:footnoteReference w:id="29"/>
      </w:r>
      <w:r>
        <w:rPr>
          <w:rStyle w:val="Emphasis"/>
          <w:rFonts w:cs="Arial"/>
          <w:color w:val="222222"/>
          <w:shd w:val="clear" w:color="auto" w:fill="FFFFFF"/>
        </w:rPr>
        <w:t xml:space="preserve">  </w:t>
      </w:r>
    </w:p>
    <w:p w:rsidR="0061461C" w:rsidRDefault="0061461C" w:rsidP="0061461C">
      <w:pPr>
        <w:rPr>
          <w:rStyle w:val="Emphasis"/>
          <w:rFonts w:cs="Arial"/>
          <w:i w:val="0"/>
          <w:color w:val="222222"/>
          <w:shd w:val="clear" w:color="auto" w:fill="FFFFFF"/>
        </w:rPr>
      </w:pPr>
    </w:p>
    <w:p w:rsidR="0061461C" w:rsidRDefault="0061461C" w:rsidP="0061461C">
      <w:r>
        <w:t>Governor Baker’s proactive response to the opioid crisis in Massachusetts has remained steadfast.  Governor Baker established the Opioid Working Group which released 65 recommendations and an action plan in June 2015.  The Governor’s Working Group on Opioids released an update on November 14, 2017, which noted there are signs of initial improvement in the fight against opioid addiction.  The following are some of the highlights from this update:</w:t>
      </w:r>
      <w:r w:rsidRPr="0068178C">
        <w:rPr>
          <w:rStyle w:val="FootnoteReference"/>
        </w:rPr>
        <w:t xml:space="preserve"> </w:t>
      </w:r>
      <w:r>
        <w:rPr>
          <w:rStyle w:val="FootnoteReference"/>
        </w:rPr>
        <w:footnoteReference w:id="30"/>
      </w:r>
    </w:p>
    <w:p w:rsidR="0061461C" w:rsidRDefault="0061461C" w:rsidP="0061461C">
      <w:pPr>
        <w:pStyle w:val="Default"/>
        <w:numPr>
          <w:ilvl w:val="0"/>
          <w:numId w:val="28"/>
        </w:numPr>
        <w:spacing w:after="14"/>
        <w:rPr>
          <w:rFonts w:ascii="Times New Roman" w:eastAsia="PMingLiU" w:hAnsi="Times New Roman" w:cs="Times New Roman"/>
          <w:color w:val="auto"/>
          <w:lang w:eastAsia="zh-TW"/>
        </w:rPr>
      </w:pPr>
      <w:r w:rsidRPr="0068178C">
        <w:rPr>
          <w:rFonts w:ascii="Times New Roman" w:eastAsia="PMingLiU" w:hAnsi="Times New Roman" w:cs="Times New Roman"/>
          <w:color w:val="auto"/>
          <w:lang w:eastAsia="zh-TW"/>
        </w:rPr>
        <w:t xml:space="preserve">The rate of overdose deaths has slowed, the first 9 months of 2017 showed a 10% decrease over 2016; </w:t>
      </w:r>
    </w:p>
    <w:p w:rsidR="0061461C" w:rsidRPr="0068178C" w:rsidRDefault="0061461C" w:rsidP="0061461C">
      <w:pPr>
        <w:pStyle w:val="Default"/>
        <w:numPr>
          <w:ilvl w:val="0"/>
          <w:numId w:val="28"/>
        </w:numPr>
        <w:spacing w:after="14"/>
        <w:rPr>
          <w:rFonts w:ascii="Times New Roman" w:eastAsia="PMingLiU" w:hAnsi="Times New Roman" w:cs="Times New Roman"/>
          <w:color w:val="auto"/>
          <w:lang w:eastAsia="zh-TW"/>
        </w:rPr>
      </w:pPr>
      <w:r w:rsidRPr="0068178C">
        <w:rPr>
          <w:rFonts w:ascii="Times New Roman" w:eastAsia="PMingLiU" w:hAnsi="Times New Roman" w:cs="Times New Roman"/>
          <w:color w:val="auto"/>
          <w:lang w:eastAsia="zh-TW"/>
        </w:rPr>
        <w:t>The presence of prescription opioids and heroin in toxicology of opioid-related deaths continues to decline, however, the presence of fentanyl in opioid-related deaths has been increasing significantly;</w:t>
      </w:r>
    </w:p>
    <w:p w:rsidR="0061461C" w:rsidRPr="00506F88" w:rsidRDefault="0061461C" w:rsidP="0061461C">
      <w:pPr>
        <w:pStyle w:val="Default"/>
        <w:numPr>
          <w:ilvl w:val="0"/>
          <w:numId w:val="28"/>
        </w:numPr>
        <w:spacing w:after="14"/>
        <w:rPr>
          <w:rFonts w:ascii="Times New Roman" w:eastAsia="PMingLiU" w:hAnsi="Times New Roman" w:cs="Times New Roman"/>
          <w:lang w:eastAsia="zh-TW"/>
        </w:rPr>
      </w:pPr>
      <w:r w:rsidRPr="00506F88">
        <w:rPr>
          <w:rFonts w:ascii="Times New Roman" w:eastAsia="PMingLiU" w:hAnsi="Times New Roman" w:cs="Times New Roman"/>
          <w:lang w:eastAsia="zh-TW"/>
        </w:rPr>
        <w:t>Prescribing clinicians have changed their practice and are using the prescription monitoring program</w:t>
      </w:r>
      <w:r>
        <w:rPr>
          <w:rFonts w:ascii="Times New Roman" w:eastAsia="PMingLiU" w:hAnsi="Times New Roman" w:cs="Times New Roman"/>
          <w:lang w:eastAsia="zh-TW"/>
        </w:rPr>
        <w:t>;</w:t>
      </w:r>
    </w:p>
    <w:p w:rsidR="0061461C" w:rsidRPr="00506F88" w:rsidRDefault="0061461C" w:rsidP="0061461C">
      <w:pPr>
        <w:pStyle w:val="Default"/>
        <w:numPr>
          <w:ilvl w:val="0"/>
          <w:numId w:val="28"/>
        </w:numPr>
        <w:spacing w:after="14"/>
        <w:rPr>
          <w:rFonts w:ascii="Times New Roman" w:eastAsia="PMingLiU" w:hAnsi="Times New Roman" w:cs="Times New Roman"/>
          <w:lang w:eastAsia="zh-TW"/>
        </w:rPr>
      </w:pPr>
      <w:r w:rsidRPr="00506F88">
        <w:rPr>
          <w:rFonts w:ascii="Times New Roman" w:eastAsia="PMingLiU" w:hAnsi="Times New Roman" w:cs="Times New Roman"/>
          <w:lang w:eastAsia="zh-TW"/>
        </w:rPr>
        <w:t xml:space="preserve">The number of opioid prescriptions </w:t>
      </w:r>
      <w:r>
        <w:rPr>
          <w:rFonts w:ascii="Times New Roman" w:eastAsia="PMingLiU" w:hAnsi="Times New Roman" w:cs="Times New Roman"/>
          <w:lang w:eastAsia="zh-TW"/>
        </w:rPr>
        <w:t>has decreased by 29% since 2015; and</w:t>
      </w:r>
    </w:p>
    <w:p w:rsidR="0061461C" w:rsidRDefault="0061461C" w:rsidP="0061461C">
      <w:pPr>
        <w:pStyle w:val="Default"/>
        <w:numPr>
          <w:ilvl w:val="0"/>
          <w:numId w:val="28"/>
        </w:numPr>
        <w:rPr>
          <w:rFonts w:ascii="Times New Roman" w:eastAsia="PMingLiU" w:hAnsi="Times New Roman" w:cs="Times New Roman"/>
          <w:lang w:eastAsia="zh-TW"/>
        </w:rPr>
      </w:pPr>
      <w:r w:rsidRPr="00506F88">
        <w:rPr>
          <w:rFonts w:ascii="Times New Roman" w:eastAsia="PMingLiU" w:hAnsi="Times New Roman" w:cs="Times New Roman"/>
          <w:lang w:eastAsia="zh-TW"/>
        </w:rPr>
        <w:lastRenderedPageBreak/>
        <w:t>There continues to be an increase in the use of Naloxone</w:t>
      </w:r>
      <w:r>
        <w:rPr>
          <w:rFonts w:ascii="Times New Roman" w:eastAsia="PMingLiU" w:hAnsi="Times New Roman" w:cs="Times New Roman"/>
          <w:lang w:eastAsia="zh-TW"/>
        </w:rPr>
        <w:t xml:space="preserve"> as a result of expanded access.</w:t>
      </w:r>
    </w:p>
    <w:p w:rsidR="0061461C" w:rsidRDefault="0061461C" w:rsidP="0061461C">
      <w:pPr>
        <w:pStyle w:val="Default"/>
        <w:numPr>
          <w:ilvl w:val="1"/>
          <w:numId w:val="28"/>
        </w:numPr>
        <w:rPr>
          <w:rFonts w:ascii="Times New Roman" w:eastAsia="PMingLiU" w:hAnsi="Times New Roman" w:cs="Times New Roman"/>
          <w:lang w:eastAsia="zh-TW"/>
        </w:rPr>
      </w:pPr>
      <w:r>
        <w:rPr>
          <w:rFonts w:ascii="Times New Roman" w:eastAsia="PMingLiU" w:hAnsi="Times New Roman" w:cs="Times New Roman"/>
          <w:lang w:eastAsia="zh-TW"/>
        </w:rPr>
        <w:t>The Overdose Education and Naloxone Distribution (OEND) program has trained over 64,000 individuals on how to administer naloxone since the program began in 2007.</w:t>
      </w:r>
    </w:p>
    <w:p w:rsidR="0061461C" w:rsidRPr="00506F88" w:rsidRDefault="0061461C" w:rsidP="0061461C">
      <w:pPr>
        <w:pStyle w:val="Default"/>
        <w:numPr>
          <w:ilvl w:val="1"/>
          <w:numId w:val="28"/>
        </w:numPr>
        <w:rPr>
          <w:rFonts w:ascii="Times New Roman" w:eastAsia="PMingLiU" w:hAnsi="Times New Roman" w:cs="Times New Roman"/>
          <w:lang w:eastAsia="zh-TW"/>
        </w:rPr>
      </w:pPr>
      <w:r>
        <w:rPr>
          <w:rFonts w:ascii="Times New Roman" w:eastAsia="PMingLiU" w:hAnsi="Times New Roman" w:cs="Times New Roman"/>
          <w:lang w:eastAsia="zh-TW"/>
        </w:rPr>
        <w:t xml:space="preserve">Since 2007, nearly 12,800 overdose rescues have been reported.  Over 8,600 since 2015 and 3,600 rescues in 2016 alone. </w:t>
      </w:r>
    </w:p>
    <w:p w:rsidR="0061461C" w:rsidRDefault="0061461C" w:rsidP="0061461C"/>
    <w:p w:rsidR="0061461C" w:rsidRDefault="0061461C" w:rsidP="0061461C">
      <w:r>
        <w:t>Compared to the rest of the Massachusetts adult population the opioid-related overdose death rate is:</w:t>
      </w:r>
      <w:r>
        <w:rPr>
          <w:rStyle w:val="FootnoteReference"/>
        </w:rPr>
        <w:footnoteReference w:id="31"/>
      </w:r>
    </w:p>
    <w:p w:rsidR="0061461C" w:rsidRDefault="0061461C" w:rsidP="0061461C">
      <w:pPr>
        <w:pStyle w:val="ListParagraph"/>
        <w:numPr>
          <w:ilvl w:val="0"/>
          <w:numId w:val="29"/>
        </w:numPr>
      </w:pPr>
      <w:r>
        <w:t>321 times higher for pregnant and postpartum mothers with opioid use disorder (OUD);</w:t>
      </w:r>
    </w:p>
    <w:p w:rsidR="0061461C" w:rsidRDefault="0061461C" w:rsidP="0061461C">
      <w:pPr>
        <w:pStyle w:val="ListParagraph"/>
        <w:numPr>
          <w:ilvl w:val="0"/>
          <w:numId w:val="29"/>
        </w:numPr>
      </w:pPr>
      <w:r>
        <w:t>120 times higher for persons released from Massachusetts prisons and jails;</w:t>
      </w:r>
    </w:p>
    <w:p w:rsidR="0061461C" w:rsidRDefault="0061461C" w:rsidP="0061461C">
      <w:pPr>
        <w:pStyle w:val="ListParagraph"/>
        <w:numPr>
          <w:ilvl w:val="0"/>
          <w:numId w:val="29"/>
        </w:numPr>
      </w:pPr>
      <w:r>
        <w:t>Up to 30 times higher for homeless individuals; and</w:t>
      </w:r>
    </w:p>
    <w:p w:rsidR="0061461C" w:rsidRDefault="0061461C" w:rsidP="0061461C">
      <w:pPr>
        <w:pStyle w:val="ListParagraph"/>
        <w:numPr>
          <w:ilvl w:val="0"/>
          <w:numId w:val="29"/>
        </w:numPr>
      </w:pPr>
      <w:r>
        <w:t>Six times higher for individuals with serious mental illness (SMI).</w:t>
      </w:r>
    </w:p>
    <w:p w:rsidR="0061461C" w:rsidRDefault="0061461C" w:rsidP="0061461C"/>
    <w:p w:rsidR="0061461C" w:rsidRDefault="0061461C" w:rsidP="0061461C">
      <w:r>
        <w:t>Additional findings from the 2017 Chapter 55 Opioid Data Brief note:</w:t>
      </w:r>
    </w:p>
    <w:p w:rsidR="0061461C" w:rsidRDefault="0061461C" w:rsidP="0061461C">
      <w:pPr>
        <w:pStyle w:val="ListParagraph"/>
        <w:numPr>
          <w:ilvl w:val="0"/>
          <w:numId w:val="30"/>
        </w:numPr>
      </w:pPr>
      <w:r>
        <w:t>Nearly 1 in 10 individuals die within two years after an initial nonfatal overdose;</w:t>
      </w:r>
    </w:p>
    <w:p w:rsidR="0061461C" w:rsidRDefault="0061461C" w:rsidP="0061461C">
      <w:pPr>
        <w:pStyle w:val="ListParagraph"/>
        <w:numPr>
          <w:ilvl w:val="0"/>
          <w:numId w:val="30"/>
        </w:numPr>
      </w:pPr>
      <w:r>
        <w:t>The average survival time for those who died of an opioid overdose was 36 months; and</w:t>
      </w:r>
    </w:p>
    <w:p w:rsidR="0061461C" w:rsidRDefault="0061461C" w:rsidP="0061461C">
      <w:pPr>
        <w:pStyle w:val="ListParagraph"/>
        <w:numPr>
          <w:ilvl w:val="0"/>
          <w:numId w:val="30"/>
        </w:numPr>
      </w:pPr>
      <w:r>
        <w:t>Individuals who received three months of prescribed opioids in 2011 were four times as likely to die from an overdose within one year, and 30 times as likely within five years.</w:t>
      </w:r>
      <w:r>
        <w:rPr>
          <w:rStyle w:val="FootnoteReference"/>
        </w:rPr>
        <w:footnoteReference w:id="32"/>
      </w:r>
    </w:p>
    <w:p w:rsidR="0061461C" w:rsidRDefault="0061461C" w:rsidP="0061461C"/>
    <w:p w:rsidR="0061461C" w:rsidRDefault="0061461C" w:rsidP="0061461C">
      <w:r>
        <w:t xml:space="preserve">The statistics contained in </w:t>
      </w:r>
      <w:r w:rsidR="007F4F8C">
        <w:t>section</w:t>
      </w:r>
      <w:r>
        <w:t xml:space="preserve"> highlight the strong association between opioid abuse and violent crime, property crime, </w:t>
      </w:r>
      <w:r w:rsidR="007F4F8C">
        <w:t>and recidivism</w:t>
      </w:r>
      <w:r>
        <w:t xml:space="preserve">. </w:t>
      </w:r>
    </w:p>
    <w:p w:rsidR="003C3226" w:rsidRDefault="003C3226" w:rsidP="002D780F">
      <w:pPr>
        <w:pStyle w:val="NoSpacing"/>
      </w:pPr>
    </w:p>
    <w:p w:rsidR="00096E07" w:rsidRPr="009E32B6" w:rsidRDefault="00096E07" w:rsidP="00096E07">
      <w:pPr>
        <w:rPr>
          <w:smallCaps/>
          <w:sz w:val="26"/>
          <w:szCs w:val="26"/>
          <w:u w:val="single"/>
        </w:rPr>
      </w:pPr>
      <w:r w:rsidRPr="009E32B6">
        <w:rPr>
          <w:smallCaps/>
          <w:sz w:val="26"/>
          <w:szCs w:val="26"/>
          <w:u w:val="single"/>
        </w:rPr>
        <w:t>Number of Persons Arrested for Drug Abuse Violations</w:t>
      </w:r>
    </w:p>
    <w:p w:rsidR="00096E07" w:rsidRPr="00CC1245" w:rsidRDefault="00096E07" w:rsidP="00096E07"/>
    <w:p w:rsidR="0061461C" w:rsidRPr="00C85818" w:rsidRDefault="0061461C" w:rsidP="0061461C">
      <w:r>
        <w:t>Comp</w:t>
      </w:r>
      <w:r w:rsidR="00BA46D2">
        <w:t>ared to the previous year, FBI</w:t>
      </w:r>
      <w:r>
        <w:t xml:space="preserve"> reports the number of persons (all ages) arrested for drug abuse violations in Massachusetts in 2016 remained static.  In the ten-year period between 2007 and 2016 overall drug abuse violations fell 53% (Figure 1</w:t>
      </w:r>
      <w:r w:rsidR="00843EF7">
        <w:t>1</w:t>
      </w:r>
      <w:r w:rsidR="005B0036">
        <w:t>, page 27</w:t>
      </w:r>
      <w:r w:rsidR="00B85C24">
        <w:t>).</w:t>
      </w:r>
      <w:r>
        <w:t xml:space="preserve">  This decline in Massachusetts may be attributed to a 2008 Initiative Petition that </w:t>
      </w:r>
      <w:r w:rsidRPr="00C85818">
        <w:t>replaced the criminal penalties for possession of one ounce or less of marijuana with a new system of civil penalties, to be enforced by issuing citations, and would exclude information regarding this civil offense from the state's criminal record information system.</w:t>
      </w:r>
      <w:r>
        <w:rPr>
          <w:rStyle w:val="FootnoteReference"/>
        </w:rPr>
        <w:footnoteReference w:id="33"/>
      </w:r>
      <w:r w:rsidRPr="00C85818">
        <w:t xml:space="preserve"> </w:t>
      </w:r>
    </w:p>
    <w:p w:rsidR="00096E07" w:rsidRDefault="0061461C" w:rsidP="00096E07">
      <w:pPr>
        <w:jc w:val="center"/>
      </w:pPr>
      <w:r>
        <w:rPr>
          <w:noProof/>
          <w:lang w:eastAsia="en-US"/>
        </w:rPr>
        <w:lastRenderedPageBreak/>
        <w:drawing>
          <wp:inline distT="0" distB="0" distL="0" distR="0" wp14:anchorId="2CBD83A5" wp14:editId="6A4A73AB">
            <wp:extent cx="4839419" cy="2966936"/>
            <wp:effectExtent l="0" t="0" r="18415" b="508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1461C" w:rsidRPr="00340107" w:rsidRDefault="0061461C" w:rsidP="00B47B8C">
      <w:pPr>
        <w:ind w:left="810"/>
        <w:rPr>
          <w:sz w:val="20"/>
          <w:szCs w:val="20"/>
        </w:rPr>
      </w:pPr>
      <w:r w:rsidRPr="00605592">
        <w:rPr>
          <w:i/>
          <w:sz w:val="20"/>
          <w:szCs w:val="20"/>
        </w:rPr>
        <w:t xml:space="preserve">Figure </w:t>
      </w:r>
      <w:r>
        <w:rPr>
          <w:i/>
          <w:sz w:val="20"/>
          <w:szCs w:val="20"/>
        </w:rPr>
        <w:t>11</w:t>
      </w:r>
      <w:r w:rsidRPr="00605592">
        <w:rPr>
          <w:i/>
          <w:sz w:val="20"/>
          <w:szCs w:val="20"/>
        </w:rPr>
        <w:t>.</w:t>
      </w:r>
      <w:r>
        <w:rPr>
          <w:sz w:val="20"/>
          <w:szCs w:val="20"/>
        </w:rPr>
        <w:t xml:space="preserve"> Source:</w:t>
      </w:r>
      <w:r w:rsidR="004B5F55">
        <w:rPr>
          <w:sz w:val="20"/>
          <w:szCs w:val="20"/>
        </w:rPr>
        <w:t xml:space="preserve"> FBI</w:t>
      </w:r>
      <w:r>
        <w:rPr>
          <w:sz w:val="20"/>
          <w:szCs w:val="20"/>
        </w:rPr>
        <w:t>, U</w:t>
      </w:r>
      <w:r w:rsidR="004B5F55">
        <w:rPr>
          <w:sz w:val="20"/>
          <w:szCs w:val="20"/>
        </w:rPr>
        <w:t>CR</w:t>
      </w:r>
      <w:r>
        <w:rPr>
          <w:sz w:val="20"/>
          <w:szCs w:val="20"/>
        </w:rPr>
        <w:t>, 2007-2015, Table 69; 2016, Table 22.</w:t>
      </w:r>
    </w:p>
    <w:p w:rsidR="00096E07" w:rsidRDefault="00096E07" w:rsidP="00096E07"/>
    <w:p w:rsidR="0061461C" w:rsidRDefault="0061461C" w:rsidP="0061461C">
      <w:r>
        <w:t>Likewise, there has been a dramatic shift in the number of young people arrested for drug offenses during this time period.  Peaking at 2,327 in 2007, the number of juveniles under the age of 18 arrested for drug offenses declined 78% by 2011, remained static in 2012, and declined 55% between 2012 and 2016.  Despite the downward trend, there is still a critical need to support substance abuse programming in county and state correctional facilities.  This is especially true given the lengthy waiting lists for substance abuse programming at many facilities.  RSAT funding is needed not only to continue these programs but to accommodate in a timely manner those seeking treatment i</w:t>
      </w:r>
      <w:r w:rsidR="004B5F55">
        <w:t>n the DOC</w:t>
      </w:r>
      <w:r>
        <w:t xml:space="preserve"> and Houses of Correction (HOC).</w:t>
      </w:r>
    </w:p>
    <w:p w:rsidR="003C3226" w:rsidRDefault="003C3226" w:rsidP="002D780F">
      <w:pPr>
        <w:pStyle w:val="NoSpacing"/>
      </w:pPr>
    </w:p>
    <w:p w:rsidR="00096E07" w:rsidRPr="009E32B6" w:rsidRDefault="00096E07" w:rsidP="00096E07">
      <w:pPr>
        <w:rPr>
          <w:smallCaps/>
          <w:sz w:val="26"/>
          <w:szCs w:val="26"/>
          <w:u w:val="single"/>
        </w:rPr>
      </w:pPr>
      <w:r w:rsidRPr="009E32B6">
        <w:rPr>
          <w:smallCaps/>
          <w:sz w:val="26"/>
          <w:szCs w:val="26"/>
          <w:u w:val="single"/>
        </w:rPr>
        <w:t>Number of New Court Commitments for Governing Drug Offenses</w:t>
      </w:r>
    </w:p>
    <w:p w:rsidR="00096E07" w:rsidRDefault="00096E07" w:rsidP="00096E07">
      <w:pPr>
        <w:tabs>
          <w:tab w:val="left" w:pos="3769"/>
        </w:tabs>
      </w:pPr>
    </w:p>
    <w:p w:rsidR="00A95E38" w:rsidRDefault="00A95E38" w:rsidP="00A95E38">
      <w:r>
        <w:t xml:space="preserve">The number of new court commitments to Massachusetts state and county correctional facilities fell from 4,337 in 2008 to 2,912 in 2015, a 33% decline (Figure </w:t>
      </w:r>
      <w:r w:rsidR="00843EF7">
        <w:t>1</w:t>
      </w:r>
      <w:r>
        <w:t xml:space="preserve">2, page </w:t>
      </w:r>
      <w:r w:rsidR="00843EF7">
        <w:t>28</w:t>
      </w:r>
      <w:r>
        <w:t>).</w:t>
      </w:r>
      <w:r>
        <w:rPr>
          <w:rStyle w:val="FootnoteReference"/>
        </w:rPr>
        <w:footnoteReference w:id="34"/>
      </w:r>
      <w:r>
        <w:t xml:space="preserve">  In 2017, there was a 15% increase in DOC new court commitments for a governing drug offense.  However, the ten-year trend analysis reflects a 41% drop in DOC new court commitments for a governing drug offense.</w:t>
      </w:r>
    </w:p>
    <w:p w:rsidR="00096E07" w:rsidRDefault="00A95E38" w:rsidP="00096E07">
      <w:pPr>
        <w:jc w:val="center"/>
      </w:pPr>
      <w:r>
        <w:rPr>
          <w:noProof/>
          <w:lang w:eastAsia="en-US"/>
        </w:rPr>
        <w:lastRenderedPageBreak/>
        <w:drawing>
          <wp:inline distT="0" distB="0" distL="0" distR="0" wp14:anchorId="70FF68EF" wp14:editId="17EA5848">
            <wp:extent cx="5287993" cy="3306433"/>
            <wp:effectExtent l="0" t="0" r="8255" b="889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95E38" w:rsidRDefault="00096E07" w:rsidP="00A95E38">
      <w:pPr>
        <w:ind w:left="540"/>
        <w:rPr>
          <w:sz w:val="20"/>
          <w:szCs w:val="20"/>
        </w:rPr>
      </w:pPr>
      <w:r w:rsidRPr="00281DDD">
        <w:rPr>
          <w:i/>
          <w:sz w:val="20"/>
          <w:szCs w:val="20"/>
        </w:rPr>
        <w:t xml:space="preserve">Figure </w:t>
      </w:r>
      <w:r w:rsidR="00EF60E9">
        <w:rPr>
          <w:i/>
          <w:sz w:val="20"/>
          <w:szCs w:val="20"/>
        </w:rPr>
        <w:t>1</w:t>
      </w:r>
      <w:r w:rsidRPr="00281DDD">
        <w:rPr>
          <w:i/>
          <w:sz w:val="20"/>
          <w:szCs w:val="20"/>
        </w:rPr>
        <w:t>2.</w:t>
      </w:r>
      <w:r w:rsidRPr="00603047">
        <w:rPr>
          <w:sz w:val="20"/>
          <w:szCs w:val="20"/>
        </w:rPr>
        <w:t xml:space="preserve"> </w:t>
      </w:r>
      <w:r w:rsidR="00A95E38" w:rsidRPr="00603047">
        <w:rPr>
          <w:sz w:val="20"/>
          <w:szCs w:val="20"/>
        </w:rPr>
        <w:t xml:space="preserve">Source: Massachusetts Department of Correction, </w:t>
      </w:r>
      <w:r w:rsidR="00A95E38" w:rsidRPr="00603047">
        <w:rPr>
          <w:i/>
          <w:sz w:val="20"/>
          <w:szCs w:val="20"/>
        </w:rPr>
        <w:t xml:space="preserve">Court Commitments to the Massachusetts Department of Correction, 2004 – 2008; New Court Commitments to Massachusetts County Correctional Facilities, 2004 – 2008. </w:t>
      </w:r>
      <w:r w:rsidR="00A95E38" w:rsidRPr="00603047">
        <w:rPr>
          <w:sz w:val="20"/>
          <w:szCs w:val="20"/>
        </w:rPr>
        <w:t xml:space="preserve">Massachusetts Department of Correction, </w:t>
      </w:r>
      <w:r w:rsidR="00A95E38" w:rsidRPr="00603047">
        <w:rPr>
          <w:i/>
          <w:sz w:val="20"/>
          <w:szCs w:val="20"/>
        </w:rPr>
        <w:t>Prison Population Trends, 2009 – 2016</w:t>
      </w:r>
      <w:r w:rsidR="00A95E38" w:rsidRPr="00603047">
        <w:rPr>
          <w:sz w:val="20"/>
          <w:szCs w:val="20"/>
        </w:rPr>
        <w:t xml:space="preserve">. Massachusetts Sentencing Commission, </w:t>
      </w:r>
      <w:r w:rsidR="00A95E38" w:rsidRPr="00603047">
        <w:rPr>
          <w:i/>
          <w:sz w:val="20"/>
          <w:szCs w:val="20"/>
        </w:rPr>
        <w:t>Survey of Sentencing Practices, SFY 2009 – SFY 201</w:t>
      </w:r>
      <w:r w:rsidR="00A95E38">
        <w:rPr>
          <w:i/>
          <w:sz w:val="20"/>
          <w:szCs w:val="20"/>
        </w:rPr>
        <w:t>5</w:t>
      </w:r>
      <w:r w:rsidR="00A95E38" w:rsidRPr="00603047">
        <w:rPr>
          <w:sz w:val="20"/>
          <w:szCs w:val="20"/>
        </w:rPr>
        <w:t>.</w:t>
      </w:r>
    </w:p>
    <w:p w:rsidR="00A95E38" w:rsidRPr="00603047" w:rsidRDefault="00A95E38" w:rsidP="00A95E38">
      <w:pPr>
        <w:ind w:left="540"/>
        <w:rPr>
          <w:sz w:val="20"/>
          <w:szCs w:val="20"/>
        </w:rPr>
      </w:pPr>
      <w:r w:rsidRPr="00603047">
        <w:rPr>
          <w:sz w:val="20"/>
          <w:szCs w:val="20"/>
        </w:rPr>
        <w:t xml:space="preserve">Note: the Department of Correction data is based on calendar year and the Massachusetts Sentencing Commission is based on state fiscal year. </w:t>
      </w:r>
    </w:p>
    <w:p w:rsidR="00096E07" w:rsidRDefault="00096E07" w:rsidP="00A95E38">
      <w:pPr>
        <w:ind w:left="450"/>
      </w:pPr>
    </w:p>
    <w:p w:rsidR="00096E07" w:rsidRPr="009E32B6" w:rsidRDefault="00096E07" w:rsidP="00096E07">
      <w:pPr>
        <w:spacing w:after="200" w:line="276" w:lineRule="auto"/>
        <w:rPr>
          <w:smallCaps/>
          <w:sz w:val="26"/>
          <w:szCs w:val="26"/>
          <w:u w:val="single"/>
        </w:rPr>
      </w:pPr>
      <w:r w:rsidRPr="009E32B6">
        <w:rPr>
          <w:smallCaps/>
          <w:sz w:val="26"/>
          <w:szCs w:val="26"/>
          <w:u w:val="single"/>
        </w:rPr>
        <w:t>Massachusetts DOC Prison Population January 1, 2017</w:t>
      </w:r>
    </w:p>
    <w:p w:rsidR="00A8786F" w:rsidRDefault="00A8786F" w:rsidP="00A8786F">
      <w:r>
        <w:t xml:space="preserve">A report published by the Massachusetts DOC in March 2018, </w:t>
      </w:r>
      <w:r w:rsidRPr="00281DDD">
        <w:rPr>
          <w:i/>
        </w:rPr>
        <w:t>Prison Population Trends, 201</w:t>
      </w:r>
      <w:r>
        <w:rPr>
          <w:i/>
        </w:rPr>
        <w:t>7</w:t>
      </w:r>
      <w:r w:rsidRPr="00281DDD">
        <w:rPr>
          <w:i/>
        </w:rPr>
        <w:t>,</w:t>
      </w:r>
      <w:r>
        <w:t xml:space="preserve"> identified the following characteristics of the inmate population incarcerated for governing drug offenses on January 1, 2018:</w:t>
      </w:r>
      <w:r>
        <w:rPr>
          <w:rStyle w:val="FootnoteReference"/>
        </w:rPr>
        <w:footnoteReference w:id="35"/>
      </w:r>
    </w:p>
    <w:p w:rsidR="00A8786F" w:rsidRDefault="00A8786F" w:rsidP="00A8786F">
      <w:pPr>
        <w:pStyle w:val="ListParagraph"/>
        <w:numPr>
          <w:ilvl w:val="0"/>
          <w:numId w:val="19"/>
        </w:numPr>
      </w:pPr>
      <w:r w:rsidRPr="00A30409">
        <w:t>785 males and 18 females were serving a governing mandatory drug sentence;</w:t>
      </w:r>
      <w:r>
        <w:t xml:space="preserve"> </w:t>
      </w:r>
    </w:p>
    <w:p w:rsidR="00A8786F" w:rsidRPr="00A30409" w:rsidRDefault="00A8786F" w:rsidP="00A8786F">
      <w:pPr>
        <w:pStyle w:val="ListParagraph"/>
        <w:numPr>
          <w:ilvl w:val="0"/>
          <w:numId w:val="19"/>
        </w:numPr>
      </w:pPr>
      <w:r>
        <w:t>13% of the population serving a governing drug offense received a sentence of three years or more; and</w:t>
      </w:r>
    </w:p>
    <w:p w:rsidR="00A8786F" w:rsidRPr="00A30409" w:rsidRDefault="00A8786F" w:rsidP="00A8786F">
      <w:pPr>
        <w:pStyle w:val="ListParagraph"/>
        <w:numPr>
          <w:ilvl w:val="0"/>
          <w:numId w:val="19"/>
        </w:numPr>
      </w:pPr>
      <w:r w:rsidRPr="00A30409">
        <w:t>Drug offenses were the third most prevalent governing offense category for offenders (14%), surpassed by crimes against person offenses (54%) and sex offenses (15%).  The remaining governing offense categories were (</w:t>
      </w:r>
      <w:r>
        <w:t>8%) for both property and other.</w:t>
      </w:r>
    </w:p>
    <w:p w:rsidR="00887FB1" w:rsidRDefault="00887FB1">
      <w:pPr>
        <w:spacing w:after="200" w:line="276" w:lineRule="auto"/>
      </w:pPr>
      <w:r>
        <w:br w:type="page"/>
      </w:r>
    </w:p>
    <w:p w:rsidR="00096E07" w:rsidRPr="009E32B6" w:rsidRDefault="00096E07" w:rsidP="00096E07">
      <w:pPr>
        <w:spacing w:after="200" w:line="276" w:lineRule="auto"/>
        <w:rPr>
          <w:smallCaps/>
          <w:sz w:val="26"/>
          <w:szCs w:val="26"/>
          <w:u w:val="single"/>
        </w:rPr>
      </w:pPr>
      <w:r w:rsidRPr="009E32B6">
        <w:rPr>
          <w:smallCaps/>
          <w:sz w:val="26"/>
          <w:szCs w:val="26"/>
          <w:u w:val="single"/>
        </w:rPr>
        <w:lastRenderedPageBreak/>
        <w:t>Alcohol and Substance Abuse Civil Commitments</w:t>
      </w:r>
    </w:p>
    <w:p w:rsidR="00117D56" w:rsidRDefault="00117D56" w:rsidP="00117D56">
      <w:pPr>
        <w:ind w:right="-180"/>
      </w:pPr>
      <w:r>
        <w:t>One of the three types of civil commitments</w:t>
      </w:r>
      <w:r>
        <w:rPr>
          <w:rStyle w:val="FootnoteReference"/>
        </w:rPr>
        <w:footnoteReference w:id="36"/>
      </w:r>
      <w:r>
        <w:t xml:space="preserve"> to the DOC is “Alcohol and Substance Abuse Commitments” to the Massachusetts Alcohol and Substance Abuse Center (MASAC).</w:t>
      </w:r>
      <w:r w:rsidRPr="00D86D9C">
        <w:rPr>
          <w:rStyle w:val="FootnoteReference"/>
        </w:rPr>
        <w:t xml:space="preserve"> </w:t>
      </w:r>
      <w:r>
        <w:rPr>
          <w:rStyle w:val="FootnoteReference"/>
        </w:rPr>
        <w:footnoteReference w:id="37"/>
      </w:r>
      <w:r>
        <w:t xml:space="preserve">  MASAC provides detoxification and substance abuse treatment for males for a period up to 90 days.  On January 1, </w:t>
      </w:r>
      <w:r w:rsidRPr="009033FC">
        <w:t>2017, there were 251 civil commitments and 24 criminally sentenced inmates.</w:t>
      </w:r>
      <w:r w:rsidRPr="009033FC">
        <w:rPr>
          <w:rStyle w:val="FootnoteReference"/>
        </w:rPr>
        <w:footnoteReference w:id="38"/>
      </w:r>
      <w:r>
        <w:t xml:space="preserve">  </w:t>
      </w:r>
      <w:r w:rsidRPr="009033FC">
        <w:t>MASAC commitments comprised 77% of the civil commitments to the DOC in 2017; a decline</w:t>
      </w:r>
      <w:r>
        <w:t xml:space="preserve"> from 79% in 2016.  Table 9 below displays the number of Section 35 commitments beginning in 2010, and shows a 9% drop in 2017 over the previous year.</w:t>
      </w:r>
      <w:r>
        <w:rPr>
          <w:rStyle w:val="FootnoteReference"/>
        </w:rPr>
        <w:footnoteReference w:id="39"/>
      </w:r>
      <w:r>
        <w:t xml:space="preserve">  </w:t>
      </w:r>
    </w:p>
    <w:p w:rsidR="00096E07" w:rsidRDefault="00096E07" w:rsidP="00096E07">
      <w:pPr>
        <w:pStyle w:val="NoSpacing"/>
        <w:ind w:left="1170"/>
        <w:rPr>
          <w:smallCaps/>
        </w:rPr>
      </w:pPr>
    </w:p>
    <w:tbl>
      <w:tblPr>
        <w:tblStyle w:val="LightShading-Accent1"/>
        <w:tblW w:w="0" w:type="auto"/>
        <w:jc w:val="center"/>
        <w:tblLook w:val="04A0" w:firstRow="1" w:lastRow="0" w:firstColumn="1" w:lastColumn="0" w:noHBand="0" w:noVBand="1"/>
      </w:tblPr>
      <w:tblGrid>
        <w:gridCol w:w="2070"/>
        <w:gridCol w:w="2160"/>
        <w:gridCol w:w="3195"/>
      </w:tblGrid>
      <w:tr w:rsidR="00117D56" w:rsidRPr="00117D56" w:rsidTr="006B679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25" w:type="dxa"/>
            <w:gridSpan w:val="3"/>
          </w:tcPr>
          <w:p w:rsidR="00117D56" w:rsidRPr="00117D56" w:rsidRDefault="00117D56" w:rsidP="00843EF7">
            <w:pPr>
              <w:jc w:val="center"/>
            </w:pPr>
            <w:r w:rsidRPr="00117D56">
              <w:rPr>
                <w:smallCaps/>
              </w:rPr>
              <w:t xml:space="preserve">Table </w:t>
            </w:r>
            <w:r w:rsidR="00843EF7">
              <w:rPr>
                <w:smallCaps/>
              </w:rPr>
              <w:t>9</w:t>
            </w:r>
            <w:r w:rsidRPr="00117D56">
              <w:rPr>
                <w:smallCaps/>
              </w:rPr>
              <w:t>. Civil Commitments to MASAC/MASAC at Plymouth</w:t>
            </w:r>
            <w:r w:rsidRPr="00117D56">
              <w:rPr>
                <w:vertAlign w:val="superscript"/>
              </w:rPr>
              <w:footnoteReference w:id="40"/>
            </w:r>
            <w:r w:rsidRPr="00117D56">
              <w:rPr>
                <w:smallCaps/>
              </w:rPr>
              <w:t xml:space="preserve"> 2010 – 2017</w:t>
            </w:r>
          </w:p>
        </w:tc>
      </w:tr>
      <w:tr w:rsidR="00117D56" w:rsidRPr="00117D56" w:rsidTr="006B67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0" w:type="dxa"/>
          </w:tcPr>
          <w:p w:rsidR="00117D56" w:rsidRPr="00117D56" w:rsidRDefault="00117D56" w:rsidP="00117D56">
            <w:pPr>
              <w:jc w:val="center"/>
            </w:pPr>
            <w:r w:rsidRPr="00117D56">
              <w:t>Year</w:t>
            </w:r>
          </w:p>
        </w:tc>
        <w:tc>
          <w:tcPr>
            <w:tcW w:w="2160" w:type="dxa"/>
          </w:tcPr>
          <w:p w:rsidR="00117D56" w:rsidRPr="00117D56" w:rsidRDefault="00117D56" w:rsidP="00117D56">
            <w:pPr>
              <w:jc w:val="center"/>
              <w:cnfStyle w:val="000000100000" w:firstRow="0" w:lastRow="0" w:firstColumn="0" w:lastColumn="0" w:oddVBand="0" w:evenVBand="0" w:oddHBand="1" w:evenHBand="0" w:firstRowFirstColumn="0" w:firstRowLastColumn="0" w:lastRowFirstColumn="0" w:lastRowLastColumn="0"/>
              <w:rPr>
                <w:b/>
              </w:rPr>
            </w:pPr>
            <w:r w:rsidRPr="00117D56">
              <w:rPr>
                <w:b/>
              </w:rPr>
              <w:t>Number</w:t>
            </w:r>
          </w:p>
        </w:tc>
        <w:tc>
          <w:tcPr>
            <w:tcW w:w="3195" w:type="dxa"/>
          </w:tcPr>
          <w:p w:rsidR="00117D56" w:rsidRPr="00117D56" w:rsidRDefault="00117D56" w:rsidP="00117D56">
            <w:pPr>
              <w:jc w:val="center"/>
              <w:cnfStyle w:val="000000100000" w:firstRow="0" w:lastRow="0" w:firstColumn="0" w:lastColumn="0" w:oddVBand="0" w:evenVBand="0" w:oddHBand="1" w:evenHBand="0" w:firstRowFirstColumn="0" w:firstRowLastColumn="0" w:lastRowFirstColumn="0" w:lastRowLastColumn="0"/>
              <w:rPr>
                <w:b/>
              </w:rPr>
            </w:pPr>
            <w:r w:rsidRPr="00117D56">
              <w:rPr>
                <w:b/>
              </w:rPr>
              <w:t>% Change</w:t>
            </w:r>
          </w:p>
        </w:tc>
      </w:tr>
      <w:tr w:rsidR="00117D56" w:rsidRPr="00117D56" w:rsidTr="006B6793">
        <w:trPr>
          <w:jc w:val="center"/>
        </w:trPr>
        <w:tc>
          <w:tcPr>
            <w:cnfStyle w:val="001000000000" w:firstRow="0" w:lastRow="0" w:firstColumn="1" w:lastColumn="0" w:oddVBand="0" w:evenVBand="0" w:oddHBand="0" w:evenHBand="0" w:firstRowFirstColumn="0" w:firstRowLastColumn="0" w:lastRowFirstColumn="0" w:lastRowLastColumn="0"/>
            <w:tcW w:w="2070" w:type="dxa"/>
          </w:tcPr>
          <w:p w:rsidR="00117D56" w:rsidRPr="00117D56" w:rsidRDefault="00117D56" w:rsidP="00117D56">
            <w:pPr>
              <w:jc w:val="center"/>
            </w:pPr>
            <w:r w:rsidRPr="00117D56">
              <w:t>2010</w:t>
            </w:r>
          </w:p>
        </w:tc>
        <w:tc>
          <w:tcPr>
            <w:tcW w:w="2160" w:type="dxa"/>
          </w:tcPr>
          <w:p w:rsidR="00117D56" w:rsidRPr="00117D56" w:rsidRDefault="00117D56" w:rsidP="00117D56">
            <w:pPr>
              <w:jc w:val="center"/>
              <w:cnfStyle w:val="000000000000" w:firstRow="0" w:lastRow="0" w:firstColumn="0" w:lastColumn="0" w:oddVBand="0" w:evenVBand="0" w:oddHBand="0" w:evenHBand="0" w:firstRowFirstColumn="0" w:firstRowLastColumn="0" w:lastRowFirstColumn="0" w:lastRowLastColumn="0"/>
            </w:pPr>
            <w:r w:rsidRPr="00117D56">
              <w:t>1,370</w:t>
            </w:r>
          </w:p>
        </w:tc>
        <w:tc>
          <w:tcPr>
            <w:tcW w:w="3195" w:type="dxa"/>
          </w:tcPr>
          <w:p w:rsidR="00117D56" w:rsidRPr="00117D56" w:rsidRDefault="00117D56" w:rsidP="00117D56">
            <w:pPr>
              <w:jc w:val="center"/>
              <w:cnfStyle w:val="000000000000" w:firstRow="0" w:lastRow="0" w:firstColumn="0" w:lastColumn="0" w:oddVBand="0" w:evenVBand="0" w:oddHBand="0" w:evenHBand="0" w:firstRowFirstColumn="0" w:firstRowLastColumn="0" w:lastRowFirstColumn="0" w:lastRowLastColumn="0"/>
            </w:pPr>
          </w:p>
        </w:tc>
      </w:tr>
      <w:tr w:rsidR="00117D56" w:rsidRPr="00117D56" w:rsidTr="006B67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0" w:type="dxa"/>
          </w:tcPr>
          <w:p w:rsidR="00117D56" w:rsidRPr="00117D56" w:rsidRDefault="00117D56" w:rsidP="00117D56">
            <w:pPr>
              <w:jc w:val="center"/>
            </w:pPr>
            <w:r w:rsidRPr="00117D56">
              <w:t>2011</w:t>
            </w:r>
          </w:p>
        </w:tc>
        <w:tc>
          <w:tcPr>
            <w:tcW w:w="2160" w:type="dxa"/>
          </w:tcPr>
          <w:p w:rsidR="00117D56" w:rsidRPr="00117D56" w:rsidRDefault="00117D56" w:rsidP="00117D56">
            <w:pPr>
              <w:jc w:val="center"/>
              <w:cnfStyle w:val="000000100000" w:firstRow="0" w:lastRow="0" w:firstColumn="0" w:lastColumn="0" w:oddVBand="0" w:evenVBand="0" w:oddHBand="1" w:evenHBand="0" w:firstRowFirstColumn="0" w:firstRowLastColumn="0" w:lastRowFirstColumn="0" w:lastRowLastColumn="0"/>
            </w:pPr>
            <w:r w:rsidRPr="00117D56">
              <w:t>1,381</w:t>
            </w:r>
          </w:p>
        </w:tc>
        <w:tc>
          <w:tcPr>
            <w:tcW w:w="3195" w:type="dxa"/>
          </w:tcPr>
          <w:p w:rsidR="00117D56" w:rsidRPr="00117D56" w:rsidRDefault="00117D56" w:rsidP="00117D56">
            <w:pPr>
              <w:jc w:val="center"/>
              <w:cnfStyle w:val="000000100000" w:firstRow="0" w:lastRow="0" w:firstColumn="0" w:lastColumn="0" w:oddVBand="0" w:evenVBand="0" w:oddHBand="1" w:evenHBand="0" w:firstRowFirstColumn="0" w:firstRowLastColumn="0" w:lastRowFirstColumn="0" w:lastRowLastColumn="0"/>
            </w:pPr>
            <w:r w:rsidRPr="00117D56">
              <w:t>0.8%</w:t>
            </w:r>
          </w:p>
        </w:tc>
      </w:tr>
      <w:tr w:rsidR="00117D56" w:rsidRPr="00117D56" w:rsidTr="006B6793">
        <w:trPr>
          <w:jc w:val="center"/>
        </w:trPr>
        <w:tc>
          <w:tcPr>
            <w:cnfStyle w:val="001000000000" w:firstRow="0" w:lastRow="0" w:firstColumn="1" w:lastColumn="0" w:oddVBand="0" w:evenVBand="0" w:oddHBand="0" w:evenHBand="0" w:firstRowFirstColumn="0" w:firstRowLastColumn="0" w:lastRowFirstColumn="0" w:lastRowLastColumn="0"/>
            <w:tcW w:w="2070" w:type="dxa"/>
          </w:tcPr>
          <w:p w:rsidR="00117D56" w:rsidRPr="00117D56" w:rsidRDefault="00117D56" w:rsidP="00117D56">
            <w:pPr>
              <w:jc w:val="center"/>
            </w:pPr>
            <w:r w:rsidRPr="00117D56">
              <w:t>2012</w:t>
            </w:r>
          </w:p>
        </w:tc>
        <w:tc>
          <w:tcPr>
            <w:tcW w:w="2160" w:type="dxa"/>
          </w:tcPr>
          <w:p w:rsidR="00117D56" w:rsidRPr="00117D56" w:rsidRDefault="00117D56" w:rsidP="00117D56">
            <w:pPr>
              <w:jc w:val="center"/>
              <w:cnfStyle w:val="000000000000" w:firstRow="0" w:lastRow="0" w:firstColumn="0" w:lastColumn="0" w:oddVBand="0" w:evenVBand="0" w:oddHBand="0" w:evenHBand="0" w:firstRowFirstColumn="0" w:firstRowLastColumn="0" w:lastRowFirstColumn="0" w:lastRowLastColumn="0"/>
            </w:pPr>
            <w:r w:rsidRPr="00117D56">
              <w:t>1,679</w:t>
            </w:r>
          </w:p>
        </w:tc>
        <w:tc>
          <w:tcPr>
            <w:tcW w:w="3195" w:type="dxa"/>
          </w:tcPr>
          <w:p w:rsidR="00117D56" w:rsidRPr="00117D56" w:rsidRDefault="00117D56" w:rsidP="00117D56">
            <w:pPr>
              <w:jc w:val="center"/>
              <w:cnfStyle w:val="000000000000" w:firstRow="0" w:lastRow="0" w:firstColumn="0" w:lastColumn="0" w:oddVBand="0" w:evenVBand="0" w:oddHBand="0" w:evenHBand="0" w:firstRowFirstColumn="0" w:firstRowLastColumn="0" w:lastRowFirstColumn="0" w:lastRowLastColumn="0"/>
            </w:pPr>
            <w:r w:rsidRPr="00117D56">
              <w:t>21.6%</w:t>
            </w:r>
          </w:p>
        </w:tc>
      </w:tr>
      <w:tr w:rsidR="00117D56" w:rsidRPr="00117D56" w:rsidTr="006B67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0" w:type="dxa"/>
          </w:tcPr>
          <w:p w:rsidR="00117D56" w:rsidRPr="00117D56" w:rsidRDefault="00117D56" w:rsidP="00117D56">
            <w:pPr>
              <w:jc w:val="center"/>
            </w:pPr>
            <w:r w:rsidRPr="00117D56">
              <w:t>2013</w:t>
            </w:r>
          </w:p>
        </w:tc>
        <w:tc>
          <w:tcPr>
            <w:tcW w:w="2160" w:type="dxa"/>
          </w:tcPr>
          <w:p w:rsidR="00117D56" w:rsidRPr="00117D56" w:rsidRDefault="00117D56" w:rsidP="00117D56">
            <w:pPr>
              <w:jc w:val="center"/>
              <w:cnfStyle w:val="000000100000" w:firstRow="0" w:lastRow="0" w:firstColumn="0" w:lastColumn="0" w:oddVBand="0" w:evenVBand="0" w:oddHBand="1" w:evenHBand="0" w:firstRowFirstColumn="0" w:firstRowLastColumn="0" w:lastRowFirstColumn="0" w:lastRowLastColumn="0"/>
            </w:pPr>
            <w:r w:rsidRPr="00117D56">
              <w:t>1,503</w:t>
            </w:r>
          </w:p>
        </w:tc>
        <w:tc>
          <w:tcPr>
            <w:tcW w:w="3195" w:type="dxa"/>
          </w:tcPr>
          <w:p w:rsidR="00117D56" w:rsidRPr="00117D56" w:rsidRDefault="00117D56" w:rsidP="00117D56">
            <w:pPr>
              <w:tabs>
                <w:tab w:val="left" w:pos="522"/>
                <w:tab w:val="left" w:pos="755"/>
              </w:tabs>
              <w:jc w:val="center"/>
              <w:cnfStyle w:val="000000100000" w:firstRow="0" w:lastRow="0" w:firstColumn="0" w:lastColumn="0" w:oddVBand="0" w:evenVBand="0" w:oddHBand="1" w:evenHBand="0" w:firstRowFirstColumn="0" w:firstRowLastColumn="0" w:lastRowFirstColumn="0" w:lastRowLastColumn="0"/>
            </w:pPr>
            <w:r w:rsidRPr="00117D56">
              <w:t>-10.5%</w:t>
            </w:r>
          </w:p>
        </w:tc>
      </w:tr>
      <w:tr w:rsidR="00117D56" w:rsidRPr="00117D56" w:rsidTr="006B6793">
        <w:trPr>
          <w:jc w:val="center"/>
        </w:trPr>
        <w:tc>
          <w:tcPr>
            <w:cnfStyle w:val="001000000000" w:firstRow="0" w:lastRow="0" w:firstColumn="1" w:lastColumn="0" w:oddVBand="0" w:evenVBand="0" w:oddHBand="0" w:evenHBand="0" w:firstRowFirstColumn="0" w:firstRowLastColumn="0" w:lastRowFirstColumn="0" w:lastRowLastColumn="0"/>
            <w:tcW w:w="2070" w:type="dxa"/>
          </w:tcPr>
          <w:p w:rsidR="00117D56" w:rsidRPr="00117D56" w:rsidRDefault="00117D56" w:rsidP="00117D56">
            <w:pPr>
              <w:jc w:val="center"/>
            </w:pPr>
            <w:r w:rsidRPr="00117D56">
              <w:t>2014</w:t>
            </w:r>
          </w:p>
        </w:tc>
        <w:tc>
          <w:tcPr>
            <w:tcW w:w="2160" w:type="dxa"/>
          </w:tcPr>
          <w:p w:rsidR="00117D56" w:rsidRPr="00117D56" w:rsidRDefault="00117D56" w:rsidP="00117D56">
            <w:pPr>
              <w:jc w:val="center"/>
              <w:cnfStyle w:val="000000000000" w:firstRow="0" w:lastRow="0" w:firstColumn="0" w:lastColumn="0" w:oddVBand="0" w:evenVBand="0" w:oddHBand="0" w:evenHBand="0" w:firstRowFirstColumn="0" w:firstRowLastColumn="0" w:lastRowFirstColumn="0" w:lastRowLastColumn="0"/>
            </w:pPr>
            <w:r w:rsidRPr="00117D56">
              <w:t>1,705</w:t>
            </w:r>
          </w:p>
        </w:tc>
        <w:tc>
          <w:tcPr>
            <w:tcW w:w="3195" w:type="dxa"/>
          </w:tcPr>
          <w:p w:rsidR="00117D56" w:rsidRPr="00117D56" w:rsidRDefault="00117D56" w:rsidP="00117D56">
            <w:pPr>
              <w:jc w:val="center"/>
              <w:cnfStyle w:val="000000000000" w:firstRow="0" w:lastRow="0" w:firstColumn="0" w:lastColumn="0" w:oddVBand="0" w:evenVBand="0" w:oddHBand="0" w:evenHBand="0" w:firstRowFirstColumn="0" w:firstRowLastColumn="0" w:lastRowFirstColumn="0" w:lastRowLastColumn="0"/>
            </w:pPr>
            <w:r w:rsidRPr="00117D56">
              <w:t>13.4%</w:t>
            </w:r>
          </w:p>
        </w:tc>
      </w:tr>
      <w:tr w:rsidR="00117D56" w:rsidRPr="00117D56" w:rsidTr="006B67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0" w:type="dxa"/>
          </w:tcPr>
          <w:p w:rsidR="00117D56" w:rsidRPr="00117D56" w:rsidRDefault="00117D56" w:rsidP="00117D56">
            <w:pPr>
              <w:jc w:val="center"/>
            </w:pPr>
            <w:r w:rsidRPr="00117D56">
              <w:t>2015</w:t>
            </w:r>
          </w:p>
        </w:tc>
        <w:tc>
          <w:tcPr>
            <w:tcW w:w="2160" w:type="dxa"/>
          </w:tcPr>
          <w:p w:rsidR="00117D56" w:rsidRPr="00117D56" w:rsidRDefault="00117D56" w:rsidP="00117D56">
            <w:pPr>
              <w:jc w:val="center"/>
              <w:cnfStyle w:val="000000100000" w:firstRow="0" w:lastRow="0" w:firstColumn="0" w:lastColumn="0" w:oddVBand="0" w:evenVBand="0" w:oddHBand="1" w:evenHBand="0" w:firstRowFirstColumn="0" w:firstRowLastColumn="0" w:lastRowFirstColumn="0" w:lastRowLastColumn="0"/>
            </w:pPr>
            <w:r w:rsidRPr="00117D56">
              <w:t>2,126</w:t>
            </w:r>
          </w:p>
        </w:tc>
        <w:tc>
          <w:tcPr>
            <w:tcW w:w="3195" w:type="dxa"/>
          </w:tcPr>
          <w:p w:rsidR="00117D56" w:rsidRPr="00117D56" w:rsidRDefault="00117D56" w:rsidP="00117D56">
            <w:pPr>
              <w:jc w:val="center"/>
              <w:cnfStyle w:val="000000100000" w:firstRow="0" w:lastRow="0" w:firstColumn="0" w:lastColumn="0" w:oddVBand="0" w:evenVBand="0" w:oddHBand="1" w:evenHBand="0" w:firstRowFirstColumn="0" w:firstRowLastColumn="0" w:lastRowFirstColumn="0" w:lastRowLastColumn="0"/>
            </w:pPr>
            <w:r w:rsidRPr="00117D56">
              <w:t>24.7%</w:t>
            </w:r>
          </w:p>
        </w:tc>
      </w:tr>
      <w:tr w:rsidR="00117D56" w:rsidRPr="00117D56" w:rsidTr="006B6793">
        <w:trPr>
          <w:jc w:val="center"/>
        </w:trPr>
        <w:tc>
          <w:tcPr>
            <w:cnfStyle w:val="001000000000" w:firstRow="0" w:lastRow="0" w:firstColumn="1" w:lastColumn="0" w:oddVBand="0" w:evenVBand="0" w:oddHBand="0" w:evenHBand="0" w:firstRowFirstColumn="0" w:firstRowLastColumn="0" w:lastRowFirstColumn="0" w:lastRowLastColumn="0"/>
            <w:tcW w:w="2070" w:type="dxa"/>
          </w:tcPr>
          <w:p w:rsidR="00117D56" w:rsidRPr="00117D56" w:rsidRDefault="00117D56" w:rsidP="00117D56">
            <w:pPr>
              <w:jc w:val="center"/>
            </w:pPr>
            <w:r w:rsidRPr="00117D56">
              <w:t>2016</w:t>
            </w:r>
          </w:p>
        </w:tc>
        <w:tc>
          <w:tcPr>
            <w:tcW w:w="2160" w:type="dxa"/>
          </w:tcPr>
          <w:p w:rsidR="00117D56" w:rsidRPr="00117D56" w:rsidRDefault="00117D56" w:rsidP="00117D56">
            <w:pPr>
              <w:jc w:val="center"/>
              <w:cnfStyle w:val="000000000000" w:firstRow="0" w:lastRow="0" w:firstColumn="0" w:lastColumn="0" w:oddVBand="0" w:evenVBand="0" w:oddHBand="0" w:evenHBand="0" w:firstRowFirstColumn="0" w:firstRowLastColumn="0" w:lastRowFirstColumn="0" w:lastRowLastColumn="0"/>
            </w:pPr>
            <w:r w:rsidRPr="00117D56">
              <w:t>2,459</w:t>
            </w:r>
          </w:p>
        </w:tc>
        <w:tc>
          <w:tcPr>
            <w:tcW w:w="3195" w:type="dxa"/>
          </w:tcPr>
          <w:p w:rsidR="00117D56" w:rsidRPr="00117D56" w:rsidRDefault="00117D56" w:rsidP="00117D56">
            <w:pPr>
              <w:jc w:val="center"/>
              <w:cnfStyle w:val="000000000000" w:firstRow="0" w:lastRow="0" w:firstColumn="0" w:lastColumn="0" w:oddVBand="0" w:evenVBand="0" w:oddHBand="0" w:evenHBand="0" w:firstRowFirstColumn="0" w:firstRowLastColumn="0" w:lastRowFirstColumn="0" w:lastRowLastColumn="0"/>
            </w:pPr>
            <w:r w:rsidRPr="00117D56">
              <w:t>16.0%</w:t>
            </w:r>
          </w:p>
        </w:tc>
      </w:tr>
      <w:tr w:rsidR="00117D56" w:rsidRPr="00117D56" w:rsidTr="006B67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0" w:type="dxa"/>
          </w:tcPr>
          <w:p w:rsidR="00117D56" w:rsidRPr="00117D56" w:rsidRDefault="00117D56" w:rsidP="00117D56">
            <w:pPr>
              <w:jc w:val="center"/>
            </w:pPr>
            <w:r w:rsidRPr="00117D56">
              <w:t>2017</w:t>
            </w:r>
          </w:p>
        </w:tc>
        <w:tc>
          <w:tcPr>
            <w:tcW w:w="2160" w:type="dxa"/>
          </w:tcPr>
          <w:p w:rsidR="00117D56" w:rsidRPr="00117D56" w:rsidRDefault="00117D56" w:rsidP="00117D56">
            <w:pPr>
              <w:jc w:val="center"/>
              <w:cnfStyle w:val="000000100000" w:firstRow="0" w:lastRow="0" w:firstColumn="0" w:lastColumn="0" w:oddVBand="0" w:evenVBand="0" w:oddHBand="1" w:evenHBand="0" w:firstRowFirstColumn="0" w:firstRowLastColumn="0" w:lastRowFirstColumn="0" w:lastRowLastColumn="0"/>
            </w:pPr>
            <w:r w:rsidRPr="00117D56">
              <w:t>2,237</w:t>
            </w:r>
          </w:p>
        </w:tc>
        <w:tc>
          <w:tcPr>
            <w:tcW w:w="3195" w:type="dxa"/>
          </w:tcPr>
          <w:p w:rsidR="00117D56" w:rsidRPr="00117D56" w:rsidRDefault="00117D56" w:rsidP="00117D56">
            <w:pPr>
              <w:jc w:val="center"/>
              <w:cnfStyle w:val="000000100000" w:firstRow="0" w:lastRow="0" w:firstColumn="0" w:lastColumn="0" w:oddVBand="0" w:evenVBand="0" w:oddHBand="1" w:evenHBand="0" w:firstRowFirstColumn="0" w:firstRowLastColumn="0" w:lastRowFirstColumn="0" w:lastRowLastColumn="0"/>
            </w:pPr>
            <w:r w:rsidRPr="00117D56">
              <w:t>-9.0%</w:t>
            </w:r>
          </w:p>
        </w:tc>
      </w:tr>
    </w:tbl>
    <w:p w:rsidR="00117D56" w:rsidRDefault="00117D56" w:rsidP="00B85C24">
      <w:pPr>
        <w:pStyle w:val="NoSpacing"/>
        <w:ind w:firstLine="990"/>
        <w:rPr>
          <w:sz w:val="20"/>
          <w:szCs w:val="20"/>
        </w:rPr>
      </w:pPr>
      <w:r w:rsidRPr="007353CE">
        <w:rPr>
          <w:sz w:val="20"/>
          <w:szCs w:val="20"/>
        </w:rPr>
        <w:t>Source: Massachusetts D</w:t>
      </w:r>
      <w:r w:rsidR="00F5190D">
        <w:rPr>
          <w:sz w:val="20"/>
          <w:szCs w:val="20"/>
        </w:rPr>
        <w:t>OC</w:t>
      </w:r>
      <w:r w:rsidRPr="007353CE">
        <w:rPr>
          <w:sz w:val="20"/>
          <w:szCs w:val="20"/>
        </w:rPr>
        <w:t xml:space="preserve">, </w:t>
      </w:r>
      <w:r w:rsidRPr="005407B4">
        <w:rPr>
          <w:i/>
          <w:sz w:val="20"/>
          <w:szCs w:val="20"/>
        </w:rPr>
        <w:t>Prison Population Trends, 2010-201</w:t>
      </w:r>
      <w:r>
        <w:rPr>
          <w:i/>
          <w:sz w:val="20"/>
          <w:szCs w:val="20"/>
        </w:rPr>
        <w:t>7</w:t>
      </w:r>
      <w:r w:rsidRPr="005407B4">
        <w:rPr>
          <w:i/>
          <w:sz w:val="20"/>
          <w:szCs w:val="20"/>
        </w:rPr>
        <w:t>.</w:t>
      </w:r>
    </w:p>
    <w:p w:rsidR="00117D56" w:rsidRPr="009B1944" w:rsidRDefault="00117D56" w:rsidP="00096E07">
      <w:pPr>
        <w:pStyle w:val="NoSpacing"/>
        <w:ind w:left="1170"/>
        <w:rPr>
          <w:smallCaps/>
        </w:rPr>
      </w:pPr>
    </w:p>
    <w:p w:rsidR="00096E07" w:rsidRPr="00AB047D" w:rsidRDefault="00A56094" w:rsidP="00B85C24">
      <w:pPr>
        <w:ind w:right="-90"/>
        <w:rPr>
          <w:smallCaps/>
          <w:sz w:val="26"/>
          <w:szCs w:val="26"/>
          <w:u w:val="single"/>
        </w:rPr>
      </w:pPr>
      <w:r w:rsidRPr="00AB047D">
        <w:rPr>
          <w:smallCaps/>
          <w:sz w:val="26"/>
          <w:szCs w:val="26"/>
          <w:u w:val="single"/>
        </w:rPr>
        <w:t xml:space="preserve">Substance Abuse </w:t>
      </w:r>
      <w:r w:rsidR="00BF4A21" w:rsidRPr="00AB047D">
        <w:rPr>
          <w:smallCaps/>
          <w:sz w:val="26"/>
          <w:szCs w:val="26"/>
          <w:u w:val="single"/>
        </w:rPr>
        <w:t xml:space="preserve">Impact on </w:t>
      </w:r>
      <w:r w:rsidR="008D46EB" w:rsidRPr="00AB047D">
        <w:rPr>
          <w:smallCaps/>
          <w:sz w:val="26"/>
          <w:szCs w:val="26"/>
          <w:u w:val="single"/>
        </w:rPr>
        <w:t xml:space="preserve">Inmate </w:t>
      </w:r>
      <w:r w:rsidR="00096E07" w:rsidRPr="00AB047D">
        <w:rPr>
          <w:smallCaps/>
          <w:sz w:val="26"/>
          <w:szCs w:val="26"/>
          <w:u w:val="single"/>
        </w:rPr>
        <w:t>Releases to the Community and Recidivism</w:t>
      </w:r>
      <w:r w:rsidR="004D173B" w:rsidRPr="00AB047D">
        <w:rPr>
          <w:rStyle w:val="FootnoteReference"/>
          <w:szCs w:val="26"/>
          <w:u w:val="single"/>
        </w:rPr>
        <w:footnoteReference w:id="41"/>
      </w:r>
    </w:p>
    <w:p w:rsidR="00096E07" w:rsidRPr="00AB047D" w:rsidRDefault="00096E07" w:rsidP="00096E07"/>
    <w:p w:rsidR="00096E07" w:rsidRPr="00D24D14" w:rsidRDefault="00096E07" w:rsidP="00096E07">
      <w:r w:rsidRPr="00AB047D">
        <w:t>The DOC utilizes the COMPAS</w:t>
      </w:r>
      <w:r w:rsidRPr="00AB047D">
        <w:rPr>
          <w:vertAlign w:val="superscript"/>
        </w:rPr>
        <w:footnoteReference w:id="42"/>
      </w:r>
      <w:r w:rsidRPr="00AB047D">
        <w:rPr>
          <w:vertAlign w:val="superscript"/>
        </w:rPr>
        <w:t xml:space="preserve"> </w:t>
      </w:r>
      <w:r w:rsidRPr="00AB047D">
        <w:t>Risk/Needs assessment to determine inmates’ risk for</w:t>
      </w:r>
      <w:r w:rsidRPr="00D24D14">
        <w:t xml:space="preserve"> recidivism and their programming needs.  The assessment identifies the following areas: criminal history factors, criminal associates/peers, criminal attitudes, social environment, and needs assessment (e.g., substance abuse, financial, vocational/education).  Properly assessing the risk and needs of offenders and providing the appropriate programming will help reduce recidivism. </w:t>
      </w:r>
    </w:p>
    <w:p w:rsidR="00096E07" w:rsidRPr="00D24D14" w:rsidRDefault="00096E07" w:rsidP="00096E07"/>
    <w:p w:rsidR="00096E07" w:rsidRPr="00D24D14" w:rsidRDefault="00096E07" w:rsidP="00096E07">
      <w:r w:rsidRPr="00D24D14">
        <w:t xml:space="preserve">Substance abuse treatment in correctional facilities is crucial to breaking the cycle of drug use and criminal involvement.  Comprehensive intervention strategies enable inmates to participate in correctional programs designed to reduce recidivism and help prevent relapse upon release to their community.  This is critical as many ex-offenders return to the same community in which they were living prior to incarceration.  </w:t>
      </w:r>
    </w:p>
    <w:p w:rsidR="00096E07" w:rsidRPr="00D24D14" w:rsidRDefault="00096E07" w:rsidP="00096E07"/>
    <w:p w:rsidR="00096E07" w:rsidRDefault="00A111FB" w:rsidP="00096E07">
      <w:r w:rsidRPr="00D24D14">
        <w:t xml:space="preserve">According to the DOC, in 2017, Boston had the highest number of criminally sentenced inmates released to the community (497), followed by Springfield (162) </w:t>
      </w:r>
      <w:r w:rsidR="00096E07" w:rsidRPr="00D24D14">
        <w:t xml:space="preserve">(Table </w:t>
      </w:r>
      <w:r w:rsidR="00B93B87" w:rsidRPr="00D24D14">
        <w:t>10</w:t>
      </w:r>
      <w:r w:rsidR="00096E07" w:rsidRPr="00D24D14">
        <w:t>).</w:t>
      </w:r>
    </w:p>
    <w:p w:rsidR="00096E07" w:rsidRDefault="00096E07" w:rsidP="002D780F">
      <w:pPr>
        <w:pStyle w:val="NoSpacing"/>
      </w:pPr>
    </w:p>
    <w:tbl>
      <w:tblPr>
        <w:tblStyle w:val="LightShading-Accent1"/>
        <w:tblW w:w="0" w:type="auto"/>
        <w:jc w:val="center"/>
        <w:tblLook w:val="04A0" w:firstRow="1" w:lastRow="0" w:firstColumn="1" w:lastColumn="0" w:noHBand="0" w:noVBand="1"/>
      </w:tblPr>
      <w:tblGrid>
        <w:gridCol w:w="2070"/>
        <w:gridCol w:w="2160"/>
        <w:gridCol w:w="2880"/>
      </w:tblGrid>
      <w:tr w:rsidR="00A111FB" w:rsidRPr="007353CE" w:rsidTr="00A111F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10" w:type="dxa"/>
            <w:gridSpan w:val="3"/>
          </w:tcPr>
          <w:p w:rsidR="00A111FB" w:rsidRPr="004939AA" w:rsidRDefault="00A111FB" w:rsidP="00AB047D">
            <w:pPr>
              <w:pStyle w:val="NoSpacing"/>
              <w:jc w:val="center"/>
            </w:pPr>
            <w:r w:rsidRPr="004939AA">
              <w:rPr>
                <w:smallCaps/>
              </w:rPr>
              <w:t xml:space="preserve">Table </w:t>
            </w:r>
            <w:r w:rsidR="00AB047D">
              <w:rPr>
                <w:smallCaps/>
              </w:rPr>
              <w:t>10</w:t>
            </w:r>
            <w:r w:rsidRPr="004939AA">
              <w:rPr>
                <w:smallCaps/>
              </w:rPr>
              <w:t xml:space="preserve">. Criminally Sentenced Releases to the </w:t>
            </w:r>
            <w:r>
              <w:rPr>
                <w:smallCaps/>
              </w:rPr>
              <w:t>Community</w:t>
            </w:r>
            <w:r w:rsidRPr="004939AA">
              <w:rPr>
                <w:smallCaps/>
              </w:rPr>
              <w:t xml:space="preserve"> by Top Ten Massachusetts Cities, 201</w:t>
            </w:r>
            <w:r>
              <w:rPr>
                <w:smallCaps/>
              </w:rPr>
              <w:t>7</w:t>
            </w:r>
          </w:p>
        </w:tc>
      </w:tr>
      <w:tr w:rsidR="00A111FB" w:rsidTr="00A111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0" w:type="dxa"/>
          </w:tcPr>
          <w:p w:rsidR="00A111FB" w:rsidRPr="004939AA" w:rsidRDefault="00A111FB" w:rsidP="00A111FB">
            <w:pPr>
              <w:pStyle w:val="NoSpacing"/>
              <w:jc w:val="center"/>
            </w:pPr>
            <w:r w:rsidRPr="004939AA">
              <w:t>City/Town</w:t>
            </w:r>
          </w:p>
        </w:tc>
        <w:tc>
          <w:tcPr>
            <w:tcW w:w="2160" w:type="dxa"/>
          </w:tcPr>
          <w:p w:rsidR="00A111FB" w:rsidRPr="004939AA" w:rsidRDefault="00A111FB" w:rsidP="00A111FB">
            <w:pPr>
              <w:pStyle w:val="NoSpacing"/>
              <w:jc w:val="center"/>
              <w:cnfStyle w:val="000000100000" w:firstRow="0" w:lastRow="0" w:firstColumn="0" w:lastColumn="0" w:oddVBand="0" w:evenVBand="0" w:oddHBand="1" w:evenHBand="0" w:firstRowFirstColumn="0" w:firstRowLastColumn="0" w:lastRowFirstColumn="0" w:lastRowLastColumn="0"/>
              <w:rPr>
                <w:b/>
              </w:rPr>
            </w:pPr>
            <w:r w:rsidRPr="004939AA">
              <w:rPr>
                <w:b/>
              </w:rPr>
              <w:t>Number</w:t>
            </w:r>
          </w:p>
        </w:tc>
        <w:tc>
          <w:tcPr>
            <w:tcW w:w="2880" w:type="dxa"/>
          </w:tcPr>
          <w:p w:rsidR="00A111FB" w:rsidRPr="004939AA" w:rsidRDefault="00A111FB" w:rsidP="00A111FB">
            <w:pPr>
              <w:pStyle w:val="NoSpacing"/>
              <w:jc w:val="center"/>
              <w:cnfStyle w:val="000000100000" w:firstRow="0" w:lastRow="0" w:firstColumn="0" w:lastColumn="0" w:oddVBand="0" w:evenVBand="0" w:oddHBand="1" w:evenHBand="0" w:firstRowFirstColumn="0" w:firstRowLastColumn="0" w:lastRowFirstColumn="0" w:lastRowLastColumn="0"/>
              <w:rPr>
                <w:b/>
              </w:rPr>
            </w:pPr>
            <w:r w:rsidRPr="004939AA">
              <w:rPr>
                <w:b/>
              </w:rPr>
              <w:t>Percentage</w:t>
            </w:r>
          </w:p>
        </w:tc>
      </w:tr>
      <w:tr w:rsidR="00A111FB" w:rsidTr="00A111FB">
        <w:trPr>
          <w:jc w:val="center"/>
        </w:trPr>
        <w:tc>
          <w:tcPr>
            <w:cnfStyle w:val="001000000000" w:firstRow="0" w:lastRow="0" w:firstColumn="1" w:lastColumn="0" w:oddVBand="0" w:evenVBand="0" w:oddHBand="0" w:evenHBand="0" w:firstRowFirstColumn="0" w:firstRowLastColumn="0" w:lastRowFirstColumn="0" w:lastRowLastColumn="0"/>
            <w:tcW w:w="2070" w:type="dxa"/>
          </w:tcPr>
          <w:p w:rsidR="00A111FB" w:rsidRPr="00683835" w:rsidRDefault="00A111FB" w:rsidP="00A111FB">
            <w:pPr>
              <w:pStyle w:val="NoSpacing"/>
              <w:jc w:val="center"/>
              <w:rPr>
                <w:b w:val="0"/>
              </w:rPr>
            </w:pPr>
            <w:r w:rsidRPr="00683835">
              <w:rPr>
                <w:b w:val="0"/>
              </w:rPr>
              <w:t>Boston</w:t>
            </w:r>
          </w:p>
        </w:tc>
        <w:tc>
          <w:tcPr>
            <w:tcW w:w="2160" w:type="dxa"/>
          </w:tcPr>
          <w:p w:rsidR="00A111FB" w:rsidRPr="00471AFE" w:rsidRDefault="00A111FB" w:rsidP="00A111FB">
            <w:pPr>
              <w:pStyle w:val="NoSpacing"/>
              <w:jc w:val="center"/>
              <w:cnfStyle w:val="000000000000" w:firstRow="0" w:lastRow="0" w:firstColumn="0" w:lastColumn="0" w:oddVBand="0" w:evenVBand="0" w:oddHBand="0" w:evenHBand="0" w:firstRowFirstColumn="0" w:firstRowLastColumn="0" w:lastRowFirstColumn="0" w:lastRowLastColumn="0"/>
            </w:pPr>
            <w:r w:rsidRPr="00471AFE">
              <w:t>4</w:t>
            </w:r>
            <w:r>
              <w:t>97</w:t>
            </w:r>
          </w:p>
        </w:tc>
        <w:tc>
          <w:tcPr>
            <w:tcW w:w="2880" w:type="dxa"/>
          </w:tcPr>
          <w:p w:rsidR="00A111FB" w:rsidRPr="00471AFE" w:rsidRDefault="00A111FB" w:rsidP="00A111FB">
            <w:pPr>
              <w:pStyle w:val="NoSpacing"/>
              <w:jc w:val="center"/>
              <w:cnfStyle w:val="000000000000" w:firstRow="0" w:lastRow="0" w:firstColumn="0" w:lastColumn="0" w:oddVBand="0" w:evenVBand="0" w:oddHBand="0" w:evenHBand="0" w:firstRowFirstColumn="0" w:firstRowLastColumn="0" w:lastRowFirstColumn="0" w:lastRowLastColumn="0"/>
            </w:pPr>
            <w:r>
              <w:t>23</w:t>
            </w:r>
            <w:r w:rsidRPr="00471AFE">
              <w:t>%</w:t>
            </w:r>
          </w:p>
        </w:tc>
      </w:tr>
      <w:tr w:rsidR="00A111FB" w:rsidTr="00A111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0" w:type="dxa"/>
          </w:tcPr>
          <w:p w:rsidR="00A111FB" w:rsidRPr="00683835" w:rsidRDefault="00A111FB" w:rsidP="00A111FB">
            <w:pPr>
              <w:pStyle w:val="NoSpacing"/>
              <w:jc w:val="center"/>
              <w:rPr>
                <w:b w:val="0"/>
              </w:rPr>
            </w:pPr>
            <w:r w:rsidRPr="00683835">
              <w:rPr>
                <w:b w:val="0"/>
              </w:rPr>
              <w:t>Springfield</w:t>
            </w:r>
          </w:p>
        </w:tc>
        <w:tc>
          <w:tcPr>
            <w:tcW w:w="2160" w:type="dxa"/>
          </w:tcPr>
          <w:p w:rsidR="00A111FB" w:rsidRPr="00471AFE" w:rsidRDefault="00A111FB" w:rsidP="00A111FB">
            <w:pPr>
              <w:pStyle w:val="NoSpacing"/>
              <w:jc w:val="center"/>
              <w:cnfStyle w:val="000000100000" w:firstRow="0" w:lastRow="0" w:firstColumn="0" w:lastColumn="0" w:oddVBand="0" w:evenVBand="0" w:oddHBand="1" w:evenHBand="0" w:firstRowFirstColumn="0" w:firstRowLastColumn="0" w:lastRowFirstColumn="0" w:lastRowLastColumn="0"/>
            </w:pPr>
            <w:r w:rsidRPr="00471AFE">
              <w:t>1</w:t>
            </w:r>
            <w:r>
              <w:t>62</w:t>
            </w:r>
          </w:p>
        </w:tc>
        <w:tc>
          <w:tcPr>
            <w:tcW w:w="2880" w:type="dxa"/>
          </w:tcPr>
          <w:p w:rsidR="00A111FB" w:rsidRPr="00471AFE" w:rsidRDefault="00A111FB" w:rsidP="00A111FB">
            <w:pPr>
              <w:pStyle w:val="NoSpacing"/>
              <w:jc w:val="center"/>
              <w:cnfStyle w:val="000000100000" w:firstRow="0" w:lastRow="0" w:firstColumn="0" w:lastColumn="0" w:oddVBand="0" w:evenVBand="0" w:oddHBand="1" w:evenHBand="0" w:firstRowFirstColumn="0" w:firstRowLastColumn="0" w:lastRowFirstColumn="0" w:lastRowLastColumn="0"/>
            </w:pPr>
            <w:r>
              <w:t>7</w:t>
            </w:r>
            <w:r w:rsidRPr="00471AFE">
              <w:t>%</w:t>
            </w:r>
          </w:p>
        </w:tc>
      </w:tr>
      <w:tr w:rsidR="00A111FB" w:rsidTr="00A111FB">
        <w:trPr>
          <w:jc w:val="center"/>
        </w:trPr>
        <w:tc>
          <w:tcPr>
            <w:cnfStyle w:val="001000000000" w:firstRow="0" w:lastRow="0" w:firstColumn="1" w:lastColumn="0" w:oddVBand="0" w:evenVBand="0" w:oddHBand="0" w:evenHBand="0" w:firstRowFirstColumn="0" w:firstRowLastColumn="0" w:lastRowFirstColumn="0" w:lastRowLastColumn="0"/>
            <w:tcW w:w="2070" w:type="dxa"/>
          </w:tcPr>
          <w:p w:rsidR="00A111FB" w:rsidRPr="00683835" w:rsidRDefault="00A111FB" w:rsidP="00A111FB">
            <w:pPr>
              <w:pStyle w:val="NoSpacing"/>
              <w:jc w:val="center"/>
              <w:rPr>
                <w:b w:val="0"/>
              </w:rPr>
            </w:pPr>
            <w:r w:rsidRPr="00683835">
              <w:rPr>
                <w:b w:val="0"/>
              </w:rPr>
              <w:t>Worcester</w:t>
            </w:r>
          </w:p>
        </w:tc>
        <w:tc>
          <w:tcPr>
            <w:tcW w:w="2160" w:type="dxa"/>
          </w:tcPr>
          <w:p w:rsidR="00A111FB" w:rsidRPr="00471AFE" w:rsidRDefault="00A111FB" w:rsidP="00A111FB">
            <w:pPr>
              <w:pStyle w:val="NoSpacing"/>
              <w:jc w:val="center"/>
              <w:cnfStyle w:val="000000000000" w:firstRow="0" w:lastRow="0" w:firstColumn="0" w:lastColumn="0" w:oddVBand="0" w:evenVBand="0" w:oddHBand="0" w:evenHBand="0" w:firstRowFirstColumn="0" w:firstRowLastColumn="0" w:lastRowFirstColumn="0" w:lastRowLastColumn="0"/>
            </w:pPr>
            <w:r w:rsidRPr="00471AFE">
              <w:t>1</w:t>
            </w:r>
            <w:r>
              <w:t>09</w:t>
            </w:r>
          </w:p>
        </w:tc>
        <w:tc>
          <w:tcPr>
            <w:tcW w:w="2880" w:type="dxa"/>
          </w:tcPr>
          <w:p w:rsidR="00A111FB" w:rsidRPr="00471AFE" w:rsidRDefault="00A111FB" w:rsidP="00A111FB">
            <w:pPr>
              <w:pStyle w:val="NoSpacing"/>
              <w:jc w:val="center"/>
              <w:cnfStyle w:val="000000000000" w:firstRow="0" w:lastRow="0" w:firstColumn="0" w:lastColumn="0" w:oddVBand="0" w:evenVBand="0" w:oddHBand="0" w:evenHBand="0" w:firstRowFirstColumn="0" w:firstRowLastColumn="0" w:lastRowFirstColumn="0" w:lastRowLastColumn="0"/>
            </w:pPr>
            <w:r w:rsidRPr="00471AFE">
              <w:t>5%</w:t>
            </w:r>
          </w:p>
        </w:tc>
      </w:tr>
      <w:tr w:rsidR="00A111FB" w:rsidTr="00A111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0" w:type="dxa"/>
          </w:tcPr>
          <w:p w:rsidR="00A111FB" w:rsidRPr="00683835" w:rsidRDefault="00A111FB" w:rsidP="00A111FB">
            <w:pPr>
              <w:pStyle w:val="NoSpacing"/>
              <w:jc w:val="center"/>
              <w:rPr>
                <w:b w:val="0"/>
              </w:rPr>
            </w:pPr>
            <w:r w:rsidRPr="00683835">
              <w:rPr>
                <w:b w:val="0"/>
              </w:rPr>
              <w:t>New Bedford</w:t>
            </w:r>
          </w:p>
        </w:tc>
        <w:tc>
          <w:tcPr>
            <w:tcW w:w="2160" w:type="dxa"/>
          </w:tcPr>
          <w:p w:rsidR="00A111FB" w:rsidRPr="00471AFE" w:rsidRDefault="00A111FB" w:rsidP="00A111FB">
            <w:pPr>
              <w:pStyle w:val="NoSpacing"/>
              <w:jc w:val="center"/>
              <w:cnfStyle w:val="000000100000" w:firstRow="0" w:lastRow="0" w:firstColumn="0" w:lastColumn="0" w:oddVBand="0" w:evenVBand="0" w:oddHBand="1" w:evenHBand="0" w:firstRowFirstColumn="0" w:firstRowLastColumn="0" w:lastRowFirstColumn="0" w:lastRowLastColumn="0"/>
            </w:pPr>
            <w:r>
              <w:t>68</w:t>
            </w:r>
          </w:p>
        </w:tc>
        <w:tc>
          <w:tcPr>
            <w:tcW w:w="2880" w:type="dxa"/>
          </w:tcPr>
          <w:p w:rsidR="00A111FB" w:rsidRPr="00471AFE" w:rsidRDefault="00A111FB" w:rsidP="00A111FB">
            <w:pPr>
              <w:pStyle w:val="NoSpacing"/>
              <w:jc w:val="center"/>
              <w:cnfStyle w:val="000000100000" w:firstRow="0" w:lastRow="0" w:firstColumn="0" w:lastColumn="0" w:oddVBand="0" w:evenVBand="0" w:oddHBand="1" w:evenHBand="0" w:firstRowFirstColumn="0" w:firstRowLastColumn="0" w:lastRowFirstColumn="0" w:lastRowLastColumn="0"/>
            </w:pPr>
            <w:r w:rsidRPr="00471AFE">
              <w:t>3%</w:t>
            </w:r>
          </w:p>
        </w:tc>
      </w:tr>
      <w:tr w:rsidR="00A111FB" w:rsidTr="00A111FB">
        <w:trPr>
          <w:jc w:val="center"/>
        </w:trPr>
        <w:tc>
          <w:tcPr>
            <w:cnfStyle w:val="001000000000" w:firstRow="0" w:lastRow="0" w:firstColumn="1" w:lastColumn="0" w:oddVBand="0" w:evenVBand="0" w:oddHBand="0" w:evenHBand="0" w:firstRowFirstColumn="0" w:firstRowLastColumn="0" w:lastRowFirstColumn="0" w:lastRowLastColumn="0"/>
            <w:tcW w:w="2070" w:type="dxa"/>
          </w:tcPr>
          <w:p w:rsidR="00A111FB" w:rsidRPr="00683835" w:rsidRDefault="00A111FB" w:rsidP="00A111FB">
            <w:pPr>
              <w:pStyle w:val="NoSpacing"/>
              <w:jc w:val="center"/>
              <w:rPr>
                <w:b w:val="0"/>
              </w:rPr>
            </w:pPr>
            <w:r w:rsidRPr="00683835">
              <w:rPr>
                <w:b w:val="0"/>
              </w:rPr>
              <w:t>Lawrence</w:t>
            </w:r>
          </w:p>
        </w:tc>
        <w:tc>
          <w:tcPr>
            <w:tcW w:w="2160" w:type="dxa"/>
          </w:tcPr>
          <w:p w:rsidR="00A111FB" w:rsidRPr="00471AFE" w:rsidRDefault="00A111FB" w:rsidP="00A111FB">
            <w:pPr>
              <w:pStyle w:val="NoSpacing"/>
              <w:jc w:val="center"/>
              <w:cnfStyle w:val="000000000000" w:firstRow="0" w:lastRow="0" w:firstColumn="0" w:lastColumn="0" w:oddVBand="0" w:evenVBand="0" w:oddHBand="0" w:evenHBand="0" w:firstRowFirstColumn="0" w:firstRowLastColumn="0" w:lastRowFirstColumn="0" w:lastRowLastColumn="0"/>
            </w:pPr>
            <w:r>
              <w:t>67</w:t>
            </w:r>
          </w:p>
        </w:tc>
        <w:tc>
          <w:tcPr>
            <w:tcW w:w="2880" w:type="dxa"/>
          </w:tcPr>
          <w:p w:rsidR="00A111FB" w:rsidRPr="00471AFE" w:rsidRDefault="00A111FB" w:rsidP="00A111FB">
            <w:pPr>
              <w:pStyle w:val="NoSpacing"/>
              <w:tabs>
                <w:tab w:val="left" w:pos="522"/>
                <w:tab w:val="left" w:pos="755"/>
              </w:tabs>
              <w:jc w:val="center"/>
              <w:cnfStyle w:val="000000000000" w:firstRow="0" w:lastRow="0" w:firstColumn="0" w:lastColumn="0" w:oddVBand="0" w:evenVBand="0" w:oddHBand="0" w:evenHBand="0" w:firstRowFirstColumn="0" w:firstRowLastColumn="0" w:lastRowFirstColumn="0" w:lastRowLastColumn="0"/>
            </w:pPr>
            <w:r>
              <w:t>3</w:t>
            </w:r>
            <w:r w:rsidRPr="00471AFE">
              <w:t>%</w:t>
            </w:r>
          </w:p>
        </w:tc>
      </w:tr>
      <w:tr w:rsidR="00A111FB" w:rsidTr="00A111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0" w:type="dxa"/>
          </w:tcPr>
          <w:p w:rsidR="00A111FB" w:rsidRPr="00683835" w:rsidRDefault="00A111FB" w:rsidP="00A111FB">
            <w:pPr>
              <w:pStyle w:val="NoSpacing"/>
              <w:jc w:val="center"/>
              <w:rPr>
                <w:b w:val="0"/>
              </w:rPr>
            </w:pPr>
            <w:r>
              <w:rPr>
                <w:b w:val="0"/>
              </w:rPr>
              <w:t>Lowell</w:t>
            </w:r>
          </w:p>
        </w:tc>
        <w:tc>
          <w:tcPr>
            <w:tcW w:w="2160" w:type="dxa"/>
          </w:tcPr>
          <w:p w:rsidR="00A111FB" w:rsidRPr="00471AFE" w:rsidRDefault="00A111FB" w:rsidP="00A111FB">
            <w:pPr>
              <w:pStyle w:val="NoSpacing"/>
              <w:jc w:val="center"/>
              <w:cnfStyle w:val="000000100000" w:firstRow="0" w:lastRow="0" w:firstColumn="0" w:lastColumn="0" w:oddVBand="0" w:evenVBand="0" w:oddHBand="1" w:evenHBand="0" w:firstRowFirstColumn="0" w:firstRowLastColumn="0" w:lastRowFirstColumn="0" w:lastRowLastColumn="0"/>
            </w:pPr>
            <w:r>
              <w:t>66</w:t>
            </w:r>
          </w:p>
        </w:tc>
        <w:tc>
          <w:tcPr>
            <w:tcW w:w="2880" w:type="dxa"/>
          </w:tcPr>
          <w:p w:rsidR="00A111FB" w:rsidRPr="00471AFE" w:rsidRDefault="00A111FB" w:rsidP="00A111FB">
            <w:pPr>
              <w:pStyle w:val="NoSpacing"/>
              <w:tabs>
                <w:tab w:val="left" w:pos="522"/>
                <w:tab w:val="left" w:pos="755"/>
              </w:tabs>
              <w:jc w:val="center"/>
              <w:cnfStyle w:val="000000100000" w:firstRow="0" w:lastRow="0" w:firstColumn="0" w:lastColumn="0" w:oddVBand="0" w:evenVBand="0" w:oddHBand="1" w:evenHBand="0" w:firstRowFirstColumn="0" w:firstRowLastColumn="0" w:lastRowFirstColumn="0" w:lastRowLastColumn="0"/>
            </w:pPr>
            <w:r>
              <w:t>3%</w:t>
            </w:r>
          </w:p>
        </w:tc>
      </w:tr>
      <w:tr w:rsidR="00A111FB" w:rsidTr="00A111FB">
        <w:trPr>
          <w:jc w:val="center"/>
        </w:trPr>
        <w:tc>
          <w:tcPr>
            <w:cnfStyle w:val="001000000000" w:firstRow="0" w:lastRow="0" w:firstColumn="1" w:lastColumn="0" w:oddVBand="0" w:evenVBand="0" w:oddHBand="0" w:evenHBand="0" w:firstRowFirstColumn="0" w:firstRowLastColumn="0" w:lastRowFirstColumn="0" w:lastRowLastColumn="0"/>
            <w:tcW w:w="2070" w:type="dxa"/>
          </w:tcPr>
          <w:p w:rsidR="00A111FB" w:rsidRPr="00683835" w:rsidRDefault="00A111FB" w:rsidP="00A111FB">
            <w:pPr>
              <w:pStyle w:val="NoSpacing"/>
              <w:jc w:val="center"/>
              <w:rPr>
                <w:b w:val="0"/>
              </w:rPr>
            </w:pPr>
            <w:r>
              <w:rPr>
                <w:b w:val="0"/>
              </w:rPr>
              <w:t>Lynn</w:t>
            </w:r>
          </w:p>
        </w:tc>
        <w:tc>
          <w:tcPr>
            <w:tcW w:w="2160" w:type="dxa"/>
          </w:tcPr>
          <w:p w:rsidR="00A111FB" w:rsidRPr="00471AFE" w:rsidRDefault="00A111FB" w:rsidP="00A111FB">
            <w:pPr>
              <w:pStyle w:val="NoSpacing"/>
              <w:jc w:val="center"/>
              <w:cnfStyle w:val="000000000000" w:firstRow="0" w:lastRow="0" w:firstColumn="0" w:lastColumn="0" w:oddVBand="0" w:evenVBand="0" w:oddHBand="0" w:evenHBand="0" w:firstRowFirstColumn="0" w:firstRowLastColumn="0" w:lastRowFirstColumn="0" w:lastRowLastColumn="0"/>
            </w:pPr>
            <w:r>
              <w:t>66</w:t>
            </w:r>
          </w:p>
        </w:tc>
        <w:tc>
          <w:tcPr>
            <w:tcW w:w="2880" w:type="dxa"/>
          </w:tcPr>
          <w:p w:rsidR="00A111FB" w:rsidRPr="00471AFE" w:rsidRDefault="00A111FB" w:rsidP="00A111FB">
            <w:pPr>
              <w:pStyle w:val="NoSpacing"/>
              <w:jc w:val="center"/>
              <w:cnfStyle w:val="000000000000" w:firstRow="0" w:lastRow="0" w:firstColumn="0" w:lastColumn="0" w:oddVBand="0" w:evenVBand="0" w:oddHBand="0" w:evenHBand="0" w:firstRowFirstColumn="0" w:firstRowLastColumn="0" w:lastRowFirstColumn="0" w:lastRowLastColumn="0"/>
            </w:pPr>
            <w:r>
              <w:t>3</w:t>
            </w:r>
            <w:r w:rsidRPr="00471AFE">
              <w:t>%</w:t>
            </w:r>
          </w:p>
        </w:tc>
      </w:tr>
      <w:tr w:rsidR="00A111FB" w:rsidTr="00A111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0" w:type="dxa"/>
          </w:tcPr>
          <w:p w:rsidR="00A111FB" w:rsidRPr="00683835" w:rsidRDefault="00A111FB" w:rsidP="00A111FB">
            <w:pPr>
              <w:pStyle w:val="NoSpacing"/>
              <w:jc w:val="center"/>
              <w:rPr>
                <w:b w:val="0"/>
              </w:rPr>
            </w:pPr>
            <w:r>
              <w:rPr>
                <w:b w:val="0"/>
              </w:rPr>
              <w:t>Brockton</w:t>
            </w:r>
          </w:p>
        </w:tc>
        <w:tc>
          <w:tcPr>
            <w:tcW w:w="2160" w:type="dxa"/>
          </w:tcPr>
          <w:p w:rsidR="00A111FB" w:rsidRPr="00471AFE" w:rsidRDefault="00A111FB" w:rsidP="00A111FB">
            <w:pPr>
              <w:pStyle w:val="NoSpacing"/>
              <w:jc w:val="center"/>
              <w:cnfStyle w:val="000000100000" w:firstRow="0" w:lastRow="0" w:firstColumn="0" w:lastColumn="0" w:oddVBand="0" w:evenVBand="0" w:oddHBand="1" w:evenHBand="0" w:firstRowFirstColumn="0" w:firstRowLastColumn="0" w:lastRowFirstColumn="0" w:lastRowLastColumn="0"/>
            </w:pPr>
            <w:r>
              <w:t>59</w:t>
            </w:r>
          </w:p>
        </w:tc>
        <w:tc>
          <w:tcPr>
            <w:tcW w:w="2880" w:type="dxa"/>
          </w:tcPr>
          <w:p w:rsidR="00A111FB" w:rsidRPr="00471AFE" w:rsidRDefault="00A111FB" w:rsidP="00A111FB">
            <w:pPr>
              <w:pStyle w:val="NoSpacing"/>
              <w:jc w:val="center"/>
              <w:cnfStyle w:val="000000100000" w:firstRow="0" w:lastRow="0" w:firstColumn="0" w:lastColumn="0" w:oddVBand="0" w:evenVBand="0" w:oddHBand="1" w:evenHBand="0" w:firstRowFirstColumn="0" w:firstRowLastColumn="0" w:lastRowFirstColumn="0" w:lastRowLastColumn="0"/>
            </w:pPr>
            <w:r w:rsidRPr="00471AFE">
              <w:t>3%</w:t>
            </w:r>
          </w:p>
        </w:tc>
      </w:tr>
      <w:tr w:rsidR="00A111FB" w:rsidTr="00A111FB">
        <w:trPr>
          <w:jc w:val="center"/>
        </w:trPr>
        <w:tc>
          <w:tcPr>
            <w:cnfStyle w:val="001000000000" w:firstRow="0" w:lastRow="0" w:firstColumn="1" w:lastColumn="0" w:oddVBand="0" w:evenVBand="0" w:oddHBand="0" w:evenHBand="0" w:firstRowFirstColumn="0" w:firstRowLastColumn="0" w:lastRowFirstColumn="0" w:lastRowLastColumn="0"/>
            <w:tcW w:w="2070" w:type="dxa"/>
          </w:tcPr>
          <w:p w:rsidR="00A111FB" w:rsidRPr="00683835" w:rsidRDefault="00A111FB" w:rsidP="00A111FB">
            <w:pPr>
              <w:pStyle w:val="NoSpacing"/>
              <w:jc w:val="center"/>
              <w:rPr>
                <w:b w:val="0"/>
              </w:rPr>
            </w:pPr>
            <w:r>
              <w:rPr>
                <w:b w:val="0"/>
              </w:rPr>
              <w:t>Fall River</w:t>
            </w:r>
          </w:p>
        </w:tc>
        <w:tc>
          <w:tcPr>
            <w:tcW w:w="2160" w:type="dxa"/>
          </w:tcPr>
          <w:p w:rsidR="00A111FB" w:rsidRPr="00471AFE" w:rsidRDefault="00A111FB" w:rsidP="00A111FB">
            <w:pPr>
              <w:pStyle w:val="NoSpacing"/>
              <w:jc w:val="center"/>
              <w:cnfStyle w:val="000000000000" w:firstRow="0" w:lastRow="0" w:firstColumn="0" w:lastColumn="0" w:oddVBand="0" w:evenVBand="0" w:oddHBand="0" w:evenHBand="0" w:firstRowFirstColumn="0" w:firstRowLastColumn="0" w:lastRowFirstColumn="0" w:lastRowLastColumn="0"/>
            </w:pPr>
            <w:r>
              <w:t>59</w:t>
            </w:r>
          </w:p>
        </w:tc>
        <w:tc>
          <w:tcPr>
            <w:tcW w:w="2880" w:type="dxa"/>
          </w:tcPr>
          <w:p w:rsidR="00A111FB" w:rsidRPr="00471AFE" w:rsidRDefault="00A111FB" w:rsidP="00A111FB">
            <w:pPr>
              <w:pStyle w:val="NoSpacing"/>
              <w:jc w:val="center"/>
              <w:cnfStyle w:val="000000000000" w:firstRow="0" w:lastRow="0" w:firstColumn="0" w:lastColumn="0" w:oddVBand="0" w:evenVBand="0" w:oddHBand="0" w:evenHBand="0" w:firstRowFirstColumn="0" w:firstRowLastColumn="0" w:lastRowFirstColumn="0" w:lastRowLastColumn="0"/>
            </w:pPr>
            <w:r w:rsidRPr="00471AFE">
              <w:t>3%</w:t>
            </w:r>
          </w:p>
        </w:tc>
      </w:tr>
      <w:tr w:rsidR="00A111FB" w:rsidTr="00A111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0" w:type="dxa"/>
          </w:tcPr>
          <w:p w:rsidR="00A111FB" w:rsidRPr="00683835" w:rsidRDefault="00A111FB" w:rsidP="00A111FB">
            <w:pPr>
              <w:pStyle w:val="NoSpacing"/>
              <w:jc w:val="center"/>
              <w:rPr>
                <w:b w:val="0"/>
              </w:rPr>
            </w:pPr>
            <w:r>
              <w:rPr>
                <w:b w:val="0"/>
              </w:rPr>
              <w:t>Haverhill</w:t>
            </w:r>
          </w:p>
        </w:tc>
        <w:tc>
          <w:tcPr>
            <w:tcW w:w="2160" w:type="dxa"/>
          </w:tcPr>
          <w:p w:rsidR="00A111FB" w:rsidRPr="00471AFE" w:rsidRDefault="00A111FB" w:rsidP="00A111FB">
            <w:pPr>
              <w:pStyle w:val="NoSpacing"/>
              <w:jc w:val="center"/>
              <w:cnfStyle w:val="000000100000" w:firstRow="0" w:lastRow="0" w:firstColumn="0" w:lastColumn="0" w:oddVBand="0" w:evenVBand="0" w:oddHBand="1" w:evenHBand="0" w:firstRowFirstColumn="0" w:firstRowLastColumn="0" w:lastRowFirstColumn="0" w:lastRowLastColumn="0"/>
            </w:pPr>
            <w:r>
              <w:t>30</w:t>
            </w:r>
          </w:p>
        </w:tc>
        <w:tc>
          <w:tcPr>
            <w:tcW w:w="2880" w:type="dxa"/>
          </w:tcPr>
          <w:p w:rsidR="00A111FB" w:rsidRPr="00471AFE" w:rsidRDefault="00A111FB" w:rsidP="00A111FB">
            <w:pPr>
              <w:pStyle w:val="NoSpacing"/>
              <w:jc w:val="center"/>
              <w:cnfStyle w:val="000000100000" w:firstRow="0" w:lastRow="0" w:firstColumn="0" w:lastColumn="0" w:oddVBand="0" w:evenVBand="0" w:oddHBand="1" w:evenHBand="0" w:firstRowFirstColumn="0" w:firstRowLastColumn="0" w:lastRowFirstColumn="0" w:lastRowLastColumn="0"/>
            </w:pPr>
            <w:r>
              <w:t>1%</w:t>
            </w:r>
          </w:p>
        </w:tc>
      </w:tr>
    </w:tbl>
    <w:p w:rsidR="00096E07" w:rsidRDefault="00096E07" w:rsidP="00096E07">
      <w:pPr>
        <w:pStyle w:val="NoSpacing"/>
        <w:ind w:left="1080"/>
        <w:rPr>
          <w:sz w:val="20"/>
          <w:szCs w:val="20"/>
        </w:rPr>
      </w:pPr>
      <w:r w:rsidRPr="007353CE">
        <w:rPr>
          <w:sz w:val="20"/>
          <w:szCs w:val="20"/>
        </w:rPr>
        <w:t>Source: Massachusetts D</w:t>
      </w:r>
      <w:r w:rsidR="00F5190D">
        <w:rPr>
          <w:sz w:val="20"/>
          <w:szCs w:val="20"/>
        </w:rPr>
        <w:t>OC</w:t>
      </w:r>
      <w:r w:rsidRPr="007353CE">
        <w:rPr>
          <w:sz w:val="20"/>
          <w:szCs w:val="20"/>
        </w:rPr>
        <w:t xml:space="preserve">, </w:t>
      </w:r>
      <w:r w:rsidRPr="005407B4">
        <w:rPr>
          <w:i/>
          <w:sz w:val="20"/>
          <w:szCs w:val="20"/>
        </w:rPr>
        <w:t>Prison Population Trends, 201</w:t>
      </w:r>
      <w:r w:rsidR="00A111FB">
        <w:rPr>
          <w:i/>
          <w:sz w:val="20"/>
          <w:szCs w:val="20"/>
        </w:rPr>
        <w:t>7</w:t>
      </w:r>
      <w:r>
        <w:rPr>
          <w:sz w:val="20"/>
          <w:szCs w:val="20"/>
        </w:rPr>
        <w:t>, March 201</w:t>
      </w:r>
      <w:r w:rsidR="00A111FB">
        <w:rPr>
          <w:sz w:val="20"/>
          <w:szCs w:val="20"/>
        </w:rPr>
        <w:t>8</w:t>
      </w:r>
      <w:r>
        <w:rPr>
          <w:sz w:val="20"/>
          <w:szCs w:val="20"/>
        </w:rPr>
        <w:t>.</w:t>
      </w:r>
    </w:p>
    <w:p w:rsidR="00096E07" w:rsidRDefault="00096E07" w:rsidP="00096E07">
      <w:pPr>
        <w:pStyle w:val="NoSpacing"/>
        <w:ind w:left="1080"/>
        <w:rPr>
          <w:sz w:val="20"/>
          <w:szCs w:val="20"/>
        </w:rPr>
      </w:pPr>
      <w:r>
        <w:rPr>
          <w:sz w:val="20"/>
          <w:szCs w:val="20"/>
        </w:rPr>
        <w:t>Note: Release address is self-reported by the inmate prior to release.</w:t>
      </w:r>
    </w:p>
    <w:p w:rsidR="00096E07" w:rsidRDefault="00096E07" w:rsidP="00096E07"/>
    <w:p w:rsidR="00A111FB" w:rsidRPr="001C2107" w:rsidRDefault="00A111FB" w:rsidP="00A111FB">
      <w:pPr>
        <w:autoSpaceDE w:val="0"/>
        <w:autoSpaceDN w:val="0"/>
        <w:adjustRightInd w:val="0"/>
      </w:pPr>
      <w:r w:rsidRPr="001C2107">
        <w:t xml:space="preserve">Initial findings in the </w:t>
      </w:r>
      <w:r w:rsidR="00A80B3B">
        <w:t xml:space="preserve">DPH </w:t>
      </w:r>
      <w:r w:rsidRPr="001C2107">
        <w:t>report</w:t>
      </w:r>
      <w:r w:rsidR="00A80B3B">
        <w:t>,</w:t>
      </w:r>
      <w:r w:rsidRPr="001C2107">
        <w:t xml:space="preserve"> </w:t>
      </w:r>
      <w:r w:rsidRPr="001C2107">
        <w:rPr>
          <w:i/>
        </w:rPr>
        <w:t>An Assessment of Opioid-Related Deaths in Massachusetts, (2013-2014)</w:t>
      </w:r>
      <w:r w:rsidRPr="001C2107">
        <w:t xml:space="preserve"> include:</w:t>
      </w:r>
      <w:r w:rsidRPr="001C2107">
        <w:rPr>
          <w:rStyle w:val="FootnoteReference"/>
        </w:rPr>
        <w:t xml:space="preserve"> </w:t>
      </w:r>
      <w:r w:rsidRPr="001C2107">
        <w:rPr>
          <w:rStyle w:val="FootnoteReference"/>
        </w:rPr>
        <w:footnoteReference w:id="43"/>
      </w:r>
    </w:p>
    <w:p w:rsidR="00A111FB" w:rsidRPr="001C2107" w:rsidRDefault="00A111FB" w:rsidP="00A111FB">
      <w:pPr>
        <w:pStyle w:val="ListParagraph"/>
        <w:numPr>
          <w:ilvl w:val="0"/>
          <w:numId w:val="20"/>
        </w:numPr>
        <w:ind w:right="-180"/>
      </w:pPr>
      <w:r w:rsidRPr="001C2107">
        <w:t xml:space="preserve">Twenty-five percent (25%) of prison inmates received treatment during their incarceration; </w:t>
      </w:r>
    </w:p>
    <w:p w:rsidR="00A111FB" w:rsidRPr="001C2107" w:rsidRDefault="00A111FB" w:rsidP="00A111FB">
      <w:pPr>
        <w:pStyle w:val="ListParagraph"/>
        <w:numPr>
          <w:ilvl w:val="0"/>
          <w:numId w:val="20"/>
        </w:numPr>
      </w:pPr>
      <w:r w:rsidRPr="001C2107">
        <w:t>Compared to the general population, individuals recently released from a Massachusetts prison are 56 times as likely to die from an opioid-related overdose;</w:t>
      </w:r>
    </w:p>
    <w:p w:rsidR="00A111FB" w:rsidRPr="001C2107" w:rsidRDefault="00A111FB" w:rsidP="00A111FB">
      <w:pPr>
        <w:pStyle w:val="ListParagraph"/>
        <w:numPr>
          <w:ilvl w:val="0"/>
          <w:numId w:val="20"/>
        </w:numPr>
      </w:pPr>
      <w:r w:rsidRPr="001C2107">
        <w:t>The risk of death is highest in the month following release;</w:t>
      </w:r>
    </w:p>
    <w:p w:rsidR="00A111FB" w:rsidRPr="001C2107" w:rsidRDefault="00A111FB" w:rsidP="00A111FB">
      <w:pPr>
        <w:pStyle w:val="ListParagraph"/>
        <w:numPr>
          <w:ilvl w:val="0"/>
          <w:numId w:val="20"/>
        </w:numPr>
        <w:autoSpaceDE w:val="0"/>
        <w:autoSpaceDN w:val="0"/>
        <w:adjustRightInd w:val="0"/>
      </w:pPr>
      <w:r w:rsidRPr="001C2107">
        <w:t>When examining opioid</w:t>
      </w:r>
      <w:r w:rsidRPr="001C2107">
        <w:rPr>
          <w:rFonts w:ascii="Cambria Math" w:hAnsi="Cambria Math" w:cs="Cambria Math"/>
        </w:rPr>
        <w:t>‐</w:t>
      </w:r>
      <w:r w:rsidRPr="001C2107">
        <w:t>related overdoses, former inmates had death rates in the first month after release that were up to six times higher than rates at later times;</w:t>
      </w:r>
    </w:p>
    <w:p w:rsidR="00A111FB" w:rsidRPr="001C2107" w:rsidRDefault="00A111FB" w:rsidP="00A111FB">
      <w:pPr>
        <w:pStyle w:val="ListParagraph"/>
        <w:numPr>
          <w:ilvl w:val="0"/>
          <w:numId w:val="20"/>
        </w:numPr>
      </w:pPr>
      <w:r w:rsidRPr="001C2107">
        <w:t>Among those released from prison, individuals ages 18 to 24 have almost10 times the risk of death upon release compared to individuals 45 years and older; and</w:t>
      </w:r>
    </w:p>
    <w:p w:rsidR="00A111FB" w:rsidRPr="001C2107" w:rsidRDefault="00A111FB" w:rsidP="00A111FB">
      <w:pPr>
        <w:pStyle w:val="ListParagraph"/>
        <w:numPr>
          <w:ilvl w:val="0"/>
          <w:numId w:val="20"/>
        </w:numPr>
      </w:pPr>
      <w:r w:rsidRPr="001C2107">
        <w:t>During 2013 and 2014, 13,918 inmates were released from state correctional facilities. Of these, 287 died during the same time period.  Of these deaths, 121 (42%) died from an opioid-related overdose.  Comparing with the total population in the state, opioid-related deaths accounted for only 2,192 (2.1%) deaths.</w:t>
      </w:r>
    </w:p>
    <w:p w:rsidR="00096E07" w:rsidRDefault="00096E07" w:rsidP="00096E07">
      <w:pPr>
        <w:pStyle w:val="ListParagraph"/>
        <w:autoSpaceDE w:val="0"/>
        <w:autoSpaceDN w:val="0"/>
        <w:adjustRightInd w:val="0"/>
        <w:ind w:left="360"/>
      </w:pPr>
    </w:p>
    <w:p w:rsidR="00096E07" w:rsidRDefault="00096E07" w:rsidP="00C94510">
      <w:pPr>
        <w:pStyle w:val="ListParagraph"/>
        <w:autoSpaceDE w:val="0"/>
        <w:autoSpaceDN w:val="0"/>
        <w:adjustRightInd w:val="0"/>
        <w:ind w:left="0"/>
      </w:pPr>
      <w:r>
        <w:lastRenderedPageBreak/>
        <w:t xml:space="preserve">It is imperative that substance abuse treatment services in correctional facilities are provided with fidelity to yield meaningful reductions in drug use and recidivism.  Substance abusing offenders who are untreated or receive substandard services have a higher propensity, than offenders treated with program fidelity, to relapse to substance abuse and criminal behavior.  This can result in re-arrest and re-incarceration, jeopardizing public safety and public health.  </w:t>
      </w:r>
    </w:p>
    <w:p w:rsidR="00096E07" w:rsidRDefault="00096E07" w:rsidP="00C94510">
      <w:pPr>
        <w:pStyle w:val="ListParagraph"/>
        <w:autoSpaceDE w:val="0"/>
        <w:autoSpaceDN w:val="0"/>
        <w:adjustRightInd w:val="0"/>
        <w:ind w:left="0"/>
      </w:pPr>
    </w:p>
    <w:p w:rsidR="00096E07" w:rsidRPr="00C90E54" w:rsidRDefault="00476F28" w:rsidP="00C94510">
      <w:pPr>
        <w:pStyle w:val="ListParagraph"/>
        <w:autoSpaceDE w:val="0"/>
        <w:autoSpaceDN w:val="0"/>
        <w:adjustRightInd w:val="0"/>
        <w:ind w:left="0"/>
      </w:pPr>
      <w:r>
        <w:t>To further support the need for substance abuse treatment and relapse prevention in a correctional setting, Massachusetts DOC three-year recidivism rates for 2014 releases to the community revealed:</w:t>
      </w:r>
      <w:r w:rsidR="00096E07">
        <w:rPr>
          <w:rStyle w:val="FootnoteReference"/>
        </w:rPr>
        <w:footnoteReference w:id="44"/>
      </w:r>
    </w:p>
    <w:p w:rsidR="00476F28" w:rsidRDefault="00476F28" w:rsidP="00476F28">
      <w:pPr>
        <w:pStyle w:val="ListParagraph"/>
        <w:numPr>
          <w:ilvl w:val="0"/>
          <w:numId w:val="19"/>
        </w:numPr>
      </w:pPr>
      <w:r>
        <w:t xml:space="preserve">After serving time for drug offenses 24% of males and 25% of females re-offended; and </w:t>
      </w:r>
    </w:p>
    <w:p w:rsidR="00476F28" w:rsidRDefault="00476F28" w:rsidP="00476F28">
      <w:pPr>
        <w:pStyle w:val="ListParagraph"/>
        <w:numPr>
          <w:ilvl w:val="0"/>
          <w:numId w:val="19"/>
        </w:numPr>
      </w:pPr>
      <w:r>
        <w:t>The recidivism rate for those serving a mandatory minimum drug sentence was lower than those serving a non-mandatory drug sentence (23% vs. 25%).</w:t>
      </w:r>
    </w:p>
    <w:p w:rsidR="00096E07" w:rsidRDefault="00096E07" w:rsidP="002D780F">
      <w:pPr>
        <w:pStyle w:val="NoSpacing"/>
      </w:pPr>
    </w:p>
    <w:p w:rsidR="00096E07" w:rsidRDefault="00096E07" w:rsidP="00096E07">
      <w:r>
        <w:t xml:space="preserve">The </w:t>
      </w:r>
      <w:r w:rsidR="00755E21" w:rsidRPr="00A80B3B">
        <w:t>DPH</w:t>
      </w:r>
      <w:r w:rsidR="00755E21">
        <w:t xml:space="preserve"> </w:t>
      </w:r>
      <w:r>
        <w:t>report also provided recommendations for reducing inmates’ post incarceration risk of substance abuse.  The recommendations are:</w:t>
      </w:r>
    </w:p>
    <w:p w:rsidR="00096E07" w:rsidRDefault="00096E07" w:rsidP="00096E07">
      <w:pPr>
        <w:pStyle w:val="ListParagraph"/>
        <w:numPr>
          <w:ilvl w:val="0"/>
          <w:numId w:val="21"/>
        </w:numPr>
      </w:pPr>
      <w:r>
        <w:t>Ensuring the availability of treatment within correctional facilities, and improved aftercare planning for inmates prior to release has the potential for life-saving impact and should be prioritized.</w:t>
      </w:r>
    </w:p>
    <w:p w:rsidR="00096E07" w:rsidRDefault="00096E07" w:rsidP="00096E07">
      <w:pPr>
        <w:pStyle w:val="ListParagraph"/>
        <w:numPr>
          <w:ilvl w:val="0"/>
          <w:numId w:val="21"/>
        </w:numPr>
      </w:pPr>
      <w:r>
        <w:t>Treatment and overdose prevention services should be expanded in correctional facilities and should be standardized, evidence-based, and monitored.</w:t>
      </w:r>
    </w:p>
    <w:p w:rsidR="00096E07" w:rsidRDefault="00096E07" w:rsidP="00096E07">
      <w:pPr>
        <w:pStyle w:val="ListParagraph"/>
        <w:numPr>
          <w:ilvl w:val="0"/>
          <w:numId w:val="21"/>
        </w:numPr>
      </w:pPr>
      <w:r>
        <w:t>Further research is warranted to identify other specific risk factors associated with the increased risk for those released from incarceration.</w:t>
      </w:r>
      <w:r>
        <w:rPr>
          <w:rStyle w:val="FootnoteReference"/>
        </w:rPr>
        <w:footnoteReference w:id="45"/>
      </w:r>
    </w:p>
    <w:p w:rsidR="00AB047D" w:rsidRPr="008E0D01" w:rsidRDefault="00AB047D" w:rsidP="00AB047D">
      <w:pPr>
        <w:pStyle w:val="ListParagraph"/>
      </w:pPr>
    </w:p>
    <w:p w:rsidR="00096E07" w:rsidRPr="009E32B6" w:rsidRDefault="00096E07" w:rsidP="00096E07">
      <w:pPr>
        <w:rPr>
          <w:smallCaps/>
          <w:sz w:val="26"/>
          <w:szCs w:val="26"/>
          <w:u w:val="single"/>
        </w:rPr>
      </w:pPr>
      <w:r w:rsidRPr="009E32B6">
        <w:rPr>
          <w:smallCaps/>
          <w:sz w:val="26"/>
          <w:szCs w:val="26"/>
          <w:u w:val="single"/>
        </w:rPr>
        <w:t>National Drug Threat Assessment</w:t>
      </w:r>
    </w:p>
    <w:p w:rsidR="00096E07" w:rsidRDefault="00096E07" w:rsidP="00096E07"/>
    <w:p w:rsidR="004A3C87" w:rsidRDefault="004A3C87" w:rsidP="004A3C87">
      <w:r>
        <w:t xml:space="preserve">The </w:t>
      </w:r>
      <w:r w:rsidRPr="00DD2A39">
        <w:rPr>
          <w:i/>
        </w:rPr>
        <w:t>201</w:t>
      </w:r>
      <w:r>
        <w:rPr>
          <w:i/>
        </w:rPr>
        <w:t>7</w:t>
      </w:r>
      <w:r w:rsidRPr="00DD2A39">
        <w:rPr>
          <w:i/>
        </w:rPr>
        <w:t xml:space="preserve"> National Drug Threat Assessment Summary</w:t>
      </w:r>
      <w:r>
        <w:t xml:space="preserve">, conducted by the </w:t>
      </w:r>
      <w:r w:rsidR="004C1E46">
        <w:t>DEA</w:t>
      </w:r>
      <w:r>
        <w:t>, report that 9% of national law enforcement agencies consider Controlled Prescription Drugs (CPDs) as the ultimate drug threat in their region.  This is down substantially from 2014 when 22% reported this concern, and further declining in 2015 and 2016, 15% and 12%, respectively.  In the New England region, there was a dramatic shift in reports of CPDs as the greatest drug threat.  In 2014, 33% reported CPDs as the greatest drug threat which fell to 5% in 2017 (</w:t>
      </w:r>
      <w:r w:rsidRPr="000D5357">
        <w:t xml:space="preserve">Figure </w:t>
      </w:r>
      <w:r w:rsidR="00AB047D">
        <w:t>1</w:t>
      </w:r>
      <w:r w:rsidRPr="000D5357">
        <w:t>3</w:t>
      </w:r>
      <w:r>
        <w:t xml:space="preserve">, page </w:t>
      </w:r>
      <w:r w:rsidR="00AB047D">
        <w:t>32</w:t>
      </w:r>
      <w:r>
        <w:t>).  This is an 85% decline over a four year period and may be attributed, in part, to the change in practice by prescribing clinicians and the use of the prescription monitoring program.  For example, in Massachusetts, the number of opioid prescriptions has decreased by 29% since 2015.</w:t>
      </w:r>
      <w:r>
        <w:rPr>
          <w:rStyle w:val="FootnoteReference"/>
        </w:rPr>
        <w:footnoteReference w:id="46"/>
      </w:r>
      <w:r>
        <w:t xml:space="preserve">  Nationwide, there too was a decline in the reporting of CPDs as a greatest drug threat; however, in 2017 the New England threat was lower than the nationwide threat.</w:t>
      </w:r>
    </w:p>
    <w:p w:rsidR="00096E07" w:rsidRDefault="00096E07" w:rsidP="00096E07"/>
    <w:p w:rsidR="004A3C87" w:rsidRDefault="004A3C87" w:rsidP="004A3C87">
      <w:pPr>
        <w:jc w:val="center"/>
      </w:pPr>
      <w:r>
        <w:rPr>
          <w:noProof/>
          <w:lang w:eastAsia="en-US"/>
        </w:rPr>
        <w:lastRenderedPageBreak/>
        <w:drawing>
          <wp:inline distT="0" distB="0" distL="0" distR="0" wp14:anchorId="1EC9668B" wp14:editId="6C82532B">
            <wp:extent cx="4484218" cy="2425878"/>
            <wp:effectExtent l="0" t="0" r="12065" b="1270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A3C87" w:rsidRPr="005E3355" w:rsidRDefault="004A3C87" w:rsidP="004A3C87">
      <w:pPr>
        <w:ind w:left="1080"/>
        <w:rPr>
          <w:sz w:val="20"/>
          <w:szCs w:val="20"/>
        </w:rPr>
      </w:pPr>
      <w:r w:rsidRPr="000D5357">
        <w:rPr>
          <w:i/>
          <w:sz w:val="20"/>
          <w:szCs w:val="20"/>
        </w:rPr>
        <w:t xml:space="preserve">Figure </w:t>
      </w:r>
      <w:r w:rsidR="00AB047D">
        <w:rPr>
          <w:i/>
          <w:sz w:val="20"/>
          <w:szCs w:val="20"/>
        </w:rPr>
        <w:t>1</w:t>
      </w:r>
      <w:r w:rsidRPr="000D5357">
        <w:rPr>
          <w:i/>
          <w:sz w:val="20"/>
          <w:szCs w:val="20"/>
        </w:rPr>
        <w:t>3.</w:t>
      </w:r>
      <w:r w:rsidRPr="005E3355">
        <w:rPr>
          <w:sz w:val="20"/>
          <w:szCs w:val="20"/>
        </w:rPr>
        <w:t xml:space="preserve"> Source:</w:t>
      </w:r>
      <w:r w:rsidR="004C1E46">
        <w:rPr>
          <w:sz w:val="20"/>
          <w:szCs w:val="20"/>
        </w:rPr>
        <w:t xml:space="preserve"> DEA</w:t>
      </w:r>
      <w:r w:rsidRPr="005E3355">
        <w:rPr>
          <w:sz w:val="20"/>
          <w:szCs w:val="20"/>
        </w:rPr>
        <w:t xml:space="preserve">, </w:t>
      </w:r>
      <w:r w:rsidRPr="005E3355">
        <w:rPr>
          <w:i/>
          <w:sz w:val="20"/>
          <w:szCs w:val="20"/>
        </w:rPr>
        <w:t xml:space="preserve">National Drug </w:t>
      </w:r>
      <w:r>
        <w:rPr>
          <w:i/>
          <w:sz w:val="20"/>
          <w:szCs w:val="20"/>
        </w:rPr>
        <w:t>T</w:t>
      </w:r>
      <w:r w:rsidRPr="005E3355">
        <w:rPr>
          <w:i/>
          <w:sz w:val="20"/>
          <w:szCs w:val="20"/>
        </w:rPr>
        <w:t>hreat Assessment Summary, 201</w:t>
      </w:r>
      <w:r>
        <w:rPr>
          <w:i/>
          <w:sz w:val="20"/>
          <w:szCs w:val="20"/>
        </w:rPr>
        <w:t>7</w:t>
      </w:r>
      <w:r w:rsidRPr="005E3355">
        <w:rPr>
          <w:i/>
          <w:sz w:val="20"/>
          <w:szCs w:val="20"/>
        </w:rPr>
        <w:t>.</w:t>
      </w:r>
      <w:r w:rsidRPr="00E330DF">
        <w:rPr>
          <w:sz w:val="20"/>
          <w:szCs w:val="20"/>
        </w:rPr>
        <w:t xml:space="preserve"> </w:t>
      </w:r>
      <w:r>
        <w:rPr>
          <w:sz w:val="20"/>
          <w:szCs w:val="20"/>
        </w:rPr>
        <w:t>October</w:t>
      </w:r>
      <w:r w:rsidRPr="005E3355">
        <w:rPr>
          <w:sz w:val="20"/>
          <w:szCs w:val="20"/>
        </w:rPr>
        <w:t xml:space="preserve"> 201</w:t>
      </w:r>
      <w:r>
        <w:rPr>
          <w:sz w:val="20"/>
          <w:szCs w:val="20"/>
        </w:rPr>
        <w:t>7</w:t>
      </w:r>
      <w:r w:rsidRPr="005E3355">
        <w:rPr>
          <w:sz w:val="20"/>
          <w:szCs w:val="20"/>
        </w:rPr>
        <w:t>.</w:t>
      </w:r>
    </w:p>
    <w:p w:rsidR="004A3C87" w:rsidRDefault="004A3C87" w:rsidP="00096E07"/>
    <w:p w:rsidR="004A3C87" w:rsidRDefault="004A3C87" w:rsidP="004A3C87">
      <w:r w:rsidRPr="006975E3">
        <w:t xml:space="preserve">Figure </w:t>
      </w:r>
      <w:r w:rsidR="00AB047D">
        <w:t>1</w:t>
      </w:r>
      <w:r>
        <w:t xml:space="preserve">4 </w:t>
      </w:r>
      <w:r w:rsidRPr="006975E3">
        <w:t xml:space="preserve">demonstrates the availability of CPDs in the New England region as reported by law enforcement officials.  In 2010, New England respondents stating there is high CPD availability in their jurisdictions rose 45% from the previous year (80%), remained static in 2011, then declined between 2013 and 2015, </w:t>
      </w:r>
      <w:r>
        <w:t>had a slight uptick in 2016, and fell to 42% in 2017</w:t>
      </w:r>
      <w:r w:rsidR="003D7BA5">
        <w:t xml:space="preserve">. </w:t>
      </w:r>
      <w:r w:rsidRPr="007350C8">
        <w:t xml:space="preserve"> </w:t>
      </w:r>
      <w:r>
        <w:t>The number of individuals reporting current use of CPDs remains more than those reporting use of cocaine, heroin, methamphetamine, MDMA, and phencyclidine (PCP) combined.</w:t>
      </w:r>
      <w:r w:rsidRPr="009B1944">
        <w:rPr>
          <w:vertAlign w:val="superscript"/>
        </w:rPr>
        <w:footnoteReference w:id="47"/>
      </w:r>
    </w:p>
    <w:p w:rsidR="00AB047D" w:rsidRDefault="00AB047D" w:rsidP="004A3C87"/>
    <w:p w:rsidR="004A3C87" w:rsidRDefault="00A9742E" w:rsidP="00A9742E">
      <w:pPr>
        <w:jc w:val="center"/>
      </w:pPr>
      <w:r>
        <w:rPr>
          <w:noProof/>
          <w:lang w:eastAsia="en-US"/>
        </w:rPr>
        <w:drawing>
          <wp:inline distT="0" distB="0" distL="0" distR="0" wp14:anchorId="7A407091" wp14:editId="087368CF">
            <wp:extent cx="4412974" cy="2311096"/>
            <wp:effectExtent l="0" t="0" r="6985" b="1333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9742E" w:rsidRPr="005E3355" w:rsidRDefault="00A9742E" w:rsidP="00A9742E">
      <w:pPr>
        <w:ind w:left="1080"/>
        <w:rPr>
          <w:sz w:val="20"/>
          <w:szCs w:val="20"/>
        </w:rPr>
      </w:pPr>
      <w:r w:rsidRPr="000D5357">
        <w:rPr>
          <w:i/>
          <w:sz w:val="20"/>
          <w:szCs w:val="20"/>
        </w:rPr>
        <w:t xml:space="preserve">Figure </w:t>
      </w:r>
      <w:r w:rsidR="00AB047D">
        <w:rPr>
          <w:i/>
          <w:sz w:val="20"/>
          <w:szCs w:val="20"/>
        </w:rPr>
        <w:t>1</w:t>
      </w:r>
      <w:r w:rsidRPr="000D5357">
        <w:rPr>
          <w:i/>
          <w:sz w:val="20"/>
          <w:szCs w:val="20"/>
        </w:rPr>
        <w:t>4</w:t>
      </w:r>
      <w:r w:rsidRPr="000D5357">
        <w:rPr>
          <w:sz w:val="20"/>
          <w:szCs w:val="20"/>
        </w:rPr>
        <w:t>.</w:t>
      </w:r>
      <w:r w:rsidR="004C1E46">
        <w:rPr>
          <w:sz w:val="20"/>
          <w:szCs w:val="20"/>
        </w:rPr>
        <w:t xml:space="preserve"> Source: DEA</w:t>
      </w:r>
      <w:r w:rsidRPr="005E3355">
        <w:rPr>
          <w:sz w:val="20"/>
          <w:szCs w:val="20"/>
        </w:rPr>
        <w:t xml:space="preserve">, </w:t>
      </w:r>
      <w:r w:rsidRPr="005E3355">
        <w:rPr>
          <w:i/>
          <w:sz w:val="20"/>
          <w:szCs w:val="20"/>
        </w:rPr>
        <w:t xml:space="preserve">National Drug </w:t>
      </w:r>
      <w:r>
        <w:rPr>
          <w:i/>
          <w:sz w:val="20"/>
          <w:szCs w:val="20"/>
        </w:rPr>
        <w:t>T</w:t>
      </w:r>
      <w:r w:rsidRPr="005E3355">
        <w:rPr>
          <w:i/>
          <w:sz w:val="20"/>
          <w:szCs w:val="20"/>
        </w:rPr>
        <w:t>hreat Assessment Summary, 201</w:t>
      </w:r>
      <w:r>
        <w:rPr>
          <w:i/>
          <w:sz w:val="20"/>
          <w:szCs w:val="20"/>
        </w:rPr>
        <w:t>7</w:t>
      </w:r>
      <w:r w:rsidRPr="005E3355">
        <w:rPr>
          <w:i/>
          <w:sz w:val="20"/>
          <w:szCs w:val="20"/>
        </w:rPr>
        <w:t>.</w:t>
      </w:r>
      <w:r>
        <w:rPr>
          <w:i/>
          <w:sz w:val="20"/>
          <w:szCs w:val="20"/>
        </w:rPr>
        <w:t xml:space="preserve"> </w:t>
      </w:r>
      <w:r>
        <w:rPr>
          <w:sz w:val="20"/>
          <w:szCs w:val="20"/>
        </w:rPr>
        <w:t>October</w:t>
      </w:r>
      <w:r w:rsidRPr="005E3355">
        <w:rPr>
          <w:sz w:val="20"/>
          <w:szCs w:val="20"/>
        </w:rPr>
        <w:t xml:space="preserve"> 201</w:t>
      </w:r>
      <w:r>
        <w:rPr>
          <w:sz w:val="20"/>
          <w:szCs w:val="20"/>
        </w:rPr>
        <w:t>7</w:t>
      </w:r>
      <w:r w:rsidRPr="005E3355">
        <w:rPr>
          <w:sz w:val="20"/>
          <w:szCs w:val="20"/>
        </w:rPr>
        <w:t>.</w:t>
      </w:r>
    </w:p>
    <w:p w:rsidR="00A9742E" w:rsidRDefault="00A9742E" w:rsidP="00A9742E">
      <w:pPr>
        <w:ind w:left="1080"/>
        <w:rPr>
          <w:sz w:val="20"/>
          <w:szCs w:val="20"/>
        </w:rPr>
      </w:pPr>
      <w:r w:rsidRPr="005E3355">
        <w:rPr>
          <w:sz w:val="20"/>
          <w:szCs w:val="20"/>
        </w:rPr>
        <w:t>Note: Data is from the National Drug Threat Survey 2007 – 2011, 2013 – 201</w:t>
      </w:r>
      <w:r>
        <w:rPr>
          <w:sz w:val="20"/>
          <w:szCs w:val="20"/>
        </w:rPr>
        <w:t>7</w:t>
      </w:r>
      <w:r w:rsidRPr="005E3355">
        <w:rPr>
          <w:sz w:val="20"/>
          <w:szCs w:val="20"/>
        </w:rPr>
        <w:t xml:space="preserve">.  </w:t>
      </w:r>
    </w:p>
    <w:p w:rsidR="00A9742E" w:rsidRPr="005E3355" w:rsidRDefault="00A9742E" w:rsidP="00A9742E">
      <w:pPr>
        <w:ind w:left="1080"/>
        <w:rPr>
          <w:sz w:val="20"/>
          <w:szCs w:val="20"/>
        </w:rPr>
      </w:pPr>
      <w:r w:rsidRPr="005E3355">
        <w:rPr>
          <w:sz w:val="20"/>
          <w:szCs w:val="20"/>
        </w:rPr>
        <w:t>The National Drug Threat Survey was not administered in 2012.</w:t>
      </w:r>
    </w:p>
    <w:p w:rsidR="004A3C87" w:rsidRDefault="004A3C87" w:rsidP="00096E07"/>
    <w:p w:rsidR="00096E07" w:rsidRDefault="00096E07" w:rsidP="00096E07">
      <w:r>
        <w:t xml:space="preserve">A Department of Justice report details the overall drug threat to the New England (NE) High Intensity Drug Trafficking Area (HIDTA) region.  Two New England regions are identified as </w:t>
      </w:r>
      <w:r>
        <w:lastRenderedPageBreak/>
        <w:t>high intensity drug area hubs: Hartford, CT/Springfield, MA and Lowell/Lawrence MA.</w:t>
      </w:r>
      <w:r w:rsidRPr="0099472A">
        <w:rPr>
          <w:vertAlign w:val="superscript"/>
        </w:rPr>
        <w:footnoteReference w:id="48"/>
      </w:r>
      <w:r>
        <w:t xml:space="preserve">  Furthermore, Boston, Brockton, Cambridge, Lynn, Springfield, and Worcester (MA); are the largest Massachusetts cities in the HIDTA counties.  Boston – New England’s largest city – is primarily a “consumer drug market” receiving drugs from Lawrence, Lowell, and the New York City metropolitan area.  The area between Providence, RI and Fall River, MA is identified as a secondary distribution network that supplies illegal drugs to the Cape Cod area.  </w:t>
      </w:r>
    </w:p>
    <w:p w:rsidR="00096E07" w:rsidRDefault="00096E07" w:rsidP="00096E07"/>
    <w:p w:rsidR="00096E07" w:rsidRDefault="00096E07" w:rsidP="00096E07">
      <w:r>
        <w:t>As a consequence of the severe heroin problems in New England, in 2016, the Director of National Drug Control Policy added Bristol County to the HIDTA list; resulting in half of Massachusetts’s 14 counties with this designation.  Bristol now joins Essex, Hampden, Middlesex, Plymouth, Suffolk, and Worcester counties as “critical drug trafficking regions”.</w:t>
      </w:r>
      <w:r w:rsidRPr="0099472A">
        <w:rPr>
          <w:vertAlign w:val="superscript"/>
        </w:rPr>
        <w:footnoteReference w:id="49"/>
      </w:r>
      <w:r>
        <w:t xml:space="preserve">  The HIDTA designation means these counties receive federal resources to reduce drug use and overdose deaths, provide treatment services, and serve as a catalyst for coordinating resources among local, state, and federal law enforcement agencies. </w:t>
      </w:r>
    </w:p>
    <w:p w:rsidR="00096E07" w:rsidRDefault="00096E07" w:rsidP="00096E07"/>
    <w:p w:rsidR="00A9742E" w:rsidRDefault="00A9742E" w:rsidP="00A9742E">
      <w:r>
        <w:t xml:space="preserve">As displayed in Figure </w:t>
      </w:r>
      <w:r w:rsidR="00AB047D">
        <w:t>1</w:t>
      </w:r>
      <w:r>
        <w:t>5</w:t>
      </w:r>
      <w:r w:rsidR="00AB047D">
        <w:t xml:space="preserve"> below</w:t>
      </w:r>
      <w:r>
        <w:t>,</w:t>
      </w:r>
      <w:r w:rsidR="00AB047D">
        <w:t xml:space="preserve"> </w:t>
      </w:r>
      <w:r>
        <w:t xml:space="preserve">a high percentage of law enforcement officials responding to the 2017 National Drug Threat Survey report a high availability of heroin in the New England region (72%).  The percentage of responders acknowledging high heroin availability increased 68% between 2007 and 2015, remained static in 2016, and increased 7% in 2017.  Sixty-five percent (65%) of New England respondents stated heroin was the greatest drug threat compared to 44% nationally. </w:t>
      </w:r>
    </w:p>
    <w:p w:rsidR="00AB047D" w:rsidRDefault="00AB047D" w:rsidP="00A9742E"/>
    <w:p w:rsidR="00096E07" w:rsidRDefault="00A9742E" w:rsidP="00096E07">
      <w:pPr>
        <w:jc w:val="center"/>
      </w:pPr>
      <w:r>
        <w:rPr>
          <w:noProof/>
          <w:lang w:eastAsia="en-US"/>
        </w:rPr>
        <w:drawing>
          <wp:inline distT="0" distB="0" distL="0" distR="0" wp14:anchorId="06DE1AF4" wp14:editId="78353641">
            <wp:extent cx="4929809" cy="2014551"/>
            <wp:effectExtent l="0" t="0" r="4445" b="508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9742E" w:rsidRPr="005E3355" w:rsidRDefault="00A9742E" w:rsidP="00A9742E">
      <w:pPr>
        <w:ind w:left="720"/>
        <w:rPr>
          <w:sz w:val="20"/>
          <w:szCs w:val="20"/>
        </w:rPr>
      </w:pPr>
      <w:r w:rsidRPr="00707072">
        <w:rPr>
          <w:i/>
          <w:sz w:val="20"/>
          <w:szCs w:val="20"/>
        </w:rPr>
        <w:t xml:space="preserve">Figure </w:t>
      </w:r>
      <w:r w:rsidR="00AB047D">
        <w:rPr>
          <w:i/>
          <w:sz w:val="20"/>
          <w:szCs w:val="20"/>
        </w:rPr>
        <w:t>1</w:t>
      </w:r>
      <w:r>
        <w:rPr>
          <w:i/>
          <w:sz w:val="20"/>
          <w:szCs w:val="20"/>
        </w:rPr>
        <w:t>5</w:t>
      </w:r>
      <w:r w:rsidRPr="00707072">
        <w:rPr>
          <w:i/>
          <w:sz w:val="20"/>
          <w:szCs w:val="20"/>
        </w:rPr>
        <w:t>.</w:t>
      </w:r>
      <w:r w:rsidRPr="00A00814">
        <w:rPr>
          <w:sz w:val="20"/>
          <w:szCs w:val="20"/>
        </w:rPr>
        <w:t xml:space="preserve"> Source</w:t>
      </w:r>
      <w:r w:rsidRPr="007B7E95">
        <w:rPr>
          <w:sz w:val="20"/>
          <w:szCs w:val="20"/>
        </w:rPr>
        <w:t xml:space="preserve"> </w:t>
      </w:r>
      <w:r w:rsidR="004C1E46">
        <w:rPr>
          <w:sz w:val="20"/>
          <w:szCs w:val="20"/>
        </w:rPr>
        <w:t>DEA</w:t>
      </w:r>
      <w:r w:rsidRPr="005E3355">
        <w:rPr>
          <w:sz w:val="20"/>
          <w:szCs w:val="20"/>
        </w:rPr>
        <w:t xml:space="preserve">, </w:t>
      </w:r>
      <w:r w:rsidRPr="005E3355">
        <w:rPr>
          <w:i/>
          <w:sz w:val="20"/>
          <w:szCs w:val="20"/>
        </w:rPr>
        <w:t xml:space="preserve">National Drug </w:t>
      </w:r>
      <w:r>
        <w:rPr>
          <w:i/>
          <w:sz w:val="20"/>
          <w:szCs w:val="20"/>
        </w:rPr>
        <w:t>T</w:t>
      </w:r>
      <w:r w:rsidRPr="005E3355">
        <w:rPr>
          <w:i/>
          <w:sz w:val="20"/>
          <w:szCs w:val="20"/>
        </w:rPr>
        <w:t>hreat Assessment Summary, 201</w:t>
      </w:r>
      <w:r>
        <w:rPr>
          <w:i/>
          <w:sz w:val="20"/>
          <w:szCs w:val="20"/>
        </w:rPr>
        <w:t>7</w:t>
      </w:r>
      <w:r w:rsidRPr="005E3355">
        <w:rPr>
          <w:i/>
          <w:sz w:val="20"/>
          <w:szCs w:val="20"/>
        </w:rPr>
        <w:t>.</w:t>
      </w:r>
      <w:r>
        <w:rPr>
          <w:i/>
          <w:sz w:val="20"/>
          <w:szCs w:val="20"/>
        </w:rPr>
        <w:t xml:space="preserve"> </w:t>
      </w:r>
      <w:r>
        <w:rPr>
          <w:sz w:val="20"/>
          <w:szCs w:val="20"/>
        </w:rPr>
        <w:t>October</w:t>
      </w:r>
      <w:r w:rsidRPr="005E3355">
        <w:rPr>
          <w:sz w:val="20"/>
          <w:szCs w:val="20"/>
        </w:rPr>
        <w:t xml:space="preserve"> 201</w:t>
      </w:r>
      <w:r>
        <w:rPr>
          <w:sz w:val="20"/>
          <w:szCs w:val="20"/>
        </w:rPr>
        <w:t>7</w:t>
      </w:r>
      <w:r w:rsidRPr="005E3355">
        <w:rPr>
          <w:sz w:val="20"/>
          <w:szCs w:val="20"/>
        </w:rPr>
        <w:t>.</w:t>
      </w:r>
    </w:p>
    <w:p w:rsidR="00A9742E" w:rsidRDefault="00A9742E" w:rsidP="00A9742E">
      <w:pPr>
        <w:ind w:left="720"/>
        <w:rPr>
          <w:sz w:val="20"/>
          <w:szCs w:val="20"/>
        </w:rPr>
      </w:pPr>
      <w:r w:rsidRPr="00A00814">
        <w:rPr>
          <w:sz w:val="20"/>
          <w:szCs w:val="20"/>
        </w:rPr>
        <w:t>Note: Data is from the National Drug Threat Survey 2007 – 2011; 2013 – 201</w:t>
      </w:r>
      <w:r>
        <w:rPr>
          <w:sz w:val="20"/>
          <w:szCs w:val="20"/>
        </w:rPr>
        <w:t>7</w:t>
      </w:r>
      <w:r w:rsidRPr="00A00814">
        <w:rPr>
          <w:sz w:val="20"/>
          <w:szCs w:val="20"/>
        </w:rPr>
        <w:t xml:space="preserve">.  The National Drug </w:t>
      </w:r>
    </w:p>
    <w:p w:rsidR="00A9742E" w:rsidRPr="00A00814" w:rsidRDefault="00A9742E" w:rsidP="00A9742E">
      <w:pPr>
        <w:ind w:left="720"/>
        <w:rPr>
          <w:sz w:val="20"/>
          <w:szCs w:val="20"/>
        </w:rPr>
      </w:pPr>
      <w:r w:rsidRPr="00A00814">
        <w:rPr>
          <w:sz w:val="20"/>
          <w:szCs w:val="20"/>
        </w:rPr>
        <w:t>Threat Survey was not administered in 2012.</w:t>
      </w:r>
    </w:p>
    <w:p w:rsidR="00096E07" w:rsidRDefault="00096E07" w:rsidP="002D780F">
      <w:pPr>
        <w:pStyle w:val="NoSpacing"/>
      </w:pPr>
    </w:p>
    <w:p w:rsidR="00AB047D" w:rsidRDefault="00AB047D">
      <w:pPr>
        <w:spacing w:after="200" w:line="276" w:lineRule="auto"/>
      </w:pPr>
      <w:r>
        <w:br w:type="page"/>
      </w:r>
    </w:p>
    <w:p w:rsidR="00096E07" w:rsidRPr="009E32B6" w:rsidRDefault="00096E07" w:rsidP="00096E07">
      <w:pPr>
        <w:rPr>
          <w:smallCaps/>
          <w:sz w:val="26"/>
          <w:szCs w:val="26"/>
          <w:u w:val="single"/>
        </w:rPr>
      </w:pPr>
      <w:r w:rsidRPr="009E32B6">
        <w:rPr>
          <w:smallCaps/>
          <w:sz w:val="26"/>
          <w:szCs w:val="26"/>
          <w:u w:val="single"/>
        </w:rPr>
        <w:lastRenderedPageBreak/>
        <w:t>Heroin and Opioid-Related Deaths in Massachusetts</w:t>
      </w:r>
    </w:p>
    <w:p w:rsidR="00096E07" w:rsidRDefault="00096E07" w:rsidP="00096E07"/>
    <w:p w:rsidR="001D155D" w:rsidRDefault="001D155D" w:rsidP="001D155D">
      <w:r>
        <w:t xml:space="preserve">The high heroin and opioid availability continues to impact the Commonwealth of Massachusetts as evidenced by an </w:t>
      </w:r>
      <w:r w:rsidRPr="009A1D21">
        <w:t>exponential increase</w:t>
      </w:r>
      <w:r w:rsidRPr="00471AFE">
        <w:t xml:space="preserve"> </w:t>
      </w:r>
      <w:r w:rsidRPr="009A1D21">
        <w:t>in the</w:t>
      </w:r>
      <w:r w:rsidRPr="00471AFE">
        <w:t xml:space="preserve"> </w:t>
      </w:r>
      <w:r>
        <w:t xml:space="preserve">number of heroin and opioid deaths in recent years.  </w:t>
      </w:r>
      <w:r w:rsidRPr="00C92974">
        <w:t>In 201</w:t>
      </w:r>
      <w:r>
        <w:t>7</w:t>
      </w:r>
      <w:r w:rsidRPr="00C92974">
        <w:t xml:space="preserve">, the state’s count of opioid-related deaths was </w:t>
      </w:r>
      <w:r>
        <w:t>2,016,</w:t>
      </w:r>
      <w:r w:rsidRPr="00C92974">
        <w:t xml:space="preserve"> of which 1,</w:t>
      </w:r>
      <w:r>
        <w:t>874</w:t>
      </w:r>
      <w:r w:rsidRPr="00C92974">
        <w:t xml:space="preserve"> have been confirmed</w:t>
      </w:r>
      <w:r>
        <w:t xml:space="preserve"> (Figure </w:t>
      </w:r>
      <w:r w:rsidR="00AB047D">
        <w:t>1</w:t>
      </w:r>
      <w:r>
        <w:t>6)</w:t>
      </w:r>
      <w:r w:rsidRPr="00C92974">
        <w:t>.  A confirmed death is one in which the state medical examiner has certified a cause</w:t>
      </w:r>
      <w:r>
        <w:t xml:space="preserve"> of death</w:t>
      </w:r>
      <w:r w:rsidRPr="00C92974">
        <w:t xml:space="preserve">.  </w:t>
      </w:r>
    </w:p>
    <w:p w:rsidR="00096E07" w:rsidRDefault="00096E07" w:rsidP="00096E07"/>
    <w:p w:rsidR="00096E07" w:rsidRDefault="00261463" w:rsidP="00096E07">
      <w:pPr>
        <w:jc w:val="center"/>
      </w:pPr>
      <w:r>
        <w:rPr>
          <w:noProof/>
          <w:lang w:eastAsia="en-US"/>
        </w:rPr>
        <w:drawing>
          <wp:inline distT="0" distB="0" distL="0" distR="0" wp14:anchorId="217F1AFF" wp14:editId="519A02B9">
            <wp:extent cx="4730750" cy="1932167"/>
            <wp:effectExtent l="0" t="0" r="12700"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D155D" w:rsidRDefault="001D155D" w:rsidP="001D155D">
      <w:pPr>
        <w:ind w:left="810"/>
        <w:rPr>
          <w:sz w:val="20"/>
          <w:szCs w:val="20"/>
        </w:rPr>
      </w:pPr>
      <w:r w:rsidRPr="00BA180D">
        <w:rPr>
          <w:i/>
          <w:sz w:val="20"/>
          <w:szCs w:val="20"/>
        </w:rPr>
        <w:t xml:space="preserve">Figure </w:t>
      </w:r>
      <w:r w:rsidR="00AB047D">
        <w:rPr>
          <w:i/>
          <w:sz w:val="20"/>
          <w:szCs w:val="20"/>
        </w:rPr>
        <w:t>1</w:t>
      </w:r>
      <w:r>
        <w:rPr>
          <w:i/>
          <w:sz w:val="20"/>
          <w:szCs w:val="20"/>
        </w:rPr>
        <w:t>6</w:t>
      </w:r>
      <w:r w:rsidRPr="00BA180D">
        <w:rPr>
          <w:i/>
          <w:sz w:val="20"/>
          <w:szCs w:val="20"/>
        </w:rPr>
        <w:t>.</w:t>
      </w:r>
      <w:r w:rsidRPr="00AF28CC">
        <w:rPr>
          <w:sz w:val="20"/>
          <w:szCs w:val="20"/>
        </w:rPr>
        <w:t xml:space="preserve"> Source: Massachusetts Department of Public Health, Office of Data Management and </w:t>
      </w:r>
    </w:p>
    <w:p w:rsidR="001D155D" w:rsidRDefault="001D155D" w:rsidP="001D155D">
      <w:pPr>
        <w:ind w:left="810"/>
        <w:rPr>
          <w:sz w:val="20"/>
          <w:szCs w:val="20"/>
        </w:rPr>
      </w:pPr>
      <w:r w:rsidRPr="00AF28CC">
        <w:rPr>
          <w:sz w:val="20"/>
          <w:szCs w:val="20"/>
        </w:rPr>
        <w:t xml:space="preserve">Outcomes Assessment, </w:t>
      </w:r>
      <w:r w:rsidRPr="00AF28CC">
        <w:rPr>
          <w:i/>
          <w:sz w:val="20"/>
          <w:szCs w:val="20"/>
        </w:rPr>
        <w:t>Data Brief: Opioid-related Overdose Deaths among Massachusetts Residents,</w:t>
      </w:r>
      <w:r w:rsidRPr="00AF28CC">
        <w:rPr>
          <w:sz w:val="20"/>
          <w:szCs w:val="20"/>
        </w:rPr>
        <w:t xml:space="preserve"> </w:t>
      </w:r>
      <w:r>
        <w:rPr>
          <w:sz w:val="20"/>
          <w:szCs w:val="20"/>
        </w:rPr>
        <w:t>Posted: May</w:t>
      </w:r>
      <w:r w:rsidRPr="00AF28CC">
        <w:rPr>
          <w:sz w:val="20"/>
          <w:szCs w:val="20"/>
        </w:rPr>
        <w:t xml:space="preserve"> 201</w:t>
      </w:r>
      <w:r>
        <w:rPr>
          <w:sz w:val="20"/>
          <w:szCs w:val="20"/>
        </w:rPr>
        <w:t>8</w:t>
      </w:r>
      <w:r w:rsidRPr="00AF28CC">
        <w:rPr>
          <w:sz w:val="20"/>
          <w:szCs w:val="20"/>
        </w:rPr>
        <w:t>.</w:t>
      </w:r>
      <w:r>
        <w:rPr>
          <w:sz w:val="20"/>
          <w:szCs w:val="20"/>
        </w:rPr>
        <w:t xml:space="preserve"> Accessed on May 23, 2018. </w:t>
      </w:r>
      <w:hyperlink r:id="rId25" w:history="1">
        <w:r w:rsidRPr="00172062">
          <w:rPr>
            <w:rStyle w:val="Hyperlink"/>
            <w:sz w:val="20"/>
            <w:szCs w:val="20"/>
          </w:rPr>
          <w:t>https://www.mass.gov/files/documents/2018/05/22/Opioid-related%20Overdose%20Deaths%20among%20MA%20Residents%20-%20May%202018.pdf</w:t>
        </w:r>
      </w:hyperlink>
    </w:p>
    <w:p w:rsidR="001D155D" w:rsidRDefault="001D155D" w:rsidP="001D155D">
      <w:pPr>
        <w:ind w:left="810"/>
        <w:rPr>
          <w:rFonts w:eastAsia="Times New Roman"/>
          <w:sz w:val="20"/>
          <w:szCs w:val="20"/>
          <w:lang w:eastAsia="en-US"/>
        </w:rPr>
      </w:pPr>
      <w:r w:rsidRPr="00DB058F">
        <w:rPr>
          <w:rFonts w:eastAsia="Times New Roman"/>
          <w:sz w:val="20"/>
          <w:szCs w:val="20"/>
          <w:vertAlign w:val="superscript"/>
          <w:lang w:eastAsia="en-US"/>
        </w:rPr>
        <w:t>1</w:t>
      </w:r>
      <w:r w:rsidRPr="00AF28CC">
        <w:rPr>
          <w:rFonts w:eastAsia="Times New Roman"/>
          <w:sz w:val="20"/>
          <w:szCs w:val="20"/>
          <w:lang w:eastAsia="en-US"/>
        </w:rPr>
        <w:t xml:space="preserve">Opioids include heroin, opioid-based prescription painkillers, and other unspecified opioids. </w:t>
      </w:r>
    </w:p>
    <w:p w:rsidR="001D155D" w:rsidRDefault="001D155D" w:rsidP="001D155D">
      <w:pPr>
        <w:ind w:left="810"/>
        <w:rPr>
          <w:rFonts w:eastAsia="Times New Roman"/>
          <w:sz w:val="20"/>
          <w:szCs w:val="20"/>
          <w:lang w:eastAsia="en-US"/>
        </w:rPr>
      </w:pPr>
      <w:r w:rsidRPr="00DB058F">
        <w:rPr>
          <w:rFonts w:eastAsia="Times New Roman"/>
          <w:sz w:val="20"/>
          <w:szCs w:val="20"/>
          <w:vertAlign w:val="superscript"/>
          <w:lang w:eastAsia="en-US"/>
        </w:rPr>
        <w:t>2</w:t>
      </w:r>
      <w:r>
        <w:rPr>
          <w:rFonts w:eastAsia="Times New Roman"/>
          <w:sz w:val="20"/>
          <w:szCs w:val="20"/>
          <w:lang w:eastAsia="en-US"/>
        </w:rPr>
        <w:t>The data contains both confirmed and estimated data through December 2016.</w:t>
      </w:r>
    </w:p>
    <w:p w:rsidR="00096E07" w:rsidRPr="00AF28CC" w:rsidRDefault="00096E07" w:rsidP="00096E07">
      <w:pPr>
        <w:ind w:left="810"/>
        <w:rPr>
          <w:rFonts w:eastAsia="Times New Roman"/>
          <w:sz w:val="20"/>
          <w:szCs w:val="20"/>
          <w:lang w:eastAsia="en-US"/>
        </w:rPr>
      </w:pPr>
    </w:p>
    <w:p w:rsidR="001D155D" w:rsidRDefault="001D155D" w:rsidP="001D155D">
      <w:r w:rsidRPr="00E70EDD">
        <w:t>In 201</w:t>
      </w:r>
      <w:r>
        <w:t>7</w:t>
      </w:r>
      <w:r w:rsidRPr="00E70EDD">
        <w:t>, the estimated rate of unintentional opioid-related overdose deaths was 2</w:t>
      </w:r>
      <w:r>
        <w:t>9</w:t>
      </w:r>
      <w:r w:rsidRPr="00E70EDD">
        <w:t>.</w:t>
      </w:r>
      <w:r>
        <w:t>6</w:t>
      </w:r>
      <w:r w:rsidRPr="00E70EDD">
        <w:t xml:space="preserve"> deaths per 100,000 residents. This represents a </w:t>
      </w:r>
      <w:r>
        <w:t>6</w:t>
      </w:r>
      <w:r w:rsidRPr="00E70EDD">
        <w:t xml:space="preserve">% </w:t>
      </w:r>
      <w:r>
        <w:t xml:space="preserve">drop from the rate of 31.6 deaths per 100,000 residents (Figure </w:t>
      </w:r>
      <w:r w:rsidR="00940D7E">
        <w:t>1</w:t>
      </w:r>
      <w:r>
        <w:t>7).  This is the first decline since 2010.  Despite this recent decline, there was a 393% growth from the rate of 6.0 deaths per 100,000 residents in 2000, to 29.6 deaths per 100,000 residents in 2017</w:t>
      </w:r>
      <w:r w:rsidRPr="00E70EDD">
        <w:t>.</w:t>
      </w:r>
      <w:r>
        <w:t xml:space="preserve">  </w:t>
      </w:r>
    </w:p>
    <w:p w:rsidR="00096E07" w:rsidRDefault="00096E07" w:rsidP="00096E07"/>
    <w:p w:rsidR="00096E07" w:rsidRDefault="001D155D" w:rsidP="00096E07">
      <w:pPr>
        <w:jc w:val="center"/>
      </w:pPr>
      <w:r>
        <w:rPr>
          <w:noProof/>
          <w:lang w:eastAsia="en-US"/>
        </w:rPr>
        <w:drawing>
          <wp:inline distT="0" distB="0" distL="0" distR="0" wp14:anchorId="1F4EF5ED" wp14:editId="4A1DB018">
            <wp:extent cx="5565913" cy="2027362"/>
            <wp:effectExtent l="0" t="0" r="15875" b="1143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D155D" w:rsidRDefault="001D155D" w:rsidP="001D155D">
      <w:pPr>
        <w:ind w:left="270" w:right="-360"/>
        <w:rPr>
          <w:sz w:val="20"/>
          <w:szCs w:val="20"/>
        </w:rPr>
      </w:pPr>
      <w:r w:rsidRPr="00AB03F8">
        <w:rPr>
          <w:i/>
          <w:sz w:val="20"/>
          <w:szCs w:val="20"/>
        </w:rPr>
        <w:t xml:space="preserve">Figure </w:t>
      </w:r>
      <w:r w:rsidR="00940D7E">
        <w:rPr>
          <w:i/>
          <w:sz w:val="20"/>
          <w:szCs w:val="20"/>
        </w:rPr>
        <w:t>1</w:t>
      </w:r>
      <w:r>
        <w:rPr>
          <w:i/>
          <w:sz w:val="20"/>
          <w:szCs w:val="20"/>
        </w:rPr>
        <w:t>7</w:t>
      </w:r>
      <w:r w:rsidRPr="00AF28CC">
        <w:rPr>
          <w:sz w:val="20"/>
          <w:szCs w:val="20"/>
        </w:rPr>
        <w:t xml:space="preserve">. Source: Massachusetts Department of Public Health, Office of Data Management and Outcomes Assessment, </w:t>
      </w:r>
      <w:r w:rsidRPr="00AF28CC">
        <w:rPr>
          <w:i/>
          <w:sz w:val="20"/>
          <w:szCs w:val="20"/>
        </w:rPr>
        <w:t>Data Brief: Opioid-</w:t>
      </w:r>
      <w:r>
        <w:rPr>
          <w:i/>
          <w:sz w:val="20"/>
          <w:szCs w:val="20"/>
        </w:rPr>
        <w:t>R</w:t>
      </w:r>
      <w:r w:rsidRPr="00AF28CC">
        <w:rPr>
          <w:i/>
          <w:sz w:val="20"/>
          <w:szCs w:val="20"/>
        </w:rPr>
        <w:t>elated Overdose Deaths among Massachusetts Residents,</w:t>
      </w:r>
      <w:r w:rsidRPr="00AF28CC">
        <w:rPr>
          <w:sz w:val="20"/>
          <w:szCs w:val="20"/>
        </w:rPr>
        <w:t xml:space="preserve"> </w:t>
      </w:r>
      <w:r>
        <w:rPr>
          <w:sz w:val="20"/>
          <w:szCs w:val="20"/>
        </w:rPr>
        <w:t>Posted: May</w:t>
      </w:r>
      <w:r w:rsidRPr="00AF28CC">
        <w:rPr>
          <w:sz w:val="20"/>
          <w:szCs w:val="20"/>
        </w:rPr>
        <w:t xml:space="preserve"> 201</w:t>
      </w:r>
      <w:r>
        <w:rPr>
          <w:sz w:val="20"/>
          <w:szCs w:val="20"/>
        </w:rPr>
        <w:t>8</w:t>
      </w:r>
      <w:r w:rsidRPr="00AF28CC">
        <w:rPr>
          <w:sz w:val="20"/>
          <w:szCs w:val="20"/>
        </w:rPr>
        <w:t>.</w:t>
      </w:r>
      <w:r>
        <w:rPr>
          <w:sz w:val="20"/>
          <w:szCs w:val="20"/>
        </w:rPr>
        <w:t xml:space="preserve"> </w:t>
      </w:r>
    </w:p>
    <w:p w:rsidR="001D155D" w:rsidRDefault="001D155D" w:rsidP="001D155D">
      <w:pPr>
        <w:ind w:left="270"/>
        <w:rPr>
          <w:rFonts w:eastAsia="Times New Roman"/>
          <w:sz w:val="20"/>
          <w:szCs w:val="20"/>
          <w:lang w:eastAsia="en-US"/>
        </w:rPr>
      </w:pPr>
      <w:r w:rsidRPr="00AF28CC">
        <w:rPr>
          <w:rFonts w:eastAsia="Times New Roman"/>
          <w:sz w:val="20"/>
          <w:szCs w:val="20"/>
          <w:vertAlign w:val="superscript"/>
          <w:lang w:eastAsia="en-US"/>
        </w:rPr>
        <w:t>1</w:t>
      </w:r>
      <w:r w:rsidRPr="00AF28CC">
        <w:rPr>
          <w:rFonts w:eastAsia="Times New Roman"/>
          <w:sz w:val="20"/>
          <w:szCs w:val="20"/>
          <w:lang w:eastAsia="en-US"/>
        </w:rPr>
        <w:t xml:space="preserve">Opioids include heroin, opioid-based prescription painkillers, and other unspecified opioids. </w:t>
      </w:r>
    </w:p>
    <w:p w:rsidR="00432B4C" w:rsidRDefault="00432B4C" w:rsidP="005C18C3"/>
    <w:p w:rsidR="005C18C3" w:rsidRDefault="005C18C3" w:rsidP="005C18C3">
      <w:r>
        <w:t xml:space="preserve">Tables </w:t>
      </w:r>
      <w:r w:rsidR="00432B4C">
        <w:t>11</w:t>
      </w:r>
      <w:r>
        <w:t xml:space="preserve"> through </w:t>
      </w:r>
      <w:r w:rsidR="00432B4C">
        <w:t>13</w:t>
      </w:r>
      <w:r>
        <w:t xml:space="preserve"> display demographic data from confirmed opioid-related overdose deaths from January 2017 to December 2017.</w:t>
      </w:r>
      <w:r>
        <w:rPr>
          <w:rStyle w:val="FootnoteReference"/>
        </w:rPr>
        <w:footnoteReference w:id="50"/>
      </w:r>
      <w:r>
        <w:t xml:space="preserve">  Three-quarters (76%) of persons who died from confirmed, opioid-related deaths were male (Table </w:t>
      </w:r>
      <w:r w:rsidR="00432B4C">
        <w:t>11</w:t>
      </w:r>
      <w:r>
        <w:t>).</w:t>
      </w:r>
    </w:p>
    <w:p w:rsidR="00096E07" w:rsidRDefault="00096E07" w:rsidP="00096E07"/>
    <w:tbl>
      <w:tblPr>
        <w:tblStyle w:val="LightShading-Accent1"/>
        <w:tblW w:w="0" w:type="auto"/>
        <w:jc w:val="center"/>
        <w:tblLook w:val="04A0" w:firstRow="1" w:lastRow="0" w:firstColumn="1" w:lastColumn="0" w:noHBand="0" w:noVBand="1"/>
      </w:tblPr>
      <w:tblGrid>
        <w:gridCol w:w="2469"/>
        <w:gridCol w:w="3470"/>
        <w:gridCol w:w="1904"/>
      </w:tblGrid>
      <w:tr w:rsidR="005C18C3" w:rsidRPr="000E146E" w:rsidTr="002474FA">
        <w:trPr>
          <w:cnfStyle w:val="100000000000" w:firstRow="1" w:lastRow="0" w:firstColumn="0" w:lastColumn="0" w:oddVBand="0" w:evenVBand="0" w:oddHBand="0" w:evenHBand="0" w:firstRowFirstColumn="0" w:firstRowLastColumn="0" w:lastRowFirstColumn="0" w:lastRowLastColumn="0"/>
          <w:trHeight w:val="538"/>
          <w:jc w:val="center"/>
        </w:trPr>
        <w:tc>
          <w:tcPr>
            <w:cnfStyle w:val="001000000000" w:firstRow="0" w:lastRow="0" w:firstColumn="1" w:lastColumn="0" w:oddVBand="0" w:evenVBand="0" w:oddHBand="0" w:evenHBand="0" w:firstRowFirstColumn="0" w:firstRowLastColumn="0" w:lastRowFirstColumn="0" w:lastRowLastColumn="0"/>
            <w:tcW w:w="7843" w:type="dxa"/>
            <w:gridSpan w:val="3"/>
          </w:tcPr>
          <w:p w:rsidR="005C18C3" w:rsidRPr="00AD16E1" w:rsidRDefault="005C18C3" w:rsidP="00432B4C">
            <w:pPr>
              <w:pStyle w:val="NoSpacing"/>
              <w:ind w:left="-423"/>
              <w:jc w:val="center"/>
              <w:rPr>
                <w:smallCaps/>
                <w:sz w:val="22"/>
                <w:szCs w:val="22"/>
              </w:rPr>
            </w:pPr>
            <w:r w:rsidRPr="00AD16E1">
              <w:rPr>
                <w:smallCaps/>
                <w:sz w:val="22"/>
                <w:szCs w:val="22"/>
              </w:rPr>
              <w:t xml:space="preserve">Table </w:t>
            </w:r>
            <w:r w:rsidR="00432B4C">
              <w:rPr>
                <w:smallCaps/>
                <w:sz w:val="22"/>
                <w:szCs w:val="22"/>
              </w:rPr>
              <w:t>11</w:t>
            </w:r>
            <w:r w:rsidRPr="00AD16E1">
              <w:rPr>
                <w:smallCaps/>
                <w:sz w:val="22"/>
                <w:szCs w:val="22"/>
              </w:rPr>
              <w:t>. Confirmed Opioid</w:t>
            </w:r>
            <w:r w:rsidRPr="00AD16E1">
              <w:rPr>
                <w:smallCaps/>
                <w:sz w:val="22"/>
                <w:szCs w:val="22"/>
                <w:vertAlign w:val="superscript"/>
              </w:rPr>
              <w:t>1</w:t>
            </w:r>
            <w:r w:rsidRPr="00AD16E1">
              <w:rPr>
                <w:smallCaps/>
                <w:sz w:val="22"/>
                <w:szCs w:val="22"/>
              </w:rPr>
              <w:t>-related Deaths, All Intents, by Gender</w:t>
            </w:r>
            <w:r>
              <w:rPr>
                <w:smallCaps/>
                <w:sz w:val="22"/>
                <w:szCs w:val="22"/>
              </w:rPr>
              <w:t xml:space="preserve">: </w:t>
            </w:r>
            <w:r w:rsidRPr="00AD16E1">
              <w:rPr>
                <w:smallCaps/>
                <w:sz w:val="22"/>
                <w:szCs w:val="22"/>
              </w:rPr>
              <w:t>January 2017 – December 2017</w:t>
            </w:r>
          </w:p>
        </w:tc>
      </w:tr>
      <w:tr w:rsidR="005C18C3" w:rsidRPr="000E146E" w:rsidTr="002474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69" w:type="dxa"/>
          </w:tcPr>
          <w:p w:rsidR="005C18C3" w:rsidRPr="0019334B" w:rsidRDefault="005C18C3" w:rsidP="002474FA">
            <w:pPr>
              <w:rPr>
                <w:sz w:val="22"/>
                <w:szCs w:val="22"/>
              </w:rPr>
            </w:pPr>
            <w:r w:rsidRPr="0019334B">
              <w:rPr>
                <w:sz w:val="22"/>
                <w:szCs w:val="22"/>
              </w:rPr>
              <w:t>Gender</w:t>
            </w:r>
          </w:p>
        </w:tc>
        <w:tc>
          <w:tcPr>
            <w:tcW w:w="3470" w:type="dxa"/>
          </w:tcPr>
          <w:p w:rsidR="005C18C3" w:rsidRPr="000E146E" w:rsidRDefault="005C18C3" w:rsidP="002474FA">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0E146E">
              <w:rPr>
                <w:b/>
                <w:sz w:val="22"/>
                <w:szCs w:val="22"/>
              </w:rPr>
              <w:t>Number</w:t>
            </w:r>
          </w:p>
        </w:tc>
        <w:tc>
          <w:tcPr>
            <w:tcW w:w="1904" w:type="dxa"/>
          </w:tcPr>
          <w:p w:rsidR="005C18C3" w:rsidRPr="000E146E" w:rsidRDefault="005C18C3" w:rsidP="002474FA">
            <w:pPr>
              <w:jc w:val="center"/>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Percent</w:t>
            </w:r>
          </w:p>
        </w:tc>
      </w:tr>
      <w:tr w:rsidR="005C18C3" w:rsidRPr="000E146E" w:rsidTr="002474FA">
        <w:trPr>
          <w:jc w:val="center"/>
        </w:trPr>
        <w:tc>
          <w:tcPr>
            <w:cnfStyle w:val="001000000000" w:firstRow="0" w:lastRow="0" w:firstColumn="1" w:lastColumn="0" w:oddVBand="0" w:evenVBand="0" w:oddHBand="0" w:evenHBand="0" w:firstRowFirstColumn="0" w:firstRowLastColumn="0" w:lastRowFirstColumn="0" w:lastRowLastColumn="0"/>
            <w:tcW w:w="2469" w:type="dxa"/>
          </w:tcPr>
          <w:p w:rsidR="005C18C3" w:rsidRPr="0019334B" w:rsidRDefault="005C18C3" w:rsidP="002474FA">
            <w:pPr>
              <w:rPr>
                <w:b w:val="0"/>
                <w:sz w:val="22"/>
                <w:szCs w:val="22"/>
              </w:rPr>
            </w:pPr>
            <w:r w:rsidRPr="0019334B">
              <w:rPr>
                <w:b w:val="0"/>
                <w:sz w:val="22"/>
                <w:szCs w:val="22"/>
              </w:rPr>
              <w:t>Male</w:t>
            </w:r>
          </w:p>
        </w:tc>
        <w:tc>
          <w:tcPr>
            <w:tcW w:w="3470" w:type="dxa"/>
          </w:tcPr>
          <w:p w:rsidR="005C18C3" w:rsidRPr="000E146E" w:rsidRDefault="005C18C3" w:rsidP="002474FA">
            <w:pPr>
              <w:jc w:val="center"/>
              <w:cnfStyle w:val="000000000000" w:firstRow="0" w:lastRow="0" w:firstColumn="0" w:lastColumn="0" w:oddVBand="0" w:evenVBand="0" w:oddHBand="0" w:evenHBand="0" w:firstRowFirstColumn="0" w:firstRowLastColumn="0" w:lastRowFirstColumn="0" w:lastRowLastColumn="0"/>
              <w:rPr>
                <w:sz w:val="22"/>
                <w:szCs w:val="22"/>
              </w:rPr>
            </w:pPr>
            <w:r w:rsidRPr="000E146E">
              <w:rPr>
                <w:sz w:val="22"/>
                <w:szCs w:val="22"/>
              </w:rPr>
              <w:t>1,</w:t>
            </w:r>
            <w:r>
              <w:rPr>
                <w:sz w:val="22"/>
                <w:szCs w:val="22"/>
              </w:rPr>
              <w:t>432</w:t>
            </w:r>
          </w:p>
        </w:tc>
        <w:tc>
          <w:tcPr>
            <w:tcW w:w="1904" w:type="dxa"/>
          </w:tcPr>
          <w:p w:rsidR="005C18C3" w:rsidRPr="000E146E" w:rsidRDefault="005C18C3" w:rsidP="002474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76%</w:t>
            </w:r>
          </w:p>
        </w:tc>
      </w:tr>
      <w:tr w:rsidR="005C18C3" w:rsidRPr="000E146E" w:rsidTr="002474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69" w:type="dxa"/>
          </w:tcPr>
          <w:p w:rsidR="005C18C3" w:rsidRPr="0019334B" w:rsidRDefault="005C18C3" w:rsidP="002474FA">
            <w:pPr>
              <w:rPr>
                <w:b w:val="0"/>
                <w:sz w:val="22"/>
                <w:szCs w:val="22"/>
              </w:rPr>
            </w:pPr>
            <w:r w:rsidRPr="0019334B">
              <w:rPr>
                <w:b w:val="0"/>
                <w:sz w:val="22"/>
                <w:szCs w:val="22"/>
              </w:rPr>
              <w:t>Female</w:t>
            </w:r>
          </w:p>
        </w:tc>
        <w:tc>
          <w:tcPr>
            <w:tcW w:w="3470" w:type="dxa"/>
          </w:tcPr>
          <w:p w:rsidR="005C18C3" w:rsidRPr="000E146E" w:rsidRDefault="005C18C3" w:rsidP="002474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442</w:t>
            </w:r>
          </w:p>
        </w:tc>
        <w:tc>
          <w:tcPr>
            <w:tcW w:w="1904" w:type="dxa"/>
          </w:tcPr>
          <w:p w:rsidR="005C18C3" w:rsidRPr="000E146E" w:rsidRDefault="005C18C3" w:rsidP="002474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24%</w:t>
            </w:r>
          </w:p>
        </w:tc>
      </w:tr>
      <w:tr w:rsidR="005C18C3" w:rsidRPr="000E146E" w:rsidTr="002474FA">
        <w:trPr>
          <w:jc w:val="center"/>
        </w:trPr>
        <w:tc>
          <w:tcPr>
            <w:cnfStyle w:val="001000000000" w:firstRow="0" w:lastRow="0" w:firstColumn="1" w:lastColumn="0" w:oddVBand="0" w:evenVBand="0" w:oddHBand="0" w:evenHBand="0" w:firstRowFirstColumn="0" w:firstRowLastColumn="0" w:lastRowFirstColumn="0" w:lastRowLastColumn="0"/>
            <w:tcW w:w="2469" w:type="dxa"/>
          </w:tcPr>
          <w:p w:rsidR="005C18C3" w:rsidRPr="000E146E" w:rsidRDefault="005C18C3" w:rsidP="002474FA">
            <w:pPr>
              <w:tabs>
                <w:tab w:val="left" w:pos="1288"/>
              </w:tabs>
              <w:rPr>
                <w:sz w:val="22"/>
                <w:szCs w:val="22"/>
              </w:rPr>
            </w:pPr>
            <w:r w:rsidRPr="000E146E">
              <w:rPr>
                <w:sz w:val="22"/>
                <w:szCs w:val="22"/>
              </w:rPr>
              <w:t xml:space="preserve">Total </w:t>
            </w:r>
          </w:p>
        </w:tc>
        <w:tc>
          <w:tcPr>
            <w:tcW w:w="3470" w:type="dxa"/>
          </w:tcPr>
          <w:p w:rsidR="005C18C3" w:rsidRPr="000E146E" w:rsidRDefault="005C18C3" w:rsidP="002474FA">
            <w:pPr>
              <w:jc w:val="center"/>
              <w:cnfStyle w:val="000000000000" w:firstRow="0" w:lastRow="0" w:firstColumn="0" w:lastColumn="0" w:oddVBand="0" w:evenVBand="0" w:oddHBand="0" w:evenHBand="0" w:firstRowFirstColumn="0" w:firstRowLastColumn="0" w:lastRowFirstColumn="0" w:lastRowLastColumn="0"/>
              <w:rPr>
                <w:b/>
                <w:sz w:val="22"/>
                <w:szCs w:val="22"/>
              </w:rPr>
            </w:pPr>
            <w:r w:rsidRPr="000E146E">
              <w:rPr>
                <w:b/>
                <w:sz w:val="22"/>
                <w:szCs w:val="22"/>
              </w:rPr>
              <w:t>1,</w:t>
            </w:r>
            <w:r>
              <w:rPr>
                <w:b/>
                <w:sz w:val="22"/>
                <w:szCs w:val="22"/>
              </w:rPr>
              <w:t>874</w:t>
            </w:r>
          </w:p>
        </w:tc>
        <w:tc>
          <w:tcPr>
            <w:tcW w:w="1904" w:type="dxa"/>
          </w:tcPr>
          <w:p w:rsidR="005C18C3" w:rsidRPr="000E146E" w:rsidRDefault="005C18C3" w:rsidP="002474FA">
            <w:pPr>
              <w:jc w:val="center"/>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100%</w:t>
            </w:r>
          </w:p>
        </w:tc>
      </w:tr>
    </w:tbl>
    <w:p w:rsidR="005C18C3" w:rsidRDefault="005C18C3" w:rsidP="005C18C3">
      <w:pPr>
        <w:ind w:left="720"/>
        <w:rPr>
          <w:sz w:val="20"/>
          <w:szCs w:val="20"/>
        </w:rPr>
      </w:pPr>
      <w:r w:rsidRPr="00AF28CC">
        <w:rPr>
          <w:sz w:val="20"/>
          <w:szCs w:val="20"/>
        </w:rPr>
        <w:t xml:space="preserve">Source: Massachusetts Department of Public Health, </w:t>
      </w:r>
      <w:r>
        <w:rPr>
          <w:sz w:val="20"/>
          <w:szCs w:val="20"/>
        </w:rPr>
        <w:t>Registry of Vital Records and Statistics</w:t>
      </w:r>
      <w:r w:rsidRPr="00AF28CC">
        <w:rPr>
          <w:sz w:val="20"/>
          <w:szCs w:val="20"/>
        </w:rPr>
        <w:t xml:space="preserve">, </w:t>
      </w:r>
      <w:r w:rsidRPr="00AF28CC">
        <w:rPr>
          <w:i/>
          <w:sz w:val="20"/>
          <w:szCs w:val="20"/>
        </w:rPr>
        <w:t>Data Brief: Opioid-</w:t>
      </w:r>
      <w:r>
        <w:rPr>
          <w:i/>
          <w:sz w:val="20"/>
          <w:szCs w:val="20"/>
        </w:rPr>
        <w:t>Related Overdose Deaths, All Intents, Massachusetts Residents, Demographic Data Highlights,</w:t>
      </w:r>
      <w:r w:rsidRPr="00AF28CC">
        <w:rPr>
          <w:sz w:val="20"/>
          <w:szCs w:val="20"/>
        </w:rPr>
        <w:t xml:space="preserve"> </w:t>
      </w:r>
      <w:r>
        <w:rPr>
          <w:sz w:val="20"/>
          <w:szCs w:val="20"/>
        </w:rPr>
        <w:t>Posted: May</w:t>
      </w:r>
      <w:r w:rsidRPr="00AF28CC">
        <w:rPr>
          <w:sz w:val="20"/>
          <w:szCs w:val="20"/>
        </w:rPr>
        <w:t xml:space="preserve"> 201</w:t>
      </w:r>
      <w:r>
        <w:rPr>
          <w:sz w:val="20"/>
          <w:szCs w:val="20"/>
        </w:rPr>
        <w:t>8</w:t>
      </w:r>
      <w:r w:rsidRPr="00AF28CC">
        <w:rPr>
          <w:sz w:val="20"/>
          <w:szCs w:val="20"/>
        </w:rPr>
        <w:t>.</w:t>
      </w:r>
      <w:r>
        <w:rPr>
          <w:sz w:val="20"/>
          <w:szCs w:val="20"/>
        </w:rPr>
        <w:t xml:space="preserve"> Accessed on May 23, 2018. </w:t>
      </w:r>
      <w:hyperlink r:id="rId27" w:history="1">
        <w:r w:rsidRPr="00172062">
          <w:rPr>
            <w:rStyle w:val="Hyperlink"/>
            <w:sz w:val="20"/>
            <w:szCs w:val="20"/>
          </w:rPr>
          <w:t>https://www.mass.gov/files/documents/2018/05/22/Opioid-related%20Overdose%20Deaths%20Demographics%20-%20May%202018_0.pdf</w:t>
        </w:r>
      </w:hyperlink>
    </w:p>
    <w:p w:rsidR="005C18C3" w:rsidRDefault="005C18C3" w:rsidP="005C18C3">
      <w:pPr>
        <w:ind w:left="360" w:firstLine="360"/>
        <w:rPr>
          <w:rFonts w:eastAsia="Times New Roman"/>
          <w:sz w:val="20"/>
          <w:szCs w:val="20"/>
          <w:lang w:eastAsia="en-US"/>
        </w:rPr>
      </w:pPr>
      <w:r w:rsidRPr="00AF28CC">
        <w:rPr>
          <w:rFonts w:eastAsia="Times New Roman"/>
          <w:sz w:val="20"/>
          <w:szCs w:val="20"/>
          <w:vertAlign w:val="superscript"/>
          <w:lang w:eastAsia="en-US"/>
        </w:rPr>
        <w:t>1</w:t>
      </w:r>
      <w:r w:rsidRPr="00AF28CC">
        <w:rPr>
          <w:rFonts w:eastAsia="Times New Roman"/>
          <w:sz w:val="20"/>
          <w:szCs w:val="20"/>
          <w:lang w:eastAsia="en-US"/>
        </w:rPr>
        <w:t xml:space="preserve">Opioids include heroin, opioid-based prescription painkillers, and other unspecified opioids. </w:t>
      </w:r>
    </w:p>
    <w:p w:rsidR="009E32B6" w:rsidRDefault="009E32B6" w:rsidP="00096E07"/>
    <w:p w:rsidR="00432B4C" w:rsidRDefault="00432B4C" w:rsidP="00096E07"/>
    <w:p w:rsidR="00A011F5" w:rsidRDefault="00A011F5" w:rsidP="00A011F5">
      <w:r w:rsidRPr="00375896">
        <w:t xml:space="preserve">Displayed in Table </w:t>
      </w:r>
      <w:r w:rsidR="00432B4C">
        <w:t>12</w:t>
      </w:r>
      <w:r w:rsidRPr="00375896">
        <w:t>, over three-quarters (78%) of opioid-related deaths in 2017 occurred in the 25 – 54 age range.  This age group accounts for 10% of all deaths in the Commonwealth.</w:t>
      </w:r>
    </w:p>
    <w:p w:rsidR="00A011F5" w:rsidRDefault="00A011F5" w:rsidP="00096E07"/>
    <w:tbl>
      <w:tblPr>
        <w:tblStyle w:val="LightShading-Accent1"/>
        <w:tblW w:w="9252" w:type="dxa"/>
        <w:jc w:val="center"/>
        <w:tblLayout w:type="fixed"/>
        <w:tblLook w:val="04A0" w:firstRow="1" w:lastRow="0" w:firstColumn="1" w:lastColumn="0" w:noHBand="0" w:noVBand="1"/>
      </w:tblPr>
      <w:tblGrid>
        <w:gridCol w:w="3042"/>
        <w:gridCol w:w="630"/>
        <w:gridCol w:w="770"/>
        <w:gridCol w:w="756"/>
        <w:gridCol w:w="756"/>
        <w:gridCol w:w="756"/>
        <w:gridCol w:w="756"/>
        <w:gridCol w:w="886"/>
        <w:gridCol w:w="876"/>
        <w:gridCol w:w="24"/>
      </w:tblGrid>
      <w:tr w:rsidR="00A011F5" w:rsidRPr="000E146E" w:rsidTr="002474F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52" w:type="dxa"/>
            <w:gridSpan w:val="10"/>
          </w:tcPr>
          <w:p w:rsidR="00A011F5" w:rsidRDefault="00A011F5" w:rsidP="002474FA">
            <w:pPr>
              <w:pStyle w:val="NoSpacing"/>
              <w:ind w:left="-423"/>
              <w:jc w:val="center"/>
              <w:rPr>
                <w:smallCaps/>
                <w:sz w:val="22"/>
                <w:szCs w:val="22"/>
              </w:rPr>
            </w:pPr>
            <w:r w:rsidRPr="000E146E">
              <w:rPr>
                <w:smallCaps/>
                <w:sz w:val="22"/>
                <w:szCs w:val="22"/>
              </w:rPr>
              <w:t xml:space="preserve">Table </w:t>
            </w:r>
            <w:r w:rsidR="00432B4C">
              <w:rPr>
                <w:smallCaps/>
                <w:sz w:val="22"/>
                <w:szCs w:val="22"/>
              </w:rPr>
              <w:t>12</w:t>
            </w:r>
            <w:r w:rsidRPr="000E146E">
              <w:rPr>
                <w:smallCaps/>
                <w:sz w:val="22"/>
                <w:szCs w:val="22"/>
              </w:rPr>
              <w:t xml:space="preserve">. Confirmed </w:t>
            </w:r>
            <w:r>
              <w:rPr>
                <w:smallCaps/>
                <w:sz w:val="22"/>
                <w:szCs w:val="22"/>
              </w:rPr>
              <w:t>Opioid</w:t>
            </w:r>
            <w:r w:rsidRPr="000E146E">
              <w:rPr>
                <w:smallCaps/>
                <w:sz w:val="22"/>
                <w:szCs w:val="22"/>
                <w:vertAlign w:val="superscript"/>
              </w:rPr>
              <w:t>1</w:t>
            </w:r>
            <w:r w:rsidRPr="000E146E">
              <w:rPr>
                <w:smallCaps/>
                <w:sz w:val="22"/>
                <w:szCs w:val="22"/>
              </w:rPr>
              <w:t>-related Deaths</w:t>
            </w:r>
            <w:r>
              <w:rPr>
                <w:smallCaps/>
                <w:sz w:val="22"/>
                <w:szCs w:val="22"/>
              </w:rPr>
              <w:t>, All Intents</w:t>
            </w:r>
          </w:p>
          <w:p w:rsidR="00A011F5" w:rsidRPr="000E146E" w:rsidRDefault="00A011F5" w:rsidP="002474FA">
            <w:pPr>
              <w:pStyle w:val="NoSpacing"/>
              <w:ind w:left="-423"/>
              <w:jc w:val="center"/>
              <w:rPr>
                <w:sz w:val="22"/>
                <w:szCs w:val="22"/>
              </w:rPr>
            </w:pPr>
            <w:r w:rsidRPr="000E146E">
              <w:rPr>
                <w:smallCaps/>
                <w:sz w:val="22"/>
                <w:szCs w:val="22"/>
              </w:rPr>
              <w:t xml:space="preserve"> Compared to All Deaths by Age</w:t>
            </w:r>
            <w:r>
              <w:rPr>
                <w:smallCaps/>
                <w:sz w:val="22"/>
                <w:szCs w:val="22"/>
              </w:rPr>
              <w:t xml:space="preserve">: </w:t>
            </w:r>
            <w:r w:rsidRPr="000E146E">
              <w:rPr>
                <w:smallCaps/>
                <w:sz w:val="22"/>
                <w:szCs w:val="22"/>
              </w:rPr>
              <w:t>January 201</w:t>
            </w:r>
            <w:r>
              <w:rPr>
                <w:smallCaps/>
                <w:sz w:val="22"/>
                <w:szCs w:val="22"/>
              </w:rPr>
              <w:t>7</w:t>
            </w:r>
            <w:r w:rsidRPr="000E146E">
              <w:rPr>
                <w:smallCaps/>
                <w:sz w:val="22"/>
                <w:szCs w:val="22"/>
              </w:rPr>
              <w:t xml:space="preserve"> – December 201</w:t>
            </w:r>
            <w:r>
              <w:rPr>
                <w:smallCaps/>
                <w:sz w:val="22"/>
                <w:szCs w:val="22"/>
              </w:rPr>
              <w:t>7</w:t>
            </w:r>
          </w:p>
        </w:tc>
      </w:tr>
      <w:tr w:rsidR="00A011F5" w:rsidRPr="000E146E" w:rsidTr="002474FA">
        <w:trPr>
          <w:gridAfter w:val="1"/>
          <w:cnfStyle w:val="000000100000" w:firstRow="0" w:lastRow="0" w:firstColumn="0" w:lastColumn="0" w:oddVBand="0" w:evenVBand="0" w:oddHBand="1" w:evenHBand="0" w:firstRowFirstColumn="0" w:firstRowLastColumn="0" w:lastRowFirstColumn="0" w:lastRowLastColumn="0"/>
          <w:wAfter w:w="24" w:type="dxa"/>
          <w:jc w:val="center"/>
        </w:trPr>
        <w:tc>
          <w:tcPr>
            <w:cnfStyle w:val="001000000000" w:firstRow="0" w:lastRow="0" w:firstColumn="1" w:lastColumn="0" w:oddVBand="0" w:evenVBand="0" w:oddHBand="0" w:evenHBand="0" w:firstRowFirstColumn="0" w:firstRowLastColumn="0" w:lastRowFirstColumn="0" w:lastRowLastColumn="0"/>
            <w:tcW w:w="3042" w:type="dxa"/>
            <w:tcBorders>
              <w:top w:val="nil"/>
              <w:bottom w:val="nil"/>
            </w:tcBorders>
          </w:tcPr>
          <w:p w:rsidR="00A011F5" w:rsidRPr="000E146E" w:rsidRDefault="00A011F5" w:rsidP="002474FA">
            <w:pPr>
              <w:rPr>
                <w:b w:val="0"/>
                <w:sz w:val="22"/>
                <w:szCs w:val="22"/>
              </w:rPr>
            </w:pPr>
            <w:r w:rsidRPr="000E146E">
              <w:rPr>
                <w:sz w:val="22"/>
                <w:szCs w:val="22"/>
              </w:rPr>
              <w:t>Age</w:t>
            </w:r>
          </w:p>
        </w:tc>
        <w:tc>
          <w:tcPr>
            <w:tcW w:w="630" w:type="dxa"/>
          </w:tcPr>
          <w:p w:rsidR="00A011F5" w:rsidRPr="000E146E" w:rsidRDefault="00A011F5" w:rsidP="002474FA">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0E146E">
              <w:rPr>
                <w:b/>
                <w:sz w:val="22"/>
                <w:szCs w:val="22"/>
              </w:rPr>
              <w:t>0-14</w:t>
            </w:r>
          </w:p>
        </w:tc>
        <w:tc>
          <w:tcPr>
            <w:tcW w:w="770" w:type="dxa"/>
          </w:tcPr>
          <w:p w:rsidR="00A011F5" w:rsidRPr="000E146E" w:rsidRDefault="00A011F5" w:rsidP="002474FA">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0E146E">
              <w:rPr>
                <w:b/>
                <w:sz w:val="22"/>
                <w:szCs w:val="22"/>
              </w:rPr>
              <w:t>15-24</w:t>
            </w:r>
          </w:p>
        </w:tc>
        <w:tc>
          <w:tcPr>
            <w:tcW w:w="756" w:type="dxa"/>
          </w:tcPr>
          <w:p w:rsidR="00A011F5" w:rsidRPr="000E146E" w:rsidRDefault="00A011F5" w:rsidP="002474FA">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0E146E">
              <w:rPr>
                <w:b/>
                <w:sz w:val="22"/>
                <w:szCs w:val="22"/>
              </w:rPr>
              <w:t>25-34</w:t>
            </w:r>
          </w:p>
        </w:tc>
        <w:tc>
          <w:tcPr>
            <w:tcW w:w="756" w:type="dxa"/>
          </w:tcPr>
          <w:p w:rsidR="00A011F5" w:rsidRPr="000E146E" w:rsidRDefault="00A011F5" w:rsidP="002474FA">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0E146E">
              <w:rPr>
                <w:b/>
                <w:sz w:val="22"/>
                <w:szCs w:val="22"/>
              </w:rPr>
              <w:t>35-44</w:t>
            </w:r>
          </w:p>
        </w:tc>
        <w:tc>
          <w:tcPr>
            <w:tcW w:w="756" w:type="dxa"/>
          </w:tcPr>
          <w:p w:rsidR="00A011F5" w:rsidRPr="000E146E" w:rsidRDefault="00A011F5" w:rsidP="002474FA">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0E146E">
              <w:rPr>
                <w:b/>
                <w:sz w:val="22"/>
                <w:szCs w:val="22"/>
              </w:rPr>
              <w:t>45-54</w:t>
            </w:r>
          </w:p>
        </w:tc>
        <w:tc>
          <w:tcPr>
            <w:tcW w:w="756" w:type="dxa"/>
          </w:tcPr>
          <w:p w:rsidR="00A011F5" w:rsidRPr="000E146E" w:rsidRDefault="00A011F5" w:rsidP="002474FA">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0E146E">
              <w:rPr>
                <w:b/>
                <w:sz w:val="22"/>
                <w:szCs w:val="22"/>
              </w:rPr>
              <w:t>55-64</w:t>
            </w:r>
          </w:p>
        </w:tc>
        <w:tc>
          <w:tcPr>
            <w:tcW w:w="886" w:type="dxa"/>
          </w:tcPr>
          <w:p w:rsidR="00A011F5" w:rsidRPr="000E146E" w:rsidRDefault="00A011F5" w:rsidP="002474FA">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0E146E">
              <w:rPr>
                <w:b/>
                <w:sz w:val="22"/>
                <w:szCs w:val="22"/>
              </w:rPr>
              <w:t>65+</w:t>
            </w:r>
          </w:p>
        </w:tc>
        <w:tc>
          <w:tcPr>
            <w:tcW w:w="876" w:type="dxa"/>
          </w:tcPr>
          <w:p w:rsidR="00A011F5" w:rsidRPr="000E146E" w:rsidRDefault="00A011F5" w:rsidP="002474FA">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0E146E">
              <w:rPr>
                <w:b/>
                <w:sz w:val="22"/>
                <w:szCs w:val="22"/>
              </w:rPr>
              <w:t>Total</w:t>
            </w:r>
          </w:p>
        </w:tc>
      </w:tr>
      <w:tr w:rsidR="00A011F5" w:rsidRPr="000E146E" w:rsidTr="002474FA">
        <w:trPr>
          <w:gridAfter w:val="1"/>
          <w:wAfter w:w="24" w:type="dxa"/>
          <w:jc w:val="center"/>
        </w:trPr>
        <w:tc>
          <w:tcPr>
            <w:cnfStyle w:val="001000000000" w:firstRow="0" w:lastRow="0" w:firstColumn="1" w:lastColumn="0" w:oddVBand="0" w:evenVBand="0" w:oddHBand="0" w:evenHBand="0" w:firstRowFirstColumn="0" w:firstRowLastColumn="0" w:lastRowFirstColumn="0" w:lastRowLastColumn="0"/>
            <w:tcW w:w="3042" w:type="dxa"/>
            <w:tcBorders>
              <w:top w:val="nil"/>
              <w:bottom w:val="nil"/>
              <w:right w:val="nil"/>
            </w:tcBorders>
          </w:tcPr>
          <w:p w:rsidR="00A011F5" w:rsidRPr="00741A47" w:rsidRDefault="00A011F5" w:rsidP="002474FA">
            <w:pPr>
              <w:rPr>
                <w:b w:val="0"/>
                <w:sz w:val="22"/>
                <w:szCs w:val="22"/>
              </w:rPr>
            </w:pPr>
            <w:r w:rsidRPr="00741A47">
              <w:rPr>
                <w:b w:val="0"/>
                <w:sz w:val="22"/>
                <w:szCs w:val="22"/>
              </w:rPr>
              <w:t>All Deaths</w:t>
            </w:r>
          </w:p>
        </w:tc>
        <w:tc>
          <w:tcPr>
            <w:tcW w:w="630" w:type="dxa"/>
            <w:tcBorders>
              <w:left w:val="nil"/>
            </w:tcBorders>
          </w:tcPr>
          <w:p w:rsidR="00A011F5" w:rsidRPr="000E146E" w:rsidRDefault="00A011F5" w:rsidP="002474FA">
            <w:pPr>
              <w:jc w:val="center"/>
              <w:cnfStyle w:val="000000000000" w:firstRow="0" w:lastRow="0" w:firstColumn="0" w:lastColumn="0" w:oddVBand="0" w:evenVBand="0" w:oddHBand="0" w:evenHBand="0" w:firstRowFirstColumn="0" w:firstRowLastColumn="0" w:lastRowFirstColumn="0" w:lastRowLastColumn="0"/>
              <w:rPr>
                <w:sz w:val="22"/>
                <w:szCs w:val="22"/>
              </w:rPr>
            </w:pPr>
            <w:r w:rsidRPr="000E146E">
              <w:rPr>
                <w:sz w:val="22"/>
                <w:szCs w:val="22"/>
              </w:rPr>
              <w:t>3</w:t>
            </w:r>
            <w:r>
              <w:rPr>
                <w:sz w:val="22"/>
                <w:szCs w:val="22"/>
              </w:rPr>
              <w:t>80</w:t>
            </w:r>
          </w:p>
        </w:tc>
        <w:tc>
          <w:tcPr>
            <w:tcW w:w="770" w:type="dxa"/>
          </w:tcPr>
          <w:p w:rsidR="00A011F5" w:rsidRPr="000E146E" w:rsidRDefault="00A011F5" w:rsidP="002474FA">
            <w:pPr>
              <w:jc w:val="center"/>
              <w:cnfStyle w:val="000000000000" w:firstRow="0" w:lastRow="0" w:firstColumn="0" w:lastColumn="0" w:oddVBand="0" w:evenVBand="0" w:oddHBand="0" w:evenHBand="0" w:firstRowFirstColumn="0" w:firstRowLastColumn="0" w:lastRowFirstColumn="0" w:lastRowLastColumn="0"/>
              <w:rPr>
                <w:sz w:val="22"/>
                <w:szCs w:val="22"/>
              </w:rPr>
            </w:pPr>
            <w:r w:rsidRPr="000E146E">
              <w:rPr>
                <w:sz w:val="22"/>
                <w:szCs w:val="22"/>
              </w:rPr>
              <w:t>4</w:t>
            </w:r>
            <w:r>
              <w:rPr>
                <w:sz w:val="22"/>
                <w:szCs w:val="22"/>
              </w:rPr>
              <w:t>95</w:t>
            </w:r>
          </w:p>
        </w:tc>
        <w:tc>
          <w:tcPr>
            <w:tcW w:w="756" w:type="dxa"/>
          </w:tcPr>
          <w:p w:rsidR="00A011F5" w:rsidRPr="000E146E" w:rsidRDefault="00A011F5" w:rsidP="002474FA">
            <w:pPr>
              <w:jc w:val="center"/>
              <w:cnfStyle w:val="000000000000" w:firstRow="0" w:lastRow="0" w:firstColumn="0" w:lastColumn="0" w:oddVBand="0" w:evenVBand="0" w:oddHBand="0" w:evenHBand="0" w:firstRowFirstColumn="0" w:firstRowLastColumn="0" w:lastRowFirstColumn="0" w:lastRowLastColumn="0"/>
              <w:rPr>
                <w:sz w:val="22"/>
                <w:szCs w:val="22"/>
              </w:rPr>
            </w:pPr>
            <w:r w:rsidRPr="000E146E">
              <w:rPr>
                <w:sz w:val="22"/>
                <w:szCs w:val="22"/>
              </w:rPr>
              <w:t>1,</w:t>
            </w:r>
            <w:r>
              <w:rPr>
                <w:sz w:val="22"/>
                <w:szCs w:val="22"/>
              </w:rPr>
              <w:t>271</w:t>
            </w:r>
          </w:p>
        </w:tc>
        <w:tc>
          <w:tcPr>
            <w:tcW w:w="756" w:type="dxa"/>
          </w:tcPr>
          <w:p w:rsidR="00A011F5" w:rsidRPr="000E146E" w:rsidRDefault="00A011F5" w:rsidP="002474FA">
            <w:pPr>
              <w:jc w:val="center"/>
              <w:cnfStyle w:val="000000000000" w:firstRow="0" w:lastRow="0" w:firstColumn="0" w:lastColumn="0" w:oddVBand="0" w:evenVBand="0" w:oddHBand="0" w:evenHBand="0" w:firstRowFirstColumn="0" w:firstRowLastColumn="0" w:lastRowFirstColumn="0" w:lastRowLastColumn="0"/>
              <w:rPr>
                <w:sz w:val="22"/>
                <w:szCs w:val="22"/>
              </w:rPr>
            </w:pPr>
            <w:r w:rsidRPr="000E146E">
              <w:rPr>
                <w:sz w:val="22"/>
                <w:szCs w:val="22"/>
              </w:rPr>
              <w:t>1,</w:t>
            </w:r>
            <w:r>
              <w:rPr>
                <w:sz w:val="22"/>
                <w:szCs w:val="22"/>
              </w:rPr>
              <w:t>499</w:t>
            </w:r>
          </w:p>
        </w:tc>
        <w:tc>
          <w:tcPr>
            <w:tcW w:w="756" w:type="dxa"/>
          </w:tcPr>
          <w:p w:rsidR="00A011F5" w:rsidRPr="000E146E" w:rsidRDefault="00A011F5" w:rsidP="002474FA">
            <w:pPr>
              <w:jc w:val="center"/>
              <w:cnfStyle w:val="000000000000" w:firstRow="0" w:lastRow="0" w:firstColumn="0" w:lastColumn="0" w:oddVBand="0" w:evenVBand="0" w:oddHBand="0" w:evenHBand="0" w:firstRowFirstColumn="0" w:firstRowLastColumn="0" w:lastRowFirstColumn="0" w:lastRowLastColumn="0"/>
              <w:rPr>
                <w:sz w:val="22"/>
                <w:szCs w:val="22"/>
              </w:rPr>
            </w:pPr>
            <w:r w:rsidRPr="000E146E">
              <w:rPr>
                <w:sz w:val="22"/>
                <w:szCs w:val="22"/>
              </w:rPr>
              <w:t>3,</w:t>
            </w:r>
            <w:r>
              <w:rPr>
                <w:sz w:val="22"/>
                <w:szCs w:val="22"/>
              </w:rPr>
              <w:t>163</w:t>
            </w:r>
          </w:p>
        </w:tc>
        <w:tc>
          <w:tcPr>
            <w:tcW w:w="756" w:type="dxa"/>
          </w:tcPr>
          <w:p w:rsidR="00A011F5" w:rsidRPr="000E146E" w:rsidRDefault="00A011F5" w:rsidP="002474F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6,333</w:t>
            </w:r>
          </w:p>
        </w:tc>
        <w:tc>
          <w:tcPr>
            <w:tcW w:w="886" w:type="dxa"/>
          </w:tcPr>
          <w:p w:rsidR="00A011F5" w:rsidRPr="000E146E" w:rsidRDefault="00A011F5" w:rsidP="002474FA">
            <w:pPr>
              <w:jc w:val="center"/>
              <w:cnfStyle w:val="000000000000" w:firstRow="0" w:lastRow="0" w:firstColumn="0" w:lastColumn="0" w:oddVBand="0" w:evenVBand="0" w:oddHBand="0" w:evenHBand="0" w:firstRowFirstColumn="0" w:firstRowLastColumn="0" w:lastRowFirstColumn="0" w:lastRowLastColumn="0"/>
              <w:rPr>
                <w:sz w:val="22"/>
                <w:szCs w:val="22"/>
              </w:rPr>
            </w:pPr>
            <w:r w:rsidRPr="000E146E">
              <w:rPr>
                <w:sz w:val="22"/>
                <w:szCs w:val="22"/>
              </w:rPr>
              <w:t>4</w:t>
            </w:r>
            <w:r>
              <w:rPr>
                <w:sz w:val="22"/>
                <w:szCs w:val="22"/>
              </w:rPr>
              <w:t>5,617</w:t>
            </w:r>
          </w:p>
        </w:tc>
        <w:tc>
          <w:tcPr>
            <w:tcW w:w="876" w:type="dxa"/>
          </w:tcPr>
          <w:p w:rsidR="00A011F5" w:rsidRPr="000E146E" w:rsidRDefault="00A011F5" w:rsidP="002474FA">
            <w:pPr>
              <w:jc w:val="center"/>
              <w:cnfStyle w:val="000000000000" w:firstRow="0" w:lastRow="0" w:firstColumn="0" w:lastColumn="0" w:oddVBand="0" w:evenVBand="0" w:oddHBand="0" w:evenHBand="0" w:firstRowFirstColumn="0" w:firstRowLastColumn="0" w:lastRowFirstColumn="0" w:lastRowLastColumn="0"/>
              <w:rPr>
                <w:b/>
                <w:sz w:val="22"/>
                <w:szCs w:val="22"/>
              </w:rPr>
            </w:pPr>
            <w:r w:rsidRPr="000E146E">
              <w:rPr>
                <w:b/>
                <w:sz w:val="22"/>
                <w:szCs w:val="22"/>
              </w:rPr>
              <w:t>5</w:t>
            </w:r>
            <w:r>
              <w:rPr>
                <w:b/>
                <w:sz w:val="22"/>
                <w:szCs w:val="22"/>
              </w:rPr>
              <w:t>8,758</w:t>
            </w:r>
          </w:p>
        </w:tc>
      </w:tr>
      <w:tr w:rsidR="00A011F5" w:rsidRPr="000E146E" w:rsidTr="002474FA">
        <w:trPr>
          <w:gridAfter w:val="1"/>
          <w:cnfStyle w:val="000000100000" w:firstRow="0" w:lastRow="0" w:firstColumn="0" w:lastColumn="0" w:oddVBand="0" w:evenVBand="0" w:oddHBand="1" w:evenHBand="0" w:firstRowFirstColumn="0" w:firstRowLastColumn="0" w:lastRowFirstColumn="0" w:lastRowLastColumn="0"/>
          <w:wAfter w:w="24" w:type="dxa"/>
          <w:jc w:val="center"/>
        </w:trPr>
        <w:tc>
          <w:tcPr>
            <w:cnfStyle w:val="001000000000" w:firstRow="0" w:lastRow="0" w:firstColumn="1" w:lastColumn="0" w:oddVBand="0" w:evenVBand="0" w:oddHBand="0" w:evenHBand="0" w:firstRowFirstColumn="0" w:firstRowLastColumn="0" w:lastRowFirstColumn="0" w:lastRowLastColumn="0"/>
            <w:tcW w:w="3042" w:type="dxa"/>
            <w:tcBorders>
              <w:top w:val="nil"/>
              <w:bottom w:val="single" w:sz="8" w:space="0" w:color="4F81BD" w:themeColor="accent1"/>
            </w:tcBorders>
          </w:tcPr>
          <w:p w:rsidR="00A011F5" w:rsidRPr="00741A47" w:rsidRDefault="00A011F5" w:rsidP="002474FA">
            <w:pPr>
              <w:rPr>
                <w:b w:val="0"/>
                <w:sz w:val="22"/>
                <w:szCs w:val="22"/>
              </w:rPr>
            </w:pPr>
            <w:r w:rsidRPr="00741A47">
              <w:rPr>
                <w:b w:val="0"/>
                <w:sz w:val="22"/>
                <w:szCs w:val="22"/>
              </w:rPr>
              <w:t>Confirmed Unintentional/</w:t>
            </w:r>
          </w:p>
          <w:p w:rsidR="00A011F5" w:rsidRPr="00741A47" w:rsidRDefault="00A011F5" w:rsidP="002474FA">
            <w:pPr>
              <w:rPr>
                <w:b w:val="0"/>
                <w:sz w:val="22"/>
                <w:szCs w:val="22"/>
              </w:rPr>
            </w:pPr>
            <w:r w:rsidRPr="00741A47">
              <w:rPr>
                <w:b w:val="0"/>
                <w:sz w:val="22"/>
                <w:szCs w:val="22"/>
              </w:rPr>
              <w:t>Undetermined</w:t>
            </w:r>
            <w:r w:rsidRPr="00741A47">
              <w:rPr>
                <w:b w:val="0"/>
                <w:sz w:val="22"/>
                <w:szCs w:val="22"/>
                <w:vertAlign w:val="superscript"/>
              </w:rPr>
              <w:t xml:space="preserve">1 </w:t>
            </w:r>
            <w:r w:rsidRPr="00741A47">
              <w:rPr>
                <w:b w:val="0"/>
                <w:sz w:val="22"/>
                <w:szCs w:val="22"/>
              </w:rPr>
              <w:t>Opioid Deaths</w:t>
            </w:r>
          </w:p>
        </w:tc>
        <w:tc>
          <w:tcPr>
            <w:tcW w:w="630" w:type="dxa"/>
            <w:vAlign w:val="center"/>
          </w:tcPr>
          <w:p w:rsidR="00A011F5" w:rsidRPr="000E146E" w:rsidRDefault="00A011F5" w:rsidP="002474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770" w:type="dxa"/>
            <w:vAlign w:val="center"/>
          </w:tcPr>
          <w:p w:rsidR="00A011F5" w:rsidRPr="000E146E" w:rsidRDefault="00A011F5" w:rsidP="002474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126</w:t>
            </w:r>
          </w:p>
        </w:tc>
        <w:tc>
          <w:tcPr>
            <w:tcW w:w="756" w:type="dxa"/>
            <w:vAlign w:val="center"/>
          </w:tcPr>
          <w:p w:rsidR="00A011F5" w:rsidRPr="000E146E" w:rsidRDefault="00A011F5" w:rsidP="002474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576</w:t>
            </w:r>
          </w:p>
        </w:tc>
        <w:tc>
          <w:tcPr>
            <w:tcW w:w="756" w:type="dxa"/>
            <w:vAlign w:val="center"/>
          </w:tcPr>
          <w:p w:rsidR="00A011F5" w:rsidRPr="000E146E" w:rsidRDefault="00A011F5" w:rsidP="002474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451</w:t>
            </w:r>
          </w:p>
        </w:tc>
        <w:tc>
          <w:tcPr>
            <w:tcW w:w="756" w:type="dxa"/>
            <w:vAlign w:val="center"/>
          </w:tcPr>
          <w:p w:rsidR="00A011F5" w:rsidRPr="000E146E" w:rsidRDefault="00A011F5" w:rsidP="002474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428</w:t>
            </w:r>
          </w:p>
        </w:tc>
        <w:tc>
          <w:tcPr>
            <w:tcW w:w="756" w:type="dxa"/>
            <w:vAlign w:val="center"/>
          </w:tcPr>
          <w:p w:rsidR="00A011F5" w:rsidRPr="000E146E" w:rsidRDefault="00A011F5" w:rsidP="002474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251</w:t>
            </w:r>
          </w:p>
        </w:tc>
        <w:tc>
          <w:tcPr>
            <w:tcW w:w="886" w:type="dxa"/>
            <w:vAlign w:val="center"/>
          </w:tcPr>
          <w:p w:rsidR="00A011F5" w:rsidRPr="000E146E" w:rsidRDefault="00A011F5" w:rsidP="002474F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4213</w:t>
            </w:r>
          </w:p>
        </w:tc>
        <w:tc>
          <w:tcPr>
            <w:tcW w:w="876" w:type="dxa"/>
            <w:vAlign w:val="center"/>
          </w:tcPr>
          <w:p w:rsidR="00A011F5" w:rsidRPr="000E146E" w:rsidRDefault="00A011F5" w:rsidP="002474FA">
            <w:pPr>
              <w:jc w:val="center"/>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1,874</w:t>
            </w:r>
          </w:p>
        </w:tc>
      </w:tr>
    </w:tbl>
    <w:p w:rsidR="00A011F5" w:rsidRDefault="00A011F5" w:rsidP="00A011F5">
      <w:pPr>
        <w:ind w:left="90"/>
        <w:rPr>
          <w:sz w:val="20"/>
          <w:szCs w:val="20"/>
        </w:rPr>
      </w:pPr>
      <w:r w:rsidRPr="00AF28CC">
        <w:rPr>
          <w:sz w:val="20"/>
          <w:szCs w:val="20"/>
        </w:rPr>
        <w:t xml:space="preserve">Source: Massachusetts Department of Public Health, </w:t>
      </w:r>
      <w:r>
        <w:rPr>
          <w:sz w:val="20"/>
          <w:szCs w:val="20"/>
        </w:rPr>
        <w:t>Registry of Vital Records and Statistics</w:t>
      </w:r>
      <w:r w:rsidRPr="00AF28CC">
        <w:rPr>
          <w:sz w:val="20"/>
          <w:szCs w:val="20"/>
        </w:rPr>
        <w:t xml:space="preserve">, </w:t>
      </w:r>
      <w:r w:rsidRPr="00AF28CC">
        <w:rPr>
          <w:i/>
          <w:sz w:val="20"/>
          <w:szCs w:val="20"/>
        </w:rPr>
        <w:t>Data Brief: Opioid-</w:t>
      </w:r>
      <w:r>
        <w:rPr>
          <w:i/>
          <w:sz w:val="20"/>
          <w:szCs w:val="20"/>
        </w:rPr>
        <w:t>Related Overdose Deaths, All Intents, Massachusetts Residents, Demographic Data Highlights,</w:t>
      </w:r>
      <w:r w:rsidRPr="00AF28CC">
        <w:rPr>
          <w:sz w:val="20"/>
          <w:szCs w:val="20"/>
        </w:rPr>
        <w:t xml:space="preserve"> </w:t>
      </w:r>
      <w:r>
        <w:rPr>
          <w:sz w:val="20"/>
          <w:szCs w:val="20"/>
        </w:rPr>
        <w:t>Posted: May</w:t>
      </w:r>
      <w:r w:rsidRPr="00AF28CC">
        <w:rPr>
          <w:sz w:val="20"/>
          <w:szCs w:val="20"/>
        </w:rPr>
        <w:t xml:space="preserve"> 201</w:t>
      </w:r>
      <w:r>
        <w:rPr>
          <w:sz w:val="20"/>
          <w:szCs w:val="20"/>
        </w:rPr>
        <w:t>8</w:t>
      </w:r>
      <w:r w:rsidRPr="00AF28CC">
        <w:rPr>
          <w:sz w:val="20"/>
          <w:szCs w:val="20"/>
        </w:rPr>
        <w:t>.</w:t>
      </w:r>
      <w:r>
        <w:rPr>
          <w:sz w:val="20"/>
          <w:szCs w:val="20"/>
        </w:rPr>
        <w:t xml:space="preserve"> Accessed on May 23, 2018. </w:t>
      </w:r>
      <w:hyperlink r:id="rId28" w:history="1">
        <w:r w:rsidRPr="00172062">
          <w:rPr>
            <w:rStyle w:val="Hyperlink"/>
            <w:sz w:val="20"/>
            <w:szCs w:val="20"/>
          </w:rPr>
          <w:t>https://www.mass.gov/files/documents/2018/05/22/Opioid-related%20Overdose%20Deaths%20Demographics%20-%20May%202018_0.pdf</w:t>
        </w:r>
      </w:hyperlink>
    </w:p>
    <w:p w:rsidR="00A011F5" w:rsidRDefault="00A011F5" w:rsidP="00A011F5">
      <w:pPr>
        <w:ind w:left="90"/>
        <w:rPr>
          <w:rFonts w:eastAsia="Times New Roman"/>
          <w:sz w:val="20"/>
          <w:szCs w:val="20"/>
          <w:lang w:eastAsia="en-US"/>
        </w:rPr>
      </w:pPr>
      <w:r w:rsidRPr="00AF28CC">
        <w:rPr>
          <w:rFonts w:eastAsia="Times New Roman"/>
          <w:sz w:val="20"/>
          <w:szCs w:val="20"/>
          <w:vertAlign w:val="superscript"/>
          <w:lang w:eastAsia="en-US"/>
        </w:rPr>
        <w:t>1</w:t>
      </w:r>
      <w:r w:rsidRPr="00AF28CC">
        <w:rPr>
          <w:rFonts w:eastAsia="Times New Roman"/>
          <w:sz w:val="20"/>
          <w:szCs w:val="20"/>
          <w:lang w:eastAsia="en-US"/>
        </w:rPr>
        <w:t xml:space="preserve">Opioids include heroin, opioid-based prescription painkillers, and other unspecified opioids. </w:t>
      </w:r>
    </w:p>
    <w:p w:rsidR="00096E07" w:rsidRDefault="00096E07" w:rsidP="00096E07"/>
    <w:p w:rsidR="00432B4C" w:rsidRDefault="00432B4C">
      <w:pPr>
        <w:spacing w:after="200" w:line="276" w:lineRule="auto"/>
      </w:pPr>
      <w:r>
        <w:br w:type="page"/>
      </w:r>
    </w:p>
    <w:p w:rsidR="00A011F5" w:rsidRDefault="00A011F5" w:rsidP="00A011F5">
      <w:pPr>
        <w:ind w:right="-90"/>
      </w:pPr>
      <w:r w:rsidRPr="00AD16E1">
        <w:lastRenderedPageBreak/>
        <w:t>White (non-Hispanic) individuals constituted 8</w:t>
      </w:r>
      <w:r>
        <w:t>1</w:t>
      </w:r>
      <w:r w:rsidRPr="00AD16E1">
        <w:t>% of the confirmed opioid-related deaths in 201</w:t>
      </w:r>
      <w:r>
        <w:t>7</w:t>
      </w:r>
      <w:r w:rsidRPr="00AD16E1">
        <w:t xml:space="preserve"> (Table </w:t>
      </w:r>
      <w:r w:rsidR="00432B4C">
        <w:t>13</w:t>
      </w:r>
      <w:r w:rsidRPr="00AD16E1">
        <w:t>).</w:t>
      </w:r>
    </w:p>
    <w:p w:rsidR="00A011F5" w:rsidRDefault="00A011F5" w:rsidP="00096E07"/>
    <w:tbl>
      <w:tblPr>
        <w:tblStyle w:val="LightShading-Accent1"/>
        <w:tblW w:w="10534" w:type="dxa"/>
        <w:jc w:val="center"/>
        <w:tblBorders>
          <w:right w:val="single" w:sz="8" w:space="0" w:color="4F81BD" w:themeColor="accent1"/>
          <w:insideV w:val="single" w:sz="8" w:space="0" w:color="4F81BD" w:themeColor="accent1"/>
        </w:tblBorders>
        <w:tblLook w:val="04A0" w:firstRow="1" w:lastRow="0" w:firstColumn="1" w:lastColumn="0" w:noHBand="0" w:noVBand="1"/>
      </w:tblPr>
      <w:tblGrid>
        <w:gridCol w:w="3146"/>
        <w:gridCol w:w="1310"/>
        <w:gridCol w:w="1266"/>
        <w:gridCol w:w="1204"/>
        <w:gridCol w:w="1260"/>
        <w:gridCol w:w="1369"/>
        <w:gridCol w:w="979"/>
      </w:tblGrid>
      <w:tr w:rsidR="00A011F5" w:rsidRPr="00EA1DF1" w:rsidTr="008C714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4" w:type="dxa"/>
            <w:gridSpan w:val="7"/>
            <w:tcBorders>
              <w:left w:val="none" w:sz="0" w:space="0" w:color="auto"/>
            </w:tcBorders>
          </w:tcPr>
          <w:p w:rsidR="00A011F5" w:rsidRDefault="00A011F5" w:rsidP="002474FA">
            <w:pPr>
              <w:pStyle w:val="NoSpacing"/>
              <w:ind w:left="-423"/>
              <w:jc w:val="center"/>
              <w:rPr>
                <w:smallCaps/>
                <w:sz w:val="22"/>
                <w:szCs w:val="22"/>
              </w:rPr>
            </w:pPr>
            <w:r w:rsidRPr="00EA1DF1">
              <w:rPr>
                <w:smallCaps/>
                <w:sz w:val="22"/>
                <w:szCs w:val="22"/>
              </w:rPr>
              <w:t xml:space="preserve">Table </w:t>
            </w:r>
            <w:r w:rsidR="00432B4C">
              <w:rPr>
                <w:smallCaps/>
                <w:sz w:val="22"/>
                <w:szCs w:val="22"/>
              </w:rPr>
              <w:t>13</w:t>
            </w:r>
            <w:r w:rsidRPr="00EA1DF1">
              <w:rPr>
                <w:smallCaps/>
                <w:sz w:val="22"/>
                <w:szCs w:val="22"/>
              </w:rPr>
              <w:t xml:space="preserve">. Confirmed </w:t>
            </w:r>
            <w:r>
              <w:rPr>
                <w:smallCaps/>
                <w:sz w:val="22"/>
                <w:szCs w:val="22"/>
              </w:rPr>
              <w:t>Opioid</w:t>
            </w:r>
            <w:r w:rsidRPr="000E146E">
              <w:rPr>
                <w:smallCaps/>
                <w:sz w:val="22"/>
                <w:szCs w:val="22"/>
                <w:vertAlign w:val="superscript"/>
              </w:rPr>
              <w:t>1</w:t>
            </w:r>
            <w:r w:rsidRPr="000E146E">
              <w:rPr>
                <w:smallCaps/>
                <w:sz w:val="22"/>
                <w:szCs w:val="22"/>
              </w:rPr>
              <w:t>-related Deaths</w:t>
            </w:r>
            <w:r>
              <w:rPr>
                <w:smallCaps/>
                <w:sz w:val="22"/>
                <w:szCs w:val="22"/>
              </w:rPr>
              <w:t>, All Intents</w:t>
            </w:r>
          </w:p>
          <w:p w:rsidR="00A011F5" w:rsidRPr="00EA1DF1" w:rsidRDefault="00A011F5" w:rsidP="002474FA">
            <w:pPr>
              <w:ind w:left="-423"/>
              <w:jc w:val="center"/>
              <w:rPr>
                <w:sz w:val="22"/>
                <w:szCs w:val="22"/>
              </w:rPr>
            </w:pPr>
            <w:r w:rsidRPr="000E146E">
              <w:rPr>
                <w:smallCaps/>
                <w:sz w:val="22"/>
                <w:szCs w:val="22"/>
              </w:rPr>
              <w:t xml:space="preserve"> Compared to All Deaths by </w:t>
            </w:r>
            <w:r>
              <w:rPr>
                <w:smallCaps/>
                <w:sz w:val="22"/>
                <w:szCs w:val="22"/>
              </w:rPr>
              <w:t xml:space="preserve">Race/Ethnicity: </w:t>
            </w:r>
            <w:r w:rsidRPr="000E146E">
              <w:rPr>
                <w:smallCaps/>
                <w:sz w:val="22"/>
                <w:szCs w:val="22"/>
              </w:rPr>
              <w:t>January 201</w:t>
            </w:r>
            <w:r>
              <w:rPr>
                <w:smallCaps/>
                <w:sz w:val="22"/>
                <w:szCs w:val="22"/>
              </w:rPr>
              <w:t>7 – December 2017</w:t>
            </w:r>
          </w:p>
        </w:tc>
      </w:tr>
      <w:tr w:rsidR="00A011F5" w:rsidRPr="00EA1DF1" w:rsidTr="002474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6" w:type="dxa"/>
            <w:tcBorders>
              <w:top w:val="single" w:sz="8" w:space="0" w:color="4F81BD" w:themeColor="accent1"/>
              <w:left w:val="none" w:sz="0" w:space="0" w:color="auto"/>
              <w:bottom w:val="nil"/>
            </w:tcBorders>
          </w:tcPr>
          <w:p w:rsidR="00A011F5" w:rsidRPr="00EA1DF1" w:rsidRDefault="00A011F5" w:rsidP="002474FA">
            <w:pPr>
              <w:ind w:left="-423"/>
              <w:rPr>
                <w:sz w:val="22"/>
                <w:szCs w:val="22"/>
              </w:rPr>
            </w:pPr>
          </w:p>
        </w:tc>
        <w:tc>
          <w:tcPr>
            <w:tcW w:w="1310" w:type="dxa"/>
            <w:tcBorders>
              <w:top w:val="single" w:sz="8" w:space="0" w:color="4F81BD" w:themeColor="accent1"/>
              <w:bottom w:val="nil"/>
            </w:tcBorders>
          </w:tcPr>
          <w:p w:rsidR="00A011F5" w:rsidRPr="00EA1DF1" w:rsidRDefault="00A011F5" w:rsidP="002474FA">
            <w:pPr>
              <w:ind w:left="-423"/>
              <w:jc w:val="center"/>
              <w:cnfStyle w:val="000000100000" w:firstRow="0" w:lastRow="0" w:firstColumn="0" w:lastColumn="0" w:oddVBand="0" w:evenVBand="0" w:oddHBand="1" w:evenHBand="0" w:firstRowFirstColumn="0" w:firstRowLastColumn="0" w:lastRowFirstColumn="0" w:lastRowLastColumn="0"/>
              <w:rPr>
                <w:b/>
                <w:sz w:val="22"/>
                <w:szCs w:val="22"/>
              </w:rPr>
            </w:pPr>
            <w:r w:rsidRPr="00EA1DF1">
              <w:rPr>
                <w:b/>
                <w:sz w:val="22"/>
                <w:szCs w:val="22"/>
              </w:rPr>
              <w:t>White</w:t>
            </w:r>
          </w:p>
          <w:p w:rsidR="00A011F5" w:rsidRDefault="00A011F5" w:rsidP="002474FA">
            <w:pPr>
              <w:ind w:left="-423"/>
              <w:jc w:val="center"/>
              <w:cnfStyle w:val="000000100000" w:firstRow="0" w:lastRow="0" w:firstColumn="0" w:lastColumn="0" w:oddVBand="0" w:evenVBand="0" w:oddHBand="1" w:evenHBand="0" w:firstRowFirstColumn="0" w:firstRowLastColumn="0" w:lastRowFirstColumn="0" w:lastRowLastColumn="0"/>
              <w:rPr>
                <w:b/>
                <w:sz w:val="22"/>
                <w:szCs w:val="22"/>
              </w:rPr>
            </w:pPr>
            <w:r w:rsidRPr="00EA1DF1">
              <w:rPr>
                <w:b/>
                <w:sz w:val="22"/>
                <w:szCs w:val="22"/>
              </w:rPr>
              <w:t>non-</w:t>
            </w:r>
          </w:p>
          <w:p w:rsidR="00A011F5" w:rsidRPr="00EA1DF1" w:rsidRDefault="00A011F5" w:rsidP="002474FA">
            <w:pPr>
              <w:ind w:left="-423"/>
              <w:jc w:val="center"/>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 xml:space="preserve">  </w:t>
            </w:r>
            <w:r w:rsidRPr="00EA1DF1">
              <w:rPr>
                <w:b/>
                <w:sz w:val="22"/>
                <w:szCs w:val="22"/>
              </w:rPr>
              <w:t>Hispanic</w:t>
            </w:r>
          </w:p>
        </w:tc>
        <w:tc>
          <w:tcPr>
            <w:tcW w:w="1266" w:type="dxa"/>
            <w:tcBorders>
              <w:top w:val="single" w:sz="8" w:space="0" w:color="4F81BD" w:themeColor="accent1"/>
              <w:bottom w:val="nil"/>
            </w:tcBorders>
            <w:vAlign w:val="center"/>
          </w:tcPr>
          <w:p w:rsidR="00A011F5" w:rsidRPr="00EA1DF1" w:rsidRDefault="00A011F5" w:rsidP="002474FA">
            <w:pPr>
              <w:ind w:left="-423"/>
              <w:jc w:val="center"/>
              <w:cnfStyle w:val="000000100000" w:firstRow="0" w:lastRow="0" w:firstColumn="0" w:lastColumn="0" w:oddVBand="0" w:evenVBand="0" w:oddHBand="1" w:evenHBand="0" w:firstRowFirstColumn="0" w:firstRowLastColumn="0" w:lastRowFirstColumn="0" w:lastRowLastColumn="0"/>
              <w:rPr>
                <w:b/>
                <w:sz w:val="22"/>
                <w:szCs w:val="22"/>
              </w:rPr>
            </w:pPr>
            <w:r w:rsidRPr="00EA1DF1">
              <w:rPr>
                <w:b/>
                <w:sz w:val="22"/>
                <w:szCs w:val="22"/>
              </w:rPr>
              <w:t>Black</w:t>
            </w:r>
          </w:p>
          <w:p w:rsidR="00A011F5" w:rsidRDefault="00A011F5" w:rsidP="002474FA">
            <w:pPr>
              <w:ind w:left="-423"/>
              <w:jc w:val="center"/>
              <w:cnfStyle w:val="000000100000" w:firstRow="0" w:lastRow="0" w:firstColumn="0" w:lastColumn="0" w:oddVBand="0" w:evenVBand="0" w:oddHBand="1" w:evenHBand="0" w:firstRowFirstColumn="0" w:firstRowLastColumn="0" w:lastRowFirstColumn="0" w:lastRowLastColumn="0"/>
              <w:rPr>
                <w:b/>
                <w:sz w:val="22"/>
                <w:szCs w:val="22"/>
              </w:rPr>
            </w:pPr>
            <w:r w:rsidRPr="00EA1DF1">
              <w:rPr>
                <w:b/>
                <w:sz w:val="22"/>
                <w:szCs w:val="22"/>
              </w:rPr>
              <w:t>non-</w:t>
            </w:r>
          </w:p>
          <w:p w:rsidR="00A011F5" w:rsidRPr="00EA1DF1" w:rsidRDefault="00A011F5" w:rsidP="002474FA">
            <w:pPr>
              <w:ind w:left="-423"/>
              <w:jc w:val="center"/>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 xml:space="preserve">  </w:t>
            </w:r>
            <w:r w:rsidRPr="00EA1DF1">
              <w:rPr>
                <w:b/>
                <w:sz w:val="22"/>
                <w:szCs w:val="22"/>
              </w:rPr>
              <w:t>Hispanic</w:t>
            </w:r>
          </w:p>
        </w:tc>
        <w:tc>
          <w:tcPr>
            <w:tcW w:w="1204" w:type="dxa"/>
            <w:tcBorders>
              <w:top w:val="single" w:sz="8" w:space="0" w:color="4F81BD" w:themeColor="accent1"/>
              <w:bottom w:val="nil"/>
            </w:tcBorders>
          </w:tcPr>
          <w:p w:rsidR="00A011F5" w:rsidRPr="00EA1DF1" w:rsidRDefault="00A011F5" w:rsidP="002474FA">
            <w:pPr>
              <w:ind w:left="-423"/>
              <w:jc w:val="center"/>
              <w:cnfStyle w:val="000000100000" w:firstRow="0" w:lastRow="0" w:firstColumn="0" w:lastColumn="0" w:oddVBand="0" w:evenVBand="0" w:oddHBand="1" w:evenHBand="0" w:firstRowFirstColumn="0" w:firstRowLastColumn="0" w:lastRowFirstColumn="0" w:lastRowLastColumn="0"/>
              <w:rPr>
                <w:b/>
                <w:sz w:val="22"/>
                <w:szCs w:val="22"/>
              </w:rPr>
            </w:pPr>
            <w:r w:rsidRPr="00EA1DF1">
              <w:rPr>
                <w:b/>
                <w:sz w:val="22"/>
                <w:szCs w:val="22"/>
              </w:rPr>
              <w:t>Asian</w:t>
            </w:r>
          </w:p>
          <w:p w:rsidR="00A011F5" w:rsidRDefault="00A011F5" w:rsidP="002474FA">
            <w:pPr>
              <w:ind w:left="-423"/>
              <w:jc w:val="center"/>
              <w:cnfStyle w:val="000000100000" w:firstRow="0" w:lastRow="0" w:firstColumn="0" w:lastColumn="0" w:oddVBand="0" w:evenVBand="0" w:oddHBand="1" w:evenHBand="0" w:firstRowFirstColumn="0" w:firstRowLastColumn="0" w:lastRowFirstColumn="0" w:lastRowLastColumn="0"/>
              <w:rPr>
                <w:b/>
                <w:sz w:val="22"/>
                <w:szCs w:val="22"/>
              </w:rPr>
            </w:pPr>
            <w:r w:rsidRPr="00EA1DF1">
              <w:rPr>
                <w:b/>
                <w:sz w:val="22"/>
                <w:szCs w:val="22"/>
              </w:rPr>
              <w:t>non-</w:t>
            </w:r>
          </w:p>
          <w:p w:rsidR="00A011F5" w:rsidRPr="00EA1DF1" w:rsidRDefault="00A011F5" w:rsidP="002474FA">
            <w:pPr>
              <w:ind w:left="-423"/>
              <w:jc w:val="center"/>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 xml:space="preserve">   </w:t>
            </w:r>
            <w:r w:rsidRPr="00EA1DF1">
              <w:rPr>
                <w:b/>
                <w:sz w:val="22"/>
                <w:szCs w:val="22"/>
              </w:rPr>
              <w:t>Hispanic</w:t>
            </w:r>
          </w:p>
        </w:tc>
        <w:tc>
          <w:tcPr>
            <w:tcW w:w="1260" w:type="dxa"/>
            <w:tcBorders>
              <w:top w:val="single" w:sz="8" w:space="0" w:color="4F81BD" w:themeColor="accent1"/>
              <w:bottom w:val="nil"/>
            </w:tcBorders>
            <w:vAlign w:val="center"/>
          </w:tcPr>
          <w:p w:rsidR="00A011F5" w:rsidRPr="00EA1DF1" w:rsidRDefault="00A011F5" w:rsidP="002474FA">
            <w:pPr>
              <w:ind w:left="-423"/>
              <w:jc w:val="center"/>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 xml:space="preserve">  </w:t>
            </w:r>
            <w:r w:rsidRPr="00EA1DF1">
              <w:rPr>
                <w:b/>
                <w:sz w:val="22"/>
                <w:szCs w:val="22"/>
              </w:rPr>
              <w:t>Hispanic</w:t>
            </w:r>
          </w:p>
        </w:tc>
        <w:tc>
          <w:tcPr>
            <w:tcW w:w="1369" w:type="dxa"/>
            <w:tcBorders>
              <w:top w:val="single" w:sz="8" w:space="0" w:color="4F81BD" w:themeColor="accent1"/>
              <w:bottom w:val="nil"/>
            </w:tcBorders>
            <w:vAlign w:val="center"/>
          </w:tcPr>
          <w:p w:rsidR="00A011F5" w:rsidRPr="00EA1DF1" w:rsidRDefault="00A011F5" w:rsidP="002474FA">
            <w:pPr>
              <w:ind w:left="-423"/>
              <w:jc w:val="center"/>
              <w:cnfStyle w:val="000000100000" w:firstRow="0" w:lastRow="0" w:firstColumn="0" w:lastColumn="0" w:oddVBand="0" w:evenVBand="0" w:oddHBand="1" w:evenHBand="0" w:firstRowFirstColumn="0" w:firstRowLastColumn="0" w:lastRowFirstColumn="0" w:lastRowLastColumn="0"/>
              <w:rPr>
                <w:b/>
                <w:sz w:val="22"/>
                <w:szCs w:val="22"/>
              </w:rPr>
            </w:pPr>
            <w:r w:rsidRPr="00EA1DF1">
              <w:rPr>
                <w:b/>
                <w:sz w:val="22"/>
                <w:szCs w:val="22"/>
              </w:rPr>
              <w:t>Other/</w:t>
            </w:r>
          </w:p>
          <w:p w:rsidR="00A011F5" w:rsidRPr="00EA1DF1" w:rsidRDefault="00A011F5" w:rsidP="002474FA">
            <w:pPr>
              <w:ind w:left="-423"/>
              <w:jc w:val="center"/>
              <w:cnfStyle w:val="000000100000" w:firstRow="0" w:lastRow="0" w:firstColumn="0" w:lastColumn="0" w:oddVBand="0" w:evenVBand="0" w:oddHBand="1" w:evenHBand="0" w:firstRowFirstColumn="0" w:firstRowLastColumn="0" w:lastRowFirstColumn="0" w:lastRowLastColumn="0"/>
              <w:rPr>
                <w:b/>
                <w:sz w:val="22"/>
                <w:szCs w:val="22"/>
              </w:rPr>
            </w:pPr>
            <w:r w:rsidRPr="00EA1DF1">
              <w:rPr>
                <w:b/>
                <w:sz w:val="22"/>
                <w:szCs w:val="22"/>
              </w:rPr>
              <w:t>Unknown</w:t>
            </w:r>
          </w:p>
        </w:tc>
        <w:tc>
          <w:tcPr>
            <w:tcW w:w="979" w:type="dxa"/>
            <w:tcBorders>
              <w:top w:val="single" w:sz="8" w:space="0" w:color="4F81BD" w:themeColor="accent1"/>
              <w:bottom w:val="nil"/>
            </w:tcBorders>
            <w:vAlign w:val="center"/>
          </w:tcPr>
          <w:p w:rsidR="00A011F5" w:rsidRPr="00EA1DF1" w:rsidRDefault="00A011F5" w:rsidP="002474FA">
            <w:pPr>
              <w:ind w:left="-423"/>
              <w:jc w:val="center"/>
              <w:cnfStyle w:val="000000100000" w:firstRow="0" w:lastRow="0" w:firstColumn="0" w:lastColumn="0" w:oddVBand="0" w:evenVBand="0" w:oddHBand="1" w:evenHBand="0" w:firstRowFirstColumn="0" w:firstRowLastColumn="0" w:lastRowFirstColumn="0" w:lastRowLastColumn="0"/>
              <w:rPr>
                <w:b/>
                <w:sz w:val="22"/>
                <w:szCs w:val="22"/>
              </w:rPr>
            </w:pPr>
            <w:r w:rsidRPr="00EA1DF1">
              <w:rPr>
                <w:b/>
                <w:sz w:val="22"/>
                <w:szCs w:val="22"/>
              </w:rPr>
              <w:t>Total</w:t>
            </w:r>
          </w:p>
        </w:tc>
      </w:tr>
      <w:tr w:rsidR="00A011F5" w:rsidRPr="00EA1DF1" w:rsidTr="002474FA">
        <w:trPr>
          <w:jc w:val="center"/>
        </w:trPr>
        <w:tc>
          <w:tcPr>
            <w:cnfStyle w:val="001000000000" w:firstRow="0" w:lastRow="0" w:firstColumn="1" w:lastColumn="0" w:oddVBand="0" w:evenVBand="0" w:oddHBand="0" w:evenHBand="0" w:firstRowFirstColumn="0" w:firstRowLastColumn="0" w:lastRowFirstColumn="0" w:lastRowLastColumn="0"/>
            <w:tcW w:w="3146" w:type="dxa"/>
            <w:tcBorders>
              <w:top w:val="nil"/>
              <w:bottom w:val="nil"/>
              <w:right w:val="nil"/>
            </w:tcBorders>
          </w:tcPr>
          <w:p w:rsidR="00A011F5" w:rsidRPr="00741A47" w:rsidRDefault="00A011F5" w:rsidP="002474FA">
            <w:pPr>
              <w:ind w:left="-423"/>
              <w:jc w:val="center"/>
              <w:rPr>
                <w:b w:val="0"/>
                <w:sz w:val="22"/>
                <w:szCs w:val="22"/>
              </w:rPr>
            </w:pPr>
            <w:r w:rsidRPr="00741A47">
              <w:rPr>
                <w:b w:val="0"/>
                <w:sz w:val="22"/>
                <w:szCs w:val="22"/>
              </w:rPr>
              <w:t>All Deaths</w:t>
            </w:r>
          </w:p>
        </w:tc>
        <w:tc>
          <w:tcPr>
            <w:tcW w:w="1310" w:type="dxa"/>
            <w:tcBorders>
              <w:top w:val="nil"/>
              <w:left w:val="nil"/>
              <w:bottom w:val="nil"/>
              <w:right w:val="nil"/>
            </w:tcBorders>
          </w:tcPr>
          <w:p w:rsidR="00A011F5" w:rsidRPr="00EA1DF1" w:rsidRDefault="00A011F5" w:rsidP="002474FA">
            <w:pPr>
              <w:ind w:left="-423"/>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51,985</w:t>
            </w:r>
          </w:p>
        </w:tc>
        <w:tc>
          <w:tcPr>
            <w:tcW w:w="1266" w:type="dxa"/>
            <w:tcBorders>
              <w:top w:val="nil"/>
              <w:left w:val="nil"/>
              <w:bottom w:val="nil"/>
              <w:right w:val="nil"/>
            </w:tcBorders>
            <w:vAlign w:val="center"/>
          </w:tcPr>
          <w:p w:rsidR="00A011F5" w:rsidRPr="00EA1DF1" w:rsidRDefault="00A011F5" w:rsidP="002474FA">
            <w:pPr>
              <w:ind w:left="-423"/>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2,634</w:t>
            </w:r>
          </w:p>
        </w:tc>
        <w:tc>
          <w:tcPr>
            <w:tcW w:w="1204" w:type="dxa"/>
            <w:tcBorders>
              <w:top w:val="nil"/>
              <w:left w:val="nil"/>
              <w:bottom w:val="nil"/>
              <w:right w:val="nil"/>
            </w:tcBorders>
          </w:tcPr>
          <w:p w:rsidR="00A011F5" w:rsidRPr="00EA1DF1" w:rsidRDefault="00A011F5" w:rsidP="002474FA">
            <w:pPr>
              <w:ind w:left="-423"/>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1,162</w:t>
            </w:r>
          </w:p>
        </w:tc>
        <w:tc>
          <w:tcPr>
            <w:tcW w:w="1260" w:type="dxa"/>
            <w:tcBorders>
              <w:top w:val="nil"/>
              <w:left w:val="nil"/>
              <w:bottom w:val="nil"/>
              <w:right w:val="nil"/>
            </w:tcBorders>
          </w:tcPr>
          <w:p w:rsidR="00A011F5" w:rsidRPr="00EA1DF1" w:rsidRDefault="00A011F5" w:rsidP="002474FA">
            <w:pPr>
              <w:ind w:left="-423"/>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2,352</w:t>
            </w:r>
          </w:p>
        </w:tc>
        <w:tc>
          <w:tcPr>
            <w:tcW w:w="1369" w:type="dxa"/>
            <w:tcBorders>
              <w:top w:val="nil"/>
              <w:left w:val="nil"/>
              <w:bottom w:val="nil"/>
              <w:right w:val="nil"/>
            </w:tcBorders>
          </w:tcPr>
          <w:p w:rsidR="00A011F5" w:rsidRPr="00EA1DF1" w:rsidRDefault="00A011F5" w:rsidP="002474FA">
            <w:pPr>
              <w:ind w:left="-423"/>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625</w:t>
            </w:r>
          </w:p>
        </w:tc>
        <w:tc>
          <w:tcPr>
            <w:tcW w:w="979" w:type="dxa"/>
            <w:tcBorders>
              <w:top w:val="nil"/>
              <w:left w:val="nil"/>
              <w:bottom w:val="nil"/>
              <w:right w:val="nil"/>
            </w:tcBorders>
          </w:tcPr>
          <w:p w:rsidR="00A011F5" w:rsidRPr="00656567" w:rsidRDefault="00A011F5" w:rsidP="002474FA">
            <w:pPr>
              <w:ind w:left="-423"/>
              <w:jc w:val="center"/>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 xml:space="preserve">  </w:t>
            </w:r>
            <w:r w:rsidRPr="00656567">
              <w:rPr>
                <w:b/>
                <w:sz w:val="22"/>
                <w:szCs w:val="22"/>
              </w:rPr>
              <w:t>5</w:t>
            </w:r>
            <w:r>
              <w:rPr>
                <w:b/>
                <w:sz w:val="22"/>
                <w:szCs w:val="22"/>
              </w:rPr>
              <w:t>8</w:t>
            </w:r>
            <w:r w:rsidRPr="00656567">
              <w:rPr>
                <w:b/>
                <w:sz w:val="22"/>
                <w:szCs w:val="22"/>
              </w:rPr>
              <w:t>,</w:t>
            </w:r>
            <w:r>
              <w:rPr>
                <w:b/>
                <w:sz w:val="22"/>
                <w:szCs w:val="22"/>
              </w:rPr>
              <w:t>758</w:t>
            </w:r>
          </w:p>
        </w:tc>
      </w:tr>
      <w:tr w:rsidR="00A011F5" w:rsidRPr="00EA1DF1" w:rsidTr="002474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6" w:type="dxa"/>
            <w:tcBorders>
              <w:top w:val="nil"/>
              <w:left w:val="none" w:sz="0" w:space="0" w:color="auto"/>
              <w:bottom w:val="single" w:sz="8" w:space="0" w:color="4F81BD" w:themeColor="accent1"/>
            </w:tcBorders>
          </w:tcPr>
          <w:p w:rsidR="00A011F5" w:rsidRPr="00741A47" w:rsidRDefault="00A011F5" w:rsidP="002474FA">
            <w:pPr>
              <w:ind w:left="-423"/>
              <w:jc w:val="center"/>
              <w:rPr>
                <w:b w:val="0"/>
                <w:sz w:val="22"/>
                <w:szCs w:val="22"/>
              </w:rPr>
            </w:pPr>
            <w:r w:rsidRPr="00741A47">
              <w:rPr>
                <w:b w:val="0"/>
                <w:sz w:val="22"/>
                <w:szCs w:val="22"/>
              </w:rPr>
              <w:t xml:space="preserve">  Unintentional/Undetermined</w:t>
            </w:r>
            <w:r w:rsidRPr="00741A47">
              <w:rPr>
                <w:b w:val="0"/>
                <w:sz w:val="22"/>
                <w:szCs w:val="22"/>
                <w:vertAlign w:val="superscript"/>
              </w:rPr>
              <w:t>1</w:t>
            </w:r>
          </w:p>
          <w:p w:rsidR="00A011F5" w:rsidRPr="00741A47" w:rsidRDefault="00A011F5" w:rsidP="002474FA">
            <w:pPr>
              <w:ind w:left="-423"/>
              <w:jc w:val="center"/>
              <w:rPr>
                <w:b w:val="0"/>
                <w:sz w:val="22"/>
                <w:szCs w:val="22"/>
              </w:rPr>
            </w:pPr>
            <w:r w:rsidRPr="00741A47">
              <w:rPr>
                <w:b w:val="0"/>
                <w:sz w:val="22"/>
                <w:szCs w:val="22"/>
              </w:rPr>
              <w:t>Opioid Deaths</w:t>
            </w:r>
          </w:p>
        </w:tc>
        <w:tc>
          <w:tcPr>
            <w:tcW w:w="1310" w:type="dxa"/>
            <w:tcBorders>
              <w:top w:val="nil"/>
              <w:bottom w:val="single" w:sz="8" w:space="0" w:color="4F81BD" w:themeColor="accent1"/>
            </w:tcBorders>
            <w:vAlign w:val="center"/>
          </w:tcPr>
          <w:p w:rsidR="00A011F5" w:rsidRPr="00EA1DF1" w:rsidRDefault="00A011F5" w:rsidP="002474FA">
            <w:pPr>
              <w:ind w:left="-423"/>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1,510</w:t>
            </w:r>
          </w:p>
        </w:tc>
        <w:tc>
          <w:tcPr>
            <w:tcW w:w="1266" w:type="dxa"/>
            <w:tcBorders>
              <w:top w:val="nil"/>
              <w:bottom w:val="single" w:sz="8" w:space="0" w:color="4F81BD" w:themeColor="accent1"/>
            </w:tcBorders>
            <w:vAlign w:val="center"/>
          </w:tcPr>
          <w:p w:rsidR="00A011F5" w:rsidRPr="00EA1DF1" w:rsidRDefault="00A011F5" w:rsidP="002474FA">
            <w:pPr>
              <w:ind w:left="-423"/>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103</w:t>
            </w:r>
          </w:p>
        </w:tc>
        <w:tc>
          <w:tcPr>
            <w:tcW w:w="1204" w:type="dxa"/>
            <w:tcBorders>
              <w:top w:val="nil"/>
              <w:bottom w:val="single" w:sz="8" w:space="0" w:color="4F81BD" w:themeColor="accent1"/>
            </w:tcBorders>
            <w:vAlign w:val="center"/>
          </w:tcPr>
          <w:p w:rsidR="00A011F5" w:rsidRPr="00EA1DF1" w:rsidRDefault="00A011F5" w:rsidP="002474FA">
            <w:pPr>
              <w:ind w:left="-423"/>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12</w:t>
            </w:r>
          </w:p>
        </w:tc>
        <w:tc>
          <w:tcPr>
            <w:tcW w:w="1260" w:type="dxa"/>
            <w:tcBorders>
              <w:top w:val="nil"/>
              <w:bottom w:val="single" w:sz="8" w:space="0" w:color="4F81BD" w:themeColor="accent1"/>
            </w:tcBorders>
            <w:vAlign w:val="center"/>
          </w:tcPr>
          <w:p w:rsidR="00A011F5" w:rsidRPr="00EA1DF1" w:rsidRDefault="00A011F5" w:rsidP="002474FA">
            <w:pPr>
              <w:ind w:left="-423"/>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222</w:t>
            </w:r>
          </w:p>
        </w:tc>
        <w:tc>
          <w:tcPr>
            <w:tcW w:w="1369" w:type="dxa"/>
            <w:tcBorders>
              <w:top w:val="nil"/>
              <w:bottom w:val="single" w:sz="8" w:space="0" w:color="4F81BD" w:themeColor="accent1"/>
            </w:tcBorders>
            <w:vAlign w:val="center"/>
          </w:tcPr>
          <w:p w:rsidR="00A011F5" w:rsidRPr="00EA1DF1" w:rsidRDefault="00A011F5" w:rsidP="002474FA">
            <w:pPr>
              <w:ind w:left="-423"/>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27</w:t>
            </w:r>
          </w:p>
        </w:tc>
        <w:tc>
          <w:tcPr>
            <w:tcW w:w="979" w:type="dxa"/>
            <w:tcBorders>
              <w:top w:val="nil"/>
              <w:bottom w:val="single" w:sz="8" w:space="0" w:color="4F81BD" w:themeColor="accent1"/>
            </w:tcBorders>
            <w:vAlign w:val="center"/>
          </w:tcPr>
          <w:p w:rsidR="00A011F5" w:rsidRPr="00656567" w:rsidRDefault="00A011F5" w:rsidP="002474FA">
            <w:pPr>
              <w:ind w:left="-423"/>
              <w:jc w:val="center"/>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 xml:space="preserve">  1,874</w:t>
            </w:r>
          </w:p>
        </w:tc>
      </w:tr>
    </w:tbl>
    <w:p w:rsidR="00A011F5" w:rsidRDefault="00A011F5" w:rsidP="00A011F5">
      <w:pPr>
        <w:ind w:left="-540"/>
        <w:rPr>
          <w:sz w:val="20"/>
          <w:szCs w:val="20"/>
        </w:rPr>
      </w:pPr>
      <w:r w:rsidRPr="00AF28CC">
        <w:rPr>
          <w:sz w:val="20"/>
          <w:szCs w:val="20"/>
        </w:rPr>
        <w:t xml:space="preserve">Source: Massachusetts Department of Public Health, </w:t>
      </w:r>
      <w:r>
        <w:rPr>
          <w:sz w:val="20"/>
          <w:szCs w:val="20"/>
        </w:rPr>
        <w:t>Registry of Vital Records and Statistics</w:t>
      </w:r>
      <w:r w:rsidRPr="00AF28CC">
        <w:rPr>
          <w:sz w:val="20"/>
          <w:szCs w:val="20"/>
        </w:rPr>
        <w:t xml:space="preserve">, </w:t>
      </w:r>
      <w:r w:rsidRPr="00AF28CC">
        <w:rPr>
          <w:i/>
          <w:sz w:val="20"/>
          <w:szCs w:val="20"/>
        </w:rPr>
        <w:t>Data Brief: Opioid-</w:t>
      </w:r>
      <w:r>
        <w:rPr>
          <w:i/>
          <w:sz w:val="20"/>
          <w:szCs w:val="20"/>
        </w:rPr>
        <w:t xml:space="preserve">Related </w:t>
      </w:r>
      <w:r w:rsidR="00D647A0">
        <w:rPr>
          <w:i/>
          <w:sz w:val="20"/>
          <w:szCs w:val="20"/>
        </w:rPr>
        <w:t>O</w:t>
      </w:r>
      <w:r>
        <w:rPr>
          <w:i/>
          <w:sz w:val="20"/>
          <w:szCs w:val="20"/>
        </w:rPr>
        <w:t>verdose Deaths, All Intents, Massachusetts Residents, Demographic Data Highlights,</w:t>
      </w:r>
      <w:r w:rsidRPr="00AF28CC">
        <w:rPr>
          <w:sz w:val="20"/>
          <w:szCs w:val="20"/>
        </w:rPr>
        <w:t xml:space="preserve"> </w:t>
      </w:r>
      <w:r>
        <w:rPr>
          <w:sz w:val="20"/>
          <w:szCs w:val="20"/>
        </w:rPr>
        <w:t>Posted: May</w:t>
      </w:r>
      <w:r w:rsidRPr="00AF28CC">
        <w:rPr>
          <w:sz w:val="20"/>
          <w:szCs w:val="20"/>
        </w:rPr>
        <w:t xml:space="preserve"> 201</w:t>
      </w:r>
      <w:r>
        <w:rPr>
          <w:sz w:val="20"/>
          <w:szCs w:val="20"/>
        </w:rPr>
        <w:t>8</w:t>
      </w:r>
      <w:r w:rsidRPr="00AF28CC">
        <w:rPr>
          <w:sz w:val="20"/>
          <w:szCs w:val="20"/>
        </w:rPr>
        <w:t>.</w:t>
      </w:r>
      <w:r>
        <w:rPr>
          <w:sz w:val="20"/>
          <w:szCs w:val="20"/>
        </w:rPr>
        <w:t xml:space="preserve"> Accessed on May 23, 2018. </w:t>
      </w:r>
      <w:hyperlink r:id="rId29" w:history="1">
        <w:r w:rsidRPr="004C5572">
          <w:rPr>
            <w:rStyle w:val="Hyperlink"/>
            <w:sz w:val="20"/>
            <w:szCs w:val="20"/>
          </w:rPr>
          <w:t>https://www.mass.gov/files/documents/2018/05/22/Opioid- related%20Overdose%20Deaths%20Demographics%20-%20May%202018_0.pdf</w:t>
        </w:r>
      </w:hyperlink>
    </w:p>
    <w:p w:rsidR="00A011F5" w:rsidRDefault="00A011F5" w:rsidP="00A011F5">
      <w:pPr>
        <w:ind w:left="-540"/>
        <w:rPr>
          <w:rFonts w:eastAsia="Times New Roman"/>
          <w:sz w:val="20"/>
          <w:szCs w:val="20"/>
          <w:lang w:eastAsia="en-US"/>
        </w:rPr>
      </w:pPr>
      <w:r w:rsidRPr="00AF28CC">
        <w:rPr>
          <w:rFonts w:eastAsia="Times New Roman"/>
          <w:sz w:val="20"/>
          <w:szCs w:val="20"/>
          <w:vertAlign w:val="superscript"/>
          <w:lang w:eastAsia="en-US"/>
        </w:rPr>
        <w:t>1</w:t>
      </w:r>
      <w:r w:rsidRPr="00AF28CC">
        <w:rPr>
          <w:rFonts w:eastAsia="Times New Roman"/>
          <w:sz w:val="20"/>
          <w:szCs w:val="20"/>
          <w:lang w:eastAsia="en-US"/>
        </w:rPr>
        <w:t xml:space="preserve">Opioids include heroin, opioid-based prescription painkillers, and other unspecified opioids. </w:t>
      </w:r>
    </w:p>
    <w:p w:rsidR="00A011F5" w:rsidRDefault="00A011F5" w:rsidP="00096E07"/>
    <w:p w:rsidR="002474FA" w:rsidRDefault="002474FA" w:rsidP="002474FA">
      <w:r>
        <w:t xml:space="preserve">Figure </w:t>
      </w:r>
      <w:r w:rsidR="00432B4C">
        <w:t>1</w:t>
      </w:r>
      <w:r>
        <w:t>8 below displays the increases in confirmed opioid-related death for race and ethnicity between 2014 and 2017. Excluding blacks, despite some recent declines in 2017, the opioid-related death rates remain high.</w:t>
      </w:r>
    </w:p>
    <w:p w:rsidR="00AC4170" w:rsidRDefault="00AC4170" w:rsidP="00096E07"/>
    <w:p w:rsidR="002474FA" w:rsidRDefault="00FE12A8" w:rsidP="00AC4170">
      <w:pPr>
        <w:jc w:val="center"/>
      </w:pPr>
      <w:r>
        <w:rPr>
          <w:noProof/>
          <w:lang w:eastAsia="en-US"/>
        </w:rPr>
        <w:drawing>
          <wp:inline distT="0" distB="0" distL="0" distR="0" wp14:anchorId="4057CDD7" wp14:editId="7605F015">
            <wp:extent cx="4802505" cy="2592125"/>
            <wp:effectExtent l="0" t="0" r="17145" b="1778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C4170" w:rsidRDefault="00AC4170" w:rsidP="00AC4170">
      <w:pPr>
        <w:ind w:left="900"/>
        <w:rPr>
          <w:sz w:val="20"/>
          <w:szCs w:val="20"/>
        </w:rPr>
      </w:pPr>
      <w:r w:rsidRPr="000D5357">
        <w:rPr>
          <w:i/>
          <w:sz w:val="20"/>
          <w:szCs w:val="20"/>
        </w:rPr>
        <w:t xml:space="preserve">Figure </w:t>
      </w:r>
      <w:r w:rsidR="00432B4C">
        <w:rPr>
          <w:i/>
          <w:sz w:val="20"/>
          <w:szCs w:val="20"/>
        </w:rPr>
        <w:t>1</w:t>
      </w:r>
      <w:r w:rsidRPr="000D5357">
        <w:rPr>
          <w:i/>
          <w:sz w:val="20"/>
          <w:szCs w:val="20"/>
        </w:rPr>
        <w:t>8</w:t>
      </w:r>
      <w:r w:rsidRPr="000D5357">
        <w:rPr>
          <w:sz w:val="20"/>
          <w:szCs w:val="20"/>
        </w:rPr>
        <w:t>.</w:t>
      </w:r>
      <w:r>
        <w:rPr>
          <w:sz w:val="20"/>
          <w:szCs w:val="20"/>
        </w:rPr>
        <w:t xml:space="preserve"> </w:t>
      </w:r>
      <w:r w:rsidRPr="00AF28CC">
        <w:rPr>
          <w:sz w:val="20"/>
          <w:szCs w:val="20"/>
        </w:rPr>
        <w:t xml:space="preserve">Source: Massachusetts Department of Public Health, </w:t>
      </w:r>
      <w:r>
        <w:rPr>
          <w:sz w:val="20"/>
          <w:szCs w:val="20"/>
        </w:rPr>
        <w:t xml:space="preserve">Registry of Vital Records and </w:t>
      </w:r>
    </w:p>
    <w:p w:rsidR="00AC4170" w:rsidRDefault="00AC4170" w:rsidP="00AC4170">
      <w:pPr>
        <w:ind w:left="900"/>
        <w:rPr>
          <w:sz w:val="20"/>
          <w:szCs w:val="20"/>
        </w:rPr>
      </w:pPr>
      <w:r>
        <w:rPr>
          <w:sz w:val="20"/>
          <w:szCs w:val="20"/>
        </w:rPr>
        <w:t>Statistics</w:t>
      </w:r>
      <w:r w:rsidRPr="00AF28CC">
        <w:rPr>
          <w:sz w:val="20"/>
          <w:szCs w:val="20"/>
        </w:rPr>
        <w:t xml:space="preserve">, </w:t>
      </w:r>
      <w:r w:rsidRPr="00AF28CC">
        <w:rPr>
          <w:i/>
          <w:sz w:val="20"/>
          <w:szCs w:val="20"/>
        </w:rPr>
        <w:t>Data Brief: Opioid-</w:t>
      </w:r>
      <w:r>
        <w:rPr>
          <w:i/>
          <w:sz w:val="20"/>
          <w:szCs w:val="20"/>
        </w:rPr>
        <w:t>Related Overdose Deaths, All Intents, Massachusetts Residents, Demographic Data Highlights,</w:t>
      </w:r>
      <w:r w:rsidRPr="00AF28CC">
        <w:rPr>
          <w:sz w:val="20"/>
          <w:szCs w:val="20"/>
        </w:rPr>
        <w:t xml:space="preserve"> </w:t>
      </w:r>
      <w:r>
        <w:rPr>
          <w:sz w:val="20"/>
          <w:szCs w:val="20"/>
        </w:rPr>
        <w:t>Posted: May</w:t>
      </w:r>
      <w:r w:rsidRPr="00AF28CC">
        <w:rPr>
          <w:sz w:val="20"/>
          <w:szCs w:val="20"/>
        </w:rPr>
        <w:t xml:space="preserve"> 201</w:t>
      </w:r>
      <w:r>
        <w:rPr>
          <w:sz w:val="20"/>
          <w:szCs w:val="20"/>
        </w:rPr>
        <w:t>8</w:t>
      </w:r>
      <w:r w:rsidRPr="00AF28CC">
        <w:rPr>
          <w:sz w:val="20"/>
          <w:szCs w:val="20"/>
        </w:rPr>
        <w:t>.</w:t>
      </w:r>
      <w:r>
        <w:rPr>
          <w:sz w:val="20"/>
          <w:szCs w:val="20"/>
        </w:rPr>
        <w:t xml:space="preserve"> Accessed on May 23, 2018. </w:t>
      </w:r>
      <w:hyperlink r:id="rId31" w:history="1">
        <w:r w:rsidRPr="00EF3299">
          <w:rPr>
            <w:rStyle w:val="Hyperlink"/>
            <w:sz w:val="20"/>
            <w:szCs w:val="20"/>
          </w:rPr>
          <w:t>https://www.mass.gov/files/documents/2018/05/22/Opioid-related%20Overdose%20Deaths%20Demographics%20-%20May%202018_0.pdf</w:t>
        </w:r>
      </w:hyperlink>
    </w:p>
    <w:p w:rsidR="00AC4170" w:rsidRDefault="00AC4170" w:rsidP="00AC4170">
      <w:pPr>
        <w:ind w:left="900"/>
        <w:rPr>
          <w:rFonts w:eastAsia="Times New Roman"/>
          <w:sz w:val="20"/>
          <w:szCs w:val="20"/>
          <w:lang w:eastAsia="en-US"/>
        </w:rPr>
      </w:pPr>
      <w:r w:rsidRPr="00AF28CC">
        <w:rPr>
          <w:rFonts w:eastAsia="Times New Roman"/>
          <w:sz w:val="20"/>
          <w:szCs w:val="20"/>
          <w:vertAlign w:val="superscript"/>
          <w:lang w:eastAsia="en-US"/>
        </w:rPr>
        <w:t>1</w:t>
      </w:r>
      <w:r w:rsidRPr="00AF28CC">
        <w:rPr>
          <w:rFonts w:eastAsia="Times New Roman"/>
          <w:sz w:val="20"/>
          <w:szCs w:val="20"/>
          <w:lang w:eastAsia="en-US"/>
        </w:rPr>
        <w:t xml:space="preserve">Opioids include heroin, opioid-based prescription painkillers, and other unspecified opioids. </w:t>
      </w:r>
    </w:p>
    <w:p w:rsidR="002474FA" w:rsidRDefault="002474FA" w:rsidP="007F50EC"/>
    <w:p w:rsidR="000D1B85" w:rsidRDefault="000D1B85" w:rsidP="000D1B85">
      <w:r>
        <w:t>Nationally, heroin overdose deaths more than quadrupled between 2010 and 2015, and are predominantly high in the Northeast and Midwest.</w:t>
      </w:r>
      <w:r w:rsidRPr="006C20F9">
        <w:rPr>
          <w:rStyle w:val="FootnoteReference"/>
        </w:rPr>
        <w:t xml:space="preserve"> </w:t>
      </w:r>
      <w:r>
        <w:rPr>
          <w:rStyle w:val="FootnoteReference"/>
        </w:rPr>
        <w:footnoteReference w:id="51"/>
      </w:r>
      <w:r>
        <w:t xml:space="preserve">  From 2015 - 2016, Massachusetts in </w:t>
      </w:r>
      <w:r>
        <w:lastRenderedPageBreak/>
        <w:t>addition to two other states</w:t>
      </w:r>
      <w:r w:rsidRPr="00AA4A84">
        <w:rPr>
          <w:rStyle w:val="FootnoteReference"/>
        </w:rPr>
        <w:footnoteReference w:id="52"/>
      </w:r>
      <w:r w:rsidRPr="00AA4A84">
        <w:rPr>
          <w:vertAlign w:val="superscript"/>
        </w:rPr>
        <w:t xml:space="preserve"> </w:t>
      </w:r>
      <w:r>
        <w:t>experienced the highest death rate from synthetic opioids.</w:t>
      </w:r>
      <w:r w:rsidRPr="0079009B">
        <w:rPr>
          <w:rStyle w:val="FootnoteReference"/>
        </w:rPr>
        <w:t xml:space="preserve"> </w:t>
      </w:r>
      <w:r>
        <w:rPr>
          <w:rStyle w:val="FootnoteReference"/>
        </w:rPr>
        <w:footnoteReference w:id="53"/>
      </w:r>
      <w:r>
        <w:t xml:space="preserve">  Synthetic opioids include fentanyl and </w:t>
      </w:r>
      <w:proofErr w:type="spellStart"/>
      <w:r>
        <w:t>carfentanil</w:t>
      </w:r>
      <w:proofErr w:type="spellEnd"/>
      <w:r>
        <w:t>.</w:t>
      </w:r>
      <w:r>
        <w:rPr>
          <w:rStyle w:val="FootnoteReference"/>
        </w:rPr>
        <w:footnoteReference w:id="54"/>
      </w:r>
      <w:r>
        <w:t xml:space="preserve">  Heroin is much deadlier as a result of high-purit</w:t>
      </w:r>
      <w:r w:rsidR="006825D6">
        <w:t xml:space="preserve">y and mixing with fentanyl and </w:t>
      </w:r>
      <w:proofErr w:type="spellStart"/>
      <w:r w:rsidR="006825D6">
        <w:t>c</w:t>
      </w:r>
      <w:r>
        <w:t>arfentanil</w:t>
      </w:r>
      <w:proofErr w:type="spellEnd"/>
      <w:r>
        <w:t xml:space="preserve">; often without the user’s knowledge.  As </w:t>
      </w:r>
      <w:r w:rsidRPr="00470BDE">
        <w:t>previously noted in this analysis, there were 1,874 confirmed and 2,016 estimated opioid-related</w:t>
      </w:r>
      <w:r>
        <w:t xml:space="preserve"> overdose deaths in 2017 in Massachusetts.  While some cities and towns experienced a decline in opioid-related deaths in 2017 compared to 2016: notably Fall River, Lowell, New Bedford, Springfield, Weymouth, Lawrence, Everett, and Taunton, others saw significant increases.  Specifically, the cities of Lynn (35.6%), Attleboro (69.6%), and Salem (31%) had substantial increases from the previous year (Table </w:t>
      </w:r>
      <w:r w:rsidR="00432B4C">
        <w:t>14</w:t>
      </w:r>
      <w:r>
        <w:t>).</w:t>
      </w:r>
    </w:p>
    <w:p w:rsidR="002474FA" w:rsidRDefault="002474FA" w:rsidP="00096E07"/>
    <w:tbl>
      <w:tblPr>
        <w:tblStyle w:val="LightShading-Accent1"/>
        <w:tblW w:w="10350" w:type="dxa"/>
        <w:tblLayout w:type="fixed"/>
        <w:tblLook w:val="04A0" w:firstRow="1" w:lastRow="0" w:firstColumn="1" w:lastColumn="0" w:noHBand="0" w:noVBand="1"/>
      </w:tblPr>
      <w:tblGrid>
        <w:gridCol w:w="1440"/>
        <w:gridCol w:w="1170"/>
        <w:gridCol w:w="1170"/>
        <w:gridCol w:w="1170"/>
        <w:gridCol w:w="1170"/>
        <w:gridCol w:w="1170"/>
        <w:gridCol w:w="1890"/>
        <w:gridCol w:w="1170"/>
      </w:tblGrid>
      <w:tr w:rsidR="000D1B85" w:rsidRPr="00E95759" w:rsidTr="000B5C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50" w:type="dxa"/>
            <w:gridSpan w:val="8"/>
          </w:tcPr>
          <w:p w:rsidR="000D1B85" w:rsidRDefault="000D1B85" w:rsidP="000B5C84">
            <w:pPr>
              <w:ind w:right="-108"/>
              <w:jc w:val="center"/>
              <w:rPr>
                <w:smallCaps/>
                <w:sz w:val="22"/>
                <w:szCs w:val="22"/>
              </w:rPr>
            </w:pPr>
            <w:r w:rsidRPr="00DD440F">
              <w:rPr>
                <w:smallCaps/>
                <w:sz w:val="22"/>
                <w:szCs w:val="22"/>
              </w:rPr>
              <w:t xml:space="preserve">Table </w:t>
            </w:r>
            <w:r w:rsidR="00432B4C">
              <w:rPr>
                <w:smallCaps/>
                <w:sz w:val="22"/>
                <w:szCs w:val="22"/>
              </w:rPr>
              <w:t>14</w:t>
            </w:r>
            <w:r w:rsidRPr="00DD440F">
              <w:rPr>
                <w:smallCaps/>
                <w:sz w:val="22"/>
                <w:szCs w:val="22"/>
              </w:rPr>
              <w:t>. Number of Opioid</w:t>
            </w:r>
            <w:r w:rsidRPr="00DD440F">
              <w:rPr>
                <w:smallCaps/>
                <w:sz w:val="22"/>
                <w:szCs w:val="22"/>
                <w:vertAlign w:val="superscript"/>
              </w:rPr>
              <w:t>1</w:t>
            </w:r>
            <w:r w:rsidRPr="00DD440F">
              <w:rPr>
                <w:smallCaps/>
                <w:sz w:val="22"/>
                <w:szCs w:val="22"/>
              </w:rPr>
              <w:t>-Related</w:t>
            </w:r>
            <w:r w:rsidRPr="00DD440F">
              <w:rPr>
                <w:smallCaps/>
                <w:sz w:val="22"/>
                <w:szCs w:val="22"/>
                <w:vertAlign w:val="superscript"/>
              </w:rPr>
              <w:t xml:space="preserve"> </w:t>
            </w:r>
            <w:r w:rsidRPr="00DD440F">
              <w:rPr>
                <w:smallCaps/>
                <w:sz w:val="22"/>
                <w:szCs w:val="22"/>
              </w:rPr>
              <w:t>Overdose Deaths</w:t>
            </w:r>
            <w:r>
              <w:rPr>
                <w:smallCaps/>
                <w:sz w:val="22"/>
                <w:szCs w:val="22"/>
              </w:rPr>
              <w:t>, All Intents</w:t>
            </w:r>
            <w:r w:rsidRPr="00DD440F">
              <w:rPr>
                <w:smallCaps/>
                <w:sz w:val="22"/>
                <w:szCs w:val="22"/>
              </w:rPr>
              <w:t xml:space="preserve"> by the Top 15 </w:t>
            </w:r>
          </w:p>
          <w:p w:rsidR="000D1B85" w:rsidRDefault="000D1B85" w:rsidP="000B5C84">
            <w:pPr>
              <w:ind w:right="-108"/>
              <w:jc w:val="center"/>
              <w:rPr>
                <w:smallCaps/>
                <w:sz w:val="22"/>
                <w:szCs w:val="22"/>
              </w:rPr>
            </w:pPr>
            <w:r w:rsidRPr="00DD440F">
              <w:rPr>
                <w:smallCaps/>
                <w:sz w:val="22"/>
                <w:szCs w:val="22"/>
              </w:rPr>
              <w:t>Massachusetts City/Town</w:t>
            </w:r>
            <w:r w:rsidRPr="00476AE4">
              <w:rPr>
                <w:smallCaps/>
                <w:sz w:val="22"/>
                <w:szCs w:val="22"/>
                <w:vertAlign w:val="superscript"/>
              </w:rPr>
              <w:t>2</w:t>
            </w:r>
          </w:p>
          <w:p w:rsidR="000D1B85" w:rsidRPr="00E95759" w:rsidRDefault="000D1B85" w:rsidP="000B5C84">
            <w:pPr>
              <w:ind w:right="-108"/>
              <w:jc w:val="center"/>
              <w:rPr>
                <w:b w:val="0"/>
                <w:smallCaps/>
                <w:sz w:val="22"/>
                <w:szCs w:val="22"/>
              </w:rPr>
            </w:pPr>
            <w:r>
              <w:rPr>
                <w:smallCaps/>
                <w:sz w:val="22"/>
                <w:szCs w:val="22"/>
              </w:rPr>
              <w:t>C</w:t>
            </w:r>
            <w:r w:rsidRPr="00DD440F">
              <w:rPr>
                <w:smallCaps/>
                <w:sz w:val="22"/>
                <w:szCs w:val="22"/>
              </w:rPr>
              <w:t>Y 201</w:t>
            </w:r>
            <w:r>
              <w:rPr>
                <w:smallCaps/>
                <w:sz w:val="22"/>
                <w:szCs w:val="22"/>
              </w:rPr>
              <w:t>3</w:t>
            </w:r>
            <w:r w:rsidRPr="00DD440F">
              <w:rPr>
                <w:smallCaps/>
                <w:sz w:val="22"/>
                <w:szCs w:val="22"/>
              </w:rPr>
              <w:t xml:space="preserve"> – </w:t>
            </w:r>
            <w:r>
              <w:rPr>
                <w:smallCaps/>
                <w:sz w:val="22"/>
                <w:szCs w:val="22"/>
              </w:rPr>
              <w:t>C</w:t>
            </w:r>
            <w:r w:rsidRPr="00DD440F">
              <w:rPr>
                <w:smallCaps/>
                <w:sz w:val="22"/>
                <w:szCs w:val="22"/>
              </w:rPr>
              <w:t>Y 201</w:t>
            </w:r>
            <w:r>
              <w:rPr>
                <w:smallCaps/>
                <w:sz w:val="22"/>
                <w:szCs w:val="22"/>
              </w:rPr>
              <w:t>7</w:t>
            </w:r>
          </w:p>
        </w:tc>
      </w:tr>
      <w:tr w:rsidR="000D1B85" w:rsidRPr="00E95759" w:rsidTr="000B5C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vAlign w:val="center"/>
          </w:tcPr>
          <w:p w:rsidR="000D1B85" w:rsidRPr="00DD440F" w:rsidRDefault="000D1B85" w:rsidP="000B5C84">
            <w:pPr>
              <w:ind w:left="-90"/>
              <w:rPr>
                <w:sz w:val="22"/>
                <w:szCs w:val="22"/>
              </w:rPr>
            </w:pPr>
            <w:r w:rsidRPr="00DD440F">
              <w:rPr>
                <w:sz w:val="22"/>
                <w:szCs w:val="22"/>
              </w:rPr>
              <w:t>City/Town</w:t>
            </w:r>
          </w:p>
        </w:tc>
        <w:tc>
          <w:tcPr>
            <w:tcW w:w="5850" w:type="dxa"/>
            <w:gridSpan w:val="5"/>
            <w:vAlign w:val="center"/>
          </w:tcPr>
          <w:p w:rsidR="000D1B85" w:rsidRPr="00E95759" w:rsidRDefault="000D1B85" w:rsidP="000B5C84">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E95759">
              <w:rPr>
                <w:b/>
                <w:sz w:val="22"/>
                <w:szCs w:val="22"/>
              </w:rPr>
              <w:t>Number of Deaths</w:t>
            </w:r>
          </w:p>
        </w:tc>
        <w:tc>
          <w:tcPr>
            <w:tcW w:w="1890" w:type="dxa"/>
            <w:vAlign w:val="center"/>
          </w:tcPr>
          <w:p w:rsidR="000D1B85" w:rsidRDefault="000D1B85" w:rsidP="000B5C84">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E95759">
              <w:rPr>
                <w:b/>
                <w:sz w:val="22"/>
                <w:szCs w:val="22"/>
              </w:rPr>
              <w:t>% Change</w:t>
            </w:r>
          </w:p>
          <w:p w:rsidR="000D1B85" w:rsidRPr="00E95759" w:rsidRDefault="000D1B85" w:rsidP="000B5C84">
            <w:pPr>
              <w:jc w:val="center"/>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F</w:t>
            </w:r>
            <w:r w:rsidRPr="00E95759">
              <w:rPr>
                <w:b/>
                <w:sz w:val="22"/>
                <w:szCs w:val="22"/>
              </w:rPr>
              <w:t>FY 1</w:t>
            </w:r>
            <w:r>
              <w:rPr>
                <w:b/>
                <w:sz w:val="22"/>
                <w:szCs w:val="22"/>
              </w:rPr>
              <w:t xml:space="preserve">6 </w:t>
            </w:r>
            <w:r w:rsidRPr="00E95759">
              <w:rPr>
                <w:b/>
                <w:sz w:val="22"/>
                <w:szCs w:val="22"/>
              </w:rPr>
              <w:t>-</w:t>
            </w:r>
            <w:r>
              <w:rPr>
                <w:b/>
                <w:sz w:val="22"/>
                <w:szCs w:val="22"/>
              </w:rPr>
              <w:t xml:space="preserve"> F</w:t>
            </w:r>
            <w:r w:rsidRPr="00E95759">
              <w:rPr>
                <w:b/>
                <w:sz w:val="22"/>
                <w:szCs w:val="22"/>
              </w:rPr>
              <w:t>FY 1</w:t>
            </w:r>
            <w:r>
              <w:rPr>
                <w:b/>
                <w:sz w:val="22"/>
                <w:szCs w:val="22"/>
              </w:rPr>
              <w:t>7</w:t>
            </w:r>
          </w:p>
        </w:tc>
        <w:tc>
          <w:tcPr>
            <w:tcW w:w="1170" w:type="dxa"/>
          </w:tcPr>
          <w:p w:rsidR="000D1B85" w:rsidRPr="00E95759" w:rsidRDefault="000D1B85" w:rsidP="000B5C84">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E95759">
              <w:rPr>
                <w:b/>
                <w:sz w:val="22"/>
                <w:szCs w:val="22"/>
              </w:rPr>
              <w:t>% of 201</w:t>
            </w:r>
            <w:r>
              <w:rPr>
                <w:b/>
                <w:sz w:val="22"/>
                <w:szCs w:val="22"/>
              </w:rPr>
              <w:t>7</w:t>
            </w:r>
            <w:r w:rsidRPr="00E95759">
              <w:rPr>
                <w:b/>
                <w:sz w:val="22"/>
                <w:szCs w:val="22"/>
              </w:rPr>
              <w:t xml:space="preserve"> Total</w:t>
            </w:r>
          </w:p>
          <w:p w:rsidR="000D1B85" w:rsidRPr="00E95759" w:rsidRDefault="000D1B85" w:rsidP="000B5C84">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E95759">
              <w:rPr>
                <w:b/>
                <w:sz w:val="22"/>
                <w:szCs w:val="22"/>
              </w:rPr>
              <w:t>(n=</w:t>
            </w:r>
            <w:r>
              <w:rPr>
                <w:b/>
                <w:sz w:val="22"/>
                <w:szCs w:val="22"/>
              </w:rPr>
              <w:t>1,944</w:t>
            </w:r>
            <w:r w:rsidRPr="00E95759">
              <w:rPr>
                <w:b/>
                <w:sz w:val="22"/>
                <w:szCs w:val="22"/>
              </w:rPr>
              <w:t>)</w:t>
            </w:r>
          </w:p>
        </w:tc>
      </w:tr>
      <w:tr w:rsidR="000D1B85" w:rsidRPr="00E95759" w:rsidTr="000B5C84">
        <w:tc>
          <w:tcPr>
            <w:cnfStyle w:val="001000000000" w:firstRow="0" w:lastRow="0" w:firstColumn="1" w:lastColumn="0" w:oddVBand="0" w:evenVBand="0" w:oddHBand="0" w:evenHBand="0" w:firstRowFirstColumn="0" w:firstRowLastColumn="0" w:lastRowFirstColumn="0" w:lastRowLastColumn="0"/>
            <w:tcW w:w="1440" w:type="dxa"/>
          </w:tcPr>
          <w:p w:rsidR="000D1B85" w:rsidRPr="00E95759" w:rsidRDefault="000D1B85" w:rsidP="000B5C84">
            <w:pPr>
              <w:rPr>
                <w:sz w:val="22"/>
                <w:szCs w:val="22"/>
              </w:rPr>
            </w:pPr>
          </w:p>
        </w:tc>
        <w:tc>
          <w:tcPr>
            <w:tcW w:w="1170" w:type="dxa"/>
          </w:tcPr>
          <w:p w:rsidR="000D1B85" w:rsidRPr="00765058" w:rsidRDefault="000D1B85" w:rsidP="000B5C84">
            <w:pPr>
              <w:jc w:val="center"/>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F</w:t>
            </w:r>
            <w:r w:rsidRPr="00765058">
              <w:rPr>
                <w:b/>
                <w:sz w:val="22"/>
                <w:szCs w:val="22"/>
              </w:rPr>
              <w:t>FY201</w:t>
            </w:r>
            <w:r>
              <w:rPr>
                <w:b/>
                <w:sz w:val="22"/>
                <w:szCs w:val="22"/>
              </w:rPr>
              <w:t>3</w:t>
            </w:r>
          </w:p>
        </w:tc>
        <w:tc>
          <w:tcPr>
            <w:tcW w:w="1170" w:type="dxa"/>
          </w:tcPr>
          <w:p w:rsidR="000D1B85" w:rsidRPr="00765058" w:rsidRDefault="000D1B85" w:rsidP="000B5C84">
            <w:pPr>
              <w:jc w:val="center"/>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F</w:t>
            </w:r>
            <w:r w:rsidRPr="00765058">
              <w:rPr>
                <w:b/>
                <w:sz w:val="22"/>
                <w:szCs w:val="22"/>
              </w:rPr>
              <w:t>FY201</w:t>
            </w:r>
            <w:r>
              <w:rPr>
                <w:b/>
                <w:sz w:val="22"/>
                <w:szCs w:val="22"/>
              </w:rPr>
              <w:t>4</w:t>
            </w:r>
          </w:p>
        </w:tc>
        <w:tc>
          <w:tcPr>
            <w:tcW w:w="1170" w:type="dxa"/>
          </w:tcPr>
          <w:p w:rsidR="000D1B85" w:rsidRPr="00765058" w:rsidRDefault="000D1B85" w:rsidP="000B5C84">
            <w:pPr>
              <w:jc w:val="center"/>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F</w:t>
            </w:r>
            <w:r w:rsidRPr="00765058">
              <w:rPr>
                <w:b/>
                <w:sz w:val="22"/>
                <w:szCs w:val="22"/>
              </w:rPr>
              <w:t>FY201</w:t>
            </w:r>
            <w:r>
              <w:rPr>
                <w:b/>
                <w:sz w:val="22"/>
                <w:szCs w:val="22"/>
              </w:rPr>
              <w:t>5</w:t>
            </w:r>
          </w:p>
        </w:tc>
        <w:tc>
          <w:tcPr>
            <w:tcW w:w="1170" w:type="dxa"/>
          </w:tcPr>
          <w:p w:rsidR="000D1B85" w:rsidRPr="00765058" w:rsidRDefault="000D1B85" w:rsidP="000B5C84">
            <w:pPr>
              <w:jc w:val="center"/>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F</w:t>
            </w:r>
            <w:r w:rsidRPr="00765058">
              <w:rPr>
                <w:b/>
                <w:sz w:val="22"/>
                <w:szCs w:val="22"/>
              </w:rPr>
              <w:t>FY201</w:t>
            </w:r>
            <w:r>
              <w:rPr>
                <w:b/>
                <w:sz w:val="22"/>
                <w:szCs w:val="22"/>
              </w:rPr>
              <w:t>6</w:t>
            </w:r>
            <w:r w:rsidRPr="0055021E">
              <w:rPr>
                <w:b/>
                <w:sz w:val="22"/>
                <w:szCs w:val="22"/>
                <w:vertAlign w:val="superscript"/>
              </w:rPr>
              <w:t>3</w:t>
            </w:r>
          </w:p>
        </w:tc>
        <w:tc>
          <w:tcPr>
            <w:tcW w:w="1170" w:type="dxa"/>
          </w:tcPr>
          <w:p w:rsidR="000D1B85" w:rsidRPr="00765058" w:rsidRDefault="000D1B85" w:rsidP="000B5C84">
            <w:pPr>
              <w:jc w:val="center"/>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F</w:t>
            </w:r>
            <w:r w:rsidRPr="00765058">
              <w:rPr>
                <w:b/>
                <w:sz w:val="22"/>
                <w:szCs w:val="22"/>
              </w:rPr>
              <w:t>FY201</w:t>
            </w:r>
            <w:r>
              <w:rPr>
                <w:b/>
                <w:sz w:val="22"/>
                <w:szCs w:val="22"/>
              </w:rPr>
              <w:t>7</w:t>
            </w:r>
            <w:r w:rsidRPr="0055021E">
              <w:rPr>
                <w:b/>
                <w:sz w:val="22"/>
                <w:szCs w:val="22"/>
                <w:vertAlign w:val="superscript"/>
              </w:rPr>
              <w:t>3</w:t>
            </w:r>
          </w:p>
        </w:tc>
        <w:tc>
          <w:tcPr>
            <w:tcW w:w="1890" w:type="dxa"/>
          </w:tcPr>
          <w:p w:rsidR="000D1B85" w:rsidRPr="00E95759" w:rsidRDefault="000D1B85" w:rsidP="000B5C84">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tcPr>
          <w:p w:rsidR="000D1B85" w:rsidRPr="00E95759" w:rsidRDefault="000D1B85" w:rsidP="000B5C84">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0D1B85" w:rsidRPr="00E95759" w:rsidTr="000B5C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0D1B85" w:rsidRPr="00173DDF" w:rsidRDefault="000D1B85" w:rsidP="000B5C84">
            <w:pPr>
              <w:rPr>
                <w:b w:val="0"/>
                <w:sz w:val="22"/>
                <w:szCs w:val="22"/>
              </w:rPr>
            </w:pPr>
            <w:r w:rsidRPr="00173DDF">
              <w:rPr>
                <w:b w:val="0"/>
                <w:sz w:val="22"/>
                <w:szCs w:val="22"/>
              </w:rPr>
              <w:t>Boston</w:t>
            </w:r>
          </w:p>
        </w:tc>
        <w:tc>
          <w:tcPr>
            <w:tcW w:w="1170" w:type="dxa"/>
          </w:tcPr>
          <w:p w:rsidR="000D1B85" w:rsidRPr="00E95759"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128</w:t>
            </w:r>
          </w:p>
        </w:tc>
        <w:tc>
          <w:tcPr>
            <w:tcW w:w="1170" w:type="dxa"/>
          </w:tcPr>
          <w:p w:rsidR="000D1B85"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165</w:t>
            </w:r>
          </w:p>
        </w:tc>
        <w:tc>
          <w:tcPr>
            <w:tcW w:w="1170" w:type="dxa"/>
          </w:tcPr>
          <w:p w:rsidR="000D1B85"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220</w:t>
            </w:r>
          </w:p>
        </w:tc>
        <w:tc>
          <w:tcPr>
            <w:tcW w:w="1170" w:type="dxa"/>
          </w:tcPr>
          <w:p w:rsidR="000D1B85"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258</w:t>
            </w:r>
          </w:p>
        </w:tc>
        <w:tc>
          <w:tcPr>
            <w:tcW w:w="1170" w:type="dxa"/>
          </w:tcPr>
          <w:p w:rsidR="000D1B85" w:rsidRPr="00E95759"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266</w:t>
            </w:r>
          </w:p>
        </w:tc>
        <w:tc>
          <w:tcPr>
            <w:tcW w:w="1890" w:type="dxa"/>
          </w:tcPr>
          <w:p w:rsidR="000D1B85" w:rsidRPr="00E95759"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3.1%</w:t>
            </w:r>
          </w:p>
        </w:tc>
        <w:tc>
          <w:tcPr>
            <w:tcW w:w="1170" w:type="dxa"/>
          </w:tcPr>
          <w:p w:rsidR="000D1B85" w:rsidRPr="00E95759"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13.7%</w:t>
            </w:r>
          </w:p>
        </w:tc>
      </w:tr>
      <w:tr w:rsidR="000D1B85" w:rsidRPr="00E95759" w:rsidTr="000B5C84">
        <w:tc>
          <w:tcPr>
            <w:cnfStyle w:val="001000000000" w:firstRow="0" w:lastRow="0" w:firstColumn="1" w:lastColumn="0" w:oddVBand="0" w:evenVBand="0" w:oddHBand="0" w:evenHBand="0" w:firstRowFirstColumn="0" w:firstRowLastColumn="0" w:lastRowFirstColumn="0" w:lastRowLastColumn="0"/>
            <w:tcW w:w="1440" w:type="dxa"/>
          </w:tcPr>
          <w:p w:rsidR="000D1B85" w:rsidRPr="00173DDF" w:rsidRDefault="000D1B85" w:rsidP="000B5C84">
            <w:pPr>
              <w:rPr>
                <w:b w:val="0"/>
                <w:sz w:val="22"/>
                <w:szCs w:val="22"/>
              </w:rPr>
            </w:pPr>
            <w:r w:rsidRPr="00173DDF">
              <w:rPr>
                <w:b w:val="0"/>
                <w:sz w:val="22"/>
                <w:szCs w:val="22"/>
              </w:rPr>
              <w:t>Worcester</w:t>
            </w:r>
          </w:p>
        </w:tc>
        <w:tc>
          <w:tcPr>
            <w:tcW w:w="1170" w:type="dxa"/>
          </w:tcPr>
          <w:p w:rsidR="000D1B85" w:rsidRPr="00E95759" w:rsidRDefault="000D1B85" w:rsidP="000B5C8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61</w:t>
            </w:r>
          </w:p>
        </w:tc>
        <w:tc>
          <w:tcPr>
            <w:tcW w:w="1170" w:type="dxa"/>
          </w:tcPr>
          <w:p w:rsidR="000D1B85" w:rsidRPr="00E95759" w:rsidRDefault="000D1B85" w:rsidP="000B5C8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86</w:t>
            </w:r>
          </w:p>
        </w:tc>
        <w:tc>
          <w:tcPr>
            <w:tcW w:w="1170" w:type="dxa"/>
          </w:tcPr>
          <w:p w:rsidR="000D1B85" w:rsidRPr="00E95759" w:rsidRDefault="000D1B85" w:rsidP="000B5C8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118</w:t>
            </w:r>
          </w:p>
        </w:tc>
        <w:tc>
          <w:tcPr>
            <w:tcW w:w="1170" w:type="dxa"/>
          </w:tcPr>
          <w:p w:rsidR="000D1B85" w:rsidRPr="00E95759" w:rsidRDefault="000D1B85" w:rsidP="000B5C8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108</w:t>
            </w:r>
          </w:p>
        </w:tc>
        <w:tc>
          <w:tcPr>
            <w:tcW w:w="1170" w:type="dxa"/>
          </w:tcPr>
          <w:p w:rsidR="000D1B85" w:rsidRPr="00E95759" w:rsidRDefault="000D1B85" w:rsidP="000B5C8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109</w:t>
            </w:r>
          </w:p>
        </w:tc>
        <w:tc>
          <w:tcPr>
            <w:tcW w:w="1890" w:type="dxa"/>
          </w:tcPr>
          <w:p w:rsidR="000D1B85" w:rsidRPr="00E95759" w:rsidRDefault="000D1B85" w:rsidP="000B5C8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0.9%</w:t>
            </w:r>
          </w:p>
        </w:tc>
        <w:tc>
          <w:tcPr>
            <w:tcW w:w="1170" w:type="dxa"/>
          </w:tcPr>
          <w:p w:rsidR="000D1B85" w:rsidRPr="00E95759" w:rsidRDefault="000D1B85" w:rsidP="000B5C8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5.6%</w:t>
            </w:r>
          </w:p>
        </w:tc>
      </w:tr>
      <w:tr w:rsidR="000D1B85" w:rsidRPr="00E95759" w:rsidTr="000B5C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0D1B85" w:rsidRPr="00173DDF" w:rsidRDefault="000D1B85" w:rsidP="000B5C84">
            <w:pPr>
              <w:rPr>
                <w:b w:val="0"/>
                <w:sz w:val="22"/>
                <w:szCs w:val="22"/>
              </w:rPr>
            </w:pPr>
            <w:r w:rsidRPr="00173DDF">
              <w:rPr>
                <w:b w:val="0"/>
                <w:sz w:val="22"/>
                <w:szCs w:val="22"/>
              </w:rPr>
              <w:t>Brockton</w:t>
            </w:r>
          </w:p>
        </w:tc>
        <w:tc>
          <w:tcPr>
            <w:tcW w:w="1170" w:type="dxa"/>
          </w:tcPr>
          <w:p w:rsidR="000D1B85" w:rsidRPr="00E95759"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39</w:t>
            </w:r>
          </w:p>
        </w:tc>
        <w:tc>
          <w:tcPr>
            <w:tcW w:w="1170" w:type="dxa"/>
          </w:tcPr>
          <w:p w:rsidR="000D1B85" w:rsidRPr="00E95759"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46</w:t>
            </w:r>
          </w:p>
        </w:tc>
        <w:tc>
          <w:tcPr>
            <w:tcW w:w="1170" w:type="dxa"/>
          </w:tcPr>
          <w:p w:rsidR="000D1B85" w:rsidRPr="00E95759"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83</w:t>
            </w:r>
          </w:p>
        </w:tc>
        <w:tc>
          <w:tcPr>
            <w:tcW w:w="1170" w:type="dxa"/>
          </w:tcPr>
          <w:p w:rsidR="000D1B85" w:rsidRPr="00E95759"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68</w:t>
            </w:r>
          </w:p>
        </w:tc>
        <w:tc>
          <w:tcPr>
            <w:tcW w:w="1170" w:type="dxa"/>
          </w:tcPr>
          <w:p w:rsidR="000D1B85" w:rsidRPr="00E95759"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69</w:t>
            </w:r>
          </w:p>
        </w:tc>
        <w:tc>
          <w:tcPr>
            <w:tcW w:w="1890" w:type="dxa"/>
          </w:tcPr>
          <w:p w:rsidR="000D1B85" w:rsidRPr="00E95759"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1.5%</w:t>
            </w:r>
          </w:p>
        </w:tc>
        <w:tc>
          <w:tcPr>
            <w:tcW w:w="1170" w:type="dxa"/>
          </w:tcPr>
          <w:p w:rsidR="000D1B85" w:rsidRPr="00E95759"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3.5%</w:t>
            </w:r>
          </w:p>
        </w:tc>
      </w:tr>
      <w:tr w:rsidR="000D1B85" w:rsidRPr="00E95759" w:rsidTr="000B5C84">
        <w:tc>
          <w:tcPr>
            <w:cnfStyle w:val="001000000000" w:firstRow="0" w:lastRow="0" w:firstColumn="1" w:lastColumn="0" w:oddVBand="0" w:evenVBand="0" w:oddHBand="0" w:evenHBand="0" w:firstRowFirstColumn="0" w:firstRowLastColumn="0" w:lastRowFirstColumn="0" w:lastRowLastColumn="0"/>
            <w:tcW w:w="1440" w:type="dxa"/>
          </w:tcPr>
          <w:p w:rsidR="000D1B85" w:rsidRPr="00173DDF" w:rsidRDefault="000D1B85" w:rsidP="000B5C84">
            <w:pPr>
              <w:rPr>
                <w:b w:val="0"/>
                <w:sz w:val="22"/>
                <w:szCs w:val="22"/>
              </w:rPr>
            </w:pPr>
            <w:r w:rsidRPr="00173DDF">
              <w:rPr>
                <w:b w:val="0"/>
                <w:sz w:val="22"/>
                <w:szCs w:val="22"/>
              </w:rPr>
              <w:t>Fall River</w:t>
            </w:r>
          </w:p>
        </w:tc>
        <w:tc>
          <w:tcPr>
            <w:tcW w:w="1170" w:type="dxa"/>
          </w:tcPr>
          <w:p w:rsidR="000D1B85" w:rsidRPr="00E95759" w:rsidRDefault="000D1B85" w:rsidP="000B5C8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31</w:t>
            </w:r>
          </w:p>
        </w:tc>
        <w:tc>
          <w:tcPr>
            <w:tcW w:w="1170" w:type="dxa"/>
          </w:tcPr>
          <w:p w:rsidR="000D1B85" w:rsidRPr="00E95759" w:rsidRDefault="000D1B85" w:rsidP="000B5C8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49</w:t>
            </w:r>
          </w:p>
        </w:tc>
        <w:tc>
          <w:tcPr>
            <w:tcW w:w="1170" w:type="dxa"/>
          </w:tcPr>
          <w:p w:rsidR="000D1B85" w:rsidRPr="00E95759" w:rsidRDefault="000D1B85" w:rsidP="000B5C8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43</w:t>
            </w:r>
          </w:p>
        </w:tc>
        <w:tc>
          <w:tcPr>
            <w:tcW w:w="1170" w:type="dxa"/>
          </w:tcPr>
          <w:p w:rsidR="000D1B85" w:rsidRPr="00E95759" w:rsidRDefault="000D1B85" w:rsidP="000B5C8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84</w:t>
            </w:r>
          </w:p>
        </w:tc>
        <w:tc>
          <w:tcPr>
            <w:tcW w:w="1170" w:type="dxa"/>
          </w:tcPr>
          <w:p w:rsidR="000D1B85" w:rsidRPr="00E95759" w:rsidRDefault="000D1B85" w:rsidP="000B5C8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63</w:t>
            </w:r>
          </w:p>
        </w:tc>
        <w:tc>
          <w:tcPr>
            <w:tcW w:w="1890" w:type="dxa"/>
          </w:tcPr>
          <w:p w:rsidR="000D1B85" w:rsidRPr="00E95759" w:rsidRDefault="000D1B85" w:rsidP="000B5C8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-25.0%</w:t>
            </w:r>
          </w:p>
        </w:tc>
        <w:tc>
          <w:tcPr>
            <w:tcW w:w="1170" w:type="dxa"/>
          </w:tcPr>
          <w:p w:rsidR="000D1B85" w:rsidRPr="00E95759" w:rsidRDefault="000D1B85" w:rsidP="000B5C8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3.2%</w:t>
            </w:r>
          </w:p>
        </w:tc>
      </w:tr>
      <w:tr w:rsidR="000D1B85" w:rsidRPr="00E95759" w:rsidTr="000B5C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0D1B85" w:rsidRPr="00173DDF" w:rsidRDefault="000D1B85" w:rsidP="000B5C84">
            <w:pPr>
              <w:rPr>
                <w:b w:val="0"/>
                <w:sz w:val="22"/>
                <w:szCs w:val="22"/>
              </w:rPr>
            </w:pPr>
            <w:r w:rsidRPr="00173DDF">
              <w:rPr>
                <w:b w:val="0"/>
                <w:sz w:val="22"/>
                <w:szCs w:val="22"/>
              </w:rPr>
              <w:t>Lynn</w:t>
            </w:r>
          </w:p>
        </w:tc>
        <w:tc>
          <w:tcPr>
            <w:tcW w:w="1170" w:type="dxa"/>
          </w:tcPr>
          <w:p w:rsidR="000D1B85" w:rsidRPr="00E95759"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27</w:t>
            </w:r>
          </w:p>
        </w:tc>
        <w:tc>
          <w:tcPr>
            <w:tcW w:w="1170" w:type="dxa"/>
          </w:tcPr>
          <w:p w:rsidR="000D1B85" w:rsidRPr="00E95759"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41</w:t>
            </w:r>
          </w:p>
        </w:tc>
        <w:tc>
          <w:tcPr>
            <w:tcW w:w="1170" w:type="dxa"/>
          </w:tcPr>
          <w:p w:rsidR="000D1B85" w:rsidRPr="00E95759"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41</w:t>
            </w:r>
          </w:p>
        </w:tc>
        <w:tc>
          <w:tcPr>
            <w:tcW w:w="1170" w:type="dxa"/>
          </w:tcPr>
          <w:p w:rsidR="000D1B85" w:rsidRPr="00E95759"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45</w:t>
            </w:r>
          </w:p>
        </w:tc>
        <w:tc>
          <w:tcPr>
            <w:tcW w:w="1170" w:type="dxa"/>
          </w:tcPr>
          <w:p w:rsidR="000D1B85" w:rsidRPr="00E95759"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61</w:t>
            </w:r>
          </w:p>
        </w:tc>
        <w:tc>
          <w:tcPr>
            <w:tcW w:w="1890" w:type="dxa"/>
          </w:tcPr>
          <w:p w:rsidR="000D1B85" w:rsidRPr="00E95759"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35.6%</w:t>
            </w:r>
          </w:p>
        </w:tc>
        <w:tc>
          <w:tcPr>
            <w:tcW w:w="1170" w:type="dxa"/>
          </w:tcPr>
          <w:p w:rsidR="000D1B85" w:rsidRPr="00E95759"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3.1%</w:t>
            </w:r>
          </w:p>
        </w:tc>
      </w:tr>
      <w:tr w:rsidR="000D1B85" w:rsidRPr="00E95759" w:rsidTr="000B5C84">
        <w:tc>
          <w:tcPr>
            <w:cnfStyle w:val="001000000000" w:firstRow="0" w:lastRow="0" w:firstColumn="1" w:lastColumn="0" w:oddVBand="0" w:evenVBand="0" w:oddHBand="0" w:evenHBand="0" w:firstRowFirstColumn="0" w:firstRowLastColumn="0" w:lastRowFirstColumn="0" w:lastRowLastColumn="0"/>
            <w:tcW w:w="1440" w:type="dxa"/>
          </w:tcPr>
          <w:p w:rsidR="000D1B85" w:rsidRPr="00173DDF" w:rsidRDefault="000D1B85" w:rsidP="000B5C84">
            <w:pPr>
              <w:rPr>
                <w:b w:val="0"/>
                <w:sz w:val="22"/>
                <w:szCs w:val="22"/>
              </w:rPr>
            </w:pPr>
            <w:r w:rsidRPr="00173DDF">
              <w:rPr>
                <w:b w:val="0"/>
                <w:sz w:val="22"/>
                <w:szCs w:val="22"/>
              </w:rPr>
              <w:t>Lowell</w:t>
            </w:r>
          </w:p>
        </w:tc>
        <w:tc>
          <w:tcPr>
            <w:tcW w:w="1170" w:type="dxa"/>
          </w:tcPr>
          <w:p w:rsidR="000D1B85" w:rsidRPr="00E95759" w:rsidRDefault="000D1B85" w:rsidP="000B5C8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29</w:t>
            </w:r>
          </w:p>
        </w:tc>
        <w:tc>
          <w:tcPr>
            <w:tcW w:w="1170" w:type="dxa"/>
          </w:tcPr>
          <w:p w:rsidR="000D1B85" w:rsidRPr="00E95759" w:rsidRDefault="000D1B85" w:rsidP="000B5C8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54</w:t>
            </w:r>
          </w:p>
        </w:tc>
        <w:tc>
          <w:tcPr>
            <w:tcW w:w="1170" w:type="dxa"/>
          </w:tcPr>
          <w:p w:rsidR="000D1B85" w:rsidRPr="00E95759" w:rsidRDefault="000D1B85" w:rsidP="000B5C8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65</w:t>
            </w:r>
          </w:p>
        </w:tc>
        <w:tc>
          <w:tcPr>
            <w:tcW w:w="1170" w:type="dxa"/>
          </w:tcPr>
          <w:p w:rsidR="000D1B85" w:rsidRPr="00E95759" w:rsidRDefault="000D1B85" w:rsidP="000B5C8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77</w:t>
            </w:r>
          </w:p>
        </w:tc>
        <w:tc>
          <w:tcPr>
            <w:tcW w:w="1170" w:type="dxa"/>
          </w:tcPr>
          <w:p w:rsidR="000D1B85" w:rsidRPr="00E95759" w:rsidRDefault="000D1B85" w:rsidP="000B5C8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55</w:t>
            </w:r>
          </w:p>
        </w:tc>
        <w:tc>
          <w:tcPr>
            <w:tcW w:w="1890" w:type="dxa"/>
          </w:tcPr>
          <w:p w:rsidR="000D1B85" w:rsidRPr="00E95759" w:rsidRDefault="000D1B85" w:rsidP="000B5C8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-28.6%</w:t>
            </w:r>
          </w:p>
        </w:tc>
        <w:tc>
          <w:tcPr>
            <w:tcW w:w="1170" w:type="dxa"/>
          </w:tcPr>
          <w:p w:rsidR="000D1B85" w:rsidRPr="00E95759" w:rsidRDefault="000D1B85" w:rsidP="000B5C8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2.8%</w:t>
            </w:r>
          </w:p>
        </w:tc>
      </w:tr>
      <w:tr w:rsidR="000D1B85" w:rsidRPr="00E95759" w:rsidTr="000B5C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0D1B85" w:rsidRPr="00173DDF" w:rsidRDefault="000D1B85" w:rsidP="000B5C84">
            <w:pPr>
              <w:rPr>
                <w:b w:val="0"/>
                <w:sz w:val="22"/>
                <w:szCs w:val="22"/>
              </w:rPr>
            </w:pPr>
            <w:r w:rsidRPr="00173DDF">
              <w:rPr>
                <w:b w:val="0"/>
                <w:sz w:val="22"/>
                <w:szCs w:val="22"/>
              </w:rPr>
              <w:t>New Bedford</w:t>
            </w:r>
          </w:p>
        </w:tc>
        <w:tc>
          <w:tcPr>
            <w:tcW w:w="1170" w:type="dxa"/>
          </w:tcPr>
          <w:p w:rsidR="000D1B85" w:rsidRPr="00E95759"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35</w:t>
            </w:r>
          </w:p>
        </w:tc>
        <w:tc>
          <w:tcPr>
            <w:tcW w:w="1170" w:type="dxa"/>
          </w:tcPr>
          <w:p w:rsidR="000D1B85" w:rsidRPr="00E95759"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36</w:t>
            </w:r>
          </w:p>
        </w:tc>
        <w:tc>
          <w:tcPr>
            <w:tcW w:w="1170" w:type="dxa"/>
          </w:tcPr>
          <w:p w:rsidR="000D1B85" w:rsidRPr="00E95759"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63</w:t>
            </w:r>
          </w:p>
        </w:tc>
        <w:tc>
          <w:tcPr>
            <w:tcW w:w="1170" w:type="dxa"/>
          </w:tcPr>
          <w:p w:rsidR="000D1B85" w:rsidRPr="00E95759"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62</w:t>
            </w:r>
          </w:p>
        </w:tc>
        <w:tc>
          <w:tcPr>
            <w:tcW w:w="1170" w:type="dxa"/>
          </w:tcPr>
          <w:p w:rsidR="000D1B85" w:rsidRPr="00E95759"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55</w:t>
            </w:r>
          </w:p>
        </w:tc>
        <w:tc>
          <w:tcPr>
            <w:tcW w:w="1890" w:type="dxa"/>
          </w:tcPr>
          <w:p w:rsidR="000D1B85" w:rsidRPr="00E95759"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-11.3%</w:t>
            </w:r>
          </w:p>
        </w:tc>
        <w:tc>
          <w:tcPr>
            <w:tcW w:w="1170" w:type="dxa"/>
          </w:tcPr>
          <w:p w:rsidR="000D1B85" w:rsidRPr="00E95759"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2.8%</w:t>
            </w:r>
          </w:p>
        </w:tc>
      </w:tr>
      <w:tr w:rsidR="000D1B85" w:rsidRPr="00E95759" w:rsidTr="000B5C84">
        <w:tc>
          <w:tcPr>
            <w:cnfStyle w:val="001000000000" w:firstRow="0" w:lastRow="0" w:firstColumn="1" w:lastColumn="0" w:oddVBand="0" w:evenVBand="0" w:oddHBand="0" w:evenHBand="0" w:firstRowFirstColumn="0" w:firstRowLastColumn="0" w:lastRowFirstColumn="0" w:lastRowLastColumn="0"/>
            <w:tcW w:w="1440" w:type="dxa"/>
          </w:tcPr>
          <w:p w:rsidR="000D1B85" w:rsidRPr="00173DDF" w:rsidRDefault="000D1B85" w:rsidP="000B5C84">
            <w:pPr>
              <w:rPr>
                <w:b w:val="0"/>
                <w:sz w:val="22"/>
                <w:szCs w:val="22"/>
              </w:rPr>
            </w:pPr>
            <w:r w:rsidRPr="00173DDF">
              <w:rPr>
                <w:b w:val="0"/>
                <w:sz w:val="22"/>
                <w:szCs w:val="22"/>
              </w:rPr>
              <w:t>Springfield</w:t>
            </w:r>
          </w:p>
        </w:tc>
        <w:tc>
          <w:tcPr>
            <w:tcW w:w="1170" w:type="dxa"/>
          </w:tcPr>
          <w:p w:rsidR="000D1B85" w:rsidRPr="00E95759" w:rsidRDefault="000D1B85" w:rsidP="000B5C8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31</w:t>
            </w:r>
          </w:p>
        </w:tc>
        <w:tc>
          <w:tcPr>
            <w:tcW w:w="1170" w:type="dxa"/>
          </w:tcPr>
          <w:p w:rsidR="000D1B85" w:rsidRPr="00E95759" w:rsidRDefault="000D1B85" w:rsidP="000B5C8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30</w:t>
            </w:r>
          </w:p>
        </w:tc>
        <w:tc>
          <w:tcPr>
            <w:tcW w:w="1170" w:type="dxa"/>
          </w:tcPr>
          <w:p w:rsidR="000D1B85" w:rsidRPr="00E95759" w:rsidRDefault="000D1B85" w:rsidP="000B5C8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62</w:t>
            </w:r>
          </w:p>
        </w:tc>
        <w:tc>
          <w:tcPr>
            <w:tcW w:w="1170" w:type="dxa"/>
          </w:tcPr>
          <w:p w:rsidR="000D1B85" w:rsidRPr="00E95759" w:rsidRDefault="000D1B85" w:rsidP="000B5C8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74</w:t>
            </w:r>
          </w:p>
        </w:tc>
        <w:tc>
          <w:tcPr>
            <w:tcW w:w="1170" w:type="dxa"/>
          </w:tcPr>
          <w:p w:rsidR="000D1B85" w:rsidRPr="00E95759" w:rsidRDefault="000D1B85" w:rsidP="000B5C8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55</w:t>
            </w:r>
          </w:p>
        </w:tc>
        <w:tc>
          <w:tcPr>
            <w:tcW w:w="1890" w:type="dxa"/>
          </w:tcPr>
          <w:p w:rsidR="000D1B85" w:rsidRPr="00E95759" w:rsidRDefault="000D1B85" w:rsidP="000B5C8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-25.7%</w:t>
            </w:r>
          </w:p>
        </w:tc>
        <w:tc>
          <w:tcPr>
            <w:tcW w:w="1170" w:type="dxa"/>
          </w:tcPr>
          <w:p w:rsidR="000D1B85" w:rsidRPr="00E95759" w:rsidRDefault="000D1B85" w:rsidP="000B5C8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2.8%</w:t>
            </w:r>
          </w:p>
        </w:tc>
      </w:tr>
      <w:tr w:rsidR="000D1B85" w:rsidRPr="00E95759" w:rsidTr="000B5C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0D1B85" w:rsidRPr="00173DDF" w:rsidRDefault="000D1B85" w:rsidP="000B5C84">
            <w:pPr>
              <w:rPr>
                <w:b w:val="0"/>
                <w:sz w:val="22"/>
                <w:szCs w:val="22"/>
              </w:rPr>
            </w:pPr>
            <w:r>
              <w:rPr>
                <w:b w:val="0"/>
                <w:sz w:val="22"/>
                <w:szCs w:val="22"/>
              </w:rPr>
              <w:t>Weymouth</w:t>
            </w:r>
          </w:p>
        </w:tc>
        <w:tc>
          <w:tcPr>
            <w:tcW w:w="1170" w:type="dxa"/>
          </w:tcPr>
          <w:p w:rsidR="000D1B85" w:rsidRPr="00E95759"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w:t>
            </w:r>
          </w:p>
        </w:tc>
        <w:tc>
          <w:tcPr>
            <w:tcW w:w="1170" w:type="dxa"/>
          </w:tcPr>
          <w:p w:rsidR="000D1B85" w:rsidRPr="00E95759"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25</w:t>
            </w:r>
          </w:p>
        </w:tc>
        <w:tc>
          <w:tcPr>
            <w:tcW w:w="1170" w:type="dxa"/>
          </w:tcPr>
          <w:p w:rsidR="000D1B85" w:rsidRPr="00E95759"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34</w:t>
            </w:r>
          </w:p>
        </w:tc>
        <w:tc>
          <w:tcPr>
            <w:tcW w:w="1170" w:type="dxa"/>
          </w:tcPr>
          <w:p w:rsidR="000D1B85" w:rsidRPr="00E95759"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57</w:t>
            </w:r>
          </w:p>
        </w:tc>
        <w:tc>
          <w:tcPr>
            <w:tcW w:w="1170" w:type="dxa"/>
          </w:tcPr>
          <w:p w:rsidR="000D1B85" w:rsidRPr="00E95759"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49</w:t>
            </w:r>
          </w:p>
        </w:tc>
        <w:tc>
          <w:tcPr>
            <w:tcW w:w="1890" w:type="dxa"/>
          </w:tcPr>
          <w:p w:rsidR="000D1B85" w:rsidRPr="00E95759"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-14.0</w:t>
            </w:r>
          </w:p>
        </w:tc>
        <w:tc>
          <w:tcPr>
            <w:tcW w:w="1170" w:type="dxa"/>
          </w:tcPr>
          <w:p w:rsidR="000D1B85" w:rsidRPr="00E95759"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2.5%</w:t>
            </w:r>
          </w:p>
        </w:tc>
      </w:tr>
      <w:tr w:rsidR="000D1B85" w:rsidRPr="00E95759" w:rsidTr="000B5C84">
        <w:tc>
          <w:tcPr>
            <w:cnfStyle w:val="001000000000" w:firstRow="0" w:lastRow="0" w:firstColumn="1" w:lastColumn="0" w:oddVBand="0" w:evenVBand="0" w:oddHBand="0" w:evenHBand="0" w:firstRowFirstColumn="0" w:firstRowLastColumn="0" w:lastRowFirstColumn="0" w:lastRowLastColumn="0"/>
            <w:tcW w:w="1440" w:type="dxa"/>
          </w:tcPr>
          <w:p w:rsidR="000D1B85" w:rsidRPr="00173DDF" w:rsidRDefault="000D1B85" w:rsidP="000B5C84">
            <w:pPr>
              <w:rPr>
                <w:b w:val="0"/>
                <w:sz w:val="22"/>
                <w:szCs w:val="22"/>
              </w:rPr>
            </w:pPr>
            <w:r w:rsidRPr="00173DDF">
              <w:rPr>
                <w:b w:val="0"/>
                <w:sz w:val="22"/>
                <w:szCs w:val="22"/>
              </w:rPr>
              <w:t>Lawrence</w:t>
            </w:r>
          </w:p>
        </w:tc>
        <w:tc>
          <w:tcPr>
            <w:tcW w:w="1170" w:type="dxa"/>
          </w:tcPr>
          <w:p w:rsidR="000D1B85" w:rsidRPr="00E95759" w:rsidRDefault="000D1B85" w:rsidP="000B5C8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w:t>
            </w:r>
          </w:p>
        </w:tc>
        <w:tc>
          <w:tcPr>
            <w:tcW w:w="1170" w:type="dxa"/>
          </w:tcPr>
          <w:p w:rsidR="000D1B85" w:rsidRPr="00E95759" w:rsidRDefault="000D1B85" w:rsidP="000B5C8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27</w:t>
            </w:r>
          </w:p>
        </w:tc>
        <w:tc>
          <w:tcPr>
            <w:tcW w:w="1170" w:type="dxa"/>
          </w:tcPr>
          <w:p w:rsidR="000D1B85" w:rsidRPr="00E95759" w:rsidRDefault="000D1B85" w:rsidP="000B5C8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41</w:t>
            </w:r>
          </w:p>
        </w:tc>
        <w:tc>
          <w:tcPr>
            <w:tcW w:w="1170" w:type="dxa"/>
          </w:tcPr>
          <w:p w:rsidR="000D1B85" w:rsidRPr="00E95759" w:rsidRDefault="000D1B85" w:rsidP="000B5C8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60</w:t>
            </w:r>
          </w:p>
        </w:tc>
        <w:tc>
          <w:tcPr>
            <w:tcW w:w="1170" w:type="dxa"/>
          </w:tcPr>
          <w:p w:rsidR="000D1B85" w:rsidRPr="00E95759" w:rsidRDefault="000D1B85" w:rsidP="000B5C8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42</w:t>
            </w:r>
          </w:p>
        </w:tc>
        <w:tc>
          <w:tcPr>
            <w:tcW w:w="1890" w:type="dxa"/>
          </w:tcPr>
          <w:p w:rsidR="000D1B85" w:rsidRPr="00E95759" w:rsidRDefault="000D1B85" w:rsidP="000B5C8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-30.0%</w:t>
            </w:r>
          </w:p>
        </w:tc>
        <w:tc>
          <w:tcPr>
            <w:tcW w:w="1170" w:type="dxa"/>
          </w:tcPr>
          <w:p w:rsidR="000D1B85" w:rsidRPr="00E95759" w:rsidRDefault="000D1B85" w:rsidP="000B5C8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2.2%</w:t>
            </w:r>
          </w:p>
        </w:tc>
      </w:tr>
      <w:tr w:rsidR="000D1B85" w:rsidRPr="00E95759" w:rsidTr="000B5C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0D1B85" w:rsidRPr="00173DDF" w:rsidRDefault="000D1B85" w:rsidP="000B5C84">
            <w:pPr>
              <w:rPr>
                <w:b w:val="0"/>
                <w:sz w:val="22"/>
                <w:szCs w:val="22"/>
              </w:rPr>
            </w:pPr>
            <w:r>
              <w:rPr>
                <w:b w:val="0"/>
                <w:sz w:val="22"/>
                <w:szCs w:val="22"/>
              </w:rPr>
              <w:t>Attleboro</w:t>
            </w:r>
          </w:p>
        </w:tc>
        <w:tc>
          <w:tcPr>
            <w:tcW w:w="1170" w:type="dxa"/>
          </w:tcPr>
          <w:p w:rsidR="000D1B85"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19</w:t>
            </w:r>
          </w:p>
        </w:tc>
        <w:tc>
          <w:tcPr>
            <w:tcW w:w="1170" w:type="dxa"/>
          </w:tcPr>
          <w:p w:rsidR="000D1B85"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16</w:t>
            </w:r>
          </w:p>
        </w:tc>
        <w:tc>
          <w:tcPr>
            <w:tcW w:w="1170" w:type="dxa"/>
          </w:tcPr>
          <w:p w:rsidR="000D1B85"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17</w:t>
            </w:r>
          </w:p>
        </w:tc>
        <w:tc>
          <w:tcPr>
            <w:tcW w:w="1170" w:type="dxa"/>
          </w:tcPr>
          <w:p w:rsidR="000D1B85"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23</w:t>
            </w:r>
          </w:p>
        </w:tc>
        <w:tc>
          <w:tcPr>
            <w:tcW w:w="1170" w:type="dxa"/>
          </w:tcPr>
          <w:p w:rsidR="000D1B85"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39</w:t>
            </w:r>
          </w:p>
        </w:tc>
        <w:tc>
          <w:tcPr>
            <w:tcW w:w="1890" w:type="dxa"/>
          </w:tcPr>
          <w:p w:rsidR="000D1B85"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69.6%</w:t>
            </w:r>
          </w:p>
        </w:tc>
        <w:tc>
          <w:tcPr>
            <w:tcW w:w="1170" w:type="dxa"/>
          </w:tcPr>
          <w:p w:rsidR="000D1B85"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w:t>
            </w:r>
          </w:p>
        </w:tc>
      </w:tr>
      <w:tr w:rsidR="000D1B85" w:rsidRPr="00E95759" w:rsidTr="000B5C84">
        <w:tc>
          <w:tcPr>
            <w:cnfStyle w:val="001000000000" w:firstRow="0" w:lastRow="0" w:firstColumn="1" w:lastColumn="0" w:oddVBand="0" w:evenVBand="0" w:oddHBand="0" w:evenHBand="0" w:firstRowFirstColumn="0" w:firstRowLastColumn="0" w:lastRowFirstColumn="0" w:lastRowLastColumn="0"/>
            <w:tcW w:w="1440" w:type="dxa"/>
          </w:tcPr>
          <w:p w:rsidR="000D1B85" w:rsidRPr="00173DDF" w:rsidRDefault="000D1B85" w:rsidP="000B5C84">
            <w:pPr>
              <w:rPr>
                <w:b w:val="0"/>
                <w:sz w:val="22"/>
                <w:szCs w:val="22"/>
              </w:rPr>
            </w:pPr>
            <w:r>
              <w:rPr>
                <w:b w:val="0"/>
                <w:sz w:val="22"/>
                <w:szCs w:val="22"/>
              </w:rPr>
              <w:t>Salem</w:t>
            </w:r>
          </w:p>
        </w:tc>
        <w:tc>
          <w:tcPr>
            <w:tcW w:w="1170" w:type="dxa"/>
          </w:tcPr>
          <w:p w:rsidR="000D1B85" w:rsidRDefault="000D1B85" w:rsidP="000B5C8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w:t>
            </w:r>
          </w:p>
        </w:tc>
        <w:tc>
          <w:tcPr>
            <w:tcW w:w="1170" w:type="dxa"/>
          </w:tcPr>
          <w:p w:rsidR="000D1B85" w:rsidRDefault="000D1B85" w:rsidP="000B5C8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22</w:t>
            </w:r>
          </w:p>
        </w:tc>
        <w:tc>
          <w:tcPr>
            <w:tcW w:w="1170" w:type="dxa"/>
          </w:tcPr>
          <w:p w:rsidR="000D1B85" w:rsidRDefault="000D1B85" w:rsidP="000B5C8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25</w:t>
            </w:r>
          </w:p>
        </w:tc>
        <w:tc>
          <w:tcPr>
            <w:tcW w:w="1170" w:type="dxa"/>
          </w:tcPr>
          <w:p w:rsidR="000D1B85" w:rsidRDefault="000D1B85" w:rsidP="000B5C8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29</w:t>
            </w:r>
          </w:p>
        </w:tc>
        <w:tc>
          <w:tcPr>
            <w:tcW w:w="1170" w:type="dxa"/>
          </w:tcPr>
          <w:p w:rsidR="000D1B85" w:rsidRDefault="000D1B85" w:rsidP="000B5C8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38</w:t>
            </w:r>
          </w:p>
        </w:tc>
        <w:tc>
          <w:tcPr>
            <w:tcW w:w="1890" w:type="dxa"/>
          </w:tcPr>
          <w:p w:rsidR="000D1B85" w:rsidRDefault="000D1B85" w:rsidP="000B5C8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31.0%</w:t>
            </w:r>
          </w:p>
        </w:tc>
        <w:tc>
          <w:tcPr>
            <w:tcW w:w="1170" w:type="dxa"/>
          </w:tcPr>
          <w:p w:rsidR="000D1B85" w:rsidRDefault="000D1B85" w:rsidP="000B5C8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2.0%</w:t>
            </w:r>
          </w:p>
        </w:tc>
      </w:tr>
      <w:tr w:rsidR="000D1B85" w:rsidRPr="00E95759" w:rsidTr="000B5C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0D1B85" w:rsidRPr="00173DDF" w:rsidRDefault="000D1B85" w:rsidP="000B5C84">
            <w:pPr>
              <w:rPr>
                <w:b w:val="0"/>
                <w:sz w:val="22"/>
                <w:szCs w:val="22"/>
              </w:rPr>
            </w:pPr>
            <w:r w:rsidRPr="00173DDF">
              <w:rPr>
                <w:b w:val="0"/>
                <w:sz w:val="22"/>
                <w:szCs w:val="22"/>
              </w:rPr>
              <w:t>Quincy</w:t>
            </w:r>
          </w:p>
        </w:tc>
        <w:tc>
          <w:tcPr>
            <w:tcW w:w="1170" w:type="dxa"/>
          </w:tcPr>
          <w:p w:rsidR="000D1B85" w:rsidRPr="00E95759"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24</w:t>
            </w:r>
          </w:p>
        </w:tc>
        <w:tc>
          <w:tcPr>
            <w:tcW w:w="1170" w:type="dxa"/>
          </w:tcPr>
          <w:p w:rsidR="000D1B85" w:rsidRPr="00E95759"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39</w:t>
            </w:r>
          </w:p>
        </w:tc>
        <w:tc>
          <w:tcPr>
            <w:tcW w:w="1170" w:type="dxa"/>
          </w:tcPr>
          <w:p w:rsidR="000D1B85" w:rsidRPr="00E95759"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42</w:t>
            </w:r>
          </w:p>
        </w:tc>
        <w:tc>
          <w:tcPr>
            <w:tcW w:w="1170" w:type="dxa"/>
          </w:tcPr>
          <w:p w:rsidR="000D1B85" w:rsidRPr="00E95759"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36</w:t>
            </w:r>
          </w:p>
        </w:tc>
        <w:tc>
          <w:tcPr>
            <w:tcW w:w="1170" w:type="dxa"/>
          </w:tcPr>
          <w:p w:rsidR="000D1B85" w:rsidRPr="00E95759"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37</w:t>
            </w:r>
          </w:p>
        </w:tc>
        <w:tc>
          <w:tcPr>
            <w:tcW w:w="1890" w:type="dxa"/>
          </w:tcPr>
          <w:p w:rsidR="000D1B85" w:rsidRPr="00E95759"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2.8%</w:t>
            </w:r>
          </w:p>
        </w:tc>
        <w:tc>
          <w:tcPr>
            <w:tcW w:w="1170" w:type="dxa"/>
          </w:tcPr>
          <w:p w:rsidR="000D1B85" w:rsidRPr="00E95759"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1.9%</w:t>
            </w:r>
          </w:p>
        </w:tc>
      </w:tr>
      <w:tr w:rsidR="000D1B85" w:rsidRPr="00E95759" w:rsidTr="000B5C84">
        <w:tc>
          <w:tcPr>
            <w:cnfStyle w:val="001000000000" w:firstRow="0" w:lastRow="0" w:firstColumn="1" w:lastColumn="0" w:oddVBand="0" w:evenVBand="0" w:oddHBand="0" w:evenHBand="0" w:firstRowFirstColumn="0" w:firstRowLastColumn="0" w:lastRowFirstColumn="0" w:lastRowLastColumn="0"/>
            <w:tcW w:w="1440" w:type="dxa"/>
          </w:tcPr>
          <w:p w:rsidR="000D1B85" w:rsidRPr="00173DDF" w:rsidRDefault="000D1B85" w:rsidP="000B5C84">
            <w:pPr>
              <w:rPr>
                <w:b w:val="0"/>
                <w:sz w:val="22"/>
                <w:szCs w:val="22"/>
              </w:rPr>
            </w:pPr>
            <w:r w:rsidRPr="00173DDF">
              <w:rPr>
                <w:b w:val="0"/>
                <w:sz w:val="22"/>
                <w:szCs w:val="22"/>
              </w:rPr>
              <w:t>Everett</w:t>
            </w:r>
          </w:p>
        </w:tc>
        <w:tc>
          <w:tcPr>
            <w:tcW w:w="1170" w:type="dxa"/>
          </w:tcPr>
          <w:p w:rsidR="000D1B85" w:rsidRPr="00E95759" w:rsidRDefault="000D1B85" w:rsidP="000B5C8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19</w:t>
            </w:r>
          </w:p>
        </w:tc>
        <w:tc>
          <w:tcPr>
            <w:tcW w:w="1170" w:type="dxa"/>
          </w:tcPr>
          <w:p w:rsidR="000D1B85" w:rsidRPr="00E95759" w:rsidRDefault="000D1B85" w:rsidP="000B5C8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34</w:t>
            </w:r>
          </w:p>
        </w:tc>
        <w:tc>
          <w:tcPr>
            <w:tcW w:w="1170" w:type="dxa"/>
          </w:tcPr>
          <w:p w:rsidR="000D1B85" w:rsidRPr="00E95759" w:rsidRDefault="000D1B85" w:rsidP="000B5C8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43</w:t>
            </w:r>
          </w:p>
        </w:tc>
        <w:tc>
          <w:tcPr>
            <w:tcW w:w="1170" w:type="dxa"/>
          </w:tcPr>
          <w:p w:rsidR="000D1B85" w:rsidRPr="00E95759" w:rsidRDefault="000D1B85" w:rsidP="000B5C8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39</w:t>
            </w:r>
          </w:p>
        </w:tc>
        <w:tc>
          <w:tcPr>
            <w:tcW w:w="1170" w:type="dxa"/>
          </w:tcPr>
          <w:p w:rsidR="000D1B85" w:rsidRPr="00E95759" w:rsidRDefault="000D1B85" w:rsidP="000B5C8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32</w:t>
            </w:r>
          </w:p>
        </w:tc>
        <w:tc>
          <w:tcPr>
            <w:tcW w:w="1890" w:type="dxa"/>
          </w:tcPr>
          <w:p w:rsidR="000D1B85" w:rsidRPr="00E95759" w:rsidRDefault="000D1B85" w:rsidP="000B5C8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-17.9%</w:t>
            </w:r>
          </w:p>
        </w:tc>
        <w:tc>
          <w:tcPr>
            <w:tcW w:w="1170" w:type="dxa"/>
          </w:tcPr>
          <w:p w:rsidR="000D1B85" w:rsidRPr="00E95759" w:rsidRDefault="000D1B85" w:rsidP="000B5C84">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1.6%</w:t>
            </w:r>
          </w:p>
        </w:tc>
      </w:tr>
      <w:tr w:rsidR="000D1B85" w:rsidRPr="00E95759" w:rsidTr="000B5C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0D1B85" w:rsidRPr="00173DDF" w:rsidRDefault="000D1B85" w:rsidP="000B5C84">
            <w:pPr>
              <w:rPr>
                <w:b w:val="0"/>
                <w:sz w:val="22"/>
                <w:szCs w:val="22"/>
              </w:rPr>
            </w:pPr>
            <w:r w:rsidRPr="00173DDF">
              <w:rPr>
                <w:b w:val="0"/>
                <w:sz w:val="22"/>
                <w:szCs w:val="22"/>
              </w:rPr>
              <w:t>Taunton</w:t>
            </w:r>
          </w:p>
        </w:tc>
        <w:tc>
          <w:tcPr>
            <w:tcW w:w="1170" w:type="dxa"/>
          </w:tcPr>
          <w:p w:rsidR="000D1B85" w:rsidRPr="00E95759"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18</w:t>
            </w:r>
          </w:p>
        </w:tc>
        <w:tc>
          <w:tcPr>
            <w:tcW w:w="1170" w:type="dxa"/>
          </w:tcPr>
          <w:p w:rsidR="000D1B85" w:rsidRPr="00E95759"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23</w:t>
            </w:r>
          </w:p>
        </w:tc>
        <w:tc>
          <w:tcPr>
            <w:tcW w:w="1170" w:type="dxa"/>
          </w:tcPr>
          <w:p w:rsidR="000D1B85" w:rsidRPr="00E95759"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18</w:t>
            </w:r>
          </w:p>
        </w:tc>
        <w:tc>
          <w:tcPr>
            <w:tcW w:w="1170" w:type="dxa"/>
          </w:tcPr>
          <w:p w:rsidR="000D1B85" w:rsidRPr="00E95759"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44</w:t>
            </w:r>
          </w:p>
        </w:tc>
        <w:tc>
          <w:tcPr>
            <w:tcW w:w="1170" w:type="dxa"/>
          </w:tcPr>
          <w:p w:rsidR="000D1B85" w:rsidRPr="00E95759"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31</w:t>
            </w:r>
          </w:p>
        </w:tc>
        <w:tc>
          <w:tcPr>
            <w:tcW w:w="1890" w:type="dxa"/>
          </w:tcPr>
          <w:p w:rsidR="000D1B85" w:rsidRPr="00E95759"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-29.5%</w:t>
            </w:r>
          </w:p>
        </w:tc>
        <w:tc>
          <w:tcPr>
            <w:tcW w:w="1170" w:type="dxa"/>
          </w:tcPr>
          <w:p w:rsidR="000D1B85" w:rsidRPr="00E95759" w:rsidRDefault="000D1B85" w:rsidP="000B5C84">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1.6%</w:t>
            </w:r>
          </w:p>
        </w:tc>
      </w:tr>
    </w:tbl>
    <w:p w:rsidR="000D1B85" w:rsidRPr="00D10D58" w:rsidRDefault="000D1B85" w:rsidP="00D647A0">
      <w:pPr>
        <w:ind w:right="-540"/>
        <w:rPr>
          <w:sz w:val="20"/>
          <w:szCs w:val="20"/>
        </w:rPr>
      </w:pPr>
      <w:r w:rsidRPr="00AF28CC">
        <w:rPr>
          <w:sz w:val="20"/>
          <w:szCs w:val="20"/>
        </w:rPr>
        <w:t>Source: Massachusetts Department of Public Health,</w:t>
      </w:r>
      <w:r>
        <w:rPr>
          <w:sz w:val="20"/>
          <w:szCs w:val="20"/>
        </w:rPr>
        <w:t xml:space="preserve"> Registry of Vital Records and Statistics</w:t>
      </w:r>
      <w:r w:rsidRPr="00AF28CC">
        <w:rPr>
          <w:sz w:val="20"/>
          <w:szCs w:val="20"/>
        </w:rPr>
        <w:t>,</w:t>
      </w:r>
      <w:r>
        <w:rPr>
          <w:sz w:val="20"/>
          <w:szCs w:val="20"/>
        </w:rPr>
        <w:t xml:space="preserve"> </w:t>
      </w:r>
      <w:r w:rsidRPr="00F537C6">
        <w:rPr>
          <w:i/>
          <w:sz w:val="20"/>
          <w:szCs w:val="20"/>
        </w:rPr>
        <w:t>Number of Opioid</w:t>
      </w:r>
      <w:r w:rsidRPr="00D10D58">
        <w:rPr>
          <w:i/>
          <w:sz w:val="20"/>
          <w:szCs w:val="20"/>
          <w:vertAlign w:val="superscript"/>
        </w:rPr>
        <w:t>1</w:t>
      </w:r>
      <w:r w:rsidRPr="00F537C6">
        <w:rPr>
          <w:i/>
          <w:sz w:val="20"/>
          <w:szCs w:val="20"/>
        </w:rPr>
        <w:t>-</w:t>
      </w:r>
      <w:r>
        <w:rPr>
          <w:i/>
          <w:sz w:val="20"/>
          <w:szCs w:val="20"/>
        </w:rPr>
        <w:t>R</w:t>
      </w:r>
      <w:r w:rsidRPr="00F537C6">
        <w:rPr>
          <w:i/>
          <w:sz w:val="20"/>
          <w:szCs w:val="20"/>
        </w:rPr>
        <w:t xml:space="preserve">elated </w:t>
      </w:r>
      <w:r>
        <w:rPr>
          <w:i/>
          <w:sz w:val="20"/>
          <w:szCs w:val="20"/>
        </w:rPr>
        <w:t>O</w:t>
      </w:r>
      <w:r w:rsidRPr="00F537C6">
        <w:rPr>
          <w:i/>
          <w:sz w:val="20"/>
          <w:szCs w:val="20"/>
        </w:rPr>
        <w:t>verdose Deaths</w:t>
      </w:r>
      <w:r>
        <w:rPr>
          <w:i/>
          <w:sz w:val="20"/>
          <w:szCs w:val="20"/>
        </w:rPr>
        <w:t>, All Intents</w:t>
      </w:r>
      <w:r w:rsidRPr="00F537C6">
        <w:rPr>
          <w:i/>
          <w:sz w:val="20"/>
          <w:szCs w:val="20"/>
        </w:rPr>
        <w:t xml:space="preserve"> by City/Town, </w:t>
      </w:r>
      <w:r>
        <w:rPr>
          <w:i/>
          <w:sz w:val="20"/>
          <w:szCs w:val="20"/>
        </w:rPr>
        <w:t>2013 – 2017.</w:t>
      </w:r>
      <w:r>
        <w:rPr>
          <w:sz w:val="20"/>
          <w:szCs w:val="20"/>
        </w:rPr>
        <w:t xml:space="preserve"> Posted May 2018. </w:t>
      </w:r>
      <w:r>
        <w:rPr>
          <w:i/>
          <w:sz w:val="20"/>
          <w:szCs w:val="20"/>
        </w:rPr>
        <w:t xml:space="preserve"> </w:t>
      </w:r>
    </w:p>
    <w:p w:rsidR="000D1B85" w:rsidRDefault="000D1B85" w:rsidP="00D647A0">
      <w:pPr>
        <w:rPr>
          <w:rFonts w:eastAsia="Times New Roman"/>
          <w:sz w:val="20"/>
          <w:szCs w:val="20"/>
          <w:lang w:eastAsia="en-US"/>
        </w:rPr>
      </w:pPr>
      <w:r w:rsidRPr="00AF28CC">
        <w:rPr>
          <w:rFonts w:eastAsia="Times New Roman"/>
          <w:sz w:val="20"/>
          <w:szCs w:val="20"/>
          <w:vertAlign w:val="superscript"/>
          <w:lang w:eastAsia="en-US"/>
        </w:rPr>
        <w:t>1</w:t>
      </w:r>
      <w:r>
        <w:rPr>
          <w:rFonts w:eastAsia="Times New Roman"/>
          <w:sz w:val="20"/>
          <w:szCs w:val="20"/>
          <w:vertAlign w:val="superscript"/>
          <w:lang w:eastAsia="en-US"/>
        </w:rPr>
        <w:t xml:space="preserve"> </w:t>
      </w:r>
      <w:r w:rsidRPr="00AF28CC">
        <w:rPr>
          <w:rFonts w:eastAsia="Times New Roman"/>
          <w:sz w:val="20"/>
          <w:szCs w:val="20"/>
          <w:lang w:eastAsia="en-US"/>
        </w:rPr>
        <w:t>Opioids include heroin, opioid-based prescription painkillers, and other unspecified opioids.</w:t>
      </w:r>
    </w:p>
    <w:p w:rsidR="000D1B85" w:rsidRDefault="000D1B85" w:rsidP="00D647A0">
      <w:pPr>
        <w:rPr>
          <w:rFonts w:eastAsia="Times New Roman"/>
          <w:sz w:val="20"/>
          <w:szCs w:val="20"/>
          <w:lang w:eastAsia="en-US"/>
        </w:rPr>
      </w:pPr>
      <w:r w:rsidRPr="00C04D9A">
        <w:rPr>
          <w:rFonts w:eastAsia="Times New Roman"/>
          <w:sz w:val="20"/>
          <w:szCs w:val="20"/>
          <w:vertAlign w:val="superscript"/>
          <w:lang w:eastAsia="en-US"/>
        </w:rPr>
        <w:t>2</w:t>
      </w:r>
      <w:r>
        <w:rPr>
          <w:rFonts w:eastAsia="Times New Roman"/>
          <w:sz w:val="20"/>
          <w:szCs w:val="20"/>
          <w:lang w:eastAsia="en-US"/>
        </w:rPr>
        <w:t xml:space="preserve"> Table 6 contains counts of opioid-related overdose deaths in the city/town of residence for the decedents among Massachusetts residents. </w:t>
      </w:r>
    </w:p>
    <w:p w:rsidR="000D1B85" w:rsidRPr="00BB7E27" w:rsidRDefault="000D1B85" w:rsidP="00D647A0">
      <w:pPr>
        <w:ind w:right="-540"/>
        <w:rPr>
          <w:rFonts w:eastAsia="Times New Roman"/>
          <w:sz w:val="20"/>
          <w:szCs w:val="20"/>
          <w:lang w:eastAsia="en-US"/>
        </w:rPr>
      </w:pPr>
      <w:r w:rsidRPr="008D2DA9">
        <w:rPr>
          <w:rFonts w:eastAsia="Times New Roman"/>
          <w:sz w:val="20"/>
          <w:szCs w:val="20"/>
          <w:vertAlign w:val="superscript"/>
          <w:lang w:eastAsia="en-US"/>
        </w:rPr>
        <w:t>3</w:t>
      </w:r>
      <w:r>
        <w:rPr>
          <w:rFonts w:eastAsia="Times New Roman"/>
          <w:sz w:val="20"/>
          <w:szCs w:val="20"/>
          <w:vertAlign w:val="superscript"/>
          <w:lang w:eastAsia="en-US"/>
        </w:rPr>
        <w:t xml:space="preserve"> </w:t>
      </w:r>
      <w:r>
        <w:rPr>
          <w:rFonts w:eastAsia="Times New Roman"/>
          <w:sz w:val="20"/>
          <w:szCs w:val="20"/>
          <w:lang w:eastAsia="en-US"/>
        </w:rPr>
        <w:t xml:space="preserve">The data includes all opioid-related overdoses due to difficulties in reporting heroin-associated overdoses separately.   Many deaths related to heroin are not specifically coded as such due to the fast metabolism of heroin into morphine. </w:t>
      </w:r>
      <w:r w:rsidRPr="00BB7E27">
        <w:rPr>
          <w:sz w:val="20"/>
          <w:szCs w:val="20"/>
        </w:rPr>
        <w:t>Please note that 2016-2017 death data are preliminary and subject to updates. Case reviews of deaths are evaluated and updated on an ongoing basis. A large number of death certificates have yet to be assigned final cause-of-death codes. The information presented in this city/town table only includes confirmed cases. Data updated on 4/20/2018.</w:t>
      </w:r>
    </w:p>
    <w:p w:rsidR="00096E07" w:rsidRDefault="00096E07" w:rsidP="00432B4C">
      <w:pPr>
        <w:ind w:right="-90"/>
      </w:pPr>
      <w:r>
        <w:lastRenderedPageBreak/>
        <w:t>I</w:t>
      </w:r>
      <w:r w:rsidRPr="006F4D90">
        <w:t>n 2015, Boston</w:t>
      </w:r>
      <w:r>
        <w:t xml:space="preserve"> remain</w:t>
      </w:r>
      <w:r w:rsidR="00181951">
        <w:t>ed</w:t>
      </w:r>
      <w:r w:rsidRPr="006F4D90">
        <w:t xml:space="preserve"> unrelenting with the highest number of </w:t>
      </w:r>
      <w:r>
        <w:t xml:space="preserve">nonfatal </w:t>
      </w:r>
      <w:r w:rsidRPr="006F4D90">
        <w:t xml:space="preserve">opioid-related </w:t>
      </w:r>
      <w:r>
        <w:t xml:space="preserve">overdoses, </w:t>
      </w:r>
      <w:r w:rsidRPr="006F4D90">
        <w:t>account</w:t>
      </w:r>
      <w:r>
        <w:t>ing</w:t>
      </w:r>
      <w:r w:rsidRPr="006F4D90">
        <w:t xml:space="preserve"> for almost 10% of the total opioid-related </w:t>
      </w:r>
      <w:r>
        <w:t>overdoses</w:t>
      </w:r>
      <w:r w:rsidRPr="006F4D90">
        <w:t xml:space="preserve"> in the state</w:t>
      </w:r>
      <w:r>
        <w:t xml:space="preserve"> (Table </w:t>
      </w:r>
      <w:r w:rsidR="00C37493">
        <w:t>1</w:t>
      </w:r>
      <w:r w:rsidR="00B93B87">
        <w:t>5</w:t>
      </w:r>
      <w:r>
        <w:t>)</w:t>
      </w:r>
      <w:r w:rsidRPr="006F4D90">
        <w:t xml:space="preserve">.  The 41% </w:t>
      </w:r>
      <w:r>
        <w:t>increase from the previous year highlights the burgeoning opioid crisis that continues in Boston and many Massachusetts’ cities and towns.  For example, Lawrence experienced a 105% increase in FFY 2015 from the previous year in nonfatal opioid-related overdoses, (105 in FFY 2014 to 215 in FFY 2015).</w:t>
      </w:r>
    </w:p>
    <w:p w:rsidR="00432B4C" w:rsidRDefault="00432B4C" w:rsidP="00096E07"/>
    <w:tbl>
      <w:tblPr>
        <w:tblStyle w:val="LightShading-Accent1"/>
        <w:tblW w:w="10332" w:type="dxa"/>
        <w:tblInd w:w="-72" w:type="dxa"/>
        <w:tblLayout w:type="fixed"/>
        <w:tblLook w:val="04A0" w:firstRow="1" w:lastRow="0" w:firstColumn="1" w:lastColumn="0" w:noHBand="0" w:noVBand="1"/>
      </w:tblPr>
      <w:tblGrid>
        <w:gridCol w:w="1530"/>
        <w:gridCol w:w="1152"/>
        <w:gridCol w:w="1170"/>
        <w:gridCol w:w="1170"/>
        <w:gridCol w:w="1170"/>
        <w:gridCol w:w="1170"/>
        <w:gridCol w:w="1710"/>
        <w:gridCol w:w="1260"/>
      </w:tblGrid>
      <w:tr w:rsidR="00096E07" w:rsidRPr="00E95759" w:rsidTr="00096E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32" w:type="dxa"/>
            <w:gridSpan w:val="8"/>
          </w:tcPr>
          <w:p w:rsidR="00096E07" w:rsidRPr="009C5800" w:rsidRDefault="00096E07" w:rsidP="00096E07">
            <w:pPr>
              <w:jc w:val="center"/>
              <w:rPr>
                <w:smallCaps/>
                <w:sz w:val="22"/>
                <w:szCs w:val="22"/>
              </w:rPr>
            </w:pPr>
            <w:r w:rsidRPr="009C5800">
              <w:rPr>
                <w:smallCaps/>
                <w:sz w:val="22"/>
                <w:szCs w:val="22"/>
              </w:rPr>
              <w:t xml:space="preserve">Table </w:t>
            </w:r>
            <w:r w:rsidR="00C37493">
              <w:rPr>
                <w:smallCaps/>
                <w:sz w:val="22"/>
                <w:szCs w:val="22"/>
              </w:rPr>
              <w:t>1</w:t>
            </w:r>
            <w:r w:rsidR="00B93B87">
              <w:rPr>
                <w:smallCaps/>
                <w:sz w:val="22"/>
                <w:szCs w:val="22"/>
              </w:rPr>
              <w:t>5</w:t>
            </w:r>
            <w:r w:rsidRPr="009C5800">
              <w:rPr>
                <w:smallCaps/>
                <w:sz w:val="22"/>
                <w:szCs w:val="22"/>
              </w:rPr>
              <w:t xml:space="preserve">. Top 15 Massachusetts City/Town for Nonfatal Opioid-related Overdoses, </w:t>
            </w:r>
          </w:p>
          <w:p w:rsidR="00096E07" w:rsidRDefault="00096E07" w:rsidP="00096E07">
            <w:pPr>
              <w:jc w:val="center"/>
              <w:rPr>
                <w:smallCaps/>
                <w:sz w:val="22"/>
                <w:szCs w:val="22"/>
              </w:rPr>
            </w:pPr>
            <w:r>
              <w:rPr>
                <w:smallCaps/>
                <w:sz w:val="22"/>
                <w:szCs w:val="22"/>
              </w:rPr>
              <w:t>Hospital Events</w:t>
            </w:r>
          </w:p>
          <w:p w:rsidR="00096E07" w:rsidRPr="00E95759" w:rsidRDefault="00096E07" w:rsidP="00096E07">
            <w:pPr>
              <w:jc w:val="center"/>
              <w:rPr>
                <w:b w:val="0"/>
                <w:smallCaps/>
                <w:sz w:val="22"/>
                <w:szCs w:val="22"/>
              </w:rPr>
            </w:pPr>
            <w:r w:rsidRPr="009C5800">
              <w:rPr>
                <w:smallCaps/>
                <w:sz w:val="22"/>
                <w:szCs w:val="22"/>
              </w:rPr>
              <w:t>FFY 2011 – FFY 2015</w:t>
            </w:r>
          </w:p>
        </w:tc>
      </w:tr>
      <w:tr w:rsidR="00096E07" w:rsidRPr="00E95759" w:rsidTr="00096E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vAlign w:val="center"/>
          </w:tcPr>
          <w:p w:rsidR="00096E07" w:rsidRPr="009C5800" w:rsidRDefault="00096E07" w:rsidP="00096E07">
            <w:pPr>
              <w:rPr>
                <w:sz w:val="22"/>
                <w:szCs w:val="22"/>
              </w:rPr>
            </w:pPr>
            <w:r w:rsidRPr="009C5800">
              <w:rPr>
                <w:sz w:val="22"/>
                <w:szCs w:val="22"/>
              </w:rPr>
              <w:t>City/Town</w:t>
            </w:r>
          </w:p>
        </w:tc>
        <w:tc>
          <w:tcPr>
            <w:tcW w:w="5832" w:type="dxa"/>
            <w:gridSpan w:val="5"/>
            <w:vAlign w:val="center"/>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Number of Overdoses</w:t>
            </w:r>
          </w:p>
        </w:tc>
        <w:tc>
          <w:tcPr>
            <w:tcW w:w="1710" w:type="dxa"/>
            <w:vAlign w:val="center"/>
          </w:tcPr>
          <w:p w:rsidR="00096E07" w:rsidRDefault="00096E07" w:rsidP="00096E07">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E95759">
              <w:rPr>
                <w:b/>
                <w:sz w:val="22"/>
                <w:szCs w:val="22"/>
              </w:rPr>
              <w:t>% Change</w:t>
            </w:r>
          </w:p>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 xml:space="preserve">FFY 14-FFY </w:t>
            </w:r>
            <w:r w:rsidRPr="00E95759">
              <w:rPr>
                <w:b/>
                <w:sz w:val="22"/>
                <w:szCs w:val="22"/>
              </w:rPr>
              <w:t>15</w:t>
            </w:r>
          </w:p>
        </w:tc>
        <w:tc>
          <w:tcPr>
            <w:tcW w:w="126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E95759">
              <w:rPr>
                <w:b/>
                <w:sz w:val="22"/>
                <w:szCs w:val="22"/>
              </w:rPr>
              <w:t>% of 2015 Total</w:t>
            </w:r>
          </w:p>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E95759">
              <w:rPr>
                <w:b/>
                <w:sz w:val="22"/>
                <w:szCs w:val="22"/>
              </w:rPr>
              <w:t>(n=</w:t>
            </w:r>
            <w:r>
              <w:rPr>
                <w:b/>
                <w:sz w:val="22"/>
                <w:szCs w:val="22"/>
              </w:rPr>
              <w:t>11,794</w:t>
            </w:r>
            <w:r w:rsidRPr="00E95759">
              <w:rPr>
                <w:b/>
                <w:sz w:val="22"/>
                <w:szCs w:val="22"/>
              </w:rPr>
              <w:t>)</w:t>
            </w:r>
          </w:p>
        </w:tc>
      </w:tr>
      <w:tr w:rsidR="00096E07" w:rsidRPr="00E95759" w:rsidTr="00096E07">
        <w:tc>
          <w:tcPr>
            <w:cnfStyle w:val="001000000000" w:firstRow="0" w:lastRow="0" w:firstColumn="1" w:lastColumn="0" w:oddVBand="0" w:evenVBand="0" w:oddHBand="0" w:evenHBand="0" w:firstRowFirstColumn="0" w:firstRowLastColumn="0" w:lastRowFirstColumn="0" w:lastRowLastColumn="0"/>
            <w:tcW w:w="1530" w:type="dxa"/>
          </w:tcPr>
          <w:p w:rsidR="00096E07" w:rsidRPr="00E95759" w:rsidRDefault="00096E07" w:rsidP="00096E07">
            <w:pPr>
              <w:rPr>
                <w:sz w:val="22"/>
                <w:szCs w:val="22"/>
              </w:rPr>
            </w:pPr>
          </w:p>
        </w:tc>
        <w:tc>
          <w:tcPr>
            <w:tcW w:w="1152" w:type="dxa"/>
          </w:tcPr>
          <w:p w:rsidR="00096E07" w:rsidRPr="00765058" w:rsidRDefault="00096E07" w:rsidP="00096E07">
            <w:pPr>
              <w:jc w:val="center"/>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F</w:t>
            </w:r>
            <w:r w:rsidRPr="00765058">
              <w:rPr>
                <w:b/>
                <w:sz w:val="22"/>
                <w:szCs w:val="22"/>
              </w:rPr>
              <w:t>FY</w:t>
            </w:r>
            <w:r>
              <w:rPr>
                <w:b/>
                <w:sz w:val="22"/>
                <w:szCs w:val="22"/>
              </w:rPr>
              <w:t>20</w:t>
            </w:r>
            <w:r w:rsidRPr="00765058">
              <w:rPr>
                <w:b/>
                <w:sz w:val="22"/>
                <w:szCs w:val="22"/>
              </w:rPr>
              <w:t>11</w:t>
            </w:r>
          </w:p>
        </w:tc>
        <w:tc>
          <w:tcPr>
            <w:tcW w:w="1170" w:type="dxa"/>
          </w:tcPr>
          <w:p w:rsidR="00096E07" w:rsidRPr="00765058" w:rsidRDefault="00096E07" w:rsidP="00096E07">
            <w:pPr>
              <w:jc w:val="center"/>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F</w:t>
            </w:r>
            <w:r w:rsidRPr="00765058">
              <w:rPr>
                <w:b/>
                <w:sz w:val="22"/>
                <w:szCs w:val="22"/>
              </w:rPr>
              <w:t>FY2012</w:t>
            </w:r>
          </w:p>
        </w:tc>
        <w:tc>
          <w:tcPr>
            <w:tcW w:w="1170" w:type="dxa"/>
          </w:tcPr>
          <w:p w:rsidR="00096E07" w:rsidRPr="00765058" w:rsidRDefault="00096E07" w:rsidP="00096E07">
            <w:pPr>
              <w:jc w:val="center"/>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F</w:t>
            </w:r>
            <w:r w:rsidRPr="00765058">
              <w:rPr>
                <w:b/>
                <w:sz w:val="22"/>
                <w:szCs w:val="22"/>
              </w:rPr>
              <w:t>FY2013</w:t>
            </w:r>
          </w:p>
        </w:tc>
        <w:tc>
          <w:tcPr>
            <w:tcW w:w="1170" w:type="dxa"/>
          </w:tcPr>
          <w:p w:rsidR="00096E07" w:rsidRPr="00765058" w:rsidRDefault="00096E07" w:rsidP="00096E07">
            <w:pPr>
              <w:jc w:val="center"/>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F</w:t>
            </w:r>
            <w:r w:rsidRPr="00765058">
              <w:rPr>
                <w:b/>
                <w:sz w:val="22"/>
                <w:szCs w:val="22"/>
              </w:rPr>
              <w:t>FY2014</w:t>
            </w:r>
          </w:p>
        </w:tc>
        <w:tc>
          <w:tcPr>
            <w:tcW w:w="1170" w:type="dxa"/>
          </w:tcPr>
          <w:p w:rsidR="00096E07" w:rsidRPr="00765058" w:rsidRDefault="00096E07" w:rsidP="00096E07">
            <w:pPr>
              <w:jc w:val="center"/>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F</w:t>
            </w:r>
            <w:r w:rsidRPr="00765058">
              <w:rPr>
                <w:b/>
                <w:sz w:val="22"/>
                <w:szCs w:val="22"/>
              </w:rPr>
              <w:t>FY2015</w:t>
            </w:r>
          </w:p>
        </w:tc>
        <w:tc>
          <w:tcPr>
            <w:tcW w:w="171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26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096E07" w:rsidRPr="00E95759" w:rsidTr="00096E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rsidR="00096E07" w:rsidRPr="00741A47" w:rsidRDefault="00096E07" w:rsidP="00096E07">
            <w:pPr>
              <w:rPr>
                <w:b w:val="0"/>
                <w:sz w:val="22"/>
                <w:szCs w:val="22"/>
              </w:rPr>
            </w:pPr>
            <w:r w:rsidRPr="00741A47">
              <w:rPr>
                <w:b w:val="0"/>
                <w:sz w:val="22"/>
                <w:szCs w:val="22"/>
              </w:rPr>
              <w:t>Boston</w:t>
            </w:r>
          </w:p>
        </w:tc>
        <w:tc>
          <w:tcPr>
            <w:tcW w:w="1152"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623</w:t>
            </w:r>
          </w:p>
        </w:tc>
        <w:tc>
          <w:tcPr>
            <w:tcW w:w="1170" w:type="dxa"/>
          </w:tcPr>
          <w:p w:rsidR="00096E07"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716</w:t>
            </w:r>
          </w:p>
        </w:tc>
        <w:tc>
          <w:tcPr>
            <w:tcW w:w="1170" w:type="dxa"/>
          </w:tcPr>
          <w:p w:rsidR="00096E07"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802</w:t>
            </w:r>
          </w:p>
        </w:tc>
        <w:tc>
          <w:tcPr>
            <w:tcW w:w="1170" w:type="dxa"/>
          </w:tcPr>
          <w:p w:rsidR="00096E07"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803</w:t>
            </w:r>
          </w:p>
        </w:tc>
        <w:tc>
          <w:tcPr>
            <w:tcW w:w="117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1,132</w:t>
            </w:r>
          </w:p>
        </w:tc>
        <w:tc>
          <w:tcPr>
            <w:tcW w:w="171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41.0%</w:t>
            </w:r>
          </w:p>
        </w:tc>
        <w:tc>
          <w:tcPr>
            <w:tcW w:w="126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9.6%</w:t>
            </w:r>
          </w:p>
        </w:tc>
      </w:tr>
      <w:tr w:rsidR="00096E07" w:rsidRPr="00E95759" w:rsidTr="00096E07">
        <w:tc>
          <w:tcPr>
            <w:cnfStyle w:val="001000000000" w:firstRow="0" w:lastRow="0" w:firstColumn="1" w:lastColumn="0" w:oddVBand="0" w:evenVBand="0" w:oddHBand="0" w:evenHBand="0" w:firstRowFirstColumn="0" w:firstRowLastColumn="0" w:lastRowFirstColumn="0" w:lastRowLastColumn="0"/>
            <w:tcW w:w="1530" w:type="dxa"/>
          </w:tcPr>
          <w:p w:rsidR="00096E07" w:rsidRPr="00741A47" w:rsidRDefault="00096E07" w:rsidP="00096E07">
            <w:pPr>
              <w:rPr>
                <w:b w:val="0"/>
                <w:sz w:val="22"/>
                <w:szCs w:val="22"/>
              </w:rPr>
            </w:pPr>
            <w:r w:rsidRPr="00741A47">
              <w:rPr>
                <w:b w:val="0"/>
                <w:sz w:val="22"/>
                <w:szCs w:val="22"/>
              </w:rPr>
              <w:t>Worcester</w:t>
            </w:r>
          </w:p>
        </w:tc>
        <w:tc>
          <w:tcPr>
            <w:tcW w:w="1152"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225</w:t>
            </w:r>
          </w:p>
        </w:tc>
        <w:tc>
          <w:tcPr>
            <w:tcW w:w="117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263</w:t>
            </w:r>
          </w:p>
        </w:tc>
        <w:tc>
          <w:tcPr>
            <w:tcW w:w="117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334</w:t>
            </w:r>
          </w:p>
        </w:tc>
        <w:tc>
          <w:tcPr>
            <w:tcW w:w="117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423</w:t>
            </w:r>
          </w:p>
        </w:tc>
        <w:tc>
          <w:tcPr>
            <w:tcW w:w="117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657</w:t>
            </w:r>
          </w:p>
        </w:tc>
        <w:tc>
          <w:tcPr>
            <w:tcW w:w="171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55.3%</w:t>
            </w:r>
          </w:p>
        </w:tc>
        <w:tc>
          <w:tcPr>
            <w:tcW w:w="126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5.6%</w:t>
            </w:r>
          </w:p>
        </w:tc>
      </w:tr>
      <w:tr w:rsidR="00096E07" w:rsidRPr="00E95759" w:rsidTr="00096E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rsidR="00096E07" w:rsidRPr="00741A47" w:rsidRDefault="00096E07" w:rsidP="00096E07">
            <w:pPr>
              <w:rPr>
                <w:b w:val="0"/>
                <w:sz w:val="22"/>
                <w:szCs w:val="22"/>
              </w:rPr>
            </w:pPr>
            <w:r w:rsidRPr="00741A47">
              <w:rPr>
                <w:b w:val="0"/>
                <w:sz w:val="22"/>
                <w:szCs w:val="22"/>
              </w:rPr>
              <w:t>Brockton</w:t>
            </w:r>
          </w:p>
        </w:tc>
        <w:tc>
          <w:tcPr>
            <w:tcW w:w="1152"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136</w:t>
            </w:r>
          </w:p>
        </w:tc>
        <w:tc>
          <w:tcPr>
            <w:tcW w:w="117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145</w:t>
            </w:r>
          </w:p>
        </w:tc>
        <w:tc>
          <w:tcPr>
            <w:tcW w:w="117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187</w:t>
            </w:r>
          </w:p>
        </w:tc>
        <w:tc>
          <w:tcPr>
            <w:tcW w:w="117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300</w:t>
            </w:r>
          </w:p>
        </w:tc>
        <w:tc>
          <w:tcPr>
            <w:tcW w:w="117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461</w:t>
            </w:r>
          </w:p>
        </w:tc>
        <w:tc>
          <w:tcPr>
            <w:tcW w:w="171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53.7%</w:t>
            </w:r>
          </w:p>
        </w:tc>
        <w:tc>
          <w:tcPr>
            <w:tcW w:w="126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3.9%</w:t>
            </w:r>
          </w:p>
        </w:tc>
      </w:tr>
      <w:tr w:rsidR="00096E07" w:rsidRPr="00E95759" w:rsidTr="00096E07">
        <w:tc>
          <w:tcPr>
            <w:cnfStyle w:val="001000000000" w:firstRow="0" w:lastRow="0" w:firstColumn="1" w:lastColumn="0" w:oddVBand="0" w:evenVBand="0" w:oddHBand="0" w:evenHBand="0" w:firstRowFirstColumn="0" w:firstRowLastColumn="0" w:lastRowFirstColumn="0" w:lastRowLastColumn="0"/>
            <w:tcW w:w="1530" w:type="dxa"/>
          </w:tcPr>
          <w:p w:rsidR="00096E07" w:rsidRPr="00741A47" w:rsidRDefault="00096E07" w:rsidP="00096E07">
            <w:pPr>
              <w:rPr>
                <w:b w:val="0"/>
                <w:sz w:val="22"/>
                <w:szCs w:val="22"/>
              </w:rPr>
            </w:pPr>
            <w:r w:rsidRPr="00741A47">
              <w:rPr>
                <w:b w:val="0"/>
                <w:sz w:val="22"/>
                <w:szCs w:val="22"/>
              </w:rPr>
              <w:t>New Bedford</w:t>
            </w:r>
          </w:p>
        </w:tc>
        <w:tc>
          <w:tcPr>
            <w:tcW w:w="1152"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165</w:t>
            </w:r>
          </w:p>
        </w:tc>
        <w:tc>
          <w:tcPr>
            <w:tcW w:w="117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172</w:t>
            </w:r>
          </w:p>
        </w:tc>
        <w:tc>
          <w:tcPr>
            <w:tcW w:w="117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215</w:t>
            </w:r>
          </w:p>
        </w:tc>
        <w:tc>
          <w:tcPr>
            <w:tcW w:w="117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331</w:t>
            </w:r>
          </w:p>
        </w:tc>
        <w:tc>
          <w:tcPr>
            <w:tcW w:w="117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445</w:t>
            </w:r>
          </w:p>
        </w:tc>
        <w:tc>
          <w:tcPr>
            <w:tcW w:w="171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34.4%</w:t>
            </w:r>
          </w:p>
        </w:tc>
        <w:tc>
          <w:tcPr>
            <w:tcW w:w="126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3.8%</w:t>
            </w:r>
          </w:p>
        </w:tc>
      </w:tr>
      <w:tr w:rsidR="00096E07" w:rsidRPr="00E95759" w:rsidTr="00096E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rsidR="00096E07" w:rsidRPr="00741A47" w:rsidRDefault="00096E07" w:rsidP="00096E07">
            <w:pPr>
              <w:rPr>
                <w:b w:val="0"/>
                <w:sz w:val="22"/>
                <w:szCs w:val="22"/>
              </w:rPr>
            </w:pPr>
            <w:r w:rsidRPr="00741A47">
              <w:rPr>
                <w:b w:val="0"/>
                <w:sz w:val="22"/>
                <w:szCs w:val="22"/>
              </w:rPr>
              <w:t>Fall River</w:t>
            </w:r>
          </w:p>
        </w:tc>
        <w:tc>
          <w:tcPr>
            <w:tcW w:w="1152"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170</w:t>
            </w:r>
          </w:p>
        </w:tc>
        <w:tc>
          <w:tcPr>
            <w:tcW w:w="117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165</w:t>
            </w:r>
          </w:p>
        </w:tc>
        <w:tc>
          <w:tcPr>
            <w:tcW w:w="117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225</w:t>
            </w:r>
          </w:p>
        </w:tc>
        <w:tc>
          <w:tcPr>
            <w:tcW w:w="117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269</w:t>
            </w:r>
          </w:p>
        </w:tc>
        <w:tc>
          <w:tcPr>
            <w:tcW w:w="117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343</w:t>
            </w:r>
          </w:p>
        </w:tc>
        <w:tc>
          <w:tcPr>
            <w:tcW w:w="171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27.5%</w:t>
            </w:r>
          </w:p>
        </w:tc>
        <w:tc>
          <w:tcPr>
            <w:tcW w:w="126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2.9%</w:t>
            </w:r>
          </w:p>
        </w:tc>
      </w:tr>
      <w:tr w:rsidR="00096E07" w:rsidRPr="00E95759" w:rsidTr="00096E07">
        <w:tc>
          <w:tcPr>
            <w:cnfStyle w:val="001000000000" w:firstRow="0" w:lastRow="0" w:firstColumn="1" w:lastColumn="0" w:oddVBand="0" w:evenVBand="0" w:oddHBand="0" w:evenHBand="0" w:firstRowFirstColumn="0" w:firstRowLastColumn="0" w:lastRowFirstColumn="0" w:lastRowLastColumn="0"/>
            <w:tcW w:w="1530" w:type="dxa"/>
          </w:tcPr>
          <w:p w:rsidR="00096E07" w:rsidRPr="00741A47" w:rsidRDefault="00096E07" w:rsidP="00096E07">
            <w:pPr>
              <w:rPr>
                <w:b w:val="0"/>
                <w:sz w:val="22"/>
                <w:szCs w:val="22"/>
              </w:rPr>
            </w:pPr>
            <w:r w:rsidRPr="00741A47">
              <w:rPr>
                <w:b w:val="0"/>
                <w:sz w:val="22"/>
                <w:szCs w:val="22"/>
              </w:rPr>
              <w:t>Lowell</w:t>
            </w:r>
          </w:p>
        </w:tc>
        <w:tc>
          <w:tcPr>
            <w:tcW w:w="1152"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118</w:t>
            </w:r>
          </w:p>
        </w:tc>
        <w:tc>
          <w:tcPr>
            <w:tcW w:w="117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124</w:t>
            </w:r>
          </w:p>
        </w:tc>
        <w:tc>
          <w:tcPr>
            <w:tcW w:w="117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159</w:t>
            </w:r>
          </w:p>
        </w:tc>
        <w:tc>
          <w:tcPr>
            <w:tcW w:w="117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191</w:t>
            </w:r>
          </w:p>
        </w:tc>
        <w:tc>
          <w:tcPr>
            <w:tcW w:w="117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278</w:t>
            </w:r>
          </w:p>
        </w:tc>
        <w:tc>
          <w:tcPr>
            <w:tcW w:w="171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45.5%</w:t>
            </w:r>
          </w:p>
        </w:tc>
        <w:tc>
          <w:tcPr>
            <w:tcW w:w="126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2.4%</w:t>
            </w:r>
          </w:p>
        </w:tc>
      </w:tr>
      <w:tr w:rsidR="00096E07" w:rsidRPr="00E95759" w:rsidTr="00096E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rsidR="00096E07" w:rsidRPr="00741A47" w:rsidRDefault="00096E07" w:rsidP="00096E07">
            <w:pPr>
              <w:rPr>
                <w:b w:val="0"/>
                <w:sz w:val="22"/>
                <w:szCs w:val="22"/>
              </w:rPr>
            </w:pPr>
            <w:r w:rsidRPr="00741A47">
              <w:rPr>
                <w:b w:val="0"/>
                <w:sz w:val="22"/>
                <w:szCs w:val="22"/>
              </w:rPr>
              <w:t>Quincy</w:t>
            </w:r>
          </w:p>
        </w:tc>
        <w:tc>
          <w:tcPr>
            <w:tcW w:w="1152"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152</w:t>
            </w:r>
          </w:p>
        </w:tc>
        <w:tc>
          <w:tcPr>
            <w:tcW w:w="117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129</w:t>
            </w:r>
          </w:p>
        </w:tc>
        <w:tc>
          <w:tcPr>
            <w:tcW w:w="117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197</w:t>
            </w:r>
          </w:p>
        </w:tc>
        <w:tc>
          <w:tcPr>
            <w:tcW w:w="117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216</w:t>
            </w:r>
          </w:p>
        </w:tc>
        <w:tc>
          <w:tcPr>
            <w:tcW w:w="117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262</w:t>
            </w:r>
          </w:p>
        </w:tc>
        <w:tc>
          <w:tcPr>
            <w:tcW w:w="171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21.3%</w:t>
            </w:r>
          </w:p>
        </w:tc>
        <w:tc>
          <w:tcPr>
            <w:tcW w:w="126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2.2%</w:t>
            </w:r>
          </w:p>
        </w:tc>
      </w:tr>
      <w:tr w:rsidR="00096E07" w:rsidRPr="00E95759" w:rsidTr="00096E07">
        <w:tc>
          <w:tcPr>
            <w:cnfStyle w:val="001000000000" w:firstRow="0" w:lastRow="0" w:firstColumn="1" w:lastColumn="0" w:oddVBand="0" w:evenVBand="0" w:oddHBand="0" w:evenHBand="0" w:firstRowFirstColumn="0" w:firstRowLastColumn="0" w:lastRowFirstColumn="0" w:lastRowLastColumn="0"/>
            <w:tcW w:w="1530" w:type="dxa"/>
          </w:tcPr>
          <w:p w:rsidR="00096E07" w:rsidRPr="00741A47" w:rsidRDefault="00096E07" w:rsidP="00096E07">
            <w:pPr>
              <w:rPr>
                <w:b w:val="0"/>
                <w:sz w:val="22"/>
                <w:szCs w:val="22"/>
              </w:rPr>
            </w:pPr>
            <w:r w:rsidRPr="00741A47">
              <w:rPr>
                <w:b w:val="0"/>
                <w:sz w:val="22"/>
                <w:szCs w:val="22"/>
              </w:rPr>
              <w:t>Lynn</w:t>
            </w:r>
          </w:p>
        </w:tc>
        <w:tc>
          <w:tcPr>
            <w:tcW w:w="1152"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116</w:t>
            </w:r>
          </w:p>
        </w:tc>
        <w:tc>
          <w:tcPr>
            <w:tcW w:w="117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106</w:t>
            </w:r>
          </w:p>
        </w:tc>
        <w:tc>
          <w:tcPr>
            <w:tcW w:w="117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116</w:t>
            </w:r>
          </w:p>
        </w:tc>
        <w:tc>
          <w:tcPr>
            <w:tcW w:w="117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168</w:t>
            </w:r>
          </w:p>
        </w:tc>
        <w:tc>
          <w:tcPr>
            <w:tcW w:w="117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250</w:t>
            </w:r>
          </w:p>
        </w:tc>
        <w:tc>
          <w:tcPr>
            <w:tcW w:w="171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48.8%</w:t>
            </w:r>
          </w:p>
        </w:tc>
        <w:tc>
          <w:tcPr>
            <w:tcW w:w="126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2.1%</w:t>
            </w:r>
          </w:p>
        </w:tc>
      </w:tr>
      <w:tr w:rsidR="00096E07" w:rsidRPr="00E95759" w:rsidTr="00096E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rsidR="00096E07" w:rsidRPr="00741A47" w:rsidRDefault="00096E07" w:rsidP="00096E07">
            <w:pPr>
              <w:rPr>
                <w:b w:val="0"/>
                <w:sz w:val="22"/>
                <w:szCs w:val="22"/>
              </w:rPr>
            </w:pPr>
            <w:r w:rsidRPr="00741A47">
              <w:rPr>
                <w:b w:val="0"/>
                <w:sz w:val="22"/>
                <w:szCs w:val="22"/>
              </w:rPr>
              <w:t>Taunton</w:t>
            </w:r>
          </w:p>
        </w:tc>
        <w:tc>
          <w:tcPr>
            <w:tcW w:w="1152"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53</w:t>
            </w:r>
          </w:p>
        </w:tc>
        <w:tc>
          <w:tcPr>
            <w:tcW w:w="117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96</w:t>
            </w:r>
          </w:p>
        </w:tc>
        <w:tc>
          <w:tcPr>
            <w:tcW w:w="117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101</w:t>
            </w:r>
          </w:p>
        </w:tc>
        <w:tc>
          <w:tcPr>
            <w:tcW w:w="117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163</w:t>
            </w:r>
          </w:p>
        </w:tc>
        <w:tc>
          <w:tcPr>
            <w:tcW w:w="117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221</w:t>
            </w:r>
          </w:p>
        </w:tc>
        <w:tc>
          <w:tcPr>
            <w:tcW w:w="171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35.6%</w:t>
            </w:r>
          </w:p>
        </w:tc>
        <w:tc>
          <w:tcPr>
            <w:tcW w:w="126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1.9%</w:t>
            </w:r>
          </w:p>
        </w:tc>
      </w:tr>
      <w:tr w:rsidR="00096E07" w:rsidRPr="00E95759" w:rsidTr="00096E07">
        <w:tc>
          <w:tcPr>
            <w:cnfStyle w:val="001000000000" w:firstRow="0" w:lastRow="0" w:firstColumn="1" w:lastColumn="0" w:oddVBand="0" w:evenVBand="0" w:oddHBand="0" w:evenHBand="0" w:firstRowFirstColumn="0" w:firstRowLastColumn="0" w:lastRowFirstColumn="0" w:lastRowLastColumn="0"/>
            <w:tcW w:w="1530" w:type="dxa"/>
          </w:tcPr>
          <w:p w:rsidR="00096E07" w:rsidRPr="00741A47" w:rsidRDefault="00096E07" w:rsidP="00096E07">
            <w:pPr>
              <w:rPr>
                <w:b w:val="0"/>
                <w:sz w:val="22"/>
                <w:szCs w:val="22"/>
              </w:rPr>
            </w:pPr>
            <w:r w:rsidRPr="00741A47">
              <w:rPr>
                <w:b w:val="0"/>
                <w:sz w:val="22"/>
                <w:szCs w:val="22"/>
              </w:rPr>
              <w:t>Lawrence</w:t>
            </w:r>
          </w:p>
        </w:tc>
        <w:tc>
          <w:tcPr>
            <w:tcW w:w="1152"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55</w:t>
            </w:r>
          </w:p>
        </w:tc>
        <w:tc>
          <w:tcPr>
            <w:tcW w:w="117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60</w:t>
            </w:r>
          </w:p>
        </w:tc>
        <w:tc>
          <w:tcPr>
            <w:tcW w:w="117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76</w:t>
            </w:r>
          </w:p>
        </w:tc>
        <w:tc>
          <w:tcPr>
            <w:tcW w:w="117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105</w:t>
            </w:r>
          </w:p>
        </w:tc>
        <w:tc>
          <w:tcPr>
            <w:tcW w:w="117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215</w:t>
            </w:r>
          </w:p>
        </w:tc>
        <w:tc>
          <w:tcPr>
            <w:tcW w:w="171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104.8%</w:t>
            </w:r>
          </w:p>
        </w:tc>
        <w:tc>
          <w:tcPr>
            <w:tcW w:w="126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w:t>
            </w:r>
          </w:p>
        </w:tc>
      </w:tr>
      <w:tr w:rsidR="00096E07" w:rsidRPr="00E95759" w:rsidTr="00096E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rsidR="00096E07" w:rsidRPr="00741A47" w:rsidRDefault="00096E07" w:rsidP="00096E07">
            <w:pPr>
              <w:rPr>
                <w:b w:val="0"/>
                <w:sz w:val="22"/>
                <w:szCs w:val="22"/>
              </w:rPr>
            </w:pPr>
            <w:r w:rsidRPr="00741A47">
              <w:rPr>
                <w:b w:val="0"/>
                <w:sz w:val="22"/>
                <w:szCs w:val="22"/>
              </w:rPr>
              <w:t>Haverhill</w:t>
            </w:r>
          </w:p>
        </w:tc>
        <w:tc>
          <w:tcPr>
            <w:tcW w:w="1152"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48</w:t>
            </w:r>
          </w:p>
        </w:tc>
        <w:tc>
          <w:tcPr>
            <w:tcW w:w="117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47</w:t>
            </w:r>
          </w:p>
        </w:tc>
        <w:tc>
          <w:tcPr>
            <w:tcW w:w="117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74</w:t>
            </w:r>
          </w:p>
        </w:tc>
        <w:tc>
          <w:tcPr>
            <w:tcW w:w="117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129</w:t>
            </w:r>
          </w:p>
        </w:tc>
        <w:tc>
          <w:tcPr>
            <w:tcW w:w="117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211</w:t>
            </w:r>
          </w:p>
        </w:tc>
        <w:tc>
          <w:tcPr>
            <w:tcW w:w="171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63.6%</w:t>
            </w:r>
          </w:p>
        </w:tc>
        <w:tc>
          <w:tcPr>
            <w:tcW w:w="126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1.8%</w:t>
            </w:r>
          </w:p>
        </w:tc>
      </w:tr>
      <w:tr w:rsidR="00096E07" w:rsidRPr="00E95759" w:rsidTr="00096E07">
        <w:tc>
          <w:tcPr>
            <w:cnfStyle w:val="001000000000" w:firstRow="0" w:lastRow="0" w:firstColumn="1" w:lastColumn="0" w:oddVBand="0" w:evenVBand="0" w:oddHBand="0" w:evenHBand="0" w:firstRowFirstColumn="0" w:firstRowLastColumn="0" w:lastRowFirstColumn="0" w:lastRowLastColumn="0"/>
            <w:tcW w:w="1530" w:type="dxa"/>
          </w:tcPr>
          <w:p w:rsidR="00096E07" w:rsidRPr="00741A47" w:rsidRDefault="00096E07" w:rsidP="00096E07">
            <w:pPr>
              <w:rPr>
                <w:b w:val="0"/>
                <w:sz w:val="22"/>
                <w:szCs w:val="22"/>
              </w:rPr>
            </w:pPr>
            <w:r w:rsidRPr="00741A47">
              <w:rPr>
                <w:b w:val="0"/>
                <w:sz w:val="22"/>
                <w:szCs w:val="22"/>
              </w:rPr>
              <w:t>Springfield</w:t>
            </w:r>
          </w:p>
        </w:tc>
        <w:tc>
          <w:tcPr>
            <w:tcW w:w="1152"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106</w:t>
            </w:r>
          </w:p>
        </w:tc>
        <w:tc>
          <w:tcPr>
            <w:tcW w:w="117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134</w:t>
            </w:r>
          </w:p>
        </w:tc>
        <w:tc>
          <w:tcPr>
            <w:tcW w:w="117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123</w:t>
            </w:r>
          </w:p>
        </w:tc>
        <w:tc>
          <w:tcPr>
            <w:tcW w:w="117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153</w:t>
            </w:r>
          </w:p>
        </w:tc>
        <w:tc>
          <w:tcPr>
            <w:tcW w:w="117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195</w:t>
            </w:r>
          </w:p>
        </w:tc>
        <w:tc>
          <w:tcPr>
            <w:tcW w:w="171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27.5%</w:t>
            </w:r>
          </w:p>
        </w:tc>
        <w:tc>
          <w:tcPr>
            <w:tcW w:w="126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1.7%</w:t>
            </w:r>
          </w:p>
        </w:tc>
      </w:tr>
      <w:tr w:rsidR="00096E07" w:rsidRPr="00E95759" w:rsidTr="00096E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rsidR="00096E07" w:rsidRPr="00741A47" w:rsidRDefault="00096E07" w:rsidP="00096E07">
            <w:pPr>
              <w:rPr>
                <w:b w:val="0"/>
                <w:sz w:val="22"/>
                <w:szCs w:val="22"/>
              </w:rPr>
            </w:pPr>
            <w:r w:rsidRPr="00741A47">
              <w:rPr>
                <w:b w:val="0"/>
                <w:sz w:val="22"/>
                <w:szCs w:val="22"/>
              </w:rPr>
              <w:t>Weymouth</w:t>
            </w:r>
          </w:p>
        </w:tc>
        <w:tc>
          <w:tcPr>
            <w:tcW w:w="1152"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82</w:t>
            </w:r>
          </w:p>
        </w:tc>
        <w:tc>
          <w:tcPr>
            <w:tcW w:w="117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90</w:t>
            </w:r>
          </w:p>
        </w:tc>
        <w:tc>
          <w:tcPr>
            <w:tcW w:w="117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115</w:t>
            </w:r>
          </w:p>
        </w:tc>
        <w:tc>
          <w:tcPr>
            <w:tcW w:w="117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137</w:t>
            </w:r>
          </w:p>
        </w:tc>
        <w:tc>
          <w:tcPr>
            <w:tcW w:w="117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193</w:t>
            </w:r>
          </w:p>
        </w:tc>
        <w:tc>
          <w:tcPr>
            <w:tcW w:w="171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40.9%</w:t>
            </w:r>
          </w:p>
        </w:tc>
        <w:tc>
          <w:tcPr>
            <w:tcW w:w="126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1.6%</w:t>
            </w:r>
          </w:p>
        </w:tc>
      </w:tr>
      <w:tr w:rsidR="00096E07" w:rsidRPr="00E95759" w:rsidTr="00096E07">
        <w:tc>
          <w:tcPr>
            <w:cnfStyle w:val="001000000000" w:firstRow="0" w:lastRow="0" w:firstColumn="1" w:lastColumn="0" w:oddVBand="0" w:evenVBand="0" w:oddHBand="0" w:evenHBand="0" w:firstRowFirstColumn="0" w:firstRowLastColumn="0" w:lastRowFirstColumn="0" w:lastRowLastColumn="0"/>
            <w:tcW w:w="1530" w:type="dxa"/>
          </w:tcPr>
          <w:p w:rsidR="00096E07" w:rsidRPr="00741A47" w:rsidRDefault="00096E07" w:rsidP="00096E07">
            <w:pPr>
              <w:rPr>
                <w:b w:val="0"/>
                <w:sz w:val="22"/>
                <w:szCs w:val="22"/>
              </w:rPr>
            </w:pPr>
            <w:r w:rsidRPr="00741A47">
              <w:rPr>
                <w:b w:val="0"/>
                <w:sz w:val="22"/>
                <w:szCs w:val="22"/>
              </w:rPr>
              <w:t>Revere</w:t>
            </w:r>
          </w:p>
        </w:tc>
        <w:tc>
          <w:tcPr>
            <w:tcW w:w="1152"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61</w:t>
            </w:r>
          </w:p>
        </w:tc>
        <w:tc>
          <w:tcPr>
            <w:tcW w:w="117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113</w:t>
            </w:r>
          </w:p>
        </w:tc>
        <w:tc>
          <w:tcPr>
            <w:tcW w:w="117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95</w:t>
            </w:r>
          </w:p>
        </w:tc>
        <w:tc>
          <w:tcPr>
            <w:tcW w:w="117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131</w:t>
            </w:r>
          </w:p>
        </w:tc>
        <w:tc>
          <w:tcPr>
            <w:tcW w:w="117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174</w:t>
            </w:r>
          </w:p>
        </w:tc>
        <w:tc>
          <w:tcPr>
            <w:tcW w:w="171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32.8%</w:t>
            </w:r>
          </w:p>
        </w:tc>
        <w:tc>
          <w:tcPr>
            <w:tcW w:w="126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1.5%</w:t>
            </w:r>
          </w:p>
        </w:tc>
      </w:tr>
      <w:tr w:rsidR="00096E07" w:rsidRPr="00E95759" w:rsidTr="00096E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rsidR="00096E07" w:rsidRPr="00741A47" w:rsidRDefault="00096E07" w:rsidP="00096E07">
            <w:pPr>
              <w:rPr>
                <w:b w:val="0"/>
                <w:sz w:val="22"/>
                <w:szCs w:val="22"/>
              </w:rPr>
            </w:pPr>
            <w:r w:rsidRPr="00741A47">
              <w:rPr>
                <w:b w:val="0"/>
                <w:sz w:val="22"/>
                <w:szCs w:val="22"/>
              </w:rPr>
              <w:t>Barnstable</w:t>
            </w:r>
          </w:p>
        </w:tc>
        <w:tc>
          <w:tcPr>
            <w:tcW w:w="1152" w:type="dxa"/>
          </w:tcPr>
          <w:p w:rsidR="00096E07"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24</w:t>
            </w:r>
          </w:p>
        </w:tc>
        <w:tc>
          <w:tcPr>
            <w:tcW w:w="1170" w:type="dxa"/>
          </w:tcPr>
          <w:p w:rsidR="00096E07"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46</w:t>
            </w:r>
          </w:p>
        </w:tc>
        <w:tc>
          <w:tcPr>
            <w:tcW w:w="1170" w:type="dxa"/>
          </w:tcPr>
          <w:p w:rsidR="00096E07"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63</w:t>
            </w:r>
          </w:p>
        </w:tc>
        <w:tc>
          <w:tcPr>
            <w:tcW w:w="1170" w:type="dxa"/>
          </w:tcPr>
          <w:p w:rsidR="00096E07"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98</w:t>
            </w:r>
          </w:p>
        </w:tc>
        <w:tc>
          <w:tcPr>
            <w:tcW w:w="117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170</w:t>
            </w:r>
          </w:p>
        </w:tc>
        <w:tc>
          <w:tcPr>
            <w:tcW w:w="171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73.5%</w:t>
            </w:r>
          </w:p>
        </w:tc>
        <w:tc>
          <w:tcPr>
            <w:tcW w:w="126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1.4%</w:t>
            </w:r>
          </w:p>
        </w:tc>
      </w:tr>
    </w:tbl>
    <w:p w:rsidR="00096E07" w:rsidRDefault="00096E07" w:rsidP="00712A38">
      <w:pPr>
        <w:ind w:left="-90" w:right="-630"/>
      </w:pPr>
      <w:r w:rsidRPr="00AF28CC">
        <w:rPr>
          <w:sz w:val="20"/>
          <w:szCs w:val="20"/>
        </w:rPr>
        <w:t>Source: Massachusetts Department of Public Health,</w:t>
      </w:r>
      <w:r w:rsidRPr="001C6C96">
        <w:rPr>
          <w:sz w:val="20"/>
          <w:szCs w:val="20"/>
        </w:rPr>
        <w:t xml:space="preserve"> </w:t>
      </w:r>
      <w:r w:rsidRPr="00111912">
        <w:rPr>
          <w:sz w:val="20"/>
          <w:szCs w:val="20"/>
        </w:rPr>
        <w:t xml:space="preserve">Inpatient Discharge Database, MA Observation Database, and </w:t>
      </w:r>
      <w:r w:rsidR="00FE0E16">
        <w:rPr>
          <w:sz w:val="20"/>
          <w:szCs w:val="20"/>
        </w:rPr>
        <w:t>M</w:t>
      </w:r>
      <w:r w:rsidRPr="00111912">
        <w:rPr>
          <w:sz w:val="20"/>
          <w:szCs w:val="20"/>
        </w:rPr>
        <w:t xml:space="preserve">A Emergency Department Discharge Database, Center for Health </w:t>
      </w:r>
      <w:r>
        <w:rPr>
          <w:sz w:val="20"/>
          <w:szCs w:val="20"/>
        </w:rPr>
        <w:t xml:space="preserve">Information and Analysis (CHIA), </w:t>
      </w:r>
      <w:r w:rsidRPr="001C6C96">
        <w:rPr>
          <w:i/>
          <w:sz w:val="20"/>
          <w:szCs w:val="20"/>
        </w:rPr>
        <w:t xml:space="preserve">Nonfatal </w:t>
      </w:r>
      <w:r>
        <w:rPr>
          <w:i/>
          <w:sz w:val="20"/>
          <w:szCs w:val="20"/>
        </w:rPr>
        <w:t>Opioid</w:t>
      </w:r>
      <w:r w:rsidRPr="001C6C96">
        <w:rPr>
          <w:i/>
          <w:sz w:val="20"/>
          <w:szCs w:val="20"/>
        </w:rPr>
        <w:t>-related Overdoses, Hospital Events, FFY2011-FFY2015</w:t>
      </w:r>
      <w:r>
        <w:rPr>
          <w:sz w:val="20"/>
          <w:szCs w:val="20"/>
        </w:rPr>
        <w:t xml:space="preserve">, data obtained May 2, 2017. </w:t>
      </w:r>
    </w:p>
    <w:p w:rsidR="00096E07" w:rsidRPr="001C6C96" w:rsidRDefault="00096E07" w:rsidP="00712A38">
      <w:pPr>
        <w:ind w:left="-90"/>
        <w:rPr>
          <w:rFonts w:eastAsia="Times New Roman"/>
          <w:iCs/>
          <w:color w:val="000000"/>
          <w:sz w:val="20"/>
          <w:szCs w:val="20"/>
          <w:lang w:eastAsia="en-US"/>
        </w:rPr>
      </w:pPr>
      <w:r w:rsidRPr="001C6C96">
        <w:rPr>
          <w:rFonts w:eastAsia="Times New Roman"/>
          <w:iCs/>
          <w:color w:val="000000"/>
          <w:sz w:val="20"/>
          <w:szCs w:val="20"/>
          <w:lang w:eastAsia="en-US"/>
        </w:rPr>
        <w:t>Note: Drug poisoning intent categories may be unreliable due to difficulties ascertaining patient’s intent and variability in coding across hospitals. Therefore, all intents of nonfatal drug poisonings are included.</w:t>
      </w:r>
    </w:p>
    <w:p w:rsidR="00096E07" w:rsidRPr="00111912" w:rsidRDefault="00096E07" w:rsidP="00712A38">
      <w:pPr>
        <w:ind w:left="-90"/>
        <w:rPr>
          <w:sz w:val="20"/>
          <w:szCs w:val="20"/>
        </w:rPr>
      </w:pPr>
      <w:r w:rsidRPr="00111912">
        <w:rPr>
          <w:sz w:val="20"/>
          <w:szCs w:val="20"/>
        </w:rPr>
        <w:t xml:space="preserve">Data are submitted by and reported by </w:t>
      </w:r>
      <w:r>
        <w:rPr>
          <w:sz w:val="20"/>
          <w:szCs w:val="20"/>
        </w:rPr>
        <w:t xml:space="preserve">[federal] </w:t>
      </w:r>
      <w:r w:rsidRPr="00111912">
        <w:rPr>
          <w:sz w:val="20"/>
          <w:szCs w:val="20"/>
        </w:rPr>
        <w:t>fiscal year (October 1st -- September 30th).</w:t>
      </w:r>
    </w:p>
    <w:p w:rsidR="00096E07" w:rsidRDefault="00096E07" w:rsidP="00712A38">
      <w:pPr>
        <w:ind w:left="-90"/>
        <w:rPr>
          <w:sz w:val="20"/>
          <w:szCs w:val="20"/>
        </w:rPr>
      </w:pPr>
      <w:r w:rsidRPr="00111912">
        <w:rPr>
          <w:sz w:val="20"/>
          <w:szCs w:val="20"/>
        </w:rPr>
        <w:t xml:space="preserve">Counts represent acute-care hospital episodes which include hospital and emergency department discharges, </w:t>
      </w:r>
      <w:r>
        <w:rPr>
          <w:sz w:val="20"/>
          <w:szCs w:val="20"/>
        </w:rPr>
        <w:t>and</w:t>
      </w:r>
      <w:r w:rsidRPr="001C6C96">
        <w:rPr>
          <w:sz w:val="20"/>
          <w:szCs w:val="20"/>
        </w:rPr>
        <w:t xml:space="preserve"> observations stays. Opioids include heroin, prescription-based opioid pain k</w:t>
      </w:r>
      <w:r>
        <w:rPr>
          <w:sz w:val="20"/>
          <w:szCs w:val="20"/>
        </w:rPr>
        <w:t xml:space="preserve">illers, and unspecified opioids. </w:t>
      </w:r>
    </w:p>
    <w:p w:rsidR="00096E07" w:rsidRPr="00111912" w:rsidRDefault="00096E07" w:rsidP="00712A38">
      <w:pPr>
        <w:ind w:left="-90"/>
        <w:rPr>
          <w:sz w:val="20"/>
          <w:szCs w:val="20"/>
        </w:rPr>
      </w:pPr>
      <w:r w:rsidRPr="00111912">
        <w:rPr>
          <w:sz w:val="20"/>
          <w:szCs w:val="20"/>
        </w:rPr>
        <w:t>Counts less than 11 are suppressed per confidentiality rules.</w:t>
      </w:r>
    </w:p>
    <w:p w:rsidR="00096E07" w:rsidRDefault="00096E07" w:rsidP="00712A38">
      <w:pPr>
        <w:ind w:left="-90"/>
        <w:rPr>
          <w:sz w:val="20"/>
          <w:szCs w:val="20"/>
        </w:rPr>
      </w:pPr>
      <w:r w:rsidRPr="00111912">
        <w:rPr>
          <w:sz w:val="20"/>
          <w:szCs w:val="20"/>
        </w:rPr>
        <w:t xml:space="preserve">In 2015, the Center for Health Information and Analysis added several diagnosis fields to the hospital and ED databases. For consistency, </w:t>
      </w:r>
      <w:r>
        <w:rPr>
          <w:sz w:val="20"/>
          <w:szCs w:val="20"/>
        </w:rPr>
        <w:t xml:space="preserve">DPH </w:t>
      </w:r>
      <w:r w:rsidRPr="00111912">
        <w:rPr>
          <w:sz w:val="20"/>
          <w:szCs w:val="20"/>
        </w:rPr>
        <w:t>used the same definition as last year (i</w:t>
      </w:r>
      <w:r>
        <w:rPr>
          <w:sz w:val="20"/>
          <w:szCs w:val="20"/>
        </w:rPr>
        <w:t xml:space="preserve">.e., </w:t>
      </w:r>
      <w:r w:rsidRPr="00111912">
        <w:rPr>
          <w:sz w:val="20"/>
          <w:szCs w:val="20"/>
        </w:rPr>
        <w:t>searched 15 diagnosis fields in hospital, and 6 diagnosis fields in ED).</w:t>
      </w:r>
    </w:p>
    <w:p w:rsidR="00C552B7" w:rsidRPr="00316FA0" w:rsidRDefault="00C552B7" w:rsidP="00712A38">
      <w:pPr>
        <w:ind w:left="-90"/>
        <w:rPr>
          <w:i/>
          <w:sz w:val="20"/>
          <w:szCs w:val="20"/>
        </w:rPr>
      </w:pPr>
      <w:r w:rsidRPr="00316FA0">
        <w:rPr>
          <w:i/>
          <w:sz w:val="20"/>
          <w:szCs w:val="20"/>
        </w:rPr>
        <w:t>Please note: this is the most recent data available.</w:t>
      </w:r>
    </w:p>
    <w:p w:rsidR="00096E07" w:rsidRDefault="00096E07" w:rsidP="002D780F">
      <w:pPr>
        <w:pStyle w:val="NoSpacing"/>
      </w:pPr>
    </w:p>
    <w:p w:rsidR="00096E07" w:rsidRDefault="00096E07" w:rsidP="00096E07">
      <w:r>
        <w:t xml:space="preserve">In FFY 2015, there </w:t>
      </w:r>
      <w:r w:rsidR="00181951">
        <w:t>wa</w:t>
      </w:r>
      <w:r>
        <w:t xml:space="preserve">s a 66% increase in Massachusetts from FFY 2014 in the number of inpatient hospitalizations, observation stays, and emergency department visits for nonfatal heroin-related overdoses (5,320 vs. 8,805), and a 148% increase from FFY 2013 (3,547).  Similar to the above statistics for nonfatal </w:t>
      </w:r>
      <w:r w:rsidRPr="006F4D90">
        <w:t xml:space="preserve">opioid-related </w:t>
      </w:r>
      <w:r>
        <w:t xml:space="preserve">overdoses, the city of Lawrence had the highest increase for nonfatal heroin-related overdoses in FFY 2015 (108%).  This was followed by Haverhill which had the second highest increase at 84% in FFY 2015 (Table </w:t>
      </w:r>
      <w:r w:rsidR="00670EF2">
        <w:t>1</w:t>
      </w:r>
      <w:r w:rsidR="00B93B87">
        <w:t>6</w:t>
      </w:r>
      <w:r w:rsidR="00670EF2">
        <w:t>, page 3</w:t>
      </w:r>
      <w:r w:rsidR="00432B4C">
        <w:t>9</w:t>
      </w:r>
      <w:r>
        <w:t>).</w:t>
      </w:r>
    </w:p>
    <w:p w:rsidR="00425D74" w:rsidRDefault="00425D74">
      <w:pPr>
        <w:spacing w:after="200" w:line="276" w:lineRule="auto"/>
      </w:pPr>
      <w:r>
        <w:br w:type="page"/>
      </w:r>
    </w:p>
    <w:tbl>
      <w:tblPr>
        <w:tblStyle w:val="LightShading-Accent1"/>
        <w:tblW w:w="10188" w:type="dxa"/>
        <w:tblLayout w:type="fixed"/>
        <w:tblLook w:val="04A0" w:firstRow="1" w:lastRow="0" w:firstColumn="1" w:lastColumn="0" w:noHBand="0" w:noVBand="1"/>
      </w:tblPr>
      <w:tblGrid>
        <w:gridCol w:w="1512"/>
        <w:gridCol w:w="1116"/>
        <w:gridCol w:w="1170"/>
        <w:gridCol w:w="1170"/>
        <w:gridCol w:w="1170"/>
        <w:gridCol w:w="1170"/>
        <w:gridCol w:w="1710"/>
        <w:gridCol w:w="1170"/>
      </w:tblGrid>
      <w:tr w:rsidR="00096E07" w:rsidRPr="00E95759" w:rsidTr="00096E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8" w:type="dxa"/>
            <w:gridSpan w:val="8"/>
          </w:tcPr>
          <w:p w:rsidR="00096E07" w:rsidRPr="009C5800" w:rsidRDefault="00096E07" w:rsidP="00096E07">
            <w:pPr>
              <w:jc w:val="center"/>
              <w:rPr>
                <w:smallCaps/>
                <w:sz w:val="22"/>
                <w:szCs w:val="22"/>
              </w:rPr>
            </w:pPr>
            <w:r w:rsidRPr="009C5800">
              <w:rPr>
                <w:smallCaps/>
                <w:sz w:val="22"/>
                <w:szCs w:val="22"/>
              </w:rPr>
              <w:lastRenderedPageBreak/>
              <w:t xml:space="preserve">Table </w:t>
            </w:r>
            <w:r w:rsidR="00670EF2">
              <w:rPr>
                <w:smallCaps/>
                <w:sz w:val="22"/>
                <w:szCs w:val="22"/>
              </w:rPr>
              <w:t>1</w:t>
            </w:r>
            <w:r w:rsidR="00B93B87">
              <w:rPr>
                <w:smallCaps/>
                <w:sz w:val="22"/>
                <w:szCs w:val="22"/>
              </w:rPr>
              <w:t>6</w:t>
            </w:r>
            <w:r w:rsidRPr="009C5800">
              <w:rPr>
                <w:smallCaps/>
                <w:sz w:val="22"/>
                <w:szCs w:val="22"/>
              </w:rPr>
              <w:t xml:space="preserve">. Top 11 Massachusetts City/Town for Nonfatal Heroin-related Overdoses, </w:t>
            </w:r>
          </w:p>
          <w:p w:rsidR="00096E07" w:rsidRDefault="00096E07" w:rsidP="00096E07">
            <w:pPr>
              <w:jc w:val="center"/>
              <w:rPr>
                <w:smallCaps/>
                <w:sz w:val="22"/>
                <w:szCs w:val="22"/>
              </w:rPr>
            </w:pPr>
            <w:r w:rsidRPr="009C5800">
              <w:rPr>
                <w:smallCaps/>
                <w:sz w:val="22"/>
                <w:szCs w:val="22"/>
              </w:rPr>
              <w:t>Hospital Events</w:t>
            </w:r>
          </w:p>
          <w:p w:rsidR="00096E07" w:rsidRPr="00E95759" w:rsidRDefault="00096E07" w:rsidP="00096E07">
            <w:pPr>
              <w:jc w:val="center"/>
              <w:rPr>
                <w:b w:val="0"/>
                <w:smallCaps/>
                <w:sz w:val="22"/>
                <w:szCs w:val="22"/>
              </w:rPr>
            </w:pPr>
            <w:r w:rsidRPr="009C5800">
              <w:rPr>
                <w:smallCaps/>
                <w:sz w:val="22"/>
                <w:szCs w:val="22"/>
              </w:rPr>
              <w:t>FFY 2011 – FFY 2015</w:t>
            </w:r>
          </w:p>
        </w:tc>
      </w:tr>
      <w:tr w:rsidR="00096E07" w:rsidRPr="00E95759" w:rsidTr="00096E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dxa"/>
            <w:vAlign w:val="center"/>
          </w:tcPr>
          <w:p w:rsidR="00096E07" w:rsidRPr="009C5800" w:rsidRDefault="00096E07" w:rsidP="00096E07">
            <w:pPr>
              <w:rPr>
                <w:sz w:val="22"/>
                <w:szCs w:val="22"/>
              </w:rPr>
            </w:pPr>
            <w:r w:rsidRPr="009C5800">
              <w:rPr>
                <w:sz w:val="22"/>
                <w:szCs w:val="22"/>
              </w:rPr>
              <w:t>City/Town</w:t>
            </w:r>
          </w:p>
        </w:tc>
        <w:tc>
          <w:tcPr>
            <w:tcW w:w="5796" w:type="dxa"/>
            <w:gridSpan w:val="5"/>
            <w:vAlign w:val="center"/>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E95759">
              <w:rPr>
                <w:b/>
                <w:sz w:val="22"/>
                <w:szCs w:val="22"/>
              </w:rPr>
              <w:t xml:space="preserve">Number of </w:t>
            </w:r>
            <w:r>
              <w:rPr>
                <w:b/>
                <w:sz w:val="22"/>
                <w:szCs w:val="22"/>
              </w:rPr>
              <w:t>Overdoses</w:t>
            </w:r>
          </w:p>
        </w:tc>
        <w:tc>
          <w:tcPr>
            <w:tcW w:w="1710" w:type="dxa"/>
            <w:vAlign w:val="center"/>
          </w:tcPr>
          <w:p w:rsidR="00096E07" w:rsidRDefault="00096E07" w:rsidP="00096E07">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E95759">
              <w:rPr>
                <w:b/>
                <w:sz w:val="22"/>
                <w:szCs w:val="22"/>
              </w:rPr>
              <w:t>% Change</w:t>
            </w:r>
          </w:p>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F</w:t>
            </w:r>
            <w:r w:rsidRPr="00E95759">
              <w:rPr>
                <w:b/>
                <w:sz w:val="22"/>
                <w:szCs w:val="22"/>
              </w:rPr>
              <w:t>FY 14-</w:t>
            </w:r>
            <w:r>
              <w:rPr>
                <w:b/>
                <w:sz w:val="22"/>
                <w:szCs w:val="22"/>
              </w:rPr>
              <w:t>F</w:t>
            </w:r>
            <w:r w:rsidRPr="00E95759">
              <w:rPr>
                <w:b/>
                <w:sz w:val="22"/>
                <w:szCs w:val="22"/>
              </w:rPr>
              <w:t>FY 15</w:t>
            </w:r>
          </w:p>
        </w:tc>
        <w:tc>
          <w:tcPr>
            <w:tcW w:w="1170" w:type="dxa"/>
          </w:tcPr>
          <w:p w:rsidR="00096E07" w:rsidRPr="00E95759" w:rsidRDefault="00096E07" w:rsidP="00096E07">
            <w:pPr>
              <w:cnfStyle w:val="000000100000" w:firstRow="0" w:lastRow="0" w:firstColumn="0" w:lastColumn="0" w:oddVBand="0" w:evenVBand="0" w:oddHBand="1" w:evenHBand="0" w:firstRowFirstColumn="0" w:firstRowLastColumn="0" w:lastRowFirstColumn="0" w:lastRowLastColumn="0"/>
              <w:rPr>
                <w:b/>
                <w:sz w:val="22"/>
                <w:szCs w:val="22"/>
              </w:rPr>
            </w:pPr>
            <w:r w:rsidRPr="00E95759">
              <w:rPr>
                <w:b/>
                <w:sz w:val="22"/>
                <w:szCs w:val="22"/>
              </w:rPr>
              <w:t xml:space="preserve">% of 2015 Total </w:t>
            </w:r>
          </w:p>
          <w:p w:rsidR="00096E07" w:rsidRPr="00E95759" w:rsidRDefault="00096E07" w:rsidP="00096E07">
            <w:pPr>
              <w:cnfStyle w:val="000000100000" w:firstRow="0" w:lastRow="0" w:firstColumn="0" w:lastColumn="0" w:oddVBand="0" w:evenVBand="0" w:oddHBand="1" w:evenHBand="0" w:firstRowFirstColumn="0" w:firstRowLastColumn="0" w:lastRowFirstColumn="0" w:lastRowLastColumn="0"/>
              <w:rPr>
                <w:b/>
                <w:sz w:val="22"/>
                <w:szCs w:val="22"/>
              </w:rPr>
            </w:pPr>
            <w:r w:rsidRPr="00E95759">
              <w:rPr>
                <w:b/>
                <w:sz w:val="22"/>
                <w:szCs w:val="22"/>
              </w:rPr>
              <w:t>(n=</w:t>
            </w:r>
            <w:r>
              <w:rPr>
                <w:b/>
                <w:sz w:val="22"/>
                <w:szCs w:val="22"/>
              </w:rPr>
              <w:t>8,805</w:t>
            </w:r>
            <w:r w:rsidRPr="00E95759">
              <w:rPr>
                <w:b/>
                <w:sz w:val="22"/>
                <w:szCs w:val="22"/>
              </w:rPr>
              <w:t>)</w:t>
            </w:r>
          </w:p>
        </w:tc>
      </w:tr>
      <w:tr w:rsidR="00096E07" w:rsidRPr="00E95759" w:rsidTr="00096E07">
        <w:tc>
          <w:tcPr>
            <w:cnfStyle w:val="001000000000" w:firstRow="0" w:lastRow="0" w:firstColumn="1" w:lastColumn="0" w:oddVBand="0" w:evenVBand="0" w:oddHBand="0" w:evenHBand="0" w:firstRowFirstColumn="0" w:firstRowLastColumn="0" w:lastRowFirstColumn="0" w:lastRowLastColumn="0"/>
            <w:tcW w:w="1512" w:type="dxa"/>
          </w:tcPr>
          <w:p w:rsidR="00096E07" w:rsidRPr="00E95759" w:rsidRDefault="00096E07" w:rsidP="00096E07">
            <w:pPr>
              <w:rPr>
                <w:sz w:val="22"/>
                <w:szCs w:val="22"/>
              </w:rPr>
            </w:pPr>
          </w:p>
        </w:tc>
        <w:tc>
          <w:tcPr>
            <w:tcW w:w="1116" w:type="dxa"/>
          </w:tcPr>
          <w:p w:rsidR="00096E07" w:rsidRPr="00765058" w:rsidRDefault="00096E07" w:rsidP="00096E07">
            <w:pPr>
              <w:jc w:val="center"/>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F</w:t>
            </w:r>
            <w:r w:rsidRPr="00765058">
              <w:rPr>
                <w:b/>
                <w:sz w:val="22"/>
                <w:szCs w:val="22"/>
              </w:rPr>
              <w:t>FY2011</w:t>
            </w:r>
          </w:p>
        </w:tc>
        <w:tc>
          <w:tcPr>
            <w:tcW w:w="1170" w:type="dxa"/>
          </w:tcPr>
          <w:p w:rsidR="00096E07" w:rsidRPr="00765058" w:rsidRDefault="00096E07" w:rsidP="00096E07">
            <w:pPr>
              <w:jc w:val="center"/>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F</w:t>
            </w:r>
            <w:r w:rsidRPr="00765058">
              <w:rPr>
                <w:b/>
                <w:sz w:val="22"/>
                <w:szCs w:val="22"/>
              </w:rPr>
              <w:t>FY2012</w:t>
            </w:r>
          </w:p>
        </w:tc>
        <w:tc>
          <w:tcPr>
            <w:tcW w:w="1170" w:type="dxa"/>
          </w:tcPr>
          <w:p w:rsidR="00096E07" w:rsidRPr="00765058" w:rsidRDefault="00096E07" w:rsidP="00096E07">
            <w:pPr>
              <w:jc w:val="center"/>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F</w:t>
            </w:r>
            <w:r w:rsidRPr="00765058">
              <w:rPr>
                <w:b/>
                <w:sz w:val="22"/>
                <w:szCs w:val="22"/>
              </w:rPr>
              <w:t>FY2013</w:t>
            </w:r>
          </w:p>
        </w:tc>
        <w:tc>
          <w:tcPr>
            <w:tcW w:w="1170" w:type="dxa"/>
          </w:tcPr>
          <w:p w:rsidR="00096E07" w:rsidRPr="00765058" w:rsidRDefault="00096E07" w:rsidP="00096E07">
            <w:pPr>
              <w:jc w:val="center"/>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F</w:t>
            </w:r>
            <w:r w:rsidRPr="00765058">
              <w:rPr>
                <w:b/>
                <w:sz w:val="22"/>
                <w:szCs w:val="22"/>
              </w:rPr>
              <w:t>FY2014</w:t>
            </w:r>
          </w:p>
        </w:tc>
        <w:tc>
          <w:tcPr>
            <w:tcW w:w="1170" w:type="dxa"/>
          </w:tcPr>
          <w:p w:rsidR="00096E07" w:rsidRPr="00765058" w:rsidRDefault="00096E07" w:rsidP="00096E07">
            <w:pPr>
              <w:jc w:val="center"/>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F</w:t>
            </w:r>
            <w:r w:rsidRPr="00765058">
              <w:rPr>
                <w:b/>
                <w:sz w:val="22"/>
                <w:szCs w:val="22"/>
              </w:rPr>
              <w:t>FY2015</w:t>
            </w:r>
          </w:p>
        </w:tc>
        <w:tc>
          <w:tcPr>
            <w:tcW w:w="171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096E07" w:rsidRPr="00E95759" w:rsidTr="00096E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dxa"/>
          </w:tcPr>
          <w:p w:rsidR="00096E07" w:rsidRPr="00B73BCD" w:rsidRDefault="00096E07" w:rsidP="00096E07">
            <w:pPr>
              <w:rPr>
                <w:b w:val="0"/>
                <w:sz w:val="22"/>
                <w:szCs w:val="22"/>
              </w:rPr>
            </w:pPr>
            <w:r w:rsidRPr="00B73BCD">
              <w:rPr>
                <w:b w:val="0"/>
                <w:sz w:val="22"/>
                <w:szCs w:val="22"/>
              </w:rPr>
              <w:t>Boston</w:t>
            </w:r>
          </w:p>
        </w:tc>
        <w:tc>
          <w:tcPr>
            <w:tcW w:w="1116"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336</w:t>
            </w:r>
          </w:p>
        </w:tc>
        <w:tc>
          <w:tcPr>
            <w:tcW w:w="1170" w:type="dxa"/>
          </w:tcPr>
          <w:p w:rsidR="00096E07"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420</w:t>
            </w:r>
          </w:p>
        </w:tc>
        <w:tc>
          <w:tcPr>
            <w:tcW w:w="1170" w:type="dxa"/>
          </w:tcPr>
          <w:p w:rsidR="00096E07"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517</w:t>
            </w:r>
          </w:p>
        </w:tc>
        <w:tc>
          <w:tcPr>
            <w:tcW w:w="1170" w:type="dxa"/>
          </w:tcPr>
          <w:p w:rsidR="00096E07"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542</w:t>
            </w:r>
          </w:p>
        </w:tc>
        <w:tc>
          <w:tcPr>
            <w:tcW w:w="117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835</w:t>
            </w:r>
          </w:p>
        </w:tc>
        <w:tc>
          <w:tcPr>
            <w:tcW w:w="171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54.1%</w:t>
            </w:r>
          </w:p>
        </w:tc>
        <w:tc>
          <w:tcPr>
            <w:tcW w:w="117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9.5%</w:t>
            </w:r>
          </w:p>
        </w:tc>
      </w:tr>
      <w:tr w:rsidR="00096E07" w:rsidRPr="00E95759" w:rsidTr="00096E07">
        <w:tc>
          <w:tcPr>
            <w:cnfStyle w:val="001000000000" w:firstRow="0" w:lastRow="0" w:firstColumn="1" w:lastColumn="0" w:oddVBand="0" w:evenVBand="0" w:oddHBand="0" w:evenHBand="0" w:firstRowFirstColumn="0" w:firstRowLastColumn="0" w:lastRowFirstColumn="0" w:lastRowLastColumn="0"/>
            <w:tcW w:w="1512" w:type="dxa"/>
          </w:tcPr>
          <w:p w:rsidR="00096E07" w:rsidRPr="00B73BCD" w:rsidRDefault="00096E07" w:rsidP="00096E07">
            <w:pPr>
              <w:rPr>
                <w:b w:val="0"/>
                <w:sz w:val="22"/>
                <w:szCs w:val="22"/>
              </w:rPr>
            </w:pPr>
            <w:r w:rsidRPr="00B73BCD">
              <w:rPr>
                <w:b w:val="0"/>
                <w:sz w:val="22"/>
                <w:szCs w:val="22"/>
              </w:rPr>
              <w:t>Worcester</w:t>
            </w:r>
          </w:p>
        </w:tc>
        <w:tc>
          <w:tcPr>
            <w:tcW w:w="1116"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86</w:t>
            </w:r>
          </w:p>
        </w:tc>
        <w:tc>
          <w:tcPr>
            <w:tcW w:w="117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147</w:t>
            </w:r>
          </w:p>
        </w:tc>
        <w:tc>
          <w:tcPr>
            <w:tcW w:w="117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217</w:t>
            </w:r>
          </w:p>
        </w:tc>
        <w:tc>
          <w:tcPr>
            <w:tcW w:w="117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309</w:t>
            </w:r>
          </w:p>
        </w:tc>
        <w:tc>
          <w:tcPr>
            <w:tcW w:w="117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533</w:t>
            </w:r>
          </w:p>
        </w:tc>
        <w:tc>
          <w:tcPr>
            <w:tcW w:w="171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72.5%</w:t>
            </w:r>
          </w:p>
        </w:tc>
        <w:tc>
          <w:tcPr>
            <w:tcW w:w="117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6.1%</w:t>
            </w:r>
          </w:p>
        </w:tc>
      </w:tr>
      <w:tr w:rsidR="00096E07" w:rsidRPr="00E95759" w:rsidTr="00096E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dxa"/>
          </w:tcPr>
          <w:p w:rsidR="00096E07" w:rsidRPr="00B73BCD" w:rsidRDefault="00096E07" w:rsidP="00096E07">
            <w:pPr>
              <w:rPr>
                <w:b w:val="0"/>
                <w:sz w:val="22"/>
                <w:szCs w:val="22"/>
              </w:rPr>
            </w:pPr>
            <w:r w:rsidRPr="00B73BCD">
              <w:rPr>
                <w:b w:val="0"/>
                <w:sz w:val="22"/>
                <w:szCs w:val="22"/>
              </w:rPr>
              <w:t>Brockton</w:t>
            </w:r>
          </w:p>
        </w:tc>
        <w:tc>
          <w:tcPr>
            <w:tcW w:w="1116"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81</w:t>
            </w:r>
          </w:p>
        </w:tc>
        <w:tc>
          <w:tcPr>
            <w:tcW w:w="117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80</w:t>
            </w:r>
          </w:p>
        </w:tc>
        <w:tc>
          <w:tcPr>
            <w:tcW w:w="117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130</w:t>
            </w:r>
          </w:p>
        </w:tc>
        <w:tc>
          <w:tcPr>
            <w:tcW w:w="117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219</w:t>
            </w:r>
          </w:p>
        </w:tc>
        <w:tc>
          <w:tcPr>
            <w:tcW w:w="117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376</w:t>
            </w:r>
          </w:p>
        </w:tc>
        <w:tc>
          <w:tcPr>
            <w:tcW w:w="171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71.7%</w:t>
            </w:r>
          </w:p>
        </w:tc>
        <w:tc>
          <w:tcPr>
            <w:tcW w:w="117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4.3%</w:t>
            </w:r>
          </w:p>
        </w:tc>
      </w:tr>
      <w:tr w:rsidR="00096E07" w:rsidRPr="00E95759" w:rsidTr="00096E07">
        <w:tc>
          <w:tcPr>
            <w:cnfStyle w:val="001000000000" w:firstRow="0" w:lastRow="0" w:firstColumn="1" w:lastColumn="0" w:oddVBand="0" w:evenVBand="0" w:oddHBand="0" w:evenHBand="0" w:firstRowFirstColumn="0" w:firstRowLastColumn="0" w:lastRowFirstColumn="0" w:lastRowLastColumn="0"/>
            <w:tcW w:w="1512" w:type="dxa"/>
          </w:tcPr>
          <w:p w:rsidR="00096E07" w:rsidRPr="00B73BCD" w:rsidRDefault="00096E07" w:rsidP="00096E07">
            <w:pPr>
              <w:rPr>
                <w:b w:val="0"/>
                <w:sz w:val="22"/>
                <w:szCs w:val="22"/>
              </w:rPr>
            </w:pPr>
            <w:r w:rsidRPr="00B73BCD">
              <w:rPr>
                <w:b w:val="0"/>
                <w:sz w:val="22"/>
                <w:szCs w:val="22"/>
              </w:rPr>
              <w:t>New Bedford</w:t>
            </w:r>
          </w:p>
        </w:tc>
        <w:tc>
          <w:tcPr>
            <w:tcW w:w="1116"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95</w:t>
            </w:r>
          </w:p>
        </w:tc>
        <w:tc>
          <w:tcPr>
            <w:tcW w:w="117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115</w:t>
            </w:r>
          </w:p>
        </w:tc>
        <w:tc>
          <w:tcPr>
            <w:tcW w:w="117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152</w:t>
            </w:r>
          </w:p>
        </w:tc>
        <w:tc>
          <w:tcPr>
            <w:tcW w:w="117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264</w:t>
            </w:r>
          </w:p>
        </w:tc>
        <w:tc>
          <w:tcPr>
            <w:tcW w:w="117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367</w:t>
            </w:r>
          </w:p>
        </w:tc>
        <w:tc>
          <w:tcPr>
            <w:tcW w:w="171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39.0%</w:t>
            </w:r>
          </w:p>
        </w:tc>
        <w:tc>
          <w:tcPr>
            <w:tcW w:w="117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4.2%</w:t>
            </w:r>
          </w:p>
        </w:tc>
      </w:tr>
      <w:tr w:rsidR="00096E07" w:rsidRPr="00E95759" w:rsidTr="00096E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dxa"/>
          </w:tcPr>
          <w:p w:rsidR="00096E07" w:rsidRPr="00B73BCD" w:rsidRDefault="00096E07" w:rsidP="00096E07">
            <w:pPr>
              <w:rPr>
                <w:b w:val="0"/>
                <w:sz w:val="22"/>
                <w:szCs w:val="22"/>
              </w:rPr>
            </w:pPr>
            <w:r w:rsidRPr="00B73BCD">
              <w:rPr>
                <w:b w:val="0"/>
                <w:sz w:val="22"/>
                <w:szCs w:val="22"/>
              </w:rPr>
              <w:t>Fall River</w:t>
            </w:r>
          </w:p>
        </w:tc>
        <w:tc>
          <w:tcPr>
            <w:tcW w:w="1116"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w:t>
            </w:r>
          </w:p>
        </w:tc>
        <w:tc>
          <w:tcPr>
            <w:tcW w:w="117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101</w:t>
            </w:r>
          </w:p>
        </w:tc>
        <w:tc>
          <w:tcPr>
            <w:tcW w:w="117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158</w:t>
            </w:r>
          </w:p>
        </w:tc>
        <w:tc>
          <w:tcPr>
            <w:tcW w:w="117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198</w:t>
            </w:r>
          </w:p>
        </w:tc>
        <w:tc>
          <w:tcPr>
            <w:tcW w:w="117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267</w:t>
            </w:r>
          </w:p>
        </w:tc>
        <w:tc>
          <w:tcPr>
            <w:tcW w:w="171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34.8%</w:t>
            </w:r>
          </w:p>
        </w:tc>
        <w:tc>
          <w:tcPr>
            <w:tcW w:w="117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3.0%</w:t>
            </w:r>
          </w:p>
        </w:tc>
      </w:tr>
      <w:tr w:rsidR="00096E07" w:rsidRPr="00E95759" w:rsidTr="00096E07">
        <w:tc>
          <w:tcPr>
            <w:cnfStyle w:val="001000000000" w:firstRow="0" w:lastRow="0" w:firstColumn="1" w:lastColumn="0" w:oddVBand="0" w:evenVBand="0" w:oddHBand="0" w:evenHBand="0" w:firstRowFirstColumn="0" w:firstRowLastColumn="0" w:lastRowFirstColumn="0" w:lastRowLastColumn="0"/>
            <w:tcW w:w="1512" w:type="dxa"/>
          </w:tcPr>
          <w:p w:rsidR="00096E07" w:rsidRPr="00B73BCD" w:rsidRDefault="00096E07" w:rsidP="00096E07">
            <w:pPr>
              <w:rPr>
                <w:b w:val="0"/>
                <w:sz w:val="22"/>
                <w:szCs w:val="22"/>
              </w:rPr>
            </w:pPr>
            <w:r w:rsidRPr="00B73BCD">
              <w:rPr>
                <w:b w:val="0"/>
                <w:sz w:val="22"/>
                <w:szCs w:val="22"/>
              </w:rPr>
              <w:t>Quincy</w:t>
            </w:r>
          </w:p>
        </w:tc>
        <w:tc>
          <w:tcPr>
            <w:tcW w:w="1116"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96</w:t>
            </w:r>
          </w:p>
        </w:tc>
        <w:tc>
          <w:tcPr>
            <w:tcW w:w="117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79</w:t>
            </w:r>
          </w:p>
        </w:tc>
        <w:tc>
          <w:tcPr>
            <w:tcW w:w="117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134</w:t>
            </w:r>
          </w:p>
        </w:tc>
        <w:tc>
          <w:tcPr>
            <w:tcW w:w="117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171</w:t>
            </w:r>
          </w:p>
        </w:tc>
        <w:tc>
          <w:tcPr>
            <w:tcW w:w="117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205</w:t>
            </w:r>
          </w:p>
        </w:tc>
        <w:tc>
          <w:tcPr>
            <w:tcW w:w="171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19.9%</w:t>
            </w:r>
          </w:p>
        </w:tc>
        <w:tc>
          <w:tcPr>
            <w:tcW w:w="117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2.3%</w:t>
            </w:r>
          </w:p>
        </w:tc>
      </w:tr>
      <w:tr w:rsidR="00096E07" w:rsidRPr="00E95759" w:rsidTr="00096E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dxa"/>
          </w:tcPr>
          <w:p w:rsidR="00096E07" w:rsidRPr="00B73BCD" w:rsidRDefault="00096E07" w:rsidP="00096E07">
            <w:pPr>
              <w:rPr>
                <w:b w:val="0"/>
                <w:sz w:val="22"/>
                <w:szCs w:val="22"/>
              </w:rPr>
            </w:pPr>
            <w:r w:rsidRPr="00B73BCD">
              <w:rPr>
                <w:b w:val="0"/>
                <w:sz w:val="22"/>
                <w:szCs w:val="22"/>
              </w:rPr>
              <w:t>Lynn</w:t>
            </w:r>
          </w:p>
        </w:tc>
        <w:tc>
          <w:tcPr>
            <w:tcW w:w="1116"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77</w:t>
            </w:r>
          </w:p>
        </w:tc>
        <w:tc>
          <w:tcPr>
            <w:tcW w:w="117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61</w:t>
            </w:r>
          </w:p>
        </w:tc>
        <w:tc>
          <w:tcPr>
            <w:tcW w:w="117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67</w:t>
            </w:r>
          </w:p>
        </w:tc>
        <w:tc>
          <w:tcPr>
            <w:tcW w:w="117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132</w:t>
            </w:r>
          </w:p>
        </w:tc>
        <w:tc>
          <w:tcPr>
            <w:tcW w:w="117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198</w:t>
            </w:r>
          </w:p>
        </w:tc>
        <w:tc>
          <w:tcPr>
            <w:tcW w:w="171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50.0%</w:t>
            </w:r>
          </w:p>
        </w:tc>
        <w:tc>
          <w:tcPr>
            <w:tcW w:w="117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2.2%</w:t>
            </w:r>
          </w:p>
        </w:tc>
      </w:tr>
      <w:tr w:rsidR="00096E07" w:rsidRPr="00E95759" w:rsidTr="00096E07">
        <w:tc>
          <w:tcPr>
            <w:cnfStyle w:val="001000000000" w:firstRow="0" w:lastRow="0" w:firstColumn="1" w:lastColumn="0" w:oddVBand="0" w:evenVBand="0" w:oddHBand="0" w:evenHBand="0" w:firstRowFirstColumn="0" w:firstRowLastColumn="0" w:lastRowFirstColumn="0" w:lastRowLastColumn="0"/>
            <w:tcW w:w="1512" w:type="dxa"/>
          </w:tcPr>
          <w:p w:rsidR="00096E07" w:rsidRPr="00B73BCD" w:rsidRDefault="00096E07" w:rsidP="00096E07">
            <w:pPr>
              <w:rPr>
                <w:b w:val="0"/>
                <w:sz w:val="22"/>
                <w:szCs w:val="22"/>
              </w:rPr>
            </w:pPr>
            <w:r w:rsidRPr="00B73BCD">
              <w:rPr>
                <w:b w:val="0"/>
                <w:sz w:val="22"/>
                <w:szCs w:val="22"/>
              </w:rPr>
              <w:t>Lowell</w:t>
            </w:r>
          </w:p>
        </w:tc>
        <w:tc>
          <w:tcPr>
            <w:tcW w:w="1116"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57</w:t>
            </w:r>
          </w:p>
        </w:tc>
        <w:tc>
          <w:tcPr>
            <w:tcW w:w="117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63</w:t>
            </w:r>
          </w:p>
        </w:tc>
        <w:tc>
          <w:tcPr>
            <w:tcW w:w="117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84</w:t>
            </w:r>
          </w:p>
        </w:tc>
        <w:tc>
          <w:tcPr>
            <w:tcW w:w="117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110</w:t>
            </w:r>
          </w:p>
        </w:tc>
        <w:tc>
          <w:tcPr>
            <w:tcW w:w="117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189</w:t>
            </w:r>
          </w:p>
        </w:tc>
        <w:tc>
          <w:tcPr>
            <w:tcW w:w="171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71.8%</w:t>
            </w:r>
          </w:p>
        </w:tc>
        <w:tc>
          <w:tcPr>
            <w:tcW w:w="117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2.1%</w:t>
            </w:r>
          </w:p>
        </w:tc>
      </w:tr>
      <w:tr w:rsidR="00096E07" w:rsidRPr="00E95759" w:rsidTr="00096E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dxa"/>
          </w:tcPr>
          <w:p w:rsidR="00096E07" w:rsidRPr="00B73BCD" w:rsidRDefault="00096E07" w:rsidP="00096E07">
            <w:pPr>
              <w:rPr>
                <w:b w:val="0"/>
                <w:sz w:val="22"/>
                <w:szCs w:val="22"/>
              </w:rPr>
            </w:pPr>
            <w:r w:rsidRPr="00B73BCD">
              <w:rPr>
                <w:b w:val="0"/>
                <w:sz w:val="22"/>
                <w:szCs w:val="22"/>
              </w:rPr>
              <w:t>Taunton</w:t>
            </w:r>
          </w:p>
        </w:tc>
        <w:tc>
          <w:tcPr>
            <w:tcW w:w="1116"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34</w:t>
            </w:r>
          </w:p>
        </w:tc>
        <w:tc>
          <w:tcPr>
            <w:tcW w:w="117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60</w:t>
            </w:r>
          </w:p>
        </w:tc>
        <w:tc>
          <w:tcPr>
            <w:tcW w:w="117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69</w:t>
            </w:r>
          </w:p>
        </w:tc>
        <w:tc>
          <w:tcPr>
            <w:tcW w:w="117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129</w:t>
            </w:r>
          </w:p>
        </w:tc>
        <w:tc>
          <w:tcPr>
            <w:tcW w:w="117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183</w:t>
            </w:r>
          </w:p>
        </w:tc>
        <w:tc>
          <w:tcPr>
            <w:tcW w:w="171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41.9%</w:t>
            </w:r>
          </w:p>
        </w:tc>
        <w:tc>
          <w:tcPr>
            <w:tcW w:w="117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2.1%</w:t>
            </w:r>
          </w:p>
        </w:tc>
      </w:tr>
      <w:tr w:rsidR="00096E07" w:rsidRPr="00E95759" w:rsidTr="00096E07">
        <w:tc>
          <w:tcPr>
            <w:cnfStyle w:val="001000000000" w:firstRow="0" w:lastRow="0" w:firstColumn="1" w:lastColumn="0" w:oddVBand="0" w:evenVBand="0" w:oddHBand="0" w:evenHBand="0" w:firstRowFirstColumn="0" w:firstRowLastColumn="0" w:lastRowFirstColumn="0" w:lastRowLastColumn="0"/>
            <w:tcW w:w="1512" w:type="dxa"/>
          </w:tcPr>
          <w:p w:rsidR="00096E07" w:rsidRPr="00B73BCD" w:rsidRDefault="00096E07" w:rsidP="00096E07">
            <w:pPr>
              <w:rPr>
                <w:b w:val="0"/>
                <w:sz w:val="22"/>
                <w:szCs w:val="22"/>
              </w:rPr>
            </w:pPr>
            <w:r w:rsidRPr="00B73BCD">
              <w:rPr>
                <w:b w:val="0"/>
                <w:sz w:val="22"/>
                <w:szCs w:val="22"/>
              </w:rPr>
              <w:t>Lawrence</w:t>
            </w:r>
          </w:p>
        </w:tc>
        <w:tc>
          <w:tcPr>
            <w:tcW w:w="1116" w:type="dxa"/>
          </w:tcPr>
          <w:p w:rsidR="00096E07"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55</w:t>
            </w:r>
          </w:p>
        </w:tc>
        <w:tc>
          <w:tcPr>
            <w:tcW w:w="1170" w:type="dxa"/>
          </w:tcPr>
          <w:p w:rsidR="00096E07"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60</w:t>
            </w:r>
          </w:p>
        </w:tc>
        <w:tc>
          <w:tcPr>
            <w:tcW w:w="1170" w:type="dxa"/>
          </w:tcPr>
          <w:p w:rsidR="00096E07"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48</w:t>
            </w:r>
          </w:p>
        </w:tc>
        <w:tc>
          <w:tcPr>
            <w:tcW w:w="1170" w:type="dxa"/>
          </w:tcPr>
          <w:p w:rsidR="00096E07"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84</w:t>
            </w:r>
          </w:p>
        </w:tc>
        <w:tc>
          <w:tcPr>
            <w:tcW w:w="1170" w:type="dxa"/>
          </w:tcPr>
          <w:p w:rsidR="00096E07"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175</w:t>
            </w:r>
          </w:p>
        </w:tc>
        <w:tc>
          <w:tcPr>
            <w:tcW w:w="171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108.3%</w:t>
            </w:r>
          </w:p>
        </w:tc>
        <w:tc>
          <w:tcPr>
            <w:tcW w:w="1170" w:type="dxa"/>
          </w:tcPr>
          <w:p w:rsidR="00096E07" w:rsidRPr="00E95759" w:rsidRDefault="00096E07" w:rsidP="00096E0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2.0%</w:t>
            </w:r>
          </w:p>
        </w:tc>
      </w:tr>
      <w:tr w:rsidR="00096E07" w:rsidRPr="00E95759" w:rsidTr="00096E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dxa"/>
          </w:tcPr>
          <w:p w:rsidR="00096E07" w:rsidRPr="00B73BCD" w:rsidRDefault="00096E07" w:rsidP="00096E07">
            <w:pPr>
              <w:rPr>
                <w:b w:val="0"/>
                <w:sz w:val="22"/>
                <w:szCs w:val="22"/>
              </w:rPr>
            </w:pPr>
            <w:r w:rsidRPr="00B73BCD">
              <w:rPr>
                <w:b w:val="0"/>
                <w:sz w:val="22"/>
                <w:szCs w:val="22"/>
              </w:rPr>
              <w:t>Haverhill</w:t>
            </w:r>
          </w:p>
        </w:tc>
        <w:tc>
          <w:tcPr>
            <w:tcW w:w="1116" w:type="dxa"/>
          </w:tcPr>
          <w:p w:rsidR="00096E07"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48</w:t>
            </w:r>
          </w:p>
        </w:tc>
        <w:tc>
          <w:tcPr>
            <w:tcW w:w="1170" w:type="dxa"/>
          </w:tcPr>
          <w:p w:rsidR="00096E07"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47</w:t>
            </w:r>
          </w:p>
        </w:tc>
        <w:tc>
          <w:tcPr>
            <w:tcW w:w="1170" w:type="dxa"/>
          </w:tcPr>
          <w:p w:rsidR="00096E07"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40</w:t>
            </w:r>
          </w:p>
        </w:tc>
        <w:tc>
          <w:tcPr>
            <w:tcW w:w="1170" w:type="dxa"/>
          </w:tcPr>
          <w:p w:rsidR="00096E07"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93</w:t>
            </w:r>
          </w:p>
        </w:tc>
        <w:tc>
          <w:tcPr>
            <w:tcW w:w="1170" w:type="dxa"/>
          </w:tcPr>
          <w:p w:rsidR="00096E07"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171</w:t>
            </w:r>
          </w:p>
        </w:tc>
        <w:tc>
          <w:tcPr>
            <w:tcW w:w="171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83.9%</w:t>
            </w:r>
          </w:p>
        </w:tc>
        <w:tc>
          <w:tcPr>
            <w:tcW w:w="1170" w:type="dxa"/>
          </w:tcPr>
          <w:p w:rsidR="00096E07" w:rsidRPr="00E95759" w:rsidRDefault="00096E07" w:rsidP="00096E0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1.9%</w:t>
            </w:r>
          </w:p>
        </w:tc>
      </w:tr>
    </w:tbl>
    <w:p w:rsidR="00096E07" w:rsidRDefault="00096E07" w:rsidP="00C65ADF">
      <w:r w:rsidRPr="00AF28CC">
        <w:rPr>
          <w:sz w:val="20"/>
          <w:szCs w:val="20"/>
        </w:rPr>
        <w:t>Source: Massachusetts Department of Public Health,</w:t>
      </w:r>
      <w:r w:rsidRPr="001C6C96">
        <w:rPr>
          <w:sz w:val="20"/>
          <w:szCs w:val="20"/>
        </w:rPr>
        <w:t xml:space="preserve"> </w:t>
      </w:r>
      <w:r w:rsidRPr="00111912">
        <w:rPr>
          <w:sz w:val="20"/>
          <w:szCs w:val="20"/>
        </w:rPr>
        <w:t xml:space="preserve">Inpatient Discharge Database, MA Observation Database, and MA Emergency Department Discharge Database, Center for Health </w:t>
      </w:r>
      <w:r>
        <w:rPr>
          <w:sz w:val="20"/>
          <w:szCs w:val="20"/>
        </w:rPr>
        <w:t xml:space="preserve">Information and Analysis (CHIA), </w:t>
      </w:r>
      <w:r w:rsidRPr="001C6C96">
        <w:rPr>
          <w:i/>
          <w:sz w:val="20"/>
          <w:szCs w:val="20"/>
        </w:rPr>
        <w:t>Nonfatal Heroin-related Overdoses, Hospital Events, FFY2011-FFY2015</w:t>
      </w:r>
      <w:r>
        <w:rPr>
          <w:sz w:val="20"/>
          <w:szCs w:val="20"/>
        </w:rPr>
        <w:t xml:space="preserve">, data obtained May 2, 2017. </w:t>
      </w:r>
    </w:p>
    <w:p w:rsidR="00096E07" w:rsidRPr="001C6C96" w:rsidRDefault="00096E07" w:rsidP="00C65ADF">
      <w:pPr>
        <w:rPr>
          <w:rFonts w:eastAsia="Times New Roman"/>
          <w:iCs/>
          <w:color w:val="000000"/>
          <w:sz w:val="20"/>
          <w:szCs w:val="20"/>
          <w:lang w:eastAsia="en-US"/>
        </w:rPr>
      </w:pPr>
      <w:r w:rsidRPr="001C6C96">
        <w:rPr>
          <w:rFonts w:eastAsia="Times New Roman"/>
          <w:iCs/>
          <w:color w:val="000000"/>
          <w:sz w:val="20"/>
          <w:szCs w:val="20"/>
          <w:lang w:eastAsia="en-US"/>
        </w:rPr>
        <w:t>Note: Drug poisoning intent categories may be unreliable due to difficulties ascertaining patient’s intent and variability in coding across hospitals. Therefore, all intents of nonfatal drug poisonings are included.</w:t>
      </w:r>
    </w:p>
    <w:p w:rsidR="00096E07" w:rsidRPr="00111912" w:rsidRDefault="00096E07" w:rsidP="00C65ADF">
      <w:pPr>
        <w:rPr>
          <w:sz w:val="20"/>
          <w:szCs w:val="20"/>
        </w:rPr>
      </w:pPr>
      <w:r w:rsidRPr="00111912">
        <w:rPr>
          <w:sz w:val="20"/>
          <w:szCs w:val="20"/>
        </w:rPr>
        <w:t xml:space="preserve">Data are submitted by and reported by </w:t>
      </w:r>
      <w:r>
        <w:rPr>
          <w:sz w:val="20"/>
          <w:szCs w:val="20"/>
        </w:rPr>
        <w:t xml:space="preserve">[federal] </w:t>
      </w:r>
      <w:r w:rsidRPr="00111912">
        <w:rPr>
          <w:sz w:val="20"/>
          <w:szCs w:val="20"/>
        </w:rPr>
        <w:t>fiscal year (October 1st -- September 30th).</w:t>
      </w:r>
    </w:p>
    <w:p w:rsidR="00096E07" w:rsidRDefault="00096E07" w:rsidP="00C65ADF">
      <w:pPr>
        <w:rPr>
          <w:sz w:val="20"/>
          <w:szCs w:val="20"/>
        </w:rPr>
      </w:pPr>
      <w:r w:rsidRPr="00111912">
        <w:rPr>
          <w:sz w:val="20"/>
          <w:szCs w:val="20"/>
        </w:rPr>
        <w:t xml:space="preserve">Counts represent acute-care hospital episodes which include hospital and emergency department discharges, </w:t>
      </w:r>
      <w:r>
        <w:rPr>
          <w:sz w:val="20"/>
          <w:szCs w:val="20"/>
        </w:rPr>
        <w:t>and</w:t>
      </w:r>
      <w:r w:rsidRPr="001C6C96">
        <w:rPr>
          <w:sz w:val="20"/>
          <w:szCs w:val="20"/>
        </w:rPr>
        <w:t xml:space="preserve"> observations stays. Opioids include heroin, prescription-based opioid pain k</w:t>
      </w:r>
      <w:r>
        <w:rPr>
          <w:sz w:val="20"/>
          <w:szCs w:val="20"/>
        </w:rPr>
        <w:t xml:space="preserve">illers, and unspecified opioids. </w:t>
      </w:r>
    </w:p>
    <w:p w:rsidR="00096E07" w:rsidRPr="00111912" w:rsidRDefault="00096E07" w:rsidP="00C65ADF">
      <w:pPr>
        <w:rPr>
          <w:sz w:val="20"/>
          <w:szCs w:val="20"/>
        </w:rPr>
      </w:pPr>
      <w:r w:rsidRPr="00111912">
        <w:rPr>
          <w:sz w:val="20"/>
          <w:szCs w:val="20"/>
        </w:rPr>
        <w:t>Counts less than 11 are suppressed per confidentiality rules.</w:t>
      </w:r>
    </w:p>
    <w:p w:rsidR="00096E07" w:rsidRDefault="00096E07" w:rsidP="00C65ADF">
      <w:pPr>
        <w:rPr>
          <w:sz w:val="20"/>
          <w:szCs w:val="20"/>
        </w:rPr>
      </w:pPr>
      <w:r w:rsidRPr="00111912">
        <w:rPr>
          <w:sz w:val="20"/>
          <w:szCs w:val="20"/>
        </w:rPr>
        <w:t xml:space="preserve">In 2015, the Center for Health Information and Analysis added several diagnosis fields to the hospital and ED databases. For consistency, </w:t>
      </w:r>
      <w:r>
        <w:rPr>
          <w:sz w:val="20"/>
          <w:szCs w:val="20"/>
        </w:rPr>
        <w:t xml:space="preserve">DPH </w:t>
      </w:r>
      <w:r w:rsidRPr="00111912">
        <w:rPr>
          <w:sz w:val="20"/>
          <w:szCs w:val="20"/>
        </w:rPr>
        <w:t>used the same definition as last year (i</w:t>
      </w:r>
      <w:r>
        <w:rPr>
          <w:sz w:val="20"/>
          <w:szCs w:val="20"/>
        </w:rPr>
        <w:t xml:space="preserve">.e., </w:t>
      </w:r>
      <w:r w:rsidRPr="00111912">
        <w:rPr>
          <w:sz w:val="20"/>
          <w:szCs w:val="20"/>
        </w:rPr>
        <w:t>searched 15 diagnosis fields in hospital, and 6 diagnosis fields in ED).</w:t>
      </w:r>
    </w:p>
    <w:p w:rsidR="00C552B7" w:rsidRPr="00316FA0" w:rsidRDefault="00C552B7" w:rsidP="00C65ADF">
      <w:pPr>
        <w:rPr>
          <w:i/>
          <w:sz w:val="20"/>
          <w:szCs w:val="20"/>
        </w:rPr>
      </w:pPr>
      <w:r w:rsidRPr="00316FA0">
        <w:rPr>
          <w:i/>
          <w:sz w:val="20"/>
          <w:szCs w:val="20"/>
        </w:rPr>
        <w:t>Please note: this is the most recent data available.</w:t>
      </w:r>
    </w:p>
    <w:p w:rsidR="00096E07" w:rsidRDefault="00096E07" w:rsidP="00096E07"/>
    <w:p w:rsidR="00096E07" w:rsidRDefault="00096E07" w:rsidP="002D780F">
      <w:pPr>
        <w:pStyle w:val="NoSpacing"/>
      </w:pPr>
    </w:p>
    <w:p w:rsidR="00096E07" w:rsidRDefault="00096E07" w:rsidP="002D780F">
      <w:pPr>
        <w:pStyle w:val="NoSpacing"/>
      </w:pPr>
    </w:p>
    <w:p w:rsidR="00425D74" w:rsidRDefault="00425D74" w:rsidP="002D780F">
      <w:pPr>
        <w:pStyle w:val="NoSpacing"/>
      </w:pPr>
    </w:p>
    <w:p w:rsidR="00425D74" w:rsidRDefault="00425D74" w:rsidP="002D780F">
      <w:pPr>
        <w:pStyle w:val="NoSpacing"/>
      </w:pPr>
    </w:p>
    <w:p w:rsidR="00425D74" w:rsidRDefault="00425D74" w:rsidP="002D780F">
      <w:pPr>
        <w:pStyle w:val="NoSpacing"/>
      </w:pPr>
    </w:p>
    <w:p w:rsidR="003C3226" w:rsidRPr="003C3226" w:rsidRDefault="003C3226" w:rsidP="002D780F">
      <w:pPr>
        <w:pStyle w:val="NoSpacing"/>
      </w:pPr>
    </w:p>
    <w:p w:rsidR="002D780F" w:rsidRDefault="002D780F">
      <w:pPr>
        <w:spacing w:after="200" w:line="276" w:lineRule="auto"/>
        <w:rPr>
          <w:highlight w:val="yellow"/>
        </w:rPr>
      </w:pPr>
      <w:r>
        <w:rPr>
          <w:highlight w:val="yellow"/>
        </w:rPr>
        <w:br w:type="page"/>
      </w:r>
    </w:p>
    <w:p w:rsidR="008540DA" w:rsidRPr="008540DA" w:rsidRDefault="008540DA" w:rsidP="008540DA">
      <w:pPr>
        <w:pStyle w:val="NoSpacing"/>
        <w:rPr>
          <w:b/>
          <w:smallCaps/>
          <w:sz w:val="26"/>
          <w:szCs w:val="26"/>
          <w:u w:val="single"/>
        </w:rPr>
      </w:pPr>
      <w:r w:rsidRPr="008540DA">
        <w:rPr>
          <w:b/>
          <w:smallCaps/>
          <w:sz w:val="26"/>
          <w:szCs w:val="26"/>
          <w:u w:val="single"/>
        </w:rPr>
        <w:lastRenderedPageBreak/>
        <w:t>Priority #</w:t>
      </w:r>
      <w:r w:rsidR="002C7464">
        <w:rPr>
          <w:b/>
          <w:smallCaps/>
          <w:sz w:val="26"/>
          <w:szCs w:val="26"/>
          <w:u w:val="single"/>
        </w:rPr>
        <w:t>5</w:t>
      </w:r>
      <w:r w:rsidRPr="008540DA">
        <w:rPr>
          <w:b/>
          <w:smallCaps/>
          <w:sz w:val="26"/>
          <w:szCs w:val="26"/>
          <w:u w:val="single"/>
        </w:rPr>
        <w:t xml:space="preserve">: </w:t>
      </w:r>
      <w:r w:rsidR="00970158">
        <w:rPr>
          <w:b/>
          <w:smallCaps/>
          <w:sz w:val="26"/>
          <w:szCs w:val="26"/>
          <w:u w:val="single"/>
        </w:rPr>
        <w:t>Collaborative</w:t>
      </w:r>
      <w:r w:rsidRPr="008540DA">
        <w:rPr>
          <w:b/>
          <w:smallCaps/>
          <w:sz w:val="26"/>
          <w:szCs w:val="26"/>
          <w:u w:val="single"/>
        </w:rPr>
        <w:t xml:space="preserve"> Prosecution and </w:t>
      </w:r>
      <w:r w:rsidR="00970158">
        <w:rPr>
          <w:b/>
          <w:smallCaps/>
          <w:sz w:val="26"/>
          <w:szCs w:val="26"/>
          <w:u w:val="single"/>
        </w:rPr>
        <w:t xml:space="preserve">Prevention </w:t>
      </w:r>
      <w:r w:rsidRPr="008540DA">
        <w:rPr>
          <w:b/>
          <w:smallCaps/>
          <w:sz w:val="26"/>
          <w:szCs w:val="26"/>
          <w:u w:val="single"/>
        </w:rPr>
        <w:t>Programs</w:t>
      </w:r>
    </w:p>
    <w:p w:rsidR="008540DA" w:rsidRPr="008540DA" w:rsidRDefault="008540DA" w:rsidP="008540DA">
      <w:pPr>
        <w:pStyle w:val="NoSpacing"/>
      </w:pPr>
    </w:p>
    <w:p w:rsidR="008540DA" w:rsidRPr="008540DA" w:rsidRDefault="008540DA" w:rsidP="008540DA">
      <w:pPr>
        <w:pStyle w:val="NoSpacing"/>
        <w:rPr>
          <w:b/>
          <w:i/>
        </w:rPr>
      </w:pPr>
      <w:r w:rsidRPr="008540DA">
        <w:rPr>
          <w:b/>
          <w:i/>
        </w:rPr>
        <w:t>Goal</w:t>
      </w:r>
    </w:p>
    <w:p w:rsidR="008540DA" w:rsidRDefault="00FE0E16" w:rsidP="008540DA">
      <w:pPr>
        <w:pStyle w:val="NoSpacing"/>
      </w:pPr>
      <w:r>
        <w:t>Maintain the quantity and quality of investigations, prosecutions, services for victims of crime, and other District Attorney-based programs.</w:t>
      </w:r>
    </w:p>
    <w:p w:rsidR="00DF2E2E" w:rsidRDefault="00DF2E2E" w:rsidP="008540DA">
      <w:pPr>
        <w:pStyle w:val="NoSpacing"/>
      </w:pPr>
    </w:p>
    <w:p w:rsidR="00DF2E2E" w:rsidRPr="00FE0E16" w:rsidRDefault="00FE0E16" w:rsidP="008540DA">
      <w:pPr>
        <w:pStyle w:val="NoSpacing"/>
        <w:rPr>
          <w:b/>
          <w:i/>
        </w:rPr>
      </w:pPr>
      <w:r w:rsidRPr="00FE0E16">
        <w:rPr>
          <w:b/>
          <w:i/>
        </w:rPr>
        <w:t xml:space="preserve">Purpose Areas Addressed </w:t>
      </w:r>
    </w:p>
    <w:p w:rsidR="00FE0E16" w:rsidRDefault="00F673B3" w:rsidP="00FE0E16">
      <w:pPr>
        <w:pStyle w:val="NoSpacing"/>
        <w:numPr>
          <w:ilvl w:val="0"/>
          <w:numId w:val="23"/>
        </w:numPr>
      </w:pPr>
      <w:r>
        <w:t>Prosecution and court programs</w:t>
      </w:r>
    </w:p>
    <w:p w:rsidR="00F673B3" w:rsidRDefault="00F673B3" w:rsidP="00FE0E16">
      <w:pPr>
        <w:pStyle w:val="NoSpacing"/>
        <w:numPr>
          <w:ilvl w:val="0"/>
          <w:numId w:val="23"/>
        </w:numPr>
      </w:pPr>
      <w:r>
        <w:t>Prevention and education programs</w:t>
      </w:r>
    </w:p>
    <w:p w:rsidR="00FE0E16" w:rsidRDefault="00FE0E16" w:rsidP="008540DA">
      <w:pPr>
        <w:pStyle w:val="NoSpacing"/>
      </w:pPr>
    </w:p>
    <w:p w:rsidR="00FE0E16" w:rsidRPr="00F673B3" w:rsidRDefault="00F673B3" w:rsidP="008540DA">
      <w:pPr>
        <w:pStyle w:val="NoSpacing"/>
        <w:rPr>
          <w:b/>
          <w:i/>
        </w:rPr>
      </w:pPr>
      <w:r w:rsidRPr="00F673B3">
        <w:rPr>
          <w:b/>
          <w:i/>
        </w:rPr>
        <w:t xml:space="preserve">Anticipated Activities </w:t>
      </w:r>
    </w:p>
    <w:p w:rsidR="00F673B3" w:rsidRDefault="00F673B3" w:rsidP="00F673B3">
      <w:pPr>
        <w:pStyle w:val="NoSpacing"/>
        <w:numPr>
          <w:ilvl w:val="0"/>
          <w:numId w:val="24"/>
        </w:numPr>
      </w:pPr>
      <w:r>
        <w:t>Investigate, prosecute, and provide services to victims and witnesses of crime.</w:t>
      </w:r>
    </w:p>
    <w:p w:rsidR="00F673B3" w:rsidRDefault="00F673B3" w:rsidP="00F673B3">
      <w:pPr>
        <w:pStyle w:val="NoSpacing"/>
        <w:numPr>
          <w:ilvl w:val="0"/>
          <w:numId w:val="24"/>
        </w:numPr>
      </w:pPr>
      <w:r>
        <w:t xml:space="preserve">Collaborate with local, state, and federal criminal justice agencies to ensure the successful prosecution and conviction of criminals. </w:t>
      </w:r>
    </w:p>
    <w:p w:rsidR="00F673B3" w:rsidRDefault="00F673B3" w:rsidP="00F673B3">
      <w:pPr>
        <w:pStyle w:val="NoSpacing"/>
        <w:numPr>
          <w:ilvl w:val="0"/>
          <w:numId w:val="24"/>
        </w:numPr>
      </w:pPr>
      <w:r>
        <w:t xml:space="preserve">Maintain or implement programming to support prosecution and enhance public safety in their local jurisdictions. </w:t>
      </w:r>
    </w:p>
    <w:p w:rsidR="00F673B3" w:rsidRDefault="00F673B3" w:rsidP="00F673B3">
      <w:pPr>
        <w:pStyle w:val="NoSpacing"/>
      </w:pPr>
    </w:p>
    <w:p w:rsidR="00F673B3" w:rsidRPr="00F673B3" w:rsidRDefault="00F673B3" w:rsidP="00F673B3">
      <w:pPr>
        <w:pStyle w:val="NoSpacing"/>
        <w:rPr>
          <w:b/>
          <w:i/>
        </w:rPr>
      </w:pPr>
      <w:r w:rsidRPr="00F673B3">
        <w:rPr>
          <w:b/>
          <w:i/>
        </w:rPr>
        <w:t>Rationale</w:t>
      </w:r>
    </w:p>
    <w:p w:rsidR="00241B92" w:rsidRDefault="00241B92" w:rsidP="00241B92">
      <w:pPr>
        <w:pStyle w:val="NoSpacing"/>
      </w:pPr>
      <w:r>
        <w:t xml:space="preserve">There are eleven elected District Attorneys and their combined staff of 1,500 employees, including 785 prosecutors and 260 victim-witness advocates in Massachusetts.  </w:t>
      </w:r>
      <w:r w:rsidR="009C3CBA">
        <w:t>In calendar year 2017, there were a total of 203,819 criminal and delinquency cases filed.</w:t>
      </w:r>
      <w:r w:rsidR="006068AA">
        <w:rPr>
          <w:rStyle w:val="FootnoteReference"/>
        </w:rPr>
        <w:footnoteReference w:id="55"/>
      </w:r>
      <w:r w:rsidR="006068AA">
        <w:t xml:space="preserve">  </w:t>
      </w:r>
      <w:r>
        <w:t>Assistant District Attorneys assigned to Superior Court prosecute most felony crimes, such as murder, rape, armed robbery and motor vehicle homicide in the Superior Courts in each county.  They also present these cases to the Grand Jury for indictment.  The Assistant District Attorneys assigned to the District Court handle the vast majority of cases that come before the District Courts and Juvenile Courts in each county.  All criminal charges are arraigned in District Court.  Felony crimes are then presented to the Grand Jury for indictment and tried in the Superior Court.</w:t>
      </w:r>
    </w:p>
    <w:p w:rsidR="00241B92" w:rsidRDefault="00241B92" w:rsidP="00241B92">
      <w:pPr>
        <w:pStyle w:val="NoSpacing"/>
      </w:pPr>
    </w:p>
    <w:p w:rsidR="00241B92" w:rsidRDefault="00241B92" w:rsidP="00241B92">
      <w:pPr>
        <w:pStyle w:val="NoSpacing"/>
      </w:pPr>
      <w:r>
        <w:t xml:space="preserve">Many district attorneys have a multitude of prosecution and prevention programs to help vulnerable populations comply with treatment plans, maintain sobriety, and resolve low-level cases with intervention rather than incarceration.  District attorneys may assign staff to the Mental Health Court, Drug Court, Homeless Court, and Veterans’ Treatment Court, if they are available in their jurisdictions.  </w:t>
      </w:r>
      <w:r w:rsidR="001D792C">
        <w:t xml:space="preserve">The same </w:t>
      </w:r>
      <w:r w:rsidR="004B135E">
        <w:t>consideration often is provided to youth in the juvenile justice system by many prosecutors who try to balance the factors of punishment, deterrence, and rehabilitation and effectively serve the victim.</w:t>
      </w:r>
    </w:p>
    <w:p w:rsidR="00E43F97" w:rsidRDefault="00E43F97" w:rsidP="008540DA">
      <w:pPr>
        <w:pStyle w:val="NoSpacing"/>
      </w:pPr>
    </w:p>
    <w:p w:rsidR="00F31418" w:rsidRPr="002321E9" w:rsidRDefault="00F7025B" w:rsidP="002321E9">
      <w:pPr>
        <w:pStyle w:val="NoSpacing"/>
      </w:pPr>
      <w:r>
        <w:t xml:space="preserve">Many district attorneys have diversion programs that allows first-time non-violent juvenile offenders to be considered for entry into a pre-trial diversion program.  </w:t>
      </w:r>
      <w:r w:rsidRPr="002321E9">
        <w:t>Juvenile d</w:t>
      </w:r>
      <w:r w:rsidR="00F31418" w:rsidRPr="002321E9">
        <w:t xml:space="preserve">iversion </w:t>
      </w:r>
      <w:r w:rsidRPr="002321E9">
        <w:t>p</w:t>
      </w:r>
      <w:r w:rsidR="00F31418" w:rsidRPr="002321E9">
        <w:t>rogram</w:t>
      </w:r>
      <w:r w:rsidRPr="002321E9">
        <w:t>s</w:t>
      </w:r>
      <w:r w:rsidR="00F31418" w:rsidRPr="002321E9">
        <w:t xml:space="preserve"> offers certain eligible juvenile offenders an alte</w:t>
      </w:r>
      <w:r w:rsidRPr="002321E9">
        <w:t xml:space="preserve">rnative to formal prosecution.  </w:t>
      </w:r>
      <w:r w:rsidR="00F31418" w:rsidRPr="002321E9">
        <w:t>The program diverts select juveniles into the program before they are arraigned in court, protecting them</w:t>
      </w:r>
      <w:r w:rsidRPr="002321E9">
        <w:t xml:space="preserve"> from having a criminal record.  </w:t>
      </w:r>
      <w:r w:rsidR="00F31418" w:rsidRPr="002321E9">
        <w:t>Diversion allows the juvenile an opportunity to participate in remedial programs, receive counseling and/or perform community s</w:t>
      </w:r>
      <w:r w:rsidR="002321E9" w:rsidRPr="002321E9">
        <w:t xml:space="preserve">ervice in lieu of prosecution.  </w:t>
      </w:r>
      <w:r w:rsidR="00F31418" w:rsidRPr="002321E9">
        <w:t xml:space="preserve">The goal is to address the root causes of juvenile delinquency and to work with the </w:t>
      </w:r>
      <w:r w:rsidR="00F31418" w:rsidRPr="002321E9">
        <w:lastRenderedPageBreak/>
        <w:t>juvenile to make better choices while also minimizing any life-</w:t>
      </w:r>
      <w:r w:rsidR="002321E9" w:rsidRPr="002321E9">
        <w:t xml:space="preserve">altering negative consequences.  </w:t>
      </w:r>
      <w:r w:rsidR="00F31418" w:rsidRPr="002321E9">
        <w:t>The program seeks to treat juveniles, not as criminals, but as children in need of aid, encouragement and guidance.</w:t>
      </w:r>
    </w:p>
    <w:p w:rsidR="00E43F97" w:rsidRDefault="00E43F97" w:rsidP="008540DA">
      <w:pPr>
        <w:pStyle w:val="NoSpacing"/>
      </w:pPr>
    </w:p>
    <w:p w:rsidR="005F4109" w:rsidRPr="00F673B3" w:rsidRDefault="005F4109" w:rsidP="005F4109">
      <w:pPr>
        <w:pStyle w:val="NoSpacing"/>
        <w:rPr>
          <w:b/>
          <w:i/>
        </w:rPr>
      </w:pPr>
      <w:r>
        <w:rPr>
          <w:b/>
          <w:i/>
        </w:rPr>
        <w:t>Statement of the Problem</w:t>
      </w:r>
    </w:p>
    <w:p w:rsidR="00DF2E2E" w:rsidRDefault="00285E22" w:rsidP="008540DA">
      <w:pPr>
        <w:pStyle w:val="NoSpacing"/>
      </w:pPr>
      <w:r>
        <w:t xml:space="preserve">While prosecution of crime is a District Attorney’s primary function, the District Attorneys in Massachusetts also engage in prevention and intervention initiatives aimed at </w:t>
      </w:r>
      <w:r w:rsidR="006068AA">
        <w:t>the Commonwealth’s</w:t>
      </w:r>
      <w:r>
        <w:t xml:space="preserve"> most vulnerable citizens, juvenile and senior citizens.  By working together with schools, police, councils on aging, health care providers and other professionals and concerned citizens, the District Attorneys work to ensure safer schools and communities for all Massachusetts citizens.  </w:t>
      </w:r>
    </w:p>
    <w:p w:rsidR="00DF2E2E" w:rsidRDefault="00DF2E2E" w:rsidP="008540DA">
      <w:pPr>
        <w:pStyle w:val="NoSpacing"/>
      </w:pPr>
    </w:p>
    <w:p w:rsidR="005F4109" w:rsidRPr="009E32B6" w:rsidRDefault="00745776" w:rsidP="005F4109">
      <w:pPr>
        <w:rPr>
          <w:smallCaps/>
          <w:sz w:val="26"/>
          <w:szCs w:val="26"/>
          <w:u w:val="single"/>
        </w:rPr>
      </w:pPr>
      <w:r>
        <w:rPr>
          <w:smallCaps/>
          <w:sz w:val="26"/>
          <w:szCs w:val="26"/>
          <w:u w:val="single"/>
        </w:rPr>
        <w:t>Juvenile Involvement with the Criminal Justice System</w:t>
      </w:r>
    </w:p>
    <w:p w:rsidR="005F4109" w:rsidRDefault="005F4109" w:rsidP="008540DA">
      <w:pPr>
        <w:pStyle w:val="NoSpacing"/>
      </w:pPr>
    </w:p>
    <w:p w:rsidR="00285E22" w:rsidRDefault="00285E22" w:rsidP="008540DA">
      <w:pPr>
        <w:pStyle w:val="NoSpacing"/>
      </w:pPr>
      <w:r>
        <w:t>The following statistics clearly support the need for prevention and intervention initiatives by the District Attorneys with regard to youth violence and juvenile crime in Massachusetts.</w:t>
      </w:r>
    </w:p>
    <w:p w:rsidR="00285E22" w:rsidRDefault="00285E22" w:rsidP="008540DA">
      <w:pPr>
        <w:pStyle w:val="NoSpacing"/>
      </w:pPr>
    </w:p>
    <w:p w:rsidR="00B60491" w:rsidRPr="004362AB" w:rsidRDefault="00B60491" w:rsidP="00B60491">
      <w:pPr>
        <w:spacing w:after="120"/>
        <w:rPr>
          <w:b/>
          <w:bCs/>
        </w:rPr>
      </w:pPr>
      <w:r w:rsidRPr="004362AB">
        <w:t xml:space="preserve">A youthful offender is a person who </w:t>
      </w:r>
      <w:r>
        <w:t>is</w:t>
      </w:r>
      <w:r w:rsidRPr="004362AB">
        <w:t xml:space="preserve"> indicted and subject</w:t>
      </w:r>
      <w:r>
        <w:t>ed</w:t>
      </w:r>
      <w:r w:rsidRPr="004362AB">
        <w:t xml:space="preserve"> to an adult and/or juvenile sentence for having committed an offense while b</w:t>
      </w:r>
      <w:r>
        <w:t>etween the ages of 14 and 18</w:t>
      </w:r>
      <w:r w:rsidRPr="004362AB">
        <w:t xml:space="preserve"> which, if he/she were an adult, would be punishable by imprisonment in the state prison [i.e. felonies] and</w:t>
      </w:r>
      <w:r>
        <w:t xml:space="preserve"> has</w:t>
      </w:r>
      <w:r w:rsidRPr="004362AB">
        <w:t>:</w:t>
      </w:r>
    </w:p>
    <w:p w:rsidR="00B60491" w:rsidRPr="004362AB" w:rsidRDefault="00B60491" w:rsidP="00B60491">
      <w:pPr>
        <w:numPr>
          <w:ilvl w:val="0"/>
          <w:numId w:val="25"/>
        </w:numPr>
        <w:ind w:left="0" w:firstLine="0"/>
      </w:pPr>
      <w:r>
        <w:t>p</w:t>
      </w:r>
      <w:r w:rsidRPr="004362AB">
        <w:t>reviously been committed to the Department of Youth Services (DYS); or</w:t>
      </w:r>
    </w:p>
    <w:p w:rsidR="00B60491" w:rsidRPr="004362AB" w:rsidRDefault="00B60491" w:rsidP="00B60491">
      <w:pPr>
        <w:numPr>
          <w:ilvl w:val="0"/>
          <w:numId w:val="25"/>
        </w:numPr>
        <w:tabs>
          <w:tab w:val="clear" w:pos="720"/>
        </w:tabs>
        <w:ind w:hanging="720"/>
      </w:pPr>
      <w:r w:rsidRPr="004362AB">
        <w:t>committed an offense which involves the infliction or threat of serious bodily harm in violation of law; or</w:t>
      </w:r>
    </w:p>
    <w:p w:rsidR="00B60491" w:rsidRPr="004362AB" w:rsidRDefault="00B60491" w:rsidP="00B60491">
      <w:pPr>
        <w:numPr>
          <w:ilvl w:val="0"/>
          <w:numId w:val="25"/>
        </w:numPr>
        <w:ind w:hanging="720"/>
      </w:pPr>
      <w:r w:rsidRPr="004362AB">
        <w:t>committed a violation of [MGL, Chapter 269, §10(a)(c), (d), MGL, Chapter 269, §10E (firearm offenses)] (MGL, Chapter 119, §58)</w:t>
      </w:r>
      <w:r w:rsidRPr="004362AB">
        <w:rPr>
          <w:i/>
        </w:rPr>
        <w:t>.</w:t>
      </w:r>
      <w:r>
        <w:rPr>
          <w:rStyle w:val="FootnoteReference"/>
          <w:i/>
        </w:rPr>
        <w:footnoteReference w:id="56"/>
      </w:r>
    </w:p>
    <w:p w:rsidR="00B60491" w:rsidRDefault="00B60491" w:rsidP="008540DA">
      <w:pPr>
        <w:pStyle w:val="NoSpacing"/>
      </w:pPr>
    </w:p>
    <w:p w:rsidR="00B60491" w:rsidRDefault="009E560A" w:rsidP="008540DA">
      <w:pPr>
        <w:pStyle w:val="NoSpacing"/>
      </w:pPr>
      <w:r>
        <w:t xml:space="preserve">In SFY 2017, 151 youthful offender cases were heard before the Juvenile Court involving young people between ages 14 and 18 (Figure </w:t>
      </w:r>
      <w:r w:rsidR="006068AA">
        <w:t>19</w:t>
      </w:r>
      <w:r>
        <w:t xml:space="preserve">, page </w:t>
      </w:r>
      <w:r w:rsidR="006068AA">
        <w:t>42</w:t>
      </w:r>
      <w:r>
        <w:t>).  During the five years between 2008 and 2013, the number of youthful offender cases stabilized or declined; however, subsequent to the raised age of Juvenile Court jurisdiction, the number of cases rose in SFY 2014.  In SFY 2014 and 2015, the number of cases rose 50% and 43%, respectively from the preceding year, and leveled off in 2016. In 2017, youthful offender cases declined 31%.  Males accounted for the overwhelming majority of individuals in cases seen before the Juvenile Court (97%),</w:t>
      </w:r>
      <w:r>
        <w:rPr>
          <w:rStyle w:val="FootnoteReference"/>
        </w:rPr>
        <w:footnoteReference w:id="57"/>
      </w:r>
      <w:r>
        <w:t xml:space="preserve"> not unlike the other data previously discussed in this analysis.  </w:t>
      </w:r>
    </w:p>
    <w:p w:rsidR="009E560A" w:rsidRDefault="009E560A" w:rsidP="008540DA">
      <w:pPr>
        <w:pStyle w:val="NoSpacing"/>
      </w:pPr>
    </w:p>
    <w:p w:rsidR="00DF2E2E" w:rsidRDefault="009E560A" w:rsidP="00B60491">
      <w:pPr>
        <w:pStyle w:val="NoSpacing"/>
        <w:jc w:val="center"/>
      </w:pPr>
      <w:r>
        <w:rPr>
          <w:noProof/>
          <w:lang w:eastAsia="en-US"/>
        </w:rPr>
        <w:lastRenderedPageBreak/>
        <w:drawing>
          <wp:inline distT="0" distB="0" distL="0" distR="0" wp14:anchorId="45F67CAD" wp14:editId="280780D7">
            <wp:extent cx="4468495" cy="2751151"/>
            <wp:effectExtent l="0" t="0" r="8255" b="1143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F6B3C" w:rsidRDefault="00B60491" w:rsidP="007F6B3C">
      <w:pPr>
        <w:ind w:left="1170"/>
        <w:rPr>
          <w:rFonts w:eastAsiaTheme="minorHAnsi"/>
          <w:i/>
          <w:sz w:val="18"/>
          <w:szCs w:val="18"/>
          <w:lang w:eastAsia="en-US"/>
        </w:rPr>
      </w:pPr>
      <w:r w:rsidRPr="006A2D63">
        <w:rPr>
          <w:i/>
          <w:sz w:val="18"/>
          <w:szCs w:val="18"/>
        </w:rPr>
        <w:t xml:space="preserve">Figure </w:t>
      </w:r>
      <w:r>
        <w:rPr>
          <w:i/>
          <w:sz w:val="18"/>
          <w:szCs w:val="18"/>
        </w:rPr>
        <w:t>1</w:t>
      </w:r>
      <w:r w:rsidR="006068AA">
        <w:rPr>
          <w:i/>
          <w:sz w:val="18"/>
          <w:szCs w:val="18"/>
        </w:rPr>
        <w:t>9</w:t>
      </w:r>
      <w:r w:rsidRPr="006A2D63">
        <w:rPr>
          <w:i/>
          <w:sz w:val="18"/>
          <w:szCs w:val="18"/>
        </w:rPr>
        <w:t>.</w:t>
      </w:r>
      <w:r w:rsidRPr="00861E7C">
        <w:rPr>
          <w:sz w:val="18"/>
          <w:szCs w:val="18"/>
        </w:rPr>
        <w:t xml:space="preserve"> Executive Office of the Trial Court, Department of Research and Planning, </w:t>
      </w:r>
      <w:r w:rsidRPr="00861E7C">
        <w:rPr>
          <w:rFonts w:eastAsiaTheme="minorHAnsi"/>
          <w:i/>
          <w:sz w:val="18"/>
          <w:szCs w:val="18"/>
          <w:lang w:eastAsia="en-US"/>
        </w:rPr>
        <w:t xml:space="preserve">Case Filings </w:t>
      </w:r>
    </w:p>
    <w:p w:rsidR="00B60491" w:rsidRPr="004F293F" w:rsidRDefault="00B60491" w:rsidP="007F6B3C">
      <w:pPr>
        <w:ind w:left="1170"/>
        <w:rPr>
          <w:sz w:val="18"/>
          <w:szCs w:val="18"/>
        </w:rPr>
      </w:pPr>
      <w:r w:rsidRPr="00861E7C">
        <w:rPr>
          <w:rFonts w:eastAsiaTheme="minorHAnsi"/>
          <w:i/>
          <w:sz w:val="18"/>
          <w:szCs w:val="18"/>
          <w:lang w:eastAsia="en-US"/>
        </w:rPr>
        <w:t>and Demographics of Selected Case Types</w:t>
      </w:r>
      <w:r w:rsidRPr="00861E7C">
        <w:rPr>
          <w:rFonts w:eastAsiaTheme="minorHAnsi"/>
          <w:sz w:val="18"/>
          <w:szCs w:val="18"/>
          <w:lang w:eastAsia="en-US"/>
        </w:rPr>
        <w:t xml:space="preserve">, </w:t>
      </w:r>
      <w:r w:rsidR="009B1964">
        <w:rPr>
          <w:rFonts w:eastAsiaTheme="minorHAnsi"/>
          <w:sz w:val="18"/>
          <w:szCs w:val="18"/>
          <w:lang w:eastAsia="en-US"/>
        </w:rPr>
        <w:t>March 9, 2018.</w:t>
      </w:r>
    </w:p>
    <w:p w:rsidR="007F6B3C" w:rsidRDefault="00B60491" w:rsidP="007F6B3C">
      <w:pPr>
        <w:ind w:left="1170"/>
        <w:rPr>
          <w:sz w:val="18"/>
          <w:szCs w:val="18"/>
        </w:rPr>
      </w:pPr>
      <w:r w:rsidRPr="00861E7C">
        <w:rPr>
          <w:sz w:val="18"/>
          <w:szCs w:val="18"/>
        </w:rPr>
        <w:t xml:space="preserve">Note: SFY 2012 data for Essex County Juvenile Court on the total number of youthful offender cases </w:t>
      </w:r>
    </w:p>
    <w:p w:rsidR="00B60491" w:rsidRDefault="00B60491" w:rsidP="007F6B3C">
      <w:pPr>
        <w:ind w:left="1170"/>
        <w:rPr>
          <w:sz w:val="18"/>
          <w:szCs w:val="18"/>
        </w:rPr>
      </w:pPr>
      <w:r w:rsidRPr="00861E7C">
        <w:rPr>
          <w:sz w:val="18"/>
          <w:szCs w:val="18"/>
        </w:rPr>
        <w:t>is unavailable and was therefore excluded from this analysis.</w:t>
      </w:r>
    </w:p>
    <w:p w:rsidR="00DF2E2E" w:rsidRDefault="00DF2E2E" w:rsidP="008540DA">
      <w:pPr>
        <w:pStyle w:val="NoSpacing"/>
      </w:pPr>
    </w:p>
    <w:p w:rsidR="00DF2E2E" w:rsidRDefault="000A124B" w:rsidP="008540DA">
      <w:pPr>
        <w:pStyle w:val="NoSpacing"/>
      </w:pPr>
      <w:r w:rsidRPr="001134A5">
        <w:t xml:space="preserve">In Massachusetts and other states across the country, there are racial disparities in the juvenile justice system. </w:t>
      </w:r>
      <w:r w:rsidR="00BC45A9" w:rsidRPr="001134A5">
        <w:t xml:space="preserve"> </w:t>
      </w:r>
      <w:r w:rsidRPr="001134A5">
        <w:t>These disparities are often referred to as “Disproportionate Minority Contact”</w:t>
      </w:r>
      <w:r>
        <w:rPr>
          <w:sz w:val="23"/>
          <w:szCs w:val="23"/>
        </w:rPr>
        <w:t xml:space="preserve"> </w:t>
      </w:r>
      <w:r w:rsidRPr="001134A5">
        <w:t>(DMC)</w:t>
      </w:r>
      <w:r>
        <w:rPr>
          <w:rStyle w:val="FootnoteReference"/>
          <w:sz w:val="23"/>
          <w:szCs w:val="23"/>
        </w:rPr>
        <w:footnoteReference w:id="58"/>
      </w:r>
      <w:r>
        <w:rPr>
          <w:sz w:val="23"/>
          <w:szCs w:val="23"/>
        </w:rPr>
        <w:t xml:space="preserve"> </w:t>
      </w:r>
      <w:r w:rsidRPr="001134A5">
        <w:t>or “Racial and Ethnic Disparities” (RED)</w:t>
      </w:r>
      <w:r w:rsidR="00BB799C">
        <w:rPr>
          <w:rStyle w:val="FootnoteReference"/>
          <w:sz w:val="23"/>
          <w:szCs w:val="23"/>
        </w:rPr>
        <w:footnoteReference w:id="59"/>
      </w:r>
      <w:r>
        <w:rPr>
          <w:sz w:val="23"/>
          <w:szCs w:val="23"/>
        </w:rPr>
        <w:t>.</w:t>
      </w:r>
      <w:r w:rsidR="00BC45A9">
        <w:rPr>
          <w:sz w:val="23"/>
          <w:szCs w:val="23"/>
        </w:rPr>
        <w:t xml:space="preserve"> </w:t>
      </w:r>
    </w:p>
    <w:p w:rsidR="00DF2E2E" w:rsidRDefault="00DF2E2E" w:rsidP="008540DA">
      <w:pPr>
        <w:pStyle w:val="NoSpacing"/>
      </w:pPr>
    </w:p>
    <w:p w:rsidR="00DA5F05" w:rsidRDefault="00DA5F05" w:rsidP="00DA5F05">
      <w:r>
        <w:t>Examining the race/ethnicity of individuals charged as a youthful offender in SFY 201</w:t>
      </w:r>
      <w:r w:rsidR="00FE6022">
        <w:t>7</w:t>
      </w:r>
      <w:r>
        <w:t>, Hispanic youth account for 4</w:t>
      </w:r>
      <w:r w:rsidR="00FE6022">
        <w:t>3</w:t>
      </w:r>
      <w:r>
        <w:t>% of the cases, followed by Black/African American youth (35%), White</w:t>
      </w:r>
      <w:r w:rsidRPr="004362AB">
        <w:t xml:space="preserve"> youth (</w:t>
      </w:r>
      <w:r>
        <w:t>22</w:t>
      </w:r>
      <w:r w:rsidRPr="004362AB">
        <w:t>%),</w:t>
      </w:r>
      <w:r>
        <w:t xml:space="preserve"> </w:t>
      </w:r>
      <w:r w:rsidRPr="004362AB">
        <w:t>and Other (</w:t>
      </w:r>
      <w:r w:rsidR="00FE6022">
        <w:t>2</w:t>
      </w:r>
      <w:r w:rsidRPr="004362AB">
        <w:t>%).</w:t>
      </w:r>
      <w:r w:rsidRPr="004362AB">
        <w:rPr>
          <w:vertAlign w:val="superscript"/>
        </w:rPr>
        <w:footnoteReference w:id="60"/>
      </w:r>
      <w:r w:rsidRPr="004362AB">
        <w:t xml:space="preserve">  </w:t>
      </w:r>
      <w:r w:rsidR="003E4044">
        <w:t xml:space="preserve">Figure </w:t>
      </w:r>
      <w:r w:rsidR="006068AA">
        <w:t>20, page 43</w:t>
      </w:r>
      <w:r w:rsidR="003E4044">
        <w:t xml:space="preserve"> </w:t>
      </w:r>
      <w:r>
        <w:t xml:space="preserve">reflects that minority youth comprise the majority of youthful offender cases in many of the counties.  This is especially true for the counties of </w:t>
      </w:r>
      <w:r w:rsidR="00FE6022">
        <w:t>Middlesex</w:t>
      </w:r>
      <w:r>
        <w:t xml:space="preserve"> (100%) and </w:t>
      </w:r>
      <w:r w:rsidR="00FE6022">
        <w:t>Plymouth</w:t>
      </w:r>
      <w:r>
        <w:t xml:space="preserve"> (</w:t>
      </w:r>
      <w:r w:rsidR="00FE6022">
        <w:t>100</w:t>
      </w:r>
      <w:r>
        <w:t xml:space="preserve">%). </w:t>
      </w:r>
    </w:p>
    <w:p w:rsidR="00DF2E2E" w:rsidRDefault="00DF2E2E" w:rsidP="008540DA">
      <w:pPr>
        <w:pStyle w:val="NoSpacing"/>
      </w:pPr>
    </w:p>
    <w:p w:rsidR="00DF2E2E" w:rsidRDefault="00A17E16" w:rsidP="00A17E16">
      <w:pPr>
        <w:pStyle w:val="NoSpacing"/>
        <w:jc w:val="center"/>
      </w:pPr>
      <w:r>
        <w:rPr>
          <w:noProof/>
          <w:lang w:eastAsia="en-US"/>
        </w:rPr>
        <w:lastRenderedPageBreak/>
        <w:drawing>
          <wp:inline distT="0" distB="0" distL="0" distR="0" wp14:anchorId="3F4AC0E7" wp14:editId="1FD3EFE4">
            <wp:extent cx="5709037" cy="2610927"/>
            <wp:effectExtent l="0" t="0" r="6350" b="1841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60ADD" w:rsidRDefault="00C60ADD" w:rsidP="00557487">
      <w:pPr>
        <w:ind w:left="180"/>
        <w:rPr>
          <w:rFonts w:eastAsiaTheme="minorHAnsi"/>
          <w:sz w:val="18"/>
          <w:szCs w:val="18"/>
          <w:lang w:eastAsia="en-US"/>
        </w:rPr>
      </w:pPr>
      <w:r w:rsidRPr="006A2D63">
        <w:rPr>
          <w:i/>
          <w:sz w:val="18"/>
          <w:szCs w:val="18"/>
        </w:rPr>
        <w:t xml:space="preserve">Figure </w:t>
      </w:r>
      <w:r w:rsidR="006068AA">
        <w:rPr>
          <w:i/>
          <w:sz w:val="18"/>
          <w:szCs w:val="18"/>
        </w:rPr>
        <w:t>20</w:t>
      </w:r>
      <w:r w:rsidRPr="006A2D63">
        <w:rPr>
          <w:i/>
          <w:sz w:val="18"/>
          <w:szCs w:val="18"/>
        </w:rPr>
        <w:t>.</w:t>
      </w:r>
      <w:r w:rsidRPr="00861E7C">
        <w:rPr>
          <w:sz w:val="18"/>
          <w:szCs w:val="18"/>
        </w:rPr>
        <w:t xml:space="preserve"> Executive Office of the Trial Court, Department of Research and Planning, </w:t>
      </w:r>
      <w:r w:rsidRPr="00861E7C">
        <w:rPr>
          <w:rFonts w:eastAsiaTheme="minorHAnsi"/>
          <w:i/>
          <w:sz w:val="18"/>
          <w:szCs w:val="18"/>
          <w:lang w:eastAsia="en-US"/>
        </w:rPr>
        <w:t>Case Filings and Demographics of Selected Case Types</w:t>
      </w:r>
      <w:r w:rsidRPr="00861E7C">
        <w:rPr>
          <w:rFonts w:eastAsiaTheme="minorHAnsi"/>
          <w:sz w:val="18"/>
          <w:szCs w:val="18"/>
          <w:lang w:eastAsia="en-US"/>
        </w:rPr>
        <w:t xml:space="preserve">, </w:t>
      </w:r>
      <w:r w:rsidR="00557487">
        <w:rPr>
          <w:rFonts w:eastAsiaTheme="minorHAnsi"/>
          <w:sz w:val="18"/>
          <w:szCs w:val="18"/>
          <w:lang w:eastAsia="en-US"/>
        </w:rPr>
        <w:t>March 9, 2018</w:t>
      </w:r>
      <w:r w:rsidRPr="004F293F">
        <w:rPr>
          <w:rFonts w:eastAsiaTheme="minorHAnsi"/>
          <w:sz w:val="18"/>
          <w:szCs w:val="18"/>
          <w:lang w:eastAsia="en-US"/>
        </w:rPr>
        <w:t>.</w:t>
      </w:r>
    </w:p>
    <w:p w:rsidR="00747F68" w:rsidRPr="00861E7C" w:rsidRDefault="00747F68" w:rsidP="00557487">
      <w:pPr>
        <w:ind w:left="180"/>
        <w:rPr>
          <w:sz w:val="18"/>
          <w:szCs w:val="18"/>
        </w:rPr>
      </w:pPr>
      <w:r w:rsidRPr="00861E7C">
        <w:rPr>
          <w:sz w:val="18"/>
          <w:szCs w:val="18"/>
        </w:rPr>
        <w:t>Note: Barnstable County includes the Town of Plymouth and Dukes and Nantucket Counties.</w:t>
      </w:r>
    </w:p>
    <w:p w:rsidR="00BC45A9" w:rsidRDefault="00BC45A9" w:rsidP="008540DA">
      <w:pPr>
        <w:pStyle w:val="NoSpacing"/>
      </w:pPr>
    </w:p>
    <w:p w:rsidR="00BC45A9" w:rsidRDefault="00A07448" w:rsidP="008540DA">
      <w:pPr>
        <w:pStyle w:val="NoSpacing"/>
      </w:pPr>
      <w:r>
        <w:t>In 201</w:t>
      </w:r>
      <w:r w:rsidR="001B4EDE">
        <w:t>7</w:t>
      </w:r>
      <w:r>
        <w:t>, 1</w:t>
      </w:r>
      <w:r w:rsidR="001B4EDE">
        <w:t>3,179</w:t>
      </w:r>
      <w:r>
        <w:t xml:space="preserve"> application</w:t>
      </w:r>
      <w:r w:rsidR="009B506D">
        <w:t>s</w:t>
      </w:r>
      <w:r>
        <w:t xml:space="preserve"> for complaint cases were heard before the juvenile court involving young people age 17 and under.</w:t>
      </w:r>
      <w:r w:rsidR="007500B6">
        <w:t xml:space="preserve">  The counties of Middlesex, </w:t>
      </w:r>
      <w:r w:rsidR="001B4EDE">
        <w:t xml:space="preserve">Worcester, Essex, </w:t>
      </w:r>
      <w:r w:rsidR="007500B6">
        <w:t xml:space="preserve">Bristol, </w:t>
      </w:r>
      <w:r w:rsidR="001B4EDE">
        <w:t xml:space="preserve">Suffolk </w:t>
      </w:r>
      <w:r w:rsidR="007500B6">
        <w:t>and Hampden account for 7</w:t>
      </w:r>
      <w:r w:rsidR="001B4EDE">
        <w:t>8</w:t>
      </w:r>
      <w:r w:rsidR="007500B6">
        <w:t xml:space="preserve">% of all applications for complaint cases (Figure </w:t>
      </w:r>
      <w:r w:rsidR="006068AA">
        <w:t>2</w:t>
      </w:r>
      <w:r w:rsidR="007500B6">
        <w:t>1).</w:t>
      </w:r>
    </w:p>
    <w:p w:rsidR="00BC45A9" w:rsidRDefault="00BC45A9" w:rsidP="008540DA">
      <w:pPr>
        <w:pStyle w:val="NoSpacing"/>
      </w:pPr>
    </w:p>
    <w:p w:rsidR="00BC45A9" w:rsidRDefault="00D6705B" w:rsidP="00BC45A9">
      <w:pPr>
        <w:pStyle w:val="NoSpacing"/>
        <w:jc w:val="center"/>
      </w:pPr>
      <w:r>
        <w:rPr>
          <w:noProof/>
          <w:lang w:eastAsia="en-US"/>
        </w:rPr>
        <w:drawing>
          <wp:inline distT="0" distB="0" distL="0" distR="0" wp14:anchorId="2E9DA922" wp14:editId="53592E5C">
            <wp:extent cx="4746929" cy="3244464"/>
            <wp:effectExtent l="0" t="0" r="15875" b="1333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C45A9" w:rsidRDefault="00BC45A9" w:rsidP="00BC45A9">
      <w:pPr>
        <w:ind w:left="990"/>
        <w:rPr>
          <w:rFonts w:eastAsiaTheme="minorHAnsi"/>
          <w:sz w:val="18"/>
          <w:szCs w:val="18"/>
          <w:lang w:eastAsia="en-US"/>
        </w:rPr>
      </w:pPr>
      <w:r w:rsidRPr="006A2D63">
        <w:rPr>
          <w:i/>
          <w:sz w:val="18"/>
          <w:szCs w:val="18"/>
        </w:rPr>
        <w:t xml:space="preserve">Figure </w:t>
      </w:r>
      <w:r w:rsidR="006068AA">
        <w:rPr>
          <w:i/>
          <w:sz w:val="18"/>
          <w:szCs w:val="18"/>
        </w:rPr>
        <w:t>2</w:t>
      </w:r>
      <w:r>
        <w:rPr>
          <w:i/>
          <w:sz w:val="18"/>
          <w:szCs w:val="18"/>
        </w:rPr>
        <w:t>1</w:t>
      </w:r>
      <w:r w:rsidRPr="006A2D63">
        <w:rPr>
          <w:i/>
          <w:sz w:val="18"/>
          <w:szCs w:val="18"/>
        </w:rPr>
        <w:t>.</w:t>
      </w:r>
      <w:r w:rsidRPr="00861E7C">
        <w:rPr>
          <w:sz w:val="18"/>
          <w:szCs w:val="18"/>
        </w:rPr>
        <w:t xml:space="preserve"> Executive Office of the Trial Court, Department of Research and Planning, </w:t>
      </w:r>
      <w:r w:rsidRPr="00861E7C">
        <w:rPr>
          <w:rFonts w:eastAsiaTheme="minorHAnsi"/>
          <w:i/>
          <w:sz w:val="18"/>
          <w:szCs w:val="18"/>
          <w:lang w:eastAsia="en-US"/>
        </w:rPr>
        <w:t>Case Filings and Demographics of Selected Case Types</w:t>
      </w:r>
      <w:r w:rsidRPr="00861E7C">
        <w:rPr>
          <w:rFonts w:eastAsiaTheme="minorHAnsi"/>
          <w:sz w:val="18"/>
          <w:szCs w:val="18"/>
          <w:lang w:eastAsia="en-US"/>
        </w:rPr>
        <w:t xml:space="preserve">, </w:t>
      </w:r>
      <w:r w:rsidR="007E7B41">
        <w:rPr>
          <w:rFonts w:eastAsiaTheme="minorHAnsi"/>
          <w:sz w:val="18"/>
          <w:szCs w:val="18"/>
          <w:lang w:eastAsia="en-US"/>
        </w:rPr>
        <w:t>March 9, 2018</w:t>
      </w:r>
      <w:r w:rsidRPr="004F293F">
        <w:rPr>
          <w:rFonts w:eastAsiaTheme="minorHAnsi"/>
          <w:sz w:val="18"/>
          <w:szCs w:val="18"/>
          <w:lang w:eastAsia="en-US"/>
        </w:rPr>
        <w:t>.</w:t>
      </w:r>
    </w:p>
    <w:p w:rsidR="00BC45A9" w:rsidRPr="00861E7C" w:rsidRDefault="00BC45A9" w:rsidP="00BC45A9">
      <w:pPr>
        <w:ind w:left="990"/>
        <w:rPr>
          <w:sz w:val="18"/>
          <w:szCs w:val="18"/>
        </w:rPr>
      </w:pPr>
      <w:r w:rsidRPr="00861E7C">
        <w:rPr>
          <w:sz w:val="18"/>
          <w:szCs w:val="18"/>
        </w:rPr>
        <w:t>Note: Barnstable County includes the Town of Plymouth and Dukes and Nantucket Counties.</w:t>
      </w:r>
    </w:p>
    <w:p w:rsidR="00BC45A9" w:rsidRDefault="00BC45A9" w:rsidP="00BC45A9">
      <w:pPr>
        <w:pStyle w:val="NoSpacing"/>
      </w:pPr>
    </w:p>
    <w:p w:rsidR="00A07448" w:rsidRDefault="00A07448" w:rsidP="00A07448">
      <w:r>
        <w:t>Examining the race/ethnicity of individuals</w:t>
      </w:r>
      <w:r w:rsidR="007500B6">
        <w:t xml:space="preserve"> who had applications for complaint cases before the juvenile court </w:t>
      </w:r>
      <w:r w:rsidR="009173F1">
        <w:t>White</w:t>
      </w:r>
      <w:r w:rsidR="007500B6">
        <w:t xml:space="preserve"> youth account for </w:t>
      </w:r>
      <w:r w:rsidR="009173F1">
        <w:t>47% of the cases, followed by Hispanic youth (2</w:t>
      </w:r>
      <w:r w:rsidR="007F591B">
        <w:t>7</w:t>
      </w:r>
      <w:r w:rsidR="009173F1">
        <w:t xml:space="preserve">%), </w:t>
      </w:r>
      <w:r w:rsidR="009173F1">
        <w:lastRenderedPageBreak/>
        <w:t>Black/African-American youth (24%), and Other (2%).</w:t>
      </w:r>
      <w:r w:rsidR="009173F1">
        <w:rPr>
          <w:rStyle w:val="FootnoteReference"/>
        </w:rPr>
        <w:footnoteReference w:id="61"/>
      </w:r>
      <w:r w:rsidR="009173F1">
        <w:t xml:space="preserve">  </w:t>
      </w:r>
      <w:r>
        <w:t xml:space="preserve">Figure </w:t>
      </w:r>
      <w:r w:rsidR="009173F1">
        <w:t>2</w:t>
      </w:r>
      <w:r w:rsidR="006068AA">
        <w:t>2</w:t>
      </w:r>
      <w:r>
        <w:t xml:space="preserve">, reflects that minority youth comprise the majority of </w:t>
      </w:r>
      <w:r w:rsidR="009173F1">
        <w:t xml:space="preserve">application for complaint cases </w:t>
      </w:r>
      <w:r>
        <w:t>in many of the counties.  This is especially true for the counties of Suffolk (</w:t>
      </w:r>
      <w:r w:rsidR="009173F1">
        <w:t>8</w:t>
      </w:r>
      <w:r w:rsidR="007F591B">
        <w:t>6</w:t>
      </w:r>
      <w:r>
        <w:t>%) and Hampden (</w:t>
      </w:r>
      <w:r w:rsidR="007F591B">
        <w:t>70</w:t>
      </w:r>
      <w:r>
        <w:t xml:space="preserve">%). </w:t>
      </w:r>
    </w:p>
    <w:p w:rsidR="00A07448" w:rsidRDefault="00A07448" w:rsidP="00BC45A9">
      <w:pPr>
        <w:pStyle w:val="NoSpacing"/>
      </w:pPr>
    </w:p>
    <w:p w:rsidR="00DF2E2E" w:rsidRDefault="00F50B84" w:rsidP="001C4DD5">
      <w:pPr>
        <w:pStyle w:val="NoSpacing"/>
        <w:jc w:val="center"/>
      </w:pPr>
      <w:r>
        <w:rPr>
          <w:noProof/>
          <w:lang w:eastAsia="en-US"/>
        </w:rPr>
        <w:drawing>
          <wp:inline distT="0" distB="0" distL="0" distR="0" wp14:anchorId="7B4652CF" wp14:editId="40A128D1">
            <wp:extent cx="4905375" cy="2735885"/>
            <wp:effectExtent l="0" t="0" r="9525" b="762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D05CC" w:rsidRDefault="007500B6" w:rsidP="00F50B84">
      <w:pPr>
        <w:ind w:left="810"/>
        <w:rPr>
          <w:rFonts w:eastAsiaTheme="minorHAnsi"/>
          <w:i/>
          <w:sz w:val="18"/>
          <w:szCs w:val="18"/>
          <w:lang w:eastAsia="en-US"/>
        </w:rPr>
      </w:pPr>
      <w:r w:rsidRPr="006A2D63">
        <w:rPr>
          <w:i/>
          <w:sz w:val="18"/>
          <w:szCs w:val="18"/>
        </w:rPr>
        <w:t xml:space="preserve">Figure </w:t>
      </w:r>
      <w:r w:rsidR="009173F1">
        <w:rPr>
          <w:i/>
          <w:sz w:val="18"/>
          <w:szCs w:val="18"/>
        </w:rPr>
        <w:t>2</w:t>
      </w:r>
      <w:r w:rsidR="006068AA">
        <w:rPr>
          <w:i/>
          <w:sz w:val="18"/>
          <w:szCs w:val="18"/>
        </w:rPr>
        <w:t>2</w:t>
      </w:r>
      <w:r w:rsidRPr="006A2D63">
        <w:rPr>
          <w:i/>
          <w:sz w:val="18"/>
          <w:szCs w:val="18"/>
        </w:rPr>
        <w:t>.</w:t>
      </w:r>
      <w:r w:rsidRPr="00861E7C">
        <w:rPr>
          <w:sz w:val="18"/>
          <w:szCs w:val="18"/>
        </w:rPr>
        <w:t xml:space="preserve"> Executive Office of the Trial Court, Department of Research and Planning, </w:t>
      </w:r>
      <w:r w:rsidRPr="00861E7C">
        <w:rPr>
          <w:rFonts w:eastAsiaTheme="minorHAnsi"/>
          <w:i/>
          <w:sz w:val="18"/>
          <w:szCs w:val="18"/>
          <w:lang w:eastAsia="en-US"/>
        </w:rPr>
        <w:t xml:space="preserve">Case Filings and </w:t>
      </w:r>
    </w:p>
    <w:p w:rsidR="007500B6" w:rsidRDefault="007500B6" w:rsidP="00F50B84">
      <w:pPr>
        <w:ind w:left="810"/>
        <w:rPr>
          <w:rFonts w:eastAsiaTheme="minorHAnsi"/>
          <w:sz w:val="18"/>
          <w:szCs w:val="18"/>
          <w:lang w:eastAsia="en-US"/>
        </w:rPr>
      </w:pPr>
      <w:r w:rsidRPr="00861E7C">
        <w:rPr>
          <w:rFonts w:eastAsiaTheme="minorHAnsi"/>
          <w:i/>
          <w:sz w:val="18"/>
          <w:szCs w:val="18"/>
          <w:lang w:eastAsia="en-US"/>
        </w:rPr>
        <w:t>Demographics of Selected Case Types</w:t>
      </w:r>
      <w:r w:rsidRPr="00861E7C">
        <w:rPr>
          <w:rFonts w:eastAsiaTheme="minorHAnsi"/>
          <w:sz w:val="18"/>
          <w:szCs w:val="18"/>
          <w:lang w:eastAsia="en-US"/>
        </w:rPr>
        <w:t xml:space="preserve">, </w:t>
      </w:r>
      <w:r w:rsidR="00F50B84">
        <w:rPr>
          <w:rFonts w:eastAsiaTheme="minorHAnsi"/>
          <w:sz w:val="18"/>
          <w:szCs w:val="18"/>
          <w:lang w:eastAsia="en-US"/>
        </w:rPr>
        <w:t>March 9, 2018.</w:t>
      </w:r>
    </w:p>
    <w:p w:rsidR="007500B6" w:rsidRPr="00861E7C" w:rsidRDefault="007500B6" w:rsidP="00F50B84">
      <w:pPr>
        <w:ind w:left="810"/>
        <w:rPr>
          <w:sz w:val="18"/>
          <w:szCs w:val="18"/>
        </w:rPr>
      </w:pPr>
      <w:r w:rsidRPr="00861E7C">
        <w:rPr>
          <w:sz w:val="18"/>
          <w:szCs w:val="18"/>
        </w:rPr>
        <w:t>Note: Barnstable County includes the Town of Plymouth and Dukes and Nantucket Counties.</w:t>
      </w:r>
    </w:p>
    <w:p w:rsidR="004B4EE9" w:rsidRDefault="004B4EE9" w:rsidP="008540DA">
      <w:pPr>
        <w:pStyle w:val="NoSpacing"/>
      </w:pPr>
    </w:p>
    <w:p w:rsidR="009075EB" w:rsidRPr="00263CDC" w:rsidRDefault="009075EB" w:rsidP="009075EB">
      <w:r w:rsidRPr="004362AB">
        <w:t xml:space="preserve">Ideally, detention should be used for youth who are unlikely to appear in court if released or they have committed a certain serious offense and present a danger to others and the community.  </w:t>
      </w:r>
      <w:r>
        <w:t>The Commonwealth is actively working to minimize the use of detention through JDAI.</w:t>
      </w:r>
      <w:r>
        <w:rPr>
          <w:rStyle w:val="FootnoteReference"/>
        </w:rPr>
        <w:footnoteReference w:id="62"/>
      </w:r>
      <w:r>
        <w:t xml:space="preserve">  The four strategic goals are:</w:t>
      </w:r>
    </w:p>
    <w:p w:rsidR="009075EB" w:rsidRPr="00411B02" w:rsidRDefault="009075EB" w:rsidP="009075EB">
      <w:pPr>
        <w:pStyle w:val="NoSpacing"/>
        <w:numPr>
          <w:ilvl w:val="0"/>
          <w:numId w:val="33"/>
        </w:numPr>
      </w:pPr>
      <w:r w:rsidRPr="00411B02">
        <w:t>Reduce detention rates of low-risk youth</w:t>
      </w:r>
      <w:r>
        <w:t>;</w:t>
      </w:r>
    </w:p>
    <w:p w:rsidR="009075EB" w:rsidRPr="00411B02" w:rsidRDefault="009075EB" w:rsidP="009075EB">
      <w:pPr>
        <w:pStyle w:val="NoSpacing"/>
        <w:numPr>
          <w:ilvl w:val="0"/>
          <w:numId w:val="33"/>
        </w:numPr>
      </w:pPr>
      <w:r w:rsidRPr="00411B02">
        <w:t xml:space="preserve">Identify </w:t>
      </w:r>
      <w:r>
        <w:t>o</w:t>
      </w:r>
      <w:r w:rsidRPr="00411B02">
        <w:t xml:space="preserve">pportunities to </w:t>
      </w:r>
      <w:r>
        <w:t>r</w:t>
      </w:r>
      <w:r w:rsidRPr="00411B02">
        <w:t xml:space="preserve">educe </w:t>
      </w:r>
      <w:r>
        <w:t>l</w:t>
      </w:r>
      <w:r w:rsidRPr="00411B02">
        <w:t xml:space="preserve">engths of </w:t>
      </w:r>
      <w:r>
        <w:t>s</w:t>
      </w:r>
      <w:r w:rsidRPr="00411B02">
        <w:t xml:space="preserve">tay in </w:t>
      </w:r>
      <w:r>
        <w:t>d</w:t>
      </w:r>
      <w:r w:rsidRPr="00411B02">
        <w:t xml:space="preserve">etention through </w:t>
      </w:r>
      <w:r>
        <w:t>c</w:t>
      </w:r>
      <w:r w:rsidRPr="00411B02">
        <w:t xml:space="preserve">ase </w:t>
      </w:r>
      <w:r>
        <w:t>p</w:t>
      </w:r>
      <w:r w:rsidRPr="00411B02">
        <w:t xml:space="preserve">rocessing </w:t>
      </w:r>
      <w:r>
        <w:t>r</w:t>
      </w:r>
      <w:r w:rsidRPr="00411B02">
        <w:t>eforms</w:t>
      </w:r>
      <w:r>
        <w:t>;</w:t>
      </w:r>
    </w:p>
    <w:p w:rsidR="009075EB" w:rsidRPr="00411B02" w:rsidRDefault="009075EB" w:rsidP="009075EB">
      <w:pPr>
        <w:pStyle w:val="NoSpacing"/>
        <w:numPr>
          <w:ilvl w:val="0"/>
          <w:numId w:val="33"/>
        </w:numPr>
      </w:pPr>
      <w:r w:rsidRPr="00411B02">
        <w:t xml:space="preserve">Reduce </w:t>
      </w:r>
      <w:r>
        <w:t>r</w:t>
      </w:r>
      <w:r w:rsidRPr="00411B02">
        <w:t xml:space="preserve">acial and </w:t>
      </w:r>
      <w:r>
        <w:t>e</w:t>
      </w:r>
      <w:r w:rsidRPr="00411B02">
        <w:t xml:space="preserve">thnic </w:t>
      </w:r>
      <w:r>
        <w:t>d</w:t>
      </w:r>
      <w:r w:rsidRPr="00411B02">
        <w:t>isparities</w:t>
      </w:r>
      <w:r>
        <w:t>; and,</w:t>
      </w:r>
    </w:p>
    <w:p w:rsidR="009075EB" w:rsidRPr="00411B02" w:rsidRDefault="009075EB" w:rsidP="009075EB">
      <w:pPr>
        <w:pStyle w:val="NoSpacing"/>
        <w:numPr>
          <w:ilvl w:val="0"/>
          <w:numId w:val="33"/>
        </w:numPr>
      </w:pPr>
      <w:r w:rsidRPr="00411B02">
        <w:t xml:space="preserve">Replicate JDAI with </w:t>
      </w:r>
      <w:r>
        <w:t>f</w:t>
      </w:r>
      <w:r w:rsidRPr="00411B02">
        <w:t xml:space="preserve">idelity at the </w:t>
      </w:r>
      <w:r>
        <w:t>l</w:t>
      </w:r>
      <w:r w:rsidRPr="00411B02">
        <w:t xml:space="preserve">ocal </w:t>
      </w:r>
      <w:r>
        <w:t>l</w:t>
      </w:r>
      <w:r w:rsidRPr="00411B02">
        <w:t>evel</w:t>
      </w:r>
      <w:r>
        <w:t>.</w:t>
      </w:r>
    </w:p>
    <w:p w:rsidR="009075EB" w:rsidRDefault="009075EB" w:rsidP="009075EB"/>
    <w:p w:rsidR="009075EB" w:rsidRDefault="009075EB" w:rsidP="00C465B1">
      <w:pPr>
        <w:ind w:right="-360"/>
      </w:pPr>
      <w:r w:rsidRPr="004362AB">
        <w:t xml:space="preserve">Despite the Commonwealth’s efforts to minimize the use of detention through </w:t>
      </w:r>
      <w:r>
        <w:t xml:space="preserve">JDAI, </w:t>
      </w:r>
      <w:r w:rsidRPr="004362AB">
        <w:t xml:space="preserve">many low-level offenders, who are often Hispanic and African-American, are placed in detention.  Secure detention does more harm than good </w:t>
      </w:r>
      <w:r>
        <w:t xml:space="preserve">particularly </w:t>
      </w:r>
      <w:r w:rsidRPr="004362AB">
        <w:t xml:space="preserve">for those youth who are held </w:t>
      </w:r>
      <w:r>
        <w:t>for</w:t>
      </w:r>
      <w:r w:rsidRPr="004362AB">
        <w:t xml:space="preserve"> minor or nonviolent offenses.  Detention further impedes a youth’s healthy development,</w:t>
      </w:r>
      <w:r>
        <w:t xml:space="preserve"> </w:t>
      </w:r>
      <w:r w:rsidRPr="004362AB">
        <w:t>educational progress, and is likely to result in increased criminal activity</w:t>
      </w:r>
      <w:r>
        <w:t xml:space="preserve"> and recidivism</w:t>
      </w:r>
      <w:r w:rsidRPr="004362AB">
        <w:t>.</w:t>
      </w:r>
      <w:r>
        <w:rPr>
          <w:rStyle w:val="FootnoteReference"/>
        </w:rPr>
        <w:footnoteReference w:id="63"/>
      </w:r>
      <w:r>
        <w:t xml:space="preserve">  For example detained youth:</w:t>
      </w:r>
    </w:p>
    <w:p w:rsidR="009075EB" w:rsidRDefault="009075EB" w:rsidP="009075EB">
      <w:pPr>
        <w:pStyle w:val="ListParagraph"/>
        <w:numPr>
          <w:ilvl w:val="0"/>
          <w:numId w:val="34"/>
        </w:numPr>
      </w:pPr>
      <w:r>
        <w:t>Have a suicide rate 2-4 times that of youth in the community;</w:t>
      </w:r>
    </w:p>
    <w:p w:rsidR="009075EB" w:rsidRDefault="009075EB" w:rsidP="009075EB">
      <w:pPr>
        <w:pStyle w:val="ListParagraph"/>
        <w:numPr>
          <w:ilvl w:val="0"/>
          <w:numId w:val="34"/>
        </w:numPr>
      </w:pPr>
      <w:r>
        <w:t>Are 19% less likely to graduate than non-incarcerated youth;</w:t>
      </w:r>
    </w:p>
    <w:p w:rsidR="009075EB" w:rsidRDefault="009075EB" w:rsidP="009075EB">
      <w:pPr>
        <w:pStyle w:val="ListParagraph"/>
        <w:numPr>
          <w:ilvl w:val="0"/>
          <w:numId w:val="34"/>
        </w:numPr>
      </w:pPr>
      <w:r>
        <w:lastRenderedPageBreak/>
        <w:t>Are 13.5 times more likely to return to the juvenile justice system in the future; and</w:t>
      </w:r>
    </w:p>
    <w:p w:rsidR="009075EB" w:rsidRPr="004362AB" w:rsidRDefault="009075EB" w:rsidP="009075EB">
      <w:pPr>
        <w:pStyle w:val="ListParagraph"/>
        <w:numPr>
          <w:ilvl w:val="0"/>
          <w:numId w:val="34"/>
        </w:numPr>
      </w:pPr>
      <w:r>
        <w:t>Are 3 times more likely to be committed than a youth who remained in the community pending the outcome of their case.</w:t>
      </w:r>
      <w:r>
        <w:rPr>
          <w:rStyle w:val="FootnoteReference"/>
        </w:rPr>
        <w:footnoteReference w:id="64"/>
      </w:r>
    </w:p>
    <w:p w:rsidR="009075EB" w:rsidRDefault="009075EB" w:rsidP="008540DA">
      <w:pPr>
        <w:pStyle w:val="NoSpacing"/>
      </w:pPr>
    </w:p>
    <w:p w:rsidR="00A07448" w:rsidRPr="004362AB" w:rsidRDefault="00FB0C61" w:rsidP="00FB0C61">
      <w:pPr>
        <w:pStyle w:val="NoSpacing"/>
      </w:pPr>
      <w:r w:rsidRPr="004362AB">
        <w:t>According to DYS, in 201</w:t>
      </w:r>
      <w:r>
        <w:t>7</w:t>
      </w:r>
      <w:r w:rsidRPr="004362AB">
        <w:t xml:space="preserve"> there </w:t>
      </w:r>
      <w:r>
        <w:t>are</w:t>
      </w:r>
      <w:r w:rsidRPr="004362AB">
        <w:t xml:space="preserve"> </w:t>
      </w:r>
      <w:r>
        <w:t>1,408</w:t>
      </w:r>
      <w:r w:rsidRPr="004362AB">
        <w:t xml:space="preserve"> juveniles sent to pre-trial detention.</w:t>
      </w:r>
      <w:r w:rsidRPr="004362AB">
        <w:rPr>
          <w:vertAlign w:val="superscript"/>
        </w:rPr>
        <w:footnoteReference w:id="65"/>
      </w:r>
      <w:r>
        <w:t xml:space="preserve">  </w:t>
      </w:r>
      <w:r w:rsidR="00A07448" w:rsidRPr="00A90764">
        <w:t xml:space="preserve">Suffolk, Worcester, </w:t>
      </w:r>
      <w:r w:rsidR="00A90764">
        <w:t xml:space="preserve">Hampden, </w:t>
      </w:r>
      <w:r w:rsidR="00A07448" w:rsidRPr="00A90764">
        <w:t xml:space="preserve">and Essex counties have the largest number of youth held in detention, accounting for </w:t>
      </w:r>
      <w:r w:rsidR="00A90764" w:rsidRPr="00A90764">
        <w:t>66</w:t>
      </w:r>
      <w:r w:rsidR="00A07448" w:rsidRPr="00A90764">
        <w:t xml:space="preserve">% of the Department of Youth Services (DYS) detainee population (Figure </w:t>
      </w:r>
      <w:r w:rsidR="004D05CC" w:rsidRPr="00A90764">
        <w:t>2</w:t>
      </w:r>
      <w:r w:rsidR="00C465B1">
        <w:t>3</w:t>
      </w:r>
      <w:r w:rsidR="00A07448" w:rsidRPr="00A90764">
        <w:t>).</w:t>
      </w:r>
      <w:r w:rsidR="00A07448" w:rsidRPr="004362AB">
        <w:t xml:space="preserve">  </w:t>
      </w:r>
    </w:p>
    <w:p w:rsidR="00BC45A9" w:rsidRDefault="00BC45A9" w:rsidP="008540DA">
      <w:pPr>
        <w:pStyle w:val="NoSpacing"/>
      </w:pPr>
    </w:p>
    <w:p w:rsidR="00DF2E2E" w:rsidRDefault="00DF045A" w:rsidP="003014B7">
      <w:pPr>
        <w:pStyle w:val="NoSpacing"/>
        <w:jc w:val="center"/>
      </w:pPr>
      <w:r>
        <w:rPr>
          <w:noProof/>
          <w:lang w:eastAsia="en-US"/>
        </w:rPr>
        <w:drawing>
          <wp:inline distT="0" distB="0" distL="0" distR="0" wp14:anchorId="7378FD23" wp14:editId="05816A1D">
            <wp:extent cx="3986784" cy="2272284"/>
            <wp:effectExtent l="0" t="0" r="13970" b="1397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014B7" w:rsidRPr="001012C5" w:rsidRDefault="003014B7" w:rsidP="00C465B1">
      <w:pPr>
        <w:ind w:left="990" w:firstLine="540"/>
        <w:rPr>
          <w:noProof/>
          <w:sz w:val="18"/>
          <w:szCs w:val="18"/>
          <w:lang w:eastAsia="en-US"/>
        </w:rPr>
      </w:pPr>
      <w:r w:rsidRPr="001012C5">
        <w:rPr>
          <w:i/>
          <w:sz w:val="18"/>
          <w:szCs w:val="18"/>
        </w:rPr>
        <w:t xml:space="preserve">Figure </w:t>
      </w:r>
      <w:r w:rsidR="004D05CC">
        <w:rPr>
          <w:i/>
          <w:sz w:val="18"/>
          <w:szCs w:val="18"/>
        </w:rPr>
        <w:t>2</w:t>
      </w:r>
      <w:r w:rsidR="00C465B1">
        <w:rPr>
          <w:i/>
          <w:sz w:val="18"/>
          <w:szCs w:val="18"/>
        </w:rPr>
        <w:t>3</w:t>
      </w:r>
      <w:r w:rsidRPr="001012C5">
        <w:rPr>
          <w:i/>
          <w:sz w:val="18"/>
          <w:szCs w:val="18"/>
        </w:rPr>
        <w:t>.</w:t>
      </w:r>
      <w:r w:rsidRPr="001012C5">
        <w:rPr>
          <w:sz w:val="18"/>
          <w:szCs w:val="18"/>
        </w:rPr>
        <w:t xml:space="preserve"> Massachusetts Department of Youth Services, 201</w:t>
      </w:r>
      <w:r w:rsidR="00DF045A">
        <w:rPr>
          <w:sz w:val="18"/>
          <w:szCs w:val="18"/>
        </w:rPr>
        <w:t>8</w:t>
      </w:r>
      <w:r w:rsidRPr="001012C5">
        <w:rPr>
          <w:sz w:val="18"/>
          <w:szCs w:val="18"/>
        </w:rPr>
        <w:t>.</w:t>
      </w:r>
    </w:p>
    <w:p w:rsidR="005F4109" w:rsidRDefault="005F4109" w:rsidP="003014B7">
      <w:pPr>
        <w:rPr>
          <w:szCs w:val="21"/>
        </w:rPr>
      </w:pPr>
    </w:p>
    <w:p w:rsidR="00FB0C61" w:rsidRDefault="00FB0C61" w:rsidP="00FB0C61">
      <w:pPr>
        <w:rPr>
          <w:szCs w:val="21"/>
        </w:rPr>
      </w:pPr>
      <w:r w:rsidRPr="004362AB">
        <w:rPr>
          <w:szCs w:val="21"/>
        </w:rPr>
        <w:t xml:space="preserve">Similar to the DYS committed population minority youth </w:t>
      </w:r>
      <w:r>
        <w:rPr>
          <w:szCs w:val="21"/>
        </w:rPr>
        <w:t xml:space="preserve">are </w:t>
      </w:r>
      <w:r w:rsidRPr="004362AB">
        <w:rPr>
          <w:szCs w:val="21"/>
        </w:rPr>
        <w:t>also overrepresented in the 201</w:t>
      </w:r>
      <w:r>
        <w:rPr>
          <w:szCs w:val="21"/>
        </w:rPr>
        <w:t>7</w:t>
      </w:r>
      <w:r w:rsidRPr="004362AB">
        <w:rPr>
          <w:szCs w:val="21"/>
        </w:rPr>
        <w:t xml:space="preserve"> DYS detainee population.  Minority youth </w:t>
      </w:r>
      <w:r>
        <w:rPr>
          <w:szCs w:val="21"/>
        </w:rPr>
        <w:t>comprise</w:t>
      </w:r>
      <w:r w:rsidRPr="004362AB">
        <w:rPr>
          <w:szCs w:val="21"/>
        </w:rPr>
        <w:t xml:space="preserve"> 7</w:t>
      </w:r>
      <w:r>
        <w:rPr>
          <w:szCs w:val="21"/>
        </w:rPr>
        <w:t>0</w:t>
      </w:r>
      <w:r w:rsidRPr="004362AB">
        <w:rPr>
          <w:szCs w:val="21"/>
        </w:rPr>
        <w:t xml:space="preserve">% of all DYS detentions, as follows: </w:t>
      </w:r>
      <w:r>
        <w:rPr>
          <w:szCs w:val="21"/>
        </w:rPr>
        <w:t>39</w:t>
      </w:r>
      <w:r w:rsidRPr="004362AB">
        <w:rPr>
          <w:szCs w:val="21"/>
        </w:rPr>
        <w:t xml:space="preserve">% Hispanic, 28% African American, 1% Asian, and </w:t>
      </w:r>
      <w:r>
        <w:rPr>
          <w:szCs w:val="21"/>
        </w:rPr>
        <w:t>2</w:t>
      </w:r>
      <w:r w:rsidRPr="004362AB">
        <w:rPr>
          <w:szCs w:val="21"/>
        </w:rPr>
        <w:t>% youth of some other race/ethnicity (Figure 2</w:t>
      </w:r>
      <w:r>
        <w:rPr>
          <w:szCs w:val="21"/>
        </w:rPr>
        <w:t>4)</w:t>
      </w:r>
      <w:r w:rsidRPr="004362AB">
        <w:rPr>
          <w:szCs w:val="21"/>
        </w:rPr>
        <w:t xml:space="preserve">.  </w:t>
      </w:r>
      <w:r>
        <w:rPr>
          <w:szCs w:val="21"/>
        </w:rPr>
        <w:t>The percentage of Hispanic and African American youth held in detention is unchanged from 2016.</w:t>
      </w:r>
    </w:p>
    <w:p w:rsidR="00C465B1" w:rsidRPr="004362AB" w:rsidRDefault="00C465B1" w:rsidP="00FB0C61">
      <w:pPr>
        <w:rPr>
          <w:szCs w:val="21"/>
        </w:rPr>
      </w:pPr>
    </w:p>
    <w:p w:rsidR="008540DA" w:rsidRDefault="00BD6FA5" w:rsidP="003014B7">
      <w:pPr>
        <w:pStyle w:val="NoSpacing"/>
        <w:jc w:val="center"/>
      </w:pPr>
      <w:r>
        <w:rPr>
          <w:noProof/>
          <w:lang w:eastAsia="en-US"/>
        </w:rPr>
        <w:drawing>
          <wp:inline distT="0" distB="0" distL="0" distR="0" wp14:anchorId="24C4E15C" wp14:editId="1504427F">
            <wp:extent cx="4366895" cy="2143353"/>
            <wp:effectExtent l="0" t="0" r="14605" b="952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014B7" w:rsidRPr="001012C5" w:rsidRDefault="003014B7" w:rsidP="00BD6FA5">
      <w:pPr>
        <w:ind w:left="720" w:firstLine="540"/>
        <w:rPr>
          <w:noProof/>
          <w:sz w:val="18"/>
          <w:szCs w:val="18"/>
          <w:lang w:eastAsia="en-US"/>
        </w:rPr>
      </w:pPr>
      <w:r w:rsidRPr="001012C5">
        <w:rPr>
          <w:i/>
          <w:sz w:val="18"/>
          <w:szCs w:val="18"/>
        </w:rPr>
        <w:t xml:space="preserve">Figure </w:t>
      </w:r>
      <w:r>
        <w:rPr>
          <w:i/>
          <w:sz w:val="18"/>
          <w:szCs w:val="18"/>
        </w:rPr>
        <w:t>2</w:t>
      </w:r>
      <w:r w:rsidR="00C465B1">
        <w:rPr>
          <w:i/>
          <w:sz w:val="18"/>
          <w:szCs w:val="18"/>
        </w:rPr>
        <w:t>4</w:t>
      </w:r>
      <w:r w:rsidRPr="001012C5">
        <w:rPr>
          <w:i/>
          <w:sz w:val="18"/>
          <w:szCs w:val="18"/>
        </w:rPr>
        <w:t>.</w:t>
      </w:r>
      <w:r w:rsidRPr="001012C5">
        <w:rPr>
          <w:sz w:val="18"/>
          <w:szCs w:val="18"/>
        </w:rPr>
        <w:t xml:space="preserve"> Massachusetts Department of Youth Services, 201</w:t>
      </w:r>
      <w:r w:rsidR="00BD6FA5">
        <w:rPr>
          <w:sz w:val="18"/>
          <w:szCs w:val="18"/>
        </w:rPr>
        <w:t>8</w:t>
      </w:r>
      <w:r w:rsidRPr="001012C5">
        <w:rPr>
          <w:sz w:val="18"/>
          <w:szCs w:val="18"/>
        </w:rPr>
        <w:t>.</w:t>
      </w:r>
    </w:p>
    <w:p w:rsidR="003F3068" w:rsidRDefault="003F3068" w:rsidP="008540DA">
      <w:pPr>
        <w:pStyle w:val="NoSpacing"/>
      </w:pPr>
    </w:p>
    <w:p w:rsidR="00747F68" w:rsidRPr="004362AB" w:rsidRDefault="00747F68" w:rsidP="00747F68">
      <w:pPr>
        <w:rPr>
          <w:highlight w:val="yellow"/>
        </w:rPr>
      </w:pPr>
      <w:r>
        <w:lastRenderedPageBreak/>
        <w:t>In 201</w:t>
      </w:r>
      <w:r w:rsidR="00092C13">
        <w:t>7</w:t>
      </w:r>
      <w:r>
        <w:t>, over half (5</w:t>
      </w:r>
      <w:r w:rsidR="00092C13">
        <w:t>2</w:t>
      </w:r>
      <w:r>
        <w:t xml:space="preserve">%) </w:t>
      </w:r>
      <w:r w:rsidRPr="004362AB">
        <w:t xml:space="preserve">of the new DYS commitments </w:t>
      </w:r>
      <w:r>
        <w:t>are</w:t>
      </w:r>
      <w:r w:rsidRPr="004362AB">
        <w:t xml:space="preserve"> from Suffolk</w:t>
      </w:r>
      <w:r>
        <w:t xml:space="preserve">, </w:t>
      </w:r>
      <w:r w:rsidR="00092C13">
        <w:t xml:space="preserve">Essex, and </w:t>
      </w:r>
      <w:r>
        <w:t xml:space="preserve">Worcester, </w:t>
      </w:r>
      <w:r w:rsidRPr="004362AB">
        <w:t xml:space="preserve">counties (Figure </w:t>
      </w:r>
      <w:r>
        <w:t>2</w:t>
      </w:r>
      <w:r w:rsidR="00C465B1">
        <w:t>5</w:t>
      </w:r>
      <w:r w:rsidRPr="004362AB">
        <w:t xml:space="preserve">).  </w:t>
      </w:r>
    </w:p>
    <w:p w:rsidR="003F3068" w:rsidRDefault="003F3068" w:rsidP="008540DA">
      <w:pPr>
        <w:pStyle w:val="NoSpacing"/>
      </w:pPr>
    </w:p>
    <w:p w:rsidR="00435D84" w:rsidRDefault="007F1F38" w:rsidP="00747F68">
      <w:pPr>
        <w:pStyle w:val="NoSpacing"/>
        <w:jc w:val="center"/>
      </w:pPr>
      <w:r>
        <w:rPr>
          <w:noProof/>
          <w:lang w:eastAsia="en-US"/>
        </w:rPr>
        <w:drawing>
          <wp:inline distT="0" distB="0" distL="0" distR="0" wp14:anchorId="4A23A1D3" wp14:editId="5BA0C39C">
            <wp:extent cx="5001260" cy="2305878"/>
            <wp:effectExtent l="0" t="0" r="8890" b="1841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47F68" w:rsidRPr="001012C5" w:rsidRDefault="00747F68" w:rsidP="007F1F38">
      <w:pPr>
        <w:tabs>
          <w:tab w:val="left" w:pos="1170"/>
        </w:tabs>
        <w:ind w:left="720"/>
        <w:rPr>
          <w:sz w:val="18"/>
          <w:szCs w:val="18"/>
        </w:rPr>
      </w:pPr>
      <w:r w:rsidRPr="001012C5">
        <w:rPr>
          <w:i/>
          <w:sz w:val="18"/>
          <w:szCs w:val="18"/>
        </w:rPr>
        <w:t>Figure 2</w:t>
      </w:r>
      <w:r w:rsidR="00C465B1">
        <w:rPr>
          <w:i/>
          <w:sz w:val="18"/>
          <w:szCs w:val="18"/>
        </w:rPr>
        <w:t>5</w:t>
      </w:r>
      <w:r w:rsidRPr="001012C5">
        <w:rPr>
          <w:sz w:val="18"/>
          <w:szCs w:val="18"/>
        </w:rPr>
        <w:t>. Massachusetts Department of Youth Services, 201</w:t>
      </w:r>
      <w:r w:rsidR="007F1F38">
        <w:rPr>
          <w:sz w:val="18"/>
          <w:szCs w:val="18"/>
        </w:rPr>
        <w:t>8</w:t>
      </w:r>
      <w:r w:rsidRPr="001012C5">
        <w:rPr>
          <w:sz w:val="18"/>
          <w:szCs w:val="18"/>
        </w:rPr>
        <w:t>.</w:t>
      </w:r>
    </w:p>
    <w:p w:rsidR="007F1F38" w:rsidRDefault="007F1F38" w:rsidP="00747F68"/>
    <w:p w:rsidR="00C465B1" w:rsidRDefault="00C465B1" w:rsidP="00747F68"/>
    <w:p w:rsidR="00747F68" w:rsidRDefault="00747F68" w:rsidP="00747F68">
      <w:r>
        <w:t>In 201</w:t>
      </w:r>
      <w:r w:rsidR="00092C13">
        <w:t>7</w:t>
      </w:r>
      <w:r>
        <w:t>, three-quarters (7</w:t>
      </w:r>
      <w:r w:rsidR="00092C13">
        <w:t>5</w:t>
      </w:r>
      <w:r>
        <w:t xml:space="preserve">%) </w:t>
      </w:r>
      <w:r w:rsidRPr="004362AB">
        <w:t xml:space="preserve">of new commitments to DYS </w:t>
      </w:r>
      <w:r>
        <w:t>are</w:t>
      </w:r>
      <w:r w:rsidRPr="004362AB">
        <w:t xml:space="preserve"> minority youth (Figure </w:t>
      </w:r>
      <w:r>
        <w:t>2</w:t>
      </w:r>
      <w:r w:rsidR="0044277F">
        <w:t>6</w:t>
      </w:r>
      <w:r>
        <w:t xml:space="preserve">).  </w:t>
      </w:r>
    </w:p>
    <w:p w:rsidR="00747F68" w:rsidRDefault="00747F68" w:rsidP="008540DA">
      <w:pPr>
        <w:pStyle w:val="NoSpacing"/>
      </w:pPr>
    </w:p>
    <w:p w:rsidR="00435D84" w:rsidRDefault="00D73D6E" w:rsidP="00747F68">
      <w:pPr>
        <w:pStyle w:val="NoSpacing"/>
        <w:jc w:val="center"/>
      </w:pPr>
      <w:r>
        <w:rPr>
          <w:noProof/>
          <w:lang w:eastAsia="en-US"/>
        </w:rPr>
        <w:drawing>
          <wp:inline distT="0" distB="0" distL="0" distR="0" wp14:anchorId="6BF007DA" wp14:editId="6DAA9056">
            <wp:extent cx="4531995" cy="2622884"/>
            <wp:effectExtent l="0" t="0" r="1905" b="635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47F68" w:rsidRPr="001012C5" w:rsidRDefault="00747F68" w:rsidP="00D73D6E">
      <w:pPr>
        <w:ind w:left="1080"/>
        <w:rPr>
          <w:sz w:val="18"/>
          <w:szCs w:val="18"/>
          <w:highlight w:val="yellow"/>
        </w:rPr>
      </w:pPr>
      <w:r w:rsidRPr="001012C5">
        <w:rPr>
          <w:i/>
          <w:sz w:val="18"/>
          <w:szCs w:val="18"/>
        </w:rPr>
        <w:t>Figure 2</w:t>
      </w:r>
      <w:r w:rsidR="0044277F">
        <w:rPr>
          <w:i/>
          <w:sz w:val="18"/>
          <w:szCs w:val="18"/>
        </w:rPr>
        <w:t>6</w:t>
      </w:r>
      <w:r w:rsidRPr="001012C5">
        <w:rPr>
          <w:i/>
          <w:sz w:val="18"/>
          <w:szCs w:val="18"/>
        </w:rPr>
        <w:t>.</w:t>
      </w:r>
      <w:r w:rsidRPr="001012C5">
        <w:rPr>
          <w:sz w:val="18"/>
          <w:szCs w:val="18"/>
        </w:rPr>
        <w:t xml:space="preserve"> Massachusetts</w:t>
      </w:r>
      <w:r>
        <w:rPr>
          <w:sz w:val="18"/>
          <w:szCs w:val="18"/>
        </w:rPr>
        <w:t xml:space="preserve"> </w:t>
      </w:r>
      <w:r w:rsidRPr="001012C5">
        <w:rPr>
          <w:sz w:val="18"/>
          <w:szCs w:val="18"/>
        </w:rPr>
        <w:t>Department of Youth Services, 201</w:t>
      </w:r>
      <w:r w:rsidR="007F1F38">
        <w:rPr>
          <w:sz w:val="18"/>
          <w:szCs w:val="18"/>
        </w:rPr>
        <w:t>8</w:t>
      </w:r>
      <w:r w:rsidRPr="001012C5">
        <w:rPr>
          <w:sz w:val="18"/>
          <w:szCs w:val="18"/>
        </w:rPr>
        <w:t>.</w:t>
      </w:r>
    </w:p>
    <w:p w:rsidR="00747F68" w:rsidRDefault="00747F68" w:rsidP="008540DA">
      <w:pPr>
        <w:pStyle w:val="NoSpacing"/>
      </w:pPr>
    </w:p>
    <w:p w:rsidR="00497B3B" w:rsidRDefault="00497B3B" w:rsidP="00F827E1"/>
    <w:p w:rsidR="00497B3B" w:rsidRDefault="00497B3B" w:rsidP="00F827E1"/>
    <w:p w:rsidR="00497B3B" w:rsidRDefault="00497B3B" w:rsidP="00F827E1"/>
    <w:p w:rsidR="00497B3B" w:rsidRDefault="00497B3B" w:rsidP="00F827E1"/>
    <w:p w:rsidR="00497B3B" w:rsidRDefault="00497B3B" w:rsidP="00F827E1"/>
    <w:p w:rsidR="00497B3B" w:rsidRDefault="00497B3B" w:rsidP="00F827E1"/>
    <w:p w:rsidR="00497B3B" w:rsidRDefault="00497B3B" w:rsidP="00F827E1"/>
    <w:p w:rsidR="00497B3B" w:rsidRDefault="00497B3B" w:rsidP="00F827E1"/>
    <w:p w:rsidR="00092C13" w:rsidRDefault="00092C13" w:rsidP="00F827E1">
      <w:r w:rsidRPr="004362AB">
        <w:lastRenderedPageBreak/>
        <w:t xml:space="preserve">Delinquency cases are almost exclusively heard before the </w:t>
      </w:r>
      <w:r>
        <w:t>Juvenile Court</w:t>
      </w:r>
      <w:r w:rsidRPr="004362AB">
        <w:t xml:space="preserve"> but under the </w:t>
      </w:r>
      <w:r w:rsidRPr="004362AB">
        <w:rPr>
          <w:i/>
        </w:rPr>
        <w:t>Court Reorganization Act of 1992</w:t>
      </w:r>
      <w:r w:rsidRPr="004362AB">
        <w:t>, the Brookline and Gloucester District Courts retain</w:t>
      </w:r>
      <w:r>
        <w:t>ed</w:t>
      </w:r>
      <w:r w:rsidRPr="004362AB">
        <w:t xml:space="preserve"> jurisdiction over juvenile cases (MGL, Chapter 218, §57).</w:t>
      </w:r>
      <w:r>
        <w:t xml:space="preserve">  </w:t>
      </w:r>
      <w:r w:rsidRPr="004362AB">
        <w:t>In SFY 201</w:t>
      </w:r>
      <w:r>
        <w:t>7</w:t>
      </w:r>
      <w:r w:rsidRPr="004362AB">
        <w:t xml:space="preserve">, there </w:t>
      </w:r>
      <w:r>
        <w:t>are</w:t>
      </w:r>
      <w:r w:rsidRPr="004362AB">
        <w:t xml:space="preserve"> </w:t>
      </w:r>
      <w:r>
        <w:t>8,648</w:t>
      </w:r>
      <w:r w:rsidRPr="004362AB">
        <w:t xml:space="preserve"> juvenile delinquency cases</w:t>
      </w:r>
      <w:r>
        <w:t xml:space="preserve"> filed in Juvenile Court</w:t>
      </w:r>
      <w:r w:rsidRPr="004362AB">
        <w:t>, marking a 7</w:t>
      </w:r>
      <w:r>
        <w:t>3</w:t>
      </w:r>
      <w:r w:rsidRPr="004362AB">
        <w:t xml:space="preserve">% decrease from the high </w:t>
      </w:r>
      <w:r>
        <w:t xml:space="preserve">of juvenile delinquency cases filed </w:t>
      </w:r>
      <w:r w:rsidRPr="004362AB">
        <w:t>in SFY 200</w:t>
      </w:r>
      <w:r>
        <w:t>8</w:t>
      </w:r>
      <w:r w:rsidRPr="004362AB">
        <w:t xml:space="preserve">, </w:t>
      </w:r>
      <w:r>
        <w:t>and</w:t>
      </w:r>
      <w:r w:rsidRPr="004362AB">
        <w:t xml:space="preserve"> a </w:t>
      </w:r>
      <w:r>
        <w:t>10% reduction</w:t>
      </w:r>
      <w:r w:rsidRPr="004362AB">
        <w:t xml:space="preserve"> from the prior year (Figure </w:t>
      </w:r>
      <w:r w:rsidR="0044277F">
        <w:t>27</w:t>
      </w:r>
      <w:r>
        <w:t>)</w:t>
      </w:r>
      <w:r w:rsidRPr="004362AB">
        <w:t xml:space="preserve">.  </w:t>
      </w:r>
    </w:p>
    <w:p w:rsidR="00092C13" w:rsidRDefault="00092C13" w:rsidP="008540DA">
      <w:pPr>
        <w:pStyle w:val="NoSpacing"/>
      </w:pPr>
    </w:p>
    <w:p w:rsidR="00F827E1" w:rsidRDefault="00F827E1" w:rsidP="00F827E1">
      <w:pPr>
        <w:pStyle w:val="NoSpacing"/>
        <w:jc w:val="center"/>
      </w:pPr>
      <w:r>
        <w:rPr>
          <w:noProof/>
          <w:lang w:eastAsia="en-US"/>
        </w:rPr>
        <w:drawing>
          <wp:inline distT="0" distB="0" distL="0" distR="0" wp14:anchorId="71F5B055" wp14:editId="7E24E2E8">
            <wp:extent cx="4524293" cy="2410184"/>
            <wp:effectExtent l="0" t="0" r="10160"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827E1" w:rsidRDefault="00F827E1" w:rsidP="00F827E1">
      <w:pPr>
        <w:ind w:left="1080"/>
        <w:rPr>
          <w:rFonts w:eastAsiaTheme="minorHAnsi"/>
          <w:i/>
          <w:sz w:val="18"/>
          <w:szCs w:val="18"/>
          <w:lang w:eastAsia="en-US"/>
        </w:rPr>
      </w:pPr>
      <w:r w:rsidRPr="003649C1">
        <w:rPr>
          <w:i/>
          <w:sz w:val="18"/>
          <w:szCs w:val="18"/>
        </w:rPr>
        <w:t xml:space="preserve">Figure </w:t>
      </w:r>
      <w:r w:rsidR="0044277F">
        <w:rPr>
          <w:i/>
          <w:sz w:val="18"/>
          <w:szCs w:val="18"/>
        </w:rPr>
        <w:t>27</w:t>
      </w:r>
      <w:r w:rsidRPr="003649C1">
        <w:rPr>
          <w:sz w:val="18"/>
          <w:szCs w:val="18"/>
        </w:rPr>
        <w:t xml:space="preserve">. Executive Office of the Trial Court, Department of Research and Planning, </w:t>
      </w:r>
      <w:r w:rsidRPr="003649C1">
        <w:rPr>
          <w:rFonts w:eastAsiaTheme="minorHAnsi"/>
          <w:i/>
          <w:sz w:val="18"/>
          <w:szCs w:val="18"/>
          <w:lang w:eastAsia="en-US"/>
        </w:rPr>
        <w:t xml:space="preserve">Case Filings </w:t>
      </w:r>
    </w:p>
    <w:p w:rsidR="00F827E1" w:rsidRPr="003649C1" w:rsidRDefault="00F827E1" w:rsidP="00F827E1">
      <w:pPr>
        <w:ind w:left="1080"/>
        <w:rPr>
          <w:sz w:val="18"/>
          <w:szCs w:val="18"/>
        </w:rPr>
      </w:pPr>
      <w:r w:rsidRPr="003649C1">
        <w:rPr>
          <w:rFonts w:eastAsiaTheme="minorHAnsi"/>
          <w:i/>
          <w:sz w:val="18"/>
          <w:szCs w:val="18"/>
          <w:lang w:eastAsia="en-US"/>
        </w:rPr>
        <w:t>and Demographics of Selected Juvenile Case Types</w:t>
      </w:r>
      <w:r w:rsidRPr="003649C1">
        <w:rPr>
          <w:rFonts w:eastAsiaTheme="minorHAnsi"/>
          <w:sz w:val="18"/>
          <w:szCs w:val="18"/>
          <w:lang w:eastAsia="en-US"/>
        </w:rPr>
        <w:t>, February 28, 2017.</w:t>
      </w:r>
    </w:p>
    <w:p w:rsidR="00F827E1" w:rsidRPr="003649C1" w:rsidRDefault="00F827E1" w:rsidP="00F827E1">
      <w:pPr>
        <w:ind w:left="1080"/>
        <w:rPr>
          <w:sz w:val="18"/>
          <w:szCs w:val="18"/>
        </w:rPr>
      </w:pPr>
      <w:r w:rsidRPr="003649C1">
        <w:rPr>
          <w:sz w:val="18"/>
          <w:szCs w:val="18"/>
        </w:rPr>
        <w:t xml:space="preserve">Note: data on the total number of delinquency cases before the </w:t>
      </w:r>
      <w:r>
        <w:rPr>
          <w:sz w:val="18"/>
          <w:szCs w:val="18"/>
        </w:rPr>
        <w:t>Juvenile Court</w:t>
      </w:r>
      <w:r w:rsidRPr="003649C1">
        <w:rPr>
          <w:sz w:val="18"/>
          <w:szCs w:val="18"/>
        </w:rPr>
        <w:t xml:space="preserve"> in SFY 2012 in both </w:t>
      </w:r>
    </w:p>
    <w:p w:rsidR="00F827E1" w:rsidRPr="003649C1" w:rsidRDefault="00F827E1" w:rsidP="00F827E1">
      <w:pPr>
        <w:ind w:left="360" w:firstLine="720"/>
        <w:rPr>
          <w:sz w:val="18"/>
          <w:szCs w:val="18"/>
        </w:rPr>
      </w:pPr>
      <w:r w:rsidRPr="003649C1">
        <w:rPr>
          <w:sz w:val="18"/>
          <w:szCs w:val="18"/>
        </w:rPr>
        <w:t>Essex County and Norfolk County is unavailable and was excluded from this analysis.</w:t>
      </w:r>
    </w:p>
    <w:p w:rsidR="00F827E1" w:rsidRPr="00497B3B" w:rsidRDefault="00F827E1" w:rsidP="008540DA">
      <w:pPr>
        <w:pStyle w:val="NoSpacing"/>
        <w:rPr>
          <w:sz w:val="20"/>
          <w:szCs w:val="20"/>
        </w:rPr>
      </w:pPr>
    </w:p>
    <w:p w:rsidR="00435D84" w:rsidRDefault="00D26816" w:rsidP="00102E3E">
      <w:r>
        <w:t>In 201</w:t>
      </w:r>
      <w:r w:rsidR="00102E3E">
        <w:t>7</w:t>
      </w:r>
      <w:r>
        <w:t xml:space="preserve">, </w:t>
      </w:r>
      <w:r w:rsidR="00102E3E">
        <w:t>6</w:t>
      </w:r>
      <w:r>
        <w:t xml:space="preserve">7% of Massachusetts Juvenile Court Delinquency Cases are from the counties of Essex, Middlesex, </w:t>
      </w:r>
      <w:r w:rsidR="00102E3E">
        <w:t>Worcester, Bristol and Hampden</w:t>
      </w:r>
      <w:r>
        <w:t xml:space="preserve"> (Figure 2</w:t>
      </w:r>
      <w:r w:rsidR="008208FF">
        <w:t>8</w:t>
      </w:r>
      <w:r>
        <w:t>).</w:t>
      </w:r>
    </w:p>
    <w:p w:rsidR="00DD0860" w:rsidRDefault="00DD0860" w:rsidP="008540DA">
      <w:pPr>
        <w:pStyle w:val="NoSpacing"/>
      </w:pPr>
    </w:p>
    <w:p w:rsidR="00435D84" w:rsidRDefault="00E611AE" w:rsidP="00747F68">
      <w:pPr>
        <w:pStyle w:val="NoSpacing"/>
        <w:jc w:val="center"/>
      </w:pPr>
      <w:r>
        <w:rPr>
          <w:noProof/>
          <w:lang w:eastAsia="en-US"/>
        </w:rPr>
        <w:drawing>
          <wp:inline distT="0" distB="0" distL="0" distR="0" wp14:anchorId="034B2D4D" wp14:editId="5BC40CF0">
            <wp:extent cx="4786685" cy="3118209"/>
            <wp:effectExtent l="0" t="0" r="13970" b="63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97B3B" w:rsidRDefault="00747F68" w:rsidP="00497B3B">
      <w:pPr>
        <w:ind w:left="900"/>
        <w:rPr>
          <w:sz w:val="18"/>
          <w:szCs w:val="18"/>
        </w:rPr>
      </w:pPr>
      <w:r w:rsidRPr="003D5CED">
        <w:rPr>
          <w:i/>
          <w:sz w:val="20"/>
          <w:szCs w:val="20"/>
        </w:rPr>
        <w:t xml:space="preserve">Figure </w:t>
      </w:r>
      <w:r w:rsidR="00BC45A9">
        <w:rPr>
          <w:i/>
          <w:sz w:val="20"/>
          <w:szCs w:val="20"/>
        </w:rPr>
        <w:t>2</w:t>
      </w:r>
      <w:r w:rsidR="008208FF">
        <w:rPr>
          <w:i/>
          <w:sz w:val="20"/>
          <w:szCs w:val="20"/>
        </w:rPr>
        <w:t>8</w:t>
      </w:r>
      <w:r w:rsidRPr="003D5CED">
        <w:rPr>
          <w:sz w:val="20"/>
          <w:szCs w:val="20"/>
        </w:rPr>
        <w:t xml:space="preserve">. </w:t>
      </w:r>
      <w:r w:rsidRPr="00861E7C">
        <w:rPr>
          <w:sz w:val="18"/>
          <w:szCs w:val="18"/>
        </w:rPr>
        <w:t xml:space="preserve">Executive Office of the Trial Court, Department of Research and Planning, </w:t>
      </w:r>
      <w:r w:rsidRPr="00861E7C">
        <w:rPr>
          <w:rFonts w:eastAsiaTheme="minorHAnsi"/>
          <w:i/>
          <w:sz w:val="18"/>
          <w:szCs w:val="18"/>
          <w:lang w:eastAsia="en-US"/>
        </w:rPr>
        <w:t>Case Filings and Demographics of Selected Case Types</w:t>
      </w:r>
      <w:r w:rsidRPr="00861E7C">
        <w:rPr>
          <w:rFonts w:eastAsiaTheme="minorHAnsi"/>
          <w:sz w:val="18"/>
          <w:szCs w:val="18"/>
          <w:lang w:eastAsia="en-US"/>
        </w:rPr>
        <w:t xml:space="preserve">, </w:t>
      </w:r>
      <w:r w:rsidR="00BD7BEE">
        <w:rPr>
          <w:rFonts w:eastAsiaTheme="minorHAnsi"/>
          <w:sz w:val="18"/>
          <w:szCs w:val="18"/>
          <w:lang w:eastAsia="en-US"/>
        </w:rPr>
        <w:t>March 9, 2018</w:t>
      </w:r>
      <w:r w:rsidRPr="004F293F">
        <w:rPr>
          <w:rFonts w:eastAsiaTheme="minorHAnsi"/>
          <w:sz w:val="18"/>
          <w:szCs w:val="18"/>
          <w:lang w:eastAsia="en-US"/>
        </w:rPr>
        <w:t>.</w:t>
      </w:r>
    </w:p>
    <w:p w:rsidR="00497B3B" w:rsidRPr="00497B3B" w:rsidRDefault="00747F68" w:rsidP="00497B3B">
      <w:pPr>
        <w:ind w:left="900"/>
        <w:rPr>
          <w:sz w:val="18"/>
          <w:szCs w:val="18"/>
        </w:rPr>
      </w:pPr>
      <w:r w:rsidRPr="00861E7C">
        <w:rPr>
          <w:sz w:val="18"/>
          <w:szCs w:val="18"/>
        </w:rPr>
        <w:t>Note: Barnstable County includes the Town of Plymouth and Dukes and Nantucket Counties.</w:t>
      </w:r>
    </w:p>
    <w:p w:rsidR="00612CBE" w:rsidRPr="00866D82" w:rsidRDefault="00F960BA" w:rsidP="00F960BA">
      <w:r w:rsidRPr="00866D82">
        <w:lastRenderedPageBreak/>
        <w:t xml:space="preserve">Examining the race/ethnicity of individuals charged </w:t>
      </w:r>
      <w:r w:rsidR="00612CBE" w:rsidRPr="00866D82">
        <w:t>in delinquency cases</w:t>
      </w:r>
      <w:r w:rsidRPr="00866D82">
        <w:t xml:space="preserve"> in SFY 201</w:t>
      </w:r>
      <w:r w:rsidR="00102E3E">
        <w:t>7</w:t>
      </w:r>
      <w:r w:rsidRPr="00866D82">
        <w:t xml:space="preserve">, </w:t>
      </w:r>
      <w:r w:rsidR="00866D82" w:rsidRPr="00866D82">
        <w:t>Suffolk County had the highest percentage of minority youth (</w:t>
      </w:r>
      <w:r w:rsidR="00102E3E">
        <w:t>88</w:t>
      </w:r>
      <w:r w:rsidR="00866D82" w:rsidRPr="00866D82">
        <w:t>%), followed by Hampden County (7</w:t>
      </w:r>
      <w:r w:rsidR="00102E3E">
        <w:t>3</w:t>
      </w:r>
      <w:r w:rsidR="00866D82" w:rsidRPr="00866D82">
        <w:t>%), Middlesex County (5</w:t>
      </w:r>
      <w:r w:rsidR="00102E3E">
        <w:t>7</w:t>
      </w:r>
      <w:r w:rsidR="00866D82" w:rsidRPr="00866D82">
        <w:t>%), and Worcester County (5</w:t>
      </w:r>
      <w:r w:rsidR="00102E3E">
        <w:t>6</w:t>
      </w:r>
      <w:r w:rsidR="00866D82" w:rsidRPr="00866D82">
        <w:t>%), (Figure 2</w:t>
      </w:r>
      <w:r w:rsidR="008208FF">
        <w:t>9</w:t>
      </w:r>
      <w:r w:rsidR="00866D82" w:rsidRPr="00866D82">
        <w:t xml:space="preserve">).  </w:t>
      </w:r>
    </w:p>
    <w:p w:rsidR="00BB325B" w:rsidRDefault="00BB325B" w:rsidP="008540DA">
      <w:pPr>
        <w:pStyle w:val="NoSpacing"/>
      </w:pPr>
    </w:p>
    <w:p w:rsidR="00620789" w:rsidRDefault="00BD7BEE" w:rsidP="00C7735F">
      <w:pPr>
        <w:pStyle w:val="NoSpacing"/>
        <w:jc w:val="center"/>
      </w:pPr>
      <w:r>
        <w:rPr>
          <w:noProof/>
          <w:lang w:eastAsia="en-US"/>
        </w:rPr>
        <w:drawing>
          <wp:inline distT="0" distB="0" distL="0" distR="0" wp14:anchorId="2F263239" wp14:editId="6F616D4C">
            <wp:extent cx="4810539" cy="3013434"/>
            <wp:effectExtent l="0" t="0" r="9525" b="1587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D7BEE" w:rsidRDefault="00C7735F" w:rsidP="00C7735F">
      <w:pPr>
        <w:ind w:left="810"/>
        <w:rPr>
          <w:rFonts w:eastAsiaTheme="minorHAnsi"/>
          <w:sz w:val="18"/>
          <w:szCs w:val="18"/>
          <w:lang w:eastAsia="en-US"/>
        </w:rPr>
      </w:pPr>
      <w:r w:rsidRPr="003D5CED">
        <w:rPr>
          <w:i/>
          <w:sz w:val="20"/>
          <w:szCs w:val="20"/>
        </w:rPr>
        <w:t xml:space="preserve">Figure </w:t>
      </w:r>
      <w:r>
        <w:rPr>
          <w:i/>
          <w:sz w:val="20"/>
          <w:szCs w:val="20"/>
        </w:rPr>
        <w:t>2</w:t>
      </w:r>
      <w:r w:rsidR="008208FF">
        <w:rPr>
          <w:i/>
          <w:sz w:val="20"/>
          <w:szCs w:val="20"/>
        </w:rPr>
        <w:t>9</w:t>
      </w:r>
      <w:r w:rsidRPr="003D5CED">
        <w:rPr>
          <w:sz w:val="20"/>
          <w:szCs w:val="20"/>
        </w:rPr>
        <w:t xml:space="preserve">. </w:t>
      </w:r>
      <w:r w:rsidRPr="00861E7C">
        <w:rPr>
          <w:sz w:val="18"/>
          <w:szCs w:val="18"/>
        </w:rPr>
        <w:t xml:space="preserve">Executive Office of the Trial Court, Department of Research and Planning, </w:t>
      </w:r>
      <w:r w:rsidRPr="00861E7C">
        <w:rPr>
          <w:rFonts w:eastAsiaTheme="minorHAnsi"/>
          <w:i/>
          <w:sz w:val="18"/>
          <w:szCs w:val="18"/>
          <w:lang w:eastAsia="en-US"/>
        </w:rPr>
        <w:t>Case Filings and Demographics of Selected Case Types</w:t>
      </w:r>
      <w:r w:rsidRPr="00861E7C">
        <w:rPr>
          <w:rFonts w:eastAsiaTheme="minorHAnsi"/>
          <w:sz w:val="18"/>
          <w:szCs w:val="18"/>
          <w:lang w:eastAsia="en-US"/>
        </w:rPr>
        <w:t xml:space="preserve">, </w:t>
      </w:r>
      <w:r w:rsidR="00BD7BEE">
        <w:rPr>
          <w:rFonts w:eastAsiaTheme="minorHAnsi"/>
          <w:sz w:val="18"/>
          <w:szCs w:val="18"/>
          <w:lang w:eastAsia="en-US"/>
        </w:rPr>
        <w:t>March 9, 2018</w:t>
      </w:r>
      <w:r w:rsidR="00BD7BEE" w:rsidRPr="004F293F">
        <w:rPr>
          <w:rFonts w:eastAsiaTheme="minorHAnsi"/>
          <w:sz w:val="18"/>
          <w:szCs w:val="18"/>
          <w:lang w:eastAsia="en-US"/>
        </w:rPr>
        <w:t>.</w:t>
      </w:r>
    </w:p>
    <w:p w:rsidR="008540DA" w:rsidRPr="008540DA" w:rsidRDefault="00C7735F" w:rsidP="00BD7BEE">
      <w:pPr>
        <w:ind w:left="810"/>
      </w:pPr>
      <w:r w:rsidRPr="00861E7C">
        <w:rPr>
          <w:sz w:val="18"/>
          <w:szCs w:val="18"/>
        </w:rPr>
        <w:t>Note: Barnstable County includes the Town of Plymouth and Dukes and Nantucket Counties.</w:t>
      </w:r>
      <w:r w:rsidR="008540DA" w:rsidRPr="008540DA">
        <w:br w:type="page"/>
      </w:r>
    </w:p>
    <w:p w:rsidR="001F09B1" w:rsidRPr="00C97C12" w:rsidRDefault="001F09B1" w:rsidP="00322C41">
      <w:pPr>
        <w:pStyle w:val="NoSpacing"/>
        <w:ind w:right="-360"/>
        <w:rPr>
          <w:b/>
          <w:smallCaps/>
          <w:sz w:val="26"/>
          <w:szCs w:val="26"/>
          <w:u w:val="single"/>
        </w:rPr>
      </w:pPr>
      <w:r w:rsidRPr="00C97C12">
        <w:rPr>
          <w:b/>
          <w:smallCaps/>
          <w:sz w:val="26"/>
          <w:szCs w:val="26"/>
          <w:u w:val="single"/>
        </w:rPr>
        <w:lastRenderedPageBreak/>
        <w:t>Priori</w:t>
      </w:r>
      <w:r w:rsidR="00707DBF">
        <w:rPr>
          <w:b/>
          <w:smallCaps/>
          <w:sz w:val="26"/>
          <w:szCs w:val="26"/>
          <w:u w:val="single"/>
        </w:rPr>
        <w:t>ty #6</w:t>
      </w:r>
      <w:r w:rsidRPr="00C97C12">
        <w:rPr>
          <w:b/>
          <w:smallCaps/>
          <w:sz w:val="26"/>
          <w:szCs w:val="26"/>
          <w:u w:val="single"/>
        </w:rPr>
        <w:t xml:space="preserve">: </w:t>
      </w:r>
      <w:r w:rsidR="00322C41">
        <w:rPr>
          <w:b/>
          <w:smallCaps/>
          <w:sz w:val="26"/>
          <w:szCs w:val="26"/>
          <w:u w:val="single"/>
        </w:rPr>
        <w:t>Utilizing</w:t>
      </w:r>
      <w:r w:rsidR="00970158">
        <w:rPr>
          <w:b/>
          <w:smallCaps/>
          <w:sz w:val="26"/>
          <w:szCs w:val="26"/>
          <w:u w:val="single"/>
        </w:rPr>
        <w:t xml:space="preserve"> </w:t>
      </w:r>
      <w:r w:rsidR="00322C41">
        <w:rPr>
          <w:b/>
          <w:smallCaps/>
          <w:sz w:val="26"/>
          <w:szCs w:val="26"/>
          <w:u w:val="single"/>
        </w:rPr>
        <w:t>Research</w:t>
      </w:r>
      <w:r w:rsidR="00970158">
        <w:rPr>
          <w:b/>
          <w:smallCaps/>
          <w:sz w:val="26"/>
          <w:szCs w:val="26"/>
          <w:u w:val="single"/>
        </w:rPr>
        <w:t xml:space="preserve"> </w:t>
      </w:r>
      <w:r w:rsidR="00322C41">
        <w:rPr>
          <w:b/>
          <w:smallCaps/>
          <w:sz w:val="26"/>
          <w:szCs w:val="26"/>
          <w:u w:val="single"/>
        </w:rPr>
        <w:t xml:space="preserve">to Assess the Effectiveness of JAG Programs </w:t>
      </w:r>
    </w:p>
    <w:p w:rsidR="001F09B1" w:rsidRPr="00B03D29" w:rsidRDefault="001F09B1" w:rsidP="001F09B1">
      <w:pPr>
        <w:jc w:val="both"/>
        <w:rPr>
          <w:b/>
          <w:i/>
        </w:rPr>
      </w:pPr>
    </w:p>
    <w:p w:rsidR="00227BF1" w:rsidRPr="00B03D29" w:rsidRDefault="00227BF1" w:rsidP="00227BF1">
      <w:pPr>
        <w:jc w:val="both"/>
        <w:rPr>
          <w:b/>
          <w:i/>
        </w:rPr>
      </w:pPr>
      <w:r w:rsidRPr="00B03D29">
        <w:rPr>
          <w:b/>
          <w:i/>
        </w:rPr>
        <w:t>Goal</w:t>
      </w:r>
    </w:p>
    <w:p w:rsidR="00227BF1" w:rsidRPr="00B03D29" w:rsidRDefault="00227BF1" w:rsidP="00227BF1">
      <w:r w:rsidRPr="00B03D29">
        <w:t xml:space="preserve">Improve the quality of programs funded through the JAG Program by targeting grant dollars to support programs demonstrating </w:t>
      </w:r>
      <w:r>
        <w:t xml:space="preserve">evidence-based, </w:t>
      </w:r>
      <w:r w:rsidRPr="00B03D29">
        <w:t xml:space="preserve">promising and/or best practices. Target criminal justice funding toward areas of greatest need, </w:t>
      </w:r>
      <w:r>
        <w:t>based on</w:t>
      </w:r>
      <w:r w:rsidRPr="00B03D29">
        <w:t xml:space="preserve"> geographic and emerging public safety </w:t>
      </w:r>
      <w:r>
        <w:t xml:space="preserve">trends and </w:t>
      </w:r>
      <w:r w:rsidRPr="00B03D29">
        <w:t>issues.</w:t>
      </w:r>
    </w:p>
    <w:p w:rsidR="00227BF1" w:rsidRPr="00B03D29" w:rsidRDefault="00227BF1" w:rsidP="00227BF1">
      <w:pPr>
        <w:jc w:val="both"/>
      </w:pPr>
    </w:p>
    <w:p w:rsidR="00227BF1" w:rsidRPr="00B03D29" w:rsidRDefault="00227BF1" w:rsidP="00227BF1">
      <w:pPr>
        <w:jc w:val="both"/>
        <w:rPr>
          <w:b/>
          <w:i/>
        </w:rPr>
      </w:pPr>
      <w:r w:rsidRPr="00B03D29">
        <w:rPr>
          <w:b/>
          <w:i/>
        </w:rPr>
        <w:t>Purpose Area(s) Addressed</w:t>
      </w:r>
    </w:p>
    <w:p w:rsidR="00227BF1" w:rsidRPr="00B03D29" w:rsidRDefault="00227BF1" w:rsidP="00227BF1">
      <w:pPr>
        <w:numPr>
          <w:ilvl w:val="0"/>
          <w:numId w:val="27"/>
        </w:numPr>
        <w:tabs>
          <w:tab w:val="clear" w:pos="1080"/>
          <w:tab w:val="num" w:pos="720"/>
        </w:tabs>
        <w:ind w:hanging="720"/>
      </w:pPr>
      <w:r w:rsidRPr="006B75F2">
        <w:t>Planning, research, data collection, and program</w:t>
      </w:r>
      <w:r>
        <w:t xml:space="preserve"> evaluation</w:t>
      </w:r>
    </w:p>
    <w:p w:rsidR="00227BF1" w:rsidRPr="006B75F2" w:rsidRDefault="00227BF1" w:rsidP="00227BF1">
      <w:pPr>
        <w:ind w:left="360"/>
        <w:jc w:val="both"/>
        <w:rPr>
          <w:b/>
          <w:i/>
        </w:rPr>
      </w:pPr>
    </w:p>
    <w:p w:rsidR="00227BF1" w:rsidRPr="00B03D29" w:rsidRDefault="00227BF1" w:rsidP="00227BF1">
      <w:pPr>
        <w:jc w:val="both"/>
        <w:rPr>
          <w:b/>
        </w:rPr>
      </w:pPr>
      <w:r w:rsidRPr="00B03D29">
        <w:rPr>
          <w:b/>
          <w:i/>
        </w:rPr>
        <w:t>Anticipated Activities</w:t>
      </w:r>
    </w:p>
    <w:p w:rsidR="00227BF1" w:rsidRPr="00B03D29" w:rsidRDefault="00227BF1" w:rsidP="00227BF1">
      <w:pPr>
        <w:numPr>
          <w:ilvl w:val="0"/>
          <w:numId w:val="26"/>
        </w:numPr>
      </w:pPr>
      <w:r w:rsidRPr="00B03D29">
        <w:t>Set aside JAG funds specifically for research and evaluation relative to JAG-funded projects.</w:t>
      </w:r>
    </w:p>
    <w:p w:rsidR="00227BF1" w:rsidRPr="00B03D29" w:rsidRDefault="00227BF1" w:rsidP="00227BF1">
      <w:pPr>
        <w:numPr>
          <w:ilvl w:val="0"/>
          <w:numId w:val="26"/>
        </w:numPr>
      </w:pPr>
      <w:r w:rsidRPr="00B03D29">
        <w:t xml:space="preserve">Provide benchmarking for public safety agencies, designing and implementing effective performance measurement strategies.  </w:t>
      </w:r>
    </w:p>
    <w:p w:rsidR="00227BF1" w:rsidRPr="00B03D29" w:rsidRDefault="00227BF1" w:rsidP="00227BF1">
      <w:pPr>
        <w:numPr>
          <w:ilvl w:val="0"/>
          <w:numId w:val="26"/>
        </w:numPr>
      </w:pPr>
      <w:r w:rsidRPr="00B03D29">
        <w:t>Support public policy research and capacity-building projects targeting current criminal justice issues facing Massachusetts.</w:t>
      </w:r>
    </w:p>
    <w:p w:rsidR="00227BF1" w:rsidRPr="00B03D29" w:rsidRDefault="00227BF1" w:rsidP="00227BF1">
      <w:pPr>
        <w:numPr>
          <w:ilvl w:val="0"/>
          <w:numId w:val="26"/>
        </w:numPr>
      </w:pPr>
      <w:r w:rsidRPr="00B03D29">
        <w:t>Target funding of innovative program</w:t>
      </w:r>
      <w:r>
        <w:t>s</w:t>
      </w:r>
      <w:r w:rsidRPr="00B03D29">
        <w:t xml:space="preserve"> in communities with the greatest public safety needs using risk </w:t>
      </w:r>
      <w:r>
        <w:t>indicators</w:t>
      </w:r>
      <w:r w:rsidRPr="00B03D29">
        <w:t>.</w:t>
      </w:r>
    </w:p>
    <w:p w:rsidR="00227BF1" w:rsidRPr="00B03D29" w:rsidRDefault="00227BF1" w:rsidP="00227BF1">
      <w:pPr>
        <w:ind w:left="720"/>
        <w:jc w:val="both"/>
      </w:pPr>
    </w:p>
    <w:p w:rsidR="00227BF1" w:rsidRPr="00B03D29" w:rsidRDefault="00227BF1" w:rsidP="00227BF1">
      <w:pPr>
        <w:jc w:val="both"/>
        <w:rPr>
          <w:b/>
          <w:i/>
        </w:rPr>
      </w:pPr>
      <w:r w:rsidRPr="00B03D29">
        <w:rPr>
          <w:b/>
          <w:i/>
        </w:rPr>
        <w:t>Rationale</w:t>
      </w:r>
    </w:p>
    <w:p w:rsidR="00227BF1" w:rsidRPr="00B03D29" w:rsidRDefault="00227BF1" w:rsidP="00227BF1">
      <w:r w:rsidRPr="00B03D29">
        <w:t>The allocation of resources for this priority is needed to help inform decision-making</w:t>
      </w:r>
      <w:r>
        <w:t>.  R</w:t>
      </w:r>
      <w:r w:rsidRPr="00B03D29">
        <w:t xml:space="preserve">esearch and evaluation will help EOPSS assess the effectiveness of </w:t>
      </w:r>
      <w:r>
        <w:t xml:space="preserve">criminal justice and public safety </w:t>
      </w:r>
      <w:r w:rsidRPr="00B03D29">
        <w:t>programs</w:t>
      </w:r>
      <w:r>
        <w:t>,</w:t>
      </w:r>
      <w:r w:rsidRPr="00B03D29">
        <w:t xml:space="preserve"> JAG-funded or otherwise.</w:t>
      </w:r>
    </w:p>
    <w:p w:rsidR="001F09B1" w:rsidRDefault="001F09B1" w:rsidP="001F09B1">
      <w:pPr>
        <w:jc w:val="both"/>
      </w:pPr>
    </w:p>
    <w:p w:rsidR="001F09B1" w:rsidRPr="00A6755B" w:rsidRDefault="001F09B1" w:rsidP="001F09B1">
      <w:pPr>
        <w:jc w:val="both"/>
        <w:rPr>
          <w:b/>
          <w:i/>
        </w:rPr>
      </w:pPr>
      <w:r w:rsidRPr="00A6755B">
        <w:rPr>
          <w:b/>
          <w:i/>
        </w:rPr>
        <w:t xml:space="preserve">Summary of Research and Policy Analysis Division (RPAD) Projects </w:t>
      </w:r>
    </w:p>
    <w:p w:rsidR="001F09B1" w:rsidRDefault="001F09B1" w:rsidP="001F09B1">
      <w:pPr>
        <w:jc w:val="both"/>
      </w:pPr>
    </w:p>
    <w:p w:rsidR="001F09B1" w:rsidRPr="00A02F15" w:rsidRDefault="001F09B1" w:rsidP="001F09B1">
      <w:pPr>
        <w:rPr>
          <w:smallCaps/>
          <w:sz w:val="26"/>
          <w:szCs w:val="26"/>
          <w:u w:val="single"/>
        </w:rPr>
      </w:pPr>
      <w:r w:rsidRPr="00A02F15">
        <w:rPr>
          <w:smallCaps/>
          <w:sz w:val="26"/>
          <w:szCs w:val="26"/>
          <w:u w:val="single"/>
        </w:rPr>
        <w:t>Provide research and data expertise on criminal and juvenile justice initiatives for federal grant applications, OGR and Secretariat to advance the use of evidence-based decision making.</w:t>
      </w:r>
    </w:p>
    <w:p w:rsidR="001F09B1" w:rsidRDefault="001F09B1" w:rsidP="001F09B1">
      <w:pPr>
        <w:rPr>
          <w:b/>
        </w:rPr>
      </w:pPr>
    </w:p>
    <w:p w:rsidR="00227BF1" w:rsidRPr="00FC53FB" w:rsidRDefault="00227BF1" w:rsidP="00227BF1">
      <w:r>
        <w:t>S</w:t>
      </w:r>
      <w:r w:rsidRPr="00FC53FB">
        <w:t>upport JPD’s administr</w:t>
      </w:r>
      <w:r>
        <w:t>ation of JAG funding, through</w:t>
      </w:r>
      <w:r w:rsidRPr="00FC53FB">
        <w:t xml:space="preserve"> planning, evaluation and technology improvement</w:t>
      </w:r>
      <w:r>
        <w:t>s</w:t>
      </w:r>
      <w:r w:rsidRPr="00FC53FB">
        <w:t xml:space="preserve"> in concert with the key purpose areas of sexual assault, technology, youth violence,</w:t>
      </w:r>
      <w:r>
        <w:t xml:space="preserve"> and substance abuse.  P</w:t>
      </w:r>
      <w:r w:rsidRPr="00FC53FB">
        <w:t>rimarily focus on JAG programs and state committees and commissions that impact JAG’s work.</w:t>
      </w:r>
    </w:p>
    <w:p w:rsidR="00227BF1" w:rsidRDefault="00227BF1" w:rsidP="00227BF1"/>
    <w:p w:rsidR="00227BF1" w:rsidRDefault="00227BF1" w:rsidP="00227BF1">
      <w:pPr>
        <w:rPr>
          <w:b/>
        </w:rPr>
      </w:pPr>
      <w:r>
        <w:t>Compile</w:t>
      </w:r>
      <w:r w:rsidRPr="00FC53FB">
        <w:t xml:space="preserve"> data and analyze trends on crime and other risk indicators, in comparison with regional and national trends to determine </w:t>
      </w:r>
      <w:r>
        <w:t xml:space="preserve">JAG </w:t>
      </w:r>
      <w:r w:rsidRPr="00FC53FB">
        <w:t>need areas and develop solutions</w:t>
      </w:r>
      <w:r>
        <w:t>.</w:t>
      </w:r>
      <w:r w:rsidRPr="00FC53FB">
        <w:t xml:space="preserve"> </w:t>
      </w:r>
      <w:r>
        <w:t xml:space="preserve"> A</w:t>
      </w:r>
      <w:r w:rsidRPr="00A7023C">
        <w:t>nalyses are included in grant applications submitted to the U.S. Dept. of Justice: (1) Three-Year Plan for Title II Formula Grant Program submitted</w:t>
      </w:r>
      <w:r>
        <w:t xml:space="preserve"> to</w:t>
      </w:r>
      <w:r w:rsidRPr="00A7023C">
        <w:t xml:space="preserve"> OJJ</w:t>
      </w:r>
      <w:r>
        <w:t>D</w:t>
      </w:r>
      <w:r w:rsidRPr="00A7023C">
        <w:t>P</w:t>
      </w:r>
      <w:r>
        <w:t xml:space="preserve">, (2) Edward </w:t>
      </w:r>
      <w:r w:rsidRPr="00A7023C">
        <w:t>Byrne Memorial Justice Assistance Grant (JAG) Program, (3) Residential S</w:t>
      </w:r>
      <w:r>
        <w:t>ubstance Abuse Treatment (RSAT) Program, and (4) Violence Against Women Act Program</w:t>
      </w:r>
      <w:r w:rsidRPr="00A7023C">
        <w:t>.</w:t>
      </w:r>
    </w:p>
    <w:p w:rsidR="00A02F15" w:rsidRDefault="00A02F15">
      <w:pPr>
        <w:spacing w:after="200" w:line="276" w:lineRule="auto"/>
        <w:rPr>
          <w:b/>
        </w:rPr>
      </w:pPr>
      <w:r>
        <w:rPr>
          <w:b/>
        </w:rPr>
        <w:br w:type="page"/>
      </w:r>
    </w:p>
    <w:p w:rsidR="001F09B1" w:rsidRPr="00A02F15" w:rsidRDefault="00A02F15" w:rsidP="001F09B1">
      <w:pPr>
        <w:rPr>
          <w:smallCaps/>
          <w:sz w:val="26"/>
          <w:szCs w:val="26"/>
          <w:u w:val="single"/>
        </w:rPr>
      </w:pPr>
      <w:r w:rsidRPr="00A02F15">
        <w:rPr>
          <w:smallCaps/>
          <w:sz w:val="26"/>
          <w:szCs w:val="26"/>
          <w:u w:val="single"/>
        </w:rPr>
        <w:lastRenderedPageBreak/>
        <w:t>Additional Activities:</w:t>
      </w:r>
    </w:p>
    <w:p w:rsidR="001F09B1" w:rsidRDefault="001F09B1" w:rsidP="001F09B1">
      <w:pPr>
        <w:rPr>
          <w:b/>
        </w:rPr>
      </w:pPr>
      <w:r>
        <w:t>Participate</w:t>
      </w:r>
      <w:r w:rsidRPr="00A7023C">
        <w:t xml:space="preserve"> in grant review teams for state and federal grant funding awarded by OGR.</w:t>
      </w:r>
    </w:p>
    <w:p w:rsidR="001F09B1" w:rsidRDefault="001F09B1" w:rsidP="001F09B1">
      <w:pPr>
        <w:rPr>
          <w:b/>
        </w:rPr>
      </w:pPr>
    </w:p>
    <w:p w:rsidR="001F09B1" w:rsidRDefault="001F09B1" w:rsidP="001F09B1">
      <w:pPr>
        <w:rPr>
          <w:b/>
        </w:rPr>
      </w:pPr>
      <w:r w:rsidRPr="00A7023C">
        <w:t xml:space="preserve">Contribute juvenile crime and victimization data for Juvenile </w:t>
      </w:r>
      <w:r>
        <w:t>Detention</w:t>
      </w:r>
      <w:r w:rsidRPr="00A7023C">
        <w:t xml:space="preserve"> Alternative </w:t>
      </w:r>
      <w:r>
        <w:t>Initiative</w:t>
      </w:r>
      <w:r w:rsidRPr="00A7023C">
        <w:t xml:space="preserve"> (JDAI) dashboard and attend JDAI data</w:t>
      </w:r>
      <w:r w:rsidR="00A02F15">
        <w:t xml:space="preserve"> subcommittee</w:t>
      </w:r>
      <w:r w:rsidRPr="00A7023C">
        <w:t xml:space="preserve"> meetings.</w:t>
      </w:r>
    </w:p>
    <w:p w:rsidR="001F09B1" w:rsidRDefault="001F09B1" w:rsidP="001F09B1">
      <w:pPr>
        <w:rPr>
          <w:b/>
        </w:rPr>
      </w:pPr>
    </w:p>
    <w:p w:rsidR="001F09B1" w:rsidRDefault="001F09B1" w:rsidP="001F09B1">
      <w:r>
        <w:t>E</w:t>
      </w:r>
      <w:r w:rsidRPr="00FC53FB">
        <w:t>ducate</w:t>
      </w:r>
      <w:r>
        <w:t xml:space="preserve"> program</w:t>
      </w:r>
      <w:r w:rsidRPr="00FC53FB">
        <w:t xml:space="preserve"> staff about opportunities to incorporate or strengthen evidence-based approaches (use of promising and evidence-based programs, implementation oversight, performance evaluation, program assessment, etc.), strongly encouraged by the U.S. Department of Justice and </w:t>
      </w:r>
      <w:r w:rsidR="00F77A92">
        <w:t>Bureau of Justice Statistics (</w:t>
      </w:r>
      <w:r w:rsidRPr="00FC53FB">
        <w:t>BJS</w:t>
      </w:r>
      <w:r w:rsidR="00F77A92">
        <w:t>)</w:t>
      </w:r>
      <w:r>
        <w:t>.</w:t>
      </w:r>
    </w:p>
    <w:p w:rsidR="001F09B1" w:rsidRDefault="001F09B1" w:rsidP="001F09B1">
      <w:pPr>
        <w:rPr>
          <w:b/>
        </w:rPr>
      </w:pPr>
    </w:p>
    <w:p w:rsidR="001F09B1" w:rsidRDefault="001F09B1" w:rsidP="001F09B1">
      <w:r>
        <w:t xml:space="preserve">Offer </w:t>
      </w:r>
      <w:r w:rsidRPr="00FC53FB">
        <w:t>technical assistance and expertise to develop new data collection systems or enhance ongoing collection processes</w:t>
      </w:r>
      <w:r>
        <w:t>.</w:t>
      </w:r>
    </w:p>
    <w:p w:rsidR="001F09B1" w:rsidRDefault="001F09B1" w:rsidP="001F09B1">
      <w:pPr>
        <w:rPr>
          <w:b/>
        </w:rPr>
      </w:pPr>
    </w:p>
    <w:p w:rsidR="001F09B1" w:rsidRDefault="001F09B1" w:rsidP="001F09B1">
      <w:r w:rsidRPr="00A7023C">
        <w:t>Submit report on quarterly programmatic and fin</w:t>
      </w:r>
      <w:r>
        <w:t>ancial activities to JAG grant</w:t>
      </w:r>
      <w:r w:rsidRPr="00A7023C">
        <w:t xml:space="preserve"> manager; submit quarterly federal performance metrics tool report (PMT).</w:t>
      </w:r>
    </w:p>
    <w:p w:rsidR="001F09B1" w:rsidRDefault="001F09B1" w:rsidP="001F09B1"/>
    <w:p w:rsidR="001F09B1" w:rsidRPr="0015137E" w:rsidRDefault="001F09B1" w:rsidP="001F09B1">
      <w:r>
        <w:t xml:space="preserve">Participate in state and national committee and commission meetings that impact JAG’s work, </w:t>
      </w:r>
      <w:r w:rsidRPr="00FC53FB">
        <w:t xml:space="preserve">and regularly review criminal justice data to respond to requests as needed. </w:t>
      </w:r>
      <w:r w:rsidR="00F77A92">
        <w:t xml:space="preserve"> </w:t>
      </w:r>
      <w:r w:rsidRPr="00FC53FB">
        <w:t xml:space="preserve">For example, RPAD is equipped to respond to a request from a commission or committee about a specific interest or policy challenge. </w:t>
      </w:r>
      <w:r w:rsidR="00F77A92">
        <w:t xml:space="preserve"> </w:t>
      </w:r>
      <w:r w:rsidRPr="00FC53FB">
        <w:t xml:space="preserve">Using evidence and data to support the work of these bodies is critical to informed policy development.  It is expected that RPAD will have input and responsibilities for the following entities: the Special Commission on Criminal Justice (Chaired by EOPSS), Working Group for the Justice Reinvestment Initiative (coordinated by the Council for State Governments), and the </w:t>
      </w:r>
      <w:r w:rsidR="00227BF1">
        <w:t xml:space="preserve">annual </w:t>
      </w:r>
      <w:r w:rsidRPr="00FC53FB">
        <w:t xml:space="preserve">Justice Research Statistics Association </w:t>
      </w:r>
      <w:r w:rsidR="00227BF1">
        <w:t>conference.</w:t>
      </w:r>
    </w:p>
    <w:p w:rsidR="001F09B1" w:rsidRDefault="001F09B1" w:rsidP="001F09B1">
      <w:pPr>
        <w:rPr>
          <w:u w:val="single"/>
        </w:rPr>
      </w:pPr>
    </w:p>
    <w:p w:rsidR="001F09B1" w:rsidRPr="001F09B1" w:rsidRDefault="001F09B1" w:rsidP="001F09B1">
      <w:pPr>
        <w:rPr>
          <w:smallCaps/>
          <w:sz w:val="26"/>
          <w:szCs w:val="26"/>
          <w:u w:val="single"/>
        </w:rPr>
      </w:pPr>
      <w:r w:rsidRPr="001F09B1">
        <w:rPr>
          <w:smallCaps/>
          <w:sz w:val="26"/>
          <w:szCs w:val="26"/>
          <w:u w:val="single"/>
        </w:rPr>
        <w:t>Strengthen National Incident Based Reporting System (NIBRS)</w:t>
      </w:r>
    </w:p>
    <w:p w:rsidR="001F09B1" w:rsidRDefault="001F09B1" w:rsidP="001F09B1">
      <w:pPr>
        <w:rPr>
          <w:b/>
        </w:rPr>
      </w:pPr>
    </w:p>
    <w:p w:rsidR="001F09B1" w:rsidRPr="006E4085" w:rsidRDefault="001F09B1" w:rsidP="001F09B1">
      <w:pPr>
        <w:rPr>
          <w:b/>
        </w:rPr>
      </w:pPr>
      <w:r w:rsidRPr="006E4085">
        <w:t xml:space="preserve">Collaborate with </w:t>
      </w:r>
      <w:r>
        <w:t xml:space="preserve">staff at the </w:t>
      </w:r>
      <w:r w:rsidRPr="006E4085">
        <w:t xml:space="preserve">Criminal Justice Training Council and EOPSS Legal </w:t>
      </w:r>
      <w:r>
        <w:t xml:space="preserve">division </w:t>
      </w:r>
      <w:r w:rsidRPr="006E4085">
        <w:t>to respond to protocol and policy questions.</w:t>
      </w:r>
    </w:p>
    <w:p w:rsidR="001F09B1" w:rsidRDefault="001F09B1" w:rsidP="001F09B1"/>
    <w:p w:rsidR="001F09B1" w:rsidRDefault="001F09B1" w:rsidP="001F09B1">
      <w:pPr>
        <w:rPr>
          <w:b/>
        </w:rPr>
      </w:pPr>
      <w:r w:rsidRPr="00891FE9">
        <w:t>Encourage police departments to report NIBRS rather than summary (UCR) data.</w:t>
      </w:r>
    </w:p>
    <w:p w:rsidR="001F09B1" w:rsidRDefault="001F09B1" w:rsidP="001F09B1">
      <w:pPr>
        <w:rPr>
          <w:b/>
        </w:rPr>
      </w:pPr>
    </w:p>
    <w:p w:rsidR="001F09B1" w:rsidRDefault="001F09B1" w:rsidP="001F09B1">
      <w:pPr>
        <w:rPr>
          <w:b/>
        </w:rPr>
      </w:pPr>
      <w:r w:rsidRPr="00891FE9">
        <w:t>Work with EOPSS Data Information Manager to develop an internal NIBRS database that will enhance the efficiency and capacit</w:t>
      </w:r>
      <w:r>
        <w:t xml:space="preserve">y to report on crime trends, </w:t>
      </w:r>
      <w:r w:rsidRPr="00891FE9">
        <w:t>create customized reports, and monitor data quality</w:t>
      </w:r>
      <w:r>
        <w:t>,</w:t>
      </w:r>
      <w:r w:rsidRPr="00891FE9">
        <w:t xml:space="preserve"> and submissions by reporting agency.</w:t>
      </w:r>
    </w:p>
    <w:p w:rsidR="001F09B1" w:rsidRDefault="001F09B1" w:rsidP="001F09B1">
      <w:pPr>
        <w:jc w:val="both"/>
        <w:rPr>
          <w:b/>
        </w:rPr>
      </w:pPr>
    </w:p>
    <w:p w:rsidR="001F09B1" w:rsidRDefault="001F09B1" w:rsidP="001F09B1">
      <w:r w:rsidRPr="00891FE9">
        <w:t>Report data</w:t>
      </w:r>
      <w:r>
        <w:t xml:space="preserve"> on violent crime</w:t>
      </w:r>
      <w:r w:rsidRPr="00891FE9">
        <w:t xml:space="preserve"> to inform research, budgets, planning, and policy (such as </w:t>
      </w:r>
      <w:r>
        <w:t xml:space="preserve">the </w:t>
      </w:r>
      <w:r w:rsidRPr="00891FE9">
        <w:t>Shannon C</w:t>
      </w:r>
      <w:r>
        <w:t>ommunity Safety Initiative (C</w:t>
      </w:r>
      <w:r w:rsidRPr="00891FE9">
        <w:t>SI</w:t>
      </w:r>
      <w:r>
        <w:t>)</w:t>
      </w:r>
      <w:r w:rsidRPr="00891FE9">
        <w:t xml:space="preserve"> </w:t>
      </w:r>
      <w:r>
        <w:t>modeled after the OJJDP’s Comprehensive Gang Model focused on regional and multi-disciplinary approaches to combat gang violence through coordinated prevention and intervention, law enforcement, prosecution, and reintegration programs.</w:t>
      </w:r>
    </w:p>
    <w:p w:rsidR="001F09B1" w:rsidRDefault="001F09B1" w:rsidP="001F09B1"/>
    <w:p w:rsidR="00D746F2" w:rsidRDefault="001F09B1" w:rsidP="006654CC">
      <w:r w:rsidRPr="00891FE9">
        <w:t>Write research briefs on violent and property crime data trends</w:t>
      </w:r>
      <w:r>
        <w:t>,</w:t>
      </w:r>
      <w:r w:rsidRPr="00891FE9">
        <w:t xml:space="preserve"> analyzing victim and offender demographics, city/town location of incidents, and per capita crime rates.</w:t>
      </w:r>
    </w:p>
    <w:p w:rsidR="00D746F2" w:rsidRDefault="00D746F2" w:rsidP="006654CC"/>
    <w:p w:rsidR="00D746F2" w:rsidRPr="002176BA" w:rsidRDefault="00D135C4" w:rsidP="00D746F2">
      <w:pPr>
        <w:rPr>
          <w:b/>
        </w:rPr>
      </w:pPr>
      <w:r>
        <w:rPr>
          <w:rFonts w:eastAsia="Times New Roman"/>
          <w:b/>
          <w:lang w:eastAsia="en-US"/>
        </w:rPr>
        <w:lastRenderedPageBreak/>
        <w:t>B. Project Design and Implementation</w:t>
      </w:r>
    </w:p>
    <w:p w:rsidR="00D746F2" w:rsidRPr="00CF5D3B" w:rsidRDefault="00D746F2" w:rsidP="00D746F2">
      <w:pPr>
        <w:autoSpaceDE w:val="0"/>
        <w:autoSpaceDN w:val="0"/>
        <w:adjustRightInd w:val="0"/>
        <w:rPr>
          <w:rFonts w:eastAsia="Times New Roman" w:cs="Arial"/>
          <w:lang w:eastAsia="en-US"/>
        </w:rPr>
      </w:pPr>
    </w:p>
    <w:p w:rsidR="00D746F2" w:rsidRPr="00CF5D3B" w:rsidRDefault="00D746F2" w:rsidP="00D746F2">
      <w:pPr>
        <w:autoSpaceDE w:val="0"/>
        <w:autoSpaceDN w:val="0"/>
        <w:adjustRightInd w:val="0"/>
        <w:rPr>
          <w:rFonts w:eastAsia="Times New Roman" w:cs="Arial"/>
          <w:lang w:eastAsia="en-US"/>
        </w:rPr>
      </w:pPr>
      <w:r>
        <w:rPr>
          <w:rFonts w:eastAsia="Times New Roman" w:cs="Arial"/>
          <w:bCs/>
          <w:lang w:eastAsia="en-US"/>
        </w:rPr>
        <w:t>EOPSS</w:t>
      </w:r>
      <w:r w:rsidRPr="00CF5D3B">
        <w:rPr>
          <w:rFonts w:eastAsia="Times New Roman" w:cs="Arial"/>
          <w:lang w:eastAsia="en-US"/>
        </w:rPr>
        <w:t xml:space="preserve"> </w:t>
      </w:r>
      <w:r w:rsidR="009039B7">
        <w:rPr>
          <w:rFonts w:eastAsia="Times New Roman" w:cs="Arial"/>
          <w:lang w:eastAsia="en-US"/>
        </w:rPr>
        <w:t xml:space="preserve">and OGR </w:t>
      </w:r>
      <w:r w:rsidRPr="00CF5D3B">
        <w:rPr>
          <w:rFonts w:eastAsia="Times New Roman" w:cs="Arial"/>
          <w:bCs/>
          <w:lang w:eastAsia="en-US"/>
        </w:rPr>
        <w:t>continue to engage law enforcement</w:t>
      </w:r>
      <w:r w:rsidRPr="00CF5D3B">
        <w:rPr>
          <w:rFonts w:eastAsia="Times New Roman" w:cs="Arial"/>
          <w:b/>
          <w:bCs/>
          <w:lang w:eastAsia="en-US"/>
        </w:rPr>
        <w:t xml:space="preserve"> </w:t>
      </w:r>
      <w:r w:rsidRPr="00CF5D3B">
        <w:rPr>
          <w:rFonts w:eastAsia="Times New Roman" w:cs="Arial"/>
          <w:bCs/>
          <w:lang w:eastAsia="en-US"/>
        </w:rPr>
        <w:t>and other public safety stakeholders in Massachusetts through the</w:t>
      </w:r>
      <w:r w:rsidRPr="00CF5D3B">
        <w:rPr>
          <w:rFonts w:eastAsia="Times New Roman" w:cs="Arial"/>
          <w:lang w:eastAsia="en-US"/>
        </w:rPr>
        <w:t xml:space="preserve"> Special Commission to Study the Criminal Justice System, which was </w:t>
      </w:r>
      <w:r w:rsidRPr="00CF5D3B">
        <w:rPr>
          <w:rFonts w:eastAsia="Times New Roman"/>
          <w:lang w:eastAsia="en-US"/>
        </w:rPr>
        <w:t>established in Outside Section 189 of the Acts of 2012.</w:t>
      </w:r>
    </w:p>
    <w:p w:rsidR="00D746F2" w:rsidRPr="00CF5D3B" w:rsidRDefault="00D746F2" w:rsidP="00D746F2">
      <w:pPr>
        <w:rPr>
          <w:rFonts w:eastAsia="Times New Roman"/>
          <w:szCs w:val="20"/>
          <w:highlight w:val="yellow"/>
          <w:lang w:eastAsia="en-US"/>
        </w:rPr>
      </w:pPr>
    </w:p>
    <w:p w:rsidR="00D746F2" w:rsidRPr="00CF5D3B" w:rsidRDefault="00D746F2" w:rsidP="00D746F2">
      <w:pPr>
        <w:rPr>
          <w:rFonts w:eastAsia="Calibri"/>
          <w:lang w:eastAsia="en-US"/>
        </w:rPr>
      </w:pPr>
      <w:r w:rsidRPr="00CF5D3B">
        <w:rPr>
          <w:rFonts w:eastAsia="Calibri" w:cs="Arial"/>
          <w:lang w:eastAsia="en-US"/>
        </w:rPr>
        <w:t>T</w:t>
      </w:r>
      <w:r w:rsidRPr="00CF5D3B">
        <w:rPr>
          <w:rFonts w:eastAsia="Calibri"/>
          <w:lang w:eastAsia="en-US"/>
        </w:rPr>
        <w:t>he Commission, which is chaired by the Secretary of Public Safety and Security, continues to examine a variety of areas including, but not limited to: the prisoner classification systems, mandatory minimum sentences, sentencing guidelines, the provision of cost-effective corrections’ healthcare, the probation system, the parole system, the operations of the sheriffs’ offices, overcrowding in prisons and houses of correction, recidivism rates, the treatment of juveniles within the criminal justice system, the role of mental health and substance abuse issues, and best practices for reintegrating prisoners into the community.</w:t>
      </w:r>
    </w:p>
    <w:p w:rsidR="00D746F2" w:rsidRPr="00CF5D3B" w:rsidRDefault="00D746F2" w:rsidP="00D746F2">
      <w:pPr>
        <w:rPr>
          <w:rFonts w:eastAsia="Calibri"/>
          <w:lang w:eastAsia="en-US"/>
        </w:rPr>
      </w:pPr>
    </w:p>
    <w:p w:rsidR="00D746F2" w:rsidRPr="00CF5D3B" w:rsidRDefault="00D746F2" w:rsidP="00D746F2">
      <w:pPr>
        <w:rPr>
          <w:rFonts w:eastAsia="Calibri"/>
          <w:lang w:eastAsia="en-US"/>
        </w:rPr>
      </w:pPr>
      <w:r w:rsidRPr="00CF5D3B">
        <w:rPr>
          <w:rFonts w:eastAsia="Calibri"/>
          <w:lang w:eastAsia="en-US"/>
        </w:rPr>
        <w:t xml:space="preserve">The Commission supports ongoing work to compile and assess a statewide inventory of public criminal justice programs and practices targeting recidivism reduction.  The census of programs operated by the </w:t>
      </w:r>
      <w:r>
        <w:rPr>
          <w:rFonts w:eastAsia="Calibri"/>
          <w:lang w:eastAsia="en-US"/>
        </w:rPr>
        <w:t>DOC</w:t>
      </w:r>
      <w:r w:rsidRPr="00CF5D3B">
        <w:rPr>
          <w:rFonts w:eastAsia="Calibri"/>
          <w:lang w:eastAsia="en-US"/>
        </w:rPr>
        <w:t xml:space="preserve">, Parole, Probation, Trial Court, County Sheriffs’ Departments, </w:t>
      </w:r>
      <w:r>
        <w:rPr>
          <w:rFonts w:eastAsia="Calibri"/>
          <w:lang w:eastAsia="en-US"/>
        </w:rPr>
        <w:t>and DYS</w:t>
      </w:r>
      <w:r w:rsidRPr="00CF5D3B">
        <w:rPr>
          <w:rFonts w:eastAsia="Calibri"/>
          <w:lang w:eastAsia="en-US"/>
        </w:rPr>
        <w:t xml:space="preserve"> captures program services, capacity, funding levels, populations served, implementation fidelity to proven models, and evidence of effectiveness—nearly 30 data elements in all.  The systematic approach helps to identify evidence-based and promising programs and practices proven by rigorous research to reduce recidivism, a subset of which will be analyzed using a peer reviewed cost-benefit model to determine programs’ long term investment and performance potential. This critical information about programs’ evidence of effectiveness and likely costs, benefits, and impact on recidivism will further inform the Commission’s work.</w:t>
      </w:r>
    </w:p>
    <w:p w:rsidR="00D746F2" w:rsidRPr="00CF5D3B" w:rsidRDefault="00D746F2" w:rsidP="00D746F2">
      <w:pPr>
        <w:autoSpaceDE w:val="0"/>
        <w:autoSpaceDN w:val="0"/>
        <w:adjustRightInd w:val="0"/>
        <w:rPr>
          <w:rFonts w:eastAsia="Times New Roman" w:cs="Arial"/>
          <w:lang w:eastAsia="en-US"/>
        </w:rPr>
      </w:pPr>
    </w:p>
    <w:p w:rsidR="00D746F2" w:rsidRPr="00CF5D3B" w:rsidRDefault="00D746F2" w:rsidP="00D746F2">
      <w:pPr>
        <w:autoSpaceDE w:val="0"/>
        <w:autoSpaceDN w:val="0"/>
        <w:adjustRightInd w:val="0"/>
        <w:rPr>
          <w:rFonts w:eastAsia="Times New Roman" w:cs="Arial"/>
          <w:lang w:eastAsia="en-US"/>
        </w:rPr>
      </w:pPr>
      <w:r w:rsidRPr="00CF5D3B">
        <w:rPr>
          <w:rFonts w:eastAsia="Times New Roman" w:cs="Arial"/>
          <w:lang w:eastAsia="en-US"/>
        </w:rPr>
        <w:t>In addition, members of EOPSS attend regular meetings of the Massachusetts District Attorneys’ Association, Massachusetts Sheriffs’ Association, Massachusetts Chiefs of Police Association, and the Massachusetts Major Cities Police Chiefs’ Association, and the Governor's Council to Address Sexual Assault and Domestic Violence.</w:t>
      </w:r>
    </w:p>
    <w:p w:rsidR="00D746F2" w:rsidRPr="00CF5D3B" w:rsidRDefault="00D746F2" w:rsidP="00D746F2">
      <w:pPr>
        <w:autoSpaceDE w:val="0"/>
        <w:autoSpaceDN w:val="0"/>
        <w:adjustRightInd w:val="0"/>
        <w:ind w:left="360"/>
        <w:rPr>
          <w:rFonts w:eastAsia="Times New Roman" w:cs="Arial"/>
          <w:lang w:eastAsia="en-US"/>
        </w:rPr>
      </w:pPr>
    </w:p>
    <w:p w:rsidR="00D746F2" w:rsidRPr="00CF5D3B" w:rsidRDefault="00D746F2" w:rsidP="00D746F2">
      <w:pPr>
        <w:rPr>
          <w:rFonts w:eastAsia="Calibri"/>
          <w:lang w:eastAsia="en-US"/>
        </w:rPr>
      </w:pPr>
      <w:r w:rsidRPr="00CF5D3B">
        <w:rPr>
          <w:rFonts w:eastAsia="Calibri"/>
          <w:lang w:eastAsia="en-US"/>
        </w:rPr>
        <w:t>Staff also attend ad-hoc meetings with the Committee on Public Counsel Services, American Civil Liberties Union, Massachusetts Bar Association, Boston Bar Association, Neighbor to Neighbor, Boston Worker’s Alliance, Families Against Mandatory Minimum Sentences, MA Community Action Network, Citizens for Safety (Handgun Violence), Black Ministerial Alliance of Greater Boston, the Massachusetts Immigrant and Refugee Advocacy Coalition, Jane Doe, Boston Area Rape Crisis Center, the Commonwealth CORI Coalition, and numerous other community based victim services/reentry providers/social service providers on issues of mutual concern.</w:t>
      </w:r>
    </w:p>
    <w:p w:rsidR="00D746F2" w:rsidRDefault="00D746F2" w:rsidP="00D746F2">
      <w:pPr>
        <w:autoSpaceDE w:val="0"/>
        <w:autoSpaceDN w:val="0"/>
        <w:adjustRightInd w:val="0"/>
        <w:rPr>
          <w:rFonts w:eastAsia="Times New Roman" w:cs="Arial"/>
          <w:lang w:eastAsia="en-US"/>
        </w:rPr>
      </w:pPr>
    </w:p>
    <w:p w:rsidR="003C439C" w:rsidRPr="00CF5D3B" w:rsidRDefault="009039B7" w:rsidP="003C439C">
      <w:pPr>
        <w:autoSpaceDE w:val="0"/>
        <w:autoSpaceDN w:val="0"/>
        <w:adjustRightInd w:val="0"/>
        <w:rPr>
          <w:rFonts w:eastAsia="Times New Roman"/>
          <w:lang w:eastAsia="en-US"/>
        </w:rPr>
      </w:pPr>
      <w:r>
        <w:rPr>
          <w:rFonts w:eastAsia="Times New Roman"/>
          <w:lang w:eastAsia="en-US"/>
        </w:rPr>
        <w:t>OGR</w:t>
      </w:r>
      <w:r w:rsidR="003C439C" w:rsidRPr="00CF5D3B">
        <w:rPr>
          <w:rFonts w:eastAsia="Times New Roman"/>
          <w:lang w:eastAsia="en-US"/>
        </w:rPr>
        <w:t xml:space="preserve"> utilizes outside reviewers from a cross section of criminal justice, victim services, public safety stakeholders, and community-based agencies who read and evaluate proposals for JAG funding and make recommendations to EOPSS regarding awards.</w:t>
      </w:r>
    </w:p>
    <w:p w:rsidR="003C439C" w:rsidRDefault="003C439C" w:rsidP="00D746F2">
      <w:pPr>
        <w:autoSpaceDE w:val="0"/>
        <w:autoSpaceDN w:val="0"/>
        <w:adjustRightInd w:val="0"/>
        <w:rPr>
          <w:rFonts w:eastAsia="Times New Roman" w:cs="Arial"/>
          <w:lang w:eastAsia="en-US"/>
        </w:rPr>
      </w:pPr>
    </w:p>
    <w:p w:rsidR="003C439C" w:rsidRDefault="003C439C" w:rsidP="00D746F2">
      <w:pPr>
        <w:autoSpaceDE w:val="0"/>
        <w:autoSpaceDN w:val="0"/>
        <w:adjustRightInd w:val="0"/>
        <w:rPr>
          <w:rFonts w:eastAsia="Times New Roman" w:cs="Arial"/>
          <w:lang w:eastAsia="en-US"/>
        </w:rPr>
      </w:pPr>
    </w:p>
    <w:p w:rsidR="003C439C" w:rsidRPr="00CF5D3B" w:rsidRDefault="003C439C" w:rsidP="00D746F2">
      <w:pPr>
        <w:autoSpaceDE w:val="0"/>
        <w:autoSpaceDN w:val="0"/>
        <w:adjustRightInd w:val="0"/>
        <w:rPr>
          <w:rFonts w:eastAsia="Times New Roman" w:cs="Arial"/>
          <w:lang w:eastAsia="en-US"/>
        </w:rPr>
      </w:pPr>
    </w:p>
    <w:p w:rsidR="00D746F2" w:rsidRPr="00CF5D3B" w:rsidRDefault="003C439C" w:rsidP="00D746F2">
      <w:pPr>
        <w:autoSpaceDE w:val="0"/>
        <w:autoSpaceDN w:val="0"/>
        <w:adjustRightInd w:val="0"/>
        <w:rPr>
          <w:rFonts w:eastAsia="Times New Roman" w:cs="Arial"/>
          <w:lang w:eastAsia="en-US"/>
        </w:rPr>
      </w:pPr>
      <w:r>
        <w:rPr>
          <w:rFonts w:eastAsia="Times New Roman" w:cs="Arial"/>
          <w:lang w:eastAsia="en-US"/>
        </w:rPr>
        <w:lastRenderedPageBreak/>
        <w:t xml:space="preserve">Furthermore, </w:t>
      </w:r>
      <w:r w:rsidR="00D746F2" w:rsidRPr="00CF5D3B">
        <w:rPr>
          <w:rFonts w:eastAsia="Times New Roman" w:cs="Arial"/>
          <w:lang w:eastAsia="en-US"/>
        </w:rPr>
        <w:t>EOPSS has a number of advisory councils that include these and other groups that provide stakeholder input on policy and resource allocation, including the following:</w:t>
      </w:r>
    </w:p>
    <w:p w:rsidR="00D746F2" w:rsidRPr="00CF5D3B" w:rsidRDefault="00D746F2" w:rsidP="00D746F2">
      <w:pPr>
        <w:autoSpaceDE w:val="0"/>
        <w:autoSpaceDN w:val="0"/>
        <w:adjustRightInd w:val="0"/>
        <w:rPr>
          <w:rFonts w:eastAsia="Times New Roman" w:cs="Arial"/>
          <w:lang w:eastAsia="en-US"/>
        </w:rPr>
      </w:pPr>
    </w:p>
    <w:p w:rsidR="00D746F2" w:rsidRPr="002176BA" w:rsidRDefault="00D746F2" w:rsidP="00D746F2">
      <w:pPr>
        <w:pStyle w:val="ListParagraph"/>
        <w:numPr>
          <w:ilvl w:val="0"/>
          <w:numId w:val="36"/>
        </w:numPr>
        <w:autoSpaceDE w:val="0"/>
        <w:autoSpaceDN w:val="0"/>
        <w:adjustRightInd w:val="0"/>
        <w:rPr>
          <w:rFonts w:eastAsia="Times New Roman" w:cs="Arial"/>
          <w:lang w:eastAsia="en-US"/>
        </w:rPr>
      </w:pPr>
      <w:r w:rsidRPr="002176BA">
        <w:rPr>
          <w:rFonts w:eastAsia="Times New Roman" w:cs="Arial"/>
          <w:lang w:eastAsia="en-US"/>
        </w:rPr>
        <w:t>Forensic Sciences Advisory Board</w:t>
      </w:r>
    </w:p>
    <w:p w:rsidR="00D746F2" w:rsidRPr="002176BA" w:rsidRDefault="00D746F2" w:rsidP="00D746F2">
      <w:pPr>
        <w:pStyle w:val="ListParagraph"/>
        <w:numPr>
          <w:ilvl w:val="0"/>
          <w:numId w:val="36"/>
        </w:numPr>
        <w:autoSpaceDE w:val="0"/>
        <w:autoSpaceDN w:val="0"/>
        <w:adjustRightInd w:val="0"/>
        <w:rPr>
          <w:rFonts w:eastAsia="Times New Roman" w:cs="Arial"/>
          <w:lang w:eastAsia="en-US"/>
        </w:rPr>
      </w:pPr>
      <w:r w:rsidRPr="002176BA">
        <w:rPr>
          <w:rFonts w:eastAsia="Times New Roman" w:cs="Arial"/>
          <w:lang w:eastAsia="en-US"/>
        </w:rPr>
        <w:t>Medico Legal Commission</w:t>
      </w:r>
    </w:p>
    <w:p w:rsidR="00D746F2" w:rsidRPr="002176BA" w:rsidRDefault="00D746F2" w:rsidP="00D746F2">
      <w:pPr>
        <w:pStyle w:val="ListParagraph"/>
        <w:numPr>
          <w:ilvl w:val="0"/>
          <w:numId w:val="36"/>
        </w:numPr>
        <w:autoSpaceDE w:val="0"/>
        <w:autoSpaceDN w:val="0"/>
        <w:adjustRightInd w:val="0"/>
        <w:rPr>
          <w:rFonts w:eastAsia="Times New Roman" w:cs="Arial"/>
          <w:lang w:eastAsia="en-US"/>
        </w:rPr>
      </w:pPr>
      <w:r w:rsidRPr="002176BA">
        <w:rPr>
          <w:rFonts w:eastAsia="Times New Roman" w:cs="Arial"/>
          <w:lang w:eastAsia="en-US"/>
        </w:rPr>
        <w:t>Criminal Justice Information Services</w:t>
      </w:r>
    </w:p>
    <w:p w:rsidR="00D746F2" w:rsidRPr="002176BA" w:rsidRDefault="00D746F2" w:rsidP="00D746F2">
      <w:pPr>
        <w:pStyle w:val="ListParagraph"/>
        <w:numPr>
          <w:ilvl w:val="0"/>
          <w:numId w:val="36"/>
        </w:numPr>
        <w:autoSpaceDE w:val="0"/>
        <w:autoSpaceDN w:val="0"/>
        <w:adjustRightInd w:val="0"/>
        <w:rPr>
          <w:rFonts w:eastAsia="Times New Roman" w:cs="Arial"/>
          <w:lang w:eastAsia="en-US"/>
        </w:rPr>
      </w:pPr>
      <w:r w:rsidRPr="002176BA">
        <w:rPr>
          <w:rFonts w:eastAsia="Times New Roman" w:cs="Arial"/>
          <w:lang w:eastAsia="en-US"/>
        </w:rPr>
        <w:t>Juvenile Justice Advisory Committee</w:t>
      </w:r>
    </w:p>
    <w:p w:rsidR="00D746F2" w:rsidRPr="002176BA" w:rsidRDefault="00D746F2" w:rsidP="00D746F2">
      <w:pPr>
        <w:pStyle w:val="ListParagraph"/>
        <w:numPr>
          <w:ilvl w:val="0"/>
          <w:numId w:val="36"/>
        </w:numPr>
        <w:autoSpaceDE w:val="0"/>
        <w:autoSpaceDN w:val="0"/>
        <w:adjustRightInd w:val="0"/>
        <w:rPr>
          <w:rFonts w:eastAsia="Times New Roman" w:cs="Arial"/>
          <w:lang w:eastAsia="en-US"/>
        </w:rPr>
      </w:pPr>
      <w:r w:rsidRPr="002176BA">
        <w:rPr>
          <w:rFonts w:eastAsia="Times New Roman" w:cs="Arial"/>
          <w:lang w:eastAsia="en-US"/>
        </w:rPr>
        <w:t>Municipal Police Training Committee</w:t>
      </w:r>
    </w:p>
    <w:p w:rsidR="00D746F2" w:rsidRPr="002176BA" w:rsidRDefault="00D746F2" w:rsidP="00D746F2">
      <w:pPr>
        <w:pStyle w:val="ListParagraph"/>
        <w:numPr>
          <w:ilvl w:val="0"/>
          <w:numId w:val="36"/>
        </w:numPr>
        <w:autoSpaceDE w:val="0"/>
        <w:autoSpaceDN w:val="0"/>
        <w:adjustRightInd w:val="0"/>
        <w:rPr>
          <w:rFonts w:eastAsia="Times New Roman" w:cs="Arial"/>
          <w:lang w:eastAsia="en-US"/>
        </w:rPr>
      </w:pPr>
      <w:r w:rsidRPr="002176BA">
        <w:rPr>
          <w:rFonts w:eastAsia="Times New Roman" w:cs="Arial"/>
          <w:lang w:eastAsia="en-US"/>
        </w:rPr>
        <w:t xml:space="preserve">State 911 Commission </w:t>
      </w:r>
    </w:p>
    <w:p w:rsidR="001C6BE2" w:rsidRDefault="00D746F2" w:rsidP="003C439C">
      <w:pPr>
        <w:pStyle w:val="ListParagraph"/>
        <w:numPr>
          <w:ilvl w:val="0"/>
          <w:numId w:val="36"/>
        </w:numPr>
        <w:rPr>
          <w:rFonts w:eastAsia="Times New Roman" w:cs="Arial"/>
          <w:lang w:eastAsia="en-US"/>
        </w:rPr>
      </w:pPr>
      <w:r w:rsidRPr="002176BA">
        <w:rPr>
          <w:rFonts w:eastAsia="Times New Roman" w:cs="Arial"/>
          <w:lang w:eastAsia="en-US"/>
        </w:rPr>
        <w:t>Regional Homeland Security Councils</w:t>
      </w:r>
    </w:p>
    <w:p w:rsidR="00392158" w:rsidRDefault="00392158" w:rsidP="00392158">
      <w:pPr>
        <w:rPr>
          <w:rFonts w:eastAsia="Times New Roman" w:cs="Arial"/>
          <w:lang w:eastAsia="en-US"/>
        </w:rPr>
      </w:pPr>
    </w:p>
    <w:p w:rsidR="00392158" w:rsidRDefault="009039B7" w:rsidP="00392158">
      <w:pPr>
        <w:rPr>
          <w:rFonts w:eastAsia="Times New Roman" w:cs="Arial"/>
          <w:lang w:eastAsia="en-US"/>
        </w:rPr>
      </w:pPr>
      <w:r>
        <w:rPr>
          <w:rFonts w:eastAsia="Times New Roman" w:cs="Arial"/>
          <w:lang w:eastAsia="en-US"/>
        </w:rPr>
        <w:t>EOPSS/</w:t>
      </w:r>
      <w:r w:rsidR="00392158">
        <w:rPr>
          <w:rFonts w:eastAsia="Times New Roman" w:cs="Arial"/>
          <w:lang w:eastAsia="en-US"/>
        </w:rPr>
        <w:t>OGR will also continue to fund t</w:t>
      </w:r>
      <w:r w:rsidR="00392158" w:rsidRPr="00392158">
        <w:rPr>
          <w:rFonts w:eastAsiaTheme="minorHAnsi"/>
          <w:lang w:eastAsia="en-US"/>
        </w:rPr>
        <w:t>he Governor’s Council to Address Sexual Assault and Domestic Violence</w:t>
      </w:r>
      <w:r w:rsidR="00392158">
        <w:rPr>
          <w:rFonts w:eastAsiaTheme="minorHAnsi"/>
          <w:lang w:eastAsia="en-US"/>
        </w:rPr>
        <w:t xml:space="preserve"> and the </w:t>
      </w:r>
      <w:r w:rsidR="00392158" w:rsidRPr="00392158">
        <w:rPr>
          <w:rFonts w:eastAsiaTheme="minorHAnsi"/>
          <w:lang w:eastAsia="en-US"/>
        </w:rPr>
        <w:t>Research and Policy Analysis Division</w:t>
      </w:r>
      <w:r w:rsidR="00392158">
        <w:rPr>
          <w:rFonts w:eastAsiaTheme="minorHAnsi"/>
          <w:lang w:eastAsia="en-US"/>
        </w:rPr>
        <w:t xml:space="preserve"> (RPAD).</w:t>
      </w:r>
      <w:r w:rsidR="00392158">
        <w:rPr>
          <w:rFonts w:eastAsia="Times New Roman" w:cs="Arial"/>
          <w:lang w:eastAsia="en-US"/>
        </w:rPr>
        <w:t xml:space="preserve"> Both Units are funded directly with Byrne JAG funds as they are programmatic in scope, and not part of the 10% administrative costs.</w:t>
      </w:r>
      <w:r w:rsidR="008B4F88">
        <w:rPr>
          <w:rFonts w:eastAsia="Times New Roman" w:cs="Arial"/>
          <w:lang w:eastAsia="en-US"/>
        </w:rPr>
        <w:t xml:space="preserve"> </w:t>
      </w:r>
    </w:p>
    <w:p w:rsidR="00392158" w:rsidRDefault="00392158" w:rsidP="00392158">
      <w:pPr>
        <w:rPr>
          <w:rFonts w:eastAsia="Times New Roman" w:cs="Arial"/>
          <w:lang w:eastAsia="en-US"/>
        </w:rPr>
      </w:pPr>
    </w:p>
    <w:p w:rsidR="00392158" w:rsidRPr="00392158" w:rsidRDefault="00392158" w:rsidP="00392158">
      <w:pPr>
        <w:rPr>
          <w:rFonts w:eastAsia="Times New Roman" w:cs="Arial"/>
          <w:lang w:eastAsia="en-US"/>
        </w:rPr>
      </w:pPr>
      <w:r>
        <w:rPr>
          <w:rFonts w:eastAsiaTheme="minorHAnsi"/>
          <w:lang w:eastAsia="en-US"/>
        </w:rPr>
        <w:t>T</w:t>
      </w:r>
      <w:r w:rsidRPr="00392158">
        <w:rPr>
          <w:rFonts w:eastAsiaTheme="minorHAnsi"/>
          <w:lang w:eastAsia="en-US"/>
        </w:rPr>
        <w:t xml:space="preserve">he Governor’s Council to Address Sexual Assault </w:t>
      </w:r>
      <w:r>
        <w:rPr>
          <w:rFonts w:eastAsiaTheme="minorHAnsi"/>
          <w:lang w:eastAsia="en-US"/>
        </w:rPr>
        <w:t>and Domestic Violence (Council) consists of an</w:t>
      </w:r>
      <w:r w:rsidRPr="00392158">
        <w:rPr>
          <w:rFonts w:eastAsiaTheme="minorHAnsi"/>
          <w:lang w:eastAsia="en-US"/>
        </w:rPr>
        <w:t xml:space="preserve"> Executive Director </w:t>
      </w:r>
      <w:r>
        <w:rPr>
          <w:rFonts w:eastAsiaTheme="minorHAnsi"/>
          <w:lang w:eastAsia="en-US"/>
        </w:rPr>
        <w:t xml:space="preserve">who </w:t>
      </w:r>
      <w:r w:rsidRPr="00392158">
        <w:rPr>
          <w:rFonts w:eastAsiaTheme="minorHAnsi"/>
          <w:lang w:eastAsia="en-US"/>
        </w:rPr>
        <w:t>is responsible for coordinating the activities of the Council, including implementation of various components of Massachusetts General Law Ch. 260, Domestic Violence legislation and reviewing programs aimed at reducing sexual assault and domestic violence in the Commonwealth.  This project addresses priority no. 3 as outlined in Massachusetts’ FY 2018 JAG grant application.</w:t>
      </w:r>
    </w:p>
    <w:p w:rsidR="00392158" w:rsidRPr="00392158" w:rsidRDefault="00392158" w:rsidP="00392158">
      <w:pPr>
        <w:spacing w:after="200" w:line="276" w:lineRule="auto"/>
        <w:rPr>
          <w:rFonts w:eastAsiaTheme="minorHAnsi"/>
          <w:lang w:eastAsia="en-US"/>
        </w:rPr>
      </w:pPr>
      <w:r w:rsidRPr="00392158">
        <w:rPr>
          <w:rFonts w:eastAsiaTheme="minorHAnsi"/>
          <w:lang w:eastAsia="en-US"/>
        </w:rPr>
        <w:t xml:space="preserve">                                                                                                                                                                                                                                                             </w:t>
      </w:r>
      <w:r w:rsidR="009039B7">
        <w:rPr>
          <w:rFonts w:eastAsiaTheme="minorHAnsi"/>
          <w:lang w:eastAsia="en-US"/>
        </w:rPr>
        <w:t xml:space="preserve">                          </w:t>
      </w:r>
      <w:r w:rsidR="005D6923">
        <w:rPr>
          <w:rFonts w:eastAsiaTheme="minorHAnsi"/>
          <w:lang w:eastAsia="en-US"/>
        </w:rPr>
        <w:t xml:space="preserve">JAG </w:t>
      </w:r>
      <w:r w:rsidRPr="00392158">
        <w:rPr>
          <w:rFonts w:eastAsiaTheme="minorHAnsi"/>
          <w:lang w:eastAsia="en-US"/>
        </w:rPr>
        <w:t>program fund</w:t>
      </w:r>
      <w:r>
        <w:rPr>
          <w:rFonts w:eastAsiaTheme="minorHAnsi"/>
          <w:lang w:eastAsia="en-US"/>
        </w:rPr>
        <w:t xml:space="preserve">s support </w:t>
      </w:r>
      <w:r w:rsidRPr="00392158">
        <w:rPr>
          <w:rFonts w:eastAsiaTheme="minorHAnsi"/>
          <w:lang w:eastAsia="en-US"/>
        </w:rPr>
        <w:t xml:space="preserve">the </w:t>
      </w:r>
      <w:r w:rsidR="005D6923">
        <w:rPr>
          <w:rFonts w:eastAsiaTheme="minorHAnsi"/>
          <w:lang w:eastAsia="en-US"/>
        </w:rPr>
        <w:t>staff within RPAD</w:t>
      </w:r>
      <w:r w:rsidRPr="00392158">
        <w:rPr>
          <w:rFonts w:eastAsiaTheme="minorHAnsi"/>
          <w:lang w:eastAsia="en-US"/>
        </w:rPr>
        <w:t xml:space="preserve"> to conduct research, planning, data collection, and evaluation of criminal justice policies and programs targeting prio</w:t>
      </w:r>
      <w:r w:rsidR="009039B7">
        <w:rPr>
          <w:rFonts w:eastAsiaTheme="minorHAnsi"/>
          <w:lang w:eastAsia="en-US"/>
        </w:rPr>
        <w:t>rity areas as identified by the EOPSS and JAG</w:t>
      </w:r>
      <w:r w:rsidRPr="00392158">
        <w:rPr>
          <w:rFonts w:eastAsiaTheme="minorHAnsi"/>
          <w:lang w:eastAsia="en-US"/>
        </w:rPr>
        <w:t xml:space="preserve"> to include: gang and youth violence, juvenile justice, substance abuse and drug-related crime, crime prevention, crime trends, prisoner reentry, recidivism, domestic violence and sexual assault, criminal justice technology, evidence-based programs, and performance management. </w:t>
      </w:r>
    </w:p>
    <w:p w:rsidR="00D746F2" w:rsidRPr="00CF5D3B" w:rsidRDefault="00D746F2" w:rsidP="00D746F2">
      <w:pPr>
        <w:rPr>
          <w:rFonts w:eastAsia="Calibri"/>
          <w:lang w:eastAsia="en-US"/>
        </w:rPr>
      </w:pPr>
    </w:p>
    <w:p w:rsidR="00D746F2" w:rsidRPr="00CF5D3B" w:rsidRDefault="00D746F2" w:rsidP="00D746F2">
      <w:pPr>
        <w:keepNext/>
        <w:outlineLvl w:val="0"/>
        <w:rPr>
          <w:rFonts w:eastAsia="Times New Roman"/>
          <w:b/>
          <w:lang w:eastAsia="en-US"/>
        </w:rPr>
      </w:pPr>
      <w:r w:rsidRPr="00CF5D3B">
        <w:rPr>
          <w:rFonts w:eastAsia="Times New Roman"/>
          <w:b/>
          <w:lang w:eastAsia="en-US"/>
        </w:rPr>
        <w:t xml:space="preserve">C. </w:t>
      </w:r>
      <w:r w:rsidR="00D135C4">
        <w:rPr>
          <w:rFonts w:eastAsia="Times New Roman"/>
          <w:b/>
          <w:lang w:eastAsia="en-US"/>
        </w:rPr>
        <w:t>Capabilities and Competencies</w:t>
      </w:r>
    </w:p>
    <w:p w:rsidR="00D746F2" w:rsidRPr="00CF5D3B" w:rsidRDefault="00D746F2" w:rsidP="00D746F2">
      <w:pPr>
        <w:rPr>
          <w:rFonts w:eastAsia="Times New Roman"/>
          <w:lang w:eastAsia="en-US"/>
        </w:rPr>
      </w:pPr>
    </w:p>
    <w:p w:rsidR="00D746F2" w:rsidRPr="00CF5D3B" w:rsidRDefault="00D746F2" w:rsidP="00D746F2">
      <w:pPr>
        <w:rPr>
          <w:rFonts w:eastAsia="Times New Roman"/>
          <w:lang w:eastAsia="en-US"/>
        </w:rPr>
      </w:pPr>
      <w:r w:rsidRPr="00CF5D3B">
        <w:rPr>
          <w:rFonts w:eastAsia="Times New Roman"/>
          <w:lang w:eastAsia="en-US"/>
        </w:rPr>
        <w:t>EOPSS</w:t>
      </w:r>
      <w:r w:rsidR="009039B7">
        <w:rPr>
          <w:rFonts w:eastAsia="Times New Roman"/>
          <w:lang w:eastAsia="en-US"/>
        </w:rPr>
        <w:t>/OGR</w:t>
      </w:r>
      <w:r w:rsidRPr="00CF5D3B">
        <w:rPr>
          <w:rFonts w:eastAsia="Times New Roman"/>
          <w:lang w:eastAsia="en-US"/>
        </w:rPr>
        <w:t xml:space="preserve"> is engaged in numerous activities that promote multi-agency collaboration and program coordination relative to the JAG Program.  These collaborations range from partnerships with other federal, state, and local criminal justice agencies and coordination with state and federal grant programs.  The following are a few examples of ongoing collaborations in which EOPSS participates: Special Commission to Study the Criminal Justice System; Pediatric Sexual Assault Nurse Examiner (Pedi-SANE) Advisory Committee; Governor’s Council to Address Sexual and Domestic Violence; Violence Against Women Act Advisory Committee; Governor’s Juvenile Justice Advisory Committee (OJJDP State Advisory Group).</w:t>
      </w:r>
    </w:p>
    <w:p w:rsidR="00D746F2" w:rsidRPr="00CF5D3B" w:rsidRDefault="00D746F2" w:rsidP="00D746F2">
      <w:pPr>
        <w:rPr>
          <w:rFonts w:eastAsia="Times New Roman"/>
          <w:lang w:eastAsia="en-US"/>
        </w:rPr>
      </w:pPr>
    </w:p>
    <w:p w:rsidR="00D746F2" w:rsidRPr="00CF5D3B" w:rsidRDefault="00D746F2" w:rsidP="00D746F2">
      <w:pPr>
        <w:rPr>
          <w:rFonts w:eastAsia="Times New Roman"/>
          <w:szCs w:val="20"/>
          <w:lang w:eastAsia="en-US"/>
        </w:rPr>
      </w:pPr>
      <w:r w:rsidRPr="00CF5D3B">
        <w:rPr>
          <w:rFonts w:eastAsia="Times New Roman"/>
          <w:snapToGrid w:val="0"/>
          <w:lang w:eastAsia="en-US"/>
        </w:rPr>
        <w:t xml:space="preserve">By fostering collaboration and program coordination, and through a combination of </w:t>
      </w:r>
      <w:r w:rsidR="009039B7">
        <w:rPr>
          <w:rFonts w:eastAsia="Times New Roman"/>
          <w:snapToGrid w:val="0"/>
          <w:lang w:eastAsia="en-US"/>
        </w:rPr>
        <w:t>state and federal funding, OGR</w:t>
      </w:r>
      <w:r w:rsidRPr="00CF5D3B">
        <w:rPr>
          <w:rFonts w:eastAsia="Times New Roman"/>
          <w:snapToGrid w:val="0"/>
          <w:lang w:eastAsia="en-US"/>
        </w:rPr>
        <w:t xml:space="preserve"> provides a comprehensive portfolio of grant programs for which public and private agencies and municipalities may apply.  </w:t>
      </w:r>
      <w:r w:rsidRPr="00CF5D3B">
        <w:rPr>
          <w:rFonts w:eastAsia="Times New Roman"/>
          <w:snapToGrid w:val="0"/>
          <w:szCs w:val="20"/>
          <w:lang w:eastAsia="en-US"/>
        </w:rPr>
        <w:t xml:space="preserve">A primary example of this is the </w:t>
      </w:r>
      <w:r w:rsidRPr="00CF5D3B">
        <w:rPr>
          <w:rFonts w:eastAsia="Times New Roman"/>
          <w:snapToGrid w:val="0"/>
          <w:szCs w:val="20"/>
          <w:lang w:eastAsia="en-US"/>
        </w:rPr>
        <w:lastRenderedPageBreak/>
        <w:t xml:space="preserve">legislatively mandated and funded anti-gang, youth violence grant, Charles E. Shannon Jr. Community Safety Initiative, which has awarded approximately $61 million to local communities since state fiscal year 2009.  Thirteen million was appropriated in state fiscal year 2009; $5 million in 2010, $7 million in 2011, 2012, 2013, and 2014; 8.2 million in 2015, and $7 million for state fiscal 2016.  </w:t>
      </w:r>
      <w:r w:rsidRPr="00CF5D3B">
        <w:rPr>
          <w:rFonts w:eastAsia="Times New Roman"/>
          <w:szCs w:val="20"/>
          <w:lang w:eastAsia="en-US"/>
        </w:rPr>
        <w:t xml:space="preserve">In order to combat youth violence, </w:t>
      </w:r>
      <w:r w:rsidRPr="00CF5D3B">
        <w:rPr>
          <w:rFonts w:eastAsia="Times New Roman"/>
          <w:snapToGrid w:val="0"/>
          <w:szCs w:val="20"/>
          <w:lang w:eastAsia="en-US"/>
        </w:rPr>
        <w:t xml:space="preserve">the grant requires collaborative relationships be developed and strengthened among police, prosecutors, human service agencies, and community service providers. </w:t>
      </w:r>
    </w:p>
    <w:p w:rsidR="00D746F2" w:rsidRDefault="00D746F2" w:rsidP="00D746F2">
      <w:pPr>
        <w:rPr>
          <w:rFonts w:eastAsia="Times New Roman"/>
          <w:lang w:eastAsia="en-US"/>
        </w:rPr>
      </w:pPr>
    </w:p>
    <w:p w:rsidR="00D746F2" w:rsidRPr="00CF5D3B" w:rsidRDefault="00D746F2" w:rsidP="00D746F2">
      <w:pPr>
        <w:rPr>
          <w:rFonts w:eastAsia="Times New Roman"/>
          <w:lang w:eastAsia="en-US"/>
        </w:rPr>
      </w:pPr>
      <w:r w:rsidRPr="00CF5D3B">
        <w:rPr>
          <w:rFonts w:eastAsia="Times New Roman"/>
          <w:b/>
          <w:lang w:eastAsia="en-US"/>
        </w:rPr>
        <w:t>D. Collecting and Submitting Performance Measurement Data</w:t>
      </w:r>
    </w:p>
    <w:p w:rsidR="00D746F2" w:rsidRPr="00CF5D3B" w:rsidRDefault="00D746F2" w:rsidP="00D746F2">
      <w:pPr>
        <w:rPr>
          <w:rFonts w:eastAsia="Times New Roman"/>
          <w:lang w:eastAsia="en-US"/>
        </w:rPr>
      </w:pPr>
    </w:p>
    <w:p w:rsidR="00D746F2" w:rsidRPr="00CF5D3B" w:rsidRDefault="00D746F2" w:rsidP="00D746F2">
      <w:pPr>
        <w:rPr>
          <w:rFonts w:eastAsia="Times New Roman"/>
          <w:lang w:eastAsia="en-US"/>
        </w:rPr>
      </w:pPr>
      <w:r w:rsidRPr="00CF5D3B">
        <w:rPr>
          <w:rFonts w:eastAsia="Times New Roman"/>
          <w:lang w:eastAsia="en-US"/>
        </w:rPr>
        <w:t xml:space="preserve">Through effective monitoring and evaluation, the JAG Program in Massachusetts aims to support both proven and innovative public safety projects to protect its citizens and improve the quality of life in the Commonwealth.  Sub-recipients are required to report quarterly on programmatic progress and financial expenditures.  In addition, the required performance metrics are reported quarterly by sub-recipients using the BJA Performance Measurement Tool.  </w:t>
      </w:r>
    </w:p>
    <w:p w:rsidR="00D746F2" w:rsidRPr="00CF5D3B" w:rsidRDefault="00D746F2" w:rsidP="00D746F2">
      <w:pPr>
        <w:rPr>
          <w:rFonts w:eastAsia="Times New Roman" w:cs="Lucida Sans"/>
          <w:lang w:eastAsia="en-US"/>
        </w:rPr>
      </w:pPr>
    </w:p>
    <w:p w:rsidR="00D746F2" w:rsidRPr="00CF5D3B" w:rsidRDefault="00D746F2" w:rsidP="00D746F2">
      <w:pPr>
        <w:rPr>
          <w:rFonts w:eastAsia="Times New Roman" w:cs="Lucida Sans"/>
          <w:lang w:eastAsia="en-US"/>
        </w:rPr>
      </w:pPr>
      <w:r w:rsidRPr="00CF5D3B">
        <w:rPr>
          <w:rFonts w:eastAsia="Times New Roman" w:cs="Lucida Sans"/>
          <w:lang w:eastAsia="en-US"/>
        </w:rPr>
        <w:t xml:space="preserve">The goal of the JAG Quarterly Progress Report is </w:t>
      </w:r>
      <w:bookmarkStart w:id="1" w:name="OLE_LINK1"/>
      <w:r w:rsidRPr="00CF5D3B">
        <w:rPr>
          <w:rFonts w:eastAsia="Times New Roman" w:cs="Lucida Sans"/>
          <w:lang w:eastAsia="en-US"/>
        </w:rPr>
        <w:t>to understand the progress made by each organization receiving funding and to maximize the potential of JAG funded projects.</w:t>
      </w:r>
      <w:bookmarkEnd w:id="1"/>
      <w:r w:rsidRPr="00CF5D3B">
        <w:rPr>
          <w:rFonts w:eastAsia="Times New Roman" w:cs="Lucida Sans"/>
          <w:lang w:eastAsia="en-US"/>
        </w:rPr>
        <w:t xml:space="preserve">  The following definitions of Goals, Objectives, Activities, Collaborations, Performance Measures, Implementation Accomplishments and Successes, and Implementation Challenges are designed to help sub-recipients as they complete the following information on their JAG project.</w:t>
      </w:r>
    </w:p>
    <w:p w:rsidR="008208FF" w:rsidRDefault="008208FF" w:rsidP="00D746F2">
      <w:pPr>
        <w:tabs>
          <w:tab w:val="left" w:pos="18000"/>
        </w:tabs>
        <w:rPr>
          <w:rFonts w:eastAsia="Times New Roman" w:cs="Lucida Sans"/>
          <w:b/>
          <w:bCs/>
          <w:lang w:eastAsia="en-US"/>
        </w:rPr>
      </w:pPr>
    </w:p>
    <w:p w:rsidR="00D746F2" w:rsidRPr="00CF5D3B" w:rsidRDefault="00D746F2" w:rsidP="00D746F2">
      <w:pPr>
        <w:tabs>
          <w:tab w:val="left" w:pos="18000"/>
        </w:tabs>
        <w:rPr>
          <w:rFonts w:eastAsia="Times New Roman" w:cs="Lucida Sans"/>
          <w:lang w:eastAsia="en-US"/>
        </w:rPr>
      </w:pPr>
      <w:r w:rsidRPr="00CF5D3B">
        <w:rPr>
          <w:rFonts w:eastAsia="Times New Roman" w:cs="Lucida Sans"/>
          <w:b/>
          <w:bCs/>
          <w:lang w:eastAsia="en-US"/>
        </w:rPr>
        <w:t>Goals</w:t>
      </w:r>
      <w:r w:rsidRPr="00CF5D3B">
        <w:rPr>
          <w:rFonts w:eastAsia="Times New Roman" w:cs="Lucida Sans"/>
          <w:lang w:eastAsia="en-US"/>
        </w:rPr>
        <w:t xml:space="preserve">: statements of project intensions and desired outcomes.  </w:t>
      </w:r>
    </w:p>
    <w:p w:rsidR="00D746F2" w:rsidRPr="00CF5D3B" w:rsidRDefault="00D746F2" w:rsidP="00D746F2">
      <w:pPr>
        <w:ind w:firstLine="720"/>
        <w:rPr>
          <w:rFonts w:eastAsia="Times New Roman" w:cs="Lucida Sans"/>
          <w:lang w:eastAsia="en-US"/>
        </w:rPr>
      </w:pPr>
    </w:p>
    <w:p w:rsidR="00D746F2" w:rsidRPr="00CF5D3B" w:rsidRDefault="00D746F2" w:rsidP="00D746F2">
      <w:pPr>
        <w:rPr>
          <w:rFonts w:eastAsia="Times New Roman" w:cs="Lucida Sans"/>
          <w:i/>
          <w:lang w:eastAsia="en-US"/>
        </w:rPr>
      </w:pPr>
      <w:r w:rsidRPr="00CF5D3B">
        <w:rPr>
          <w:rFonts w:eastAsia="Times New Roman" w:cs="Lucida Sans"/>
          <w:b/>
          <w:bCs/>
          <w:lang w:eastAsia="en-US"/>
        </w:rPr>
        <w:t>Objectives</w:t>
      </w:r>
      <w:r w:rsidRPr="00CF5D3B">
        <w:rPr>
          <w:rFonts w:eastAsia="Times New Roman" w:cs="Lucida Sans"/>
          <w:lang w:eastAsia="en-US"/>
        </w:rPr>
        <w:t xml:space="preserve">: the intermediate effects to be achieved by the program in pursuing the goals. They are the steps that need to be taken to reach a goal. There are usually several objectives for any single goal. Objectives should be specific, measurable, action-oriented, realistic, and time-specific.  </w:t>
      </w:r>
    </w:p>
    <w:p w:rsidR="00D746F2" w:rsidRPr="00CF5D3B" w:rsidRDefault="00D746F2" w:rsidP="00D746F2">
      <w:pPr>
        <w:rPr>
          <w:rFonts w:eastAsia="Times New Roman" w:cs="Lucida Sans"/>
          <w:lang w:eastAsia="en-US"/>
        </w:rPr>
      </w:pPr>
    </w:p>
    <w:p w:rsidR="00D746F2" w:rsidRPr="00CF5D3B" w:rsidRDefault="00D746F2" w:rsidP="00D746F2">
      <w:pPr>
        <w:rPr>
          <w:rFonts w:eastAsia="Times New Roman" w:cs="Lucida Sans"/>
          <w:lang w:eastAsia="en-US"/>
        </w:rPr>
      </w:pPr>
      <w:r w:rsidRPr="00CF5D3B">
        <w:rPr>
          <w:rFonts w:eastAsia="Times New Roman" w:cs="Lucida Sans"/>
          <w:b/>
          <w:bCs/>
          <w:lang w:eastAsia="en-US"/>
        </w:rPr>
        <w:t>Activities</w:t>
      </w:r>
      <w:r w:rsidRPr="00CF5D3B">
        <w:rPr>
          <w:rFonts w:eastAsia="Times New Roman" w:cs="Lucida Sans"/>
          <w:lang w:eastAsia="en-US"/>
        </w:rPr>
        <w:t xml:space="preserve">: action-oriented operations. They are the steps through which objectives are achieved and programs are carried out. Multiple activities typically are required to accomplish a single objective. </w:t>
      </w:r>
    </w:p>
    <w:p w:rsidR="00D746F2" w:rsidRPr="00CF5D3B" w:rsidRDefault="00D746F2" w:rsidP="00D746F2">
      <w:pPr>
        <w:rPr>
          <w:rFonts w:eastAsia="Times New Roman" w:cs="Lucida Sans"/>
          <w:lang w:eastAsia="en-US"/>
        </w:rPr>
      </w:pPr>
    </w:p>
    <w:p w:rsidR="00D746F2" w:rsidRPr="00CF5D3B" w:rsidRDefault="00D746F2" w:rsidP="00D746F2">
      <w:pPr>
        <w:rPr>
          <w:rFonts w:eastAsia="Times New Roman" w:cs="Lucida Sans"/>
          <w:lang w:eastAsia="en-US"/>
        </w:rPr>
      </w:pPr>
      <w:r w:rsidRPr="00CF5D3B">
        <w:rPr>
          <w:rFonts w:eastAsia="Times New Roman" w:cs="Lucida Sans"/>
          <w:b/>
          <w:lang w:eastAsia="en-US"/>
        </w:rPr>
        <w:t xml:space="preserve">Collaborations: </w:t>
      </w:r>
      <w:r w:rsidRPr="00CF5D3B">
        <w:rPr>
          <w:rFonts w:eastAsia="Times New Roman" w:cs="Lucida Sans"/>
          <w:lang w:eastAsia="en-US"/>
        </w:rPr>
        <w:t xml:space="preserve">describes all organizations and entities a sub-grantee will be in contact with or have formed partnerships with that will assist in meeting goals and objectives. </w:t>
      </w:r>
    </w:p>
    <w:p w:rsidR="00D746F2" w:rsidRPr="00CF5D3B" w:rsidRDefault="00D746F2" w:rsidP="00D746F2">
      <w:pPr>
        <w:rPr>
          <w:rFonts w:eastAsia="Times New Roman" w:cs="Lucida Sans"/>
          <w:lang w:eastAsia="en-US"/>
        </w:rPr>
      </w:pPr>
    </w:p>
    <w:p w:rsidR="00D746F2" w:rsidRPr="00CF5D3B" w:rsidRDefault="00D746F2" w:rsidP="00D746F2">
      <w:pPr>
        <w:rPr>
          <w:rFonts w:eastAsia="Times New Roman" w:cs="Lucida Sans"/>
          <w:lang w:eastAsia="en-US"/>
        </w:rPr>
      </w:pPr>
      <w:r w:rsidRPr="00CF5D3B">
        <w:rPr>
          <w:rFonts w:eastAsia="Times New Roman" w:cs="Lucida Sans"/>
          <w:b/>
          <w:lang w:eastAsia="en-US"/>
        </w:rPr>
        <w:t>Performance Measures</w:t>
      </w:r>
      <w:r w:rsidRPr="00CF5D3B">
        <w:rPr>
          <w:rFonts w:eastAsia="Times New Roman" w:cs="Lucida Sans"/>
          <w:lang w:eastAsia="en-US"/>
        </w:rPr>
        <w:t xml:space="preserve">: explicit </w:t>
      </w:r>
      <w:r w:rsidRPr="00CF5D3B">
        <w:rPr>
          <w:rFonts w:eastAsia="Times New Roman" w:cs="Lucida Sans"/>
          <w:i/>
          <w:lang w:eastAsia="en-US"/>
        </w:rPr>
        <w:t>quantitative</w:t>
      </w:r>
      <w:r w:rsidRPr="00CF5D3B">
        <w:rPr>
          <w:rFonts w:eastAsia="Times New Roman" w:cs="Lucida Sans"/>
          <w:lang w:eastAsia="en-US"/>
        </w:rPr>
        <w:t xml:space="preserve"> measures that indicate to what extent project goals are being met.  Each of the goals will require at least one performance measure.  Sub-recipients will provide dates and numbers whenever possible. </w:t>
      </w:r>
    </w:p>
    <w:p w:rsidR="00D746F2" w:rsidRPr="00CF5D3B" w:rsidRDefault="00D746F2" w:rsidP="00D746F2">
      <w:pPr>
        <w:rPr>
          <w:rFonts w:eastAsia="Times New Roman" w:cs="Lucida Sans"/>
          <w:lang w:eastAsia="en-US"/>
        </w:rPr>
      </w:pPr>
    </w:p>
    <w:p w:rsidR="00D746F2" w:rsidRPr="00CF5D3B" w:rsidRDefault="00D746F2" w:rsidP="00D746F2">
      <w:pPr>
        <w:rPr>
          <w:rFonts w:eastAsia="Times New Roman" w:cs="Lucida Sans"/>
          <w:lang w:eastAsia="en-US"/>
        </w:rPr>
      </w:pPr>
      <w:r w:rsidRPr="00CF5D3B">
        <w:rPr>
          <w:rFonts w:eastAsia="Times New Roman" w:cs="Lucida Sans"/>
          <w:b/>
          <w:lang w:eastAsia="en-US"/>
        </w:rPr>
        <w:t xml:space="preserve">Implementation Accomplishments and Successes: </w:t>
      </w:r>
      <w:r w:rsidRPr="00CF5D3B">
        <w:rPr>
          <w:rFonts w:eastAsia="Times New Roman" w:cs="Lucida Sans"/>
          <w:lang w:eastAsia="en-US"/>
        </w:rPr>
        <w:t xml:space="preserve">accomplishments and successes that may or may not be contained in the performance measure data spreadsheet. </w:t>
      </w:r>
    </w:p>
    <w:p w:rsidR="00D746F2" w:rsidRPr="00CF5D3B" w:rsidRDefault="00D746F2" w:rsidP="00D746F2">
      <w:pPr>
        <w:ind w:right="576"/>
        <w:rPr>
          <w:rFonts w:eastAsia="Times New Roman" w:cs="Lucida Sans"/>
          <w:lang w:eastAsia="en-US"/>
        </w:rPr>
      </w:pPr>
    </w:p>
    <w:p w:rsidR="00D746F2" w:rsidRPr="00CF5D3B" w:rsidRDefault="00D746F2" w:rsidP="00D746F2">
      <w:pPr>
        <w:rPr>
          <w:rFonts w:ascii="Lucida Sans" w:eastAsia="Times New Roman" w:hAnsi="Lucida Sans" w:cs="Lucida Sans"/>
          <w:szCs w:val="20"/>
          <w:lang w:eastAsia="en-US"/>
        </w:rPr>
      </w:pPr>
      <w:r w:rsidRPr="00CF5D3B">
        <w:rPr>
          <w:rFonts w:eastAsia="Times New Roman" w:cs="Lucida Sans"/>
          <w:b/>
          <w:lang w:eastAsia="en-US"/>
        </w:rPr>
        <w:t xml:space="preserve">Implementation Challenges: </w:t>
      </w:r>
      <w:r w:rsidRPr="00CF5D3B">
        <w:rPr>
          <w:rFonts w:eastAsia="Times New Roman" w:cs="Lucida Sans"/>
          <w:lang w:eastAsia="en-US"/>
        </w:rPr>
        <w:t>any problems</w:t>
      </w:r>
      <w:r w:rsidRPr="00CF5D3B">
        <w:rPr>
          <w:rFonts w:eastAsia="Times New Roman" w:cs="Lucida Sans"/>
          <w:b/>
          <w:lang w:eastAsia="en-US"/>
        </w:rPr>
        <w:t xml:space="preserve"> </w:t>
      </w:r>
      <w:r w:rsidRPr="00CF5D3B">
        <w:rPr>
          <w:rFonts w:eastAsia="Times New Roman" w:cs="Lucida Sans"/>
          <w:lang w:eastAsia="en-US"/>
        </w:rPr>
        <w:t xml:space="preserve">that may have arisen that hindered the completion of a project activity and delayed overall project schedule. </w:t>
      </w:r>
    </w:p>
    <w:p w:rsidR="00D746F2" w:rsidRPr="00CF5D3B" w:rsidRDefault="00D746F2" w:rsidP="00D746F2">
      <w:pPr>
        <w:spacing w:before="100" w:beforeAutospacing="1" w:after="100" w:afterAutospacing="1"/>
        <w:rPr>
          <w:rFonts w:eastAsia="Times New Roman" w:cs="Arial"/>
          <w:b/>
          <w:bCs/>
          <w:color w:val="000000"/>
          <w:lang w:eastAsia="en-US"/>
        </w:rPr>
      </w:pPr>
      <w:r w:rsidRPr="00CF5D3B">
        <w:rPr>
          <w:rFonts w:eastAsia="Times New Roman" w:cs="Arial"/>
          <w:bCs/>
          <w:color w:val="000000"/>
          <w:lang w:eastAsia="en-US"/>
        </w:rPr>
        <w:lastRenderedPageBreak/>
        <w:t xml:space="preserve">Quarterly Financial Reports consist of an excel file which includes five components, including the instructions and separate forms to be used for providing financial details, financial reports, tracking year-to-date expenditures, and requesting adjustments (e.g., budget revisions and grant period extensions). </w:t>
      </w:r>
    </w:p>
    <w:p w:rsidR="00D746F2" w:rsidRDefault="00D746F2" w:rsidP="00D746F2">
      <w:pPr>
        <w:ind w:right="576"/>
        <w:rPr>
          <w:rFonts w:eastAsia="Times New Roman"/>
          <w:lang w:eastAsia="en-US"/>
        </w:rPr>
      </w:pPr>
      <w:r w:rsidRPr="00CF5D3B">
        <w:rPr>
          <w:rFonts w:eastAsia="Times New Roman"/>
          <w:lang w:eastAsia="en-US"/>
        </w:rPr>
        <w:t>Through effective monitoring and evaluation, Massachusetts aims to support innovative, evidence-based, proven effective, public safety and criminal justice projects that protect its citizens and improve the quality of life in the Commonwealth.</w:t>
      </w:r>
    </w:p>
    <w:p w:rsidR="00D746F2" w:rsidRPr="008C2A2A" w:rsidRDefault="00D746F2" w:rsidP="00D746F2">
      <w:pPr>
        <w:ind w:right="576"/>
        <w:rPr>
          <w:rFonts w:eastAsia="Times New Roman"/>
          <w:lang w:eastAsia="en-US"/>
        </w:rPr>
      </w:pPr>
    </w:p>
    <w:p w:rsidR="00D746F2" w:rsidRPr="000C6852" w:rsidRDefault="00D746F2" w:rsidP="00D746F2">
      <w:pPr>
        <w:spacing w:after="200" w:line="276" w:lineRule="auto"/>
      </w:pPr>
      <w:r>
        <w:t>In conclusion, t</w:t>
      </w:r>
      <w:r w:rsidRPr="000C6852">
        <w:t xml:space="preserve">he Commonwealth through EOPSS continues to engage in numerous activities designed to promote multi-agency collaboration and program coordination to address JAG priorities.  By fostering collaboration </w:t>
      </w:r>
      <w:r w:rsidR="009039B7">
        <w:t xml:space="preserve">and program coordination, OGR </w:t>
      </w:r>
      <w:r w:rsidRPr="000C6852">
        <w:t xml:space="preserve">provides a comprehensive portfolio of grant programs.  </w:t>
      </w:r>
      <w:r w:rsidR="00DD2AB8">
        <w:t>Annually, several</w:t>
      </w:r>
      <w:r w:rsidRPr="000C6852">
        <w:t xml:space="preserve"> million in federal and state funds are disbursed statewide for public safety and criminal justice-related purposes.  In the best interest of the public, EOPSS</w:t>
      </w:r>
      <w:r w:rsidR="009039B7">
        <w:t xml:space="preserve"> and OGR work</w:t>
      </w:r>
      <w:r w:rsidRPr="000C6852">
        <w:t xml:space="preserve"> in partnership with numerous state and local agencies to address the public safety concerns of gang/violent crime, substance abuse, sexual and domestic violence, criminal justice records improvemen</w:t>
      </w:r>
      <w:r>
        <w:t xml:space="preserve">t, juvenile justice, and </w:t>
      </w:r>
      <w:r w:rsidRPr="000C6852">
        <w:t>drug-free schools</w:t>
      </w:r>
      <w:r>
        <w:t>.</w:t>
      </w:r>
      <w:r w:rsidRPr="000C6852">
        <w:t xml:space="preserve"> </w:t>
      </w:r>
    </w:p>
    <w:p w:rsidR="00D746F2" w:rsidRDefault="00D746F2" w:rsidP="00D746F2">
      <w:pPr>
        <w:spacing w:after="200" w:line="276" w:lineRule="auto"/>
      </w:pPr>
      <w:r w:rsidRPr="000C6852">
        <w:t xml:space="preserve">All JAG funded programs support the overall goal to improve public safety and the quality of life in Massachusetts.  OGR is currently managing contracts to sub-recipients which support programs that focus on youth violence prevention, smart policing, gangs, substance abuse, reentry, victims of domestic violence and sexual assault, technology, and research.  It is anticipated that JAG funding will continue to support evidence-based, innovative, and promising programs and practices statewide.  More detailed </w:t>
      </w:r>
      <w:r w:rsidR="004A3D12">
        <w:t>processes for allocating FY 2018</w:t>
      </w:r>
      <w:r w:rsidRPr="000C6852">
        <w:t xml:space="preserve"> JAG funds are be</w:t>
      </w:r>
      <w:r>
        <w:t xml:space="preserve">ing developed now and will </w:t>
      </w:r>
      <w:r w:rsidRPr="000C6852">
        <w:t>be implemented in the fa</w:t>
      </w:r>
      <w:r w:rsidR="004A3D12">
        <w:t>ll of 2018</w:t>
      </w:r>
      <w:r w:rsidRPr="000C6852">
        <w:t xml:space="preserve"> upon</w:t>
      </w:r>
      <w:r>
        <w:t xml:space="preserve"> receipt of the federal funds. </w:t>
      </w:r>
    </w:p>
    <w:p w:rsidR="00D746F2" w:rsidRPr="002176BA" w:rsidRDefault="00D746F2" w:rsidP="00D746F2">
      <w:pPr>
        <w:spacing w:after="200" w:line="276" w:lineRule="auto"/>
      </w:pPr>
      <w:r w:rsidRPr="002176BA">
        <w:t>The following appendix expands upon preceding data throughout the application as well as including additional data sets.</w:t>
      </w:r>
    </w:p>
    <w:p w:rsidR="001F09B1" w:rsidRDefault="001F09B1" w:rsidP="006654CC">
      <w:pPr>
        <w:rPr>
          <w:highlight w:val="yellow"/>
        </w:rPr>
      </w:pPr>
      <w:r>
        <w:rPr>
          <w:highlight w:val="yellow"/>
        </w:rPr>
        <w:br w:type="page"/>
      </w:r>
    </w:p>
    <w:p w:rsidR="009431BF" w:rsidRDefault="009431BF" w:rsidP="006654CC">
      <w:pPr>
        <w:spacing w:after="200" w:line="276" w:lineRule="auto"/>
        <w:jc w:val="center"/>
      </w:pPr>
      <w:r w:rsidRPr="006654CC">
        <w:lastRenderedPageBreak/>
        <w:t>APPENDIX</w:t>
      </w:r>
    </w:p>
    <w:p w:rsidR="00644D14" w:rsidRPr="006654CC" w:rsidRDefault="006654CC" w:rsidP="00644D14">
      <w:pPr>
        <w:rPr>
          <w:rFonts w:eastAsia="Times New Roman"/>
          <w:smallCaps/>
          <w:sz w:val="26"/>
          <w:szCs w:val="26"/>
          <w:lang w:eastAsia="en-US"/>
        </w:rPr>
      </w:pPr>
      <w:r w:rsidRPr="006654CC">
        <w:rPr>
          <w:rFonts w:eastAsia="Times New Roman"/>
          <w:smallCaps/>
          <w:sz w:val="26"/>
          <w:szCs w:val="26"/>
          <w:lang w:eastAsia="en-US"/>
        </w:rPr>
        <w:t xml:space="preserve">Total </w:t>
      </w:r>
      <w:r w:rsidR="00EA4CB9">
        <w:rPr>
          <w:rFonts w:eastAsia="Times New Roman"/>
          <w:smallCaps/>
          <w:sz w:val="26"/>
          <w:szCs w:val="26"/>
          <w:lang w:eastAsia="en-US"/>
        </w:rPr>
        <w:t xml:space="preserve">Part I </w:t>
      </w:r>
      <w:r w:rsidRPr="006654CC">
        <w:rPr>
          <w:rFonts w:eastAsia="Times New Roman"/>
          <w:smallCaps/>
          <w:sz w:val="26"/>
          <w:szCs w:val="26"/>
          <w:lang w:eastAsia="en-US"/>
        </w:rPr>
        <w:t>Arrest Rates by Offense Type</w:t>
      </w:r>
    </w:p>
    <w:p w:rsidR="006654CC" w:rsidRDefault="006654CC" w:rsidP="006654CC"/>
    <w:p w:rsidR="00644D14" w:rsidRDefault="00FA2415" w:rsidP="00644D14">
      <w:r>
        <w:t xml:space="preserve">The FBI tracks data on Part I offenses, which consist of property crime: burglary, larceny, motor vehicle theft, and arson; and violent crimes: homicide, rape, robbery, and aggravated assault.  </w:t>
      </w:r>
      <w:r w:rsidR="006654CC">
        <w:t>Table 1</w:t>
      </w:r>
      <w:r w:rsidR="00FE6D5A">
        <w:t>7</w:t>
      </w:r>
      <w:r w:rsidR="006654CC">
        <w:t xml:space="preserve"> displays the Part</w:t>
      </w:r>
      <w:r w:rsidR="00FE6D5A">
        <w:t xml:space="preserve"> 1</w:t>
      </w:r>
      <w:r w:rsidR="006654CC">
        <w:t xml:space="preserve"> </w:t>
      </w:r>
      <w:r w:rsidR="00FE6D5A">
        <w:t xml:space="preserve">total </w:t>
      </w:r>
      <w:r w:rsidR="006654CC">
        <w:t>arrest rates</w:t>
      </w:r>
      <w:r w:rsidR="00FE6D5A">
        <w:t xml:space="preserve"> by offense</w:t>
      </w:r>
      <w:r w:rsidR="006654CC">
        <w:t xml:space="preserve"> at both the statewide and national levels over a ten-year period</w:t>
      </w:r>
      <w:r w:rsidR="006654CC" w:rsidRPr="00045A29">
        <w:t>.</w:t>
      </w:r>
      <w:r w:rsidR="006654CC">
        <w:t xml:space="preserve">  Between 2006 and 201</w:t>
      </w:r>
      <w:r w:rsidR="00B2506B">
        <w:t>6</w:t>
      </w:r>
      <w:r w:rsidR="006654CC">
        <w:t xml:space="preserve">, </w:t>
      </w:r>
      <w:r w:rsidR="00B2506B">
        <w:t>there is a dramatic reduction in crime rates nationally and with few exceptions, the same in Massachusetts.</w:t>
      </w:r>
    </w:p>
    <w:p w:rsidR="00B2506B" w:rsidRPr="00B50A12" w:rsidRDefault="00B2506B" w:rsidP="00644D14">
      <w:pPr>
        <w:rPr>
          <w:rFonts w:eastAsia="Times New Roman"/>
          <w:lang w:eastAsia="en-US"/>
        </w:rPr>
      </w:pPr>
    </w:p>
    <w:p w:rsidR="001E123D" w:rsidRPr="004362AB" w:rsidRDefault="001E123D" w:rsidP="001E123D">
      <w:pPr>
        <w:ind w:left="2160" w:firstLine="720"/>
        <w:rPr>
          <w:rFonts w:eastAsia="Times New Roman"/>
          <w:b/>
          <w:sz w:val="20"/>
          <w:szCs w:val="20"/>
          <w:lang w:eastAsia="en-US"/>
        </w:rPr>
      </w:pPr>
      <w:r w:rsidRPr="004362AB">
        <w:rPr>
          <w:rFonts w:eastAsia="Times New Roman"/>
          <w:b/>
          <w:sz w:val="20"/>
          <w:szCs w:val="20"/>
          <w:lang w:eastAsia="en-US"/>
        </w:rPr>
        <w:t xml:space="preserve">                                    Rate (per 100,000 persons)</w:t>
      </w:r>
    </w:p>
    <w:p w:rsidR="009A380B" w:rsidRDefault="001E123D" w:rsidP="001E123D">
      <w:pPr>
        <w:rPr>
          <w:b/>
          <w:sz w:val="16"/>
          <w:szCs w:val="16"/>
        </w:rPr>
      </w:pPr>
      <w:r w:rsidRPr="00133DFE">
        <w:rPr>
          <w:b/>
          <w:noProof/>
          <w:lang w:eastAsia="en-US"/>
        </w:rPr>
        <mc:AlternateContent>
          <mc:Choice Requires="wps">
            <w:drawing>
              <wp:anchor distT="0" distB="0" distL="114300" distR="114300" simplePos="0" relativeHeight="251663360" behindDoc="0" locked="0" layoutInCell="1" allowOverlap="1" wp14:anchorId="5A48B39F" wp14:editId="321FBAF9">
                <wp:simplePos x="0" y="0"/>
                <wp:positionH relativeFrom="column">
                  <wp:posOffset>3493135</wp:posOffset>
                </wp:positionH>
                <wp:positionV relativeFrom="paragraph">
                  <wp:posOffset>-1395095</wp:posOffset>
                </wp:positionV>
                <wp:extent cx="228600" cy="3076575"/>
                <wp:effectExtent l="9525" t="5715" r="9525" b="13335"/>
                <wp:wrapNone/>
                <wp:docPr id="4" name="Left Brac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28600" cy="3076575"/>
                        </a:xfrm>
                        <a:prstGeom prst="leftBrace">
                          <a:avLst>
                            <a:gd name="adj1" fmla="val 11215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05084F"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 o:spid="_x0000_s1026" type="#_x0000_t87" style="position:absolute;margin-left:275.05pt;margin-top:-109.85pt;width:18pt;height:242.2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yBCjwIAAD0FAAAOAAAAZHJzL2Uyb0RvYy54bWysVF1v0zAUfUfiP1h+7/KxpB/R0mk0LUIa&#10;MGnwA1zbaQyOHWy36UD8d66drLTsBSHy4Ni+V8fn3Hvsm9tjK9GBGyu0KnFyFWPEFdVMqF2JP3/a&#10;TOYYWUcUI1IrXuInbvHt8vWrm74reKobLRk3CECULfquxI1zXRFFlja8JfZKd1xBsNamJQ6WZhcx&#10;Q3pAb2WUxvE06rVhndGUWwu71RDEy4Bf15y6j3VtuUOyxMDNhdGEcevHaHlDip0hXSPoSIP8A4uW&#10;CAWHnqAq4gjaG/ECqhXUaKtrd0V1G+m6FpQHDaAmif9Q89iQjgctUBzbncpk/x8s/XB4MEiwEmcY&#10;KdJCi+557dAbQyhHma9P39kC0h67B+MV2u5e068WAtFFxC8s5KBt/14zwCF7p0NNjrVpkdFQ+zyL&#10;/Rd2QTs6hkY8nRrBjw5R2EzT+RTSEIXQdTyb5rPcM4lI4bE8i85Y95brFvlJiSVwDpQDNDncWxe6&#10;wUZNhH1JMKpbCc09EImSJE3y67H7Z0npeVIeuA7njpDA4Plkj6/0RkgJGaSQCvUlXuRpHihYLQXz&#10;QR+zZrddSYPgZJAavlHORZrRe8UCWMMJW49zR4Qc5nC4VB4PyjQK9AULNvuxiBfr+XqeTbJ0up5k&#10;cVVN7jarbDLdJLO8uq5Wqyr56aklWdEIxrjy7J4tn2R/Z6nx8g1mPZn+QsWF2E34XoqNLmmE1oKW&#10;539QF+zlHTVYcKvZE7gr+AisAW8O9L3R5jtGPdzfEttve2I4RvKdgguySLLMX/iwyPJZCgtzHtme&#10;R4iiAFVih9EwXbnhkdh3RuwaOCkJbVX6DlxdC+dd4R0/sBoXcEeDgvE98Y/A+Tpk/X71lr8AAAD/&#10;/wMAUEsDBBQABgAIAAAAIQD/axv23QAAAAgBAAAPAAAAZHJzL2Rvd25yZXYueG1sTI/BTsMwEETv&#10;SPyDtUjcqJMUoijEqQoSvYHUwqHc3HiJI+J1iN0k/D3LCY6jGc28qTaL68WEY+g8KUhXCQikxpuO&#10;WgVvr083BYgQNRnde0IF3xhgU19eVLo0fqY9TofYCi6hUGoFNsahlDI0Fp0OKz8gsffhR6cjy7GV&#10;ZtQzl7teZkmSS6c74gWrB3y02Hwezk7B/OL2XYrv22z3fDzS7uvBFpNV6vpq2d6DiLjEvzD84jM6&#10;1Mx08mcyQfQK1tkdo0cFtzkI9os0WYM4sU5ykHUl/x+ofwAAAP//AwBQSwECLQAUAAYACAAAACEA&#10;toM4kv4AAADhAQAAEwAAAAAAAAAAAAAAAAAAAAAAW0NvbnRlbnRfVHlwZXNdLnhtbFBLAQItABQA&#10;BgAIAAAAIQA4/SH/1gAAAJQBAAALAAAAAAAAAAAAAAAAAC8BAABfcmVscy8ucmVsc1BLAQItABQA&#10;BgAIAAAAIQCo2yBCjwIAAD0FAAAOAAAAAAAAAAAAAAAAAC4CAABkcnMvZTJvRG9jLnhtbFBLAQIt&#10;ABQABgAIAAAAIQD/axv23QAAAAgBAAAPAAAAAAAAAAAAAAAAAOkEAABkcnMvZG93bnJldi54bWxQ&#10;SwUGAAAAAAQABADzAAAA8wUAAAAA&#10;"/>
            </w:pict>
          </mc:Fallback>
        </mc:AlternateContent>
      </w:r>
    </w:p>
    <w:p w:rsidR="00B2506B" w:rsidRPr="009A380B" w:rsidRDefault="009A380B" w:rsidP="001E123D">
      <w:pPr>
        <w:rPr>
          <w:b/>
        </w:rPr>
      </w:pPr>
      <w:r w:rsidRPr="009A380B">
        <w:rPr>
          <w:b/>
        </w:rPr>
        <w:t>Table 17.</w:t>
      </w:r>
    </w:p>
    <w:p w:rsidR="001E123D" w:rsidRDefault="00CD21DC" w:rsidP="001E123D">
      <w:pPr>
        <w:pStyle w:val="NoSpacing"/>
      </w:pPr>
      <w:r w:rsidRPr="00CD21DC">
        <w:rPr>
          <w:noProof/>
          <w:lang w:eastAsia="en-US"/>
        </w:rPr>
        <w:drawing>
          <wp:inline distT="0" distB="0" distL="0" distR="0">
            <wp:extent cx="6011186" cy="3402842"/>
            <wp:effectExtent l="0" t="0" r="889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26553" cy="3411541"/>
                    </a:xfrm>
                    <a:prstGeom prst="rect">
                      <a:avLst/>
                    </a:prstGeom>
                    <a:noFill/>
                    <a:ln>
                      <a:noFill/>
                    </a:ln>
                  </pic:spPr>
                </pic:pic>
              </a:graphicData>
            </a:graphic>
          </wp:inline>
        </w:drawing>
      </w:r>
    </w:p>
    <w:p w:rsidR="00B2506B" w:rsidRPr="004362AB" w:rsidRDefault="00B2506B" w:rsidP="00B2506B">
      <w:pPr>
        <w:rPr>
          <w:i/>
          <w:sz w:val="18"/>
          <w:szCs w:val="18"/>
        </w:rPr>
      </w:pPr>
      <w:r>
        <w:rPr>
          <w:sz w:val="18"/>
          <w:szCs w:val="18"/>
        </w:rPr>
        <w:t>S</w:t>
      </w:r>
      <w:r w:rsidRPr="004362AB">
        <w:rPr>
          <w:sz w:val="18"/>
          <w:szCs w:val="18"/>
        </w:rPr>
        <w:t xml:space="preserve">ource: Federal Bureau of Investigation, </w:t>
      </w:r>
      <w:r w:rsidRPr="004362AB">
        <w:rPr>
          <w:i/>
          <w:sz w:val="18"/>
          <w:szCs w:val="18"/>
        </w:rPr>
        <w:t>Uniform Crime Reports</w:t>
      </w:r>
      <w:r w:rsidRPr="004362AB">
        <w:rPr>
          <w:sz w:val="18"/>
          <w:szCs w:val="18"/>
        </w:rPr>
        <w:t xml:space="preserve">, </w:t>
      </w:r>
      <w:r>
        <w:rPr>
          <w:sz w:val="18"/>
          <w:szCs w:val="18"/>
        </w:rPr>
        <w:t xml:space="preserve">2007-2015, </w:t>
      </w:r>
      <w:r w:rsidRPr="004362AB">
        <w:rPr>
          <w:sz w:val="18"/>
          <w:szCs w:val="18"/>
        </w:rPr>
        <w:t>Table 41</w:t>
      </w:r>
      <w:r>
        <w:rPr>
          <w:sz w:val="18"/>
          <w:szCs w:val="18"/>
        </w:rPr>
        <w:t>; 2016, Table 20</w:t>
      </w:r>
      <w:r w:rsidRPr="004362AB">
        <w:rPr>
          <w:sz w:val="18"/>
          <w:szCs w:val="18"/>
        </w:rPr>
        <w:t xml:space="preserve"> (National data) and </w:t>
      </w:r>
      <w:r>
        <w:rPr>
          <w:sz w:val="18"/>
          <w:szCs w:val="18"/>
        </w:rPr>
        <w:t xml:space="preserve">2007-2015, </w:t>
      </w:r>
      <w:r w:rsidRPr="004362AB">
        <w:rPr>
          <w:sz w:val="18"/>
          <w:szCs w:val="18"/>
        </w:rPr>
        <w:t>Table 69</w:t>
      </w:r>
      <w:r>
        <w:rPr>
          <w:sz w:val="18"/>
          <w:szCs w:val="18"/>
        </w:rPr>
        <w:t>; 2016, Table 22</w:t>
      </w:r>
      <w:r w:rsidRPr="004362AB">
        <w:rPr>
          <w:sz w:val="18"/>
          <w:szCs w:val="18"/>
        </w:rPr>
        <w:t xml:space="preserve"> (MA data).  </w:t>
      </w:r>
    </w:p>
    <w:p w:rsidR="001E123D" w:rsidRDefault="001E123D" w:rsidP="001E123D">
      <w:pPr>
        <w:pStyle w:val="NoSpacing"/>
      </w:pPr>
    </w:p>
    <w:p w:rsidR="00B50A12" w:rsidRDefault="00B50A12">
      <w:pPr>
        <w:spacing w:after="200" w:line="276" w:lineRule="auto"/>
      </w:pPr>
      <w:r>
        <w:br w:type="page"/>
      </w:r>
    </w:p>
    <w:p w:rsidR="00B50A12" w:rsidRDefault="006524DA" w:rsidP="006524DA">
      <w:pPr>
        <w:pStyle w:val="NoSpacing"/>
      </w:pPr>
      <w:r>
        <w:lastRenderedPageBreak/>
        <w:t xml:space="preserve">Figure </w:t>
      </w:r>
      <w:r w:rsidR="00133DFE">
        <w:t>30</w:t>
      </w:r>
      <w:r>
        <w:t xml:space="preserve"> </w:t>
      </w:r>
      <w:r w:rsidR="00FB32DA">
        <w:t>reveal</w:t>
      </w:r>
      <w:r>
        <w:t xml:space="preserve"> that the US total Part I arrest rates are significantly higher than the Massachusetts’ rates during the ten-year trend analysis.  </w:t>
      </w:r>
      <w:r w:rsidR="00EA4CB9">
        <w:t>Comparing the violent crime arrest rates, b</w:t>
      </w:r>
      <w:r w:rsidR="001C741A">
        <w:t xml:space="preserve">etween 2008 and 2011, the Massachusetts violent crime arrest rates were higher than the </w:t>
      </w:r>
      <w:r w:rsidR="00EA4CB9">
        <w:t>national rates.</w:t>
      </w:r>
    </w:p>
    <w:p w:rsidR="006524DA" w:rsidRDefault="006524DA" w:rsidP="006524DA">
      <w:pPr>
        <w:pStyle w:val="NoSpacing"/>
      </w:pPr>
    </w:p>
    <w:p w:rsidR="00CD21DC" w:rsidRDefault="00CD21DC" w:rsidP="006524DA">
      <w:pPr>
        <w:pStyle w:val="NoSpacing"/>
      </w:pPr>
      <w:r>
        <w:rPr>
          <w:noProof/>
          <w:lang w:eastAsia="en-US"/>
        </w:rPr>
        <w:drawing>
          <wp:inline distT="0" distB="0" distL="0" distR="0" wp14:anchorId="144F8C4A" wp14:editId="55752D31">
            <wp:extent cx="5573864" cy="2067145"/>
            <wp:effectExtent l="0" t="0" r="8255" b="952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D21DC" w:rsidRPr="004362AB" w:rsidRDefault="00CD21DC" w:rsidP="00CD21DC">
      <w:pPr>
        <w:rPr>
          <w:i/>
          <w:sz w:val="18"/>
          <w:szCs w:val="18"/>
        </w:rPr>
      </w:pPr>
      <w:r>
        <w:rPr>
          <w:i/>
          <w:sz w:val="18"/>
          <w:szCs w:val="18"/>
        </w:rPr>
        <w:t>T</w:t>
      </w:r>
      <w:r w:rsidRPr="0074226F">
        <w:rPr>
          <w:i/>
          <w:sz w:val="18"/>
          <w:szCs w:val="18"/>
        </w:rPr>
        <w:t xml:space="preserve">able </w:t>
      </w:r>
      <w:r w:rsidR="00133DFE">
        <w:rPr>
          <w:i/>
          <w:sz w:val="18"/>
          <w:szCs w:val="18"/>
        </w:rPr>
        <w:t>30</w:t>
      </w:r>
      <w:r w:rsidRPr="0074226F">
        <w:rPr>
          <w:i/>
          <w:sz w:val="18"/>
          <w:szCs w:val="18"/>
        </w:rPr>
        <w:t>.</w:t>
      </w:r>
      <w:r>
        <w:rPr>
          <w:sz w:val="18"/>
          <w:szCs w:val="18"/>
        </w:rPr>
        <w:t xml:space="preserve"> S</w:t>
      </w:r>
      <w:r w:rsidRPr="004362AB">
        <w:rPr>
          <w:sz w:val="18"/>
          <w:szCs w:val="18"/>
        </w:rPr>
        <w:t xml:space="preserve">ource: Federal Bureau of Investigation, </w:t>
      </w:r>
      <w:r w:rsidRPr="004362AB">
        <w:rPr>
          <w:i/>
          <w:sz w:val="18"/>
          <w:szCs w:val="18"/>
        </w:rPr>
        <w:t>Uniform Crime Reports</w:t>
      </w:r>
      <w:r w:rsidRPr="004362AB">
        <w:rPr>
          <w:sz w:val="18"/>
          <w:szCs w:val="18"/>
        </w:rPr>
        <w:t xml:space="preserve">, </w:t>
      </w:r>
      <w:r>
        <w:rPr>
          <w:sz w:val="18"/>
          <w:szCs w:val="18"/>
        </w:rPr>
        <w:t xml:space="preserve">2007-2015, </w:t>
      </w:r>
      <w:r w:rsidRPr="004362AB">
        <w:rPr>
          <w:sz w:val="18"/>
          <w:szCs w:val="18"/>
        </w:rPr>
        <w:t>Table 41</w:t>
      </w:r>
      <w:r>
        <w:rPr>
          <w:sz w:val="18"/>
          <w:szCs w:val="18"/>
        </w:rPr>
        <w:t>; 2016, Table 20</w:t>
      </w:r>
      <w:r w:rsidRPr="004362AB">
        <w:rPr>
          <w:sz w:val="18"/>
          <w:szCs w:val="18"/>
        </w:rPr>
        <w:t xml:space="preserve"> (National data) and </w:t>
      </w:r>
      <w:r>
        <w:rPr>
          <w:sz w:val="18"/>
          <w:szCs w:val="18"/>
        </w:rPr>
        <w:t xml:space="preserve">2007-2015, </w:t>
      </w:r>
      <w:r w:rsidRPr="004362AB">
        <w:rPr>
          <w:sz w:val="18"/>
          <w:szCs w:val="18"/>
        </w:rPr>
        <w:t>Table 69</w:t>
      </w:r>
      <w:r>
        <w:rPr>
          <w:sz w:val="18"/>
          <w:szCs w:val="18"/>
        </w:rPr>
        <w:t>; 2016, Table 22</w:t>
      </w:r>
      <w:r w:rsidRPr="004362AB">
        <w:rPr>
          <w:sz w:val="18"/>
          <w:szCs w:val="18"/>
        </w:rPr>
        <w:t xml:space="preserve"> (MA data).  </w:t>
      </w:r>
    </w:p>
    <w:p w:rsidR="00B71EDE" w:rsidRDefault="00B71EDE" w:rsidP="00B71EDE">
      <w:pPr>
        <w:pStyle w:val="NoSpacing"/>
      </w:pPr>
    </w:p>
    <w:p w:rsidR="00C83AE9" w:rsidRDefault="00C83AE9" w:rsidP="00C83AE9">
      <w:r>
        <w:t>Table 1</w:t>
      </w:r>
      <w:r w:rsidR="00133DFE">
        <w:t>8</w:t>
      </w:r>
      <w:r>
        <w:t xml:space="preserve"> displays the Part I juvenile arrest rates at both the statewide and national levels over a ten-year period</w:t>
      </w:r>
      <w:r w:rsidRPr="00045A29">
        <w:t>.</w:t>
      </w:r>
      <w:r>
        <w:t xml:space="preserve">  Between 2006 and 2015, there is a dramatic reduction in crime rates both nationally and in Massachusetts.</w:t>
      </w:r>
    </w:p>
    <w:p w:rsidR="00C83AE9" w:rsidRPr="004362AB" w:rsidRDefault="00C83AE9" w:rsidP="00C83AE9">
      <w:pPr>
        <w:ind w:left="2160" w:firstLine="720"/>
        <w:rPr>
          <w:rFonts w:eastAsia="Times New Roman"/>
          <w:b/>
          <w:sz w:val="20"/>
          <w:szCs w:val="20"/>
          <w:lang w:eastAsia="en-US"/>
        </w:rPr>
      </w:pPr>
      <w:r w:rsidRPr="004362AB">
        <w:rPr>
          <w:rFonts w:eastAsia="Times New Roman"/>
          <w:b/>
          <w:sz w:val="20"/>
          <w:szCs w:val="20"/>
          <w:lang w:eastAsia="en-US"/>
        </w:rPr>
        <w:t xml:space="preserve">                                    Rate (per 100,000 persons)</w:t>
      </w:r>
    </w:p>
    <w:p w:rsidR="00C83AE9" w:rsidRPr="004362AB" w:rsidRDefault="00C83AE9" w:rsidP="00C83AE9">
      <w:pPr>
        <w:rPr>
          <w:b/>
        </w:rPr>
      </w:pPr>
      <w:r>
        <w:rPr>
          <w:b/>
          <w:noProof/>
          <w:lang w:eastAsia="en-US"/>
        </w:rPr>
        <mc:AlternateContent>
          <mc:Choice Requires="wps">
            <w:drawing>
              <wp:anchor distT="0" distB="0" distL="114300" distR="114300" simplePos="0" relativeHeight="251667456" behindDoc="0" locked="0" layoutInCell="1" allowOverlap="1" wp14:anchorId="10363E6F" wp14:editId="0C05D31D">
                <wp:simplePos x="0" y="0"/>
                <wp:positionH relativeFrom="column">
                  <wp:posOffset>3493135</wp:posOffset>
                </wp:positionH>
                <wp:positionV relativeFrom="paragraph">
                  <wp:posOffset>-1395095</wp:posOffset>
                </wp:positionV>
                <wp:extent cx="228600" cy="3076575"/>
                <wp:effectExtent l="9525" t="5715" r="9525" b="13335"/>
                <wp:wrapNone/>
                <wp:docPr id="44" name="Left Brac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28600" cy="3076575"/>
                        </a:xfrm>
                        <a:prstGeom prst="leftBrace">
                          <a:avLst>
                            <a:gd name="adj1" fmla="val 11215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E29AF" id="Left Brace 44" o:spid="_x0000_s1026" type="#_x0000_t87" style="position:absolute;margin-left:275.05pt;margin-top:-109.85pt;width:18pt;height:242.2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tE4kAIAAD8FAAAOAAAAZHJzL2Uyb0RvYy54bWysVF1v0zAUfUfiP1h+7/KxpB/R0mk0LUIa&#10;MGnwA1zbaQyOHWy36UD8d66drLTsBSHy4Ni+V8fn3Hvsm9tjK9GBGyu0KnFyFWPEFdVMqF2JP3/a&#10;TOYYWUcUI1IrXuInbvHt8vWrm74reKobLRk3CECULfquxI1zXRFFlja8JfZKd1xBsNamJQ6WZhcx&#10;Q3pAb2WUxvE06rVhndGUWwu71RDEy4Bf15y6j3VtuUOyxMDNhdGEcevHaHlDip0hXSPoSIP8A4uW&#10;CAWHnqAq4gjaG/ECqhXUaKtrd0V1G+m6FpQHDaAmif9Q89iQjgctUBzbncpk/x8s/XB4MEiwEmcZ&#10;Roq00KN7Xjv0xhDKEWxChfrOFpD42D0Yr9F295p+tRCILiJ+YSEHbfv3mgEQ2TsdqnKsTYuMhurn&#10;Wey/sAvq0TG04unUCn50iMJmms6nkIYohK7j2TSf5Z5JRAqP5Vl0xrq3XLfIT0osgXTgHKDJ4d66&#10;0A82iiLsS4JR3Upo74FIlCRpkl+P/T9LSs+T8sB1OHeEBAbPJ3t8pTdCSsgghVSoL/EiT/NAwWop&#10;mA/6mDW77UoaBCeD1PCNci7SjN4rFsAaTth6nDsi5DCHw6XyeFCmUaAvWDDaj0W8WM/X82ySpdP1&#10;JIuranK3WWWT6SaZ5dV1tVpVyU9PLcmKRjDGlWf3bPok+ztTjddvsOvJ9hcqLsRuwvdSbHRJI7QW&#10;tDz/g7pgL++owYJbzZ7AXcFHYA14daDvjTbfMerhBpfYftsTwzGS7xRckUWSZf7Kh0WWz1JYmPPI&#10;9jxCFAWoEjuMhunKDc/EvjNi18BJSWir0nfg6lo47wrv+IHVuIBbGhSML4p/Bs7XIev3u7f8BQAA&#10;//8DAFBLAwQUAAYACAAAACEA/2sb9t0AAAAIAQAADwAAAGRycy9kb3ducmV2LnhtbEyPwU7DMBBE&#10;70j8g7VI3KiTFKIoxKkKEr2B1MKh3Nx4iSPidYjdJPw9ywmOoxnNvKk2i+vFhGPoPClIVwkIpMab&#10;jloFb69PNwWIEDUZ3XtCBd8YYFNfXlS6NH6mPU6H2AouoVBqBTbGoZQyNBadDis/ILH34UenI8ux&#10;lWbUM5e7XmZJkkunO+IFqwd8tNh8Hs5Owfzi9l2K79ts93w80u7rwRaTVer6atneg4i4xL8w/OIz&#10;OtTMdPJnMkH0CtbZHaNHBbc5CPaLNFmDOLFOcpB1Jf8fqH8AAAD//wMAUEsBAi0AFAAGAAgAAAAh&#10;ALaDOJL+AAAA4QEAABMAAAAAAAAAAAAAAAAAAAAAAFtDb250ZW50X1R5cGVzXS54bWxQSwECLQAU&#10;AAYACAAAACEAOP0h/9YAAACUAQAACwAAAAAAAAAAAAAAAAAvAQAAX3JlbHMvLnJlbHNQSwECLQAU&#10;AAYACAAAACEAh2bROJACAAA/BQAADgAAAAAAAAAAAAAAAAAuAgAAZHJzL2Uyb0RvYy54bWxQSwEC&#10;LQAUAAYACAAAACEA/2sb9t0AAAAIAQAADwAAAAAAAAAAAAAAAADqBAAAZHJzL2Rvd25yZXYueG1s&#10;UEsFBgAAAAAEAAQA8wAAAPQFAAAAAA==&#10;"/>
            </w:pict>
          </mc:Fallback>
        </mc:AlternateContent>
      </w:r>
    </w:p>
    <w:p w:rsidR="00C83AE9" w:rsidRPr="009A380B" w:rsidRDefault="009A380B" w:rsidP="00C83AE9">
      <w:pPr>
        <w:rPr>
          <w:b/>
        </w:rPr>
      </w:pPr>
      <w:r w:rsidRPr="009A380B">
        <w:rPr>
          <w:b/>
        </w:rPr>
        <w:t>Table 18.</w:t>
      </w:r>
    </w:p>
    <w:p w:rsidR="00C83AE9" w:rsidRDefault="00C83AE9" w:rsidP="00C83AE9">
      <w:pPr>
        <w:rPr>
          <w:sz w:val="16"/>
        </w:rPr>
      </w:pPr>
      <w:r w:rsidRPr="00F668D5">
        <w:rPr>
          <w:noProof/>
          <w:lang w:eastAsia="en-US"/>
        </w:rPr>
        <w:drawing>
          <wp:inline distT="0" distB="0" distL="0" distR="0" wp14:anchorId="5680A825" wp14:editId="20BF7E84">
            <wp:extent cx="5943600" cy="364581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9603" cy="3649493"/>
                    </a:xfrm>
                    <a:prstGeom prst="rect">
                      <a:avLst/>
                    </a:prstGeom>
                    <a:noFill/>
                    <a:ln>
                      <a:noFill/>
                    </a:ln>
                  </pic:spPr>
                </pic:pic>
              </a:graphicData>
            </a:graphic>
          </wp:inline>
        </w:drawing>
      </w:r>
    </w:p>
    <w:p w:rsidR="00C83AE9" w:rsidRPr="004362AB" w:rsidRDefault="00C83AE9" w:rsidP="00C83AE9">
      <w:pPr>
        <w:rPr>
          <w:i/>
          <w:sz w:val="18"/>
          <w:szCs w:val="18"/>
        </w:rPr>
      </w:pPr>
      <w:r>
        <w:rPr>
          <w:sz w:val="18"/>
          <w:szCs w:val="18"/>
        </w:rPr>
        <w:t>S</w:t>
      </w:r>
      <w:r w:rsidRPr="004362AB">
        <w:rPr>
          <w:sz w:val="18"/>
          <w:szCs w:val="18"/>
        </w:rPr>
        <w:t xml:space="preserve">ource: Federal Bureau of Investigation, </w:t>
      </w:r>
      <w:r w:rsidRPr="004362AB">
        <w:rPr>
          <w:i/>
          <w:sz w:val="18"/>
          <w:szCs w:val="18"/>
        </w:rPr>
        <w:t>Uniform Crime Reports</w:t>
      </w:r>
      <w:r w:rsidRPr="004362AB">
        <w:rPr>
          <w:sz w:val="18"/>
          <w:szCs w:val="18"/>
        </w:rPr>
        <w:t>, Table 41 (National data) and Table 69 (MA data)</w:t>
      </w:r>
      <w:r>
        <w:rPr>
          <w:sz w:val="18"/>
          <w:szCs w:val="18"/>
        </w:rPr>
        <w:t>, 2006-2015</w:t>
      </w:r>
      <w:r w:rsidRPr="004362AB">
        <w:rPr>
          <w:sz w:val="18"/>
          <w:szCs w:val="18"/>
        </w:rPr>
        <w:t xml:space="preserve">.  </w:t>
      </w:r>
    </w:p>
    <w:p w:rsidR="00C83AE9" w:rsidRDefault="00C83AE9" w:rsidP="00C83AE9">
      <w:pPr>
        <w:pStyle w:val="NoSpacing"/>
      </w:pPr>
    </w:p>
    <w:p w:rsidR="00C83AE9" w:rsidRPr="004362AB" w:rsidRDefault="00C83AE9" w:rsidP="00C83AE9">
      <w:r w:rsidRPr="004362AB">
        <w:t xml:space="preserve">Upon further examination of the trends for </w:t>
      </w:r>
      <w:r>
        <w:t xml:space="preserve">Massachusetts </w:t>
      </w:r>
      <w:r w:rsidRPr="004362AB">
        <w:t xml:space="preserve">juveniles arrested for crimes against persons and property, the patterns </w:t>
      </w:r>
      <w:r>
        <w:t>display</w:t>
      </w:r>
      <w:r w:rsidRPr="004362AB">
        <w:t xml:space="preserve"> a similar trajectory over time.  </w:t>
      </w:r>
      <w:r>
        <w:t>The p</w:t>
      </w:r>
      <w:r w:rsidRPr="004362AB">
        <w:t xml:space="preserve">roperty crime </w:t>
      </w:r>
      <w:r>
        <w:t xml:space="preserve">rate </w:t>
      </w:r>
      <w:r w:rsidRPr="004362AB">
        <w:t xml:space="preserve">dropped </w:t>
      </w:r>
      <w:r>
        <w:t>60</w:t>
      </w:r>
      <w:r w:rsidRPr="004362AB">
        <w:t>% between 200</w:t>
      </w:r>
      <w:r>
        <w:t>7</w:t>
      </w:r>
      <w:r w:rsidRPr="004362AB">
        <w:t xml:space="preserve"> and 201</w:t>
      </w:r>
      <w:r>
        <w:t>6</w:t>
      </w:r>
      <w:r w:rsidRPr="004362AB">
        <w:t xml:space="preserve"> and </w:t>
      </w:r>
      <w:r>
        <w:t>7</w:t>
      </w:r>
      <w:r w:rsidRPr="004362AB">
        <w:t>% in the period from 201</w:t>
      </w:r>
      <w:r>
        <w:t>5</w:t>
      </w:r>
      <w:r w:rsidRPr="004362AB">
        <w:t xml:space="preserve"> to 201</w:t>
      </w:r>
      <w:r>
        <w:t>6</w:t>
      </w:r>
      <w:r w:rsidRPr="004362AB">
        <w:t xml:space="preserve">, and </w:t>
      </w:r>
      <w:r>
        <w:t xml:space="preserve">the </w:t>
      </w:r>
      <w:r w:rsidRPr="004362AB">
        <w:t xml:space="preserve">violent crime </w:t>
      </w:r>
      <w:r>
        <w:t xml:space="preserve">rate </w:t>
      </w:r>
      <w:r w:rsidRPr="004362AB">
        <w:t xml:space="preserve">fell </w:t>
      </w:r>
      <w:r>
        <w:t>55</w:t>
      </w:r>
      <w:r w:rsidRPr="004362AB">
        <w:t xml:space="preserve">% over the ten-year period and </w:t>
      </w:r>
      <w:r>
        <w:t>8</w:t>
      </w:r>
      <w:r w:rsidRPr="004362AB">
        <w:t>% from 201</w:t>
      </w:r>
      <w:r>
        <w:t>5</w:t>
      </w:r>
      <w:r w:rsidRPr="004362AB">
        <w:t xml:space="preserve"> to 201</w:t>
      </w:r>
      <w:r>
        <w:t xml:space="preserve">6 (Figure </w:t>
      </w:r>
      <w:r w:rsidR="00FC23F4">
        <w:t>31</w:t>
      </w:r>
      <w:r>
        <w:t>)</w:t>
      </w:r>
      <w:r w:rsidRPr="004362AB">
        <w:t>.</w:t>
      </w:r>
    </w:p>
    <w:p w:rsidR="00C83AE9" w:rsidRDefault="00C83AE9" w:rsidP="00C83AE9">
      <w:pPr>
        <w:ind w:left="3600" w:firstLine="720"/>
        <w:rPr>
          <w:b/>
        </w:rPr>
      </w:pPr>
    </w:p>
    <w:p w:rsidR="00C83AE9" w:rsidRDefault="00C83AE9" w:rsidP="00C83AE9">
      <w:pPr>
        <w:pStyle w:val="NoSpacing"/>
        <w:jc w:val="center"/>
      </w:pPr>
      <w:r>
        <w:rPr>
          <w:noProof/>
          <w:lang w:eastAsia="en-US"/>
        </w:rPr>
        <w:drawing>
          <wp:inline distT="0" distB="0" distL="0" distR="0" wp14:anchorId="6318DD38" wp14:editId="4BEB872F">
            <wp:extent cx="5390984" cy="2146714"/>
            <wp:effectExtent l="0" t="0" r="635" b="635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83AE9" w:rsidRDefault="00C83AE9" w:rsidP="00C83AE9">
      <w:pPr>
        <w:spacing w:after="120"/>
        <w:ind w:left="450"/>
        <w:rPr>
          <w:sz w:val="18"/>
          <w:szCs w:val="18"/>
        </w:rPr>
      </w:pPr>
      <w:r w:rsidRPr="0074226F">
        <w:rPr>
          <w:i/>
          <w:sz w:val="18"/>
          <w:szCs w:val="18"/>
        </w:rPr>
        <w:t xml:space="preserve">Figure </w:t>
      </w:r>
      <w:r w:rsidR="00FC23F4">
        <w:rPr>
          <w:i/>
          <w:sz w:val="18"/>
          <w:szCs w:val="18"/>
        </w:rPr>
        <w:t>31</w:t>
      </w:r>
      <w:r w:rsidRPr="0074226F">
        <w:rPr>
          <w:i/>
          <w:sz w:val="18"/>
          <w:szCs w:val="18"/>
        </w:rPr>
        <w:t>.</w:t>
      </w:r>
      <w:r>
        <w:rPr>
          <w:sz w:val="18"/>
          <w:szCs w:val="18"/>
        </w:rPr>
        <w:t xml:space="preserve"> </w:t>
      </w:r>
      <w:r w:rsidRPr="004362AB">
        <w:rPr>
          <w:sz w:val="18"/>
          <w:szCs w:val="18"/>
        </w:rPr>
        <w:t xml:space="preserve">Source: Federal Bureau of Investigation, </w:t>
      </w:r>
      <w:r w:rsidRPr="004362AB">
        <w:rPr>
          <w:i/>
          <w:sz w:val="18"/>
          <w:szCs w:val="18"/>
        </w:rPr>
        <w:t>Uniform Crime Reports</w:t>
      </w:r>
      <w:r w:rsidRPr="004362AB">
        <w:rPr>
          <w:sz w:val="18"/>
          <w:szCs w:val="18"/>
        </w:rPr>
        <w:t xml:space="preserve">, </w:t>
      </w:r>
      <w:r>
        <w:rPr>
          <w:sz w:val="18"/>
          <w:szCs w:val="18"/>
        </w:rPr>
        <w:t xml:space="preserve">2007-2015, </w:t>
      </w:r>
      <w:r w:rsidRPr="004362AB">
        <w:rPr>
          <w:sz w:val="18"/>
          <w:szCs w:val="18"/>
        </w:rPr>
        <w:t>Table 69</w:t>
      </w:r>
      <w:r>
        <w:rPr>
          <w:sz w:val="18"/>
          <w:szCs w:val="18"/>
        </w:rPr>
        <w:t>; 2016, Table 22</w:t>
      </w:r>
    </w:p>
    <w:p w:rsidR="00C83AE9" w:rsidRDefault="00C83AE9" w:rsidP="00B71EDE">
      <w:pPr>
        <w:pStyle w:val="NoSpacing"/>
      </w:pPr>
    </w:p>
    <w:p w:rsidR="00EA4CB9" w:rsidRPr="006654CC" w:rsidRDefault="00EA4CB9" w:rsidP="00EA4CB9">
      <w:pPr>
        <w:rPr>
          <w:rFonts w:eastAsia="Times New Roman"/>
          <w:smallCaps/>
          <w:sz w:val="26"/>
          <w:szCs w:val="26"/>
          <w:lang w:eastAsia="en-US"/>
        </w:rPr>
      </w:pPr>
      <w:r w:rsidRPr="006654CC">
        <w:rPr>
          <w:rFonts w:eastAsia="Times New Roman"/>
          <w:smallCaps/>
          <w:sz w:val="26"/>
          <w:szCs w:val="26"/>
          <w:lang w:eastAsia="en-US"/>
        </w:rPr>
        <w:t xml:space="preserve">Total </w:t>
      </w:r>
      <w:r>
        <w:rPr>
          <w:rFonts w:eastAsia="Times New Roman"/>
          <w:smallCaps/>
          <w:sz w:val="26"/>
          <w:szCs w:val="26"/>
          <w:lang w:eastAsia="en-US"/>
        </w:rPr>
        <w:t xml:space="preserve">Part II </w:t>
      </w:r>
      <w:r w:rsidRPr="006654CC">
        <w:rPr>
          <w:rFonts w:eastAsia="Times New Roman"/>
          <w:smallCaps/>
          <w:sz w:val="26"/>
          <w:szCs w:val="26"/>
          <w:lang w:eastAsia="en-US"/>
        </w:rPr>
        <w:t>Arrest Rates by Offense Type</w:t>
      </w:r>
    </w:p>
    <w:p w:rsidR="00B71EDE" w:rsidRDefault="00B71EDE" w:rsidP="00B71EDE">
      <w:pPr>
        <w:pStyle w:val="NoSpacing"/>
      </w:pPr>
    </w:p>
    <w:p w:rsidR="008656A1" w:rsidRDefault="008656A1" w:rsidP="008656A1">
      <w:pPr>
        <w:pStyle w:val="NoSpacing"/>
      </w:pPr>
      <w:r w:rsidRPr="004362AB">
        <w:t>In addition to Part I Offenses, the FBI also tracks data on Part II Offenses, which cover all crimes not otherwise noted in Part I.  Those crime classifications include other assaults, forgery and counterfeiting, fraud, embezzlement, buying/possessing stolen property, vandalism, weapons carrying/possessing, prostitution, sex offenses, drug abuse violations, gambling, offenses against family/children, driving under</w:t>
      </w:r>
      <w:r>
        <w:t xml:space="preserve"> the</w:t>
      </w:r>
      <w:r w:rsidRPr="004362AB">
        <w:t xml:space="preserve"> influence, liquor law violations, drunkenness, disorderly conduct, vagrancy and all other offenses.  Part II </w:t>
      </w:r>
      <w:r>
        <w:t>Offenses</w:t>
      </w:r>
      <w:r w:rsidRPr="004362AB">
        <w:t xml:space="preserve"> also include</w:t>
      </w:r>
      <w:r>
        <w:t>:</w:t>
      </w:r>
      <w:r w:rsidRPr="004362AB">
        <w:t xml:space="preserve"> suspicion</w:t>
      </w:r>
      <w:r>
        <w:t>,</w:t>
      </w:r>
      <w:r w:rsidRPr="004362AB">
        <w:t xml:space="preserve"> and curfew/loitering law violations, which are status offenses.  </w:t>
      </w:r>
    </w:p>
    <w:p w:rsidR="00B71EDE" w:rsidRDefault="00B71EDE" w:rsidP="00B71EDE">
      <w:pPr>
        <w:pStyle w:val="NoSpacing"/>
      </w:pPr>
    </w:p>
    <w:p w:rsidR="00B71EDE" w:rsidRDefault="007624CE" w:rsidP="00B71EDE">
      <w:pPr>
        <w:pStyle w:val="NoSpacing"/>
      </w:pPr>
      <w:r>
        <w:t>Exhibited in Table 1</w:t>
      </w:r>
      <w:r w:rsidR="009A380B">
        <w:t>9</w:t>
      </w:r>
      <w:r>
        <w:t>, page 5</w:t>
      </w:r>
      <w:r w:rsidR="009A380B">
        <w:t>8</w:t>
      </w:r>
      <w:r>
        <w:t>, US Part II arrest rates were higher than statewide rates over the ten-year trend analysis.</w:t>
      </w:r>
    </w:p>
    <w:p w:rsidR="00AF6726" w:rsidRPr="001E123D" w:rsidRDefault="00AF6726" w:rsidP="001E123D">
      <w:pPr>
        <w:pStyle w:val="NoSpacing"/>
      </w:pPr>
    </w:p>
    <w:p w:rsidR="001E123D" w:rsidRDefault="001E123D">
      <w:pPr>
        <w:spacing w:after="200" w:line="276" w:lineRule="auto"/>
        <w:rPr>
          <w:b/>
          <w:u w:val="single"/>
        </w:rPr>
      </w:pPr>
      <w:r>
        <w:rPr>
          <w:b/>
          <w:u w:val="single"/>
        </w:rPr>
        <w:br w:type="page"/>
      </w:r>
    </w:p>
    <w:p w:rsidR="00966190" w:rsidRPr="004362AB" w:rsidRDefault="00966190" w:rsidP="00966190">
      <w:pPr>
        <w:ind w:left="2160" w:firstLine="720"/>
        <w:rPr>
          <w:rFonts w:eastAsia="Times New Roman"/>
          <w:b/>
          <w:sz w:val="20"/>
          <w:szCs w:val="20"/>
          <w:lang w:eastAsia="en-US"/>
        </w:rPr>
      </w:pPr>
      <w:r w:rsidRPr="004362AB">
        <w:rPr>
          <w:rFonts w:eastAsia="Times New Roman"/>
          <w:b/>
          <w:sz w:val="20"/>
          <w:szCs w:val="20"/>
          <w:lang w:eastAsia="en-US"/>
        </w:rPr>
        <w:lastRenderedPageBreak/>
        <w:t xml:space="preserve">                                    Rate (per 100,000 persons)</w:t>
      </w:r>
    </w:p>
    <w:p w:rsidR="009A380B" w:rsidRDefault="00966190" w:rsidP="009A380B">
      <w:pPr>
        <w:rPr>
          <w:sz w:val="16"/>
          <w:szCs w:val="16"/>
        </w:rPr>
      </w:pPr>
      <w:r>
        <w:rPr>
          <w:b/>
          <w:noProof/>
          <w:lang w:eastAsia="en-US"/>
        </w:rPr>
        <mc:AlternateContent>
          <mc:Choice Requires="wps">
            <w:drawing>
              <wp:anchor distT="0" distB="0" distL="114300" distR="114300" simplePos="0" relativeHeight="251665408" behindDoc="0" locked="0" layoutInCell="1" allowOverlap="1" wp14:anchorId="06F1D1D2" wp14:editId="060B2A01">
                <wp:simplePos x="0" y="0"/>
                <wp:positionH relativeFrom="column">
                  <wp:posOffset>3493135</wp:posOffset>
                </wp:positionH>
                <wp:positionV relativeFrom="paragraph">
                  <wp:posOffset>-1395095</wp:posOffset>
                </wp:positionV>
                <wp:extent cx="228600" cy="3076575"/>
                <wp:effectExtent l="9525" t="5715" r="9525" b="13335"/>
                <wp:wrapNone/>
                <wp:docPr id="9" name="Left Brac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28600" cy="3076575"/>
                        </a:xfrm>
                        <a:prstGeom prst="leftBrace">
                          <a:avLst>
                            <a:gd name="adj1" fmla="val 11215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A255B" id="Left Brace 9" o:spid="_x0000_s1026" type="#_x0000_t87" style="position:absolute;margin-left:275.05pt;margin-top:-109.85pt;width:18pt;height:242.2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Vm9jwIAAD0FAAAOAAAAZHJzL2Uyb0RvYy54bWysVF1v0zAUfUfiP1h+7/KxpB/R0mk0LUIa&#10;MGnwA1zbaQyOHWy36UD8d66drLTsBSHy4Ni+V8fn3Hvsm9tjK9GBGyu0KnFyFWPEFdVMqF2JP3/a&#10;TOYYWUcUI1IrXuInbvHt8vWrm74reKobLRk3CECULfquxI1zXRFFlja8JfZKd1xBsNamJQ6WZhcx&#10;Q3pAb2WUxvE06rVhndGUWwu71RDEy4Bf15y6j3VtuUOyxMDNhdGEcevHaHlDip0hXSPoSIP8A4uW&#10;CAWHnqAq4gjaG/ECqhXUaKtrd0V1G+m6FpQHDaAmif9Q89iQjgctUBzbncpk/x8s/XB4MEiwEi8w&#10;UqSFFt3z2qE3hlCOFr4+fWcLSHvsHoxXaLt7Tb9aCEQXEb+wkIO2/XvNAIfsnQ41OdamRUZD7fMs&#10;9l/YBe3oGBrxdGoEPzpEYTNN51NIQxRC1/Fsms9yzyQihcfyLDpj3VuuW+QnJZbAOVAO0ORwb13o&#10;Bhs1EfYlwahuJTT3QCRKkjTJr8funyWl50l54DqcO0ICg+eTPb7SGyElZJBCKtRDEfM0DxSsloL5&#10;oI9Zs9uupEFwMkgN3yjnIs3ovWIBrOGErce5I0IOczhcKo8HZRoF+oIFm/1YxIv1fD3PJlk6XU+y&#10;uKomd5tVNpluklleXVerVZX89NSSrGgEY1x5ds+WT7K/s9R4+Qaznkx/oeJC7CZ8L8VGlzRCa0HL&#10;8z+oC/byjhosuNXsCdwVfATWgDcH+t5o8x2jHu5vie23PTEcI/lOwQVZJFnmL3xYZPkshYU5j2zP&#10;I0RRgCqxw2iYrtzwSOw7I3YNnJSEtip9B66uhfOu8I4fWI0LuKNBwfie+EfgfB2yfr96y18AAAD/&#10;/wMAUEsDBBQABgAIAAAAIQD/axv23QAAAAgBAAAPAAAAZHJzL2Rvd25yZXYueG1sTI/BTsMwEETv&#10;SPyDtUjcqJMUoijEqQoSvYHUwqHc3HiJI+J1iN0k/D3LCY6jGc28qTaL68WEY+g8KUhXCQikxpuO&#10;WgVvr083BYgQNRnde0IF3xhgU19eVLo0fqY9TofYCi6hUGoFNsahlDI0Fp0OKz8gsffhR6cjy7GV&#10;ZtQzl7teZkmSS6c74gWrB3y02Hwezk7B/OL2XYrv22z3fDzS7uvBFpNV6vpq2d6DiLjEvzD84jM6&#10;1Mx08mcyQfQK1tkdo0cFtzkI9os0WYM4sU5ykHUl/x+ofwAAAP//AwBQSwECLQAUAAYACAAAACEA&#10;toM4kv4AAADhAQAAEwAAAAAAAAAAAAAAAAAAAAAAW0NvbnRlbnRfVHlwZXNdLnhtbFBLAQItABQA&#10;BgAIAAAAIQA4/SH/1gAAAJQBAAALAAAAAAAAAAAAAAAAAC8BAABfcmVscy8ucmVsc1BLAQItABQA&#10;BgAIAAAAIQA6RVm9jwIAAD0FAAAOAAAAAAAAAAAAAAAAAC4CAABkcnMvZTJvRG9jLnhtbFBLAQIt&#10;ABQABgAIAAAAIQD/axv23QAAAAgBAAAPAAAAAAAAAAAAAAAAAOkEAABkcnMvZG93bnJldi54bWxQ&#10;SwUGAAAAAAQABADzAAAA8wUAAAAA&#10;"/>
            </w:pict>
          </mc:Fallback>
        </mc:AlternateContent>
      </w:r>
    </w:p>
    <w:p w:rsidR="00966190" w:rsidRPr="009A380B" w:rsidRDefault="009A380B" w:rsidP="009A380B">
      <w:pPr>
        <w:rPr>
          <w:b/>
        </w:rPr>
      </w:pPr>
      <w:r w:rsidRPr="009A380B">
        <w:rPr>
          <w:b/>
        </w:rPr>
        <w:t>Table 19.</w:t>
      </w:r>
    </w:p>
    <w:p w:rsidR="00966190" w:rsidRDefault="00CD21DC" w:rsidP="00966190">
      <w:pPr>
        <w:pStyle w:val="NoSpacing"/>
      </w:pPr>
      <w:r w:rsidRPr="00CD21DC">
        <w:rPr>
          <w:noProof/>
          <w:lang w:eastAsia="en-US"/>
        </w:rPr>
        <w:drawing>
          <wp:inline distT="0" distB="0" distL="0" distR="0">
            <wp:extent cx="6066845" cy="67024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71710" cy="6707800"/>
                    </a:xfrm>
                    <a:prstGeom prst="rect">
                      <a:avLst/>
                    </a:prstGeom>
                    <a:noFill/>
                    <a:ln>
                      <a:noFill/>
                    </a:ln>
                  </pic:spPr>
                </pic:pic>
              </a:graphicData>
            </a:graphic>
          </wp:inline>
        </w:drawing>
      </w:r>
    </w:p>
    <w:p w:rsidR="00CD21DC" w:rsidRPr="004362AB" w:rsidRDefault="00966190" w:rsidP="00CD21DC">
      <w:pPr>
        <w:rPr>
          <w:i/>
          <w:sz w:val="18"/>
          <w:szCs w:val="18"/>
        </w:rPr>
      </w:pPr>
      <w:r>
        <w:rPr>
          <w:sz w:val="18"/>
          <w:szCs w:val="18"/>
        </w:rPr>
        <w:t>S</w:t>
      </w:r>
      <w:r w:rsidRPr="004362AB">
        <w:rPr>
          <w:sz w:val="18"/>
          <w:szCs w:val="18"/>
        </w:rPr>
        <w:t xml:space="preserve">ource: Federal Bureau of Investigation, </w:t>
      </w:r>
      <w:r w:rsidR="00CD21DC" w:rsidRPr="004362AB">
        <w:rPr>
          <w:i/>
          <w:sz w:val="18"/>
          <w:szCs w:val="18"/>
        </w:rPr>
        <w:t>Uniform Crime Reports</w:t>
      </w:r>
      <w:r w:rsidR="00CD21DC" w:rsidRPr="004362AB">
        <w:rPr>
          <w:sz w:val="18"/>
          <w:szCs w:val="18"/>
        </w:rPr>
        <w:t xml:space="preserve">, </w:t>
      </w:r>
      <w:r w:rsidR="00CD21DC">
        <w:rPr>
          <w:sz w:val="18"/>
          <w:szCs w:val="18"/>
        </w:rPr>
        <w:t xml:space="preserve">2007-2015, </w:t>
      </w:r>
      <w:r w:rsidR="00CD21DC" w:rsidRPr="004362AB">
        <w:rPr>
          <w:sz w:val="18"/>
          <w:szCs w:val="18"/>
        </w:rPr>
        <w:t>Table 41</w:t>
      </w:r>
      <w:r w:rsidR="00CD21DC">
        <w:rPr>
          <w:sz w:val="18"/>
          <w:szCs w:val="18"/>
        </w:rPr>
        <w:t>; 2016, Table 20</w:t>
      </w:r>
      <w:r w:rsidR="00CD21DC" w:rsidRPr="004362AB">
        <w:rPr>
          <w:sz w:val="18"/>
          <w:szCs w:val="18"/>
        </w:rPr>
        <w:t xml:space="preserve"> (National data) and </w:t>
      </w:r>
      <w:r w:rsidR="00CD21DC">
        <w:rPr>
          <w:sz w:val="18"/>
          <w:szCs w:val="18"/>
        </w:rPr>
        <w:t xml:space="preserve">2007-2015, </w:t>
      </w:r>
      <w:r w:rsidR="00CD21DC" w:rsidRPr="004362AB">
        <w:rPr>
          <w:sz w:val="18"/>
          <w:szCs w:val="18"/>
        </w:rPr>
        <w:t>Table 69</w:t>
      </w:r>
      <w:r w:rsidR="00CD21DC">
        <w:rPr>
          <w:sz w:val="18"/>
          <w:szCs w:val="18"/>
        </w:rPr>
        <w:t>; 2016, Table 22</w:t>
      </w:r>
      <w:r w:rsidR="00CD21DC" w:rsidRPr="004362AB">
        <w:rPr>
          <w:sz w:val="18"/>
          <w:szCs w:val="18"/>
        </w:rPr>
        <w:t xml:space="preserve"> (MA data).  </w:t>
      </w:r>
    </w:p>
    <w:p w:rsidR="00966190" w:rsidRDefault="00966190" w:rsidP="00966190">
      <w:pPr>
        <w:pStyle w:val="NoSpacing"/>
      </w:pPr>
    </w:p>
    <w:p w:rsidR="00966190" w:rsidRDefault="00966190">
      <w:pPr>
        <w:spacing w:after="200" w:line="276" w:lineRule="auto"/>
      </w:pPr>
      <w:r>
        <w:br w:type="page"/>
      </w:r>
    </w:p>
    <w:p w:rsidR="007A72F9" w:rsidRDefault="007A72F9" w:rsidP="006A3AE2">
      <w:r>
        <w:lastRenderedPageBreak/>
        <w:t>The rate of juvenile arrests for all Part II Offenses fell 9% in the one-year period from 2015 to 2016, and 64% over the ten-year period from 2007 to 2016, demonstrating a similar pattern of decrease seen for Part I Offenses over the same time frame.  Representing 73% of the Part II offense categories, the top six offenses with the highest crime rates for 2016 in descending order are – other assaults (23</w:t>
      </w:r>
      <w:r w:rsidR="004A2430">
        <w:t>.1</w:t>
      </w:r>
      <w:r>
        <w:t>),</w:t>
      </w:r>
      <w:r w:rsidRPr="000B486A">
        <w:t xml:space="preserve"> </w:t>
      </w:r>
      <w:r>
        <w:t>all other offenses (2</w:t>
      </w:r>
      <w:r w:rsidR="004A2430">
        <w:t>2.7</w:t>
      </w:r>
      <w:r>
        <w:t>),</w:t>
      </w:r>
      <w:r w:rsidRPr="000B486A">
        <w:t xml:space="preserve"> </w:t>
      </w:r>
      <w:r>
        <w:t>vandalism (6</w:t>
      </w:r>
      <w:r w:rsidR="004A2430">
        <w:t>.4</w:t>
      </w:r>
      <w:r>
        <w:t>),</w:t>
      </w:r>
      <w:r w:rsidRPr="000B486A">
        <w:t xml:space="preserve"> </w:t>
      </w:r>
      <w:r>
        <w:t>disorderly conduct (6</w:t>
      </w:r>
      <w:r w:rsidR="004A2430">
        <w:t>.1</w:t>
      </w:r>
      <w:r>
        <w:t>),</w:t>
      </w:r>
      <w:r w:rsidRPr="000B486A">
        <w:t xml:space="preserve"> </w:t>
      </w:r>
      <w:r>
        <w:t>liquor laws (</w:t>
      </w:r>
      <w:r w:rsidR="004A2430">
        <w:t>4.</w:t>
      </w:r>
      <w:r>
        <w:t>5), and drug abuse violations (</w:t>
      </w:r>
      <w:r w:rsidR="004A2430">
        <w:t>3.5</w:t>
      </w:r>
      <w:r>
        <w:t>)</w:t>
      </w:r>
      <w:r w:rsidR="009A380B">
        <w:t xml:space="preserve"> (Table 20)</w:t>
      </w:r>
      <w:r>
        <w:t>.</w:t>
      </w:r>
    </w:p>
    <w:p w:rsidR="00E55E54" w:rsidRDefault="00E55E54" w:rsidP="00E55E54"/>
    <w:p w:rsidR="00E55E54" w:rsidRPr="004362AB" w:rsidRDefault="00E55E54" w:rsidP="00E55E54">
      <w:pPr>
        <w:spacing w:after="200" w:line="276" w:lineRule="auto"/>
        <w:ind w:left="3600" w:firstLine="720"/>
        <w:rPr>
          <w:rFonts w:eastAsia="Times New Roman"/>
          <w:b/>
          <w:sz w:val="20"/>
          <w:szCs w:val="20"/>
          <w:lang w:eastAsia="en-US"/>
        </w:rPr>
      </w:pPr>
      <w:r>
        <w:rPr>
          <w:b/>
          <w:noProof/>
          <w:lang w:eastAsia="en-US"/>
        </w:rPr>
        <mc:AlternateContent>
          <mc:Choice Requires="wps">
            <w:drawing>
              <wp:anchor distT="0" distB="0" distL="114300" distR="114300" simplePos="0" relativeHeight="251661312" behindDoc="0" locked="0" layoutInCell="1" allowOverlap="1" wp14:anchorId="687A2953" wp14:editId="31904014">
                <wp:simplePos x="0" y="0"/>
                <wp:positionH relativeFrom="column">
                  <wp:posOffset>3449720</wp:posOffset>
                </wp:positionH>
                <wp:positionV relativeFrom="paragraph">
                  <wp:posOffset>-1234123</wp:posOffset>
                </wp:positionV>
                <wp:extent cx="228600" cy="3076575"/>
                <wp:effectExtent l="4762" t="0" r="23813" b="23812"/>
                <wp:wrapNone/>
                <wp:docPr id="56" name="Left Brac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28600" cy="3076575"/>
                        </a:xfrm>
                        <a:prstGeom prst="leftBrace">
                          <a:avLst>
                            <a:gd name="adj1" fmla="val 11215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2A1A4" id="Left Brace 56" o:spid="_x0000_s1026" type="#_x0000_t87" style="position:absolute;margin-left:271.65pt;margin-top:-97.2pt;width:18pt;height:242.2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i7okAIAAD8FAAAOAAAAZHJzL2Uyb0RvYy54bWysVF1v0zAUfUfiP1h+7/KxpB/R0mk0LUIa&#10;MGnwA1zbaQyOHWy36UD8d66drLTsBSHy4Ni+V8fn3Hvsm9tjK9GBGyu0KnFyFWPEFdVMqF2JP3/a&#10;TOYYWUcUI1IrXuInbvHt8vWrm74reKobLRk3CECULfquxI1zXRFFlja8JfZKd1xBsNamJQ6WZhcx&#10;Q3pAb2WUxvE06rVhndGUWwu71RDEy4Bf15y6j3VtuUOyxMDNhdGEcevHaHlDip0hXSPoSIP8A4uW&#10;CAWHnqAq4gjaG/ECqhXUaKtrd0V1G+m6FpQHDaAmif9Q89iQjgctUBzbncpk/x8s/XB4MEiwEudT&#10;jBRpoUf3vHbojSGUI9iECvWdLSDxsXswXqPt7jX9aiEQXUT8wkIO2vbvNQMgsnc6VOVYmxYZDdXP&#10;s9h/YRfUo2NoxdOpFfzoEIXNNJ1PIQ1RCF3Hs2k+yz2TiBQey7PojHVvuW6Rn5RYAunAOUCTw711&#10;oR9sFEXYlwSjupXQ3gORKEnSJL8e+3+WlJ4n5YHrcO4ICQyeT/b4Sm+ElJBBCqlQX+JFnuaBgtVS&#10;MB/0MWt225U0CE4GqeEb5VykGb1XLIA1nLD1OHdEyGEOh0vl8aBMo0BfsGC0H4t4sZ6v59kkS6fr&#10;SRZX1eRus8om000yy6vrarWqkp+eWpIVjWCMK8/u2fRJ9nemGq/fYNeT7S9UXIjdhO+l2OiSRmgt&#10;aHn+B3XBXt5RgwW3mj2Bu4KPwBrw6kDfG22+Y9TDDS6x/bYnhmMk3ym4Iosky/yVD4ssn6WwMOeR&#10;7XmEKApQJXYYDdOVG56JfWfEroGTktBWpe/A1bVw3hXe8QOrcQG3NCgYXxT/DJyvQ9bvd2/5CwAA&#10;//8DAFBLAwQUAAYACAAAACEAed6ZIN8AAAAJAQAADwAAAGRycy9kb3ducmV2LnhtbEyPQU+DQBSE&#10;7yb+h80z8WYXaNoA5dFUE3vTpNVDvW3hlSWyb5HdAv5715MeJzOZ+abYzqYTIw2utYwQLyIQxJWt&#10;W24Q3t+eH1IQziuuVWeZEL7Jwba8vSlUXtuJDzQefSNCCbtcIWjv+1xKV2kyyi1sTxy8ix2M8kEO&#10;jawHNYVy08kkitbSqJbDglY9PWmqPo9XgzC9mkMb08cu2b+cTrz/etTpqBHv7+bdBoSn2f+F4Rc/&#10;oEMZmM72yrUTHcIyzsIXj5BkGYgQSKPlCsQZYb3KQJaF/P+g/AEAAP//AwBQSwECLQAUAAYACAAA&#10;ACEAtoM4kv4AAADhAQAAEwAAAAAAAAAAAAAAAAAAAAAAW0NvbnRlbnRfVHlwZXNdLnhtbFBLAQIt&#10;ABQABgAIAAAAIQA4/SH/1gAAAJQBAAALAAAAAAAAAAAAAAAAAC8BAABfcmVscy8ucmVsc1BLAQIt&#10;ABQABgAIAAAAIQAY3i7okAIAAD8FAAAOAAAAAAAAAAAAAAAAAC4CAABkcnMvZTJvRG9jLnhtbFBL&#10;AQItABQABgAIAAAAIQB53pkg3wAAAAkBAAAPAAAAAAAAAAAAAAAAAOoEAABkcnMvZG93bnJldi54&#10;bWxQSwUGAAAAAAQABADzAAAA9gUAAAAA&#10;"/>
            </w:pict>
          </mc:Fallback>
        </mc:AlternateContent>
      </w:r>
      <w:r w:rsidRPr="004362AB">
        <w:rPr>
          <w:rFonts w:eastAsia="Times New Roman"/>
          <w:b/>
          <w:sz w:val="20"/>
          <w:szCs w:val="20"/>
          <w:lang w:eastAsia="en-US"/>
        </w:rPr>
        <w:t>Rate (per 100,000 persons)</w:t>
      </w:r>
    </w:p>
    <w:p w:rsidR="00E55E54" w:rsidRPr="004362AB" w:rsidRDefault="00E55E54" w:rsidP="00E55E54">
      <w:pPr>
        <w:rPr>
          <w:b/>
        </w:rPr>
      </w:pPr>
      <w:r w:rsidRPr="004362AB">
        <w:rPr>
          <w:b/>
        </w:rPr>
        <w:t xml:space="preserve">Table </w:t>
      </w:r>
      <w:r w:rsidR="003077B8">
        <w:rPr>
          <w:b/>
        </w:rPr>
        <w:t>20</w:t>
      </w:r>
      <w:r w:rsidRPr="004362AB">
        <w:rPr>
          <w:b/>
        </w:rPr>
        <w:t xml:space="preserve">. </w:t>
      </w:r>
    </w:p>
    <w:p w:rsidR="00E55E54" w:rsidRDefault="007A72F9" w:rsidP="00E55E54">
      <w:pPr>
        <w:jc w:val="both"/>
        <w:rPr>
          <w:sz w:val="16"/>
        </w:rPr>
      </w:pPr>
      <w:r w:rsidRPr="00DC4C74">
        <w:rPr>
          <w:noProof/>
          <w:lang w:eastAsia="en-US"/>
        </w:rPr>
        <w:drawing>
          <wp:inline distT="0" distB="0" distL="0" distR="0" wp14:anchorId="19816566" wp14:editId="141BB63A">
            <wp:extent cx="5943600" cy="35966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596640"/>
                    </a:xfrm>
                    <a:prstGeom prst="rect">
                      <a:avLst/>
                    </a:prstGeom>
                    <a:noFill/>
                    <a:ln>
                      <a:noFill/>
                    </a:ln>
                  </pic:spPr>
                </pic:pic>
              </a:graphicData>
            </a:graphic>
          </wp:inline>
        </w:drawing>
      </w:r>
    </w:p>
    <w:p w:rsidR="00E55E54" w:rsidRPr="003649C1" w:rsidRDefault="00E55E54" w:rsidP="00E55E54">
      <w:pPr>
        <w:ind w:right="-90"/>
        <w:rPr>
          <w:sz w:val="18"/>
          <w:szCs w:val="18"/>
        </w:rPr>
      </w:pPr>
      <w:r w:rsidRPr="003649C1">
        <w:rPr>
          <w:sz w:val="18"/>
          <w:szCs w:val="18"/>
        </w:rPr>
        <w:t xml:space="preserve">Source: Federal Bureau of Investigation, </w:t>
      </w:r>
      <w:r w:rsidRPr="003649C1">
        <w:rPr>
          <w:i/>
          <w:sz w:val="18"/>
          <w:szCs w:val="18"/>
        </w:rPr>
        <w:t>Uniform Crime Reports</w:t>
      </w:r>
      <w:r w:rsidRPr="003649C1">
        <w:rPr>
          <w:sz w:val="18"/>
          <w:szCs w:val="18"/>
        </w:rPr>
        <w:t>, Table 69</w:t>
      </w:r>
      <w:r w:rsidR="00966190">
        <w:rPr>
          <w:sz w:val="18"/>
          <w:szCs w:val="18"/>
        </w:rPr>
        <w:t>, 2006-2015</w:t>
      </w:r>
      <w:r w:rsidRPr="003649C1">
        <w:rPr>
          <w:sz w:val="18"/>
          <w:szCs w:val="18"/>
        </w:rPr>
        <w:t xml:space="preserve">.  </w:t>
      </w:r>
    </w:p>
    <w:p w:rsidR="00E55E54" w:rsidRPr="00923AC4" w:rsidRDefault="00E55E54" w:rsidP="004A2430">
      <w:r w:rsidRPr="003649C1">
        <w:rPr>
          <w:sz w:val="18"/>
          <w:szCs w:val="18"/>
        </w:rPr>
        <w:t>*Note: Runaways were last reported in the 2009 UCR.</w:t>
      </w:r>
    </w:p>
    <w:sectPr w:rsidR="00E55E54" w:rsidRPr="00923AC4" w:rsidSect="002318D3">
      <w:footerReference w:type="default" r:id="rId4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63B0" w:rsidRDefault="006E63B0" w:rsidP="00E55E54">
      <w:r>
        <w:separator/>
      </w:r>
    </w:p>
  </w:endnote>
  <w:endnote w:type="continuationSeparator" w:id="0">
    <w:p w:rsidR="006E63B0" w:rsidRDefault="006E63B0" w:rsidP="00E55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decorative"/>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altName w:val=" 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Lucida Sans">
    <w:panose1 w:val="020B0602030504020204"/>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4867138"/>
      <w:docPartObj>
        <w:docPartGallery w:val="Page Numbers (Bottom of Page)"/>
        <w:docPartUnique/>
      </w:docPartObj>
    </w:sdtPr>
    <w:sdtEndPr>
      <w:rPr>
        <w:noProof/>
      </w:rPr>
    </w:sdtEndPr>
    <w:sdtContent>
      <w:p w:rsidR="002238BE" w:rsidRDefault="002238BE">
        <w:pPr>
          <w:pStyle w:val="Footer"/>
          <w:jc w:val="right"/>
        </w:pPr>
        <w:r>
          <w:fldChar w:fldCharType="begin"/>
        </w:r>
        <w:r>
          <w:instrText xml:space="preserve"> PAGE   \* MERGEFORMAT </w:instrText>
        </w:r>
        <w:r>
          <w:fldChar w:fldCharType="separate"/>
        </w:r>
        <w:r w:rsidR="005C3B04">
          <w:rPr>
            <w:noProof/>
          </w:rPr>
          <w:t>24</w:t>
        </w:r>
        <w:r>
          <w:rPr>
            <w:noProof/>
          </w:rPr>
          <w:fldChar w:fldCharType="end"/>
        </w:r>
      </w:p>
    </w:sdtContent>
  </w:sdt>
  <w:p w:rsidR="002238BE" w:rsidRDefault="002238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63B0" w:rsidRDefault="006E63B0" w:rsidP="00E55E54">
      <w:r>
        <w:separator/>
      </w:r>
    </w:p>
  </w:footnote>
  <w:footnote w:type="continuationSeparator" w:id="0">
    <w:p w:rsidR="006E63B0" w:rsidRDefault="006E63B0" w:rsidP="00E55E54">
      <w:r>
        <w:continuationSeparator/>
      </w:r>
    </w:p>
  </w:footnote>
  <w:footnote w:id="1">
    <w:p w:rsidR="002238BE" w:rsidRDefault="002238BE">
      <w:pPr>
        <w:pStyle w:val="FootnoteText"/>
      </w:pPr>
      <w:r>
        <w:rPr>
          <w:rStyle w:val="FootnoteReference"/>
        </w:rPr>
        <w:footnoteRef/>
      </w:r>
      <w:r>
        <w:t xml:space="preserve"> Nadeau, G. Massachusetts State Police Gang Unit, </w:t>
      </w:r>
      <w:r w:rsidRPr="005F08C3">
        <w:rPr>
          <w:i/>
        </w:rPr>
        <w:t>Street Gangs: Intelligence &amp; Awareness Training,</w:t>
      </w:r>
      <w:r>
        <w:t xml:space="preserve"> 2013. </w:t>
      </w:r>
      <w:hyperlink r:id="rId1" w:history="1">
        <w:r w:rsidRPr="00D90E7B">
          <w:rPr>
            <w:rStyle w:val="Hyperlink"/>
          </w:rPr>
          <w:t>https://www.neushi.org/student/programs/attachments/shi_gang.pdf</w:t>
        </w:r>
      </w:hyperlink>
    </w:p>
    <w:p w:rsidR="002238BE" w:rsidRDefault="002238BE">
      <w:pPr>
        <w:pStyle w:val="FootnoteText"/>
      </w:pPr>
    </w:p>
  </w:footnote>
  <w:footnote w:id="2">
    <w:p w:rsidR="002238BE" w:rsidRPr="004B5E42" w:rsidRDefault="002238BE" w:rsidP="00676D8A">
      <w:pPr>
        <w:rPr>
          <w:sz w:val="20"/>
          <w:szCs w:val="20"/>
        </w:rPr>
      </w:pPr>
      <w:r w:rsidRPr="005D6F14">
        <w:rPr>
          <w:rStyle w:val="FootnoteReference"/>
          <w:sz w:val="18"/>
          <w:szCs w:val="18"/>
        </w:rPr>
        <w:footnoteRef/>
      </w:r>
      <w:r w:rsidRPr="005D6F14">
        <w:rPr>
          <w:sz w:val="18"/>
          <w:szCs w:val="18"/>
        </w:rPr>
        <w:t xml:space="preserve"> </w:t>
      </w:r>
      <w:r>
        <w:rPr>
          <w:sz w:val="20"/>
          <w:szCs w:val="20"/>
        </w:rPr>
        <w:t>J</w:t>
      </w:r>
      <w:r w:rsidRPr="004B5E42">
        <w:rPr>
          <w:sz w:val="20"/>
          <w:szCs w:val="20"/>
        </w:rPr>
        <w:t>uveniles are defined as individuals under the age of 18.  All rates are calculated per 100,000 persons in the total population; population figures include both juveniles and adults within a given locale (Massachusetts and the United States, respectively).</w:t>
      </w:r>
    </w:p>
  </w:footnote>
  <w:footnote w:id="3">
    <w:p w:rsidR="002238BE" w:rsidRPr="004B5E42" w:rsidRDefault="002238BE" w:rsidP="00676D8A">
      <w:pPr>
        <w:pStyle w:val="FootnoteText"/>
      </w:pPr>
      <w:r w:rsidRPr="004B5E42">
        <w:rPr>
          <w:rStyle w:val="FootnoteReference"/>
        </w:rPr>
        <w:footnoteRef/>
      </w:r>
      <w:r w:rsidRPr="004B5E42">
        <w:t xml:space="preserve"> FBI figures include only those agencies that voluntarily report their crime data on an annual basis.</w:t>
      </w:r>
    </w:p>
  </w:footnote>
  <w:footnote w:id="4">
    <w:p w:rsidR="002238BE" w:rsidRDefault="002238BE">
      <w:pPr>
        <w:pStyle w:val="FootnoteText"/>
      </w:pPr>
      <w:r>
        <w:rPr>
          <w:rStyle w:val="FootnoteReference"/>
        </w:rPr>
        <w:footnoteRef/>
      </w:r>
      <w:r>
        <w:t xml:space="preserve"> Centers for Disease Control and Prevention, </w:t>
      </w:r>
      <w:r w:rsidRPr="004C23CA">
        <w:rPr>
          <w:i/>
        </w:rPr>
        <w:t>Massachusetts Youth Risk Behavior Surveillance System, 2017.</w:t>
      </w:r>
      <w:r w:rsidRPr="004C23CA">
        <w:t xml:space="preserve"> </w:t>
      </w:r>
      <w:hyperlink r:id="rId2" w:history="1">
        <w:r w:rsidRPr="00A25768">
          <w:rPr>
            <w:rStyle w:val="Hyperlink"/>
          </w:rPr>
          <w:t>https://www.cdc.gov/healthyyouth/data/yrbs/overview.htm</w:t>
        </w:r>
      </w:hyperlink>
    </w:p>
  </w:footnote>
  <w:footnote w:id="5">
    <w:p w:rsidR="002238BE" w:rsidRPr="00FD126B" w:rsidRDefault="002238BE" w:rsidP="00D417B1">
      <w:pPr>
        <w:rPr>
          <w:sz w:val="20"/>
          <w:szCs w:val="20"/>
        </w:rPr>
      </w:pPr>
      <w:r w:rsidRPr="00FD126B">
        <w:rPr>
          <w:rStyle w:val="FootnoteReference"/>
          <w:sz w:val="20"/>
          <w:szCs w:val="20"/>
        </w:rPr>
        <w:footnoteRef/>
      </w:r>
      <w:r w:rsidRPr="00FD126B">
        <w:rPr>
          <w:sz w:val="20"/>
          <w:szCs w:val="20"/>
        </w:rPr>
        <w:t xml:space="preserve"> </w:t>
      </w:r>
      <w:r>
        <w:rPr>
          <w:sz w:val="20"/>
          <w:szCs w:val="20"/>
        </w:rPr>
        <w:t>For</w:t>
      </w:r>
      <w:r w:rsidRPr="00FD126B">
        <w:rPr>
          <w:sz w:val="20"/>
          <w:szCs w:val="20"/>
        </w:rPr>
        <w:t xml:space="preserve"> students who identify their sexual orientation as Gay, Lesbian, and Bisexual</w:t>
      </w:r>
      <w:r>
        <w:rPr>
          <w:sz w:val="20"/>
          <w:szCs w:val="20"/>
        </w:rPr>
        <w:t xml:space="preserve">, 34% </w:t>
      </w:r>
      <w:r w:rsidRPr="00FD126B">
        <w:rPr>
          <w:sz w:val="20"/>
          <w:szCs w:val="20"/>
        </w:rPr>
        <w:t>report being bullied at school in the past year</w:t>
      </w:r>
      <w:r>
        <w:rPr>
          <w:sz w:val="20"/>
          <w:szCs w:val="20"/>
        </w:rPr>
        <w:t xml:space="preserve"> </w:t>
      </w:r>
      <w:r w:rsidRPr="00FD126B">
        <w:rPr>
          <w:sz w:val="20"/>
          <w:szCs w:val="20"/>
        </w:rPr>
        <w:t xml:space="preserve">in contrast to 14% who identify as heterosexual. </w:t>
      </w:r>
    </w:p>
    <w:p w:rsidR="002238BE" w:rsidRDefault="002238BE" w:rsidP="00D417B1">
      <w:pPr>
        <w:pStyle w:val="FootnoteText"/>
      </w:pPr>
    </w:p>
  </w:footnote>
  <w:footnote w:id="6">
    <w:p w:rsidR="002238BE" w:rsidRDefault="002238BE" w:rsidP="0069707F">
      <w:pPr>
        <w:jc w:val="both"/>
      </w:pPr>
      <w:r>
        <w:rPr>
          <w:rStyle w:val="FootnoteReference"/>
        </w:rPr>
        <w:footnoteRef/>
      </w:r>
      <w:r>
        <w:t xml:space="preserve"> </w:t>
      </w:r>
      <w:r w:rsidRPr="001D6FD9">
        <w:rPr>
          <w:sz w:val="20"/>
        </w:rPr>
        <w:t>See “</w:t>
      </w:r>
      <w:r w:rsidRPr="00092636">
        <w:rPr>
          <w:i/>
          <w:sz w:val="20"/>
        </w:rPr>
        <w:t>From Cell to Street: A Plan to Supervise Inmates After Release.</w:t>
      </w:r>
      <w:r w:rsidRPr="001D6FD9">
        <w:rPr>
          <w:sz w:val="20"/>
        </w:rPr>
        <w:t>”</w:t>
      </w:r>
      <w:r w:rsidRPr="001D6FD9">
        <w:rPr>
          <w:i/>
          <w:sz w:val="20"/>
        </w:rPr>
        <w:t xml:space="preserve"> </w:t>
      </w:r>
      <w:r w:rsidRPr="001D6FD9">
        <w:rPr>
          <w:sz w:val="20"/>
        </w:rPr>
        <w:t>MassINC (January 2002); “</w:t>
      </w:r>
      <w:r w:rsidRPr="00092636">
        <w:rPr>
          <w:i/>
          <w:sz w:val="20"/>
        </w:rPr>
        <w:t>Parole Practices in Massachusetts and Their Effect on Community Reintegration.</w:t>
      </w:r>
      <w:r w:rsidRPr="001D6FD9">
        <w:rPr>
          <w:sz w:val="20"/>
        </w:rPr>
        <w:t>”</w:t>
      </w:r>
      <w:r w:rsidRPr="001D6FD9">
        <w:rPr>
          <w:i/>
          <w:sz w:val="20"/>
        </w:rPr>
        <w:t xml:space="preserve"> </w:t>
      </w:r>
      <w:r w:rsidRPr="001D6FD9">
        <w:rPr>
          <w:sz w:val="20"/>
        </w:rPr>
        <w:t>Boston Bar Association Task Force on Parole and Community Reintegration (August 2002); “</w:t>
      </w:r>
      <w:r w:rsidRPr="00092636">
        <w:rPr>
          <w:i/>
          <w:sz w:val="20"/>
        </w:rPr>
        <w:t>Governor’s Commission on Criminal Justice Innovation: Final Report”</w:t>
      </w:r>
      <w:r w:rsidRPr="001D6FD9">
        <w:rPr>
          <w:i/>
          <w:sz w:val="20"/>
        </w:rPr>
        <w:t xml:space="preserve"> </w:t>
      </w:r>
      <w:r w:rsidRPr="001D6FD9">
        <w:rPr>
          <w:sz w:val="20"/>
        </w:rPr>
        <w:t>(2004); “</w:t>
      </w:r>
      <w:r w:rsidRPr="00092636">
        <w:rPr>
          <w:i/>
          <w:sz w:val="20"/>
        </w:rPr>
        <w:t>From Incarceration to Community: A Roadmap to Improving Prisoner Reentry and System Accountability in Massachusetts</w:t>
      </w:r>
      <w:r w:rsidRPr="001D6FD9">
        <w:rPr>
          <w:sz w:val="20"/>
        </w:rPr>
        <w:t>.”</w:t>
      </w:r>
      <w:r w:rsidRPr="001D6FD9">
        <w:rPr>
          <w:i/>
          <w:sz w:val="20"/>
        </w:rPr>
        <w:t xml:space="preserve"> </w:t>
      </w:r>
      <w:r w:rsidRPr="001D6FD9">
        <w:rPr>
          <w:sz w:val="20"/>
        </w:rPr>
        <w:t>Crime and Justice Institute (June 3, 2004); “</w:t>
      </w:r>
      <w:r w:rsidRPr="00092636">
        <w:rPr>
          <w:i/>
          <w:sz w:val="20"/>
        </w:rPr>
        <w:t>Strengthening Public Safety, Increasing Accountability, and Instituting Fiscal Responsibility in the Department of Correction</w:t>
      </w:r>
      <w:r w:rsidRPr="00A67694">
        <w:rPr>
          <w:sz w:val="20"/>
        </w:rPr>
        <w:t>.” Governor’s Commission on Corrections Reform (June 30, 2004).</w:t>
      </w:r>
      <w:r>
        <w:rPr>
          <w:sz w:val="20"/>
        </w:rPr>
        <w:t xml:space="preserve">  “</w:t>
      </w:r>
      <w:r w:rsidRPr="00092636">
        <w:rPr>
          <w:i/>
          <w:sz w:val="20"/>
        </w:rPr>
        <w:t xml:space="preserve">Prisoner Reentry in Massachusetts.” </w:t>
      </w:r>
      <w:r>
        <w:rPr>
          <w:sz w:val="20"/>
        </w:rPr>
        <w:t>Urban Institute (March 2005).</w:t>
      </w:r>
    </w:p>
  </w:footnote>
  <w:footnote w:id="7">
    <w:p w:rsidR="002238BE" w:rsidRDefault="002238BE" w:rsidP="0069707F">
      <w:pPr>
        <w:pStyle w:val="FootnoteText"/>
      </w:pPr>
      <w:r>
        <w:rPr>
          <w:rStyle w:val="FootnoteReference"/>
        </w:rPr>
        <w:footnoteRef/>
      </w:r>
      <w:r>
        <w:t xml:space="preserve"> Carson, E. Ann, “</w:t>
      </w:r>
      <w:r w:rsidRPr="00C803E6">
        <w:rPr>
          <w:i/>
        </w:rPr>
        <w:t>Prisoners in 201</w:t>
      </w:r>
      <w:r>
        <w:rPr>
          <w:i/>
        </w:rPr>
        <w:t>6</w:t>
      </w:r>
      <w:r>
        <w:t xml:space="preserve">,” BJS Bulletin, January 2018, NCJ 251149. </w:t>
      </w:r>
      <w:hyperlink r:id="rId3" w:history="1">
        <w:r w:rsidRPr="00960D38">
          <w:rPr>
            <w:rStyle w:val="Hyperlink"/>
          </w:rPr>
          <w:t>https://www.bjs.gov/content/pub/pdf/p16.pdf</w:t>
        </w:r>
      </w:hyperlink>
    </w:p>
  </w:footnote>
  <w:footnote w:id="8">
    <w:p w:rsidR="002238BE" w:rsidRDefault="002238BE">
      <w:pPr>
        <w:pStyle w:val="FootnoteText"/>
      </w:pPr>
      <w:r>
        <w:rPr>
          <w:rStyle w:val="FootnoteReference"/>
        </w:rPr>
        <w:footnoteRef/>
      </w:r>
      <w:r>
        <w:t xml:space="preserve"> </w:t>
      </w:r>
      <w:r>
        <w:t>Kaeble, Danielle “Probation and Parole in the United States, 2016” BJS Bulletin, April 2018, NCJ 251148.</w:t>
      </w:r>
      <w:r w:rsidRPr="00AB224D">
        <w:t xml:space="preserve"> </w:t>
      </w:r>
      <w:hyperlink r:id="rId4" w:history="1">
        <w:r w:rsidRPr="00960D38">
          <w:rPr>
            <w:rStyle w:val="Hyperlink"/>
          </w:rPr>
          <w:t>https://www.bjs.gov/content/pub/pdf/ppus16.pdf</w:t>
        </w:r>
      </w:hyperlink>
    </w:p>
  </w:footnote>
  <w:footnote w:id="9">
    <w:p w:rsidR="002238BE" w:rsidRDefault="002238BE">
      <w:pPr>
        <w:pStyle w:val="FootnoteText"/>
      </w:pPr>
      <w:r>
        <w:rPr>
          <w:rStyle w:val="FootnoteReference"/>
        </w:rPr>
        <w:footnoteRef/>
      </w:r>
      <w:r>
        <w:t xml:space="preserve"> National Institute of Justice.  Online. Available: </w:t>
      </w:r>
      <w:hyperlink r:id="rId5" w:history="1">
        <w:r w:rsidRPr="000B41D6">
          <w:rPr>
            <w:rStyle w:val="Hyperlink"/>
          </w:rPr>
          <w:t>https://www.nij.gov/topics/corrections/recidivism/pages/welcome.aspx</w:t>
        </w:r>
      </w:hyperlink>
    </w:p>
  </w:footnote>
  <w:footnote w:id="10">
    <w:p w:rsidR="002238BE" w:rsidRDefault="002238BE">
      <w:pPr>
        <w:pStyle w:val="FootnoteText"/>
      </w:pPr>
      <w:r>
        <w:rPr>
          <w:rStyle w:val="FootnoteReference"/>
        </w:rPr>
        <w:footnoteRef/>
      </w:r>
      <w:r>
        <w:t xml:space="preserve"> The updated study by BJS analyzed the offending patterns of a sample of 67,966 prisoners who were among the 401,288 state prisoners released in 2005 in 30 states. </w:t>
      </w:r>
    </w:p>
  </w:footnote>
  <w:footnote w:id="11">
    <w:p w:rsidR="002238BE" w:rsidRDefault="002238BE" w:rsidP="0037625C">
      <w:pPr>
        <w:pStyle w:val="FootnoteText"/>
        <w:rPr>
          <w:rStyle w:val="Emphasis"/>
          <w:i w:val="0"/>
        </w:rPr>
      </w:pPr>
      <w:r>
        <w:rPr>
          <w:rStyle w:val="FootnoteReference"/>
        </w:rPr>
        <w:footnoteRef/>
      </w:r>
      <w:r>
        <w:t xml:space="preserve"> Mariel </w:t>
      </w:r>
      <w:r>
        <w:t>Alper, Ph.D.</w:t>
      </w:r>
      <w:r>
        <w:rPr>
          <w:rStyle w:val="Emphasis"/>
          <w:i w:val="0"/>
        </w:rPr>
        <w:t>, and Matthew R. Durose,</w:t>
      </w:r>
      <w:r w:rsidRPr="00A736E6">
        <w:rPr>
          <w:rStyle w:val="Emphasis"/>
          <w:i w:val="0"/>
        </w:rPr>
        <w:t xml:space="preserve"> </w:t>
      </w:r>
      <w:r>
        <w:rPr>
          <w:rStyle w:val="Emphasis"/>
          <w:i w:val="0"/>
        </w:rPr>
        <w:t>“</w:t>
      </w:r>
      <w:r w:rsidRPr="00296DCC">
        <w:rPr>
          <w:rStyle w:val="Emphasis"/>
        </w:rPr>
        <w:t>2018 Update on Prisoner Recidivism: A 9-Year Follow-up Period (2005-2014)</w:t>
      </w:r>
      <w:r>
        <w:rPr>
          <w:rStyle w:val="Emphasis"/>
          <w:i w:val="0"/>
        </w:rPr>
        <w:t xml:space="preserve">” </w:t>
      </w:r>
      <w:r w:rsidRPr="00A736E6">
        <w:rPr>
          <w:color w:val="444444"/>
        </w:rPr>
        <w:t>B</w:t>
      </w:r>
      <w:r w:rsidRPr="00A736E6">
        <w:rPr>
          <w:rStyle w:val="Emphasis"/>
          <w:i w:val="0"/>
        </w:rPr>
        <w:t>ureau of Justice Statistics</w:t>
      </w:r>
      <w:r>
        <w:rPr>
          <w:rStyle w:val="Emphasis"/>
          <w:i w:val="0"/>
        </w:rPr>
        <w:t>,</w:t>
      </w:r>
      <w:r w:rsidRPr="00A736E6">
        <w:rPr>
          <w:rStyle w:val="Emphasis"/>
          <w:i w:val="0"/>
        </w:rPr>
        <w:t xml:space="preserve"> </w:t>
      </w:r>
      <w:r>
        <w:rPr>
          <w:rStyle w:val="Emphasis"/>
          <w:i w:val="0"/>
        </w:rPr>
        <w:t xml:space="preserve">May 2018 NCJ 250975, </w:t>
      </w:r>
      <w:hyperlink r:id="rId6" w:history="1">
        <w:r w:rsidRPr="00672427">
          <w:rPr>
            <w:rStyle w:val="Hyperlink"/>
          </w:rPr>
          <w:t>https://www.bjs.gov/content/pub/pdf/18upr9yfup0514.pdf</w:t>
        </w:r>
      </w:hyperlink>
    </w:p>
    <w:p w:rsidR="002238BE" w:rsidRPr="00296DCC" w:rsidRDefault="002238BE" w:rsidP="0037625C">
      <w:pPr>
        <w:pStyle w:val="FootnoteText"/>
        <w:rPr>
          <w:iCs/>
        </w:rPr>
      </w:pPr>
    </w:p>
    <w:p w:rsidR="002238BE" w:rsidRDefault="002238BE">
      <w:pPr>
        <w:pStyle w:val="FootnoteText"/>
      </w:pPr>
    </w:p>
  </w:footnote>
  <w:footnote w:id="12">
    <w:p w:rsidR="002238BE" w:rsidRDefault="002238BE">
      <w:pPr>
        <w:pStyle w:val="FootnoteText"/>
      </w:pPr>
      <w:r>
        <w:rPr>
          <w:rStyle w:val="FootnoteReference"/>
        </w:rPr>
        <w:footnoteRef/>
      </w:r>
      <w:r>
        <w:t xml:space="preserve"> Massachusetts Department of Correction, </w:t>
      </w:r>
      <w:r w:rsidRPr="0082049C">
        <w:rPr>
          <w:i/>
        </w:rPr>
        <w:t>“Prison Population Trends 201</w:t>
      </w:r>
      <w:r>
        <w:rPr>
          <w:i/>
        </w:rPr>
        <w:t>7</w:t>
      </w:r>
      <w:r w:rsidRPr="0082049C">
        <w:rPr>
          <w:i/>
        </w:rPr>
        <w:t>,”</w:t>
      </w:r>
      <w:r>
        <w:t xml:space="preserve"> March 2018.</w:t>
      </w:r>
    </w:p>
  </w:footnote>
  <w:footnote w:id="13">
    <w:p w:rsidR="002238BE" w:rsidRDefault="002238BE" w:rsidP="003A4CFA">
      <w:pPr>
        <w:pStyle w:val="NoSpacing"/>
      </w:pPr>
      <w:r>
        <w:rPr>
          <w:rStyle w:val="FootnoteReference"/>
        </w:rPr>
        <w:footnoteRef/>
      </w:r>
      <w:r>
        <w:t xml:space="preserve"> </w:t>
      </w:r>
      <w:r w:rsidRPr="00690F0D">
        <w:rPr>
          <w:sz w:val="20"/>
          <w:szCs w:val="20"/>
        </w:rPr>
        <w:t xml:space="preserve">U.S. Department of Justice, Office of Justice Programs, Bureau of Justice Statistics, </w:t>
      </w:r>
      <w:r w:rsidRPr="00830371">
        <w:rPr>
          <w:i/>
          <w:sz w:val="20"/>
          <w:szCs w:val="20"/>
        </w:rPr>
        <w:t>“Reentry Trends in the United States,”</w:t>
      </w:r>
      <w:r w:rsidRPr="00690F0D">
        <w:rPr>
          <w:sz w:val="20"/>
          <w:szCs w:val="20"/>
        </w:rPr>
        <w:t xml:space="preserve"> </w:t>
      </w:r>
      <w:hyperlink r:id="rId7" w:history="1">
        <w:r w:rsidRPr="00690F0D">
          <w:rPr>
            <w:rStyle w:val="Hyperlink"/>
            <w:sz w:val="20"/>
            <w:szCs w:val="20"/>
          </w:rPr>
          <w:t>https://www.bjs.gov/content/reentry/reentry.cfm</w:t>
        </w:r>
      </w:hyperlink>
    </w:p>
  </w:footnote>
  <w:footnote w:id="14">
    <w:p w:rsidR="002238BE" w:rsidRDefault="002238BE" w:rsidP="00E82154">
      <w:pPr>
        <w:pStyle w:val="FootnoteText"/>
        <w:jc w:val="both"/>
      </w:pPr>
      <w:r>
        <w:rPr>
          <w:rStyle w:val="FootnoteReference"/>
        </w:rPr>
        <w:footnoteRef/>
      </w:r>
      <w:r>
        <w:t xml:space="preserve"> Starting in 2012 and going forward, releases to the street is defined by the DOC Strategic Planning and Research Division as including expiration of sentence, parole, expiration of fine, payment of fine, and court release.  </w:t>
      </w:r>
    </w:p>
  </w:footnote>
  <w:footnote w:id="15">
    <w:p w:rsidR="002238BE" w:rsidRDefault="002238BE">
      <w:pPr>
        <w:pStyle w:val="FootnoteText"/>
      </w:pPr>
      <w:r>
        <w:rPr>
          <w:rStyle w:val="FootnoteReference"/>
        </w:rPr>
        <w:footnoteRef/>
      </w:r>
      <w:r>
        <w:t xml:space="preserve"> Chapter 192 of the Acts of 2012 known as the “Crime Bill” was enacted on August 2, 2012, and resulted in an immediate change to sentence structure for dozens of inmates.  The second event was issues regarding accuracy of testing at the Hinton Drug Lab resulted in several hundred releases “from court,” primarily during the months of September – November 2012.  </w:t>
      </w:r>
    </w:p>
  </w:footnote>
  <w:footnote w:id="16">
    <w:p w:rsidR="002238BE" w:rsidRDefault="002238BE">
      <w:pPr>
        <w:pStyle w:val="FootnoteText"/>
      </w:pPr>
      <w:r>
        <w:rPr>
          <w:rStyle w:val="FootnoteReference"/>
        </w:rPr>
        <w:footnoteRef/>
      </w:r>
      <w:r>
        <w:t xml:space="preserve"> 2016 estimated county population statistics were provided by the U.S. Census Bureau, 2017 was not available.</w:t>
      </w:r>
    </w:p>
  </w:footnote>
  <w:footnote w:id="17">
    <w:p w:rsidR="002238BE" w:rsidRDefault="002238BE">
      <w:pPr>
        <w:pStyle w:val="FootnoteText"/>
      </w:pPr>
      <w:r>
        <w:rPr>
          <w:rStyle w:val="FootnoteReference"/>
        </w:rPr>
        <w:footnoteRef/>
      </w:r>
      <w:r>
        <w:t xml:space="preserve"> Information regarding release address is self-reported by inmates prior to their release.</w:t>
      </w:r>
    </w:p>
  </w:footnote>
  <w:footnote w:id="18">
    <w:p w:rsidR="002238BE" w:rsidRDefault="002238BE">
      <w:pPr>
        <w:pStyle w:val="FootnoteText"/>
      </w:pPr>
      <w:r>
        <w:rPr>
          <w:rStyle w:val="FootnoteReference"/>
        </w:rPr>
        <w:footnoteRef/>
      </w:r>
      <w:r>
        <w:t xml:space="preserve"> An intimate partner is defined as current or former spouses, boyfriends, or girlfriends.</w:t>
      </w:r>
    </w:p>
  </w:footnote>
  <w:footnote w:id="19">
    <w:p w:rsidR="002238BE" w:rsidRDefault="002238BE" w:rsidP="00ED1444">
      <w:pPr>
        <w:pStyle w:val="NoSpacing"/>
      </w:pPr>
      <w:r w:rsidRPr="006A7938">
        <w:rPr>
          <w:rStyle w:val="FootnoteReference"/>
          <w:sz w:val="20"/>
          <w:szCs w:val="20"/>
        </w:rPr>
        <w:footnoteRef/>
      </w:r>
      <w:r w:rsidRPr="006A7938">
        <w:rPr>
          <w:sz w:val="20"/>
          <w:szCs w:val="20"/>
        </w:rPr>
        <w:t xml:space="preserve"> </w:t>
      </w:r>
      <w:r w:rsidRPr="00B71EDE">
        <w:rPr>
          <w:sz w:val="20"/>
          <w:szCs w:val="20"/>
        </w:rPr>
        <w:t>Truman, Jennifer Ph.D., and Rachel E. Morgan, Ph.D</w:t>
      </w:r>
      <w:r>
        <w:rPr>
          <w:sz w:val="20"/>
          <w:szCs w:val="20"/>
        </w:rPr>
        <w:t xml:space="preserve">., </w:t>
      </w:r>
      <w:r w:rsidRPr="00B71EDE">
        <w:rPr>
          <w:sz w:val="20"/>
          <w:szCs w:val="20"/>
        </w:rPr>
        <w:t>National Crime Victimization Survey, Criminal Victimization, 2015, October 2016</w:t>
      </w:r>
      <w:r>
        <w:rPr>
          <w:sz w:val="20"/>
          <w:szCs w:val="20"/>
        </w:rPr>
        <w:t>, pg. 2</w:t>
      </w:r>
      <w:r w:rsidRPr="00B71EDE">
        <w:rPr>
          <w:sz w:val="20"/>
          <w:szCs w:val="20"/>
        </w:rPr>
        <w:t>.  Online accessed:</w:t>
      </w:r>
      <w:r>
        <w:rPr>
          <w:sz w:val="20"/>
          <w:szCs w:val="20"/>
        </w:rPr>
        <w:t xml:space="preserve"> </w:t>
      </w:r>
      <w:hyperlink r:id="rId8" w:history="1">
        <w:r w:rsidRPr="00B71EDE">
          <w:rPr>
            <w:rStyle w:val="Hyperlink"/>
            <w:sz w:val="20"/>
            <w:szCs w:val="20"/>
          </w:rPr>
          <w:t>https://www.bjs.gov/index.cfm?ty=pbdetail&amp;iid=5804</w:t>
        </w:r>
      </w:hyperlink>
    </w:p>
  </w:footnote>
  <w:footnote w:id="20">
    <w:p w:rsidR="002238BE" w:rsidRDefault="002238BE">
      <w:pPr>
        <w:pStyle w:val="FootnoteText"/>
      </w:pPr>
      <w:r>
        <w:rPr>
          <w:rStyle w:val="FootnoteReference"/>
        </w:rPr>
        <w:footnoteRef/>
      </w:r>
      <w:r>
        <w:t xml:space="preserve"> NIBRS reporting is completely voluntary and as such, this data does not include all agencies statewide; most notably, data from the cities of Boston and Lawrence are absent.  Both cities are working toward NIBRS compliance.  NIBRS data covers approximately 87% of the Massachusetts population. </w:t>
      </w:r>
    </w:p>
  </w:footnote>
  <w:footnote w:id="21">
    <w:p w:rsidR="002238BE" w:rsidRDefault="002238BE">
      <w:pPr>
        <w:pStyle w:val="FootnoteText"/>
      </w:pPr>
      <w:r>
        <w:rPr>
          <w:rStyle w:val="FootnoteReference"/>
        </w:rPr>
        <w:footnoteRef/>
      </w:r>
      <w:r>
        <w:t xml:space="preserve"> The number of victims of intimate partner and family violence were determined by examining data within the </w:t>
      </w:r>
      <w:r w:rsidRPr="00574323">
        <w:rPr>
          <w:i/>
        </w:rPr>
        <w:t>Crimes against Persons</w:t>
      </w:r>
      <w:r>
        <w:t xml:space="preserve"> crime category in </w:t>
      </w:r>
      <w:r>
        <w:t>CrimeSOLV.</w:t>
      </w:r>
    </w:p>
  </w:footnote>
  <w:footnote w:id="22">
    <w:p w:rsidR="002238BE" w:rsidRDefault="002238BE">
      <w:pPr>
        <w:pStyle w:val="FootnoteText"/>
      </w:pPr>
      <w:r>
        <w:rPr>
          <w:rStyle w:val="FootnoteReference"/>
        </w:rPr>
        <w:footnoteRef/>
      </w:r>
      <w:r>
        <w:t xml:space="preserve"> In January 2013, the national UCR program created two additional offenses in the Summary Reporting System and NIBRS: 1) Human Trafficking/Commercial Sex Acts; and, 2) Human Trafficking/Involuntary Servitude.</w:t>
      </w:r>
    </w:p>
  </w:footnote>
  <w:footnote w:id="23">
    <w:p w:rsidR="002238BE" w:rsidRDefault="002238BE">
      <w:pPr>
        <w:pStyle w:val="FootnoteText"/>
      </w:pPr>
      <w:r>
        <w:rPr>
          <w:rStyle w:val="FootnoteReference"/>
        </w:rPr>
        <w:footnoteRef/>
      </w:r>
      <w:r>
        <w:t xml:space="preserve"> Effective January 1, 2013, the FBI implemented a new definition of Rape that is used in the collection of national crime statistics.  The term “forcible” was removed from the offense name. </w:t>
      </w:r>
      <w:hyperlink r:id="rId9" w:history="1">
        <w:r w:rsidRPr="00B653DD">
          <w:rPr>
            <w:rStyle w:val="Hyperlink"/>
          </w:rPr>
          <w:t>https://ucr.fbi.gov/crime-in-the-u.s/2015/crime-in-the-u.s.-2015/offenses-known-to-law-enforcement/rape/rapemain_final.pdf</w:t>
        </w:r>
      </w:hyperlink>
    </w:p>
  </w:footnote>
  <w:footnote w:id="24">
    <w:p w:rsidR="002238BE" w:rsidRDefault="002238BE">
      <w:pPr>
        <w:pStyle w:val="FootnoteText"/>
      </w:pPr>
      <w:r>
        <w:rPr>
          <w:rStyle w:val="FootnoteReference"/>
        </w:rPr>
        <w:footnoteRef/>
      </w:r>
      <w:r>
        <w:t xml:space="preserve"> Beginning in 2013, the rape figures were estimated using the revised UCR definitions of rape.</w:t>
      </w:r>
    </w:p>
  </w:footnote>
  <w:footnote w:id="25">
    <w:p w:rsidR="002238BE" w:rsidRPr="0034738A" w:rsidRDefault="002238BE" w:rsidP="007910C5">
      <w:pPr>
        <w:ind w:right="-90"/>
        <w:rPr>
          <w:sz w:val="20"/>
        </w:rPr>
      </w:pPr>
      <w:r>
        <w:rPr>
          <w:rStyle w:val="FootnoteReference"/>
        </w:rPr>
        <w:footnoteRef/>
      </w:r>
      <w:r>
        <w:t xml:space="preserve"> </w:t>
      </w:r>
      <w:r w:rsidRPr="00C80C60">
        <w:rPr>
          <w:sz w:val="20"/>
        </w:rPr>
        <w:t>Massachusetts General Laws, Chapter 112, §12A½. Statute adopted in 1991 and amended in 1996.</w:t>
      </w:r>
      <w:r>
        <w:rPr>
          <w:sz w:val="20"/>
        </w:rPr>
        <w:t xml:space="preserve">  </w:t>
      </w:r>
      <w:r w:rsidRPr="0034738A">
        <w:rPr>
          <w:sz w:val="20"/>
        </w:rPr>
        <w:t>Massachusetts General Law requires the reporting of all cases of rape and sexual assault where the victim sought medical treatment, regardless of whether the case was ever reported to police.  The PSCR Form is part of the Sexual Assault Evidence Collection Kit</w:t>
      </w:r>
      <w:r>
        <w:rPr>
          <w:sz w:val="20"/>
        </w:rPr>
        <w:t xml:space="preserve"> </w:t>
      </w:r>
      <w:r w:rsidRPr="0034738A">
        <w:rPr>
          <w:sz w:val="20"/>
        </w:rPr>
        <w:t xml:space="preserve">that is distributed on an annual basis to hospital emergency departments throughout the state by the Executive Office of Public Safety and Security (EOPSS).  After a victim is seen in a medical facility, the care provider is required to complete the PSCR Form, which is then shared with local law enforcement and submitted via facsimile to EOPSS, where all information is recorded and maintained in a master database. </w:t>
      </w:r>
    </w:p>
    <w:p w:rsidR="002238BE" w:rsidRDefault="002238BE">
      <w:pPr>
        <w:pStyle w:val="FootnoteText"/>
      </w:pPr>
    </w:p>
  </w:footnote>
  <w:footnote w:id="26">
    <w:p w:rsidR="002238BE" w:rsidRDefault="002238BE" w:rsidP="0061461C">
      <w:pPr>
        <w:pStyle w:val="FootnoteText"/>
      </w:pPr>
      <w:r>
        <w:rPr>
          <w:rStyle w:val="FootnoteReference"/>
        </w:rPr>
        <w:footnoteRef/>
      </w:r>
      <w:r>
        <w:t xml:space="preserve"> Bronson J., Jessica S, Stephanie Z, and Marcus B, </w:t>
      </w:r>
      <w:r w:rsidRPr="00495A5B">
        <w:rPr>
          <w:i/>
        </w:rPr>
        <w:t>“Drug Use</w:t>
      </w:r>
      <w:r>
        <w:rPr>
          <w:i/>
        </w:rPr>
        <w:t>,</w:t>
      </w:r>
      <w:r w:rsidRPr="00495A5B">
        <w:rPr>
          <w:i/>
        </w:rPr>
        <w:t xml:space="preserve"> Dependence,</w:t>
      </w:r>
      <w:r>
        <w:rPr>
          <w:i/>
        </w:rPr>
        <w:t xml:space="preserve"> and Abuse </w:t>
      </w:r>
      <w:r>
        <w:rPr>
          <w:i/>
        </w:rPr>
        <w:t xml:space="preserve">Among </w:t>
      </w:r>
      <w:r w:rsidRPr="00495A5B">
        <w:rPr>
          <w:i/>
        </w:rPr>
        <w:t xml:space="preserve"> State and Federal Prisoners</w:t>
      </w:r>
      <w:r>
        <w:rPr>
          <w:i/>
        </w:rPr>
        <w:t xml:space="preserve"> and Jail Inmates</w:t>
      </w:r>
      <w:r w:rsidRPr="00495A5B">
        <w:rPr>
          <w:i/>
        </w:rPr>
        <w:t>, 200</w:t>
      </w:r>
      <w:r>
        <w:rPr>
          <w:i/>
        </w:rPr>
        <w:t>7-2009</w:t>
      </w:r>
      <w:r w:rsidRPr="00495A5B">
        <w:rPr>
          <w:i/>
        </w:rPr>
        <w:t>,”</w:t>
      </w:r>
      <w:r w:rsidRPr="00495A5B">
        <w:t xml:space="preserve"> </w:t>
      </w:r>
      <w:r>
        <w:t>BJS Special Report, June 2017, NCJ 250546.</w:t>
      </w:r>
      <w:r w:rsidRPr="00495A5B">
        <w:t xml:space="preserve"> </w:t>
      </w:r>
      <w:hyperlink r:id="rId10" w:history="1">
        <w:r w:rsidRPr="00BA6D02">
          <w:rPr>
            <w:rStyle w:val="Hyperlink"/>
          </w:rPr>
          <w:t>https://www.bjs.gov/content/pub/pdf/dudaspji0709.pdf</w:t>
        </w:r>
      </w:hyperlink>
    </w:p>
  </w:footnote>
  <w:footnote w:id="27">
    <w:p w:rsidR="002238BE" w:rsidRDefault="002238BE" w:rsidP="0061461C">
      <w:pPr>
        <w:rPr>
          <w:sz w:val="20"/>
          <w:szCs w:val="20"/>
        </w:rPr>
      </w:pPr>
      <w:r>
        <w:rPr>
          <w:rStyle w:val="FootnoteReference"/>
        </w:rPr>
        <w:footnoteRef/>
      </w:r>
      <w:r>
        <w:t xml:space="preserve"> </w:t>
      </w:r>
      <w:r w:rsidRPr="00AF28CC">
        <w:rPr>
          <w:sz w:val="20"/>
          <w:szCs w:val="20"/>
        </w:rPr>
        <w:t xml:space="preserve">Source: Massachusetts Department of Public Health, Office of Data Management and </w:t>
      </w:r>
    </w:p>
    <w:p w:rsidR="002238BE" w:rsidRPr="00A07E13" w:rsidRDefault="002238BE" w:rsidP="0061461C">
      <w:pPr>
        <w:rPr>
          <w:sz w:val="20"/>
          <w:szCs w:val="20"/>
        </w:rPr>
      </w:pPr>
      <w:r w:rsidRPr="00AF28CC">
        <w:rPr>
          <w:sz w:val="20"/>
          <w:szCs w:val="20"/>
        </w:rPr>
        <w:t xml:space="preserve">Outcomes Assessment, </w:t>
      </w:r>
      <w:r w:rsidRPr="00AF28CC">
        <w:rPr>
          <w:i/>
          <w:sz w:val="20"/>
          <w:szCs w:val="20"/>
        </w:rPr>
        <w:t>Data Brief: Opioid-related Overdose Deaths among Massachusetts Residents,</w:t>
      </w:r>
      <w:r w:rsidRPr="00AF28CC">
        <w:rPr>
          <w:sz w:val="20"/>
          <w:szCs w:val="20"/>
        </w:rPr>
        <w:t xml:space="preserve"> </w:t>
      </w:r>
      <w:r>
        <w:rPr>
          <w:sz w:val="20"/>
          <w:szCs w:val="20"/>
        </w:rPr>
        <w:t>Posted: May</w:t>
      </w:r>
      <w:r w:rsidRPr="00AF28CC">
        <w:rPr>
          <w:sz w:val="20"/>
          <w:szCs w:val="20"/>
        </w:rPr>
        <w:t xml:space="preserve"> 201</w:t>
      </w:r>
      <w:r>
        <w:rPr>
          <w:sz w:val="20"/>
          <w:szCs w:val="20"/>
        </w:rPr>
        <w:t>8</w:t>
      </w:r>
      <w:r w:rsidRPr="00AF28CC">
        <w:rPr>
          <w:sz w:val="20"/>
          <w:szCs w:val="20"/>
        </w:rPr>
        <w:t>.</w:t>
      </w:r>
      <w:r>
        <w:rPr>
          <w:sz w:val="20"/>
          <w:szCs w:val="20"/>
        </w:rPr>
        <w:t xml:space="preserve"> Accessed on May 23, 2018. </w:t>
      </w:r>
      <w:hyperlink r:id="rId11" w:history="1">
        <w:r w:rsidRPr="00172062">
          <w:rPr>
            <w:rStyle w:val="Hyperlink"/>
            <w:sz w:val="20"/>
            <w:szCs w:val="20"/>
          </w:rPr>
          <w:t>https://www.mass.gov/files/documents/2018/05/22/Opioid-related%20Overdose%20Deaths%20among%20MA%20Residents%20-%20May%202018.pdf</w:t>
        </w:r>
      </w:hyperlink>
    </w:p>
  </w:footnote>
  <w:footnote w:id="28">
    <w:p w:rsidR="002238BE" w:rsidRPr="00D140D2" w:rsidRDefault="002238BE" w:rsidP="0061461C">
      <w:pPr>
        <w:rPr>
          <w:sz w:val="20"/>
          <w:szCs w:val="20"/>
        </w:rPr>
      </w:pPr>
      <w:r>
        <w:rPr>
          <w:rStyle w:val="FootnoteReference"/>
        </w:rPr>
        <w:footnoteRef/>
      </w:r>
      <w:r>
        <w:t xml:space="preserve"> </w:t>
      </w:r>
      <w:r w:rsidRPr="00D140D2">
        <w:rPr>
          <w:sz w:val="20"/>
          <w:szCs w:val="20"/>
        </w:rPr>
        <w:t xml:space="preserve">Massachusetts Department of Public Health, </w:t>
      </w:r>
      <w:r w:rsidRPr="00D140D2">
        <w:rPr>
          <w:i/>
          <w:sz w:val="20"/>
          <w:szCs w:val="20"/>
        </w:rPr>
        <w:t>An Assessment of Opioid-Related Deaths in Massachusetts (2013-2014)</w:t>
      </w:r>
      <w:r w:rsidRPr="00D140D2">
        <w:rPr>
          <w:sz w:val="20"/>
          <w:szCs w:val="20"/>
        </w:rPr>
        <w:t xml:space="preserve">, September 2016. </w:t>
      </w:r>
    </w:p>
    <w:p w:rsidR="002238BE" w:rsidRPr="0068178C" w:rsidRDefault="006E63B0" w:rsidP="0061461C">
      <w:pPr>
        <w:rPr>
          <w:sz w:val="20"/>
          <w:szCs w:val="20"/>
        </w:rPr>
      </w:pPr>
      <w:hyperlink r:id="rId12" w:history="1">
        <w:r w:rsidR="002238BE" w:rsidRPr="00D140D2">
          <w:rPr>
            <w:rStyle w:val="Hyperlink"/>
            <w:sz w:val="20"/>
            <w:szCs w:val="20"/>
          </w:rPr>
          <w:t>http://www.mass.gov/eohhs/gov/departments/dph/stop-addiction/chapter-55-overdose-assessment.html</w:t>
        </w:r>
      </w:hyperlink>
    </w:p>
  </w:footnote>
  <w:footnote w:id="29">
    <w:p w:rsidR="002238BE" w:rsidRDefault="002238BE" w:rsidP="0061461C">
      <w:pPr>
        <w:pStyle w:val="FootnoteText"/>
      </w:pPr>
      <w:r>
        <w:rPr>
          <w:rStyle w:val="FootnoteReference"/>
        </w:rPr>
        <w:footnoteRef/>
      </w:r>
      <w:r>
        <w:t xml:space="preserve"> Massachusetts Department of Public Health. </w:t>
      </w:r>
      <w:r w:rsidRPr="00BB49CB">
        <w:rPr>
          <w:i/>
        </w:rPr>
        <w:t>Data Brief: An Assessment of Opioid-Related Overdoses in Massachusetts 2011-2015, August 2017.</w:t>
      </w:r>
      <w:r>
        <w:t xml:space="preserve"> </w:t>
      </w:r>
      <w:hyperlink r:id="rId13" w:history="1">
        <w:r w:rsidRPr="00F15AEB">
          <w:rPr>
            <w:rStyle w:val="Hyperlink"/>
          </w:rPr>
          <w:t>https://www.mass.gov/files/documents/2017/08/31/data-brief-chapter-55-aug-2017.pdf</w:t>
        </w:r>
      </w:hyperlink>
    </w:p>
  </w:footnote>
  <w:footnote w:id="30">
    <w:p w:rsidR="002238BE" w:rsidRDefault="002238BE" w:rsidP="0061461C">
      <w:pPr>
        <w:pStyle w:val="FootnoteText"/>
      </w:pPr>
      <w:r>
        <w:rPr>
          <w:rStyle w:val="FootnoteReference"/>
        </w:rPr>
        <w:footnoteRef/>
      </w:r>
      <w:r>
        <w:t xml:space="preserve"> Commonwealth of Massachusetts, </w:t>
      </w:r>
      <w:r w:rsidRPr="00742C40">
        <w:rPr>
          <w:i/>
        </w:rPr>
        <w:t>Governor’s Working Group on Opioids Update</w:t>
      </w:r>
      <w:r>
        <w:t xml:space="preserve">, November 14, 2017. Online. Accessed May 17, 2018. </w:t>
      </w:r>
      <w:hyperlink r:id="rId14" w:history="1">
        <w:r w:rsidRPr="008122B9">
          <w:rPr>
            <w:rStyle w:val="Hyperlink"/>
          </w:rPr>
          <w:t>https://www.mass.gov/files/documents/2017/11/15/2017-annual-update-action-items-gov-working-group.pdf</w:t>
        </w:r>
      </w:hyperlink>
    </w:p>
  </w:footnote>
  <w:footnote w:id="31">
    <w:p w:rsidR="002238BE" w:rsidRDefault="002238BE" w:rsidP="0061461C">
      <w:pPr>
        <w:pStyle w:val="FootnoteText"/>
      </w:pPr>
      <w:r>
        <w:rPr>
          <w:rStyle w:val="FootnoteReference"/>
        </w:rPr>
        <w:footnoteRef/>
      </w:r>
      <w:r>
        <w:t xml:space="preserve"> Commonwealth of Massachusetts, </w:t>
      </w:r>
      <w:r w:rsidRPr="007E302F">
        <w:rPr>
          <w:i/>
        </w:rPr>
        <w:t>Data Brief: An Assessment of Opioid-Related Overdoses in Massachusetts 2011-2015</w:t>
      </w:r>
      <w:r>
        <w:t xml:space="preserve">, August 2017. (Data Brief: Chapter 55 Opioid Overdose Study-August 2017). Accessed May 18, 2018. </w:t>
      </w:r>
      <w:hyperlink r:id="rId15" w:history="1">
        <w:r w:rsidRPr="00857031">
          <w:rPr>
            <w:rStyle w:val="Hyperlink"/>
          </w:rPr>
          <w:t>https://www.mass.gov/files/documents/2017/08/31/legislative-report-chapter-55-aug-2017.pdf</w:t>
        </w:r>
      </w:hyperlink>
    </w:p>
  </w:footnote>
  <w:footnote w:id="32">
    <w:p w:rsidR="002238BE" w:rsidRDefault="002238BE" w:rsidP="0061461C">
      <w:pPr>
        <w:pStyle w:val="FootnoteText"/>
      </w:pPr>
      <w:r>
        <w:rPr>
          <w:rStyle w:val="FootnoteReference"/>
        </w:rPr>
        <w:footnoteRef/>
      </w:r>
      <w:r>
        <w:t xml:space="preserve"> Ibid.</w:t>
      </w:r>
    </w:p>
  </w:footnote>
  <w:footnote w:id="33">
    <w:p w:rsidR="002238BE" w:rsidRPr="001C3EB6" w:rsidRDefault="002238BE" w:rsidP="0061461C">
      <w:pPr>
        <w:pStyle w:val="NoSpacing"/>
        <w:rPr>
          <w:sz w:val="20"/>
          <w:szCs w:val="20"/>
          <w:lang w:eastAsia="en-US"/>
        </w:rPr>
      </w:pPr>
      <w:r w:rsidRPr="00244D6B">
        <w:rPr>
          <w:rStyle w:val="FootnoteReference"/>
          <w:sz w:val="20"/>
          <w:szCs w:val="20"/>
        </w:rPr>
        <w:footnoteRef/>
      </w:r>
      <w:r w:rsidRPr="00244D6B">
        <w:rPr>
          <w:sz w:val="20"/>
          <w:szCs w:val="20"/>
        </w:rPr>
        <w:t xml:space="preserve"> </w:t>
      </w:r>
      <w:r w:rsidRPr="001C3EB6">
        <w:rPr>
          <w:sz w:val="20"/>
          <w:szCs w:val="20"/>
          <w:lang w:eastAsia="en-US"/>
        </w:rPr>
        <w:t xml:space="preserve">Question 2: Law Proposed by Initiative Petition </w:t>
      </w:r>
      <w:r w:rsidRPr="001C3EB6">
        <w:rPr>
          <w:i/>
          <w:sz w:val="20"/>
          <w:szCs w:val="20"/>
          <w:lang w:eastAsia="en-US"/>
        </w:rPr>
        <w:t>“Possession of Marijuana”</w:t>
      </w:r>
      <w:r>
        <w:rPr>
          <w:sz w:val="20"/>
          <w:szCs w:val="20"/>
          <w:lang w:eastAsia="en-US"/>
        </w:rPr>
        <w:t xml:space="preserve"> Online. Accessed June 16, 2017</w:t>
      </w:r>
    </w:p>
    <w:p w:rsidR="002238BE" w:rsidRDefault="006E63B0" w:rsidP="0061461C">
      <w:pPr>
        <w:pStyle w:val="FootnoteText"/>
      </w:pPr>
      <w:hyperlink r:id="rId16" w:history="1">
        <w:r w:rsidR="002238BE" w:rsidRPr="00190295">
          <w:rPr>
            <w:rStyle w:val="Hyperlink"/>
          </w:rPr>
          <w:t>https://www.sec.state.ma.us/ele/ele08/ballot_questions_08/quest_2.htm</w:t>
        </w:r>
      </w:hyperlink>
    </w:p>
    <w:p w:rsidR="002238BE" w:rsidRDefault="002238BE" w:rsidP="0061461C">
      <w:pPr>
        <w:pStyle w:val="FootnoteText"/>
      </w:pPr>
    </w:p>
  </w:footnote>
  <w:footnote w:id="34">
    <w:p w:rsidR="002238BE" w:rsidRDefault="002238BE" w:rsidP="00A95E38">
      <w:pPr>
        <w:pStyle w:val="FootnoteText"/>
      </w:pPr>
      <w:r>
        <w:rPr>
          <w:rStyle w:val="FootnoteReference"/>
        </w:rPr>
        <w:footnoteRef/>
      </w:r>
      <w:r>
        <w:t xml:space="preserve"> New commitments for governing drug offenses to the county HOCs are obtained from the Massachusetts Sentencing Commission, </w:t>
      </w:r>
      <w:r w:rsidRPr="006F2D34">
        <w:rPr>
          <w:i/>
        </w:rPr>
        <w:t xml:space="preserve">Survey of Sentencing Practices, </w:t>
      </w:r>
      <w:r w:rsidRPr="006F2D34">
        <w:rPr>
          <w:i/>
        </w:rPr>
        <w:t>SFY 2009 – SFY 2014</w:t>
      </w:r>
      <w:r>
        <w:rPr>
          <w:i/>
        </w:rPr>
        <w:t xml:space="preserve">; </w:t>
      </w:r>
      <w:r>
        <w:t>however, data are not available for 2016 and 2017.</w:t>
      </w:r>
      <w:r w:rsidRPr="006F2D34">
        <w:t xml:space="preserve"> </w:t>
      </w:r>
      <w:r>
        <w:t>As a result, it is not possible to extend the HOC trend analysis beyond 2015.</w:t>
      </w:r>
    </w:p>
  </w:footnote>
  <w:footnote w:id="35">
    <w:p w:rsidR="002238BE" w:rsidRPr="00683835" w:rsidRDefault="002238BE" w:rsidP="00A8786F">
      <w:pPr>
        <w:pStyle w:val="FootnoteText"/>
      </w:pPr>
      <w:r>
        <w:rPr>
          <w:rStyle w:val="FootnoteReference"/>
        </w:rPr>
        <w:footnoteRef/>
      </w:r>
      <w:r>
        <w:t xml:space="preserve"> MA DOC define a drug offense as “offenses set forth in Massachusetts General Laws Chapter 94C, including offenses pertaining to the distribution or possession with intent to distribute, trafficking of drugs, and drug violations within proscribed distances from schools and parks”.</w:t>
      </w:r>
      <w:r w:rsidRPr="00683835">
        <w:t xml:space="preserve"> </w:t>
      </w:r>
      <w:r w:rsidRPr="007353CE">
        <w:t>Massachusetts D</w:t>
      </w:r>
      <w:r>
        <w:t>epartment of Correction</w:t>
      </w:r>
      <w:r w:rsidRPr="007353CE">
        <w:t xml:space="preserve">, </w:t>
      </w:r>
      <w:r>
        <w:rPr>
          <w:i/>
        </w:rPr>
        <w:t xml:space="preserve">Prison Population Trends, </w:t>
      </w:r>
      <w:r w:rsidRPr="005407B4">
        <w:rPr>
          <w:i/>
        </w:rPr>
        <w:t>201</w:t>
      </w:r>
      <w:r>
        <w:rPr>
          <w:i/>
        </w:rPr>
        <w:t>7</w:t>
      </w:r>
      <w:r>
        <w:t>, March 2018.</w:t>
      </w:r>
    </w:p>
  </w:footnote>
  <w:footnote w:id="36">
    <w:p w:rsidR="002238BE" w:rsidRDefault="002238BE" w:rsidP="00117D56">
      <w:pPr>
        <w:pStyle w:val="FootnoteText"/>
      </w:pPr>
      <w:r>
        <w:rPr>
          <w:rStyle w:val="FootnoteReference"/>
        </w:rPr>
        <w:footnoteRef/>
      </w:r>
      <w:r>
        <w:t xml:space="preserve"> The other two groups of civil commitments are “Mental Health Commitments” and “Sexually Dangerous Person Commitments”.</w:t>
      </w:r>
    </w:p>
  </w:footnote>
  <w:footnote w:id="37">
    <w:p w:rsidR="002238BE" w:rsidRDefault="002238BE" w:rsidP="00117D56">
      <w:pPr>
        <w:autoSpaceDE w:val="0"/>
        <w:autoSpaceDN w:val="0"/>
        <w:adjustRightInd w:val="0"/>
      </w:pPr>
      <w:r w:rsidRPr="00E17191">
        <w:rPr>
          <w:rStyle w:val="FootnoteReference"/>
          <w:sz w:val="20"/>
          <w:szCs w:val="20"/>
        </w:rPr>
        <w:footnoteRef/>
      </w:r>
      <w:r w:rsidRPr="00E17191">
        <w:rPr>
          <w:sz w:val="20"/>
          <w:szCs w:val="20"/>
        </w:rPr>
        <w:t xml:space="preserve"> M.G.L. Chapter 123, Section 35 (i.e., Section 35’s).</w:t>
      </w:r>
      <w:r>
        <w:t xml:space="preserve"> </w:t>
      </w:r>
      <w:r>
        <w:rPr>
          <w:sz w:val="20"/>
          <w:szCs w:val="20"/>
        </w:rPr>
        <w:t xml:space="preserve">Section 35’s </w:t>
      </w:r>
      <w:r w:rsidRPr="00E17191">
        <w:rPr>
          <w:sz w:val="20"/>
          <w:szCs w:val="20"/>
        </w:rPr>
        <w:t>provides a mechanism for a</w:t>
      </w:r>
      <w:r>
        <w:rPr>
          <w:sz w:val="20"/>
          <w:szCs w:val="20"/>
        </w:rPr>
        <w:t xml:space="preserve"> </w:t>
      </w:r>
      <w:r w:rsidRPr="00E17191">
        <w:rPr>
          <w:sz w:val="20"/>
          <w:szCs w:val="20"/>
        </w:rPr>
        <w:t>family member, police officer, physician, or court official to petition for a person whose alcohol or drug</w:t>
      </w:r>
      <w:r>
        <w:rPr>
          <w:sz w:val="20"/>
          <w:szCs w:val="20"/>
        </w:rPr>
        <w:t xml:space="preserve"> </w:t>
      </w:r>
      <w:r w:rsidRPr="00E17191">
        <w:rPr>
          <w:sz w:val="20"/>
          <w:szCs w:val="20"/>
        </w:rPr>
        <w:t>use puts themselves or others at risk to be involuntarily committed for substance abuse treatment.</w:t>
      </w:r>
    </w:p>
  </w:footnote>
  <w:footnote w:id="38">
    <w:p w:rsidR="002238BE" w:rsidRDefault="002238BE" w:rsidP="00117D56">
      <w:pPr>
        <w:pStyle w:val="NoSpacing"/>
      </w:pPr>
      <w:r w:rsidRPr="00D86D9C">
        <w:rPr>
          <w:rStyle w:val="FootnoteReference"/>
          <w:sz w:val="20"/>
          <w:szCs w:val="20"/>
        </w:rPr>
        <w:footnoteRef/>
      </w:r>
      <w:r w:rsidRPr="00D86D9C">
        <w:rPr>
          <w:sz w:val="20"/>
          <w:szCs w:val="20"/>
        </w:rPr>
        <w:t xml:space="preserve"> </w:t>
      </w:r>
      <w:r w:rsidRPr="007353CE">
        <w:rPr>
          <w:sz w:val="20"/>
          <w:szCs w:val="20"/>
        </w:rPr>
        <w:t>Massachusetts D</w:t>
      </w:r>
      <w:r>
        <w:rPr>
          <w:sz w:val="20"/>
          <w:szCs w:val="20"/>
        </w:rPr>
        <w:t>epartment of Correction</w:t>
      </w:r>
      <w:r w:rsidRPr="007353CE">
        <w:rPr>
          <w:sz w:val="20"/>
          <w:szCs w:val="20"/>
        </w:rPr>
        <w:t xml:space="preserve">, </w:t>
      </w:r>
      <w:r w:rsidRPr="005407B4">
        <w:rPr>
          <w:i/>
          <w:sz w:val="20"/>
          <w:szCs w:val="20"/>
        </w:rPr>
        <w:t>Prison Population Trends, 2016</w:t>
      </w:r>
      <w:r>
        <w:rPr>
          <w:sz w:val="20"/>
          <w:szCs w:val="20"/>
        </w:rPr>
        <w:t>, March 2017.</w:t>
      </w:r>
    </w:p>
  </w:footnote>
  <w:footnote w:id="39">
    <w:p w:rsidR="002238BE" w:rsidRDefault="002238BE" w:rsidP="00117D56">
      <w:pPr>
        <w:pStyle w:val="FootnoteText"/>
      </w:pPr>
      <w:r>
        <w:rPr>
          <w:rStyle w:val="FootnoteReference"/>
        </w:rPr>
        <w:footnoteRef/>
      </w:r>
      <w:r>
        <w:t xml:space="preserve"> While the number of criminally sentenced jurisdiction admissions have steadily declined from 2014 (3,152); 2015 (2,759); and 2016 (2,578), the civil commitments to MASAC have increased since 2014.</w:t>
      </w:r>
    </w:p>
  </w:footnote>
  <w:footnote w:id="40">
    <w:p w:rsidR="002238BE" w:rsidRDefault="002238BE" w:rsidP="00117D56">
      <w:pPr>
        <w:pStyle w:val="FootnoteText"/>
      </w:pPr>
      <w:r>
        <w:rPr>
          <w:rStyle w:val="FootnoteReference"/>
        </w:rPr>
        <w:footnoteRef/>
      </w:r>
      <w:r>
        <w:t xml:space="preserve"> Detoxification and substance abuse treatment was originally located at the Southeastern Correctional Center (SECC). Upon the closing of SECC and a mission change in 2002, these services were moved to a facility renamed MASAC on the grounds of the Bridgewater Complex. As of May 1, 2017 MASAC was relocated to the closed MCI-Plymouth facility. </w:t>
      </w:r>
    </w:p>
  </w:footnote>
  <w:footnote w:id="41">
    <w:p w:rsidR="002238BE" w:rsidRDefault="002238BE">
      <w:pPr>
        <w:pStyle w:val="FootnoteText"/>
      </w:pPr>
      <w:r>
        <w:rPr>
          <w:rStyle w:val="FootnoteReference"/>
        </w:rPr>
        <w:footnoteRef/>
      </w:r>
      <w:r>
        <w:t xml:space="preserve"> A recidivist is defined by DOC research as any criminal sentenced inmate released to the community from MA DOC jurisdiction during 2014 who is re-incarcerated for a new sentence or violation of parole or probation to a Massachusetts state or county facility or to a federal facility within three years of his/her release.</w:t>
      </w:r>
    </w:p>
  </w:footnote>
  <w:footnote w:id="42">
    <w:p w:rsidR="002238BE" w:rsidRDefault="002238BE" w:rsidP="00096E07">
      <w:pPr>
        <w:pStyle w:val="FootnoteText"/>
      </w:pPr>
      <w:r>
        <w:rPr>
          <w:rStyle w:val="FootnoteReference"/>
        </w:rPr>
        <w:footnoteRef/>
      </w:r>
      <w:r>
        <w:t xml:space="preserve"> COMPAS [Criminal Offender Management Profiling for Alternative Sanctions] is a statistically based and validated risk assessment tool specifically designed to assess key risk and needs factors in correctional populations and to provide decision support for classification. </w:t>
      </w:r>
    </w:p>
  </w:footnote>
  <w:footnote w:id="43">
    <w:p w:rsidR="002238BE" w:rsidRPr="00D140D2" w:rsidRDefault="002238BE" w:rsidP="00A111FB">
      <w:pPr>
        <w:rPr>
          <w:sz w:val="20"/>
          <w:szCs w:val="20"/>
        </w:rPr>
      </w:pPr>
      <w:r w:rsidRPr="00244D6B">
        <w:rPr>
          <w:rStyle w:val="FootnoteReference"/>
          <w:sz w:val="20"/>
          <w:szCs w:val="20"/>
        </w:rPr>
        <w:footnoteRef/>
      </w:r>
      <w:r w:rsidRPr="00244D6B">
        <w:rPr>
          <w:sz w:val="20"/>
          <w:szCs w:val="20"/>
        </w:rPr>
        <w:t xml:space="preserve"> </w:t>
      </w:r>
      <w:r w:rsidRPr="00D140D2">
        <w:rPr>
          <w:sz w:val="20"/>
          <w:szCs w:val="20"/>
        </w:rPr>
        <w:t xml:space="preserve">Massachusetts Department of Public Health, </w:t>
      </w:r>
      <w:r w:rsidRPr="00D140D2">
        <w:rPr>
          <w:i/>
          <w:sz w:val="20"/>
          <w:szCs w:val="20"/>
        </w:rPr>
        <w:t>An Assessment of Opioid-Related Deaths in Massachusetts (2013-2014)</w:t>
      </w:r>
      <w:r w:rsidRPr="00D140D2">
        <w:rPr>
          <w:sz w:val="20"/>
          <w:szCs w:val="20"/>
        </w:rPr>
        <w:t xml:space="preserve">, September 2016. </w:t>
      </w:r>
    </w:p>
    <w:p w:rsidR="002238BE" w:rsidRPr="00D140D2" w:rsidRDefault="006E63B0" w:rsidP="00A111FB">
      <w:pPr>
        <w:rPr>
          <w:sz w:val="20"/>
          <w:szCs w:val="20"/>
        </w:rPr>
      </w:pPr>
      <w:hyperlink r:id="rId17" w:history="1">
        <w:r w:rsidR="002238BE" w:rsidRPr="00D140D2">
          <w:rPr>
            <w:rStyle w:val="Hyperlink"/>
            <w:sz w:val="20"/>
            <w:szCs w:val="20"/>
          </w:rPr>
          <w:t>http://www.mass.gov/eohhs/gov/departments/dph/stop-addiction/chapter-55-overdose-assessment.html</w:t>
        </w:r>
      </w:hyperlink>
    </w:p>
    <w:p w:rsidR="002238BE" w:rsidRDefault="002238BE" w:rsidP="00A111FB">
      <w:pPr>
        <w:pStyle w:val="FootnoteText"/>
      </w:pPr>
    </w:p>
  </w:footnote>
  <w:footnote w:id="44">
    <w:p w:rsidR="002238BE" w:rsidRDefault="002238BE" w:rsidP="00096E07">
      <w:pPr>
        <w:pStyle w:val="NoSpacing"/>
      </w:pPr>
      <w:r w:rsidRPr="00244D6B">
        <w:rPr>
          <w:rStyle w:val="FootnoteReference"/>
          <w:sz w:val="20"/>
          <w:szCs w:val="20"/>
        </w:rPr>
        <w:footnoteRef/>
      </w:r>
      <w:r>
        <w:t xml:space="preserve"> </w:t>
      </w:r>
      <w:r w:rsidRPr="007353CE">
        <w:rPr>
          <w:sz w:val="20"/>
          <w:szCs w:val="20"/>
        </w:rPr>
        <w:t>Source: Massachusetts D</w:t>
      </w:r>
      <w:r>
        <w:rPr>
          <w:sz w:val="20"/>
          <w:szCs w:val="20"/>
        </w:rPr>
        <w:t>epartment of Correction</w:t>
      </w:r>
      <w:r w:rsidRPr="007353CE">
        <w:rPr>
          <w:sz w:val="20"/>
          <w:szCs w:val="20"/>
        </w:rPr>
        <w:t xml:space="preserve">, </w:t>
      </w:r>
      <w:r w:rsidRPr="005407B4">
        <w:rPr>
          <w:i/>
          <w:sz w:val="20"/>
          <w:szCs w:val="20"/>
        </w:rPr>
        <w:t>Prison Population Trends, 2016</w:t>
      </w:r>
      <w:r>
        <w:rPr>
          <w:sz w:val="20"/>
          <w:szCs w:val="20"/>
        </w:rPr>
        <w:t>, March 2017, pg. 50.</w:t>
      </w:r>
    </w:p>
  </w:footnote>
  <w:footnote w:id="45">
    <w:p w:rsidR="002238BE" w:rsidRDefault="002238BE" w:rsidP="00096E07">
      <w:pPr>
        <w:rPr>
          <w:sz w:val="20"/>
          <w:szCs w:val="20"/>
        </w:rPr>
      </w:pPr>
      <w:r w:rsidRPr="004A3C87">
        <w:rPr>
          <w:rStyle w:val="FootnoteReference"/>
          <w:sz w:val="20"/>
          <w:szCs w:val="20"/>
        </w:rPr>
        <w:footnoteRef/>
      </w:r>
      <w:r>
        <w:t xml:space="preserve"> </w:t>
      </w:r>
      <w:r w:rsidRPr="00B2301A">
        <w:rPr>
          <w:sz w:val="20"/>
          <w:szCs w:val="20"/>
        </w:rPr>
        <w:t xml:space="preserve">Massachusetts Department of Public Health, </w:t>
      </w:r>
      <w:r w:rsidRPr="00B2301A">
        <w:rPr>
          <w:i/>
          <w:sz w:val="20"/>
          <w:szCs w:val="20"/>
        </w:rPr>
        <w:t>An Assessment of Opioid-Related Deaths in Massachusetts (2013-2014)</w:t>
      </w:r>
      <w:r w:rsidRPr="00B2301A">
        <w:rPr>
          <w:sz w:val="20"/>
          <w:szCs w:val="20"/>
        </w:rPr>
        <w:t>, September 2016.</w:t>
      </w:r>
    </w:p>
    <w:p w:rsidR="002238BE" w:rsidRPr="00D140D2" w:rsidRDefault="006E63B0" w:rsidP="00096E07">
      <w:pPr>
        <w:rPr>
          <w:sz w:val="20"/>
          <w:szCs w:val="20"/>
        </w:rPr>
      </w:pPr>
      <w:hyperlink r:id="rId18" w:history="1">
        <w:r w:rsidR="002238BE" w:rsidRPr="00D140D2">
          <w:rPr>
            <w:rStyle w:val="Hyperlink"/>
            <w:sz w:val="20"/>
            <w:szCs w:val="20"/>
          </w:rPr>
          <w:t>http://www.mass.gov/eohhs/gov/departments/dph/stop-addiction/chapter-55-overdose-assessment.html</w:t>
        </w:r>
      </w:hyperlink>
    </w:p>
    <w:p w:rsidR="002238BE" w:rsidRDefault="002238BE" w:rsidP="00096E07">
      <w:pPr>
        <w:pStyle w:val="FootnoteText"/>
      </w:pPr>
    </w:p>
  </w:footnote>
  <w:footnote w:id="46">
    <w:p w:rsidR="002238BE" w:rsidRDefault="002238BE" w:rsidP="004A3C87">
      <w:pPr>
        <w:pStyle w:val="FootnoteText"/>
      </w:pPr>
      <w:r>
        <w:rPr>
          <w:rStyle w:val="FootnoteReference"/>
        </w:rPr>
        <w:footnoteRef/>
      </w:r>
      <w:r>
        <w:t xml:space="preserve"> Commonwealth of Massachusetts, </w:t>
      </w:r>
      <w:r w:rsidRPr="00742C40">
        <w:rPr>
          <w:i/>
        </w:rPr>
        <w:t>Governor’s Working Group on Opioids Update</w:t>
      </w:r>
      <w:r>
        <w:t xml:space="preserve">, November 14, 2017. Online. Accessed May 17, 2018. </w:t>
      </w:r>
      <w:hyperlink r:id="rId19" w:history="1">
        <w:r w:rsidRPr="008122B9">
          <w:rPr>
            <w:rStyle w:val="Hyperlink"/>
          </w:rPr>
          <w:t>https://www.mass.gov/files/documents/2017/11/15/2017-annual-update-action-items-gov-working-group.pdf</w:t>
        </w:r>
      </w:hyperlink>
    </w:p>
  </w:footnote>
  <w:footnote w:id="47">
    <w:p w:rsidR="002238BE" w:rsidRDefault="002238BE" w:rsidP="004A3C87">
      <w:pPr>
        <w:pStyle w:val="FootnoteText"/>
      </w:pPr>
      <w:r>
        <w:rPr>
          <w:rStyle w:val="FootnoteReference"/>
        </w:rPr>
        <w:footnoteRef/>
      </w:r>
      <w:r>
        <w:t xml:space="preserve"> Drug Enforcement Administration, November 2016. </w:t>
      </w:r>
      <w:r w:rsidRPr="00A67194">
        <w:rPr>
          <w:i/>
        </w:rPr>
        <w:t>National Drug Threat Assessment Summary, 201</w:t>
      </w:r>
      <w:r>
        <w:rPr>
          <w:i/>
        </w:rPr>
        <w:t xml:space="preserve">7. </w:t>
      </w:r>
      <w:r w:rsidRPr="007350C8">
        <w:t>October 2017. Online.</w:t>
      </w:r>
      <w:r>
        <w:t xml:space="preserve"> Accessed May 17, 2018.</w:t>
      </w:r>
      <w:r w:rsidRPr="007350C8">
        <w:t xml:space="preserve"> Available: </w:t>
      </w:r>
      <w:hyperlink r:id="rId20" w:history="1">
        <w:r w:rsidRPr="00BA6D02">
          <w:rPr>
            <w:rStyle w:val="Hyperlink"/>
          </w:rPr>
          <w:t>https://www.dea.gov/docs/DIR-040-17_2017-NDTA.pdf</w:t>
        </w:r>
      </w:hyperlink>
    </w:p>
    <w:p w:rsidR="002238BE" w:rsidRPr="007350C8" w:rsidRDefault="002238BE" w:rsidP="004A3C87">
      <w:pPr>
        <w:pStyle w:val="FootnoteText"/>
      </w:pPr>
    </w:p>
  </w:footnote>
  <w:footnote w:id="48">
    <w:p w:rsidR="002238BE" w:rsidRDefault="002238BE" w:rsidP="00096E07">
      <w:r w:rsidRPr="00244D6B">
        <w:rPr>
          <w:rStyle w:val="FootnoteReference"/>
          <w:sz w:val="20"/>
          <w:szCs w:val="20"/>
        </w:rPr>
        <w:footnoteRef/>
      </w:r>
      <w:r w:rsidRPr="00244D6B">
        <w:rPr>
          <w:sz w:val="20"/>
          <w:szCs w:val="20"/>
        </w:rPr>
        <w:t xml:space="preserve"> </w:t>
      </w:r>
      <w:r w:rsidRPr="006E6262">
        <w:rPr>
          <w:sz w:val="20"/>
          <w:szCs w:val="20"/>
        </w:rPr>
        <w:t>U.S. Department of Justice, National Drug Intelligence Center, September 2011</w:t>
      </w:r>
      <w:r w:rsidRPr="006E6262">
        <w:rPr>
          <w:i/>
          <w:sz w:val="20"/>
          <w:szCs w:val="20"/>
        </w:rPr>
        <w:t>. New England High Intensity Drug Trafficking Area Drug Market Analysis, 2011.</w:t>
      </w:r>
      <w:r w:rsidRPr="006E6262">
        <w:rPr>
          <w:sz w:val="20"/>
          <w:szCs w:val="20"/>
        </w:rPr>
        <w:t xml:space="preserve"> </w:t>
      </w:r>
      <w:r>
        <w:rPr>
          <w:sz w:val="20"/>
          <w:szCs w:val="20"/>
        </w:rPr>
        <w:t xml:space="preserve">Online. Available: </w:t>
      </w:r>
      <w:hyperlink r:id="rId21" w:history="1">
        <w:r w:rsidRPr="006E6262">
          <w:rPr>
            <w:rStyle w:val="Hyperlink"/>
            <w:sz w:val="20"/>
            <w:szCs w:val="20"/>
          </w:rPr>
          <w:t>https://www.justice.gov/archive/ndic/dmas/New_England_DMA-2011(U).pdf</w:t>
        </w:r>
      </w:hyperlink>
    </w:p>
  </w:footnote>
  <w:footnote w:id="49">
    <w:p w:rsidR="002238BE" w:rsidRPr="00C13D92" w:rsidRDefault="002238BE" w:rsidP="00096E07">
      <w:pPr>
        <w:rPr>
          <w:sz w:val="20"/>
          <w:szCs w:val="20"/>
        </w:rPr>
      </w:pPr>
      <w:r w:rsidRPr="00244D6B">
        <w:rPr>
          <w:rStyle w:val="FootnoteReference"/>
          <w:sz w:val="20"/>
          <w:szCs w:val="20"/>
        </w:rPr>
        <w:footnoteRef/>
      </w:r>
      <w:r>
        <w:t xml:space="preserve"> </w:t>
      </w:r>
      <w:r w:rsidRPr="00C13D92">
        <w:rPr>
          <w:sz w:val="20"/>
          <w:szCs w:val="20"/>
        </w:rPr>
        <w:t xml:space="preserve">Online. Available: </w:t>
      </w:r>
      <w:hyperlink r:id="rId22" w:history="1">
        <w:r w:rsidRPr="00C13D92">
          <w:rPr>
            <w:rStyle w:val="Hyperlink"/>
            <w:sz w:val="20"/>
            <w:szCs w:val="20"/>
          </w:rPr>
          <w:t>https://obamawhitehouse.archives.gov/the-press-office/2016/01/15/white-house-drug-policy-director-announces-designation-14-counties-high</w:t>
        </w:r>
      </w:hyperlink>
    </w:p>
    <w:p w:rsidR="002238BE" w:rsidRDefault="002238BE" w:rsidP="00096E07">
      <w:pPr>
        <w:pStyle w:val="FootnoteText"/>
      </w:pPr>
    </w:p>
  </w:footnote>
  <w:footnote w:id="50">
    <w:p w:rsidR="002238BE" w:rsidRDefault="002238BE" w:rsidP="005C18C3">
      <w:pPr>
        <w:pStyle w:val="FootnoteText"/>
      </w:pPr>
      <w:r>
        <w:rPr>
          <w:rStyle w:val="FootnoteReference"/>
        </w:rPr>
        <w:footnoteRef/>
      </w:r>
      <w:r>
        <w:t xml:space="preserve"> 2017 death data are preliminary and subject to updates.  Case reviews of deaths are evaluated and updated on an ongoing basis. A large number of deaths have yet to be assigned final cause-of-death codes.  The information presented in the report </w:t>
      </w:r>
      <w:r w:rsidRPr="007E399D">
        <w:rPr>
          <w:u w:val="single"/>
        </w:rPr>
        <w:t>only</w:t>
      </w:r>
      <w:r>
        <w:t xml:space="preserve"> includes confirmed cases. Data updated on 04/20/2018. Beginning with the May 2017 report, DPH started reporting opioid-related deaths for all intents, which includes unintentional/undetermined and suicide.</w:t>
      </w:r>
    </w:p>
  </w:footnote>
  <w:footnote w:id="51">
    <w:p w:rsidR="002238BE" w:rsidRDefault="002238BE" w:rsidP="000D1B85">
      <w:pPr>
        <w:pStyle w:val="FootnoteText"/>
      </w:pPr>
      <w:r w:rsidRPr="00244D6B">
        <w:rPr>
          <w:rStyle w:val="FootnoteReference"/>
        </w:rPr>
        <w:footnoteRef/>
      </w:r>
      <w:r>
        <w:t xml:space="preserve"> </w:t>
      </w:r>
      <w:r w:rsidRPr="00A00814">
        <w:t xml:space="preserve">Source: Drug Enforcement Administration, </w:t>
      </w:r>
      <w:r w:rsidRPr="00A00814">
        <w:rPr>
          <w:i/>
        </w:rPr>
        <w:t>National Drug Threat Assessment Summary, 201</w:t>
      </w:r>
      <w:r>
        <w:rPr>
          <w:i/>
        </w:rPr>
        <w:t>7</w:t>
      </w:r>
      <w:r w:rsidRPr="00A00814">
        <w:rPr>
          <w:i/>
        </w:rPr>
        <w:t xml:space="preserve">. </w:t>
      </w:r>
      <w:r>
        <w:t xml:space="preserve">October 2017. </w:t>
      </w:r>
      <w:r w:rsidRPr="007350C8">
        <w:t>Online.</w:t>
      </w:r>
      <w:r>
        <w:t xml:space="preserve"> Accessed May 17, 2018.</w:t>
      </w:r>
      <w:r w:rsidRPr="007350C8">
        <w:t xml:space="preserve"> Available: </w:t>
      </w:r>
      <w:hyperlink r:id="rId23" w:history="1">
        <w:r w:rsidRPr="00BA6D02">
          <w:rPr>
            <w:rStyle w:val="Hyperlink"/>
          </w:rPr>
          <w:t>https://www.dea.gov/docs/DIR-040-17_2017-NDTA.pdf</w:t>
        </w:r>
      </w:hyperlink>
    </w:p>
  </w:footnote>
  <w:footnote w:id="52">
    <w:p w:rsidR="002238BE" w:rsidRDefault="002238BE" w:rsidP="000D1B85">
      <w:pPr>
        <w:pStyle w:val="FootnoteText"/>
      </w:pPr>
      <w:r>
        <w:rPr>
          <w:rStyle w:val="FootnoteReference"/>
        </w:rPr>
        <w:footnoteRef/>
      </w:r>
      <w:r>
        <w:t xml:space="preserve"> The other two states are New Hampshire and West Virginia.</w:t>
      </w:r>
    </w:p>
  </w:footnote>
  <w:footnote w:id="53">
    <w:p w:rsidR="002238BE" w:rsidRDefault="002238BE" w:rsidP="000D1B85">
      <w:r w:rsidRPr="00244D6B">
        <w:rPr>
          <w:rStyle w:val="FootnoteReference"/>
          <w:sz w:val="20"/>
          <w:szCs w:val="20"/>
        </w:rPr>
        <w:footnoteRef/>
      </w:r>
      <w:r w:rsidRPr="00DB47D1">
        <w:rPr>
          <w:sz w:val="20"/>
          <w:szCs w:val="20"/>
        </w:rPr>
        <w:t>, Seth P, L</w:t>
      </w:r>
      <w:r>
        <w:rPr>
          <w:sz w:val="20"/>
          <w:szCs w:val="20"/>
        </w:rPr>
        <w:t xml:space="preserve">awrence S, R </w:t>
      </w:r>
      <w:r w:rsidRPr="00DB47D1">
        <w:rPr>
          <w:sz w:val="20"/>
          <w:szCs w:val="20"/>
        </w:rPr>
        <w:t>Rudd</w:t>
      </w:r>
      <w:r>
        <w:rPr>
          <w:sz w:val="20"/>
          <w:szCs w:val="20"/>
        </w:rPr>
        <w:t>, S Bacon</w:t>
      </w:r>
      <w:r w:rsidRPr="00DB47D1">
        <w:rPr>
          <w:sz w:val="20"/>
          <w:szCs w:val="20"/>
        </w:rPr>
        <w:t xml:space="preserve">. </w:t>
      </w:r>
      <w:r w:rsidRPr="00DB47D1">
        <w:rPr>
          <w:i/>
          <w:sz w:val="20"/>
          <w:szCs w:val="20"/>
        </w:rPr>
        <w:t>Overdose Deaths</w:t>
      </w:r>
      <w:r>
        <w:rPr>
          <w:i/>
          <w:sz w:val="20"/>
          <w:szCs w:val="20"/>
        </w:rPr>
        <w:t xml:space="preserve"> Involving Opioids, Cocaine, and Psychostimulants</w:t>
      </w:r>
      <w:r w:rsidRPr="00DB47D1">
        <w:rPr>
          <w:i/>
          <w:sz w:val="20"/>
          <w:szCs w:val="20"/>
        </w:rPr>
        <w:t xml:space="preserve"> — United States, 201</w:t>
      </w:r>
      <w:r>
        <w:rPr>
          <w:i/>
          <w:sz w:val="20"/>
          <w:szCs w:val="20"/>
        </w:rPr>
        <w:t>5</w:t>
      </w:r>
      <w:r w:rsidRPr="00DB47D1">
        <w:rPr>
          <w:i/>
          <w:sz w:val="20"/>
          <w:szCs w:val="20"/>
        </w:rPr>
        <w:t>–201</w:t>
      </w:r>
      <w:r>
        <w:rPr>
          <w:i/>
          <w:sz w:val="20"/>
          <w:szCs w:val="20"/>
        </w:rPr>
        <w:t>6</w:t>
      </w:r>
      <w:r w:rsidRPr="00DB47D1">
        <w:rPr>
          <w:sz w:val="20"/>
          <w:szCs w:val="20"/>
        </w:rPr>
        <w:t xml:space="preserve">. Centers for Disease Control and Prevention, MMWR Morbidity and Mortality Weekly Report, </w:t>
      </w:r>
      <w:r>
        <w:rPr>
          <w:sz w:val="20"/>
          <w:szCs w:val="20"/>
        </w:rPr>
        <w:t>March 30, 2018, Vol. 67 no.12</w:t>
      </w:r>
      <w:r w:rsidRPr="00DB47D1">
        <w:rPr>
          <w:sz w:val="20"/>
          <w:szCs w:val="20"/>
        </w:rPr>
        <w:t>:</w:t>
      </w:r>
      <w:r>
        <w:rPr>
          <w:sz w:val="20"/>
          <w:szCs w:val="20"/>
        </w:rPr>
        <w:t xml:space="preserve"> </w:t>
      </w:r>
      <w:hyperlink r:id="rId24" w:history="1">
        <w:r w:rsidRPr="00BA6D02">
          <w:rPr>
            <w:rStyle w:val="Hyperlink"/>
            <w:sz w:val="20"/>
            <w:szCs w:val="20"/>
          </w:rPr>
          <w:t>https://www.cdc.gov/mmwr/volumes/67/wr/pdfs/mm6712a1-H.pdf</w:t>
        </w:r>
      </w:hyperlink>
    </w:p>
  </w:footnote>
  <w:footnote w:id="54">
    <w:p w:rsidR="002238BE" w:rsidRDefault="002238BE" w:rsidP="000D1B85">
      <w:pPr>
        <w:pStyle w:val="FootnoteText"/>
      </w:pPr>
      <w:r>
        <w:rPr>
          <w:rStyle w:val="FootnoteReference"/>
        </w:rPr>
        <w:footnoteRef/>
      </w:r>
      <w:r>
        <w:t xml:space="preserve"> National Institute on Drug Abuse, Research on the Use and Misuse of Fentanyl and Other Synthetic Opioids, June 30, 2017. Online. Accessed June 5, 2018. </w:t>
      </w:r>
      <w:hyperlink r:id="rId25" w:history="1">
        <w:r w:rsidRPr="00BA6D02">
          <w:rPr>
            <w:rStyle w:val="Hyperlink"/>
          </w:rPr>
          <w:t>https://www.drugabuse.gov/about-nida/legislative-activities/testimony-to-congress/2017/research-use-misuse-fentanyl-other-synthetic-opioids</w:t>
        </w:r>
      </w:hyperlink>
    </w:p>
    <w:p w:rsidR="002238BE" w:rsidRDefault="002238BE" w:rsidP="000D1B85">
      <w:pPr>
        <w:pStyle w:val="FootnoteText"/>
      </w:pPr>
    </w:p>
  </w:footnote>
  <w:footnote w:id="55">
    <w:p w:rsidR="002238BE" w:rsidRDefault="002238BE">
      <w:pPr>
        <w:pStyle w:val="FootnoteText"/>
      </w:pPr>
      <w:r>
        <w:rPr>
          <w:rStyle w:val="FootnoteReference"/>
        </w:rPr>
        <w:footnoteRef/>
      </w:r>
      <w:r>
        <w:t xml:space="preserve"> Data received August 13, 2018, from the Administrative Office of the Trial Court, Boston Municipal Court, District Court, Juvenile Court, and Superior Court, CY 2017, Total Criminal Cases and Total Delinquency Cases.</w:t>
      </w:r>
    </w:p>
  </w:footnote>
  <w:footnote w:id="56">
    <w:p w:rsidR="002238BE" w:rsidRDefault="002238BE" w:rsidP="00B60491">
      <w:pPr>
        <w:pStyle w:val="FootnoteText"/>
      </w:pPr>
      <w:r>
        <w:rPr>
          <w:rStyle w:val="FootnoteReference"/>
        </w:rPr>
        <w:footnoteRef/>
      </w:r>
      <w:r>
        <w:t xml:space="preserve"> </w:t>
      </w:r>
      <w:hyperlink r:id="rId26" w:history="1">
        <w:r w:rsidRPr="003A31CC">
          <w:rPr>
            <w:rStyle w:val="Hyperlink"/>
          </w:rPr>
          <w:t>https://malegislature.gov/Laws/GeneralLaws/PartI/TitleXVII/Chapter119/Section52</w:t>
        </w:r>
      </w:hyperlink>
    </w:p>
  </w:footnote>
  <w:footnote w:id="57">
    <w:p w:rsidR="002238BE" w:rsidRDefault="002238BE" w:rsidP="009E560A">
      <w:pPr>
        <w:pStyle w:val="FootnoteText"/>
      </w:pPr>
      <w:r>
        <w:rPr>
          <w:rStyle w:val="FootnoteReference"/>
        </w:rPr>
        <w:footnoteRef/>
      </w:r>
      <w:r>
        <w:t xml:space="preserve"> Executive Office of the Trial Court, Department of Research and Planning, </w:t>
      </w:r>
      <w:r w:rsidRPr="004F67A9">
        <w:rPr>
          <w:i/>
        </w:rPr>
        <w:t>Case Fillings and Demographics of Selected Case Types</w:t>
      </w:r>
      <w:r>
        <w:t>, March 9, 2018.</w:t>
      </w:r>
    </w:p>
  </w:footnote>
  <w:footnote w:id="58">
    <w:p w:rsidR="002238BE" w:rsidRDefault="002238BE">
      <w:pPr>
        <w:pStyle w:val="FootnoteText"/>
      </w:pPr>
      <w:r>
        <w:rPr>
          <w:rStyle w:val="FootnoteReference"/>
        </w:rPr>
        <w:footnoteRef/>
      </w:r>
      <w:r>
        <w:t xml:space="preserve"> </w:t>
      </w:r>
      <w:hyperlink r:id="rId27" w:history="1">
        <w:r w:rsidRPr="009D5595">
          <w:rPr>
            <w:rStyle w:val="Hyperlink"/>
          </w:rPr>
          <w:t>https://www.ojjdp.gov/programs/ProgSummary.asp?pi=18</w:t>
        </w:r>
      </w:hyperlink>
    </w:p>
  </w:footnote>
  <w:footnote w:id="59">
    <w:p w:rsidR="002238BE" w:rsidRDefault="002238BE">
      <w:pPr>
        <w:pStyle w:val="FootnoteText"/>
      </w:pPr>
      <w:r>
        <w:rPr>
          <w:rStyle w:val="FootnoteReference"/>
        </w:rPr>
        <w:footnoteRef/>
      </w:r>
      <w:r>
        <w:t xml:space="preserve"> </w:t>
      </w:r>
      <w:hyperlink r:id="rId28" w:history="1">
        <w:r w:rsidRPr="009D5595">
          <w:rPr>
            <w:rStyle w:val="Hyperlink"/>
          </w:rPr>
          <w:t>http://www.mass.gov/eohhs/gov/commissions-and-initiatives/jdai/racial-and-ethnic-disparities.html</w:t>
        </w:r>
      </w:hyperlink>
    </w:p>
  </w:footnote>
  <w:footnote w:id="60">
    <w:p w:rsidR="002238BE" w:rsidRPr="00CD61AB" w:rsidRDefault="002238BE" w:rsidP="00DA5F05">
      <w:pPr>
        <w:pStyle w:val="FootnoteText"/>
      </w:pPr>
      <w:r w:rsidRPr="00CD61AB">
        <w:rPr>
          <w:rStyle w:val="FootnoteReference"/>
        </w:rPr>
        <w:footnoteRef/>
      </w:r>
      <w:r w:rsidRPr="00CD61AB">
        <w:t xml:space="preserve"> </w:t>
      </w:r>
      <w:r w:rsidRPr="00C43740">
        <w:t xml:space="preserve">The race/ethnicity of </w:t>
      </w:r>
      <w:r>
        <w:t>individuals charged as Youthful Offenders</w:t>
      </w:r>
      <w:r w:rsidRPr="00C43740">
        <w:t xml:space="preserve"> </w:t>
      </w:r>
      <w:r>
        <w:t>is</w:t>
      </w:r>
      <w:r w:rsidRPr="00C43740">
        <w:t xml:space="preserve"> known in </w:t>
      </w:r>
      <w:r>
        <w:t>136</w:t>
      </w:r>
      <w:r w:rsidRPr="00C43740">
        <w:t xml:space="preserve"> of the </w:t>
      </w:r>
      <w:r>
        <w:t>151</w:t>
      </w:r>
      <w:r w:rsidRPr="00C43740">
        <w:t xml:space="preserve"> cases (9</w:t>
      </w:r>
      <w:r>
        <w:t>0</w:t>
      </w:r>
      <w:r w:rsidRPr="00C43740">
        <w:t>%).</w:t>
      </w:r>
      <w:r>
        <w:t xml:space="preserve"> </w:t>
      </w:r>
    </w:p>
  </w:footnote>
  <w:footnote w:id="61">
    <w:p w:rsidR="002238BE" w:rsidRDefault="002238BE">
      <w:pPr>
        <w:pStyle w:val="FootnoteText"/>
      </w:pPr>
      <w:r>
        <w:rPr>
          <w:rStyle w:val="FootnoteReference"/>
        </w:rPr>
        <w:footnoteRef/>
      </w:r>
      <w:r>
        <w:t xml:space="preserve"> The race/ethnicity of individuals with an Application for Criminal Complaint in known in 9,767 of the 13,179 cases (74%).</w:t>
      </w:r>
    </w:p>
  </w:footnote>
  <w:footnote w:id="62">
    <w:p w:rsidR="002238BE" w:rsidRPr="00411B02" w:rsidRDefault="002238BE" w:rsidP="009075EB">
      <w:pPr>
        <w:pStyle w:val="FootnoteText"/>
      </w:pPr>
      <w:r>
        <w:rPr>
          <w:rStyle w:val="FootnoteReference"/>
        </w:rPr>
        <w:footnoteRef/>
      </w:r>
      <w:r>
        <w:t xml:space="preserve"> </w:t>
      </w:r>
      <w:r>
        <w:rPr>
          <w:rStyle w:val="Emphasis"/>
          <w:lang w:val="en"/>
        </w:rPr>
        <w:t xml:space="preserve">The Juvenile Detention Alternative Initiative (JDAI) in Massachusetts works to ensure that </w:t>
      </w:r>
      <w:r>
        <w:rPr>
          <w:rStyle w:val="Strong"/>
          <w:rFonts w:eastAsia="PMingLiU"/>
          <w:i/>
          <w:iCs/>
          <w:lang w:val="en"/>
        </w:rPr>
        <w:t xml:space="preserve">“the right youth, is in the right place, for the right reasons.” </w:t>
      </w:r>
      <w:r w:rsidRPr="00173CC7">
        <w:rPr>
          <w:rStyle w:val="Strong"/>
          <w:rFonts w:eastAsia="PMingLiU"/>
          <w:b w:val="0"/>
          <w:iCs/>
          <w:lang w:val="en"/>
        </w:rPr>
        <w:t>Accessed on 3/22/17</w:t>
      </w:r>
      <w:r>
        <w:rPr>
          <w:rStyle w:val="Strong"/>
          <w:rFonts w:eastAsia="PMingLiU"/>
          <w:iCs/>
          <w:lang w:val="en"/>
        </w:rPr>
        <w:t xml:space="preserve"> </w:t>
      </w:r>
      <w:hyperlink r:id="rId29" w:history="1">
        <w:r w:rsidRPr="00EB276F">
          <w:rPr>
            <w:rStyle w:val="Hyperlink"/>
            <w:rFonts w:eastAsia="PMingLiU"/>
            <w:iCs/>
            <w:lang w:val="en"/>
          </w:rPr>
          <w:t>http://www.mass.gov/eohhs/gov/commissions-and-initiatives/jdai/jdai-work-plans-and-goals.html</w:t>
        </w:r>
      </w:hyperlink>
    </w:p>
  </w:footnote>
  <w:footnote w:id="63">
    <w:p w:rsidR="002238BE" w:rsidRDefault="002238BE" w:rsidP="009075EB">
      <w:pPr>
        <w:pStyle w:val="FootnoteText"/>
      </w:pPr>
      <w:r>
        <w:rPr>
          <w:rStyle w:val="FootnoteReference"/>
        </w:rPr>
        <w:footnoteRef/>
      </w:r>
      <w:r>
        <w:t xml:space="preserve"> The Annie E. Casey Foundation. </w:t>
      </w:r>
      <w:r w:rsidRPr="005404F6">
        <w:rPr>
          <w:i/>
        </w:rPr>
        <w:t>Juvenile Detention Alternatives Initiative Progress Report, 2014.</w:t>
      </w:r>
      <w:r>
        <w:t xml:space="preserve"> </w:t>
      </w:r>
    </w:p>
    <w:p w:rsidR="002238BE" w:rsidRDefault="002238BE" w:rsidP="009075EB">
      <w:pPr>
        <w:pStyle w:val="FootnoteText"/>
      </w:pPr>
      <w:r>
        <w:t xml:space="preserve">Accessed on 3/31/17 </w:t>
      </w:r>
      <w:hyperlink r:id="rId30" w:anchor="page=5" w:history="1">
        <w:r w:rsidRPr="00373933">
          <w:rPr>
            <w:rStyle w:val="Hyperlink"/>
          </w:rPr>
          <w:t>http://cms.aecf.org/m/resourcedoc/aecf-2014JDAIProgressReport-2014.pdf#page=5</w:t>
        </w:r>
      </w:hyperlink>
    </w:p>
  </w:footnote>
  <w:footnote w:id="64">
    <w:p w:rsidR="002238BE" w:rsidRDefault="002238BE" w:rsidP="009075EB">
      <w:pPr>
        <w:pStyle w:val="FootnoteText"/>
      </w:pPr>
      <w:r>
        <w:rPr>
          <w:rStyle w:val="FootnoteReference"/>
        </w:rPr>
        <w:footnoteRef/>
      </w:r>
      <w:r>
        <w:t xml:space="preserve"> JDAI Research and Policy Series, Detention: Research, Utilization and Trends, Accessed on 4/24/2018. </w:t>
      </w:r>
      <w:hyperlink r:id="rId31" w:history="1">
        <w:r w:rsidRPr="00BD4BBD">
          <w:rPr>
            <w:rStyle w:val="Hyperlink"/>
          </w:rPr>
          <w:t>http://www.mass.gov/eohhs/docs/dys/jdai/dangers-of-detention-brief.pdf</w:t>
        </w:r>
      </w:hyperlink>
    </w:p>
  </w:footnote>
  <w:footnote w:id="65">
    <w:p w:rsidR="002238BE" w:rsidRDefault="002238BE" w:rsidP="00FB0C61">
      <w:pPr>
        <w:pStyle w:val="FootnoteText"/>
      </w:pPr>
      <w:r>
        <w:rPr>
          <w:rStyle w:val="FootnoteReference"/>
        </w:rPr>
        <w:footnoteRef/>
      </w:r>
      <w:r>
        <w:t xml:space="preserve"> Not including juveniles previously committed to DYS custody.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827C6"/>
    <w:multiLevelType w:val="hybridMultilevel"/>
    <w:tmpl w:val="046E2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DC7351"/>
    <w:multiLevelType w:val="hybridMultilevel"/>
    <w:tmpl w:val="98FA3EE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604EDB"/>
    <w:multiLevelType w:val="hybridMultilevel"/>
    <w:tmpl w:val="D7D4A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272CDC"/>
    <w:multiLevelType w:val="hybridMultilevel"/>
    <w:tmpl w:val="54107996"/>
    <w:lvl w:ilvl="0" w:tplc="04090013">
      <w:start w:val="1"/>
      <w:numFmt w:val="upperRoman"/>
      <w:lvlText w:val="%1."/>
      <w:lvlJc w:val="right"/>
      <w:pPr>
        <w:ind w:left="360" w:hanging="360"/>
      </w:p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D0E728D"/>
    <w:multiLevelType w:val="hybridMultilevel"/>
    <w:tmpl w:val="13DA1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9B242F"/>
    <w:multiLevelType w:val="multilevel"/>
    <w:tmpl w:val="B7F4A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E7375A"/>
    <w:multiLevelType w:val="hybridMultilevel"/>
    <w:tmpl w:val="752A28B6"/>
    <w:lvl w:ilvl="0" w:tplc="A1F8525E">
      <w:start w:val="3"/>
      <w:numFmt w:val="upp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7431BC3"/>
    <w:multiLevelType w:val="hybridMultilevel"/>
    <w:tmpl w:val="F078F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6B1D54"/>
    <w:multiLevelType w:val="hybridMultilevel"/>
    <w:tmpl w:val="B75277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5D224E"/>
    <w:multiLevelType w:val="hybridMultilevel"/>
    <w:tmpl w:val="7F020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6D6C21"/>
    <w:multiLevelType w:val="hybridMultilevel"/>
    <w:tmpl w:val="11229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46254F"/>
    <w:multiLevelType w:val="hybridMultilevel"/>
    <w:tmpl w:val="E12AA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B35269"/>
    <w:multiLevelType w:val="hybridMultilevel"/>
    <w:tmpl w:val="2408C0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507EBF"/>
    <w:multiLevelType w:val="hybridMultilevel"/>
    <w:tmpl w:val="54442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E32FDF"/>
    <w:multiLevelType w:val="hybridMultilevel"/>
    <w:tmpl w:val="6F601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C45058"/>
    <w:multiLevelType w:val="hybridMultilevel"/>
    <w:tmpl w:val="18FE3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F279CE"/>
    <w:multiLevelType w:val="hybridMultilevel"/>
    <w:tmpl w:val="6818C1A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9852F9"/>
    <w:multiLevelType w:val="hybridMultilevel"/>
    <w:tmpl w:val="C21AF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605F61"/>
    <w:multiLevelType w:val="hybridMultilevel"/>
    <w:tmpl w:val="8E18C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04721D"/>
    <w:multiLevelType w:val="hybridMultilevel"/>
    <w:tmpl w:val="5A94513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493B0D"/>
    <w:multiLevelType w:val="hybridMultilevel"/>
    <w:tmpl w:val="E93AF8A2"/>
    <w:lvl w:ilvl="0" w:tplc="7376103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6C65A2"/>
    <w:multiLevelType w:val="hybridMultilevel"/>
    <w:tmpl w:val="815055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8950727"/>
    <w:multiLevelType w:val="hybridMultilevel"/>
    <w:tmpl w:val="1020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0E24FC"/>
    <w:multiLevelType w:val="hybridMultilevel"/>
    <w:tmpl w:val="158E6DA6"/>
    <w:lvl w:ilvl="0" w:tplc="13447AE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4" w15:restartNumberingAfterBreak="0">
    <w:nsid w:val="5CBA25E6"/>
    <w:multiLevelType w:val="hybridMultilevel"/>
    <w:tmpl w:val="52F274C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E6E62B0"/>
    <w:multiLevelType w:val="hybridMultilevel"/>
    <w:tmpl w:val="7946E076"/>
    <w:lvl w:ilvl="0" w:tplc="13447AEC">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6" w15:restartNumberingAfterBreak="0">
    <w:nsid w:val="61000768"/>
    <w:multiLevelType w:val="hybridMultilevel"/>
    <w:tmpl w:val="95682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A7536B"/>
    <w:multiLevelType w:val="hybridMultilevel"/>
    <w:tmpl w:val="814CB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C51496"/>
    <w:multiLevelType w:val="hybridMultilevel"/>
    <w:tmpl w:val="4980358A"/>
    <w:lvl w:ilvl="0" w:tplc="69D2FB50">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D371D13"/>
    <w:multiLevelType w:val="hybridMultilevel"/>
    <w:tmpl w:val="C478BD0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F2E193B"/>
    <w:multiLevelType w:val="hybridMultilevel"/>
    <w:tmpl w:val="345C3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B26835"/>
    <w:multiLevelType w:val="hybridMultilevel"/>
    <w:tmpl w:val="4DBCAD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355669"/>
    <w:multiLevelType w:val="hybridMultilevel"/>
    <w:tmpl w:val="81F8A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1C1221"/>
    <w:multiLevelType w:val="hybridMultilevel"/>
    <w:tmpl w:val="3C948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E777C2"/>
    <w:multiLevelType w:val="hybridMultilevel"/>
    <w:tmpl w:val="5EF08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C1247C"/>
    <w:multiLevelType w:val="hybridMultilevel"/>
    <w:tmpl w:val="D882A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0"/>
  </w:num>
  <w:num w:numId="3">
    <w:abstractNumId w:val="8"/>
  </w:num>
  <w:num w:numId="4">
    <w:abstractNumId w:val="16"/>
  </w:num>
  <w:num w:numId="5">
    <w:abstractNumId w:val="1"/>
  </w:num>
  <w:num w:numId="6">
    <w:abstractNumId w:val="17"/>
  </w:num>
  <w:num w:numId="7">
    <w:abstractNumId w:val="33"/>
  </w:num>
  <w:num w:numId="8">
    <w:abstractNumId w:val="29"/>
  </w:num>
  <w:num w:numId="9">
    <w:abstractNumId w:val="21"/>
  </w:num>
  <w:num w:numId="10">
    <w:abstractNumId w:val="35"/>
  </w:num>
  <w:num w:numId="11">
    <w:abstractNumId w:val="9"/>
  </w:num>
  <w:num w:numId="12">
    <w:abstractNumId w:val="26"/>
  </w:num>
  <w:num w:numId="13">
    <w:abstractNumId w:val="32"/>
  </w:num>
  <w:num w:numId="14">
    <w:abstractNumId w:val="13"/>
  </w:num>
  <w:num w:numId="15">
    <w:abstractNumId w:val="11"/>
  </w:num>
  <w:num w:numId="16">
    <w:abstractNumId w:val="34"/>
  </w:num>
  <w:num w:numId="17">
    <w:abstractNumId w:val="19"/>
  </w:num>
  <w:num w:numId="18">
    <w:abstractNumId w:val="24"/>
  </w:num>
  <w:num w:numId="19">
    <w:abstractNumId w:val="4"/>
  </w:num>
  <w:num w:numId="20">
    <w:abstractNumId w:val="27"/>
  </w:num>
  <w:num w:numId="21">
    <w:abstractNumId w:val="2"/>
  </w:num>
  <w:num w:numId="22">
    <w:abstractNumId w:val="14"/>
  </w:num>
  <w:num w:numId="23">
    <w:abstractNumId w:val="22"/>
  </w:num>
  <w:num w:numId="24">
    <w:abstractNumId w:val="10"/>
  </w:num>
  <w:num w:numId="25">
    <w:abstractNumId w:val="28"/>
  </w:num>
  <w:num w:numId="26">
    <w:abstractNumId w:val="23"/>
  </w:num>
  <w:num w:numId="27">
    <w:abstractNumId w:val="25"/>
  </w:num>
  <w:num w:numId="28">
    <w:abstractNumId w:val="31"/>
  </w:num>
  <w:num w:numId="29">
    <w:abstractNumId w:val="18"/>
  </w:num>
  <w:num w:numId="30">
    <w:abstractNumId w:val="30"/>
  </w:num>
  <w:num w:numId="31">
    <w:abstractNumId w:val="6"/>
  </w:num>
  <w:num w:numId="32">
    <w:abstractNumId w:val="5"/>
  </w:num>
  <w:num w:numId="33">
    <w:abstractNumId w:val="12"/>
  </w:num>
  <w:num w:numId="34">
    <w:abstractNumId w:val="0"/>
  </w:num>
  <w:num w:numId="35">
    <w:abstractNumId w:val="15"/>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zA3MTI3NjE0NgLyTJR0lIJTi4sz8/NACsxqAXnR+ewsAAAA"/>
  </w:docVars>
  <w:rsids>
    <w:rsidRoot w:val="002116FC"/>
    <w:rsid w:val="00004956"/>
    <w:rsid w:val="00015461"/>
    <w:rsid w:val="000156D6"/>
    <w:rsid w:val="000202AA"/>
    <w:rsid w:val="00022DBC"/>
    <w:rsid w:val="00027AB6"/>
    <w:rsid w:val="00033256"/>
    <w:rsid w:val="00040E47"/>
    <w:rsid w:val="0004260B"/>
    <w:rsid w:val="000446DE"/>
    <w:rsid w:val="0005346D"/>
    <w:rsid w:val="00055924"/>
    <w:rsid w:val="00056F39"/>
    <w:rsid w:val="000649F3"/>
    <w:rsid w:val="00071558"/>
    <w:rsid w:val="00071C6E"/>
    <w:rsid w:val="00073C76"/>
    <w:rsid w:val="00077D20"/>
    <w:rsid w:val="000824F6"/>
    <w:rsid w:val="00083372"/>
    <w:rsid w:val="00092C13"/>
    <w:rsid w:val="00094B2B"/>
    <w:rsid w:val="00096E07"/>
    <w:rsid w:val="00097650"/>
    <w:rsid w:val="00097F96"/>
    <w:rsid w:val="000A124B"/>
    <w:rsid w:val="000A1BD3"/>
    <w:rsid w:val="000B5C84"/>
    <w:rsid w:val="000C145F"/>
    <w:rsid w:val="000C1E2C"/>
    <w:rsid w:val="000C39C7"/>
    <w:rsid w:val="000D1B85"/>
    <w:rsid w:val="000D69C1"/>
    <w:rsid w:val="000D6F16"/>
    <w:rsid w:val="000E1432"/>
    <w:rsid w:val="000E1D4D"/>
    <w:rsid w:val="000E1D53"/>
    <w:rsid w:val="000E6D19"/>
    <w:rsid w:val="000F1C66"/>
    <w:rsid w:val="000F31CC"/>
    <w:rsid w:val="00102E3E"/>
    <w:rsid w:val="00103DBD"/>
    <w:rsid w:val="00106A9F"/>
    <w:rsid w:val="00112A98"/>
    <w:rsid w:val="001134A5"/>
    <w:rsid w:val="0011530A"/>
    <w:rsid w:val="00117D56"/>
    <w:rsid w:val="00120278"/>
    <w:rsid w:val="0013110E"/>
    <w:rsid w:val="0013353F"/>
    <w:rsid w:val="00133DFE"/>
    <w:rsid w:val="001409D5"/>
    <w:rsid w:val="001410D7"/>
    <w:rsid w:val="00150BAC"/>
    <w:rsid w:val="0016092E"/>
    <w:rsid w:val="001625CB"/>
    <w:rsid w:val="001637B3"/>
    <w:rsid w:val="00165B32"/>
    <w:rsid w:val="00166540"/>
    <w:rsid w:val="00173CC7"/>
    <w:rsid w:val="00181951"/>
    <w:rsid w:val="00196E87"/>
    <w:rsid w:val="001978B1"/>
    <w:rsid w:val="001A317D"/>
    <w:rsid w:val="001A6BCF"/>
    <w:rsid w:val="001A72EC"/>
    <w:rsid w:val="001B1424"/>
    <w:rsid w:val="001B1D67"/>
    <w:rsid w:val="001B359E"/>
    <w:rsid w:val="001B3E3E"/>
    <w:rsid w:val="001B4EDE"/>
    <w:rsid w:val="001C4DD5"/>
    <w:rsid w:val="001C5FFA"/>
    <w:rsid w:val="001C6BE2"/>
    <w:rsid w:val="001C741A"/>
    <w:rsid w:val="001D155D"/>
    <w:rsid w:val="001D2CD6"/>
    <w:rsid w:val="001D69F5"/>
    <w:rsid w:val="001D792C"/>
    <w:rsid w:val="001E123D"/>
    <w:rsid w:val="001E2B6A"/>
    <w:rsid w:val="001E3533"/>
    <w:rsid w:val="001F09B1"/>
    <w:rsid w:val="00204EC7"/>
    <w:rsid w:val="00205B71"/>
    <w:rsid w:val="002116FC"/>
    <w:rsid w:val="0021793D"/>
    <w:rsid w:val="00220C44"/>
    <w:rsid w:val="002238BE"/>
    <w:rsid w:val="002272E6"/>
    <w:rsid w:val="00227BF1"/>
    <w:rsid w:val="002318D3"/>
    <w:rsid w:val="002321E9"/>
    <w:rsid w:val="00232D36"/>
    <w:rsid w:val="00241B92"/>
    <w:rsid w:val="00246246"/>
    <w:rsid w:val="002474FA"/>
    <w:rsid w:val="00251F8A"/>
    <w:rsid w:val="00261463"/>
    <w:rsid w:val="00280FEC"/>
    <w:rsid w:val="00285E22"/>
    <w:rsid w:val="00295237"/>
    <w:rsid w:val="00295792"/>
    <w:rsid w:val="00296DCC"/>
    <w:rsid w:val="002A4644"/>
    <w:rsid w:val="002A6283"/>
    <w:rsid w:val="002B1A01"/>
    <w:rsid w:val="002B25C8"/>
    <w:rsid w:val="002C7464"/>
    <w:rsid w:val="002C7B10"/>
    <w:rsid w:val="002D1D7E"/>
    <w:rsid w:val="002D5354"/>
    <w:rsid w:val="002D780F"/>
    <w:rsid w:val="002E3182"/>
    <w:rsid w:val="002E647C"/>
    <w:rsid w:val="002F1A02"/>
    <w:rsid w:val="002F465B"/>
    <w:rsid w:val="002F79C8"/>
    <w:rsid w:val="003014B7"/>
    <w:rsid w:val="003077B8"/>
    <w:rsid w:val="0031456A"/>
    <w:rsid w:val="00320522"/>
    <w:rsid w:val="00322C41"/>
    <w:rsid w:val="003235F1"/>
    <w:rsid w:val="00330559"/>
    <w:rsid w:val="00333101"/>
    <w:rsid w:val="003372B6"/>
    <w:rsid w:val="0034371B"/>
    <w:rsid w:val="00351EA4"/>
    <w:rsid w:val="00352BE5"/>
    <w:rsid w:val="00362E8E"/>
    <w:rsid w:val="003677C6"/>
    <w:rsid w:val="003709AE"/>
    <w:rsid w:val="0037625C"/>
    <w:rsid w:val="00383426"/>
    <w:rsid w:val="0038342E"/>
    <w:rsid w:val="00383931"/>
    <w:rsid w:val="00385280"/>
    <w:rsid w:val="00392158"/>
    <w:rsid w:val="00393F02"/>
    <w:rsid w:val="003948A8"/>
    <w:rsid w:val="00395424"/>
    <w:rsid w:val="00396DCC"/>
    <w:rsid w:val="003A4CFA"/>
    <w:rsid w:val="003C1B71"/>
    <w:rsid w:val="003C3226"/>
    <w:rsid w:val="003C3260"/>
    <w:rsid w:val="003C439C"/>
    <w:rsid w:val="003D7BA5"/>
    <w:rsid w:val="003E4044"/>
    <w:rsid w:val="003F207F"/>
    <w:rsid w:val="003F3068"/>
    <w:rsid w:val="003F32E6"/>
    <w:rsid w:val="003F4D1E"/>
    <w:rsid w:val="003F6B96"/>
    <w:rsid w:val="0040346A"/>
    <w:rsid w:val="0040562B"/>
    <w:rsid w:val="0040612C"/>
    <w:rsid w:val="00412C81"/>
    <w:rsid w:val="00413B7A"/>
    <w:rsid w:val="00425203"/>
    <w:rsid w:val="00425D74"/>
    <w:rsid w:val="00432B4C"/>
    <w:rsid w:val="00435D84"/>
    <w:rsid w:val="00437AE1"/>
    <w:rsid w:val="00442151"/>
    <w:rsid w:val="004424E7"/>
    <w:rsid w:val="0044277F"/>
    <w:rsid w:val="004523F1"/>
    <w:rsid w:val="00455769"/>
    <w:rsid w:val="0046263E"/>
    <w:rsid w:val="00462A52"/>
    <w:rsid w:val="00470034"/>
    <w:rsid w:val="00475521"/>
    <w:rsid w:val="00476F28"/>
    <w:rsid w:val="00485027"/>
    <w:rsid w:val="004919D2"/>
    <w:rsid w:val="00493A1C"/>
    <w:rsid w:val="004964BF"/>
    <w:rsid w:val="004969C9"/>
    <w:rsid w:val="00497B3B"/>
    <w:rsid w:val="004A2430"/>
    <w:rsid w:val="004A3C87"/>
    <w:rsid w:val="004A3D12"/>
    <w:rsid w:val="004A432F"/>
    <w:rsid w:val="004A5F21"/>
    <w:rsid w:val="004B135E"/>
    <w:rsid w:val="004B30C9"/>
    <w:rsid w:val="004B4DEE"/>
    <w:rsid w:val="004B4EE9"/>
    <w:rsid w:val="004B5F55"/>
    <w:rsid w:val="004C1E46"/>
    <w:rsid w:val="004C23CA"/>
    <w:rsid w:val="004D05CC"/>
    <w:rsid w:val="004D173B"/>
    <w:rsid w:val="004D4A80"/>
    <w:rsid w:val="004D5369"/>
    <w:rsid w:val="004D7E0D"/>
    <w:rsid w:val="004F1A44"/>
    <w:rsid w:val="004F34EF"/>
    <w:rsid w:val="004F5D7C"/>
    <w:rsid w:val="0050027B"/>
    <w:rsid w:val="00502F75"/>
    <w:rsid w:val="00506682"/>
    <w:rsid w:val="00507577"/>
    <w:rsid w:val="00511EA8"/>
    <w:rsid w:val="005124DE"/>
    <w:rsid w:val="005134BD"/>
    <w:rsid w:val="00521E50"/>
    <w:rsid w:val="005314E4"/>
    <w:rsid w:val="00547F1F"/>
    <w:rsid w:val="005527C2"/>
    <w:rsid w:val="00557487"/>
    <w:rsid w:val="005653BD"/>
    <w:rsid w:val="00571222"/>
    <w:rsid w:val="00571BA1"/>
    <w:rsid w:val="00573F42"/>
    <w:rsid w:val="00574323"/>
    <w:rsid w:val="00591A49"/>
    <w:rsid w:val="005A02B5"/>
    <w:rsid w:val="005A4C10"/>
    <w:rsid w:val="005B0036"/>
    <w:rsid w:val="005B11CE"/>
    <w:rsid w:val="005B2841"/>
    <w:rsid w:val="005C18C3"/>
    <w:rsid w:val="005C3B04"/>
    <w:rsid w:val="005C6726"/>
    <w:rsid w:val="005D1465"/>
    <w:rsid w:val="005D4850"/>
    <w:rsid w:val="005D5D9A"/>
    <w:rsid w:val="005D6398"/>
    <w:rsid w:val="005D6923"/>
    <w:rsid w:val="005E18F3"/>
    <w:rsid w:val="005E65E3"/>
    <w:rsid w:val="005F08C3"/>
    <w:rsid w:val="005F4109"/>
    <w:rsid w:val="005F5C88"/>
    <w:rsid w:val="00603C2E"/>
    <w:rsid w:val="006068AA"/>
    <w:rsid w:val="00612CBE"/>
    <w:rsid w:val="0061461C"/>
    <w:rsid w:val="00620789"/>
    <w:rsid w:val="00621B93"/>
    <w:rsid w:val="00633097"/>
    <w:rsid w:val="00644D14"/>
    <w:rsid w:val="006524DA"/>
    <w:rsid w:val="00656328"/>
    <w:rsid w:val="0065683B"/>
    <w:rsid w:val="006654AD"/>
    <w:rsid w:val="006654CC"/>
    <w:rsid w:val="00670EF2"/>
    <w:rsid w:val="00676D8A"/>
    <w:rsid w:val="00680D36"/>
    <w:rsid w:val="006825D6"/>
    <w:rsid w:val="00690F0D"/>
    <w:rsid w:val="00693B24"/>
    <w:rsid w:val="0069707F"/>
    <w:rsid w:val="006A3AE2"/>
    <w:rsid w:val="006A722B"/>
    <w:rsid w:val="006A7938"/>
    <w:rsid w:val="006B2B57"/>
    <w:rsid w:val="006B3A61"/>
    <w:rsid w:val="006B4BB1"/>
    <w:rsid w:val="006B6793"/>
    <w:rsid w:val="006B6B04"/>
    <w:rsid w:val="006B7181"/>
    <w:rsid w:val="006C1718"/>
    <w:rsid w:val="006C1B9E"/>
    <w:rsid w:val="006C528B"/>
    <w:rsid w:val="006E2E82"/>
    <w:rsid w:val="006E44CF"/>
    <w:rsid w:val="006E63B0"/>
    <w:rsid w:val="006F0C3F"/>
    <w:rsid w:val="006F24ED"/>
    <w:rsid w:val="006F3D94"/>
    <w:rsid w:val="00700F46"/>
    <w:rsid w:val="00707DBF"/>
    <w:rsid w:val="00712A38"/>
    <w:rsid w:val="007134B0"/>
    <w:rsid w:val="007178DA"/>
    <w:rsid w:val="007211D7"/>
    <w:rsid w:val="00734947"/>
    <w:rsid w:val="00745776"/>
    <w:rsid w:val="00746723"/>
    <w:rsid w:val="00747F68"/>
    <w:rsid w:val="007500B6"/>
    <w:rsid w:val="00752CC4"/>
    <w:rsid w:val="00754A0F"/>
    <w:rsid w:val="007551F3"/>
    <w:rsid w:val="00755E21"/>
    <w:rsid w:val="007624CE"/>
    <w:rsid w:val="0076267A"/>
    <w:rsid w:val="007647E2"/>
    <w:rsid w:val="007910C5"/>
    <w:rsid w:val="00796CE1"/>
    <w:rsid w:val="00797ADE"/>
    <w:rsid w:val="007A0E20"/>
    <w:rsid w:val="007A72F9"/>
    <w:rsid w:val="007C40B0"/>
    <w:rsid w:val="007C559E"/>
    <w:rsid w:val="007D4C87"/>
    <w:rsid w:val="007E4621"/>
    <w:rsid w:val="007E5398"/>
    <w:rsid w:val="007E7B41"/>
    <w:rsid w:val="007F1F38"/>
    <w:rsid w:val="007F4180"/>
    <w:rsid w:val="007F4F8C"/>
    <w:rsid w:val="007F50EC"/>
    <w:rsid w:val="007F591B"/>
    <w:rsid w:val="007F6B3C"/>
    <w:rsid w:val="008040D7"/>
    <w:rsid w:val="008052F3"/>
    <w:rsid w:val="0082049C"/>
    <w:rsid w:val="008208FF"/>
    <w:rsid w:val="00822E2B"/>
    <w:rsid w:val="00830371"/>
    <w:rsid w:val="0083055B"/>
    <w:rsid w:val="00835240"/>
    <w:rsid w:val="0083753D"/>
    <w:rsid w:val="00843E64"/>
    <w:rsid w:val="00843EF7"/>
    <w:rsid w:val="00850EA2"/>
    <w:rsid w:val="008540DA"/>
    <w:rsid w:val="00864050"/>
    <w:rsid w:val="008656A1"/>
    <w:rsid w:val="00866D82"/>
    <w:rsid w:val="008706FD"/>
    <w:rsid w:val="00872400"/>
    <w:rsid w:val="00887E38"/>
    <w:rsid w:val="00887FB1"/>
    <w:rsid w:val="00890375"/>
    <w:rsid w:val="008A129C"/>
    <w:rsid w:val="008B4F88"/>
    <w:rsid w:val="008B6464"/>
    <w:rsid w:val="008B6557"/>
    <w:rsid w:val="008C0EE0"/>
    <w:rsid w:val="008C2227"/>
    <w:rsid w:val="008C7147"/>
    <w:rsid w:val="008D41F4"/>
    <w:rsid w:val="008D46AF"/>
    <w:rsid w:val="008D46EB"/>
    <w:rsid w:val="008D4A68"/>
    <w:rsid w:val="008E19C6"/>
    <w:rsid w:val="008E658A"/>
    <w:rsid w:val="008F0ABD"/>
    <w:rsid w:val="009039B7"/>
    <w:rsid w:val="009075EB"/>
    <w:rsid w:val="00911777"/>
    <w:rsid w:val="009173F1"/>
    <w:rsid w:val="00917B83"/>
    <w:rsid w:val="00922693"/>
    <w:rsid w:val="00923AC4"/>
    <w:rsid w:val="00924123"/>
    <w:rsid w:val="00926C48"/>
    <w:rsid w:val="00927D31"/>
    <w:rsid w:val="009300AE"/>
    <w:rsid w:val="00940D7E"/>
    <w:rsid w:val="009431BF"/>
    <w:rsid w:val="00944B99"/>
    <w:rsid w:val="00955C16"/>
    <w:rsid w:val="00961429"/>
    <w:rsid w:val="00964E1A"/>
    <w:rsid w:val="009654DC"/>
    <w:rsid w:val="00966190"/>
    <w:rsid w:val="00970158"/>
    <w:rsid w:val="00970522"/>
    <w:rsid w:val="00981837"/>
    <w:rsid w:val="00992733"/>
    <w:rsid w:val="009A380B"/>
    <w:rsid w:val="009B06C7"/>
    <w:rsid w:val="009B1964"/>
    <w:rsid w:val="009B2AB4"/>
    <w:rsid w:val="009B503D"/>
    <w:rsid w:val="009B506D"/>
    <w:rsid w:val="009C3CBA"/>
    <w:rsid w:val="009E32B6"/>
    <w:rsid w:val="009E560A"/>
    <w:rsid w:val="009F1E3E"/>
    <w:rsid w:val="009F25CB"/>
    <w:rsid w:val="009F3706"/>
    <w:rsid w:val="009F5A28"/>
    <w:rsid w:val="00A011F5"/>
    <w:rsid w:val="00A012E4"/>
    <w:rsid w:val="00A01C22"/>
    <w:rsid w:val="00A01E0C"/>
    <w:rsid w:val="00A02F15"/>
    <w:rsid w:val="00A07448"/>
    <w:rsid w:val="00A111FB"/>
    <w:rsid w:val="00A17E16"/>
    <w:rsid w:val="00A3094C"/>
    <w:rsid w:val="00A3296A"/>
    <w:rsid w:val="00A358C3"/>
    <w:rsid w:val="00A457C9"/>
    <w:rsid w:val="00A46251"/>
    <w:rsid w:val="00A50727"/>
    <w:rsid w:val="00A50781"/>
    <w:rsid w:val="00A5190B"/>
    <w:rsid w:val="00A55B03"/>
    <w:rsid w:val="00A56094"/>
    <w:rsid w:val="00A5699D"/>
    <w:rsid w:val="00A66063"/>
    <w:rsid w:val="00A7274B"/>
    <w:rsid w:val="00A742BA"/>
    <w:rsid w:val="00A7447C"/>
    <w:rsid w:val="00A80B3B"/>
    <w:rsid w:val="00A8786F"/>
    <w:rsid w:val="00A90764"/>
    <w:rsid w:val="00A942A7"/>
    <w:rsid w:val="00A94FDE"/>
    <w:rsid w:val="00A95E38"/>
    <w:rsid w:val="00A96FBA"/>
    <w:rsid w:val="00A9733F"/>
    <w:rsid w:val="00A9742E"/>
    <w:rsid w:val="00AA4C78"/>
    <w:rsid w:val="00AA7802"/>
    <w:rsid w:val="00AB047D"/>
    <w:rsid w:val="00AB224D"/>
    <w:rsid w:val="00AB2919"/>
    <w:rsid w:val="00AB4039"/>
    <w:rsid w:val="00AC0360"/>
    <w:rsid w:val="00AC4170"/>
    <w:rsid w:val="00AE2EA2"/>
    <w:rsid w:val="00AE367A"/>
    <w:rsid w:val="00AE4290"/>
    <w:rsid w:val="00AE7ED7"/>
    <w:rsid w:val="00AF6726"/>
    <w:rsid w:val="00B01813"/>
    <w:rsid w:val="00B02F10"/>
    <w:rsid w:val="00B031C2"/>
    <w:rsid w:val="00B079A9"/>
    <w:rsid w:val="00B12037"/>
    <w:rsid w:val="00B13901"/>
    <w:rsid w:val="00B2176A"/>
    <w:rsid w:val="00B2506B"/>
    <w:rsid w:val="00B26112"/>
    <w:rsid w:val="00B33A4C"/>
    <w:rsid w:val="00B33B00"/>
    <w:rsid w:val="00B447EF"/>
    <w:rsid w:val="00B44996"/>
    <w:rsid w:val="00B47B8C"/>
    <w:rsid w:val="00B50A12"/>
    <w:rsid w:val="00B50B4E"/>
    <w:rsid w:val="00B56FFC"/>
    <w:rsid w:val="00B60491"/>
    <w:rsid w:val="00B60BB7"/>
    <w:rsid w:val="00B653DD"/>
    <w:rsid w:val="00B6595E"/>
    <w:rsid w:val="00B70E5C"/>
    <w:rsid w:val="00B71EDE"/>
    <w:rsid w:val="00B74839"/>
    <w:rsid w:val="00B74FD2"/>
    <w:rsid w:val="00B828FA"/>
    <w:rsid w:val="00B85C24"/>
    <w:rsid w:val="00B865E6"/>
    <w:rsid w:val="00B93B87"/>
    <w:rsid w:val="00BA46D2"/>
    <w:rsid w:val="00BA78CC"/>
    <w:rsid w:val="00BB325B"/>
    <w:rsid w:val="00BB799C"/>
    <w:rsid w:val="00BC45A9"/>
    <w:rsid w:val="00BC47DF"/>
    <w:rsid w:val="00BC54B2"/>
    <w:rsid w:val="00BC62A0"/>
    <w:rsid w:val="00BC6E48"/>
    <w:rsid w:val="00BD2FA1"/>
    <w:rsid w:val="00BD6B81"/>
    <w:rsid w:val="00BD6FA5"/>
    <w:rsid w:val="00BD7BEE"/>
    <w:rsid w:val="00BF4A21"/>
    <w:rsid w:val="00BF6201"/>
    <w:rsid w:val="00C12B61"/>
    <w:rsid w:val="00C14B3D"/>
    <w:rsid w:val="00C1775D"/>
    <w:rsid w:val="00C23ECE"/>
    <w:rsid w:val="00C27B2B"/>
    <w:rsid w:val="00C31998"/>
    <w:rsid w:val="00C37493"/>
    <w:rsid w:val="00C402B3"/>
    <w:rsid w:val="00C428C6"/>
    <w:rsid w:val="00C43780"/>
    <w:rsid w:val="00C44A0E"/>
    <w:rsid w:val="00C465B1"/>
    <w:rsid w:val="00C5024D"/>
    <w:rsid w:val="00C552B7"/>
    <w:rsid w:val="00C55799"/>
    <w:rsid w:val="00C60ADD"/>
    <w:rsid w:val="00C64469"/>
    <w:rsid w:val="00C65ADF"/>
    <w:rsid w:val="00C7735F"/>
    <w:rsid w:val="00C77727"/>
    <w:rsid w:val="00C803E6"/>
    <w:rsid w:val="00C83AE9"/>
    <w:rsid w:val="00C870CB"/>
    <w:rsid w:val="00C94510"/>
    <w:rsid w:val="00C95D02"/>
    <w:rsid w:val="00C97F43"/>
    <w:rsid w:val="00CA0241"/>
    <w:rsid w:val="00CA1C26"/>
    <w:rsid w:val="00CC76BA"/>
    <w:rsid w:val="00CD017F"/>
    <w:rsid w:val="00CD11F7"/>
    <w:rsid w:val="00CD21DC"/>
    <w:rsid w:val="00CD7C5D"/>
    <w:rsid w:val="00CF75D1"/>
    <w:rsid w:val="00D01A96"/>
    <w:rsid w:val="00D06728"/>
    <w:rsid w:val="00D07317"/>
    <w:rsid w:val="00D10F87"/>
    <w:rsid w:val="00D135C4"/>
    <w:rsid w:val="00D24D14"/>
    <w:rsid w:val="00D2650A"/>
    <w:rsid w:val="00D26816"/>
    <w:rsid w:val="00D27E58"/>
    <w:rsid w:val="00D36C0B"/>
    <w:rsid w:val="00D417B1"/>
    <w:rsid w:val="00D44ACE"/>
    <w:rsid w:val="00D47FD8"/>
    <w:rsid w:val="00D53026"/>
    <w:rsid w:val="00D57791"/>
    <w:rsid w:val="00D647A0"/>
    <w:rsid w:val="00D6705B"/>
    <w:rsid w:val="00D67B4E"/>
    <w:rsid w:val="00D70235"/>
    <w:rsid w:val="00D73D6E"/>
    <w:rsid w:val="00D746F2"/>
    <w:rsid w:val="00D769BF"/>
    <w:rsid w:val="00D90AA4"/>
    <w:rsid w:val="00D91486"/>
    <w:rsid w:val="00D934A1"/>
    <w:rsid w:val="00D9362D"/>
    <w:rsid w:val="00D94B08"/>
    <w:rsid w:val="00D95159"/>
    <w:rsid w:val="00D96BE4"/>
    <w:rsid w:val="00D97FFE"/>
    <w:rsid w:val="00DA2B52"/>
    <w:rsid w:val="00DA4478"/>
    <w:rsid w:val="00DA5F05"/>
    <w:rsid w:val="00DB10A5"/>
    <w:rsid w:val="00DB410E"/>
    <w:rsid w:val="00DC386F"/>
    <w:rsid w:val="00DC489C"/>
    <w:rsid w:val="00DD0860"/>
    <w:rsid w:val="00DD2AB8"/>
    <w:rsid w:val="00DE429D"/>
    <w:rsid w:val="00DE5C91"/>
    <w:rsid w:val="00DF045A"/>
    <w:rsid w:val="00DF0540"/>
    <w:rsid w:val="00DF0AF8"/>
    <w:rsid w:val="00DF2E2E"/>
    <w:rsid w:val="00DF624A"/>
    <w:rsid w:val="00DF7825"/>
    <w:rsid w:val="00E01A06"/>
    <w:rsid w:val="00E12A70"/>
    <w:rsid w:val="00E144C6"/>
    <w:rsid w:val="00E169C3"/>
    <w:rsid w:val="00E36E3F"/>
    <w:rsid w:val="00E40BBD"/>
    <w:rsid w:val="00E4193A"/>
    <w:rsid w:val="00E43DE6"/>
    <w:rsid w:val="00E43F97"/>
    <w:rsid w:val="00E454FE"/>
    <w:rsid w:val="00E51173"/>
    <w:rsid w:val="00E51608"/>
    <w:rsid w:val="00E53E1C"/>
    <w:rsid w:val="00E55E54"/>
    <w:rsid w:val="00E577DE"/>
    <w:rsid w:val="00E611AE"/>
    <w:rsid w:val="00E63BB2"/>
    <w:rsid w:val="00E817A7"/>
    <w:rsid w:val="00E82154"/>
    <w:rsid w:val="00E90263"/>
    <w:rsid w:val="00E9234A"/>
    <w:rsid w:val="00E95DDF"/>
    <w:rsid w:val="00E979C4"/>
    <w:rsid w:val="00EA31B1"/>
    <w:rsid w:val="00EA3BB2"/>
    <w:rsid w:val="00EA49F6"/>
    <w:rsid w:val="00EA4CB9"/>
    <w:rsid w:val="00EA6C94"/>
    <w:rsid w:val="00EC338D"/>
    <w:rsid w:val="00EC33A9"/>
    <w:rsid w:val="00EC6CAE"/>
    <w:rsid w:val="00ED0B93"/>
    <w:rsid w:val="00ED0F83"/>
    <w:rsid w:val="00ED1444"/>
    <w:rsid w:val="00ED6A9F"/>
    <w:rsid w:val="00EF418F"/>
    <w:rsid w:val="00EF60E9"/>
    <w:rsid w:val="00F020C4"/>
    <w:rsid w:val="00F0373D"/>
    <w:rsid w:val="00F03D46"/>
    <w:rsid w:val="00F120BA"/>
    <w:rsid w:val="00F14C2C"/>
    <w:rsid w:val="00F23E8E"/>
    <w:rsid w:val="00F24385"/>
    <w:rsid w:val="00F25ED0"/>
    <w:rsid w:val="00F31418"/>
    <w:rsid w:val="00F3442F"/>
    <w:rsid w:val="00F35D43"/>
    <w:rsid w:val="00F37634"/>
    <w:rsid w:val="00F46908"/>
    <w:rsid w:val="00F50B84"/>
    <w:rsid w:val="00F5190D"/>
    <w:rsid w:val="00F54074"/>
    <w:rsid w:val="00F56C03"/>
    <w:rsid w:val="00F61310"/>
    <w:rsid w:val="00F673B3"/>
    <w:rsid w:val="00F7025B"/>
    <w:rsid w:val="00F75AE8"/>
    <w:rsid w:val="00F77A92"/>
    <w:rsid w:val="00F827E1"/>
    <w:rsid w:val="00F92887"/>
    <w:rsid w:val="00F960BA"/>
    <w:rsid w:val="00FA0361"/>
    <w:rsid w:val="00FA2415"/>
    <w:rsid w:val="00FB07FA"/>
    <w:rsid w:val="00FB0C61"/>
    <w:rsid w:val="00FB14A4"/>
    <w:rsid w:val="00FB2D1A"/>
    <w:rsid w:val="00FB2F6B"/>
    <w:rsid w:val="00FB32DA"/>
    <w:rsid w:val="00FC0BAB"/>
    <w:rsid w:val="00FC23F4"/>
    <w:rsid w:val="00FD278A"/>
    <w:rsid w:val="00FD2CE7"/>
    <w:rsid w:val="00FD46A4"/>
    <w:rsid w:val="00FD5C75"/>
    <w:rsid w:val="00FD6111"/>
    <w:rsid w:val="00FE0E16"/>
    <w:rsid w:val="00FE12A8"/>
    <w:rsid w:val="00FE6022"/>
    <w:rsid w:val="00FE6171"/>
    <w:rsid w:val="00FE6D5A"/>
    <w:rsid w:val="00FF08B1"/>
    <w:rsid w:val="00FF61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3A5502-77FC-42A8-B2D1-E7B15C7AC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16FC"/>
    <w:pPr>
      <w:spacing w:after="0" w:line="240" w:lineRule="auto"/>
    </w:pPr>
    <w:rPr>
      <w:rFonts w:ascii="Times New Roman" w:eastAsia="PMingLiU" w:hAnsi="Times New Roman" w:cs="Times New Roman"/>
      <w:sz w:val="24"/>
      <w:szCs w:val="24"/>
      <w:lang w:eastAsia="zh-TW"/>
    </w:rPr>
  </w:style>
  <w:style w:type="paragraph" w:styleId="Heading1">
    <w:name w:val="heading 1"/>
    <w:basedOn w:val="Normal"/>
    <w:next w:val="Normal"/>
    <w:link w:val="Heading1Char"/>
    <w:uiPriority w:val="9"/>
    <w:qFormat/>
    <w:rsid w:val="00923AC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E43F97"/>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II">
    <w:name w:val="Title II"/>
    <w:basedOn w:val="Normal"/>
    <w:link w:val="TitleIIChar"/>
    <w:rsid w:val="002116FC"/>
    <w:rPr>
      <w:b/>
      <w:sz w:val="32"/>
      <w:szCs w:val="32"/>
    </w:rPr>
  </w:style>
  <w:style w:type="character" w:customStyle="1" w:styleId="TitleIIChar">
    <w:name w:val="Title II Char"/>
    <w:link w:val="TitleII"/>
    <w:locked/>
    <w:rsid w:val="002116FC"/>
    <w:rPr>
      <w:rFonts w:ascii="Times New Roman" w:eastAsia="PMingLiU" w:hAnsi="Times New Roman" w:cs="Times New Roman"/>
      <w:b/>
      <w:sz w:val="32"/>
      <w:szCs w:val="32"/>
      <w:lang w:eastAsia="zh-TW"/>
    </w:rPr>
  </w:style>
  <w:style w:type="paragraph" w:styleId="BalloonText">
    <w:name w:val="Balloon Text"/>
    <w:basedOn w:val="Normal"/>
    <w:link w:val="BalloonTextChar"/>
    <w:uiPriority w:val="99"/>
    <w:semiHidden/>
    <w:unhideWhenUsed/>
    <w:rsid w:val="002116FC"/>
    <w:rPr>
      <w:rFonts w:ascii="Tahoma" w:hAnsi="Tahoma" w:cs="Tahoma"/>
      <w:sz w:val="16"/>
      <w:szCs w:val="16"/>
    </w:rPr>
  </w:style>
  <w:style w:type="character" w:customStyle="1" w:styleId="BalloonTextChar">
    <w:name w:val="Balloon Text Char"/>
    <w:basedOn w:val="DefaultParagraphFont"/>
    <w:link w:val="BalloonText"/>
    <w:uiPriority w:val="99"/>
    <w:semiHidden/>
    <w:rsid w:val="002116FC"/>
    <w:rPr>
      <w:rFonts w:ascii="Tahoma" w:eastAsia="PMingLiU" w:hAnsi="Tahoma" w:cs="Tahoma"/>
      <w:sz w:val="16"/>
      <w:szCs w:val="16"/>
      <w:lang w:eastAsia="zh-TW"/>
    </w:rPr>
  </w:style>
  <w:style w:type="character" w:styleId="Strong">
    <w:name w:val="Strong"/>
    <w:basedOn w:val="DefaultParagraphFont"/>
    <w:qFormat/>
    <w:rsid w:val="00923AC4"/>
    <w:rPr>
      <w:b/>
      <w:bCs/>
    </w:rPr>
  </w:style>
  <w:style w:type="character" w:customStyle="1" w:styleId="Heading1Char">
    <w:name w:val="Heading 1 Char"/>
    <w:basedOn w:val="DefaultParagraphFont"/>
    <w:link w:val="Heading1"/>
    <w:uiPriority w:val="9"/>
    <w:rsid w:val="00923AC4"/>
    <w:rPr>
      <w:rFonts w:asciiTheme="majorHAnsi" w:eastAsiaTheme="majorEastAsia" w:hAnsiTheme="majorHAnsi" w:cstheme="majorBidi"/>
      <w:b/>
      <w:bCs/>
      <w:color w:val="365F91" w:themeColor="accent1" w:themeShade="BF"/>
      <w:sz w:val="28"/>
      <w:szCs w:val="28"/>
      <w:lang w:eastAsia="zh-TW"/>
    </w:rPr>
  </w:style>
  <w:style w:type="paragraph" w:styleId="ListParagraph">
    <w:name w:val="List Paragraph"/>
    <w:basedOn w:val="Normal"/>
    <w:uiPriority w:val="34"/>
    <w:qFormat/>
    <w:rsid w:val="00FD278A"/>
    <w:pPr>
      <w:ind w:left="720"/>
      <w:contextualSpacing/>
    </w:pPr>
  </w:style>
  <w:style w:type="paragraph" w:styleId="FootnoteText">
    <w:name w:val="footnote text"/>
    <w:basedOn w:val="Normal"/>
    <w:link w:val="FootnoteTextChar"/>
    <w:uiPriority w:val="99"/>
    <w:rsid w:val="00E55E54"/>
    <w:rPr>
      <w:rFonts w:eastAsia="Times New Roman"/>
      <w:sz w:val="20"/>
      <w:szCs w:val="20"/>
      <w:lang w:eastAsia="en-US"/>
    </w:rPr>
  </w:style>
  <w:style w:type="character" w:customStyle="1" w:styleId="FootnoteTextChar">
    <w:name w:val="Footnote Text Char"/>
    <w:basedOn w:val="DefaultParagraphFont"/>
    <w:link w:val="FootnoteText"/>
    <w:uiPriority w:val="99"/>
    <w:rsid w:val="00E55E54"/>
    <w:rPr>
      <w:rFonts w:ascii="Times New Roman" w:eastAsia="Times New Roman" w:hAnsi="Times New Roman" w:cs="Times New Roman"/>
      <w:sz w:val="20"/>
      <w:szCs w:val="20"/>
    </w:rPr>
  </w:style>
  <w:style w:type="character" w:styleId="FootnoteReference">
    <w:name w:val="footnote reference"/>
    <w:uiPriority w:val="99"/>
    <w:semiHidden/>
    <w:rsid w:val="00E55E54"/>
    <w:rPr>
      <w:vertAlign w:val="superscript"/>
    </w:rPr>
  </w:style>
  <w:style w:type="paragraph" w:styleId="NoSpacing">
    <w:name w:val="No Spacing"/>
    <w:uiPriority w:val="1"/>
    <w:qFormat/>
    <w:rsid w:val="00E55E54"/>
    <w:pPr>
      <w:spacing w:after="0" w:line="240" w:lineRule="auto"/>
    </w:pPr>
    <w:rPr>
      <w:rFonts w:ascii="Times New Roman" w:eastAsia="PMingLiU" w:hAnsi="Times New Roman" w:cs="Times New Roman"/>
      <w:sz w:val="24"/>
      <w:szCs w:val="24"/>
      <w:lang w:eastAsia="zh-TW"/>
    </w:rPr>
  </w:style>
  <w:style w:type="paragraph" w:styleId="Header">
    <w:name w:val="header"/>
    <w:basedOn w:val="Normal"/>
    <w:link w:val="HeaderChar"/>
    <w:uiPriority w:val="99"/>
    <w:unhideWhenUsed/>
    <w:rsid w:val="00094B2B"/>
    <w:pPr>
      <w:tabs>
        <w:tab w:val="center" w:pos="4680"/>
        <w:tab w:val="right" w:pos="9360"/>
      </w:tabs>
    </w:pPr>
  </w:style>
  <w:style w:type="character" w:customStyle="1" w:styleId="HeaderChar">
    <w:name w:val="Header Char"/>
    <w:basedOn w:val="DefaultParagraphFont"/>
    <w:link w:val="Header"/>
    <w:uiPriority w:val="99"/>
    <w:rsid w:val="00094B2B"/>
    <w:rPr>
      <w:rFonts w:ascii="Times New Roman" w:eastAsia="PMingLiU" w:hAnsi="Times New Roman" w:cs="Times New Roman"/>
      <w:sz w:val="24"/>
      <w:szCs w:val="24"/>
      <w:lang w:eastAsia="zh-TW"/>
    </w:rPr>
  </w:style>
  <w:style w:type="paragraph" w:styleId="Footer">
    <w:name w:val="footer"/>
    <w:basedOn w:val="Normal"/>
    <w:link w:val="FooterChar"/>
    <w:uiPriority w:val="99"/>
    <w:unhideWhenUsed/>
    <w:rsid w:val="00094B2B"/>
    <w:pPr>
      <w:tabs>
        <w:tab w:val="center" w:pos="4680"/>
        <w:tab w:val="right" w:pos="9360"/>
      </w:tabs>
    </w:pPr>
  </w:style>
  <w:style w:type="character" w:customStyle="1" w:styleId="FooterChar">
    <w:name w:val="Footer Char"/>
    <w:basedOn w:val="DefaultParagraphFont"/>
    <w:link w:val="Footer"/>
    <w:uiPriority w:val="99"/>
    <w:rsid w:val="00094B2B"/>
    <w:rPr>
      <w:rFonts w:ascii="Times New Roman" w:eastAsia="PMingLiU" w:hAnsi="Times New Roman" w:cs="Times New Roman"/>
      <w:sz w:val="24"/>
      <w:szCs w:val="24"/>
      <w:lang w:eastAsia="zh-TW"/>
    </w:rPr>
  </w:style>
  <w:style w:type="character" w:styleId="Hyperlink">
    <w:name w:val="Hyperlink"/>
    <w:basedOn w:val="DefaultParagraphFont"/>
    <w:uiPriority w:val="99"/>
    <w:unhideWhenUsed/>
    <w:rsid w:val="00B74FD2"/>
    <w:rPr>
      <w:color w:val="0000FF" w:themeColor="hyperlink"/>
      <w:u w:val="single"/>
    </w:rPr>
  </w:style>
  <w:style w:type="character" w:styleId="Emphasis">
    <w:name w:val="Emphasis"/>
    <w:qFormat/>
    <w:rsid w:val="0037625C"/>
    <w:rPr>
      <w:i/>
      <w:iCs/>
    </w:rPr>
  </w:style>
  <w:style w:type="table" w:styleId="TableGrid">
    <w:name w:val="Table Grid"/>
    <w:basedOn w:val="TableNormal"/>
    <w:uiPriority w:val="59"/>
    <w:rsid w:val="00B50B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251F8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DefaultParagraphFont"/>
    <w:rsid w:val="00A96FBA"/>
  </w:style>
  <w:style w:type="table" w:customStyle="1" w:styleId="LightShading-Accent11">
    <w:name w:val="Light Shading - Accent 11"/>
    <w:basedOn w:val="TableNormal"/>
    <w:next w:val="LightShading-Accent1"/>
    <w:uiPriority w:val="60"/>
    <w:rsid w:val="008B646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61461C"/>
    <w:pPr>
      <w:autoSpaceDE w:val="0"/>
      <w:autoSpaceDN w:val="0"/>
      <w:adjustRightInd w:val="0"/>
      <w:spacing w:after="0" w:line="240" w:lineRule="auto"/>
    </w:pPr>
    <w:rPr>
      <w:rFonts w:ascii="Book Antiqua" w:hAnsi="Book Antiqua" w:cs="Book Antiqua"/>
      <w:color w:val="000000"/>
      <w:sz w:val="24"/>
      <w:szCs w:val="24"/>
    </w:rPr>
  </w:style>
  <w:style w:type="character" w:customStyle="1" w:styleId="Heading3Char">
    <w:name w:val="Heading 3 Char"/>
    <w:basedOn w:val="DefaultParagraphFont"/>
    <w:link w:val="Heading3"/>
    <w:uiPriority w:val="9"/>
    <w:semiHidden/>
    <w:rsid w:val="00E43F97"/>
    <w:rPr>
      <w:rFonts w:asciiTheme="majorHAnsi" w:eastAsiaTheme="majorEastAsia" w:hAnsiTheme="majorHAnsi" w:cstheme="majorBidi"/>
      <w:color w:val="243F60" w:themeColor="accent1" w:themeShade="7F"/>
      <w:sz w:val="24"/>
      <w:szCs w:val="24"/>
      <w:lang w:eastAsia="zh-TW"/>
    </w:rPr>
  </w:style>
  <w:style w:type="paragraph" w:styleId="NormalWeb">
    <w:name w:val="Normal (Web)"/>
    <w:basedOn w:val="Normal"/>
    <w:uiPriority w:val="99"/>
    <w:semiHidden/>
    <w:unhideWhenUsed/>
    <w:rsid w:val="00E43F97"/>
    <w:pPr>
      <w:spacing w:before="100" w:beforeAutospacing="1" w:after="100" w:afterAutospacing="1"/>
    </w:pPr>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6573">
      <w:bodyDiv w:val="1"/>
      <w:marLeft w:val="0"/>
      <w:marRight w:val="0"/>
      <w:marTop w:val="0"/>
      <w:marBottom w:val="0"/>
      <w:divBdr>
        <w:top w:val="none" w:sz="0" w:space="0" w:color="auto"/>
        <w:left w:val="none" w:sz="0" w:space="0" w:color="auto"/>
        <w:bottom w:val="none" w:sz="0" w:space="0" w:color="auto"/>
        <w:right w:val="none" w:sz="0" w:space="0" w:color="auto"/>
      </w:divBdr>
    </w:div>
    <w:div w:id="216671342">
      <w:bodyDiv w:val="1"/>
      <w:marLeft w:val="0"/>
      <w:marRight w:val="0"/>
      <w:marTop w:val="0"/>
      <w:marBottom w:val="0"/>
      <w:divBdr>
        <w:top w:val="none" w:sz="0" w:space="0" w:color="auto"/>
        <w:left w:val="none" w:sz="0" w:space="0" w:color="auto"/>
        <w:bottom w:val="none" w:sz="0" w:space="0" w:color="auto"/>
        <w:right w:val="none" w:sz="0" w:space="0" w:color="auto"/>
      </w:divBdr>
    </w:div>
    <w:div w:id="221908354">
      <w:bodyDiv w:val="1"/>
      <w:marLeft w:val="0"/>
      <w:marRight w:val="0"/>
      <w:marTop w:val="0"/>
      <w:marBottom w:val="0"/>
      <w:divBdr>
        <w:top w:val="none" w:sz="0" w:space="0" w:color="auto"/>
        <w:left w:val="none" w:sz="0" w:space="0" w:color="auto"/>
        <w:bottom w:val="none" w:sz="0" w:space="0" w:color="auto"/>
        <w:right w:val="none" w:sz="0" w:space="0" w:color="auto"/>
      </w:divBdr>
    </w:div>
    <w:div w:id="355741359">
      <w:bodyDiv w:val="1"/>
      <w:marLeft w:val="0"/>
      <w:marRight w:val="0"/>
      <w:marTop w:val="0"/>
      <w:marBottom w:val="0"/>
      <w:divBdr>
        <w:top w:val="none" w:sz="0" w:space="0" w:color="auto"/>
        <w:left w:val="none" w:sz="0" w:space="0" w:color="auto"/>
        <w:bottom w:val="none" w:sz="0" w:space="0" w:color="auto"/>
        <w:right w:val="none" w:sz="0" w:space="0" w:color="auto"/>
      </w:divBdr>
    </w:div>
    <w:div w:id="428745630">
      <w:bodyDiv w:val="1"/>
      <w:marLeft w:val="0"/>
      <w:marRight w:val="0"/>
      <w:marTop w:val="0"/>
      <w:marBottom w:val="0"/>
      <w:divBdr>
        <w:top w:val="none" w:sz="0" w:space="0" w:color="auto"/>
        <w:left w:val="none" w:sz="0" w:space="0" w:color="auto"/>
        <w:bottom w:val="none" w:sz="0" w:space="0" w:color="auto"/>
        <w:right w:val="none" w:sz="0" w:space="0" w:color="auto"/>
      </w:divBdr>
    </w:div>
    <w:div w:id="544609034">
      <w:bodyDiv w:val="1"/>
      <w:marLeft w:val="0"/>
      <w:marRight w:val="0"/>
      <w:marTop w:val="0"/>
      <w:marBottom w:val="0"/>
      <w:divBdr>
        <w:top w:val="none" w:sz="0" w:space="0" w:color="auto"/>
        <w:left w:val="none" w:sz="0" w:space="0" w:color="auto"/>
        <w:bottom w:val="none" w:sz="0" w:space="0" w:color="auto"/>
        <w:right w:val="none" w:sz="0" w:space="0" w:color="auto"/>
      </w:divBdr>
    </w:div>
    <w:div w:id="686097211">
      <w:bodyDiv w:val="1"/>
      <w:marLeft w:val="0"/>
      <w:marRight w:val="0"/>
      <w:marTop w:val="0"/>
      <w:marBottom w:val="0"/>
      <w:divBdr>
        <w:top w:val="none" w:sz="0" w:space="0" w:color="auto"/>
        <w:left w:val="none" w:sz="0" w:space="0" w:color="auto"/>
        <w:bottom w:val="none" w:sz="0" w:space="0" w:color="auto"/>
        <w:right w:val="none" w:sz="0" w:space="0" w:color="auto"/>
      </w:divBdr>
    </w:div>
    <w:div w:id="775949425">
      <w:bodyDiv w:val="1"/>
      <w:marLeft w:val="0"/>
      <w:marRight w:val="0"/>
      <w:marTop w:val="0"/>
      <w:marBottom w:val="0"/>
      <w:divBdr>
        <w:top w:val="none" w:sz="0" w:space="0" w:color="auto"/>
        <w:left w:val="none" w:sz="0" w:space="0" w:color="auto"/>
        <w:bottom w:val="none" w:sz="0" w:space="0" w:color="auto"/>
        <w:right w:val="none" w:sz="0" w:space="0" w:color="auto"/>
      </w:divBdr>
    </w:div>
    <w:div w:id="850492556">
      <w:bodyDiv w:val="1"/>
      <w:marLeft w:val="0"/>
      <w:marRight w:val="0"/>
      <w:marTop w:val="0"/>
      <w:marBottom w:val="0"/>
      <w:divBdr>
        <w:top w:val="none" w:sz="0" w:space="0" w:color="auto"/>
        <w:left w:val="none" w:sz="0" w:space="0" w:color="auto"/>
        <w:bottom w:val="none" w:sz="0" w:space="0" w:color="auto"/>
        <w:right w:val="none" w:sz="0" w:space="0" w:color="auto"/>
      </w:divBdr>
    </w:div>
    <w:div w:id="1035808266">
      <w:bodyDiv w:val="1"/>
      <w:marLeft w:val="0"/>
      <w:marRight w:val="0"/>
      <w:marTop w:val="0"/>
      <w:marBottom w:val="0"/>
      <w:divBdr>
        <w:top w:val="none" w:sz="0" w:space="0" w:color="auto"/>
        <w:left w:val="none" w:sz="0" w:space="0" w:color="auto"/>
        <w:bottom w:val="none" w:sz="0" w:space="0" w:color="auto"/>
        <w:right w:val="none" w:sz="0" w:space="0" w:color="auto"/>
      </w:divBdr>
      <w:divsChild>
        <w:div w:id="300158250">
          <w:marLeft w:val="0"/>
          <w:marRight w:val="0"/>
          <w:marTop w:val="0"/>
          <w:marBottom w:val="0"/>
          <w:divBdr>
            <w:top w:val="none" w:sz="0" w:space="0" w:color="auto"/>
            <w:left w:val="none" w:sz="0" w:space="0" w:color="auto"/>
            <w:bottom w:val="none" w:sz="0" w:space="0" w:color="auto"/>
            <w:right w:val="none" w:sz="0" w:space="0" w:color="auto"/>
          </w:divBdr>
        </w:div>
        <w:div w:id="836264585">
          <w:marLeft w:val="0"/>
          <w:marRight w:val="0"/>
          <w:marTop w:val="0"/>
          <w:marBottom w:val="0"/>
          <w:divBdr>
            <w:top w:val="none" w:sz="0" w:space="0" w:color="auto"/>
            <w:left w:val="none" w:sz="0" w:space="0" w:color="auto"/>
            <w:bottom w:val="none" w:sz="0" w:space="0" w:color="auto"/>
            <w:right w:val="none" w:sz="0" w:space="0" w:color="auto"/>
          </w:divBdr>
          <w:divsChild>
            <w:div w:id="55235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994619">
      <w:bodyDiv w:val="1"/>
      <w:marLeft w:val="0"/>
      <w:marRight w:val="0"/>
      <w:marTop w:val="0"/>
      <w:marBottom w:val="0"/>
      <w:divBdr>
        <w:top w:val="none" w:sz="0" w:space="0" w:color="auto"/>
        <w:left w:val="none" w:sz="0" w:space="0" w:color="auto"/>
        <w:bottom w:val="none" w:sz="0" w:space="0" w:color="auto"/>
        <w:right w:val="none" w:sz="0" w:space="0" w:color="auto"/>
      </w:divBdr>
    </w:div>
    <w:div w:id="1384135358">
      <w:bodyDiv w:val="1"/>
      <w:marLeft w:val="0"/>
      <w:marRight w:val="0"/>
      <w:marTop w:val="0"/>
      <w:marBottom w:val="0"/>
      <w:divBdr>
        <w:top w:val="none" w:sz="0" w:space="0" w:color="auto"/>
        <w:left w:val="none" w:sz="0" w:space="0" w:color="auto"/>
        <w:bottom w:val="none" w:sz="0" w:space="0" w:color="auto"/>
        <w:right w:val="none" w:sz="0" w:space="0" w:color="auto"/>
      </w:divBdr>
    </w:div>
    <w:div w:id="2120054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7.xml"/><Relationship Id="rId39" Type="http://schemas.openxmlformats.org/officeDocument/2006/relationships/chart" Target="charts/chart26.xml"/><Relationship Id="rId21" Type="http://schemas.openxmlformats.org/officeDocument/2006/relationships/chart" Target="charts/chart13.xml"/><Relationship Id="rId34" Type="http://schemas.openxmlformats.org/officeDocument/2006/relationships/chart" Target="charts/chart21.xml"/><Relationship Id="rId42" Type="http://schemas.openxmlformats.org/officeDocument/2006/relationships/chart" Target="charts/chart29.xml"/><Relationship Id="rId47" Type="http://schemas.openxmlformats.org/officeDocument/2006/relationships/image" Target="media/image4.emf"/><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hyperlink" Target="https://www.mass.gov/files/documents/2018/05/22/Opioid-%20related%20Overdose%20Deaths%20Demographics%20-%20May%202018_0.pdf" TargetMode="Externa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chart" Target="charts/chart27.xml"/><Relationship Id="rId45"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hyperlink" Target="https://www.mass.gov/files/documents/2018/05/22/Opioid-related%20Overdose%20Deaths%20Demographics%20-%20May%202018_0.pdf" TargetMode="External"/><Relationship Id="rId36" Type="http://schemas.openxmlformats.org/officeDocument/2006/relationships/chart" Target="charts/chart23.xml"/><Relationship Id="rId49"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hyperlink" Target="https://www.mass.gov/files/documents/2018/05/22/Opioid-related%20Overdose%20Deaths%20Demographics%20-%20May%202018_0.pdf" TargetMode="External"/><Relationship Id="rId44" Type="http://schemas.openxmlformats.org/officeDocument/2006/relationships/chart" Target="charts/chart30.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hyperlink" Target="https://www.mass.gov/files/documents/2018/05/22/Opioid-related%20Overdose%20Deaths%20Demographics%20-%20May%202018_0.pdf" TargetMode="External"/><Relationship Id="rId30" Type="http://schemas.openxmlformats.org/officeDocument/2006/relationships/chart" Target="charts/chart18.xml"/><Relationship Id="rId35" Type="http://schemas.openxmlformats.org/officeDocument/2006/relationships/chart" Target="charts/chart22.xml"/><Relationship Id="rId43" Type="http://schemas.openxmlformats.org/officeDocument/2006/relationships/image" Target="media/image2.emf"/><Relationship Id="rId48" Type="http://schemas.openxmlformats.org/officeDocument/2006/relationships/image" Target="media/image5.emf"/><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hyperlink" Target="https://www.mass.gov/files/documents/2018/05/22/Opioid-related%20Overdose%20Deaths%20among%20MA%20Residents%20-%20May%202018.pdf" TargetMode="External"/><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chart" Target="charts/chart31.xml"/><Relationship Id="rId20" Type="http://schemas.openxmlformats.org/officeDocument/2006/relationships/chart" Target="charts/chart12.xml"/><Relationship Id="rId41" Type="http://schemas.openxmlformats.org/officeDocument/2006/relationships/chart" Target="charts/chart28.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bjs.gov/index.cfm?ty=pbdetail&amp;iid=5804" TargetMode="External"/><Relationship Id="rId13" Type="http://schemas.openxmlformats.org/officeDocument/2006/relationships/hyperlink" Target="https://www.mass.gov/files/documents/2017/08/31/data-brief-chapter-55-aug-2017.pdf" TargetMode="External"/><Relationship Id="rId18" Type="http://schemas.openxmlformats.org/officeDocument/2006/relationships/hyperlink" Target="http://www.mass.gov/eohhs/gov/departments/dph/stop-addiction/chapter-55-overdose-assessment.html" TargetMode="External"/><Relationship Id="rId26" Type="http://schemas.openxmlformats.org/officeDocument/2006/relationships/hyperlink" Target="https://malegislature.gov/Laws/GeneralLaws/PartI/TitleXVII/Chapter119/Section52" TargetMode="External"/><Relationship Id="rId3" Type="http://schemas.openxmlformats.org/officeDocument/2006/relationships/hyperlink" Target="https://www.bjs.gov/content/pub/pdf/p16.pdf" TargetMode="External"/><Relationship Id="rId21" Type="http://schemas.openxmlformats.org/officeDocument/2006/relationships/hyperlink" Target="https://www.justice.gov/archive/ndic/dmas/New_England_DMA-2011(U).pdf" TargetMode="External"/><Relationship Id="rId7" Type="http://schemas.openxmlformats.org/officeDocument/2006/relationships/hyperlink" Target="https://www.bjs.gov/content/reentry/reentry.cfm" TargetMode="External"/><Relationship Id="rId12" Type="http://schemas.openxmlformats.org/officeDocument/2006/relationships/hyperlink" Target="http://www.mass.gov/eohhs/gov/departments/dph/stop-addiction/chapter-55-overdose-assessment.html" TargetMode="External"/><Relationship Id="rId17" Type="http://schemas.openxmlformats.org/officeDocument/2006/relationships/hyperlink" Target="http://www.mass.gov/eohhs/gov/departments/dph/stop-addiction/chapter-55-overdose-assessment.html" TargetMode="External"/><Relationship Id="rId25" Type="http://schemas.openxmlformats.org/officeDocument/2006/relationships/hyperlink" Target="https://www.drugabuse.gov/about-nida/legislative-activities/testimony-to-congress/2017/research-use-misuse-fentanyl-other-synthetic-opioids" TargetMode="External"/><Relationship Id="rId2" Type="http://schemas.openxmlformats.org/officeDocument/2006/relationships/hyperlink" Target="https://www.cdc.gov/healthyyouth/data/yrbs/overview.htm" TargetMode="External"/><Relationship Id="rId16" Type="http://schemas.openxmlformats.org/officeDocument/2006/relationships/hyperlink" Target="https://www.sec.state.ma.us/ele/ele08/ballot_questions_08/quest_2.htm" TargetMode="External"/><Relationship Id="rId20" Type="http://schemas.openxmlformats.org/officeDocument/2006/relationships/hyperlink" Target="https://www.dea.gov/docs/DIR-040-17_2017-NDTA.pdf" TargetMode="External"/><Relationship Id="rId29" Type="http://schemas.openxmlformats.org/officeDocument/2006/relationships/hyperlink" Target="http://www.mass.gov/eohhs/gov/commissions-and-initiatives/jdai/jdai-work-plans-and-goals.html" TargetMode="External"/><Relationship Id="rId1" Type="http://schemas.openxmlformats.org/officeDocument/2006/relationships/hyperlink" Target="https://www.neushi.org/student/programs/attachments/shi_gang.pdf" TargetMode="External"/><Relationship Id="rId6" Type="http://schemas.openxmlformats.org/officeDocument/2006/relationships/hyperlink" Target="https://www.bjs.gov/content/pub/pdf/18upr9yfup0514.pdf" TargetMode="External"/><Relationship Id="rId11" Type="http://schemas.openxmlformats.org/officeDocument/2006/relationships/hyperlink" Target="https://www.mass.gov/files/documents/2018/05/22/Opioid-related%20Overdose%20Deaths%20among%20MA%20Residents%20-%20May%202018.pdf" TargetMode="External"/><Relationship Id="rId24" Type="http://schemas.openxmlformats.org/officeDocument/2006/relationships/hyperlink" Target="https://www.cdc.gov/mmwr/volumes/67/wr/pdfs/mm6712a1-H.pdf" TargetMode="External"/><Relationship Id="rId5" Type="http://schemas.openxmlformats.org/officeDocument/2006/relationships/hyperlink" Target="https://www.nij.gov/topics/corrections/recidivism/pages/welcome.aspx" TargetMode="External"/><Relationship Id="rId15" Type="http://schemas.openxmlformats.org/officeDocument/2006/relationships/hyperlink" Target="https://www.mass.gov/files/documents/2017/08/31/legislative-report-chapter-55-aug-2017.pdf" TargetMode="External"/><Relationship Id="rId23" Type="http://schemas.openxmlformats.org/officeDocument/2006/relationships/hyperlink" Target="https://www.dea.gov/docs/DIR-040-17_2017-NDTA.pdf" TargetMode="External"/><Relationship Id="rId28" Type="http://schemas.openxmlformats.org/officeDocument/2006/relationships/hyperlink" Target="http://www.mass.gov/eohhs/gov/commissions-and-initiatives/jdai/racial-and-ethnic-disparities.html" TargetMode="External"/><Relationship Id="rId10" Type="http://schemas.openxmlformats.org/officeDocument/2006/relationships/hyperlink" Target="https://www.bjs.gov/content/pub/pdf/dudaspji0709.pdf" TargetMode="External"/><Relationship Id="rId19" Type="http://schemas.openxmlformats.org/officeDocument/2006/relationships/hyperlink" Target="https://www.mass.gov/files/documents/2017/11/15/2017-annual-update-action-items-gov-working-group.pdf" TargetMode="External"/><Relationship Id="rId31" Type="http://schemas.openxmlformats.org/officeDocument/2006/relationships/hyperlink" Target="http://www.mass.gov/eohhs/docs/dys/jdai/dangers-of-detention-brief.pdf" TargetMode="External"/><Relationship Id="rId4" Type="http://schemas.openxmlformats.org/officeDocument/2006/relationships/hyperlink" Target="https://www.bjs.gov/content/pub/pdf/ppus16.pdf" TargetMode="External"/><Relationship Id="rId9" Type="http://schemas.openxmlformats.org/officeDocument/2006/relationships/hyperlink" Target="https://ucr.fbi.gov/crime-in-the-u.s/2015/crime-in-the-u.s.-2015/offenses-known-to-law-enforcement/rape/rapemain_final.pdf" TargetMode="External"/><Relationship Id="rId14" Type="http://schemas.openxmlformats.org/officeDocument/2006/relationships/hyperlink" Target="https://www.mass.gov/files/documents/2017/11/15/2017-annual-update-action-items-gov-working-group.pdf" TargetMode="External"/><Relationship Id="rId22" Type="http://schemas.openxmlformats.org/officeDocument/2006/relationships/hyperlink" Target="https://obamawhitehouse.archives.gov/the-press-office/2016/01/15/white-house-drug-policy-director-announces-designation-14-counties-high" TargetMode="External"/><Relationship Id="rId27" Type="http://schemas.openxmlformats.org/officeDocument/2006/relationships/hyperlink" Target="https://www.ojjdp.gov/programs/ProgSummary.asp?pi=18" TargetMode="External"/><Relationship Id="rId30" Type="http://schemas.openxmlformats.org/officeDocument/2006/relationships/hyperlink" Target="http://cms.aecf.org/m/resourcedoc/aecf-2014JDAIProgressReport-2014.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0.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anose="02020603050405020304" pitchFamily="18" charset="0"/>
                <a:cs typeface="Times New Roman" panose="02020603050405020304" pitchFamily="18" charset="0"/>
              </a:rPr>
              <a:t>Homicides, Robberies, and Aggravated Assaults in Massachusetts Involving Firearms, 2007-2016</a:t>
            </a:r>
          </a:p>
        </c:rich>
      </c:tx>
      <c:layout>
        <c:manualLayout>
          <c:xMode val="edge"/>
          <c:yMode val="edge"/>
          <c:x val="0.16774394009572333"/>
          <c:y val="3.6651781003975176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9.1930098811178015E-2"/>
          <c:y val="0.21564063667127609"/>
          <c:w val="0.88110911687509652"/>
          <c:h val="0.60459210233025484"/>
        </c:manualLayout>
      </c:layout>
      <c:bar3DChart>
        <c:barDir val="col"/>
        <c:grouping val="clustered"/>
        <c:varyColors val="0"/>
        <c:ser>
          <c:idx val="0"/>
          <c:order val="0"/>
          <c:spPr>
            <a:solidFill>
              <a:schemeClr val="accent1">
                <a:lumMod val="75000"/>
              </a:schemeClr>
            </a:solidFill>
          </c:spPr>
          <c:invertIfNegative val="0"/>
          <c:dLbls>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OffensesInvolvingFirearms_2016!$A$5:$A$14</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OffensesInvolvingFirearms_2016!$E$5:$E$14</c:f>
              <c:numCache>
                <c:formatCode>#,##0</c:formatCode>
                <c:ptCount val="10"/>
                <c:pt idx="0">
                  <c:v>3408</c:v>
                </c:pt>
                <c:pt idx="1">
                  <c:v>3503</c:v>
                </c:pt>
                <c:pt idx="2">
                  <c:v>3739</c:v>
                </c:pt>
                <c:pt idx="3">
                  <c:v>3734</c:v>
                </c:pt>
                <c:pt idx="4">
                  <c:v>3752</c:v>
                </c:pt>
                <c:pt idx="5">
                  <c:v>3753</c:v>
                </c:pt>
                <c:pt idx="6">
                  <c:v>3873</c:v>
                </c:pt>
                <c:pt idx="7">
                  <c:v>3579</c:v>
                </c:pt>
                <c:pt idx="8">
                  <c:v>3324</c:v>
                </c:pt>
                <c:pt idx="9">
                  <c:v>3382</c:v>
                </c:pt>
              </c:numCache>
            </c:numRef>
          </c:val>
          <c:extLst>
            <c:ext xmlns:c16="http://schemas.microsoft.com/office/drawing/2014/chart" uri="{C3380CC4-5D6E-409C-BE32-E72D297353CC}">
              <c16:uniqueId val="{00000000-91F1-4068-AD42-6AC1834AADD9}"/>
            </c:ext>
          </c:extLst>
        </c:ser>
        <c:dLbls>
          <c:showLegendKey val="0"/>
          <c:showVal val="0"/>
          <c:showCatName val="0"/>
          <c:showSerName val="0"/>
          <c:showPercent val="0"/>
          <c:showBubbleSize val="0"/>
        </c:dLbls>
        <c:gapWidth val="150"/>
        <c:shape val="box"/>
        <c:axId val="121791616"/>
        <c:axId val="121793536"/>
        <c:axId val="0"/>
      </c:bar3DChart>
      <c:catAx>
        <c:axId val="121791616"/>
        <c:scaling>
          <c:orientation val="minMax"/>
        </c:scaling>
        <c:delete val="0"/>
        <c:axPos val="b"/>
        <c:title>
          <c:tx>
            <c:rich>
              <a:bodyPr/>
              <a:lstStyle/>
              <a:p>
                <a:pPr>
                  <a:defRPr/>
                </a:pPr>
                <a:r>
                  <a:rPr lang="en-US">
                    <a:latin typeface="Times New Roman" panose="02020603050405020304" pitchFamily="18" charset="0"/>
                    <a:cs typeface="Times New Roman" panose="02020603050405020304" pitchFamily="18" charset="0"/>
                  </a:rPr>
                  <a:t>Year</a:t>
                </a:r>
              </a:p>
            </c:rich>
          </c:tx>
          <c:layout>
            <c:manualLayout>
              <c:xMode val="edge"/>
              <c:yMode val="edge"/>
              <c:x val="0.46675640728732437"/>
              <c:y val="0.91655445937513758"/>
            </c:manualLayout>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21793536"/>
        <c:crosses val="autoZero"/>
        <c:auto val="1"/>
        <c:lblAlgn val="ctr"/>
        <c:lblOffset val="100"/>
        <c:noMultiLvlLbl val="0"/>
      </c:catAx>
      <c:valAx>
        <c:axId val="121793536"/>
        <c:scaling>
          <c:orientation val="minMax"/>
        </c:scaling>
        <c:delete val="0"/>
        <c:axPos val="l"/>
        <c:majorGridlines>
          <c:spPr>
            <a:ln>
              <a:noFill/>
            </a:ln>
          </c:spPr>
        </c:majorGridlines>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21791616"/>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itchFamily="18" charset="0"/>
                <a:cs typeface="Times New Roman" pitchFamily="18" charset="0"/>
              </a:rPr>
              <a:t>Reported Rapes in Massachusetts,</a:t>
            </a:r>
            <a:r>
              <a:rPr lang="en-US" sz="1200" baseline="0">
                <a:latin typeface="Times New Roman" pitchFamily="18" charset="0"/>
                <a:cs typeface="Times New Roman" pitchFamily="18" charset="0"/>
              </a:rPr>
              <a:t> 2007 - 2016</a:t>
            </a:r>
            <a:endParaRPr lang="en-US" sz="1200">
              <a:latin typeface="Times New Roman" pitchFamily="18" charset="0"/>
              <a:cs typeface="Times New Roman" pitchFamily="18" charset="0"/>
            </a:endParaRPr>
          </a:p>
        </c:rich>
      </c:tx>
      <c:layout>
        <c:manualLayout>
          <c:xMode val="edge"/>
          <c:yMode val="edge"/>
          <c:x val="0.1685452284514754"/>
          <c:y val="2.7031138153185398E-2"/>
        </c:manualLayout>
      </c:layout>
      <c:overlay val="0"/>
    </c:title>
    <c:autoTitleDeleted val="0"/>
    <c:plotArea>
      <c:layout>
        <c:manualLayout>
          <c:layoutTarget val="inner"/>
          <c:xMode val="edge"/>
          <c:yMode val="edge"/>
          <c:x val="0.10418744531933509"/>
          <c:y val="0.13979107312440645"/>
          <c:w val="0.86525699912510934"/>
          <c:h val="0.70440630818583572"/>
        </c:manualLayout>
      </c:layout>
      <c:barChart>
        <c:barDir val="col"/>
        <c:grouping val="stacked"/>
        <c:varyColors val="0"/>
        <c:ser>
          <c:idx val="0"/>
          <c:order val="0"/>
          <c:spPr>
            <a:pattFill prst="pct60">
              <a:fgClr>
                <a:schemeClr val="accent2"/>
              </a:fgClr>
              <a:bgClr>
                <a:schemeClr val="bg1"/>
              </a:bgClr>
            </a:pattFill>
          </c:spPr>
          <c:invertIfNegative val="0"/>
          <c:dPt>
            <c:idx val="0"/>
            <c:invertIfNegative val="0"/>
            <c:bubble3D val="0"/>
            <c:spPr>
              <a:pattFill prst="pct60">
                <a:fgClr>
                  <a:schemeClr val="accent2"/>
                </a:fgClr>
                <a:bgClr>
                  <a:schemeClr val="bg1"/>
                </a:bgClr>
              </a:pattFill>
            </c:spPr>
            <c:extLst>
              <c:ext xmlns:c16="http://schemas.microsoft.com/office/drawing/2014/chart" uri="{C3380CC4-5D6E-409C-BE32-E72D297353CC}">
                <c16:uniqueId val="{00000001-1A4F-42F1-8360-3C6D99DAAB37}"/>
              </c:ext>
            </c:extLst>
          </c:dPt>
          <c:dLbls>
            <c:dLbl>
              <c:idx val="0"/>
              <c:layout>
                <c:manualLayout>
                  <c:x val="2.7777777777777779E-3"/>
                  <c:y val="-0.2570039856129094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4F-42F1-8360-3C6D99DAAB37}"/>
                </c:ext>
              </c:extLst>
            </c:dLbl>
            <c:dLbl>
              <c:idx val="1"/>
              <c:layout>
                <c:manualLayout>
                  <c:x val="0"/>
                  <c:y val="-0.246913580246913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A4F-42F1-8360-3C6D99DAAB37}"/>
                </c:ext>
              </c:extLst>
            </c:dLbl>
            <c:dLbl>
              <c:idx val="2"/>
              <c:layout>
                <c:manualLayout>
                  <c:x val="2.7777777777777779E-3"/>
                  <c:y val="-0.243233655622107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A4F-42F1-8360-3C6D99DAAB37}"/>
                </c:ext>
              </c:extLst>
            </c:dLbl>
            <c:dLbl>
              <c:idx val="3"/>
              <c:layout>
                <c:manualLayout>
                  <c:x val="2.7777777777777779E-3"/>
                  <c:y val="-0.226377130209151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A4F-42F1-8360-3C6D99DAAB37}"/>
                </c:ext>
              </c:extLst>
            </c:dLbl>
            <c:dLbl>
              <c:idx val="4"/>
              <c:layout>
                <c:manualLayout>
                  <c:x val="-2.7777777777777779E-3"/>
                  <c:y val="-0.235042585488779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A4F-42F1-8360-3C6D99DAAB37}"/>
                </c:ext>
              </c:extLst>
            </c:dLbl>
            <c:dLbl>
              <c:idx val="5"/>
              <c:layout>
                <c:manualLayout>
                  <c:x val="0"/>
                  <c:y val="-0.228988641377092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A4F-42F1-8360-3C6D99DAAB37}"/>
                </c:ext>
              </c:extLst>
            </c:dLbl>
            <c:dLbl>
              <c:idx val="6"/>
              <c:layout>
                <c:manualLayout>
                  <c:x val="-5.5555555555555558E-3"/>
                  <c:y val="-0.356837532060629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A4F-42F1-8360-3C6D99DAAB37}"/>
                </c:ext>
              </c:extLst>
            </c:dLbl>
            <c:dLbl>
              <c:idx val="7"/>
              <c:layout>
                <c:manualLayout>
                  <c:x val="-5.5555555555555558E-3"/>
                  <c:y val="-0.297720648166842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A4F-42F1-8360-3C6D99DAAB37}"/>
                </c:ext>
              </c:extLst>
            </c:dLbl>
            <c:dLbl>
              <c:idx val="8"/>
              <c:layout>
                <c:manualLayout>
                  <c:x val="-5.5555555555555558E-3"/>
                  <c:y val="-0.287868033589818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A4F-42F1-8360-3C6D99DAAB37}"/>
                </c:ext>
              </c:extLst>
            </c:dLbl>
            <c:dLbl>
              <c:idx val="9"/>
              <c:layout>
                <c:manualLayout>
                  <c:x val="5.5555555555555558E-3"/>
                  <c:y val="-0.278133865745414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A4F-42F1-8360-3C6D99DAAB37}"/>
                </c:ext>
              </c:extLst>
            </c:dLbl>
            <c:spPr>
              <a:noFill/>
              <a:ln>
                <a:noFill/>
              </a:ln>
              <a:effectLst/>
            </c:spPr>
            <c:txPr>
              <a:bodyPr/>
              <a:lstStyle/>
              <a:p>
                <a:pPr>
                  <a:defRPr sz="9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'Forcible Rape'!$B$20:$B$29</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'Forcible Rape'!$C$20:$C$29</c:f>
              <c:numCache>
                <c:formatCode>#,##0</c:formatCode>
                <c:ptCount val="10"/>
                <c:pt idx="0">
                  <c:v>1634</c:v>
                </c:pt>
                <c:pt idx="1">
                  <c:v>1736</c:v>
                </c:pt>
                <c:pt idx="2">
                  <c:v>1734</c:v>
                </c:pt>
                <c:pt idx="3">
                  <c:v>1745</c:v>
                </c:pt>
                <c:pt idx="4">
                  <c:v>1628</c:v>
                </c:pt>
                <c:pt idx="5">
                  <c:v>1642</c:v>
                </c:pt>
                <c:pt idx="6">
                  <c:v>2718</c:v>
                </c:pt>
                <c:pt idx="7">
                  <c:v>2180</c:v>
                </c:pt>
                <c:pt idx="8">
                  <c:v>2075</c:v>
                </c:pt>
                <c:pt idx="9">
                  <c:v>2128</c:v>
                </c:pt>
              </c:numCache>
            </c:numRef>
          </c:val>
          <c:extLst>
            <c:ext xmlns:c16="http://schemas.microsoft.com/office/drawing/2014/chart" uri="{C3380CC4-5D6E-409C-BE32-E72D297353CC}">
              <c16:uniqueId val="{0000000B-1A4F-42F1-8360-3C6D99DAAB37}"/>
            </c:ext>
          </c:extLst>
        </c:ser>
        <c:dLbls>
          <c:showLegendKey val="0"/>
          <c:showVal val="0"/>
          <c:showCatName val="0"/>
          <c:showSerName val="0"/>
          <c:showPercent val="0"/>
          <c:showBubbleSize val="0"/>
        </c:dLbls>
        <c:gapWidth val="150"/>
        <c:overlap val="100"/>
        <c:axId val="126620800"/>
        <c:axId val="126622720"/>
      </c:barChart>
      <c:catAx>
        <c:axId val="126620800"/>
        <c:scaling>
          <c:orientation val="minMax"/>
        </c:scaling>
        <c:delete val="0"/>
        <c:axPos val="b"/>
        <c:title>
          <c:tx>
            <c:rich>
              <a:bodyPr/>
              <a:lstStyle/>
              <a:p>
                <a:pPr>
                  <a:defRPr/>
                </a:pPr>
                <a:r>
                  <a:rPr lang="en-US">
                    <a:latin typeface="Times New Roman" pitchFamily="18" charset="0"/>
                    <a:cs typeface="Times New Roman" pitchFamily="18" charset="0"/>
                  </a:rPr>
                  <a:t>Year</a:t>
                </a:r>
              </a:p>
            </c:rich>
          </c:tx>
          <c:layout>
            <c:manualLayout>
              <c:xMode val="edge"/>
              <c:yMode val="edge"/>
              <c:x val="0.47417694663167104"/>
              <c:y val="0.91862530004262288"/>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26622720"/>
        <c:crosses val="autoZero"/>
        <c:auto val="1"/>
        <c:lblAlgn val="ctr"/>
        <c:lblOffset val="100"/>
        <c:noMultiLvlLbl val="0"/>
      </c:catAx>
      <c:valAx>
        <c:axId val="126622720"/>
        <c:scaling>
          <c:orientation val="minMax"/>
        </c:scaling>
        <c:delete val="0"/>
        <c:axPos val="l"/>
        <c:majorGridlines>
          <c:spPr>
            <a:ln>
              <a:noFill/>
            </a:ln>
          </c:spPr>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26620800"/>
        <c:crosses val="autoZero"/>
        <c:crossBetween val="between"/>
      </c:valAx>
      <c:spPr>
        <a:ln>
          <a:noFill/>
        </a:ln>
      </c:spPr>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0" i="0" u="none" strike="noStrike" baseline="0">
                <a:solidFill>
                  <a:srgbClr val="000000"/>
                </a:solidFill>
                <a:latin typeface="Times New Roman"/>
                <a:ea typeface="Times New Roman"/>
                <a:cs typeface="Times New Roman"/>
              </a:defRPr>
            </a:pPr>
            <a:r>
              <a:rPr lang="en-US" sz="1200" b="1" i="0" u="none" strike="noStrike" baseline="0">
                <a:solidFill>
                  <a:srgbClr val="000000"/>
                </a:solidFill>
                <a:latin typeface="Times New Roman"/>
                <a:cs typeface="Times New Roman"/>
              </a:rPr>
              <a:t>Number of Persons Arrested for Drug Abuse Violations</a:t>
            </a:r>
          </a:p>
          <a:p>
            <a:pPr>
              <a:defRPr sz="800" b="0" i="0" u="none" strike="noStrike" baseline="0">
                <a:solidFill>
                  <a:srgbClr val="000000"/>
                </a:solidFill>
                <a:latin typeface="Times New Roman"/>
                <a:ea typeface="Times New Roman"/>
                <a:cs typeface="Times New Roman"/>
              </a:defRPr>
            </a:pPr>
            <a:r>
              <a:rPr lang="en-US" sz="1200" b="1" i="0" u="none" strike="noStrike" baseline="0">
                <a:solidFill>
                  <a:srgbClr val="000000"/>
                </a:solidFill>
                <a:latin typeface="Times New Roman"/>
                <a:cs typeface="Times New Roman"/>
              </a:rPr>
              <a:t> in Massachusetts, 2007 - 2016</a:t>
            </a:r>
          </a:p>
        </c:rich>
      </c:tx>
      <c:layout>
        <c:manualLayout>
          <c:xMode val="edge"/>
          <c:yMode val="edge"/>
          <c:x val="0.16490349320860032"/>
          <c:y val="3.0079043587759622E-2"/>
        </c:manualLayout>
      </c:layout>
      <c:overlay val="0"/>
      <c:spPr>
        <a:noFill/>
        <a:ln w="25400">
          <a:noFill/>
        </a:ln>
      </c:spPr>
    </c:title>
    <c:autoTitleDeleted val="0"/>
    <c:plotArea>
      <c:layout>
        <c:manualLayout>
          <c:layoutTarget val="inner"/>
          <c:xMode val="edge"/>
          <c:yMode val="edge"/>
          <c:x val="0.15644080802748819"/>
          <c:y val="0.18926463671809809"/>
          <c:w val="0.79609593493550734"/>
          <c:h val="0.58654043967047464"/>
        </c:manualLayout>
      </c:layout>
      <c:barChart>
        <c:barDir val="col"/>
        <c:grouping val="clustered"/>
        <c:varyColors val="0"/>
        <c:ser>
          <c:idx val="0"/>
          <c:order val="0"/>
          <c:tx>
            <c:v>All ages</c:v>
          </c:tx>
          <c:spPr>
            <a:solidFill>
              <a:srgbClr val="000080"/>
            </a:solidFill>
            <a:ln w="12700">
              <a:solidFill>
                <a:srgbClr val="000000"/>
              </a:solidFill>
              <a:prstDash val="solid"/>
            </a:ln>
          </c:spPr>
          <c:invertIfNegative val="0"/>
          <c:dLbls>
            <c:dLbl>
              <c:idx val="0"/>
              <c:layout>
                <c:manualLayout>
                  <c:x val="9.9317194289261328E-3"/>
                  <c:y val="0"/>
                </c:manualLayout>
              </c:layout>
              <c:spPr>
                <a:noFill/>
                <a:ln w="25400">
                  <a:noFill/>
                </a:ln>
              </c:spPr>
              <c:txPr>
                <a:bodyPr/>
                <a:lstStyle/>
                <a:p>
                  <a:pPr>
                    <a:defRPr sz="9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35-46DD-BD98-29AA824BB86F}"/>
                </c:ext>
              </c:extLst>
            </c:dLbl>
            <c:spPr>
              <a:noFill/>
              <a:ln w="25400">
                <a:noFill/>
              </a:ln>
            </c:spPr>
            <c:txPr>
              <a:bodyPr wrap="square" lIns="38100" tIns="19050" rIns="38100" bIns="19050" anchor="ctr">
                <a:spAutoFit/>
              </a:bodyPr>
              <a:lstStyle/>
              <a:p>
                <a:pPr>
                  <a:defRPr sz="9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'MA Drug Abuse Arrests'!$B$9:$B$18</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'MA Drug Abuse Arrests'!$C$9:$C$18</c:f>
              <c:numCache>
                <c:formatCode>#,##0</c:formatCode>
                <c:ptCount val="10"/>
                <c:pt idx="0">
                  <c:v>20626</c:v>
                </c:pt>
                <c:pt idx="1">
                  <c:v>19825</c:v>
                </c:pt>
                <c:pt idx="2">
                  <c:v>12127</c:v>
                </c:pt>
                <c:pt idx="3">
                  <c:v>12086</c:v>
                </c:pt>
                <c:pt idx="4">
                  <c:v>10849</c:v>
                </c:pt>
                <c:pt idx="5">
                  <c:v>11599</c:v>
                </c:pt>
                <c:pt idx="6">
                  <c:v>11206</c:v>
                </c:pt>
                <c:pt idx="7">
                  <c:v>10516</c:v>
                </c:pt>
                <c:pt idx="8">
                  <c:v>9761</c:v>
                </c:pt>
                <c:pt idx="9">
                  <c:v>9770</c:v>
                </c:pt>
              </c:numCache>
            </c:numRef>
          </c:val>
          <c:extLst>
            <c:ext xmlns:c16="http://schemas.microsoft.com/office/drawing/2014/chart" uri="{C3380CC4-5D6E-409C-BE32-E72D297353CC}">
              <c16:uniqueId val="{00000001-8E35-46DD-BD98-29AA824BB86F}"/>
            </c:ext>
          </c:extLst>
        </c:ser>
        <c:ser>
          <c:idx val="1"/>
          <c:order val="1"/>
          <c:tx>
            <c:v>Under 18</c:v>
          </c:tx>
          <c:spPr>
            <a:solidFill>
              <a:schemeClr val="tx2">
                <a:lumMod val="60000"/>
                <a:lumOff val="40000"/>
              </a:schemeClr>
            </a:solidFill>
            <a:ln w="12700">
              <a:solidFill>
                <a:srgbClr val="000000"/>
              </a:solidFill>
              <a:prstDash val="solid"/>
            </a:ln>
          </c:spPr>
          <c:invertIfNegative val="0"/>
          <c:dLbls>
            <c:dLbl>
              <c:idx val="0"/>
              <c:layout>
                <c:manualLayout>
                  <c:x val="1.309328968903439E-2"/>
                  <c:y val="0"/>
                </c:manualLayout>
              </c:layout>
              <c:spPr>
                <a:noFill/>
                <a:ln w="25400">
                  <a:noFill/>
                </a:ln>
              </c:spPr>
              <c:txPr>
                <a:bodyPr/>
                <a:lstStyle/>
                <a:p>
                  <a:pPr>
                    <a:defRPr sz="9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35-46DD-BD98-29AA824BB86F}"/>
                </c:ext>
              </c:extLst>
            </c:dLbl>
            <c:dLbl>
              <c:idx val="1"/>
              <c:layout>
                <c:manualLayout>
                  <c:x val="2.054204118339956E-2"/>
                  <c:y val="0"/>
                </c:manualLayout>
              </c:layout>
              <c:spPr>
                <a:noFill/>
                <a:ln w="25400">
                  <a:noFill/>
                </a:ln>
              </c:spPr>
              <c:txPr>
                <a:bodyPr/>
                <a:lstStyle/>
                <a:p>
                  <a:pPr>
                    <a:defRPr sz="9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E35-46DD-BD98-29AA824BB86F}"/>
                </c:ext>
              </c:extLst>
            </c:dLbl>
            <c:dLbl>
              <c:idx val="2"/>
              <c:layout>
                <c:manualLayout>
                  <c:x val="1.5275504637206765E-2"/>
                  <c:y val="0"/>
                </c:manualLayout>
              </c:layout>
              <c:spPr>
                <a:noFill/>
                <a:ln w="25400">
                  <a:noFill/>
                </a:ln>
              </c:spPr>
              <c:txPr>
                <a:bodyPr/>
                <a:lstStyle/>
                <a:p>
                  <a:pPr>
                    <a:defRPr sz="9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E35-46DD-BD98-29AA824BB86F}"/>
                </c:ext>
              </c:extLst>
            </c:dLbl>
            <c:dLbl>
              <c:idx val="3"/>
              <c:layout>
                <c:manualLayout>
                  <c:x val="1.9639934533551555E-2"/>
                  <c:y val="-7.1474158080112246E-17"/>
                </c:manualLayout>
              </c:layout>
              <c:spPr>
                <a:noFill/>
                <a:ln w="25400">
                  <a:noFill/>
                </a:ln>
              </c:spPr>
              <c:txPr>
                <a:bodyPr/>
                <a:lstStyle/>
                <a:p>
                  <a:pPr>
                    <a:defRPr sz="9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E35-46DD-BD98-29AA824BB86F}"/>
                </c:ext>
              </c:extLst>
            </c:dLbl>
            <c:dLbl>
              <c:idx val="4"/>
              <c:layout>
                <c:manualLayout>
                  <c:x val="1.9639934533551555E-2"/>
                  <c:y val="-7.1474158080112246E-17"/>
                </c:manualLayout>
              </c:layout>
              <c:spPr>
                <a:noFill/>
                <a:ln w="25400">
                  <a:noFill/>
                </a:ln>
              </c:spPr>
              <c:txPr>
                <a:bodyPr/>
                <a:lstStyle/>
                <a:p>
                  <a:pPr>
                    <a:defRPr sz="9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E35-46DD-BD98-29AA824BB86F}"/>
                </c:ext>
              </c:extLst>
            </c:dLbl>
            <c:dLbl>
              <c:idx val="5"/>
              <c:layout>
                <c:manualLayout>
                  <c:x val="1.5275504637206765E-2"/>
                  <c:y val="0"/>
                </c:manualLayout>
              </c:layout>
              <c:spPr>
                <a:noFill/>
                <a:ln w="25400">
                  <a:noFill/>
                </a:ln>
              </c:spPr>
              <c:txPr>
                <a:bodyPr/>
                <a:lstStyle/>
                <a:p>
                  <a:pPr>
                    <a:defRPr sz="9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E35-46DD-BD98-29AA824BB86F}"/>
                </c:ext>
              </c:extLst>
            </c:dLbl>
            <c:dLbl>
              <c:idx val="6"/>
              <c:layout>
                <c:manualLayout>
                  <c:x val="1.7457719585379158E-2"/>
                  <c:y val="0"/>
                </c:manualLayout>
              </c:layout>
              <c:spPr>
                <a:noFill/>
                <a:ln w="25400">
                  <a:noFill/>
                </a:ln>
              </c:spPr>
              <c:txPr>
                <a:bodyPr/>
                <a:lstStyle/>
                <a:p>
                  <a:pPr>
                    <a:defRPr sz="9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E35-46DD-BD98-29AA824BB86F}"/>
                </c:ext>
              </c:extLst>
            </c:dLbl>
            <c:dLbl>
              <c:idx val="7"/>
              <c:layout>
                <c:manualLayout>
                  <c:x val="1.3093289689034371E-2"/>
                  <c:y val="0"/>
                </c:manualLayout>
              </c:layout>
              <c:spPr>
                <a:noFill/>
                <a:ln w="25400">
                  <a:noFill/>
                </a:ln>
              </c:spPr>
              <c:txPr>
                <a:bodyPr/>
                <a:lstStyle/>
                <a:p>
                  <a:pPr>
                    <a:defRPr sz="9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E35-46DD-BD98-29AA824BB86F}"/>
                </c:ext>
              </c:extLst>
            </c:dLbl>
            <c:dLbl>
              <c:idx val="8"/>
              <c:layout>
                <c:manualLayout>
                  <c:x val="1.5275504637206765E-2"/>
                  <c:y val="0"/>
                </c:manualLayout>
              </c:layout>
              <c:spPr>
                <a:noFill/>
                <a:ln w="25400">
                  <a:noFill/>
                </a:ln>
              </c:spPr>
              <c:txPr>
                <a:bodyPr/>
                <a:lstStyle/>
                <a:p>
                  <a:pPr>
                    <a:defRPr sz="9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E35-46DD-BD98-29AA824BB86F}"/>
                </c:ext>
              </c:extLst>
            </c:dLbl>
            <c:dLbl>
              <c:idx val="9"/>
              <c:layout>
                <c:manualLayout>
                  <c:x val="1.3093289689034371E-2"/>
                  <c:y val="-7.7972709551656916E-3"/>
                </c:manualLayout>
              </c:layout>
              <c:spPr>
                <a:noFill/>
                <a:ln w="25400">
                  <a:noFill/>
                </a:ln>
              </c:spPr>
              <c:txPr>
                <a:bodyPr/>
                <a:lstStyle/>
                <a:p>
                  <a:pPr>
                    <a:defRPr sz="9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E35-46DD-BD98-29AA824BB86F}"/>
                </c:ext>
              </c:extLst>
            </c:dLbl>
            <c:spPr>
              <a:noFill/>
              <a:ln w="25400">
                <a:noFill/>
              </a:ln>
            </c:spPr>
            <c:txPr>
              <a:bodyPr wrap="square" lIns="38100" tIns="19050" rIns="38100" bIns="19050" anchor="ctr">
                <a:spAutoFit/>
              </a:bodyPr>
              <a:lstStyle/>
              <a:p>
                <a:pPr>
                  <a:defRPr sz="9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'MA Drug Abuse Arrests'!$B$9:$B$18</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'MA Drug Abuse Arrests'!$D$9:$D$18</c:f>
              <c:numCache>
                <c:formatCode>#,##0</c:formatCode>
                <c:ptCount val="10"/>
                <c:pt idx="0">
                  <c:v>2327</c:v>
                </c:pt>
                <c:pt idx="1">
                  <c:v>2115</c:v>
                </c:pt>
                <c:pt idx="2">
                  <c:v>682</c:v>
                </c:pt>
                <c:pt idx="3">
                  <c:v>663</c:v>
                </c:pt>
                <c:pt idx="4">
                  <c:v>504</c:v>
                </c:pt>
                <c:pt idx="5">
                  <c:v>505</c:v>
                </c:pt>
                <c:pt idx="6">
                  <c:v>382</c:v>
                </c:pt>
                <c:pt idx="7">
                  <c:v>274</c:v>
                </c:pt>
                <c:pt idx="8">
                  <c:v>203</c:v>
                </c:pt>
                <c:pt idx="9">
                  <c:v>228</c:v>
                </c:pt>
              </c:numCache>
            </c:numRef>
          </c:val>
          <c:extLst>
            <c:ext xmlns:c16="http://schemas.microsoft.com/office/drawing/2014/chart" uri="{C3380CC4-5D6E-409C-BE32-E72D297353CC}">
              <c16:uniqueId val="{0000000C-8E35-46DD-BD98-29AA824BB86F}"/>
            </c:ext>
          </c:extLst>
        </c:ser>
        <c:dLbls>
          <c:showLegendKey val="0"/>
          <c:showVal val="0"/>
          <c:showCatName val="0"/>
          <c:showSerName val="0"/>
          <c:showPercent val="0"/>
          <c:showBubbleSize val="0"/>
        </c:dLbls>
        <c:gapWidth val="150"/>
        <c:axId val="208558272"/>
        <c:axId val="1"/>
      </c:barChart>
      <c:catAx>
        <c:axId val="20855827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
        <c:crosses val="autoZero"/>
        <c:auto val="1"/>
        <c:lblAlgn val="ctr"/>
        <c:lblOffset val="100"/>
        <c:tickLblSkip val="1"/>
        <c:tickMarkSkip val="1"/>
        <c:noMultiLvlLbl val="0"/>
      </c:catAx>
      <c:valAx>
        <c:axId val="1"/>
        <c:scaling>
          <c:orientation val="minMax"/>
        </c:scaling>
        <c:delete val="0"/>
        <c:axPos val="l"/>
        <c:title>
          <c:tx>
            <c:rich>
              <a:bodyPr rot="-5400000" vert="horz"/>
              <a:lstStyle/>
              <a:p>
                <a:pPr>
                  <a:defRPr sz="1000" b="1"/>
                </a:pPr>
                <a:r>
                  <a:rPr lang="en-US" sz="1000" b="1"/>
                  <a:t>Number of Persons </a:t>
                </a:r>
              </a:p>
            </c:rich>
          </c:tx>
          <c:layout>
            <c:manualLayout>
              <c:xMode val="edge"/>
              <c:yMode val="edge"/>
              <c:x val="1.9861092782396613E-2"/>
              <c:y val="0.28367150637962157"/>
            </c:manualLayout>
          </c:layout>
          <c:overlay val="0"/>
        </c:title>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208558272"/>
        <c:crosses val="autoZero"/>
        <c:crossBetween val="between"/>
      </c:valAx>
      <c:spPr>
        <a:solidFill>
          <a:srgbClr val="FFFFFF"/>
        </a:solidFill>
        <a:ln w="25400">
          <a:noFill/>
        </a:ln>
      </c:spPr>
    </c:plotArea>
    <c:legend>
      <c:legendPos val="b"/>
      <c:layout>
        <c:manualLayout>
          <c:xMode val="edge"/>
          <c:yMode val="edge"/>
          <c:x val="0.37717405436052337"/>
          <c:y val="0.89226920334380166"/>
          <c:w val="0.3154826317101424"/>
          <c:h val="6.6136877398995653E-2"/>
        </c:manualLayout>
      </c:layout>
      <c:overlay val="1"/>
      <c:spPr>
        <a:solidFill>
          <a:srgbClr val="FFFFFF"/>
        </a:solidFill>
        <a:ln w="3175">
          <a:noFill/>
        </a:ln>
      </c:spPr>
      <c:txPr>
        <a:bodyPr/>
        <a:lstStyle/>
        <a:p>
          <a:pPr>
            <a:defRPr sz="10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25" b="0" i="0" u="none" strike="noStrike" baseline="0">
                <a:solidFill>
                  <a:srgbClr val="000000"/>
                </a:solidFill>
                <a:latin typeface="Times New Roman"/>
                <a:ea typeface="Times New Roman"/>
                <a:cs typeface="Times New Roman"/>
              </a:defRPr>
            </a:pPr>
            <a:r>
              <a:rPr lang="en-US" sz="1200" b="1" i="0" u="none" strike="noStrike" baseline="0">
                <a:solidFill>
                  <a:srgbClr val="000000"/>
                </a:solidFill>
                <a:latin typeface="Times New Roman"/>
                <a:cs typeface="Times New Roman"/>
              </a:rPr>
              <a:t>New Court Commitments to the Massachusetts DOC and HOC </a:t>
            </a:r>
          </a:p>
          <a:p>
            <a:pPr>
              <a:defRPr sz="825" b="0" i="0" u="none" strike="noStrike" baseline="0">
                <a:solidFill>
                  <a:srgbClr val="000000"/>
                </a:solidFill>
                <a:latin typeface="Times New Roman"/>
                <a:ea typeface="Times New Roman"/>
                <a:cs typeface="Times New Roman"/>
              </a:defRPr>
            </a:pPr>
            <a:r>
              <a:rPr lang="en-US" sz="1200" b="1" i="0" u="none" strike="noStrike" baseline="0">
                <a:solidFill>
                  <a:srgbClr val="000000"/>
                </a:solidFill>
                <a:latin typeface="Times New Roman"/>
                <a:cs typeface="Times New Roman"/>
              </a:rPr>
              <a:t>for Governing Drug Offenses, 2008 - 2017 </a:t>
            </a:r>
          </a:p>
        </c:rich>
      </c:tx>
      <c:layout>
        <c:manualLayout>
          <c:xMode val="edge"/>
          <c:yMode val="edge"/>
          <c:x val="0.15033749756545448"/>
          <c:y val="1.2406926787782812E-2"/>
        </c:manualLayout>
      </c:layout>
      <c:overlay val="0"/>
      <c:spPr>
        <a:noFill/>
        <a:ln w="25400">
          <a:noFill/>
        </a:ln>
      </c:spPr>
    </c:title>
    <c:autoTitleDeleted val="0"/>
    <c:plotArea>
      <c:layout>
        <c:manualLayout>
          <c:layoutTarget val="inner"/>
          <c:xMode val="edge"/>
          <c:yMode val="edge"/>
          <c:x val="0.17557993562492999"/>
          <c:y val="0.23647203190510277"/>
          <c:w val="0.77567557302090484"/>
          <c:h val="0.53992023724307181"/>
        </c:manualLayout>
      </c:layout>
      <c:barChart>
        <c:barDir val="col"/>
        <c:grouping val="clustered"/>
        <c:varyColors val="0"/>
        <c:ser>
          <c:idx val="0"/>
          <c:order val="0"/>
          <c:tx>
            <c:v>Department of Correction</c:v>
          </c:tx>
          <c:spPr>
            <a:solidFill>
              <a:schemeClr val="accent1">
                <a:lumMod val="40000"/>
                <a:lumOff val="60000"/>
              </a:schemeClr>
            </a:solidFill>
            <a:ln w="12700">
              <a:solidFill>
                <a:srgbClr val="000000"/>
              </a:solidFill>
              <a:prstDash val="solid"/>
            </a:ln>
          </c:spPr>
          <c:invertIfNegative val="0"/>
          <c:dLbls>
            <c:dLbl>
              <c:idx val="0"/>
              <c:layout>
                <c:manualLayout>
                  <c:x val="-1.0856110518652701E-2"/>
                  <c:y val="3.7140204271123491E-3"/>
                </c:manualLayout>
              </c:layout>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DD-49BC-B435-A2E73C9F89E5}"/>
                </c:ext>
              </c:extLst>
            </c:dLbl>
            <c:dLbl>
              <c:idx val="1"/>
              <c:layout>
                <c:manualLayout>
                  <c:x val="-1.4794774029869621E-2"/>
                  <c:y val="-3.714020427112281E-3"/>
                </c:manualLayout>
              </c:layout>
              <c:spPr>
                <a:noFill/>
                <a:ln w="25400">
                  <a:noFill/>
                </a:ln>
              </c:spPr>
              <c:txPr>
                <a:bodyPr/>
                <a:lstStyle/>
                <a:p>
                  <a:pPr>
                    <a:defRPr sz="9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DD-49BC-B435-A2E73C9F89E5}"/>
                </c:ext>
              </c:extLst>
            </c:dLbl>
            <c:dLbl>
              <c:idx val="2"/>
              <c:layout>
                <c:manualLayout>
                  <c:x val="-1.3786312161496799E-2"/>
                  <c:y val="0"/>
                </c:manualLayout>
              </c:layout>
              <c:spPr>
                <a:noFill/>
                <a:ln w="25400">
                  <a:noFill/>
                </a:ln>
              </c:spPr>
              <c:txPr>
                <a:bodyPr/>
                <a:lstStyle/>
                <a:p>
                  <a:pPr>
                    <a:defRPr sz="9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ADD-49BC-B435-A2E73C9F89E5}"/>
                </c:ext>
              </c:extLst>
            </c:dLbl>
            <c:dLbl>
              <c:idx val="3"/>
              <c:layout>
                <c:manualLayout>
                  <c:x val="-1.1816838995568686E-2"/>
                  <c:y val="0"/>
                </c:manualLayout>
              </c:layout>
              <c:spPr>
                <a:noFill/>
                <a:ln w="25400">
                  <a:noFill/>
                </a:ln>
              </c:spPr>
              <c:txPr>
                <a:bodyPr/>
                <a:lstStyle/>
                <a:p>
                  <a:pPr>
                    <a:defRPr sz="9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DD-49BC-B435-A2E73C9F89E5}"/>
                </c:ext>
              </c:extLst>
            </c:dLbl>
            <c:dLbl>
              <c:idx val="4"/>
              <c:layout>
                <c:manualLayout>
                  <c:x val="-1.1816838995568686E-2"/>
                  <c:y val="-6.9443642225563597E-17"/>
                </c:manualLayout>
              </c:layout>
              <c:spPr>
                <a:noFill/>
                <a:ln w="25400">
                  <a:noFill/>
                </a:ln>
              </c:spPr>
              <c:txPr>
                <a:bodyPr/>
                <a:lstStyle/>
                <a:p>
                  <a:pPr>
                    <a:defRPr sz="9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ADD-49BC-B435-A2E73C9F89E5}"/>
                </c:ext>
              </c:extLst>
            </c:dLbl>
            <c:dLbl>
              <c:idx val="5"/>
              <c:layout>
                <c:manualLayout>
                  <c:x val="-1.1816838995568686E-2"/>
                  <c:y val="0"/>
                </c:manualLayout>
              </c:layout>
              <c:spPr>
                <a:noFill/>
                <a:ln w="25400">
                  <a:noFill/>
                </a:ln>
              </c:spPr>
              <c:txPr>
                <a:bodyPr/>
                <a:lstStyle/>
                <a:p>
                  <a:pPr>
                    <a:defRPr sz="9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ADD-49BC-B435-A2E73C9F89E5}"/>
                </c:ext>
              </c:extLst>
            </c:dLbl>
            <c:dLbl>
              <c:idx val="6"/>
              <c:layout>
                <c:manualLayout>
                  <c:x val="-1.5177194431198244E-2"/>
                  <c:y val="-9.2552493438320203E-3"/>
                </c:manualLayout>
              </c:layout>
              <c:spPr>
                <a:noFill/>
                <a:ln w="25400">
                  <a:noFill/>
                </a:ln>
              </c:spPr>
              <c:txPr>
                <a:bodyPr/>
                <a:lstStyle/>
                <a:p>
                  <a:pPr>
                    <a:defRPr sz="9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ADD-49BC-B435-A2E73C9F89E5}"/>
                </c:ext>
              </c:extLst>
            </c:dLbl>
            <c:dLbl>
              <c:idx val="7"/>
              <c:layout>
                <c:manualLayout>
                  <c:x val="-4.2219611765663464E-3"/>
                  <c:y val="-7.463774287131947E-3"/>
                </c:manualLayout>
              </c:layout>
              <c:spPr>
                <a:noFill/>
                <a:ln w="25400">
                  <a:noFill/>
                </a:ln>
              </c:spPr>
              <c:txPr>
                <a:bodyPr/>
                <a:lstStyle/>
                <a:p>
                  <a:pPr>
                    <a:defRPr sz="9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ADD-49BC-B435-A2E73C9F89E5}"/>
                </c:ext>
              </c:extLst>
            </c:dLbl>
            <c:dLbl>
              <c:idx val="8"/>
              <c:layout>
                <c:manualLayout>
                  <c:x val="-7.545563451540482E-3"/>
                  <c:y val="-4.9184232817126028E-3"/>
                </c:manualLayout>
              </c:layout>
              <c:spPr>
                <a:noFill/>
                <a:ln w="25400">
                  <a:noFill/>
                </a:ln>
              </c:spPr>
              <c:txPr>
                <a:bodyPr/>
                <a:lstStyle/>
                <a:p>
                  <a:pPr>
                    <a:defRPr sz="9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ADD-49BC-B435-A2E73C9F89E5}"/>
                </c:ext>
              </c:extLst>
            </c:dLbl>
            <c:dLbl>
              <c:idx val="9"/>
              <c:layout>
                <c:manualLayout>
                  <c:x val="-7.6738609112709834E-3"/>
                  <c:y val="6.9443642225563597E-17"/>
                </c:manualLayout>
              </c:layout>
              <c:spPr>
                <a:noFill/>
                <a:ln w="25400">
                  <a:noFill/>
                </a:ln>
              </c:spPr>
              <c:txPr>
                <a:bodyPr/>
                <a:lstStyle/>
                <a:p>
                  <a:pPr>
                    <a:defRPr sz="9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ADD-49BC-B435-A2E73C9F89E5}"/>
                </c:ext>
              </c:extLst>
            </c:dLbl>
            <c:dLbl>
              <c:idx val="10"/>
              <c:layout>
                <c:manualLayout>
                  <c:x val="-7.9601990049751239E-3"/>
                  <c:y val="0"/>
                </c:manualLayout>
              </c:layout>
              <c:spPr>
                <a:noFill/>
                <a:ln w="25400">
                  <a:noFill/>
                </a:ln>
              </c:spPr>
              <c:txPr>
                <a:bodyPr/>
                <a:lstStyle/>
                <a:p>
                  <a:pPr>
                    <a:defRPr sz="9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ADD-49BC-B435-A2E73C9F89E5}"/>
                </c:ext>
              </c:extLst>
            </c:dLbl>
            <c:spPr>
              <a:noFill/>
              <a:ln w="25400">
                <a:noFill/>
              </a:ln>
            </c:spPr>
            <c:txPr>
              <a:bodyPr wrap="square" lIns="38100" tIns="19050" rIns="38100" bIns="19050" anchor="ctr">
                <a:spAutoFit/>
              </a:bodyPr>
              <a:lstStyle/>
              <a:p>
                <a:pPr>
                  <a:defRPr sz="9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'DOC &amp; HOC New Drug Commitments'!$B$10:$B$19</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'DOC &amp; HOC New Drug Commitments'!$C$10:$C$19</c:f>
              <c:numCache>
                <c:formatCode>General</c:formatCode>
                <c:ptCount val="10"/>
                <c:pt idx="0" formatCode="#,##0">
                  <c:v>1023</c:v>
                </c:pt>
                <c:pt idx="1">
                  <c:v>852</c:v>
                </c:pt>
                <c:pt idx="2">
                  <c:v>837</c:v>
                </c:pt>
                <c:pt idx="3" formatCode="#,##0">
                  <c:v>683</c:v>
                </c:pt>
                <c:pt idx="4" formatCode="#,##0">
                  <c:v>637</c:v>
                </c:pt>
                <c:pt idx="5" formatCode="#,##0">
                  <c:v>561</c:v>
                </c:pt>
                <c:pt idx="6" formatCode="#,##0">
                  <c:v>581</c:v>
                </c:pt>
                <c:pt idx="7" formatCode="#,##0">
                  <c:v>600</c:v>
                </c:pt>
                <c:pt idx="8" formatCode="#,##0">
                  <c:v>521</c:v>
                </c:pt>
                <c:pt idx="9" formatCode="#,##0">
                  <c:v>599</c:v>
                </c:pt>
              </c:numCache>
            </c:numRef>
          </c:val>
          <c:extLst>
            <c:ext xmlns:c16="http://schemas.microsoft.com/office/drawing/2014/chart" uri="{C3380CC4-5D6E-409C-BE32-E72D297353CC}">
              <c16:uniqueId val="{0000000B-2ADD-49BC-B435-A2E73C9F89E5}"/>
            </c:ext>
          </c:extLst>
        </c:ser>
        <c:ser>
          <c:idx val="1"/>
          <c:order val="1"/>
          <c:tx>
            <c:strRef>
              <c:f>'DOC &amp; HOC New Drug Commitments'!$D$1</c:f>
              <c:strCache>
                <c:ptCount val="1"/>
                <c:pt idx="0">
                  <c:v>County Houses of Correction</c:v>
                </c:pt>
              </c:strCache>
            </c:strRef>
          </c:tx>
          <c:spPr>
            <a:pattFill prst="pct80">
              <a:fgClr>
                <a:schemeClr val="accent1">
                  <a:lumMod val="75000"/>
                </a:schemeClr>
              </a:fgClr>
              <a:bgClr>
                <a:schemeClr val="bg1"/>
              </a:bgClr>
            </a:pattFill>
          </c:spPr>
          <c:invertIfNegative val="0"/>
          <c:dLbls>
            <c:dLbl>
              <c:idx val="2"/>
              <c:spPr/>
              <c:txPr>
                <a:bodyPr/>
                <a:lstStyle/>
                <a:p>
                  <a:pPr>
                    <a:defRPr sz="9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6="http://schemas.microsoft.com/office/drawing/2014/chart" uri="{C3380CC4-5D6E-409C-BE32-E72D297353CC}">
                  <c16:uniqueId val="{0000000C-2ADD-49BC-B435-A2E73C9F89E5}"/>
                </c:ext>
              </c:extLst>
            </c:dLbl>
            <c:spPr>
              <a:noFill/>
              <a:ln w="25400">
                <a:noFill/>
              </a:ln>
            </c:spPr>
            <c:txPr>
              <a:bodyPr wrap="square" lIns="38100" tIns="19050" rIns="38100" bIns="19050" anchor="ctr">
                <a:spAutoFit/>
              </a:bodyPr>
              <a:lstStyle/>
              <a:p>
                <a:pPr>
                  <a:defRPr sz="9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'DOC &amp; HOC New Drug Commitments'!$B$10:$B$19</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'DOC &amp; HOC New Drug Commitments'!$D$9:$D$18</c:f>
              <c:numCache>
                <c:formatCode>#,##0</c:formatCode>
                <c:ptCount val="10"/>
                <c:pt idx="0">
                  <c:v>3314</c:v>
                </c:pt>
                <c:pt idx="1">
                  <c:v>3086</c:v>
                </c:pt>
                <c:pt idx="2">
                  <c:v>3143</c:v>
                </c:pt>
                <c:pt idx="3">
                  <c:v>2372</c:v>
                </c:pt>
                <c:pt idx="4">
                  <c:v>2270</c:v>
                </c:pt>
                <c:pt idx="5">
                  <c:v>2155</c:v>
                </c:pt>
                <c:pt idx="6">
                  <c:v>1891</c:v>
                </c:pt>
                <c:pt idx="7">
                  <c:v>2312</c:v>
                </c:pt>
              </c:numCache>
            </c:numRef>
          </c:val>
          <c:extLst>
            <c:ext xmlns:c16="http://schemas.microsoft.com/office/drawing/2014/chart" uri="{C3380CC4-5D6E-409C-BE32-E72D297353CC}">
              <c16:uniqueId val="{0000000D-2ADD-49BC-B435-A2E73C9F89E5}"/>
            </c:ext>
          </c:extLst>
        </c:ser>
        <c:dLbls>
          <c:showLegendKey val="0"/>
          <c:showVal val="0"/>
          <c:showCatName val="0"/>
          <c:showSerName val="0"/>
          <c:showPercent val="0"/>
          <c:showBubbleSize val="0"/>
        </c:dLbls>
        <c:gapWidth val="150"/>
        <c:axId val="208957344"/>
        <c:axId val="1"/>
      </c:barChart>
      <c:catAx>
        <c:axId val="20895734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
        <c:crosses val="autoZero"/>
        <c:auto val="1"/>
        <c:lblAlgn val="ctr"/>
        <c:lblOffset val="100"/>
        <c:tickLblSkip val="1"/>
        <c:tickMarkSkip val="1"/>
        <c:noMultiLvlLbl val="0"/>
      </c:catAx>
      <c:valAx>
        <c:axId val="1"/>
        <c:scaling>
          <c:orientation val="minMax"/>
        </c:scaling>
        <c:delete val="0"/>
        <c:axPos val="l"/>
        <c:title>
          <c:tx>
            <c:rich>
              <a:bodyPr rot="-5400000" vert="horz"/>
              <a:lstStyle/>
              <a:p>
                <a:pPr>
                  <a:defRPr sz="1000" b="1"/>
                </a:pPr>
                <a:r>
                  <a:rPr lang="en-US" sz="1000" b="1"/>
                  <a:t>Number of  New Commitments</a:t>
                </a:r>
              </a:p>
            </c:rich>
          </c:tx>
          <c:layout>
            <c:manualLayout>
              <c:xMode val="edge"/>
              <c:yMode val="edge"/>
              <c:x val="4.6033406601559967E-2"/>
              <c:y val="0.23377850115104329"/>
            </c:manualLayout>
          </c:layout>
          <c:overlay val="0"/>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208957344"/>
        <c:crosses val="autoZero"/>
        <c:crossBetween val="between"/>
      </c:valAx>
      <c:spPr>
        <a:solidFill>
          <a:srgbClr val="FFFFFF"/>
        </a:solidFill>
        <a:ln w="25400">
          <a:noFill/>
        </a:ln>
      </c:spPr>
    </c:plotArea>
    <c:legend>
      <c:legendPos val="b"/>
      <c:layout>
        <c:manualLayout>
          <c:xMode val="edge"/>
          <c:yMode val="edge"/>
          <c:x val="0.22109679752928413"/>
          <c:y val="0.90735846566665201"/>
          <c:w val="0.59456238464891531"/>
          <c:h val="6.473526004780128E-2"/>
        </c:manualLayout>
      </c:layout>
      <c:overlay val="1"/>
      <c:spPr>
        <a:solidFill>
          <a:srgbClr val="FFFFFF"/>
        </a:solidFill>
        <a:ln w="3175">
          <a:noFill/>
          <a:prstDash val="solid"/>
        </a:ln>
      </c:spPr>
      <c:txPr>
        <a:bodyPr/>
        <a:lstStyle/>
        <a:p>
          <a:pPr>
            <a:defRPr sz="10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825"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Percent Reporting </a:t>
            </a:r>
            <a:r>
              <a:rPr lang="en-US" sz="1200" b="1" baseline="0">
                <a:latin typeface="Times New Roman" panose="02020603050405020304" pitchFamily="18" charset="0"/>
                <a:cs typeface="Times New Roman" panose="02020603050405020304" pitchFamily="18" charset="0"/>
              </a:rPr>
              <a:t>Controlled Prescription Drugs </a:t>
            </a:r>
          </a:p>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baseline="0">
                <a:latin typeface="Times New Roman" panose="02020603050405020304" pitchFamily="18" charset="0"/>
                <a:cs typeface="Times New Roman" panose="02020603050405020304" pitchFamily="18" charset="0"/>
              </a:rPr>
              <a:t>as Greatest Drug Threat, 2014 - 2017</a:t>
            </a:r>
            <a:r>
              <a:rPr lang="en-US" sz="1200" b="1">
                <a:latin typeface="Times New Roman" panose="02020603050405020304" pitchFamily="18" charset="0"/>
                <a:cs typeface="Times New Roman" panose="02020603050405020304" pitchFamily="18" charset="0"/>
              </a:rPr>
              <a:t> </a:t>
            </a:r>
          </a:p>
        </c:rich>
      </c:tx>
      <c:overlay val="0"/>
      <c:spPr>
        <a:noFill/>
        <a:ln>
          <a:noFill/>
        </a:ln>
        <a:effectLst/>
      </c:spPr>
    </c:title>
    <c:autoTitleDeleted val="0"/>
    <c:plotArea>
      <c:layout/>
      <c:barChart>
        <c:barDir val="col"/>
        <c:grouping val="clustered"/>
        <c:varyColors val="0"/>
        <c:ser>
          <c:idx val="0"/>
          <c:order val="0"/>
          <c:tx>
            <c:strRef>
              <c:f>' CPDs 2014-17 MAvsUS'!$D$4</c:f>
              <c:strCache>
                <c:ptCount val="1"/>
                <c:pt idx="0">
                  <c:v>New England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 CPDs 2014-17 MAvsUS'!$C$5:$C$8</c:f>
              <c:numCache>
                <c:formatCode>General</c:formatCode>
                <c:ptCount val="4"/>
                <c:pt idx="0">
                  <c:v>2014</c:v>
                </c:pt>
                <c:pt idx="1">
                  <c:v>2015</c:v>
                </c:pt>
                <c:pt idx="2">
                  <c:v>2016</c:v>
                </c:pt>
                <c:pt idx="3">
                  <c:v>2017</c:v>
                </c:pt>
              </c:numCache>
            </c:numRef>
          </c:cat>
          <c:val>
            <c:numRef>
              <c:f>' CPDs 2014-17 MAvsUS'!$D$5:$D$8</c:f>
              <c:numCache>
                <c:formatCode>0%</c:formatCode>
                <c:ptCount val="4"/>
                <c:pt idx="0">
                  <c:v>0.33</c:v>
                </c:pt>
                <c:pt idx="1">
                  <c:v>0.21</c:v>
                </c:pt>
                <c:pt idx="2">
                  <c:v>0.14000000000000001</c:v>
                </c:pt>
                <c:pt idx="3">
                  <c:v>0.05</c:v>
                </c:pt>
              </c:numCache>
            </c:numRef>
          </c:val>
          <c:extLst>
            <c:ext xmlns:c16="http://schemas.microsoft.com/office/drawing/2014/chart" uri="{C3380CC4-5D6E-409C-BE32-E72D297353CC}">
              <c16:uniqueId val="{00000000-E591-4A7D-B37A-1228D8FFDC0E}"/>
            </c:ext>
          </c:extLst>
        </c:ser>
        <c:ser>
          <c:idx val="1"/>
          <c:order val="1"/>
          <c:tx>
            <c:strRef>
              <c:f>' CPDs 2014-17 MAvsUS'!$E$4</c:f>
              <c:strCache>
                <c:ptCount val="1"/>
                <c:pt idx="0">
                  <c:v>Nationwide</c:v>
                </c:pt>
              </c:strCache>
            </c:strRef>
          </c:tx>
          <c:spPr>
            <a:pattFill prst="smGrid">
              <a:fgClr>
                <a:schemeClr val="accent5"/>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 CPDs 2014-17 MAvsUS'!$C$5:$C$8</c:f>
              <c:numCache>
                <c:formatCode>General</c:formatCode>
                <c:ptCount val="4"/>
                <c:pt idx="0">
                  <c:v>2014</c:v>
                </c:pt>
                <c:pt idx="1">
                  <c:v>2015</c:v>
                </c:pt>
                <c:pt idx="2">
                  <c:v>2016</c:v>
                </c:pt>
                <c:pt idx="3">
                  <c:v>2017</c:v>
                </c:pt>
              </c:numCache>
            </c:numRef>
          </c:cat>
          <c:val>
            <c:numRef>
              <c:f>' CPDs 2014-17 MAvsUS'!$E$5:$E$8</c:f>
              <c:numCache>
                <c:formatCode>0%</c:formatCode>
                <c:ptCount val="4"/>
                <c:pt idx="0">
                  <c:v>0.22</c:v>
                </c:pt>
                <c:pt idx="1">
                  <c:v>0.15</c:v>
                </c:pt>
                <c:pt idx="2">
                  <c:v>0.12</c:v>
                </c:pt>
                <c:pt idx="3">
                  <c:v>0.09</c:v>
                </c:pt>
              </c:numCache>
            </c:numRef>
          </c:val>
          <c:extLst>
            <c:ext xmlns:c16="http://schemas.microsoft.com/office/drawing/2014/chart" uri="{C3380CC4-5D6E-409C-BE32-E72D297353CC}">
              <c16:uniqueId val="{00000001-E591-4A7D-B37A-1228D8FFDC0E}"/>
            </c:ext>
          </c:extLst>
        </c:ser>
        <c:dLbls>
          <c:showLegendKey val="0"/>
          <c:showVal val="0"/>
          <c:showCatName val="0"/>
          <c:showSerName val="0"/>
          <c:showPercent val="0"/>
          <c:showBubbleSize val="0"/>
        </c:dLbls>
        <c:gapWidth val="219"/>
        <c:overlap val="-27"/>
        <c:axId val="185806504"/>
        <c:axId val="1"/>
      </c:barChart>
      <c:catAx>
        <c:axId val="185806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
        <c:crosses val="autoZero"/>
        <c:auto val="1"/>
        <c:lblAlgn val="ctr"/>
        <c:lblOffset val="100"/>
        <c:noMultiLvlLbl val="0"/>
      </c:catAx>
      <c:valAx>
        <c:axId val="1"/>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5806504"/>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Times New Roman"/>
                <a:ea typeface="Times New Roman"/>
                <a:cs typeface="Times New Roman"/>
              </a:defRPr>
            </a:pPr>
            <a:r>
              <a:rPr lang="en-US" sz="1200" b="1" i="0" u="none" strike="noStrike" baseline="0">
                <a:solidFill>
                  <a:srgbClr val="000000"/>
                </a:solidFill>
                <a:latin typeface="Times New Roman"/>
                <a:cs typeface="Times New Roman"/>
              </a:rPr>
              <a:t>Percent of New England Respondents Reporting </a:t>
            </a:r>
          </a:p>
          <a:p>
            <a:pPr>
              <a:defRPr sz="1000" b="0" i="0" u="none" strike="noStrike" baseline="0">
                <a:solidFill>
                  <a:srgbClr val="000000"/>
                </a:solidFill>
                <a:latin typeface="Times New Roman"/>
                <a:ea typeface="Times New Roman"/>
                <a:cs typeface="Times New Roman"/>
              </a:defRPr>
            </a:pPr>
            <a:r>
              <a:rPr lang="en-US" sz="1200" b="1" i="0" u="none" strike="noStrike" baseline="0">
                <a:solidFill>
                  <a:srgbClr val="000000"/>
                </a:solidFill>
                <a:latin typeface="Times New Roman"/>
                <a:cs typeface="Times New Roman"/>
              </a:rPr>
              <a:t>High CPD Availability in Their Jurisdictions</a:t>
            </a:r>
          </a:p>
          <a:p>
            <a:pPr>
              <a:defRPr sz="1000" b="0" i="0" u="none" strike="noStrike" baseline="0">
                <a:solidFill>
                  <a:srgbClr val="000000"/>
                </a:solidFill>
                <a:latin typeface="Times New Roman"/>
                <a:ea typeface="Times New Roman"/>
                <a:cs typeface="Times New Roman"/>
              </a:defRPr>
            </a:pPr>
            <a:r>
              <a:rPr lang="en-US" sz="1200" b="1" i="0" u="none" strike="noStrike" baseline="0">
                <a:solidFill>
                  <a:srgbClr val="000000"/>
                </a:solidFill>
                <a:latin typeface="Times New Roman"/>
                <a:cs typeface="Times New Roman"/>
              </a:rPr>
              <a:t>2007 - 2017</a:t>
            </a:r>
          </a:p>
          <a:p>
            <a:pPr>
              <a:defRPr sz="1000" b="0" i="0" u="none" strike="noStrike" baseline="0">
                <a:solidFill>
                  <a:srgbClr val="000000"/>
                </a:solidFill>
                <a:latin typeface="Times New Roman"/>
                <a:ea typeface="Times New Roman"/>
                <a:cs typeface="Times New Roman"/>
              </a:defRPr>
            </a:pPr>
            <a:endParaRPr lang="en-US" sz="1200" b="1" i="0" u="none" strike="noStrike" baseline="0">
              <a:solidFill>
                <a:srgbClr val="000000"/>
              </a:solidFill>
              <a:latin typeface="Times New Roman"/>
              <a:cs typeface="Times New Roman"/>
            </a:endParaRPr>
          </a:p>
        </c:rich>
      </c:tx>
      <c:layout>
        <c:manualLayout>
          <c:xMode val="edge"/>
          <c:yMode val="edge"/>
          <c:x val="0.14258648486549244"/>
          <c:y val="1.2452408966120614E-2"/>
        </c:manualLayout>
      </c:layout>
      <c:overlay val="0"/>
    </c:title>
    <c:autoTitleDeleted val="0"/>
    <c:plotArea>
      <c:layout>
        <c:manualLayout>
          <c:layoutTarget val="inner"/>
          <c:xMode val="edge"/>
          <c:yMode val="edge"/>
          <c:x val="0.16865822589786339"/>
          <c:y val="0.24316730523627075"/>
          <c:w val="0.78102730869333148"/>
          <c:h val="0.63670477971862716"/>
        </c:manualLayout>
      </c:layout>
      <c:barChart>
        <c:barDir val="col"/>
        <c:grouping val="clustered"/>
        <c:varyColors val="0"/>
        <c:ser>
          <c:idx val="0"/>
          <c:order val="0"/>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'CPD Availability'!$C$6:$C$15</c:f>
              <c:numCache>
                <c:formatCode>General</c:formatCode>
                <c:ptCount val="10"/>
                <c:pt idx="0">
                  <c:v>2007</c:v>
                </c:pt>
                <c:pt idx="1">
                  <c:v>2008</c:v>
                </c:pt>
                <c:pt idx="2">
                  <c:v>2009</c:v>
                </c:pt>
                <c:pt idx="3">
                  <c:v>2010</c:v>
                </c:pt>
                <c:pt idx="4">
                  <c:v>2011</c:v>
                </c:pt>
                <c:pt idx="5">
                  <c:v>2013</c:v>
                </c:pt>
                <c:pt idx="6">
                  <c:v>2014</c:v>
                </c:pt>
                <c:pt idx="7">
                  <c:v>2015</c:v>
                </c:pt>
                <c:pt idx="8">
                  <c:v>2016</c:v>
                </c:pt>
                <c:pt idx="9">
                  <c:v>2017</c:v>
                </c:pt>
              </c:numCache>
            </c:numRef>
          </c:cat>
          <c:val>
            <c:numRef>
              <c:f>'CPD Availability'!$D$6:$D$15</c:f>
              <c:numCache>
                <c:formatCode>0%</c:formatCode>
                <c:ptCount val="10"/>
                <c:pt idx="0">
                  <c:v>0.46</c:v>
                </c:pt>
                <c:pt idx="1">
                  <c:v>0.51</c:v>
                </c:pt>
                <c:pt idx="2">
                  <c:v>0.55000000000000004</c:v>
                </c:pt>
                <c:pt idx="3">
                  <c:v>0.8</c:v>
                </c:pt>
                <c:pt idx="4">
                  <c:v>0.8</c:v>
                </c:pt>
                <c:pt idx="5">
                  <c:v>0.77</c:v>
                </c:pt>
                <c:pt idx="6">
                  <c:v>0.65</c:v>
                </c:pt>
                <c:pt idx="7">
                  <c:v>0.5</c:v>
                </c:pt>
                <c:pt idx="8">
                  <c:v>0.51</c:v>
                </c:pt>
                <c:pt idx="9">
                  <c:v>0.42</c:v>
                </c:pt>
              </c:numCache>
            </c:numRef>
          </c:val>
          <c:extLst>
            <c:ext xmlns:c16="http://schemas.microsoft.com/office/drawing/2014/chart" uri="{C3380CC4-5D6E-409C-BE32-E72D297353CC}">
              <c16:uniqueId val="{00000000-0543-48F7-84B2-784180D30708}"/>
            </c:ext>
          </c:extLst>
        </c:ser>
        <c:dLbls>
          <c:showLegendKey val="0"/>
          <c:showVal val="0"/>
          <c:showCatName val="0"/>
          <c:showSerName val="0"/>
          <c:showPercent val="0"/>
          <c:showBubbleSize val="0"/>
        </c:dLbls>
        <c:gapWidth val="150"/>
        <c:axId val="186701064"/>
        <c:axId val="1"/>
      </c:barChart>
      <c:catAx>
        <c:axId val="186701064"/>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
        <c:crosses val="autoZero"/>
        <c:auto val="1"/>
        <c:lblAlgn val="ctr"/>
        <c:lblOffset val="100"/>
        <c:noMultiLvlLbl val="0"/>
      </c:catAx>
      <c:valAx>
        <c:axId val="1"/>
        <c:scaling>
          <c:orientation val="minMax"/>
        </c:scaling>
        <c:delete val="0"/>
        <c:axPos val="l"/>
        <c:title>
          <c:tx>
            <c:rich>
              <a:bodyPr rot="-5400000" vert="horz"/>
              <a:lstStyle/>
              <a:p>
                <a:pPr>
                  <a:defRPr b="1"/>
                </a:pPr>
                <a:r>
                  <a:rPr lang="en-US" b="1"/>
                  <a:t>Percent </a:t>
                </a:r>
              </a:p>
            </c:rich>
          </c:tx>
          <c:layout>
            <c:manualLayout>
              <c:xMode val="edge"/>
              <c:yMode val="edge"/>
              <c:x val="3.494060097833683E-2"/>
              <c:y val="0.46478897034422417"/>
            </c:manualLayout>
          </c:layout>
          <c:overlay val="0"/>
        </c:title>
        <c:numFmt formatCode="0%"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86701064"/>
        <c:crosses val="autoZero"/>
        <c:crossBetween val="between"/>
      </c:valAx>
    </c:plotArea>
    <c:plotVisOnly val="1"/>
    <c:dispBlanksAs val="gap"/>
    <c:showDLblsOverMax val="0"/>
  </c:chart>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en-US"/>
              <a:t>Percent of New England Law Enforcement  Respondents Reporting High Heroin Availability in Their Jurisdictions 2007 - 2017</a:t>
            </a:r>
          </a:p>
        </c:rich>
      </c:tx>
      <c:layout>
        <c:manualLayout>
          <c:xMode val="edge"/>
          <c:yMode val="edge"/>
          <c:x val="0.10416666666666667"/>
          <c:y val="2.2746100133709701E-2"/>
        </c:manualLayout>
      </c:layout>
      <c:overlay val="0"/>
    </c:title>
    <c:autoTitleDeleted val="0"/>
    <c:plotArea>
      <c:layout>
        <c:manualLayout>
          <c:layoutTarget val="inner"/>
          <c:xMode val="edge"/>
          <c:yMode val="edge"/>
          <c:x val="0.15712885498687665"/>
          <c:y val="0.27371058338609089"/>
          <c:w val="0.81422531167978995"/>
          <c:h val="0.60797479999017479"/>
        </c:manualLayout>
      </c:layout>
      <c:barChart>
        <c:barDir val="col"/>
        <c:grouping val="clustered"/>
        <c:varyColors val="0"/>
        <c:ser>
          <c:idx val="0"/>
          <c:order val="0"/>
          <c:spPr>
            <a:gradFill>
              <a:gsLst>
                <a:gs pos="0">
                  <a:schemeClr val="accent1">
                    <a:tint val="66000"/>
                    <a:satMod val="160000"/>
                  </a:schemeClr>
                </a:gs>
                <a:gs pos="73000">
                  <a:schemeClr val="accent1">
                    <a:tint val="44500"/>
                    <a:satMod val="160000"/>
                  </a:schemeClr>
                </a:gs>
                <a:gs pos="100000">
                  <a:schemeClr val="accent1">
                    <a:tint val="23500"/>
                    <a:satMod val="160000"/>
                  </a:schemeClr>
                </a:gs>
              </a:gsLst>
              <a:lin ang="5400000" scaled="0"/>
            </a:gradFill>
            <a:effectLst>
              <a:innerShdw blurRad="342900" dist="50800" dir="12840000">
                <a:schemeClr val="tx2">
                  <a:lumMod val="60000"/>
                  <a:lumOff val="40000"/>
                  <a:alpha val="74000"/>
                </a:schemeClr>
              </a:innerShdw>
            </a:effectLst>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'Heroin Availability'!$C$3:$C$12</c:f>
              <c:numCache>
                <c:formatCode>General</c:formatCode>
                <c:ptCount val="10"/>
                <c:pt idx="0">
                  <c:v>2007</c:v>
                </c:pt>
                <c:pt idx="1">
                  <c:v>2008</c:v>
                </c:pt>
                <c:pt idx="2">
                  <c:v>2009</c:v>
                </c:pt>
                <c:pt idx="3">
                  <c:v>2010</c:v>
                </c:pt>
                <c:pt idx="4">
                  <c:v>2011</c:v>
                </c:pt>
                <c:pt idx="5">
                  <c:v>2013</c:v>
                </c:pt>
                <c:pt idx="6">
                  <c:v>2014</c:v>
                </c:pt>
                <c:pt idx="7">
                  <c:v>2015</c:v>
                </c:pt>
                <c:pt idx="8">
                  <c:v>2016</c:v>
                </c:pt>
                <c:pt idx="9">
                  <c:v>2017</c:v>
                </c:pt>
              </c:numCache>
            </c:numRef>
          </c:cat>
          <c:val>
            <c:numRef>
              <c:f>'Heroin Availability'!$D$3:$D$12</c:f>
              <c:numCache>
                <c:formatCode>0%</c:formatCode>
                <c:ptCount val="10"/>
                <c:pt idx="0">
                  <c:v>0.4</c:v>
                </c:pt>
                <c:pt idx="1">
                  <c:v>0.45</c:v>
                </c:pt>
                <c:pt idx="2">
                  <c:v>0.45</c:v>
                </c:pt>
                <c:pt idx="3">
                  <c:v>0.5</c:v>
                </c:pt>
                <c:pt idx="4">
                  <c:v>0.49</c:v>
                </c:pt>
                <c:pt idx="5">
                  <c:v>0.55000000000000004</c:v>
                </c:pt>
                <c:pt idx="6">
                  <c:v>0.63</c:v>
                </c:pt>
                <c:pt idx="7">
                  <c:v>0.67</c:v>
                </c:pt>
                <c:pt idx="8">
                  <c:v>0.67</c:v>
                </c:pt>
                <c:pt idx="9">
                  <c:v>0.72</c:v>
                </c:pt>
              </c:numCache>
            </c:numRef>
          </c:val>
          <c:extLst>
            <c:ext xmlns:c16="http://schemas.microsoft.com/office/drawing/2014/chart" uri="{C3380CC4-5D6E-409C-BE32-E72D297353CC}">
              <c16:uniqueId val="{00000000-863E-4EEB-8BEA-419119370BFF}"/>
            </c:ext>
          </c:extLst>
        </c:ser>
        <c:dLbls>
          <c:showLegendKey val="0"/>
          <c:showVal val="0"/>
          <c:showCatName val="0"/>
          <c:showSerName val="0"/>
          <c:showPercent val="0"/>
          <c:showBubbleSize val="0"/>
        </c:dLbls>
        <c:gapWidth val="150"/>
        <c:axId val="186704344"/>
        <c:axId val="1"/>
      </c:barChart>
      <c:catAx>
        <c:axId val="186704344"/>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
        <c:crosses val="autoZero"/>
        <c:auto val="1"/>
        <c:lblAlgn val="ctr"/>
        <c:lblOffset val="100"/>
        <c:noMultiLvlLbl val="0"/>
      </c:catAx>
      <c:valAx>
        <c:axId val="1"/>
        <c:scaling>
          <c:orientation val="minMax"/>
        </c:scaling>
        <c:delete val="0"/>
        <c:axPos val="l"/>
        <c:title>
          <c:tx>
            <c:rich>
              <a:bodyPr rot="-5400000" vert="horz"/>
              <a:lstStyle/>
              <a:p>
                <a:pPr>
                  <a:defRPr b="1"/>
                </a:pPr>
                <a:r>
                  <a:rPr lang="en-US" b="1"/>
                  <a:t>Percent </a:t>
                </a:r>
              </a:p>
            </c:rich>
          </c:tx>
          <c:layout>
            <c:manualLayout>
              <c:xMode val="edge"/>
              <c:yMode val="edge"/>
              <c:x val="2.4739583333333332E-2"/>
              <c:y val="0.43181102362204726"/>
            </c:manualLayout>
          </c:layout>
          <c:overlay val="0"/>
        </c:title>
        <c:numFmt formatCode="0%"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86704344"/>
        <c:crosses val="autoZero"/>
        <c:crossBetween val="between"/>
      </c:valAx>
    </c:plotArea>
    <c:plotVisOnly val="1"/>
    <c:dispBlanksAs val="gap"/>
    <c:showDLblsOverMax val="0"/>
  </c:chart>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en-US" sz="1200" b="1" i="0" baseline="0">
                <a:effectLst/>
                <a:latin typeface="Times New Roman" panose="02020603050405020304" pitchFamily="18" charset="0"/>
                <a:cs typeface="Times New Roman" panose="02020603050405020304" pitchFamily="18" charset="0"/>
              </a:rPr>
              <a:t>Number of Opioid</a:t>
            </a:r>
            <a:r>
              <a:rPr lang="en-US" sz="1200" b="1" i="0" baseline="30000">
                <a:effectLst/>
                <a:latin typeface="Times New Roman" panose="02020603050405020304" pitchFamily="18" charset="0"/>
                <a:cs typeface="Times New Roman" panose="02020603050405020304" pitchFamily="18" charset="0"/>
              </a:rPr>
              <a:t>1</a:t>
            </a:r>
            <a:r>
              <a:rPr lang="en-US" sz="1200" b="1" i="0" baseline="0">
                <a:effectLst/>
                <a:latin typeface="Times New Roman" panose="02020603050405020304" pitchFamily="18" charset="0"/>
                <a:cs typeface="Times New Roman" panose="02020603050405020304" pitchFamily="18" charset="0"/>
              </a:rPr>
              <a:t>-Related Deaths, All Intents</a:t>
            </a:r>
          </a:p>
          <a:p>
            <a:pPr>
              <a:defRPr sz="1200">
                <a:latin typeface="Times New Roman" panose="02020603050405020304" pitchFamily="18" charset="0"/>
                <a:cs typeface="Times New Roman" panose="02020603050405020304" pitchFamily="18" charset="0"/>
              </a:defRPr>
            </a:pPr>
            <a:r>
              <a:rPr lang="en-US" sz="1200" b="1" i="0" baseline="0">
                <a:effectLst/>
                <a:latin typeface="Times New Roman" panose="02020603050405020304" pitchFamily="18" charset="0"/>
                <a:cs typeface="Times New Roman" panose="02020603050405020304" pitchFamily="18" charset="0"/>
              </a:rPr>
              <a:t>Masschusetts Residents: 2008 - 2017</a:t>
            </a:r>
            <a:r>
              <a:rPr lang="en-US" sz="1200" b="1" i="0" baseline="30000">
                <a:effectLst/>
                <a:latin typeface="Times New Roman" panose="02020603050405020304" pitchFamily="18" charset="0"/>
                <a:cs typeface="Times New Roman" panose="02020603050405020304" pitchFamily="18" charset="0"/>
              </a:rPr>
              <a:t>2</a:t>
            </a:r>
            <a:endParaRPr lang="en-US" sz="1200" baseline="30000">
              <a:effectLst/>
              <a:latin typeface="Times New Roman" panose="02020603050405020304" pitchFamily="18" charset="0"/>
              <a:cs typeface="Times New Roman" panose="02020603050405020304" pitchFamily="18" charset="0"/>
            </a:endParaRPr>
          </a:p>
          <a:p>
            <a:pPr>
              <a:defRPr sz="1200">
                <a:latin typeface="Times New Roman" panose="02020603050405020304" pitchFamily="18" charset="0"/>
                <a:cs typeface="Times New Roman" panose="02020603050405020304" pitchFamily="18" charset="0"/>
              </a:defRPr>
            </a:pPr>
            <a:endParaRPr lang="en-US" sz="1200">
              <a:latin typeface="Times New Roman" panose="02020603050405020304" pitchFamily="18" charset="0"/>
              <a:cs typeface="Times New Roman" panose="02020603050405020304" pitchFamily="18" charset="0"/>
            </a:endParaRPr>
          </a:p>
        </c:rich>
      </c:tx>
      <c:layout>
        <c:manualLayout>
          <c:xMode val="edge"/>
          <c:yMode val="edge"/>
          <c:x val="0.18534017971758665"/>
          <c:y val="0"/>
        </c:manualLayout>
      </c:layout>
      <c:overlay val="0"/>
    </c:title>
    <c:autoTitleDeleted val="0"/>
    <c:plotArea>
      <c:layout>
        <c:manualLayout>
          <c:layoutTarget val="inner"/>
          <c:xMode val="edge"/>
          <c:yMode val="edge"/>
          <c:x val="0.16298074301913412"/>
          <c:y val="0.26885609451509845"/>
          <c:w val="0.68108276713733085"/>
          <c:h val="0.62817710340985022"/>
        </c:manualLayout>
      </c:layout>
      <c:barChart>
        <c:barDir val="col"/>
        <c:grouping val="stacked"/>
        <c:varyColors val="0"/>
        <c:ser>
          <c:idx val="0"/>
          <c:order val="0"/>
          <c:tx>
            <c:strRef>
              <c:f>'Overdose Deaths 2017'!$C$4</c:f>
              <c:strCache>
                <c:ptCount val="1"/>
                <c:pt idx="0">
                  <c:v>Confirmed</c:v>
                </c:pt>
              </c:strCache>
            </c:strRef>
          </c:tx>
          <c:spPr>
            <a:solidFill>
              <a:schemeClr val="tx2">
                <a:lumMod val="40000"/>
                <a:lumOff val="60000"/>
              </a:schemeClr>
            </a:solidFill>
          </c:spPr>
          <c:invertIfNegative val="0"/>
          <c:dLbls>
            <c:dLbl>
              <c:idx val="0"/>
              <c:layout>
                <c:manualLayout>
                  <c:x val="-2.7378507871321013E-3"/>
                  <c:y val="-0.12065907634977979"/>
                </c:manualLayout>
              </c:layout>
              <c:spPr/>
              <c:txPr>
                <a:bodyPr/>
                <a:lstStyle/>
                <a:p>
                  <a:pPr>
                    <a:defRPr sz="900" b="0">
                      <a:latin typeface="Times New Roman" panose="02020603050405020304" pitchFamily="18" charset="0"/>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739-4CFE-B979-77A19733C1E0}"/>
                </c:ext>
              </c:extLst>
            </c:dLbl>
            <c:dLbl>
              <c:idx val="1"/>
              <c:layout>
                <c:manualLayout>
                  <c:x val="-8.2135523613963042E-3"/>
                  <c:y val="-0.11618446249123385"/>
                </c:manualLayout>
              </c:layout>
              <c:spPr/>
              <c:txPr>
                <a:bodyPr/>
                <a:lstStyle/>
                <a:p>
                  <a:pPr>
                    <a:defRPr sz="900" b="0">
                      <a:latin typeface="Times New Roman" panose="02020603050405020304" pitchFamily="18" charset="0"/>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39-4CFE-B979-77A19733C1E0}"/>
                </c:ext>
              </c:extLst>
            </c:dLbl>
            <c:dLbl>
              <c:idx val="2"/>
              <c:layout>
                <c:manualLayout>
                  <c:x val="-2.5673940949936286E-3"/>
                  <c:y val="-0.10443136792055169"/>
                </c:manualLayout>
              </c:layout>
              <c:spPr/>
              <c:txPr>
                <a:bodyPr/>
                <a:lstStyle/>
                <a:p>
                  <a:pPr>
                    <a:defRPr sz="900" b="0">
                      <a:latin typeface="Times New Roman" panose="02020603050405020304" pitchFamily="18" charset="0"/>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739-4CFE-B979-77A19733C1E0}"/>
                </c:ext>
              </c:extLst>
            </c:dLbl>
            <c:dLbl>
              <c:idx val="3"/>
              <c:layout>
                <c:manualLayout>
                  <c:x val="-2.908230822880178E-3"/>
                  <c:y val="-0.11080443103070368"/>
                </c:manualLayout>
              </c:layout>
              <c:spPr/>
              <c:txPr>
                <a:bodyPr/>
                <a:lstStyle/>
                <a:p>
                  <a:pPr>
                    <a:defRPr sz="900" b="0">
                      <a:latin typeface="Times New Roman" panose="02020603050405020304" pitchFamily="18" charset="0"/>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739-4CFE-B979-77A19733C1E0}"/>
                </c:ext>
              </c:extLst>
            </c:dLbl>
            <c:dLbl>
              <c:idx val="4"/>
              <c:layout>
                <c:manualLayout>
                  <c:x val="2.0559368461484035E-3"/>
                  <c:y val="-0.12103795376755636"/>
                </c:manualLayout>
              </c:layout>
              <c:spPr/>
              <c:txPr>
                <a:bodyPr/>
                <a:lstStyle/>
                <a:p>
                  <a:pPr>
                    <a:defRPr sz="900" b="0">
                      <a:latin typeface="Times New Roman" panose="02020603050405020304" pitchFamily="18" charset="0"/>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739-4CFE-B979-77A19733C1E0}"/>
                </c:ext>
              </c:extLst>
            </c:dLbl>
            <c:dLbl>
              <c:idx val="5"/>
              <c:layout>
                <c:manualLayout>
                  <c:x val="-2.9082308228802253E-3"/>
                  <c:y val="-0.1523060581024803"/>
                </c:manualLayout>
              </c:layout>
              <c:spPr/>
              <c:txPr>
                <a:bodyPr/>
                <a:lstStyle/>
                <a:p>
                  <a:pPr>
                    <a:defRPr sz="900" b="0">
                      <a:latin typeface="Times New Roman" panose="02020603050405020304" pitchFamily="18" charset="0"/>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739-4CFE-B979-77A19733C1E0}"/>
                </c:ext>
              </c:extLst>
            </c:dLbl>
            <c:dLbl>
              <c:idx val="6"/>
              <c:layout>
                <c:manualLayout>
                  <c:x val="-2.7378124589368565E-3"/>
                  <c:y val="-0.20799204168001484"/>
                </c:manualLayout>
              </c:layout>
              <c:spPr/>
              <c:txPr>
                <a:bodyPr/>
                <a:lstStyle/>
                <a:p>
                  <a:pPr>
                    <a:defRPr sz="900" b="0">
                      <a:latin typeface="Times New Roman" panose="02020603050405020304" pitchFamily="18" charset="0"/>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739-4CFE-B979-77A19733C1E0}"/>
                </c:ext>
              </c:extLst>
            </c:dLbl>
            <c:dLbl>
              <c:idx val="7"/>
              <c:layout>
                <c:manualLayout>
                  <c:x val="-1.04399947439176E-2"/>
                  <c:y val="-0.26789020216156062"/>
                </c:manualLayout>
              </c:layout>
              <c:spPr/>
              <c:txPr>
                <a:bodyPr/>
                <a:lstStyle/>
                <a:p>
                  <a:pPr>
                    <a:defRPr sz="900" b="0">
                      <a:latin typeface="Times New Roman" panose="02020603050405020304" pitchFamily="18" charset="0"/>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739-4CFE-B979-77A19733C1E0}"/>
                </c:ext>
              </c:extLst>
            </c:dLbl>
            <c:dLbl>
              <c:idx val="8"/>
              <c:layout>
                <c:manualLayout>
                  <c:x val="-9.4136696007952702E-17"/>
                  <c:y val="-0.26457033779868433"/>
                </c:manualLayout>
              </c:layout>
              <c:spPr/>
              <c:txPr>
                <a:bodyPr/>
                <a:lstStyle/>
                <a:p>
                  <a:pPr>
                    <a:defRPr sz="900" b="0">
                      <a:latin typeface="Times New Roman" panose="02020603050405020304" pitchFamily="18" charset="0"/>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739-4CFE-B979-77A19733C1E0}"/>
                </c:ext>
              </c:extLst>
            </c:dLbl>
            <c:dLbl>
              <c:idx val="9"/>
              <c:layout>
                <c:manualLayout>
                  <c:x val="2.5673940949935813E-3"/>
                  <c:y val="-0.22185199548129289"/>
                </c:manualLayout>
              </c:layout>
              <c:spPr/>
              <c:txPr>
                <a:bodyPr/>
                <a:lstStyle/>
                <a:p>
                  <a:pPr>
                    <a:defRPr sz="900" b="0">
                      <a:latin typeface="Times New Roman" panose="02020603050405020304" pitchFamily="18" charset="0"/>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739-4CFE-B979-77A19733C1E0}"/>
                </c:ext>
              </c:extLst>
            </c:dLbl>
            <c:spPr>
              <a:noFill/>
              <a:ln w="25400">
                <a:noFill/>
              </a:ln>
            </c:spPr>
            <c:txPr>
              <a:bodyPr/>
              <a:lstStyle/>
              <a:p>
                <a:pPr>
                  <a:defRPr sz="900" b="0">
                    <a:latin typeface="Times New Roman" panose="02020603050405020304" pitchFamily="18" charset="0"/>
                    <a:cs typeface="Times New Roman" panose="02020603050405020304" pitchFamily="18"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'Overdose Deaths 2017'!$B$6:$B$15</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'Overdose Deaths 2017'!$C$6:$C$15</c:f>
              <c:numCache>
                <c:formatCode>General</c:formatCode>
                <c:ptCount val="10"/>
                <c:pt idx="0">
                  <c:v>622</c:v>
                </c:pt>
                <c:pt idx="1">
                  <c:v>638</c:v>
                </c:pt>
                <c:pt idx="2">
                  <c:v>560</c:v>
                </c:pt>
                <c:pt idx="3">
                  <c:v>656</c:v>
                </c:pt>
                <c:pt idx="4">
                  <c:v>742</c:v>
                </c:pt>
                <c:pt idx="5">
                  <c:v>961</c:v>
                </c:pt>
                <c:pt idx="6" formatCode="#,##0">
                  <c:v>1353</c:v>
                </c:pt>
                <c:pt idx="7" formatCode="#,##0">
                  <c:v>1684</c:v>
                </c:pt>
                <c:pt idx="8" formatCode="#,##0">
                  <c:v>2083</c:v>
                </c:pt>
                <c:pt idx="9" formatCode="#,##0">
                  <c:v>1874</c:v>
                </c:pt>
              </c:numCache>
            </c:numRef>
          </c:val>
          <c:extLst>
            <c:ext xmlns:c16="http://schemas.microsoft.com/office/drawing/2014/chart" uri="{C3380CC4-5D6E-409C-BE32-E72D297353CC}">
              <c16:uniqueId val="{0000000A-6739-4CFE-B979-77A19733C1E0}"/>
            </c:ext>
          </c:extLst>
        </c:ser>
        <c:ser>
          <c:idx val="1"/>
          <c:order val="1"/>
          <c:tx>
            <c:v>Estimated</c:v>
          </c:tx>
          <c:spPr>
            <a:solidFill>
              <a:schemeClr val="tx2"/>
            </a:solidFill>
          </c:spPr>
          <c:invertIfNegative val="0"/>
          <c:dLbls>
            <c:dLbl>
              <c:idx val="8"/>
              <c:layout>
                <c:manualLayout>
                  <c:x val="3.2082318336652078E-4"/>
                  <c:y val="0.1936967364609970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739-4CFE-B979-77A19733C1E0}"/>
                </c:ext>
              </c:extLst>
            </c:dLbl>
            <c:dLbl>
              <c:idx val="9"/>
              <c:layout>
                <c:manualLayout>
                  <c:x val="5.4558135303690372E-3"/>
                  <c:y val="0.1650248697499536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739-4CFE-B979-77A19733C1E0}"/>
                </c:ext>
              </c:extLst>
            </c:dLbl>
            <c:spPr>
              <a:noFill/>
              <a:ln w="25400">
                <a:noFill/>
              </a:ln>
            </c:spPr>
            <c:txPr>
              <a:bodyPr wrap="square" lIns="38100" tIns="19050" rIns="38100" bIns="19050" anchor="ctr">
                <a:spAutoFit/>
              </a:bodyPr>
              <a:lstStyle/>
              <a:p>
                <a:pPr>
                  <a:defRPr sz="900">
                    <a:latin typeface="Times New Roman" panose="02020603050405020304" pitchFamily="18" charset="0"/>
                    <a:cs typeface="Times New Roman" panose="02020603050405020304" pitchFamily="18"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'Overdose Deaths 2017'!$B$6:$B$15</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'Overdose Deaths 2017'!$D$6:$D$15</c:f>
              <c:numCache>
                <c:formatCode>General</c:formatCode>
                <c:ptCount val="10"/>
                <c:pt idx="8" formatCode="#,##0">
                  <c:v>2149</c:v>
                </c:pt>
                <c:pt idx="9" formatCode="#,##0">
                  <c:v>2016</c:v>
                </c:pt>
              </c:numCache>
            </c:numRef>
          </c:val>
          <c:extLst>
            <c:ext xmlns:c16="http://schemas.microsoft.com/office/drawing/2014/chart" uri="{C3380CC4-5D6E-409C-BE32-E72D297353CC}">
              <c16:uniqueId val="{0000000D-6739-4CFE-B979-77A19733C1E0}"/>
            </c:ext>
          </c:extLst>
        </c:ser>
        <c:dLbls>
          <c:showLegendKey val="0"/>
          <c:showVal val="0"/>
          <c:showCatName val="0"/>
          <c:showSerName val="0"/>
          <c:showPercent val="0"/>
          <c:showBubbleSize val="0"/>
        </c:dLbls>
        <c:gapWidth val="150"/>
        <c:overlap val="100"/>
        <c:axId val="219601064"/>
        <c:axId val="1"/>
      </c:barChart>
      <c:catAx>
        <c:axId val="219601064"/>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
        <c:crosses val="autoZero"/>
        <c:auto val="1"/>
        <c:lblAlgn val="ctr"/>
        <c:lblOffset val="100"/>
        <c:noMultiLvlLbl val="0"/>
      </c:catAx>
      <c:valAx>
        <c:axId val="1"/>
        <c:scaling>
          <c:orientation val="minMax"/>
          <c:max val="2200"/>
          <c:min val="0"/>
        </c:scaling>
        <c:delete val="0"/>
        <c:axPos val="l"/>
        <c:title>
          <c:tx>
            <c:rich>
              <a:bodyPr rot="-5400000" vert="horz"/>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Number of Deaths</a:t>
                </a:r>
              </a:p>
            </c:rich>
          </c:tx>
          <c:layout>
            <c:manualLayout>
              <c:xMode val="edge"/>
              <c:yMode val="edge"/>
              <c:x val="1.9576512473513066E-2"/>
              <c:y val="0.33696702703158893"/>
            </c:manualLayout>
          </c:layout>
          <c:overlay val="0"/>
        </c:title>
        <c:numFmt formatCode="#,##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219601064"/>
        <c:crosses val="autoZero"/>
        <c:crossBetween val="between"/>
        <c:majorUnit val="200"/>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US" sz="1200" b="1" i="0" u="none" strike="noStrike" baseline="0">
                <a:solidFill>
                  <a:srgbClr val="000000"/>
                </a:solidFill>
                <a:latin typeface="Times New Roman"/>
                <a:cs typeface="Times New Roman"/>
              </a:rPr>
              <a:t>Rate of Opioid</a:t>
            </a:r>
            <a:r>
              <a:rPr lang="en-US" sz="1000" b="1" i="0" u="none" strike="noStrike" baseline="30000">
                <a:effectLst/>
              </a:rPr>
              <a:t>1</a:t>
            </a:r>
            <a:r>
              <a:rPr lang="en-US" sz="1200" b="1" i="0" u="none" strike="noStrike" baseline="0">
                <a:solidFill>
                  <a:srgbClr val="000000"/>
                </a:solidFill>
                <a:latin typeface="Times New Roman"/>
                <a:cs typeface="Times New Roman"/>
              </a:rPr>
              <a:t>-Related Deaths, All Intents </a:t>
            </a:r>
          </a:p>
          <a:p>
            <a:pPr>
              <a:defRPr sz="1000" b="0" i="0" u="none" strike="noStrike" baseline="0">
                <a:solidFill>
                  <a:srgbClr val="000000"/>
                </a:solidFill>
                <a:latin typeface="Calibri"/>
                <a:ea typeface="Calibri"/>
                <a:cs typeface="Calibri"/>
              </a:defRPr>
            </a:pPr>
            <a:r>
              <a:rPr lang="en-US" sz="1200" b="1" i="0" u="none" strike="noStrike" baseline="0">
                <a:solidFill>
                  <a:srgbClr val="000000"/>
                </a:solidFill>
                <a:latin typeface="Times New Roman"/>
                <a:cs typeface="Times New Roman"/>
              </a:rPr>
              <a:t>Massachusetts Residents, 2000 - 2017</a:t>
            </a:r>
          </a:p>
        </c:rich>
      </c:tx>
      <c:layout>
        <c:manualLayout>
          <c:xMode val="edge"/>
          <c:yMode val="edge"/>
          <c:x val="0.27443252851312139"/>
          <c:y val="5.6421979510625685E-2"/>
        </c:manualLayout>
      </c:layout>
      <c:overlay val="0"/>
    </c:title>
    <c:autoTitleDeleted val="0"/>
    <c:plotArea>
      <c:layout>
        <c:manualLayout>
          <c:layoutTarget val="inner"/>
          <c:xMode val="edge"/>
          <c:yMode val="edge"/>
          <c:x val="0.12830541316563618"/>
          <c:y val="0.22308155289145826"/>
          <c:w val="0.83707159781688556"/>
          <c:h val="0.66671316351650511"/>
        </c:manualLayout>
      </c:layout>
      <c:lineChart>
        <c:grouping val="standard"/>
        <c:varyColors val="0"/>
        <c:ser>
          <c:idx val="0"/>
          <c:order val="0"/>
          <c:spPr>
            <a:ln>
              <a:solidFill>
                <a:schemeClr val="accent1"/>
              </a:solidFill>
            </a:ln>
          </c:spPr>
          <c:marker>
            <c:symbol val="circle"/>
            <c:size val="5"/>
            <c:spPr>
              <a:solidFill>
                <a:schemeClr val="accent1"/>
              </a:solidFill>
              <a:ln>
                <a:solidFill>
                  <a:schemeClr val="accent1"/>
                </a:solidFill>
              </a:ln>
            </c:spPr>
          </c:marker>
          <c:dPt>
            <c:idx val="13"/>
            <c:bubble3D val="0"/>
            <c:spPr>
              <a:ln>
                <a:solidFill>
                  <a:schemeClr val="accent1"/>
                </a:solidFill>
              </a:ln>
            </c:spPr>
            <c:extLst>
              <c:ext xmlns:c16="http://schemas.microsoft.com/office/drawing/2014/chart" uri="{C3380CC4-5D6E-409C-BE32-E72D297353CC}">
                <c16:uniqueId val="{00000001-B0EC-47CC-B808-B4017B402C8B}"/>
              </c:ext>
            </c:extLst>
          </c:dPt>
          <c:dPt>
            <c:idx val="14"/>
            <c:bubble3D val="0"/>
            <c:spPr>
              <a:ln>
                <a:solidFill>
                  <a:schemeClr val="accent1"/>
                </a:solidFill>
              </a:ln>
            </c:spPr>
            <c:extLst>
              <c:ext xmlns:c16="http://schemas.microsoft.com/office/drawing/2014/chart" uri="{C3380CC4-5D6E-409C-BE32-E72D297353CC}">
                <c16:uniqueId val="{00000003-B0EC-47CC-B808-B4017B402C8B}"/>
              </c:ext>
            </c:extLst>
          </c:dPt>
          <c:dPt>
            <c:idx val="15"/>
            <c:bubble3D val="0"/>
            <c:spPr>
              <a:ln>
                <a:solidFill>
                  <a:schemeClr val="accent1"/>
                </a:solidFill>
              </a:ln>
            </c:spPr>
            <c:extLst>
              <c:ext xmlns:c16="http://schemas.microsoft.com/office/drawing/2014/chart" uri="{C3380CC4-5D6E-409C-BE32-E72D297353CC}">
                <c16:uniqueId val="{00000005-B0EC-47CC-B808-B4017B402C8B}"/>
              </c:ext>
            </c:extLst>
          </c:dPt>
          <c:dPt>
            <c:idx val="16"/>
            <c:marker>
              <c:spPr>
                <a:solidFill>
                  <a:schemeClr val="accent1"/>
                </a:solidFill>
                <a:ln>
                  <a:solidFill>
                    <a:srgbClr val="FF0000"/>
                  </a:solidFill>
                </a:ln>
              </c:spPr>
            </c:marker>
            <c:bubble3D val="0"/>
            <c:spPr>
              <a:ln>
                <a:solidFill>
                  <a:srgbClr val="FF0000"/>
                </a:solidFill>
              </a:ln>
            </c:spPr>
            <c:extLst>
              <c:ext xmlns:c16="http://schemas.microsoft.com/office/drawing/2014/chart" uri="{C3380CC4-5D6E-409C-BE32-E72D297353CC}">
                <c16:uniqueId val="{00000007-B0EC-47CC-B808-B4017B402C8B}"/>
              </c:ext>
            </c:extLst>
          </c:dPt>
          <c:dPt>
            <c:idx val="17"/>
            <c:marker>
              <c:spPr>
                <a:solidFill>
                  <a:schemeClr val="accent1"/>
                </a:solidFill>
                <a:ln>
                  <a:solidFill>
                    <a:srgbClr val="FF0000"/>
                  </a:solidFill>
                </a:ln>
              </c:spPr>
            </c:marker>
            <c:bubble3D val="0"/>
            <c:spPr>
              <a:ln>
                <a:solidFill>
                  <a:srgbClr val="FF0000"/>
                </a:solidFill>
              </a:ln>
            </c:spPr>
            <c:extLst>
              <c:ext xmlns:c16="http://schemas.microsoft.com/office/drawing/2014/chart" uri="{C3380CC4-5D6E-409C-BE32-E72D297353CC}">
                <c16:uniqueId val="{00000009-B0EC-47CC-B808-B4017B402C8B}"/>
              </c:ext>
            </c:extLst>
          </c:dPt>
          <c:dLbls>
            <c:dLbl>
              <c:idx val="0"/>
              <c:layout>
                <c:manualLayout>
                  <c:x val="-2.6845637583892617E-2"/>
                  <c:y val="5.6239046947426458E-2"/>
                </c:manualLayout>
              </c:layout>
              <c:spPr/>
              <c:txPr>
                <a:bodyPr/>
                <a:lstStyle/>
                <a:p>
                  <a:pPr>
                    <a:defRPr sz="9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0EC-47CC-B808-B4017B402C8B}"/>
                </c:ext>
              </c:extLst>
            </c:dLbl>
            <c:dLbl>
              <c:idx val="1"/>
              <c:layout>
                <c:manualLayout>
                  <c:x val="-3.8031319910514519E-2"/>
                  <c:y val="-5.1552459701807586E-2"/>
                </c:manualLayout>
              </c:layout>
              <c:spPr/>
              <c:txPr>
                <a:bodyPr/>
                <a:lstStyle/>
                <a:p>
                  <a:pPr>
                    <a:defRPr sz="9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0EC-47CC-B808-B4017B402C8B}"/>
                </c:ext>
              </c:extLst>
            </c:dLbl>
            <c:dLbl>
              <c:idx val="2"/>
              <c:layout>
                <c:manualLayout>
                  <c:x val="-2.0134228187919462E-2"/>
                  <c:y val="5.1552459701807586E-2"/>
                </c:manualLayout>
              </c:layout>
              <c:spPr/>
              <c:txPr>
                <a:bodyPr/>
                <a:lstStyle/>
                <a:p>
                  <a:pPr>
                    <a:defRPr sz="9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0EC-47CC-B808-B4017B402C8B}"/>
                </c:ext>
              </c:extLst>
            </c:dLbl>
            <c:dLbl>
              <c:idx val="3"/>
              <c:layout>
                <c:manualLayout>
                  <c:x val="-2.6845637583892575E-2"/>
                  <c:y val="-4.2179285210569843E-2"/>
                </c:manualLayout>
              </c:layout>
              <c:spPr/>
              <c:txPr>
                <a:bodyPr/>
                <a:lstStyle/>
                <a:p>
                  <a:pPr>
                    <a:defRPr sz="9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0EC-47CC-B808-B4017B402C8B}"/>
                </c:ext>
              </c:extLst>
            </c:dLbl>
            <c:dLbl>
              <c:idx val="4"/>
              <c:layout>
                <c:manualLayout>
                  <c:x val="-2.6845637583892659E-2"/>
                  <c:y val="4.6865872456188798E-2"/>
                </c:manualLayout>
              </c:layout>
              <c:spPr/>
              <c:txPr>
                <a:bodyPr/>
                <a:lstStyle/>
                <a:p>
                  <a:pPr>
                    <a:defRPr sz="9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0EC-47CC-B808-B4017B402C8B}"/>
                </c:ext>
              </c:extLst>
            </c:dLbl>
            <c:dLbl>
              <c:idx val="5"/>
              <c:layout>
                <c:manualLayout>
                  <c:x val="-1.7897091722595078E-2"/>
                  <c:y val="3.7492697964950972E-2"/>
                </c:manualLayout>
              </c:layout>
              <c:spPr/>
              <c:txPr>
                <a:bodyPr/>
                <a:lstStyle/>
                <a:p>
                  <a:pPr>
                    <a:defRPr sz="9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0EC-47CC-B808-B4017B402C8B}"/>
                </c:ext>
              </c:extLst>
            </c:dLbl>
            <c:dLbl>
              <c:idx val="6"/>
              <c:layout>
                <c:manualLayout>
                  <c:x val="-3.3557046979865772E-2"/>
                  <c:y val="-4.2179285210569843E-2"/>
                </c:manualLayout>
              </c:layout>
              <c:spPr/>
              <c:txPr>
                <a:bodyPr/>
                <a:lstStyle/>
                <a:p>
                  <a:pPr>
                    <a:defRPr sz="9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0EC-47CC-B808-B4017B402C8B}"/>
                </c:ext>
              </c:extLst>
            </c:dLbl>
            <c:dLbl>
              <c:idx val="7"/>
              <c:layout>
                <c:manualLayout>
                  <c:x val="-3.1319910514541388E-2"/>
                  <c:y val="5.1552459701807586E-2"/>
                </c:manualLayout>
              </c:layout>
              <c:spPr/>
              <c:txPr>
                <a:bodyPr/>
                <a:lstStyle/>
                <a:p>
                  <a:pPr>
                    <a:defRPr sz="9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0EC-47CC-B808-B4017B402C8B}"/>
                </c:ext>
              </c:extLst>
            </c:dLbl>
            <c:dLbl>
              <c:idx val="8"/>
              <c:layout>
                <c:manualLayout>
                  <c:x val="-2.0134228187919545E-2"/>
                  <c:y val="4.2179285210569843E-2"/>
                </c:manualLayout>
              </c:layout>
              <c:spPr/>
              <c:txPr>
                <a:bodyPr/>
                <a:lstStyle/>
                <a:p>
                  <a:pPr>
                    <a:defRPr sz="9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0EC-47CC-B808-B4017B402C8B}"/>
                </c:ext>
              </c:extLst>
            </c:dLbl>
            <c:dLbl>
              <c:idx val="9"/>
              <c:layout>
                <c:manualLayout>
                  <c:x val="-3.5794183445190156E-2"/>
                  <c:y val="-5.1552459701807586E-2"/>
                </c:manualLayout>
              </c:layout>
              <c:spPr/>
              <c:txPr>
                <a:bodyPr/>
                <a:lstStyle/>
                <a:p>
                  <a:pPr>
                    <a:defRPr sz="9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0EC-47CC-B808-B4017B402C8B}"/>
                </c:ext>
              </c:extLst>
            </c:dLbl>
            <c:dLbl>
              <c:idx val="10"/>
              <c:layout>
                <c:manualLayout>
                  <c:x val="-2.6845637583892617E-2"/>
                  <c:y val="5.6239046947426458E-2"/>
                </c:manualLayout>
              </c:layout>
              <c:spPr/>
              <c:txPr>
                <a:bodyPr/>
                <a:lstStyle/>
                <a:p>
                  <a:pPr>
                    <a:defRPr sz="9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0EC-47CC-B808-B4017B402C8B}"/>
                </c:ext>
              </c:extLst>
            </c:dLbl>
            <c:dLbl>
              <c:idx val="11"/>
              <c:layout>
                <c:manualLayout>
                  <c:x val="-2.0134228187919462E-2"/>
                  <c:y val="3.7492697964950972E-2"/>
                </c:manualLayout>
              </c:layout>
              <c:spPr/>
              <c:txPr>
                <a:bodyPr/>
                <a:lstStyle/>
                <a:p>
                  <a:pPr>
                    <a:defRPr sz="9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0EC-47CC-B808-B4017B402C8B}"/>
                </c:ext>
              </c:extLst>
            </c:dLbl>
            <c:dLbl>
              <c:idx val="12"/>
              <c:layout>
                <c:manualLayout>
                  <c:x val="-1.3422818791946308E-2"/>
                  <c:y val="4.6865872456188715E-2"/>
                </c:manualLayout>
              </c:layout>
              <c:spPr/>
              <c:txPr>
                <a:bodyPr/>
                <a:lstStyle/>
                <a:p>
                  <a:pPr>
                    <a:defRPr sz="9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0EC-47CC-B808-B4017B402C8B}"/>
                </c:ext>
              </c:extLst>
            </c:dLbl>
            <c:dLbl>
              <c:idx val="13"/>
              <c:layout>
                <c:manualLayout>
                  <c:x val="-6.0402684563758392E-2"/>
                  <c:y val="-3.28061107193321E-2"/>
                </c:manualLayout>
              </c:layout>
              <c:spPr/>
              <c:txPr>
                <a:bodyPr/>
                <a:lstStyle/>
                <a:p>
                  <a:pPr>
                    <a:defRPr sz="9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EC-47CC-B808-B4017B402C8B}"/>
                </c:ext>
              </c:extLst>
            </c:dLbl>
            <c:dLbl>
              <c:idx val="14"/>
              <c:layout>
                <c:manualLayout>
                  <c:x val="-1.3422818791946308E-2"/>
                  <c:y val="3.7583083804665261E-2"/>
                </c:manualLayout>
              </c:layout>
              <c:spPr/>
              <c:txPr>
                <a:bodyPr/>
                <a:lstStyle/>
                <a:p>
                  <a:pPr>
                    <a:defRPr sz="9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EC-47CC-B808-B4017B402C8B}"/>
                </c:ext>
              </c:extLst>
            </c:dLbl>
            <c:dLbl>
              <c:idx val="15"/>
              <c:layout>
                <c:manualLayout>
                  <c:x val="-6.3582570817221587E-2"/>
                  <c:y val="-1.4084507042253521E-2"/>
                </c:manualLayout>
              </c:layout>
              <c:spPr/>
              <c:txPr>
                <a:bodyPr/>
                <a:lstStyle/>
                <a:p>
                  <a:pPr>
                    <a:defRPr sz="9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0EC-47CC-B808-B4017B402C8B}"/>
                </c:ext>
              </c:extLst>
            </c:dLbl>
            <c:dLbl>
              <c:idx val="16"/>
              <c:layout>
                <c:manualLayout>
                  <c:x val="-5.1863857374392378E-2"/>
                  <c:y val="-3.28638497652582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0EC-47CC-B808-B4017B402C8B}"/>
                </c:ext>
              </c:extLst>
            </c:dLbl>
            <c:spPr>
              <a:noFill/>
              <a:ln w="25400">
                <a:noFill/>
              </a:ln>
            </c:spPr>
            <c:txPr>
              <a:bodyPr/>
              <a:lstStyle/>
              <a:p>
                <a:pPr>
                  <a:defRPr sz="9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'Opioid ODs 2000-17'!$C$6:$C$23</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'Opioid ODs 2000-17'!$D$6:$D$23</c:f>
              <c:numCache>
                <c:formatCode>0.0</c:formatCode>
                <c:ptCount val="18"/>
                <c:pt idx="0">
                  <c:v>6</c:v>
                </c:pt>
                <c:pt idx="1">
                  <c:v>7.9</c:v>
                </c:pt>
                <c:pt idx="2">
                  <c:v>8.1999999999999993</c:v>
                </c:pt>
                <c:pt idx="3">
                  <c:v>9.6</c:v>
                </c:pt>
                <c:pt idx="4">
                  <c:v>8</c:v>
                </c:pt>
                <c:pt idx="5">
                  <c:v>8.9</c:v>
                </c:pt>
                <c:pt idx="6">
                  <c:v>10.3</c:v>
                </c:pt>
                <c:pt idx="7">
                  <c:v>10</c:v>
                </c:pt>
                <c:pt idx="8">
                  <c:v>9.6</c:v>
                </c:pt>
                <c:pt idx="9">
                  <c:v>9.6999999999999993</c:v>
                </c:pt>
                <c:pt idx="10">
                  <c:v>8</c:v>
                </c:pt>
                <c:pt idx="11">
                  <c:v>10</c:v>
                </c:pt>
                <c:pt idx="12">
                  <c:v>11.2</c:v>
                </c:pt>
                <c:pt idx="13">
                  <c:v>14.4</c:v>
                </c:pt>
                <c:pt idx="14">
                  <c:v>20.100000000000001</c:v>
                </c:pt>
                <c:pt idx="15">
                  <c:v>24.8</c:v>
                </c:pt>
                <c:pt idx="16">
                  <c:v>31.6</c:v>
                </c:pt>
                <c:pt idx="17">
                  <c:v>29.6</c:v>
                </c:pt>
              </c:numCache>
            </c:numRef>
          </c:val>
          <c:smooth val="0"/>
          <c:extLst>
            <c:ext xmlns:c16="http://schemas.microsoft.com/office/drawing/2014/chart" uri="{C3380CC4-5D6E-409C-BE32-E72D297353CC}">
              <c16:uniqueId val="{00000017-B0EC-47CC-B808-B4017B402C8B}"/>
            </c:ext>
          </c:extLst>
        </c:ser>
        <c:dLbls>
          <c:showLegendKey val="0"/>
          <c:showVal val="0"/>
          <c:showCatName val="0"/>
          <c:showSerName val="0"/>
          <c:showPercent val="0"/>
          <c:showBubbleSize val="0"/>
        </c:dLbls>
        <c:marker val="1"/>
        <c:smooth val="0"/>
        <c:axId val="186819704"/>
        <c:axId val="1"/>
      </c:lineChart>
      <c:catAx>
        <c:axId val="186819704"/>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
        <c:crosses val="autoZero"/>
        <c:auto val="1"/>
        <c:lblAlgn val="ctr"/>
        <c:lblOffset val="100"/>
        <c:noMultiLvlLbl val="0"/>
      </c:catAx>
      <c:valAx>
        <c:axId val="1"/>
        <c:scaling>
          <c:orientation val="minMax"/>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sz="1000"/>
                  <a:t>Rate per 100,000 residents</a:t>
                </a:r>
              </a:p>
            </c:rich>
          </c:tx>
          <c:layout>
            <c:manualLayout>
              <c:xMode val="edge"/>
              <c:yMode val="edge"/>
              <c:x val="4.0620709812848189E-2"/>
              <c:y val="0.12398989898989898"/>
            </c:manualLayout>
          </c:layout>
          <c:overlay val="0"/>
        </c:title>
        <c:numFmt formatCode="0" sourceLinked="0"/>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86819704"/>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baseline="0">
                <a:effectLst/>
                <a:latin typeface="Times New Roman" panose="02020603050405020304" pitchFamily="18" charset="0"/>
                <a:cs typeface="Times New Roman" panose="02020603050405020304" pitchFamily="18" charset="0"/>
              </a:rPr>
              <a:t>Confirmed Opioid</a:t>
            </a:r>
            <a:r>
              <a:rPr lang="en-US" sz="1200" b="1" i="0" baseline="30000">
                <a:effectLst/>
                <a:latin typeface="Times New Roman" panose="02020603050405020304" pitchFamily="18" charset="0"/>
                <a:cs typeface="Times New Roman" panose="02020603050405020304" pitchFamily="18" charset="0"/>
              </a:rPr>
              <a:t>1</a:t>
            </a:r>
            <a:r>
              <a:rPr lang="en-US" sz="1200" b="1" i="0" baseline="0">
                <a:effectLst/>
                <a:latin typeface="Times New Roman" panose="02020603050405020304" pitchFamily="18" charset="0"/>
                <a:cs typeface="Times New Roman" panose="02020603050405020304" pitchFamily="18" charset="0"/>
              </a:rPr>
              <a:t>-Related Death Rates, All Intents, </a:t>
            </a:r>
            <a:endParaRPr lang="en-US" sz="1200">
              <a:effectLst/>
              <a:latin typeface="Times New Roman" panose="02020603050405020304" pitchFamily="18" charset="0"/>
              <a:cs typeface="Times New Roman" panose="02020603050405020304" pitchFamily="18" charset="0"/>
            </a:endParaRPr>
          </a:p>
          <a:p>
            <a:pPr>
              <a:defRPr sz="1400" b="0" i="0" u="none" strike="noStrike" kern="1200" spc="0" baseline="0">
                <a:solidFill>
                  <a:schemeClr val="tx1">
                    <a:lumMod val="65000"/>
                    <a:lumOff val="35000"/>
                  </a:schemeClr>
                </a:solidFill>
                <a:latin typeface="+mn-lt"/>
                <a:ea typeface="+mn-ea"/>
                <a:cs typeface="+mn-cs"/>
              </a:defRPr>
            </a:pPr>
            <a:r>
              <a:rPr lang="en-US" sz="1200" b="1" i="0" baseline="0">
                <a:effectLst/>
                <a:latin typeface="Times New Roman" panose="02020603050405020304" pitchFamily="18" charset="0"/>
                <a:cs typeface="Times New Roman" panose="02020603050405020304" pitchFamily="18" charset="0"/>
              </a:rPr>
              <a:t>by Race and Ethnicity: 2014 - 2017</a:t>
            </a:r>
            <a:endParaRPr lang="en-US" sz="1200">
              <a:effectLst/>
              <a:latin typeface="Times New Roman" panose="02020603050405020304" pitchFamily="18" charset="0"/>
              <a:cs typeface="Times New Roman" panose="02020603050405020304" pitchFamily="18" charset="0"/>
            </a:endParaRPr>
          </a:p>
        </c:rich>
      </c:tx>
      <c:overlay val="0"/>
      <c:spPr>
        <a:noFill/>
        <a:ln w="25400">
          <a:noFill/>
        </a:ln>
      </c:spPr>
    </c:title>
    <c:autoTitleDeleted val="0"/>
    <c:plotArea>
      <c:layout>
        <c:manualLayout>
          <c:layoutTarget val="inner"/>
          <c:xMode val="edge"/>
          <c:yMode val="edge"/>
          <c:x val="0.16755283638325699"/>
          <c:y val="0.23332443336407369"/>
          <c:w val="0.74629086121860388"/>
          <c:h val="0.55337278804368306"/>
        </c:manualLayout>
      </c:layout>
      <c:barChart>
        <c:barDir val="col"/>
        <c:grouping val="clustered"/>
        <c:varyColors val="0"/>
        <c:ser>
          <c:idx val="0"/>
          <c:order val="0"/>
          <c:tx>
            <c:strRef>
              <c:f>'Opioid-related deaths by Race '!$B$5</c:f>
              <c:strCache>
                <c:ptCount val="1"/>
                <c:pt idx="0">
                  <c:v>All</c:v>
                </c:pt>
              </c:strCache>
            </c:strRef>
          </c:tx>
          <c:spPr>
            <a:solidFill>
              <a:schemeClr val="tx2"/>
            </a:solidFill>
            <a:ln>
              <a:solidFill>
                <a:schemeClr val="tx2"/>
              </a:solid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'Opioid-related deaths by Race '!$C$4:$F$4</c:f>
              <c:numCache>
                <c:formatCode>General</c:formatCode>
                <c:ptCount val="4"/>
                <c:pt idx="0">
                  <c:v>2014</c:v>
                </c:pt>
                <c:pt idx="1">
                  <c:v>2015</c:v>
                </c:pt>
                <c:pt idx="2">
                  <c:v>2016</c:v>
                </c:pt>
                <c:pt idx="3">
                  <c:v>2017</c:v>
                </c:pt>
              </c:numCache>
            </c:numRef>
          </c:cat>
          <c:val>
            <c:numRef>
              <c:f>'Opioid-related deaths by Race '!$C$5:$F$5</c:f>
              <c:numCache>
                <c:formatCode>General</c:formatCode>
                <c:ptCount val="4"/>
                <c:pt idx="0">
                  <c:v>20.2</c:v>
                </c:pt>
                <c:pt idx="1">
                  <c:v>25.3</c:v>
                </c:pt>
                <c:pt idx="2">
                  <c:v>31.1</c:v>
                </c:pt>
                <c:pt idx="3">
                  <c:v>27.8</c:v>
                </c:pt>
              </c:numCache>
            </c:numRef>
          </c:val>
          <c:extLst>
            <c:ext xmlns:c16="http://schemas.microsoft.com/office/drawing/2014/chart" uri="{C3380CC4-5D6E-409C-BE32-E72D297353CC}">
              <c16:uniqueId val="{00000000-6F27-4203-81FA-A7C12C0F0CFB}"/>
            </c:ext>
          </c:extLst>
        </c:ser>
        <c:ser>
          <c:idx val="1"/>
          <c:order val="1"/>
          <c:tx>
            <c:strRef>
              <c:f>'Opioid-related deaths by Race '!$B$6</c:f>
              <c:strCache>
                <c:ptCount val="1"/>
                <c:pt idx="0">
                  <c:v>White non-Hispanic</c:v>
                </c:pt>
              </c:strCache>
            </c:strRef>
          </c:tx>
          <c:spPr>
            <a:pattFill prst="pct60">
              <a:fgClr>
                <a:schemeClr val="tx2"/>
              </a:fgClr>
              <a:bgClr>
                <a:schemeClr val="bg1"/>
              </a:bgClr>
            </a:pattFill>
            <a:ln w="25400">
              <a:noFill/>
            </a:ln>
          </c:spPr>
          <c:invertIfNegative val="0"/>
          <c:dLbls>
            <c:dLbl>
              <c:idx val="2"/>
              <c:layout>
                <c:manualLayout>
                  <c:x val="-8.9868242880141127E-17"/>
                  <c:y val="1.38648205470089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27-4203-81FA-A7C12C0F0CFB}"/>
                </c:ext>
              </c:extLst>
            </c:dLbl>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'Opioid-related deaths by Race '!$C$4:$F$4</c:f>
              <c:numCache>
                <c:formatCode>General</c:formatCode>
                <c:ptCount val="4"/>
                <c:pt idx="0">
                  <c:v>2014</c:v>
                </c:pt>
                <c:pt idx="1">
                  <c:v>2015</c:v>
                </c:pt>
                <c:pt idx="2">
                  <c:v>2016</c:v>
                </c:pt>
                <c:pt idx="3">
                  <c:v>2017</c:v>
                </c:pt>
              </c:numCache>
            </c:numRef>
          </c:cat>
          <c:val>
            <c:numRef>
              <c:f>'Opioid-related deaths by Race '!$C$6:$F$6</c:f>
              <c:numCache>
                <c:formatCode>General</c:formatCode>
                <c:ptCount val="4"/>
                <c:pt idx="0">
                  <c:v>23.8</c:v>
                </c:pt>
                <c:pt idx="1">
                  <c:v>29.9</c:v>
                </c:pt>
                <c:pt idx="2">
                  <c:v>35.9</c:v>
                </c:pt>
                <c:pt idx="3">
                  <c:v>31.1</c:v>
                </c:pt>
              </c:numCache>
            </c:numRef>
          </c:val>
          <c:extLst>
            <c:ext xmlns:c16="http://schemas.microsoft.com/office/drawing/2014/chart" uri="{C3380CC4-5D6E-409C-BE32-E72D297353CC}">
              <c16:uniqueId val="{00000002-6F27-4203-81FA-A7C12C0F0CFB}"/>
            </c:ext>
          </c:extLst>
        </c:ser>
        <c:ser>
          <c:idx val="2"/>
          <c:order val="2"/>
          <c:tx>
            <c:strRef>
              <c:f>'Opioid-related deaths by Race '!$B$7</c:f>
              <c:strCache>
                <c:ptCount val="1"/>
                <c:pt idx="0">
                  <c:v>Black non-Hispanic</c:v>
                </c:pt>
              </c:strCache>
            </c:strRef>
          </c:tx>
          <c:spPr>
            <a:solidFill>
              <a:schemeClr val="tx2">
                <a:lumMod val="20000"/>
                <a:lumOff val="80000"/>
              </a:schemeClr>
            </a:solidFill>
            <a:ln>
              <a:no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'Opioid-related deaths by Race '!$C$4:$F$4</c:f>
              <c:numCache>
                <c:formatCode>General</c:formatCode>
                <c:ptCount val="4"/>
                <c:pt idx="0">
                  <c:v>2014</c:v>
                </c:pt>
                <c:pt idx="1">
                  <c:v>2015</c:v>
                </c:pt>
                <c:pt idx="2">
                  <c:v>2016</c:v>
                </c:pt>
                <c:pt idx="3">
                  <c:v>2017</c:v>
                </c:pt>
              </c:numCache>
            </c:numRef>
          </c:cat>
          <c:val>
            <c:numRef>
              <c:f>'Opioid-related deaths by Race '!$C$7:$F$7</c:f>
              <c:numCache>
                <c:formatCode>General</c:formatCode>
                <c:ptCount val="4"/>
                <c:pt idx="0">
                  <c:v>10.8</c:v>
                </c:pt>
                <c:pt idx="1">
                  <c:v>14.6</c:v>
                </c:pt>
                <c:pt idx="2">
                  <c:v>15.6</c:v>
                </c:pt>
                <c:pt idx="3">
                  <c:v>19.7</c:v>
                </c:pt>
              </c:numCache>
            </c:numRef>
          </c:val>
          <c:extLst>
            <c:ext xmlns:c16="http://schemas.microsoft.com/office/drawing/2014/chart" uri="{C3380CC4-5D6E-409C-BE32-E72D297353CC}">
              <c16:uniqueId val="{00000003-6F27-4203-81FA-A7C12C0F0CFB}"/>
            </c:ext>
          </c:extLst>
        </c:ser>
        <c:ser>
          <c:idx val="3"/>
          <c:order val="3"/>
          <c:tx>
            <c:strRef>
              <c:f>'Opioid-related deaths by Race '!$B$8</c:f>
              <c:strCache>
                <c:ptCount val="1"/>
                <c:pt idx="0">
                  <c:v>Hispanic</c:v>
                </c:pt>
              </c:strCache>
            </c:strRef>
          </c:tx>
          <c:spPr>
            <a:pattFill prst="sphere">
              <a:fgClr>
                <a:schemeClr val="tx2"/>
              </a:fgClr>
              <a:bgClr>
                <a:schemeClr val="bg1"/>
              </a:bgClr>
            </a:patt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'Opioid-related deaths by Race '!$C$4:$F$4</c:f>
              <c:numCache>
                <c:formatCode>General</c:formatCode>
                <c:ptCount val="4"/>
                <c:pt idx="0">
                  <c:v>2014</c:v>
                </c:pt>
                <c:pt idx="1">
                  <c:v>2015</c:v>
                </c:pt>
                <c:pt idx="2">
                  <c:v>2016</c:v>
                </c:pt>
                <c:pt idx="3">
                  <c:v>2017</c:v>
                </c:pt>
              </c:numCache>
            </c:numRef>
          </c:cat>
          <c:val>
            <c:numRef>
              <c:f>'Opioid-related deaths by Race '!$C$8:$F$8</c:f>
              <c:numCache>
                <c:formatCode>General</c:formatCode>
                <c:ptCount val="4"/>
                <c:pt idx="0">
                  <c:v>15.6</c:v>
                </c:pt>
                <c:pt idx="1">
                  <c:v>19.399999999999999</c:v>
                </c:pt>
                <c:pt idx="2">
                  <c:v>31.2</c:v>
                </c:pt>
                <c:pt idx="3">
                  <c:v>30.1</c:v>
                </c:pt>
              </c:numCache>
            </c:numRef>
          </c:val>
          <c:extLst>
            <c:ext xmlns:c16="http://schemas.microsoft.com/office/drawing/2014/chart" uri="{C3380CC4-5D6E-409C-BE32-E72D297353CC}">
              <c16:uniqueId val="{00000004-6F27-4203-81FA-A7C12C0F0CFB}"/>
            </c:ext>
          </c:extLst>
        </c:ser>
        <c:dLbls>
          <c:showLegendKey val="0"/>
          <c:showVal val="0"/>
          <c:showCatName val="0"/>
          <c:showSerName val="0"/>
          <c:showPercent val="0"/>
          <c:showBubbleSize val="0"/>
        </c:dLbls>
        <c:gapWidth val="219"/>
        <c:overlap val="-27"/>
        <c:axId val="207583992"/>
        <c:axId val="1"/>
      </c:barChart>
      <c:catAx>
        <c:axId val="207583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
        <c:crosses val="autoZero"/>
        <c:auto val="1"/>
        <c:lblAlgn val="ctr"/>
        <c:lblOffset val="100"/>
        <c:noMultiLvlLbl val="0"/>
      </c:catAx>
      <c:valAx>
        <c:axId val="1"/>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Age-adjusted Rates per 100,000</a:t>
                </a:r>
              </a:p>
            </c:rich>
          </c:tx>
          <c:layout>
            <c:manualLayout>
              <c:xMode val="edge"/>
              <c:yMode val="edge"/>
              <c:x val="4.8966342442488812E-2"/>
              <c:y val="0.16915391945433572"/>
            </c:manualLayout>
          </c:layout>
          <c:overlay val="0"/>
          <c:spPr>
            <a:noFill/>
            <a:ln w="25400">
              <a:noFill/>
            </a:ln>
          </c:spPr>
        </c:title>
        <c:numFmt formatCode="General" sourceLinked="1"/>
        <c:majorTickMark val="none"/>
        <c:minorTickMark val="none"/>
        <c:tickLblPos val="nextTo"/>
        <c:spPr>
          <a:ln w="9525">
            <a:noFill/>
          </a:ln>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7583992"/>
        <c:crosses val="autoZero"/>
        <c:crossBetween val="between"/>
      </c:valAx>
      <c:spPr>
        <a:noFill/>
        <a:ln w="9525">
          <a:solidFill>
            <a:schemeClr val="tx1"/>
          </a:solidFill>
        </a:ln>
        <a:effectLst/>
      </c:spPr>
    </c:plotArea>
    <c:legend>
      <c:legendPos val="b"/>
      <c:layout>
        <c:manualLayout>
          <c:xMode val="edge"/>
          <c:yMode val="edge"/>
          <c:x val="0.17525416859657247"/>
          <c:y val="0.90286574050855106"/>
          <c:w val="0.649491662806855"/>
          <c:h val="3.768627647658692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alpha val="79000"/>
        </a:schemeClr>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0" i="0" u="none" strike="noStrike" baseline="0">
                <a:solidFill>
                  <a:srgbClr val="000000"/>
                </a:solidFill>
                <a:latin typeface="Arial"/>
                <a:ea typeface="Arial"/>
                <a:cs typeface="Arial"/>
              </a:defRPr>
            </a:pPr>
            <a:r>
              <a:rPr lang="en-US" sz="1200" b="1" i="0" u="none" strike="noStrike" baseline="0">
                <a:solidFill>
                  <a:srgbClr val="000000"/>
                </a:solidFill>
                <a:latin typeface="Times New Roman"/>
                <a:cs typeface="Times New Roman"/>
              </a:rPr>
              <a:t>Number of Massachusetts  Juvenile Court </a:t>
            </a:r>
          </a:p>
          <a:p>
            <a:pPr>
              <a:defRPr sz="900" b="0" i="0" u="none" strike="noStrike" baseline="0">
                <a:solidFill>
                  <a:srgbClr val="000000"/>
                </a:solidFill>
                <a:latin typeface="Arial"/>
                <a:ea typeface="Arial"/>
                <a:cs typeface="Arial"/>
              </a:defRPr>
            </a:pPr>
            <a:r>
              <a:rPr lang="en-US" sz="1200" b="1" i="0" u="none" strike="noStrike" baseline="0">
                <a:solidFill>
                  <a:srgbClr val="000000"/>
                </a:solidFill>
                <a:latin typeface="Times New Roman"/>
                <a:cs typeface="Times New Roman"/>
              </a:rPr>
              <a:t>Youthful Offenders Cases, </a:t>
            </a:r>
          </a:p>
          <a:p>
            <a:pPr>
              <a:defRPr sz="900" b="0" i="0" u="none" strike="noStrike" baseline="0">
                <a:solidFill>
                  <a:srgbClr val="000000"/>
                </a:solidFill>
                <a:latin typeface="Arial"/>
                <a:ea typeface="Arial"/>
                <a:cs typeface="Arial"/>
              </a:defRPr>
            </a:pPr>
            <a:r>
              <a:rPr lang="en-US" sz="1200" b="1" i="0" u="none" strike="noStrike" baseline="0">
                <a:solidFill>
                  <a:srgbClr val="000000"/>
                </a:solidFill>
                <a:latin typeface="Times New Roman"/>
                <a:cs typeface="Times New Roman"/>
              </a:rPr>
              <a:t>SFY 2008 - SFY 2017</a:t>
            </a:r>
          </a:p>
          <a:p>
            <a:pPr>
              <a:defRPr sz="900" b="0" i="0" u="none" strike="noStrike" baseline="0">
                <a:solidFill>
                  <a:srgbClr val="000000"/>
                </a:solidFill>
                <a:latin typeface="Arial"/>
                <a:ea typeface="Arial"/>
                <a:cs typeface="Arial"/>
              </a:defRPr>
            </a:pPr>
            <a:endParaRPr lang="en-US" sz="1200" b="1" i="0" u="none" strike="noStrike" baseline="0">
              <a:solidFill>
                <a:srgbClr val="000000"/>
              </a:solidFill>
              <a:latin typeface="Times New Roman"/>
              <a:cs typeface="Times New Roman"/>
            </a:endParaRPr>
          </a:p>
        </c:rich>
      </c:tx>
      <c:layout>
        <c:manualLayout>
          <c:xMode val="edge"/>
          <c:yMode val="edge"/>
          <c:x val="0.21517065589197257"/>
          <c:y val="1.8171672446761333E-2"/>
        </c:manualLayout>
      </c:layout>
      <c:overlay val="0"/>
      <c:spPr>
        <a:noFill/>
        <a:ln w="25400">
          <a:noFill/>
        </a:ln>
      </c:spPr>
    </c:title>
    <c:autoTitleDeleted val="0"/>
    <c:plotArea>
      <c:layout>
        <c:manualLayout>
          <c:layoutTarget val="inner"/>
          <c:xMode val="edge"/>
          <c:yMode val="edge"/>
          <c:x val="0.14006339852679706"/>
          <c:y val="0.20149290442241508"/>
          <c:w val="0.83188133096266192"/>
          <c:h val="0.66044896449569379"/>
        </c:manualLayout>
      </c:layout>
      <c:barChart>
        <c:barDir val="col"/>
        <c:grouping val="clustered"/>
        <c:varyColors val="0"/>
        <c:ser>
          <c:idx val="0"/>
          <c:order val="0"/>
          <c:spPr>
            <a:pattFill prst="sphere">
              <a:fgClr>
                <a:srgbClr xmlns:mc="http://schemas.openxmlformats.org/markup-compatibility/2006" xmlns:a14="http://schemas.microsoft.com/office/drawing/2010/main" val="000080" mc:Ignorable="a14" a14:legacySpreadsheetColorIndex="1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Lbls>
            <c:dLbl>
              <c:idx val="6"/>
              <c:spPr>
                <a:noFill/>
                <a:ln w="25400">
                  <a:noFill/>
                </a:ln>
              </c:spPr>
              <c:txPr>
                <a:bodyPr wrap="square" lIns="38100" tIns="19050" rIns="38100" bIns="19050" anchor="ctr">
                  <a:noAutofit/>
                </a:bodyPr>
                <a:lstStyle/>
                <a:p>
                  <a:pPr>
                    <a:defRPr sz="9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7151-46D6-95B2-60B2EF24EE42}"/>
                </c:ext>
              </c:extLst>
            </c:dLbl>
            <c:dLbl>
              <c:idx val="7"/>
              <c:layout>
                <c:manualLayout>
                  <c:x val="-2.8421202216853771E-3"/>
                  <c:y val="1.38504155124653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51-46D6-95B2-60B2EF24EE42}"/>
                </c:ext>
              </c:extLst>
            </c:dLbl>
            <c:dLbl>
              <c:idx val="8"/>
              <c:spPr>
                <a:noFill/>
                <a:ln w="25400">
                  <a:noFill/>
                </a:ln>
              </c:spPr>
              <c:txPr>
                <a:bodyPr wrap="square" lIns="38100" tIns="19050" rIns="38100" bIns="19050" anchor="ctr">
                  <a:noAutofit/>
                </a:bodyPr>
                <a:lstStyle/>
                <a:p>
                  <a:pPr>
                    <a:defRPr sz="9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7151-46D6-95B2-60B2EF24EE42}"/>
                </c:ext>
              </c:extLst>
            </c:dLbl>
            <c:dLbl>
              <c:idx val="9"/>
              <c:layout>
                <c:manualLayout>
                  <c:x val="0"/>
                  <c:y val="4.61680517082179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151-46D6-95B2-60B2EF24EE42}"/>
                </c:ext>
              </c:extLst>
            </c:dLbl>
            <c:spPr>
              <a:noFill/>
              <a:ln w="25400">
                <a:noFill/>
              </a:ln>
            </c:spPr>
            <c:txPr>
              <a:bodyPr wrap="square" lIns="38100" tIns="19050" rIns="38100" bIns="19050" anchor="ctr">
                <a:spAutoFit/>
              </a:bodyPr>
              <a:lstStyle/>
              <a:p>
                <a:pPr>
                  <a:defRPr sz="9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'Youthful Offenders 2017'!$A$15:$A$24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'Youthful Offenders 2017'!$B$15:$B$24</c:f>
              <c:numCache>
                <c:formatCode>General</c:formatCode>
                <c:ptCount val="10"/>
                <c:pt idx="0">
                  <c:v>173</c:v>
                </c:pt>
                <c:pt idx="1">
                  <c:v>132</c:v>
                </c:pt>
                <c:pt idx="2">
                  <c:v>129</c:v>
                </c:pt>
                <c:pt idx="3">
                  <c:v>131</c:v>
                </c:pt>
                <c:pt idx="4">
                  <c:v>108</c:v>
                </c:pt>
                <c:pt idx="5">
                  <c:v>101</c:v>
                </c:pt>
                <c:pt idx="6">
                  <c:v>151</c:v>
                </c:pt>
                <c:pt idx="7">
                  <c:v>216</c:v>
                </c:pt>
                <c:pt idx="8">
                  <c:v>218</c:v>
                </c:pt>
                <c:pt idx="9">
                  <c:v>151</c:v>
                </c:pt>
              </c:numCache>
            </c:numRef>
          </c:val>
          <c:extLst>
            <c:ext xmlns:c16="http://schemas.microsoft.com/office/drawing/2014/chart" uri="{C3380CC4-5D6E-409C-BE32-E72D297353CC}">
              <c16:uniqueId val="{00000000-7151-46D6-95B2-60B2EF24EE42}"/>
            </c:ext>
          </c:extLst>
        </c:ser>
        <c:dLbls>
          <c:showLegendKey val="0"/>
          <c:showVal val="0"/>
          <c:showCatName val="0"/>
          <c:showSerName val="0"/>
          <c:showPercent val="0"/>
          <c:showBubbleSize val="0"/>
        </c:dLbls>
        <c:gapWidth val="140"/>
        <c:axId val="328427920"/>
        <c:axId val="1"/>
      </c:barChart>
      <c:catAx>
        <c:axId val="328427920"/>
        <c:scaling>
          <c:orientation val="minMax"/>
        </c:scaling>
        <c:delete val="0"/>
        <c:axPos val="b"/>
        <c:title>
          <c:tx>
            <c:rich>
              <a:bodyPr/>
              <a:lstStyle/>
              <a:p>
                <a:pPr>
                  <a:defRPr b="1"/>
                </a:pPr>
                <a:r>
                  <a:rPr lang="en-US" sz="1000" b="1">
                    <a:latin typeface="Times New Roman" panose="02020603050405020304" pitchFamily="18" charset="0"/>
                    <a:cs typeface="Times New Roman" panose="02020603050405020304" pitchFamily="18" charset="0"/>
                  </a:rPr>
                  <a:t>Year</a:t>
                </a:r>
              </a:p>
            </c:rich>
          </c:tx>
          <c:layout>
            <c:manualLayout>
              <c:xMode val="edge"/>
              <c:yMode val="edge"/>
              <c:x val="0.48465750991652368"/>
              <c:y val="0.93841341783496579"/>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
        <c:crosses val="autoZero"/>
        <c:auto val="1"/>
        <c:lblAlgn val="ctr"/>
        <c:lblOffset val="100"/>
        <c:tickLblSkip val="1"/>
        <c:tickMarkSkip val="1"/>
        <c:noMultiLvlLbl val="0"/>
      </c:catAx>
      <c:valAx>
        <c:axId val="1"/>
        <c:scaling>
          <c:orientation val="minMax"/>
        </c:scaling>
        <c:delete val="0"/>
        <c:axPos val="l"/>
        <c:title>
          <c:tx>
            <c:rich>
              <a:bodyPr/>
              <a:lstStyle/>
              <a:p>
                <a:pPr>
                  <a:defRPr sz="1000" b="1">
                    <a:latin typeface="Times New Roman" panose="02020603050405020304" pitchFamily="18" charset="0"/>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Number of Cases</a:t>
                </a:r>
              </a:p>
            </c:rich>
          </c:tx>
          <c:layout>
            <c:manualLayout>
              <c:xMode val="edge"/>
              <c:yMode val="edge"/>
              <c:x val="2.2624739649479295E-2"/>
              <c:y val="0.37714124024459766"/>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328427920"/>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en-US"/>
              <a:t>National vs. Massachusetts Part I Juvenile Arrest Rates (per 100,000 persons) 2007 - 2016</a:t>
            </a:r>
          </a:p>
        </c:rich>
      </c:tx>
      <c:layout>
        <c:manualLayout>
          <c:xMode val="edge"/>
          <c:yMode val="edge"/>
          <c:x val="0.14979548144717206"/>
          <c:y val="3.4363012315768222E-2"/>
        </c:manualLayout>
      </c:layout>
      <c:overlay val="0"/>
    </c:title>
    <c:autoTitleDeleted val="0"/>
    <c:plotArea>
      <c:layout>
        <c:manualLayout>
          <c:layoutTarget val="inner"/>
          <c:xMode val="edge"/>
          <c:yMode val="edge"/>
          <c:x val="7.8450928928001651E-2"/>
          <c:y val="0.22023629654122379"/>
          <c:w val="0.89279090113735782"/>
          <c:h val="0.58878591150300463"/>
        </c:manualLayout>
      </c:layout>
      <c:barChart>
        <c:barDir val="col"/>
        <c:grouping val="clustered"/>
        <c:varyColors val="0"/>
        <c:ser>
          <c:idx val="0"/>
          <c:order val="0"/>
          <c:tx>
            <c:strRef>
              <c:f>'Arrests Nat''l vs MA'!$A$32</c:f>
              <c:strCache>
                <c:ptCount val="1"/>
                <c:pt idx="0">
                  <c:v>National</c:v>
                </c:pt>
              </c:strCache>
            </c:strRef>
          </c:tx>
          <c:spPr>
            <a:solidFill>
              <a:schemeClr val="accent1">
                <a:lumMod val="75000"/>
              </a:schemeClr>
            </a:solidFill>
            <a:scene3d>
              <a:camera prst="orthographicFront"/>
              <a:lightRig rig="threePt" dir="t"/>
            </a:scene3d>
            <a:sp3d/>
          </c:spPr>
          <c:invertIfNegative val="0"/>
          <c:dLbls>
            <c:spPr>
              <a:noFill/>
              <a:ln>
                <a:noFill/>
              </a:ln>
              <a:effectLst/>
            </c:spPr>
            <c:txPr>
              <a:bodyPr wrap="square" lIns="38100" tIns="19050" rIns="38100" bIns="19050" anchor="ctr">
                <a:spAutoFit/>
              </a:bodyPr>
              <a:lstStyle/>
              <a:p>
                <a:pPr>
                  <a:defRPr sz="9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'Arrests Nat''l vs MA'!$A$19:$A$28</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'Arrests Nat''l vs MA'!$D$19:$D$28</c:f>
              <c:numCache>
                <c:formatCode>General</c:formatCode>
                <c:ptCount val="10"/>
                <c:pt idx="0">
                  <c:v>174</c:v>
                </c:pt>
                <c:pt idx="1">
                  <c:v>179</c:v>
                </c:pt>
                <c:pt idx="2">
                  <c:v>168</c:v>
                </c:pt>
                <c:pt idx="3" formatCode="#,##0">
                  <c:v>145.53896726674341</c:v>
                </c:pt>
                <c:pt idx="4" formatCode="#,##0">
                  <c:v>130.4344494523707</c:v>
                </c:pt>
                <c:pt idx="5" formatCode="#,##0">
                  <c:v>114.45500475687662</c:v>
                </c:pt>
                <c:pt idx="6" formatCode="#,##0">
                  <c:v>98.579117428669548</c:v>
                </c:pt>
                <c:pt idx="7" formatCode="#,##0">
                  <c:v>90.698012856510474</c:v>
                </c:pt>
                <c:pt idx="8" formatCode="#,##0">
                  <c:v>81.479346912487486</c:v>
                </c:pt>
                <c:pt idx="9" formatCode="#,##0">
                  <c:v>73.384430303290458</c:v>
                </c:pt>
              </c:numCache>
            </c:numRef>
          </c:val>
          <c:extLst>
            <c:ext xmlns:c16="http://schemas.microsoft.com/office/drawing/2014/chart" uri="{C3380CC4-5D6E-409C-BE32-E72D297353CC}">
              <c16:uniqueId val="{00000000-DC3C-42B7-9783-A667380AC245}"/>
            </c:ext>
          </c:extLst>
        </c:ser>
        <c:ser>
          <c:idx val="1"/>
          <c:order val="1"/>
          <c:tx>
            <c:strRef>
              <c:f>'Arrests Nat''l vs MA'!$D$32</c:f>
              <c:strCache>
                <c:ptCount val="1"/>
                <c:pt idx="0">
                  <c:v>Massachusetts</c:v>
                </c:pt>
              </c:strCache>
            </c:strRef>
          </c:tx>
          <c:spPr>
            <a:gradFill>
              <a:gsLst>
                <a:gs pos="0">
                  <a:schemeClr val="accent1">
                    <a:tint val="66000"/>
                    <a:satMod val="160000"/>
                  </a:schemeClr>
                </a:gs>
                <a:gs pos="64000">
                  <a:schemeClr val="accent1">
                    <a:tint val="44500"/>
                    <a:satMod val="160000"/>
                  </a:schemeClr>
                </a:gs>
                <a:gs pos="100000">
                  <a:schemeClr val="accent1">
                    <a:tint val="23500"/>
                    <a:satMod val="160000"/>
                  </a:schemeClr>
                </a:gs>
              </a:gsLst>
              <a:lin ang="5400000" scaled="0"/>
            </a:gradFill>
            <a:scene3d>
              <a:camera prst="orthographicFront"/>
              <a:lightRig rig="threePt" dir="t"/>
            </a:scene3d>
            <a:sp3d/>
          </c:spPr>
          <c:invertIfNegative val="0"/>
          <c:dLbls>
            <c:dLbl>
              <c:idx val="6"/>
              <c:layout>
                <c:manualLayout>
                  <c:x val="5.637773079633545E-3"/>
                  <c:y val="7.9622677730939374E-17"/>
                </c:manualLayout>
              </c:layout>
              <c:spPr/>
              <c:txPr>
                <a:bodyPr/>
                <a:lstStyle/>
                <a:p>
                  <a:pPr>
                    <a:defRPr sz="9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3C-42B7-9783-A667380AC245}"/>
                </c:ext>
              </c:extLst>
            </c:dLbl>
            <c:dLbl>
              <c:idx val="7"/>
              <c:layout>
                <c:manualLayout>
                  <c:x val="1.4094432699083965E-2"/>
                  <c:y val="0"/>
                </c:manualLayout>
              </c:layout>
              <c:spPr/>
              <c:txPr>
                <a:bodyPr/>
                <a:lstStyle/>
                <a:p>
                  <a:pPr>
                    <a:defRPr sz="9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C3C-42B7-9783-A667380AC245}"/>
                </c:ext>
              </c:extLst>
            </c:dLbl>
            <c:dLbl>
              <c:idx val="8"/>
              <c:layout>
                <c:manualLayout>
                  <c:x val="8.4566596194503175E-3"/>
                  <c:y val="7.9622677730939374E-17"/>
                </c:manualLayout>
              </c:layout>
              <c:spPr/>
              <c:txPr>
                <a:bodyPr/>
                <a:lstStyle/>
                <a:p>
                  <a:pPr>
                    <a:defRPr sz="9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C3C-42B7-9783-A667380AC245}"/>
                </c:ext>
              </c:extLst>
            </c:dLbl>
            <c:dLbl>
              <c:idx val="9"/>
              <c:layout>
                <c:manualLayout>
                  <c:x val="5.637773079633545E-3"/>
                  <c:y val="0"/>
                </c:manualLayout>
              </c:layout>
              <c:spPr/>
              <c:txPr>
                <a:bodyPr/>
                <a:lstStyle/>
                <a:p>
                  <a:pPr>
                    <a:defRPr sz="9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C3C-42B7-9783-A667380AC245}"/>
                </c:ext>
              </c:extLst>
            </c:dLbl>
            <c:spPr>
              <a:noFill/>
              <a:ln>
                <a:noFill/>
              </a:ln>
              <a:effectLst/>
            </c:spPr>
            <c:txPr>
              <a:bodyPr wrap="square" lIns="38100" tIns="19050" rIns="38100" bIns="19050" anchor="ctr">
                <a:spAutoFit/>
              </a:bodyPr>
              <a:lstStyle/>
              <a:p>
                <a:pPr>
                  <a:defRPr sz="9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'Arrests Nat''l vs MA'!$A$19:$A$28</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'Arrests Nat''l vs MA'!$G$19:$G$28</c:f>
              <c:numCache>
                <c:formatCode>General</c:formatCode>
                <c:ptCount val="10"/>
                <c:pt idx="0">
                  <c:v>79</c:v>
                </c:pt>
                <c:pt idx="1">
                  <c:v>83</c:v>
                </c:pt>
                <c:pt idx="2">
                  <c:v>78</c:v>
                </c:pt>
                <c:pt idx="3" formatCode="#,##0">
                  <c:v>67.276261376446342</c:v>
                </c:pt>
                <c:pt idx="4" formatCode="#,##0">
                  <c:v>54.169795291450605</c:v>
                </c:pt>
                <c:pt idx="5" formatCode="#,##0">
                  <c:v>43.654894291501833</c:v>
                </c:pt>
                <c:pt idx="6" formatCode="#,##0">
                  <c:v>41.989162413841726</c:v>
                </c:pt>
                <c:pt idx="7" formatCode="#,##0">
                  <c:v>35.861433437384363</c:v>
                </c:pt>
                <c:pt idx="8" formatCode="#,##0">
                  <c:v>32.429120204868653</c:v>
                </c:pt>
                <c:pt idx="9" formatCode="#,##0">
                  <c:v>33.156004126632936</c:v>
                </c:pt>
              </c:numCache>
            </c:numRef>
          </c:val>
          <c:extLst>
            <c:ext xmlns:c16="http://schemas.microsoft.com/office/drawing/2014/chart" uri="{C3380CC4-5D6E-409C-BE32-E72D297353CC}">
              <c16:uniqueId val="{00000005-DC3C-42B7-9783-A667380AC245}"/>
            </c:ext>
          </c:extLst>
        </c:ser>
        <c:dLbls>
          <c:showLegendKey val="0"/>
          <c:showVal val="0"/>
          <c:showCatName val="0"/>
          <c:showSerName val="0"/>
          <c:showPercent val="0"/>
          <c:showBubbleSize val="0"/>
        </c:dLbls>
        <c:gapWidth val="150"/>
        <c:axId val="476201680"/>
        <c:axId val="1"/>
      </c:barChart>
      <c:catAx>
        <c:axId val="476201680"/>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
        <c:crosses val="autoZero"/>
        <c:auto val="1"/>
        <c:lblAlgn val="ctr"/>
        <c:lblOffset val="100"/>
        <c:noMultiLvlLbl val="0"/>
      </c:catAx>
      <c:valAx>
        <c:axId val="1"/>
        <c:scaling>
          <c:orientation val="minMax"/>
          <c:max val="200"/>
        </c:scaling>
        <c:delete val="0"/>
        <c:axPos val="l"/>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476201680"/>
        <c:crosses val="autoZero"/>
        <c:crossBetween val="between"/>
        <c:majorUnit val="50"/>
      </c:valAx>
    </c:plotArea>
    <c:legend>
      <c:legendPos val="b"/>
      <c:layout>
        <c:manualLayout>
          <c:xMode val="edge"/>
          <c:yMode val="edge"/>
          <c:x val="0.33287674334825795"/>
          <c:y val="0.90026414967359847"/>
          <c:w val="0.39344305491225368"/>
          <c:h val="7.3677232653610591E-2"/>
        </c:manualLayout>
      </c:layout>
      <c:overlay val="0"/>
      <c:txPr>
        <a:bodyPr/>
        <a:lstStyle/>
        <a:p>
          <a:pPr>
            <a:defRPr sz="775"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US" sz="1200" b="1" i="0" u="none" strike="noStrike" baseline="0">
                <a:solidFill>
                  <a:srgbClr val="000000"/>
                </a:solidFill>
                <a:latin typeface="Times New Roman"/>
                <a:cs typeface="Times New Roman"/>
              </a:rPr>
              <a:t>Percent of Massachusetts Juvenile Court Youthful Offender Cases </a:t>
            </a:r>
          </a:p>
          <a:p>
            <a:pPr>
              <a:defRPr sz="1000" b="0" i="0" u="none" strike="noStrike" baseline="0">
                <a:solidFill>
                  <a:srgbClr val="000000"/>
                </a:solidFill>
                <a:latin typeface="Calibri"/>
                <a:ea typeface="Calibri"/>
                <a:cs typeface="Calibri"/>
              </a:defRPr>
            </a:pPr>
            <a:r>
              <a:rPr lang="en-US" sz="1200" b="1" i="0" u="none" strike="noStrike" baseline="0">
                <a:solidFill>
                  <a:srgbClr val="000000"/>
                </a:solidFill>
                <a:latin typeface="Times New Roman"/>
                <a:cs typeface="Times New Roman"/>
              </a:rPr>
              <a:t>by Race/Ethnicity and County, SFY 2017</a:t>
            </a:r>
          </a:p>
        </c:rich>
      </c:tx>
      <c:layout>
        <c:manualLayout>
          <c:xMode val="edge"/>
          <c:yMode val="edge"/>
          <c:x val="0.14883453577964592"/>
          <c:y val="3.9564562626393015E-3"/>
        </c:manualLayout>
      </c:layout>
      <c:overlay val="0"/>
    </c:title>
    <c:autoTitleDeleted val="0"/>
    <c:plotArea>
      <c:layout>
        <c:manualLayout>
          <c:layoutTarget val="inner"/>
          <c:xMode val="edge"/>
          <c:yMode val="edge"/>
          <c:x val="0.2681414416031872"/>
          <c:y val="0.20170836022546362"/>
          <c:w val="0.60221429975976126"/>
          <c:h val="0.63286192504625449"/>
        </c:manualLayout>
      </c:layout>
      <c:barChart>
        <c:barDir val="bar"/>
        <c:grouping val="clustered"/>
        <c:varyColors val="0"/>
        <c:ser>
          <c:idx val="0"/>
          <c:order val="0"/>
          <c:tx>
            <c:strRef>
              <c:f>'Youthful Offenders 2017'!$P$11</c:f>
              <c:strCache>
                <c:ptCount val="1"/>
                <c:pt idx="0">
                  <c:v>% Minority</c:v>
                </c:pt>
              </c:strCache>
            </c:strRef>
          </c:tx>
          <c:spPr>
            <a:solidFill>
              <a:schemeClr val="tx2"/>
            </a:solidFill>
          </c:spPr>
          <c:invertIfNegative val="0"/>
          <c:dLbls>
            <c:dLbl>
              <c:idx val="2"/>
              <c:layout>
                <c:manualLayout>
                  <c:x val="0"/>
                  <c:y val="-1.358234537515801E-2"/>
                </c:manualLayout>
              </c:layout>
              <c:spPr/>
              <c:txPr>
                <a:bodyPr/>
                <a:lstStyle/>
                <a:p>
                  <a:pPr>
                    <a:defRPr sz="9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5E-4432-88F3-125A29EB9F8E}"/>
                </c:ext>
              </c:extLst>
            </c:dLbl>
            <c:dLbl>
              <c:idx val="7"/>
              <c:layout>
                <c:manualLayout>
                  <c:x val="-4.0650406504065045E-3"/>
                  <c:y val="0"/>
                </c:manualLayout>
              </c:layout>
              <c:spPr/>
              <c:txPr>
                <a:bodyPr/>
                <a:lstStyle/>
                <a:p>
                  <a:pPr>
                    <a:defRPr sz="9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5E-4432-88F3-125A29EB9F8E}"/>
                </c:ext>
              </c:extLst>
            </c:dLbl>
            <c:spPr>
              <a:noFill/>
              <a:ln>
                <a:noFill/>
              </a:ln>
              <a:effectLst/>
            </c:spPr>
            <c:txPr>
              <a:bodyPr wrap="square" lIns="38100" tIns="19050" rIns="38100" bIns="19050" anchor="ctr">
                <a:spAutoFit/>
              </a:bodyPr>
              <a:lstStyle/>
              <a:p>
                <a:pPr>
                  <a:defRPr sz="9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'Youthful Offenders 2017'!$O$12:$O$22</c:f>
              <c:strCache>
                <c:ptCount val="11"/>
                <c:pt idx="0">
                  <c:v>Worcester</c:v>
                </c:pt>
                <c:pt idx="1">
                  <c:v>Suffolk</c:v>
                </c:pt>
                <c:pt idx="2">
                  <c:v>Plymouth</c:v>
                </c:pt>
                <c:pt idx="3">
                  <c:v>Norfolk</c:v>
                </c:pt>
                <c:pt idx="4">
                  <c:v>Middlesex</c:v>
                </c:pt>
                <c:pt idx="5">
                  <c:v>Hampden</c:v>
                </c:pt>
                <c:pt idx="6">
                  <c:v>Franklin/Hampshire</c:v>
                </c:pt>
                <c:pt idx="7">
                  <c:v>Essex</c:v>
                </c:pt>
                <c:pt idx="8">
                  <c:v>Bristol</c:v>
                </c:pt>
                <c:pt idx="9">
                  <c:v>Berkshire</c:v>
                </c:pt>
                <c:pt idx="10">
                  <c:v>Barnstable</c:v>
                </c:pt>
              </c:strCache>
            </c:strRef>
          </c:cat>
          <c:val>
            <c:numRef>
              <c:f>'Youthful Offenders 2017'!$P$12:$P$22</c:f>
              <c:numCache>
                <c:formatCode>0%</c:formatCode>
                <c:ptCount val="11"/>
                <c:pt idx="0">
                  <c:v>0.85</c:v>
                </c:pt>
                <c:pt idx="1">
                  <c:v>0.91</c:v>
                </c:pt>
                <c:pt idx="2">
                  <c:v>1</c:v>
                </c:pt>
                <c:pt idx="3">
                  <c:v>0.71</c:v>
                </c:pt>
                <c:pt idx="4">
                  <c:v>1</c:v>
                </c:pt>
                <c:pt idx="5">
                  <c:v>0.83</c:v>
                </c:pt>
                <c:pt idx="6">
                  <c:v>0</c:v>
                </c:pt>
                <c:pt idx="7">
                  <c:v>0.7</c:v>
                </c:pt>
                <c:pt idx="8">
                  <c:v>0.56000000000000005</c:v>
                </c:pt>
                <c:pt idx="9">
                  <c:v>0.75</c:v>
                </c:pt>
                <c:pt idx="10">
                  <c:v>0.5</c:v>
                </c:pt>
              </c:numCache>
            </c:numRef>
          </c:val>
          <c:extLst>
            <c:ext xmlns:c16="http://schemas.microsoft.com/office/drawing/2014/chart" uri="{C3380CC4-5D6E-409C-BE32-E72D297353CC}">
              <c16:uniqueId val="{00000002-595E-4432-88F3-125A29EB9F8E}"/>
            </c:ext>
          </c:extLst>
        </c:ser>
        <c:ser>
          <c:idx val="1"/>
          <c:order val="1"/>
          <c:tx>
            <c:strRef>
              <c:f>'Youthful Offenders 2017'!$Q$11</c:f>
              <c:strCache>
                <c:ptCount val="1"/>
                <c:pt idx="0">
                  <c:v>% White </c:v>
                </c:pt>
              </c:strCache>
            </c:strRef>
          </c:tx>
          <c:spPr>
            <a:solidFill>
              <a:schemeClr val="tx2">
                <a:lumMod val="20000"/>
                <a:lumOff val="80000"/>
              </a:schemeClr>
            </a:solidFill>
          </c:spPr>
          <c:invertIfNegative val="0"/>
          <c:dLbls>
            <c:dLbl>
              <c:idx val="0"/>
              <c:layout>
                <c:manualLayout>
                  <c:x val="0"/>
                  <c:y val="-1.3582345375157926E-2"/>
                </c:manualLayout>
              </c:layout>
              <c:spPr/>
              <c:txPr>
                <a:bodyPr/>
                <a:lstStyle/>
                <a:p>
                  <a:pPr>
                    <a:defRPr sz="9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5E-4432-88F3-125A29EB9F8E}"/>
                </c:ext>
              </c:extLst>
            </c:dLbl>
            <c:dLbl>
              <c:idx val="1"/>
              <c:layout>
                <c:manualLayout>
                  <c:x val="0"/>
                  <c:y val="-1.3582345375157926E-2"/>
                </c:manualLayout>
              </c:layout>
              <c:spPr/>
              <c:txPr>
                <a:bodyPr/>
                <a:lstStyle/>
                <a:p>
                  <a:pPr>
                    <a:defRPr sz="9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95E-4432-88F3-125A29EB9F8E}"/>
                </c:ext>
              </c:extLst>
            </c:dLbl>
            <c:dLbl>
              <c:idx val="2"/>
              <c:delete val="1"/>
              <c:extLst>
                <c:ext xmlns:c15="http://schemas.microsoft.com/office/drawing/2012/chart" uri="{CE6537A1-D6FC-4f65-9D91-7224C49458BB}"/>
                <c:ext xmlns:c16="http://schemas.microsoft.com/office/drawing/2014/chart" uri="{C3380CC4-5D6E-409C-BE32-E72D297353CC}">
                  <c16:uniqueId val="{00000005-595E-4432-88F3-125A29EB9F8E}"/>
                </c:ext>
              </c:extLst>
            </c:dLbl>
            <c:dLbl>
              <c:idx val="3"/>
              <c:layout>
                <c:manualLayout>
                  <c:x val="0"/>
                  <c:y val="-9.0548969167720331E-3"/>
                </c:manualLayout>
              </c:layout>
              <c:spPr/>
              <c:txPr>
                <a:bodyPr/>
                <a:lstStyle/>
                <a:p>
                  <a:pPr>
                    <a:defRPr sz="9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95E-4432-88F3-125A29EB9F8E}"/>
                </c:ext>
              </c:extLst>
            </c:dLbl>
            <c:dLbl>
              <c:idx val="4"/>
              <c:layout>
                <c:manualLayout>
                  <c:x val="0"/>
                  <c:y val="-1.3582345375157926E-2"/>
                </c:manualLayout>
              </c:layout>
              <c:spPr/>
              <c:txPr>
                <a:bodyPr/>
                <a:lstStyle/>
                <a:p>
                  <a:pPr>
                    <a:defRPr sz="9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95E-4432-88F3-125A29EB9F8E}"/>
                </c:ext>
              </c:extLst>
            </c:dLbl>
            <c:dLbl>
              <c:idx val="5"/>
              <c:layout>
                <c:manualLayout>
                  <c:x val="3.7262442169814612E-17"/>
                  <c:y val="-1.3582345375157926E-2"/>
                </c:manualLayout>
              </c:layout>
              <c:spPr/>
              <c:txPr>
                <a:bodyPr/>
                <a:lstStyle/>
                <a:p>
                  <a:pPr>
                    <a:defRPr sz="9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95E-4432-88F3-125A29EB9F8E}"/>
                </c:ext>
              </c:extLst>
            </c:dLbl>
            <c:dLbl>
              <c:idx val="6"/>
              <c:layout>
                <c:manualLayout>
                  <c:x val="0"/>
                  <c:y val="1.3620797400324959E-2"/>
                </c:manualLayout>
              </c:layout>
              <c:spPr/>
              <c:txPr>
                <a:bodyPr/>
                <a:lstStyle/>
                <a:p>
                  <a:pPr>
                    <a:defRPr sz="9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95E-4432-88F3-125A29EB9F8E}"/>
                </c:ext>
              </c:extLst>
            </c:dLbl>
            <c:dLbl>
              <c:idx val="7"/>
              <c:layout>
                <c:manualLayout>
                  <c:x val="0"/>
                  <c:y val="-9.0548969167719498E-3"/>
                </c:manualLayout>
              </c:layout>
              <c:spPr/>
              <c:txPr>
                <a:bodyPr/>
                <a:lstStyle/>
                <a:p>
                  <a:pPr>
                    <a:defRPr sz="9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95E-4432-88F3-125A29EB9F8E}"/>
                </c:ext>
              </c:extLst>
            </c:dLbl>
            <c:dLbl>
              <c:idx val="8"/>
              <c:layout>
                <c:manualLayout>
                  <c:x val="0"/>
                  <c:y val="-9.0548969167719914E-3"/>
                </c:manualLayout>
              </c:layout>
              <c:spPr/>
              <c:txPr>
                <a:bodyPr/>
                <a:lstStyle/>
                <a:p>
                  <a:pPr>
                    <a:defRPr sz="9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95E-4432-88F3-125A29EB9F8E}"/>
                </c:ext>
              </c:extLst>
            </c:dLbl>
            <c:dLbl>
              <c:idx val="10"/>
              <c:layout>
                <c:manualLayout>
                  <c:x val="0"/>
                  <c:y val="1.3628653561161998E-2"/>
                </c:manualLayout>
              </c:layout>
              <c:spPr/>
              <c:txPr>
                <a:bodyPr/>
                <a:lstStyle/>
                <a:p>
                  <a:pPr>
                    <a:defRPr sz="9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95E-4432-88F3-125A29EB9F8E}"/>
                </c:ext>
              </c:extLst>
            </c:dLbl>
            <c:spPr>
              <a:noFill/>
              <a:ln>
                <a:noFill/>
              </a:ln>
              <a:effectLst/>
            </c:spPr>
            <c:txPr>
              <a:bodyPr wrap="square" lIns="38100" tIns="19050" rIns="38100" bIns="19050" anchor="ctr">
                <a:spAutoFit/>
              </a:bodyPr>
              <a:lstStyle/>
              <a:p>
                <a:pPr>
                  <a:defRPr sz="9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'Youthful Offenders 2017'!$O$12:$O$22</c:f>
              <c:strCache>
                <c:ptCount val="11"/>
                <c:pt idx="0">
                  <c:v>Worcester</c:v>
                </c:pt>
                <c:pt idx="1">
                  <c:v>Suffolk</c:v>
                </c:pt>
                <c:pt idx="2">
                  <c:v>Plymouth</c:v>
                </c:pt>
                <c:pt idx="3">
                  <c:v>Norfolk</c:v>
                </c:pt>
                <c:pt idx="4">
                  <c:v>Middlesex</c:v>
                </c:pt>
                <c:pt idx="5">
                  <c:v>Hampden</c:v>
                </c:pt>
                <c:pt idx="6">
                  <c:v>Franklin/Hampshire</c:v>
                </c:pt>
                <c:pt idx="7">
                  <c:v>Essex</c:v>
                </c:pt>
                <c:pt idx="8">
                  <c:v>Bristol</c:v>
                </c:pt>
                <c:pt idx="9">
                  <c:v>Berkshire</c:v>
                </c:pt>
                <c:pt idx="10">
                  <c:v>Barnstable</c:v>
                </c:pt>
              </c:strCache>
            </c:strRef>
          </c:cat>
          <c:val>
            <c:numRef>
              <c:f>'Youthful Offenders 2017'!$Q$12:$Q$22</c:f>
              <c:numCache>
                <c:formatCode>0%</c:formatCode>
                <c:ptCount val="11"/>
                <c:pt idx="0">
                  <c:v>0.15</c:v>
                </c:pt>
                <c:pt idx="1">
                  <c:v>0.09</c:v>
                </c:pt>
                <c:pt idx="2">
                  <c:v>0</c:v>
                </c:pt>
                <c:pt idx="3">
                  <c:v>0.28999999999999998</c:v>
                </c:pt>
                <c:pt idx="4">
                  <c:v>0</c:v>
                </c:pt>
                <c:pt idx="5">
                  <c:v>0.17</c:v>
                </c:pt>
                <c:pt idx="6">
                  <c:v>0</c:v>
                </c:pt>
                <c:pt idx="7">
                  <c:v>0.3</c:v>
                </c:pt>
                <c:pt idx="8">
                  <c:v>0.44</c:v>
                </c:pt>
                <c:pt idx="9">
                  <c:v>0.25</c:v>
                </c:pt>
                <c:pt idx="10">
                  <c:v>0.5</c:v>
                </c:pt>
              </c:numCache>
            </c:numRef>
          </c:val>
          <c:extLst>
            <c:ext xmlns:c16="http://schemas.microsoft.com/office/drawing/2014/chart" uri="{C3380CC4-5D6E-409C-BE32-E72D297353CC}">
              <c16:uniqueId val="{0000000D-595E-4432-88F3-125A29EB9F8E}"/>
            </c:ext>
          </c:extLst>
        </c:ser>
        <c:dLbls>
          <c:showLegendKey val="0"/>
          <c:showVal val="0"/>
          <c:showCatName val="0"/>
          <c:showSerName val="0"/>
          <c:showPercent val="0"/>
          <c:showBubbleSize val="0"/>
        </c:dLbls>
        <c:gapWidth val="150"/>
        <c:axId val="328484608"/>
        <c:axId val="1"/>
      </c:barChart>
      <c:catAx>
        <c:axId val="328484608"/>
        <c:scaling>
          <c:orientation val="minMax"/>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County</a:t>
                </a:r>
              </a:p>
            </c:rich>
          </c:tx>
          <c:layout>
            <c:manualLayout>
              <c:xMode val="edge"/>
              <c:yMode val="edge"/>
              <c:x val="1.3679241151585754E-2"/>
              <c:y val="0.37148269382892452"/>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
        <c:crosses val="autoZero"/>
        <c:auto val="1"/>
        <c:lblAlgn val="ctr"/>
        <c:lblOffset val="100"/>
        <c:noMultiLvlLbl val="0"/>
      </c:catAx>
      <c:valAx>
        <c:axId val="1"/>
        <c:scaling>
          <c:orientation val="minMax"/>
          <c:max val="1"/>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Percent</a:t>
                </a:r>
              </a:p>
            </c:rich>
          </c:tx>
          <c:layout>
            <c:manualLayout>
              <c:xMode val="edge"/>
              <c:yMode val="edge"/>
              <c:x val="0.52499237112269181"/>
              <c:y val="0.92684032528720806"/>
            </c:manualLayout>
          </c:layout>
          <c:overlay val="0"/>
        </c:title>
        <c:numFmt formatCode="0%"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328484608"/>
        <c:crosses val="autoZero"/>
        <c:crossBetween val="between"/>
      </c:valAx>
    </c:plotArea>
    <c:legend>
      <c:legendPos val="r"/>
      <c:layout>
        <c:manualLayout>
          <c:xMode val="edge"/>
          <c:yMode val="edge"/>
          <c:x val="0.83904801754853109"/>
          <c:y val="0.30440376920098106"/>
          <c:w val="0.12674299770499697"/>
          <c:h val="0.153608880857106"/>
        </c:manualLayout>
      </c:layout>
      <c:overlay val="0"/>
      <c:txPr>
        <a:bodyPr/>
        <a:lstStyle/>
        <a:p>
          <a:pPr>
            <a:defRPr sz="845"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latin typeface="Times New Roman" panose="02020603050405020304" pitchFamily="18" charset="0"/>
                <a:cs typeface="Times New Roman" panose="02020603050405020304" pitchFamily="18" charset="0"/>
              </a:defRPr>
            </a:pPr>
            <a:r>
              <a:rPr lang="en-US" sz="1200" b="1" i="0" baseline="0">
                <a:effectLst/>
                <a:latin typeface="Times New Roman" panose="02020603050405020304" pitchFamily="18" charset="0"/>
                <a:cs typeface="Times New Roman" panose="02020603050405020304" pitchFamily="18" charset="0"/>
              </a:rPr>
              <a:t>Number of Massachusetts Juvenile Court </a:t>
            </a:r>
            <a:endParaRPr lang="en-US" sz="1200">
              <a:effectLst/>
              <a:latin typeface="Times New Roman" panose="02020603050405020304" pitchFamily="18" charset="0"/>
              <a:cs typeface="Times New Roman" panose="02020603050405020304" pitchFamily="18" charset="0"/>
            </a:endParaRPr>
          </a:p>
          <a:p>
            <a:pPr algn="ctr">
              <a:defRPr sz="1200">
                <a:latin typeface="Times New Roman" panose="02020603050405020304" pitchFamily="18" charset="0"/>
                <a:cs typeface="Times New Roman" panose="02020603050405020304" pitchFamily="18" charset="0"/>
              </a:defRPr>
            </a:pPr>
            <a:r>
              <a:rPr lang="en-US" sz="1200" b="1" i="0" baseline="0">
                <a:effectLst/>
                <a:latin typeface="Times New Roman" panose="02020603050405020304" pitchFamily="18" charset="0"/>
                <a:cs typeface="Times New Roman" panose="02020603050405020304" pitchFamily="18" charset="0"/>
              </a:rPr>
              <a:t>Application for Complaint Cases by County</a:t>
            </a:r>
            <a:endParaRPr lang="en-US" sz="1200">
              <a:effectLst/>
              <a:latin typeface="Times New Roman" panose="02020603050405020304" pitchFamily="18" charset="0"/>
              <a:cs typeface="Times New Roman" panose="02020603050405020304" pitchFamily="18" charset="0"/>
            </a:endParaRPr>
          </a:p>
          <a:p>
            <a:pPr algn="ctr">
              <a:defRPr sz="1200">
                <a:latin typeface="Times New Roman" panose="02020603050405020304" pitchFamily="18" charset="0"/>
                <a:cs typeface="Times New Roman" panose="02020603050405020304" pitchFamily="18" charset="0"/>
              </a:defRPr>
            </a:pPr>
            <a:r>
              <a:rPr lang="en-US" sz="1200" b="1" i="0" baseline="0">
                <a:effectLst/>
                <a:latin typeface="Times New Roman" panose="02020603050405020304" pitchFamily="18" charset="0"/>
                <a:cs typeface="Times New Roman" panose="02020603050405020304" pitchFamily="18" charset="0"/>
              </a:rPr>
              <a:t>SFY 2017</a:t>
            </a:r>
            <a:endParaRPr lang="en-US" sz="1200">
              <a:effectLst/>
              <a:latin typeface="Times New Roman" panose="02020603050405020304" pitchFamily="18" charset="0"/>
              <a:cs typeface="Times New Roman" panose="02020603050405020304" pitchFamily="18" charset="0"/>
            </a:endParaRPr>
          </a:p>
        </c:rich>
      </c:tx>
      <c:layout>
        <c:manualLayout>
          <c:xMode val="edge"/>
          <c:yMode val="edge"/>
          <c:x val="0.21280515201130368"/>
          <c:y val="2.4184215345174877E-2"/>
        </c:manualLayout>
      </c:layout>
      <c:overlay val="0"/>
    </c:title>
    <c:autoTitleDeleted val="0"/>
    <c:plotArea>
      <c:layout>
        <c:manualLayout>
          <c:layoutTarget val="inner"/>
          <c:xMode val="edge"/>
          <c:yMode val="edge"/>
          <c:x val="0.17082416044912277"/>
          <c:y val="0.2885625644416292"/>
          <c:w val="0.80004641524588627"/>
          <c:h val="0.41135559757907542"/>
        </c:manualLayout>
      </c:layout>
      <c:barChart>
        <c:barDir val="col"/>
        <c:grouping val="clustered"/>
        <c:varyColors val="0"/>
        <c:ser>
          <c:idx val="0"/>
          <c:order val="0"/>
          <c:spPr>
            <a:pattFill prst="pct60">
              <a:fgClr>
                <a:schemeClr val="accent4">
                  <a:lumMod val="60000"/>
                  <a:lumOff val="40000"/>
                </a:schemeClr>
              </a:fgClr>
              <a:bgClr>
                <a:schemeClr val="bg1"/>
              </a:bgClr>
            </a:pattFill>
          </c:spPr>
          <c:invertIfNegative val="0"/>
          <c:dLbls>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'Application for Complaint 2017'!$B$5:$B$15</c:f>
              <c:strCache>
                <c:ptCount val="11"/>
                <c:pt idx="0">
                  <c:v>Middlesex</c:v>
                </c:pt>
                <c:pt idx="1">
                  <c:v>Worcester</c:v>
                </c:pt>
                <c:pt idx="2">
                  <c:v>Essex</c:v>
                </c:pt>
                <c:pt idx="3">
                  <c:v>Bristol</c:v>
                </c:pt>
                <c:pt idx="4">
                  <c:v>Suffolk</c:v>
                </c:pt>
                <c:pt idx="5">
                  <c:v>Hampden</c:v>
                </c:pt>
                <c:pt idx="6">
                  <c:v>Norfolk</c:v>
                </c:pt>
                <c:pt idx="7">
                  <c:v>Plymouth</c:v>
                </c:pt>
                <c:pt idx="8">
                  <c:v>Barnstable</c:v>
                </c:pt>
                <c:pt idx="9">
                  <c:v>Franklin/Hampshire</c:v>
                </c:pt>
                <c:pt idx="10">
                  <c:v>Berkshire</c:v>
                </c:pt>
              </c:strCache>
            </c:strRef>
          </c:cat>
          <c:val>
            <c:numRef>
              <c:f>'Application for Complaint 2017'!$C$5:$C$15</c:f>
              <c:numCache>
                <c:formatCode>#,##0</c:formatCode>
                <c:ptCount val="11"/>
                <c:pt idx="0">
                  <c:v>1982</c:v>
                </c:pt>
                <c:pt idx="1">
                  <c:v>1832</c:v>
                </c:pt>
                <c:pt idx="2">
                  <c:v>1709</c:v>
                </c:pt>
                <c:pt idx="3">
                  <c:v>1649</c:v>
                </c:pt>
                <c:pt idx="4">
                  <c:v>1649</c:v>
                </c:pt>
                <c:pt idx="5">
                  <c:v>1410</c:v>
                </c:pt>
                <c:pt idx="6" formatCode="General">
                  <c:v>812</c:v>
                </c:pt>
                <c:pt idx="7" formatCode="General">
                  <c:v>706</c:v>
                </c:pt>
                <c:pt idx="8" formatCode="General">
                  <c:v>668</c:v>
                </c:pt>
                <c:pt idx="9" formatCode="General">
                  <c:v>394</c:v>
                </c:pt>
                <c:pt idx="10" formatCode="General">
                  <c:v>368</c:v>
                </c:pt>
              </c:numCache>
            </c:numRef>
          </c:val>
          <c:extLst>
            <c:ext xmlns:c16="http://schemas.microsoft.com/office/drawing/2014/chart" uri="{C3380CC4-5D6E-409C-BE32-E72D297353CC}">
              <c16:uniqueId val="{00000000-EBF8-4359-8A91-41D75F26740A}"/>
            </c:ext>
          </c:extLst>
        </c:ser>
        <c:dLbls>
          <c:showLegendKey val="0"/>
          <c:showVal val="0"/>
          <c:showCatName val="0"/>
          <c:showSerName val="0"/>
          <c:showPercent val="0"/>
          <c:showBubbleSize val="0"/>
        </c:dLbls>
        <c:gapWidth val="150"/>
        <c:axId val="142528896"/>
        <c:axId val="142530816"/>
      </c:barChart>
      <c:catAx>
        <c:axId val="142528896"/>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County</a:t>
                </a:r>
              </a:p>
            </c:rich>
          </c:tx>
          <c:layout>
            <c:manualLayout>
              <c:xMode val="edge"/>
              <c:yMode val="edge"/>
              <c:x val="0.47482912185226761"/>
              <c:y val="0.90891472868217049"/>
            </c:manualLayout>
          </c:layout>
          <c:overlay val="0"/>
        </c:title>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42530816"/>
        <c:crosses val="autoZero"/>
        <c:auto val="1"/>
        <c:lblAlgn val="ctr"/>
        <c:lblOffset val="100"/>
        <c:noMultiLvlLbl val="0"/>
      </c:catAx>
      <c:valAx>
        <c:axId val="142530816"/>
        <c:scaling>
          <c:orientation val="minMax"/>
        </c:scaling>
        <c:delete val="0"/>
        <c:axPos val="l"/>
        <c:majorGridlines>
          <c:spPr>
            <a:ln>
              <a:noFill/>
            </a:ln>
          </c:spPr>
        </c:majorGridlines>
        <c:title>
          <c:tx>
            <c:rich>
              <a:bodyPr rot="-5400000" vert="horz"/>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Number of Cases</a:t>
                </a:r>
              </a:p>
            </c:rich>
          </c:tx>
          <c:layout>
            <c:manualLayout>
              <c:xMode val="edge"/>
              <c:yMode val="edge"/>
              <c:x val="2.7846862473802036E-2"/>
              <c:y val="0.33319904779344445"/>
            </c:manualLayout>
          </c:layout>
          <c:overlay val="0"/>
        </c:title>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42528896"/>
        <c:crosses val="autoZero"/>
        <c:crossBetween val="between"/>
      </c:valAx>
    </c:plotArea>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Percent of Massachusetts</a:t>
            </a:r>
            <a:r>
              <a:rPr lang="en-US" sz="1200" baseline="0">
                <a:latin typeface="Times New Roman" panose="02020603050405020304" pitchFamily="18" charset="0"/>
                <a:cs typeface="Times New Roman" panose="02020603050405020304" pitchFamily="18" charset="0"/>
              </a:rPr>
              <a:t> Juvenile Court Application for Complaint Cases by Race/Ethnicity, SFY 2017</a:t>
            </a:r>
            <a:endParaRPr lang="en-US" sz="1200">
              <a:latin typeface="Times New Roman" panose="02020603050405020304" pitchFamily="18" charset="0"/>
              <a:cs typeface="Times New Roman" panose="02020603050405020304" pitchFamily="18" charset="0"/>
            </a:endParaRPr>
          </a:p>
        </c:rich>
      </c:tx>
      <c:layout>
        <c:manualLayout>
          <c:xMode val="edge"/>
          <c:yMode val="edge"/>
          <c:x val="0.12945026473308802"/>
          <c:y val="1.2158054711246201E-2"/>
        </c:manualLayout>
      </c:layout>
      <c:overlay val="0"/>
    </c:title>
    <c:autoTitleDeleted val="0"/>
    <c:plotArea>
      <c:layout>
        <c:manualLayout>
          <c:layoutTarget val="inner"/>
          <c:xMode val="edge"/>
          <c:yMode val="edge"/>
          <c:x val="0.2763925319808318"/>
          <c:y val="0.18506834910620398"/>
          <c:w val="0.60676010786261492"/>
          <c:h val="0.68281870210349782"/>
        </c:manualLayout>
      </c:layout>
      <c:barChart>
        <c:barDir val="bar"/>
        <c:grouping val="clustered"/>
        <c:varyColors val="0"/>
        <c:ser>
          <c:idx val="0"/>
          <c:order val="0"/>
          <c:tx>
            <c:strRef>
              <c:f>'Application for Complaint 2017'!$C$20</c:f>
              <c:strCache>
                <c:ptCount val="1"/>
                <c:pt idx="0">
                  <c:v>% Minority</c:v>
                </c:pt>
              </c:strCache>
            </c:strRef>
          </c:tx>
          <c:spPr>
            <a:solidFill>
              <a:schemeClr val="accent4">
                <a:lumMod val="75000"/>
              </a:schemeClr>
            </a:solidFill>
          </c:spPr>
          <c:invertIfNegative val="0"/>
          <c:dLbls>
            <c:dLbl>
              <c:idx val="3"/>
              <c:layout>
                <c:manualLayout>
                  <c:x val="-7.540054312139250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618-486B-8911-F3C3757841D4}"/>
                </c:ext>
              </c:extLst>
            </c:dLbl>
            <c:dLbl>
              <c:idx val="4"/>
              <c:layout>
                <c:manualLayout>
                  <c:x val="-2.513351437379842E-3"/>
                  <c:y val="8.1053698074973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618-486B-8911-F3C3757841D4}"/>
                </c:ext>
              </c:extLst>
            </c:dLbl>
            <c:dLbl>
              <c:idx val="6"/>
              <c:layout>
                <c:manualLayout>
                  <c:x val="-1.2566757186898841E-2"/>
                  <c:y val="1.2158054711246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618-486B-8911-F3C3757841D4}"/>
                </c:ext>
              </c:extLst>
            </c:dLbl>
            <c:dLbl>
              <c:idx val="7"/>
              <c:layout>
                <c:manualLayout>
                  <c:x val="-1.0053405749519E-2"/>
                  <c:y val="4.05268490374873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618-486B-8911-F3C3757841D4}"/>
                </c:ext>
              </c:extLst>
            </c:dLbl>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'Application for Complaint 2017'!$B$21:$B$31</c:f>
              <c:strCache>
                <c:ptCount val="11"/>
                <c:pt idx="0">
                  <c:v>Barnstable </c:v>
                </c:pt>
                <c:pt idx="1">
                  <c:v>Berkshire</c:v>
                </c:pt>
                <c:pt idx="2">
                  <c:v>Bristol</c:v>
                </c:pt>
                <c:pt idx="3">
                  <c:v>Essex</c:v>
                </c:pt>
                <c:pt idx="4">
                  <c:v>Franklin/Hampshire</c:v>
                </c:pt>
                <c:pt idx="5">
                  <c:v>Hampden</c:v>
                </c:pt>
                <c:pt idx="6">
                  <c:v>Middlesex</c:v>
                </c:pt>
                <c:pt idx="7">
                  <c:v>Norfolk</c:v>
                </c:pt>
                <c:pt idx="8">
                  <c:v>Plymouth</c:v>
                </c:pt>
                <c:pt idx="9">
                  <c:v>Suffolk</c:v>
                </c:pt>
                <c:pt idx="10">
                  <c:v>Worcester</c:v>
                </c:pt>
              </c:strCache>
            </c:strRef>
          </c:cat>
          <c:val>
            <c:numRef>
              <c:f>'Application for Complaint 2017'!$C$21:$C$31</c:f>
              <c:numCache>
                <c:formatCode>0%</c:formatCode>
                <c:ptCount val="11"/>
                <c:pt idx="0">
                  <c:v>0.23</c:v>
                </c:pt>
                <c:pt idx="1">
                  <c:v>0.42</c:v>
                </c:pt>
                <c:pt idx="2">
                  <c:v>0.41</c:v>
                </c:pt>
                <c:pt idx="3">
                  <c:v>0.44</c:v>
                </c:pt>
                <c:pt idx="4">
                  <c:v>0.3</c:v>
                </c:pt>
                <c:pt idx="5">
                  <c:v>0.68</c:v>
                </c:pt>
                <c:pt idx="6">
                  <c:v>0.53</c:v>
                </c:pt>
                <c:pt idx="7">
                  <c:v>0.51</c:v>
                </c:pt>
                <c:pt idx="8">
                  <c:v>0.4</c:v>
                </c:pt>
                <c:pt idx="9">
                  <c:v>0.86</c:v>
                </c:pt>
                <c:pt idx="10">
                  <c:v>0.48</c:v>
                </c:pt>
              </c:numCache>
            </c:numRef>
          </c:val>
          <c:extLst>
            <c:ext xmlns:c16="http://schemas.microsoft.com/office/drawing/2014/chart" uri="{C3380CC4-5D6E-409C-BE32-E72D297353CC}">
              <c16:uniqueId val="{00000004-4618-486B-8911-F3C3757841D4}"/>
            </c:ext>
          </c:extLst>
        </c:ser>
        <c:ser>
          <c:idx val="1"/>
          <c:order val="1"/>
          <c:tx>
            <c:strRef>
              <c:f>'Application for Complaint 2017'!$D$20</c:f>
              <c:strCache>
                <c:ptCount val="1"/>
                <c:pt idx="0">
                  <c:v>% White </c:v>
                </c:pt>
              </c:strCache>
            </c:strRef>
          </c:tx>
          <c:spPr>
            <a:solidFill>
              <a:schemeClr val="accent4">
                <a:lumMod val="40000"/>
                <a:lumOff val="60000"/>
              </a:schemeClr>
            </a:solidFill>
          </c:spPr>
          <c:invertIfNegative val="0"/>
          <c:dLbls>
            <c:dLbl>
              <c:idx val="3"/>
              <c:layout>
                <c:manualLayout>
                  <c:x val="-2.5133514373797501E-3"/>
                  <c:y val="-1.21580547112462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618-486B-8911-F3C3757841D4}"/>
                </c:ext>
              </c:extLst>
            </c:dLbl>
            <c:dLbl>
              <c:idx val="5"/>
              <c:layout>
                <c:manualLayout>
                  <c:x val="-7.5400543121392502E-3"/>
                  <c:y val="-8.105369807497467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618-486B-8911-F3C3757841D4}"/>
                </c:ext>
              </c:extLst>
            </c:dLbl>
            <c:dLbl>
              <c:idx val="6"/>
              <c:layout>
                <c:manualLayout>
                  <c:x val="1.25667571868987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618-486B-8911-F3C3757841D4}"/>
                </c:ext>
              </c:extLst>
            </c:dLbl>
            <c:dLbl>
              <c:idx val="7"/>
              <c:layout>
                <c:manualLayout>
                  <c:x val="-9.2155154786378833E-17"/>
                  <c:y val="-1.2158054711246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618-486B-8911-F3C3757841D4}"/>
                </c:ext>
              </c:extLst>
            </c:dLbl>
            <c:dLbl>
              <c:idx val="9"/>
              <c:layout>
                <c:manualLayout>
                  <c:x val="-5.0267028747595002E-3"/>
                  <c:y val="-4.66633160216675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618-486B-8911-F3C3757841D4}"/>
                </c:ext>
              </c:extLst>
            </c:dLbl>
            <c:dLbl>
              <c:idx val="10"/>
              <c:layout>
                <c:manualLayout>
                  <c:x val="-8.0240713716928872E-3"/>
                  <c:y val="-1.68243953732912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618-486B-8911-F3C3757841D4}"/>
                </c:ext>
              </c:extLst>
            </c:dLbl>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'Application for Complaint 2017'!$B$21:$B$31</c:f>
              <c:strCache>
                <c:ptCount val="11"/>
                <c:pt idx="0">
                  <c:v>Barnstable </c:v>
                </c:pt>
                <c:pt idx="1">
                  <c:v>Berkshire</c:v>
                </c:pt>
                <c:pt idx="2">
                  <c:v>Bristol</c:v>
                </c:pt>
                <c:pt idx="3">
                  <c:v>Essex</c:v>
                </c:pt>
                <c:pt idx="4">
                  <c:v>Franklin/Hampshire</c:v>
                </c:pt>
                <c:pt idx="5">
                  <c:v>Hampden</c:v>
                </c:pt>
                <c:pt idx="6">
                  <c:v>Middlesex</c:v>
                </c:pt>
                <c:pt idx="7">
                  <c:v>Norfolk</c:v>
                </c:pt>
                <c:pt idx="8">
                  <c:v>Plymouth</c:v>
                </c:pt>
                <c:pt idx="9">
                  <c:v>Suffolk</c:v>
                </c:pt>
                <c:pt idx="10">
                  <c:v>Worcester</c:v>
                </c:pt>
              </c:strCache>
            </c:strRef>
          </c:cat>
          <c:val>
            <c:numRef>
              <c:f>'Application for Complaint 2017'!$D$21:$D$31</c:f>
              <c:numCache>
                <c:formatCode>0%</c:formatCode>
                <c:ptCount val="11"/>
                <c:pt idx="0">
                  <c:v>0.77</c:v>
                </c:pt>
                <c:pt idx="1">
                  <c:v>0.57999999999999996</c:v>
                </c:pt>
                <c:pt idx="2">
                  <c:v>0.59</c:v>
                </c:pt>
                <c:pt idx="3">
                  <c:v>0.56000000000000005</c:v>
                </c:pt>
                <c:pt idx="4">
                  <c:v>0.7</c:v>
                </c:pt>
                <c:pt idx="5">
                  <c:v>0.32</c:v>
                </c:pt>
                <c:pt idx="6">
                  <c:v>0.47</c:v>
                </c:pt>
                <c:pt idx="7">
                  <c:v>0.49</c:v>
                </c:pt>
                <c:pt idx="8">
                  <c:v>0.6</c:v>
                </c:pt>
                <c:pt idx="9">
                  <c:v>0.14000000000000001</c:v>
                </c:pt>
                <c:pt idx="10">
                  <c:v>0.52</c:v>
                </c:pt>
              </c:numCache>
            </c:numRef>
          </c:val>
          <c:extLst>
            <c:ext xmlns:c16="http://schemas.microsoft.com/office/drawing/2014/chart" uri="{C3380CC4-5D6E-409C-BE32-E72D297353CC}">
              <c16:uniqueId val="{0000000B-4618-486B-8911-F3C3757841D4}"/>
            </c:ext>
          </c:extLst>
        </c:ser>
        <c:dLbls>
          <c:showLegendKey val="0"/>
          <c:showVal val="0"/>
          <c:showCatName val="0"/>
          <c:showSerName val="0"/>
          <c:showPercent val="0"/>
          <c:showBubbleSize val="0"/>
        </c:dLbls>
        <c:gapWidth val="150"/>
        <c:axId val="142618624"/>
        <c:axId val="142620160"/>
      </c:barChart>
      <c:catAx>
        <c:axId val="142618624"/>
        <c:scaling>
          <c:orientation val="minMax"/>
        </c:scaling>
        <c:delete val="0"/>
        <c:axPos val="l"/>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Counties</a:t>
                </a:r>
              </a:p>
            </c:rich>
          </c:tx>
          <c:layout>
            <c:manualLayout>
              <c:xMode val="edge"/>
              <c:yMode val="edge"/>
              <c:x val="2.8742785903856434E-2"/>
              <c:y val="0.3538990290970076"/>
            </c:manualLayout>
          </c:layout>
          <c:overlay val="0"/>
        </c:title>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42620160"/>
        <c:crosses val="autoZero"/>
        <c:auto val="1"/>
        <c:lblAlgn val="ctr"/>
        <c:lblOffset val="100"/>
        <c:noMultiLvlLbl val="0"/>
      </c:catAx>
      <c:valAx>
        <c:axId val="142620160"/>
        <c:scaling>
          <c:orientation val="minMax"/>
        </c:scaling>
        <c:delete val="0"/>
        <c:axPos val="b"/>
        <c:majorGridlines>
          <c:spPr>
            <a:ln>
              <a:noFill/>
            </a:ln>
          </c:spPr>
        </c:majorGridlines>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Percent</a:t>
                </a:r>
              </a:p>
            </c:rich>
          </c:tx>
          <c:layout>
            <c:manualLayout>
              <c:xMode val="edge"/>
              <c:yMode val="edge"/>
              <c:x val="0.51370808896072506"/>
              <c:y val="0.94244312584136147"/>
            </c:manualLayout>
          </c:layout>
          <c:overlay val="0"/>
        </c:title>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42618624"/>
        <c:crosses val="autoZero"/>
        <c:crossBetween val="between"/>
      </c:valAx>
    </c:plotArea>
    <c:legend>
      <c:legendPos val="r"/>
      <c:layout>
        <c:manualLayout>
          <c:xMode val="edge"/>
          <c:yMode val="edge"/>
          <c:x val="0.82299791767843899"/>
          <c:y val="0.37929907697707999"/>
          <c:w val="0.15672626278098575"/>
          <c:h val="0.13750089749419619"/>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en-US"/>
              <a:t> DYS Detention Admissions by County, 2017</a:t>
            </a:r>
          </a:p>
        </c:rich>
      </c:tx>
      <c:layout>
        <c:manualLayout>
          <c:xMode val="edge"/>
          <c:yMode val="edge"/>
          <c:x val="0.13754091904488364"/>
          <c:y val="4.2183421873830888E-2"/>
        </c:manualLayout>
      </c:layout>
      <c:overlay val="0"/>
      <c:spPr>
        <a:noFill/>
        <a:ln w="25400">
          <a:noFill/>
        </a:ln>
      </c:spPr>
    </c:title>
    <c:autoTitleDeleted val="0"/>
    <c:plotArea>
      <c:layout>
        <c:manualLayout>
          <c:layoutTarget val="inner"/>
          <c:xMode val="edge"/>
          <c:yMode val="edge"/>
          <c:x val="0.15666972648991684"/>
          <c:y val="0.20131087953154744"/>
          <c:w val="0.8059155171154232"/>
          <c:h val="0.48197754134236054"/>
        </c:manualLayout>
      </c:layout>
      <c:barChart>
        <c:barDir val="col"/>
        <c:grouping val="clustered"/>
        <c:varyColors val="0"/>
        <c:ser>
          <c:idx val="0"/>
          <c:order val="0"/>
          <c:tx>
            <c:v>DYS Detention Admissions by County, 2009</c:v>
          </c:tx>
          <c:spPr>
            <a:pattFill prst="pct75">
              <a:fgClr>
                <a:schemeClr val="tx2"/>
              </a:fgClr>
              <a:bgClr>
                <a:schemeClr val="bg1"/>
              </a:bgClr>
            </a:pattFill>
            <a:ln w="12700">
              <a:solidFill>
                <a:sysClr val="windowText" lastClr="000000"/>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'DYSDetention_Cty_Race 2017'!$A$30:$A$40</c:f>
              <c:strCache>
                <c:ptCount val="11"/>
                <c:pt idx="0">
                  <c:v>Suffolk</c:v>
                </c:pt>
                <c:pt idx="1">
                  <c:v>Worcester</c:v>
                </c:pt>
                <c:pt idx="2">
                  <c:v>Hampden </c:v>
                </c:pt>
                <c:pt idx="3">
                  <c:v>Essex</c:v>
                </c:pt>
                <c:pt idx="4">
                  <c:v>Bristol</c:v>
                </c:pt>
                <c:pt idx="5">
                  <c:v>Middlesex</c:v>
                </c:pt>
                <c:pt idx="6">
                  <c:v>Barnstable</c:v>
                </c:pt>
                <c:pt idx="7">
                  <c:v>Plymouth</c:v>
                </c:pt>
                <c:pt idx="8">
                  <c:v>Norfolk</c:v>
                </c:pt>
                <c:pt idx="9">
                  <c:v>Berkshire</c:v>
                </c:pt>
                <c:pt idx="10">
                  <c:v>Franklin/Hampshire</c:v>
                </c:pt>
              </c:strCache>
            </c:strRef>
          </c:cat>
          <c:val>
            <c:numRef>
              <c:f>'DYSDetention_Cty_Race 2017'!$B$30:$B$40</c:f>
              <c:numCache>
                <c:formatCode>General</c:formatCode>
                <c:ptCount val="11"/>
                <c:pt idx="0">
                  <c:v>268</c:v>
                </c:pt>
                <c:pt idx="1">
                  <c:v>262</c:v>
                </c:pt>
                <c:pt idx="2">
                  <c:v>206</c:v>
                </c:pt>
                <c:pt idx="3">
                  <c:v>198</c:v>
                </c:pt>
                <c:pt idx="4">
                  <c:v>130</c:v>
                </c:pt>
                <c:pt idx="5">
                  <c:v>99</c:v>
                </c:pt>
                <c:pt idx="6">
                  <c:v>66</c:v>
                </c:pt>
                <c:pt idx="7">
                  <c:v>60</c:v>
                </c:pt>
                <c:pt idx="8">
                  <c:v>51</c:v>
                </c:pt>
                <c:pt idx="9">
                  <c:v>35</c:v>
                </c:pt>
                <c:pt idx="10">
                  <c:v>32</c:v>
                </c:pt>
              </c:numCache>
            </c:numRef>
          </c:val>
          <c:extLst>
            <c:ext xmlns:c16="http://schemas.microsoft.com/office/drawing/2014/chart" uri="{C3380CC4-5D6E-409C-BE32-E72D297353CC}">
              <c16:uniqueId val="{00000000-7949-477D-A987-7CDF331F0185}"/>
            </c:ext>
          </c:extLst>
        </c:ser>
        <c:dLbls>
          <c:showLegendKey val="0"/>
          <c:showVal val="0"/>
          <c:showCatName val="0"/>
          <c:showSerName val="0"/>
          <c:showPercent val="0"/>
          <c:showBubbleSize val="0"/>
        </c:dLbls>
        <c:gapWidth val="60"/>
        <c:axId val="452070216"/>
        <c:axId val="1"/>
      </c:barChart>
      <c:catAx>
        <c:axId val="452070216"/>
        <c:scaling>
          <c:orientation val="minMax"/>
        </c:scaling>
        <c:delete val="0"/>
        <c:axPos val="b"/>
        <c:numFmt formatCode="General" sourceLinked="1"/>
        <c:majorTickMark val="out"/>
        <c:minorTickMark val="none"/>
        <c:tickLblPos val="nextTo"/>
        <c:spPr>
          <a:ln w="3175">
            <a:solidFill>
              <a:srgbClr val="000000"/>
            </a:solidFill>
            <a:prstDash val="solid"/>
          </a:ln>
        </c:spPr>
        <c:txPr>
          <a:bodyPr rot="-4560000" vert="horz"/>
          <a:lstStyle/>
          <a:p>
            <a:pPr>
              <a:defRPr sz="1000" b="0" i="0" u="none" strike="noStrike" baseline="0">
                <a:solidFill>
                  <a:srgbClr val="000000"/>
                </a:solidFill>
                <a:latin typeface="Times New Roman"/>
                <a:ea typeface="Times New Roman"/>
                <a:cs typeface="Times New Roman"/>
              </a:defRPr>
            </a:pPr>
            <a:endParaRPr lang="en-US"/>
          </a:p>
        </c:txPr>
        <c:crossAx val="1"/>
        <c:crosses val="autoZero"/>
        <c:auto val="1"/>
        <c:lblAlgn val="ctr"/>
        <c:lblOffset val="100"/>
        <c:tickLblSkip val="1"/>
        <c:tickMarkSkip val="1"/>
        <c:noMultiLvlLbl val="0"/>
      </c:catAx>
      <c:valAx>
        <c:axId val="1"/>
        <c:scaling>
          <c:orientation val="minMax"/>
          <c:min val="0"/>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Number of Admissions</a:t>
                </a:r>
              </a:p>
            </c:rich>
          </c:tx>
          <c:layout>
            <c:manualLayout>
              <c:xMode val="edge"/>
              <c:yMode val="edge"/>
              <c:x val="2.1376736159015485E-2"/>
              <c:y val="0.19758806001681317"/>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452070216"/>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en-US"/>
              <a:t> DYS Detention Admissions by Race/Ethnicity, 2017</a:t>
            </a:r>
          </a:p>
        </c:rich>
      </c:tx>
      <c:layout>
        <c:manualLayout>
          <c:xMode val="edge"/>
          <c:yMode val="edge"/>
          <c:x val="0.13327870180888934"/>
          <c:y val="2.2459652590304541E-2"/>
        </c:manualLayout>
      </c:layout>
      <c:overlay val="0"/>
      <c:spPr>
        <a:noFill/>
        <a:ln w="25400">
          <a:noFill/>
        </a:ln>
      </c:spPr>
    </c:title>
    <c:autoTitleDeleted val="0"/>
    <c:plotArea>
      <c:layout>
        <c:manualLayout>
          <c:layoutTarget val="inner"/>
          <c:xMode val="edge"/>
          <c:yMode val="edge"/>
          <c:x val="0.29157068090146782"/>
          <c:y val="0.26219281187763316"/>
          <c:w val="0.38861594685067896"/>
          <c:h val="0.57128945606708592"/>
        </c:manualLayout>
      </c:layout>
      <c:pieChart>
        <c:varyColors val="1"/>
        <c:ser>
          <c:idx val="0"/>
          <c:order val="0"/>
          <c:tx>
            <c:v>DYS Detention Admissions by Race/Ethnicity, 2009</c:v>
          </c:tx>
          <c:spPr>
            <a:solidFill>
              <a:srgbClr val="9999FF"/>
            </a:solidFill>
            <a:ln w="12700">
              <a:solidFill>
                <a:srgbClr val="000000"/>
              </a:solidFill>
              <a:prstDash val="solid"/>
            </a:ln>
          </c:spPr>
          <c:dPt>
            <c:idx val="0"/>
            <c:bubble3D val="0"/>
            <c:spPr>
              <a:pattFill prst="sphere">
                <a:fgClr>
                  <a:schemeClr val="tx2"/>
                </a:fgClr>
                <a:bgClr>
                  <a:schemeClr val="bg1"/>
                </a:bgClr>
              </a:pattFill>
              <a:ln w="12700">
                <a:solidFill>
                  <a:srgbClr val="000000"/>
                </a:solidFill>
                <a:prstDash val="solid"/>
              </a:ln>
            </c:spPr>
            <c:extLst>
              <c:ext xmlns:c16="http://schemas.microsoft.com/office/drawing/2014/chart" uri="{C3380CC4-5D6E-409C-BE32-E72D297353CC}">
                <c16:uniqueId val="{00000001-6CAB-49E1-8D86-C4D07A29DBB3}"/>
              </c:ext>
            </c:extLst>
          </c:dPt>
          <c:dPt>
            <c:idx val="1"/>
            <c:bubble3D val="0"/>
            <c:spPr>
              <a:solidFill>
                <a:schemeClr val="tx2"/>
              </a:solidFill>
              <a:ln w="12700">
                <a:solidFill>
                  <a:srgbClr val="000000"/>
                </a:solidFill>
                <a:prstDash val="solid"/>
              </a:ln>
            </c:spPr>
            <c:extLst>
              <c:ext xmlns:c16="http://schemas.microsoft.com/office/drawing/2014/chart" uri="{C3380CC4-5D6E-409C-BE32-E72D297353CC}">
                <c16:uniqueId val="{00000003-6CAB-49E1-8D86-C4D07A29DBB3}"/>
              </c:ext>
            </c:extLst>
          </c:dPt>
          <c:dPt>
            <c:idx val="2"/>
            <c:bubble3D val="0"/>
            <c:spPr>
              <a:solidFill>
                <a:srgbClr val="FFCCFF">
                  <a:alpha val="40000"/>
                </a:srgbClr>
              </a:solidFill>
              <a:ln w="12700">
                <a:solidFill>
                  <a:srgbClr val="000000"/>
                </a:solidFill>
                <a:prstDash val="solid"/>
              </a:ln>
            </c:spPr>
            <c:extLst>
              <c:ext xmlns:c16="http://schemas.microsoft.com/office/drawing/2014/chart" uri="{C3380CC4-5D6E-409C-BE32-E72D297353CC}">
                <c16:uniqueId val="{00000005-6CAB-49E1-8D86-C4D07A29DBB3}"/>
              </c:ext>
            </c:extLst>
          </c:dPt>
          <c:dPt>
            <c:idx val="3"/>
            <c:bubble3D val="0"/>
            <c:spPr>
              <a:pattFill prst="pct20">
                <a:fgClr>
                  <a:schemeClr val="bg1"/>
                </a:fgClr>
                <a:bgClr>
                  <a:schemeClr val="tx2"/>
                </a:bgClr>
              </a:pattFill>
              <a:ln w="12700">
                <a:solidFill>
                  <a:srgbClr val="000000"/>
                </a:solidFill>
                <a:prstDash val="solid"/>
              </a:ln>
            </c:spPr>
            <c:extLst>
              <c:ext xmlns:c16="http://schemas.microsoft.com/office/drawing/2014/chart" uri="{C3380CC4-5D6E-409C-BE32-E72D297353CC}">
                <c16:uniqueId val="{00000007-6CAB-49E1-8D86-C4D07A29DBB3}"/>
              </c:ext>
            </c:extLst>
          </c:dPt>
          <c:dPt>
            <c:idx val="4"/>
            <c:bubble3D val="0"/>
            <c:spPr>
              <a:solidFill>
                <a:schemeClr val="tx2">
                  <a:lumMod val="20000"/>
                  <a:lumOff val="80000"/>
                </a:schemeClr>
              </a:solidFill>
              <a:ln w="12700">
                <a:solidFill>
                  <a:srgbClr val="000000"/>
                </a:solidFill>
                <a:prstDash val="solid"/>
              </a:ln>
            </c:spPr>
            <c:extLst>
              <c:ext xmlns:c16="http://schemas.microsoft.com/office/drawing/2014/chart" uri="{C3380CC4-5D6E-409C-BE32-E72D297353CC}">
                <c16:uniqueId val="{00000009-6CAB-49E1-8D86-C4D07A29DBB3}"/>
              </c:ext>
            </c:extLst>
          </c:dPt>
          <c:dLbls>
            <c:dLbl>
              <c:idx val="0"/>
              <c:layout>
                <c:manualLayout>
                  <c:x val="3.2910009055885557E-2"/>
                  <c:y val="-3.7512070250477952E-2"/>
                </c:manualLayout>
              </c:layout>
              <c:tx>
                <c:rich>
                  <a:bodyPr/>
                  <a:lstStyle/>
                  <a:p>
                    <a:pPr>
                      <a:defRPr sz="1000" b="0" i="0" u="none" strike="noStrike" baseline="0">
                        <a:solidFill>
                          <a:srgbClr val="000000"/>
                        </a:solidFill>
                        <a:latin typeface="Times New Roman"/>
                        <a:ea typeface="Times New Roman"/>
                        <a:cs typeface="Times New Roman"/>
                      </a:defRPr>
                    </a:pPr>
                    <a:r>
                      <a:rPr lang="en-US"/>
                      <a:t>African American , 28%</a:t>
                    </a:r>
                  </a:p>
                </c:rich>
              </c:tx>
              <c:numFmt formatCode="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AB-49E1-8D86-C4D07A29DBB3}"/>
                </c:ext>
              </c:extLst>
            </c:dLbl>
            <c:dLbl>
              <c:idx val="1"/>
              <c:layout>
                <c:manualLayout>
                  <c:x val="5.1423104275708321E-2"/>
                  <c:y val="3.3239363598068761E-3"/>
                </c:manualLayout>
              </c:layout>
              <c:tx>
                <c:rich>
                  <a:bodyPr/>
                  <a:lstStyle/>
                  <a:p>
                    <a:pPr>
                      <a:defRPr sz="1000" b="0" i="0" u="none" strike="noStrike" baseline="0">
                        <a:solidFill>
                          <a:srgbClr val="000000"/>
                        </a:solidFill>
                        <a:latin typeface="Times New Roman"/>
                        <a:ea typeface="Times New Roman"/>
                        <a:cs typeface="Times New Roman"/>
                      </a:defRPr>
                    </a:pPr>
                    <a:r>
                      <a:rPr lang="en-US"/>
                      <a:t>Asian, 1%</a:t>
                    </a:r>
                  </a:p>
                </c:rich>
              </c:tx>
              <c:numFmt formatCode="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AB-49E1-8D86-C4D07A29DBB3}"/>
                </c:ext>
              </c:extLst>
            </c:dLbl>
            <c:dLbl>
              <c:idx val="2"/>
              <c:layout>
                <c:manualLayout>
                  <c:x val="7.8540411076846006E-2"/>
                  <c:y val="1.8021842097324041E-2"/>
                </c:manualLayout>
              </c:layout>
              <c:numFmt formatCode="0%" sourceLinked="0"/>
              <c:spPr/>
              <c:txPr>
                <a:bodyPr/>
                <a:lstStyle/>
                <a:p>
                  <a:pPr>
                    <a:defRPr sz="10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6CAB-49E1-8D86-C4D07A29DBB3}"/>
                </c:ext>
              </c:extLst>
            </c:dLbl>
            <c:dLbl>
              <c:idx val="3"/>
              <c:layout>
                <c:manualLayout>
                  <c:x val="-1.7914267434420986E-2"/>
                  <c:y val="-0.10683760683760683"/>
                </c:manualLayout>
              </c:layout>
              <c:numFmt formatCode="0%" sourceLinked="0"/>
              <c:spPr/>
              <c:txPr>
                <a:bodyPr/>
                <a:lstStyle/>
                <a:p>
                  <a:pPr>
                    <a:defRPr sz="10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6CAB-49E1-8D86-C4D07A29DBB3}"/>
                </c:ext>
              </c:extLst>
            </c:dLbl>
            <c:dLbl>
              <c:idx val="4"/>
              <c:layout>
                <c:manualLayout>
                  <c:x val="7.8736064424695454E-2"/>
                  <c:y val="-2.8965036777810201E-2"/>
                </c:manualLayout>
              </c:layout>
              <c:numFmt formatCode="0%" sourceLinked="0"/>
              <c:spPr/>
              <c:txPr>
                <a:bodyPr/>
                <a:lstStyle/>
                <a:p>
                  <a:pPr>
                    <a:defRPr sz="1000" b="0"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6CAB-49E1-8D86-C4D07A29DBB3}"/>
                </c:ext>
              </c:extLst>
            </c:dLbl>
            <c:numFmt formatCode="0%" sourceLinked="0"/>
            <c:spPr>
              <a:noFill/>
              <a:ln>
                <a:noFill/>
              </a:ln>
              <a:effectLst/>
            </c:spPr>
            <c:txPr>
              <a:bodyPr wrap="square" lIns="38100" tIns="19050" rIns="38100" bIns="19050" anchor="ctr">
                <a:spAutoFit/>
              </a:bodyPr>
              <a:lstStyle/>
              <a:p>
                <a:pPr>
                  <a:defRPr sz="1000" b="0" i="0" u="none" strike="noStrike" baseline="0">
                    <a:solidFill>
                      <a:srgbClr val="000000"/>
                    </a:solidFill>
                    <a:latin typeface="Times New Roman"/>
                    <a:ea typeface="Times New Roman"/>
                    <a:cs typeface="Times New Roman"/>
                  </a:defRPr>
                </a:pPr>
                <a:endParaRPr lang="en-US"/>
              </a:p>
            </c:txPr>
            <c:dLblPos val="outEnd"/>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'DYSDetention_Cty_Race 2017'!$B$4:$F$4</c:f>
              <c:strCache>
                <c:ptCount val="5"/>
                <c:pt idx="0">
                  <c:v>African American </c:v>
                </c:pt>
                <c:pt idx="1">
                  <c:v>Asian</c:v>
                </c:pt>
                <c:pt idx="2">
                  <c:v>White</c:v>
                </c:pt>
                <c:pt idx="3">
                  <c:v>Hispanic</c:v>
                </c:pt>
                <c:pt idx="4">
                  <c:v>Other</c:v>
                </c:pt>
              </c:strCache>
            </c:strRef>
          </c:cat>
          <c:val>
            <c:numRef>
              <c:f>'DYSDetention_Cty_Race 2017'!$B$19:$F$19</c:f>
              <c:numCache>
                <c:formatCode>General</c:formatCode>
                <c:ptCount val="5"/>
                <c:pt idx="0">
                  <c:v>398</c:v>
                </c:pt>
                <c:pt idx="1">
                  <c:v>13</c:v>
                </c:pt>
                <c:pt idx="2">
                  <c:v>414</c:v>
                </c:pt>
                <c:pt idx="3">
                  <c:v>553</c:v>
                </c:pt>
                <c:pt idx="4">
                  <c:v>30</c:v>
                </c:pt>
              </c:numCache>
            </c:numRef>
          </c:val>
          <c:extLst>
            <c:ext xmlns:c16="http://schemas.microsoft.com/office/drawing/2014/chart" uri="{C3380CC4-5D6E-409C-BE32-E72D297353CC}">
              <c16:uniqueId val="{0000000A-6CAB-49E1-8D86-C4D07A29DBB3}"/>
            </c:ext>
          </c:extLst>
        </c:ser>
        <c:dLbls>
          <c:showLegendKey val="0"/>
          <c:showVal val="0"/>
          <c:showCatName val="0"/>
          <c:showSerName val="0"/>
          <c:showPercent val="0"/>
          <c:showBubbleSize val="0"/>
          <c:showLeaderLines val="1"/>
        </c:dLbls>
        <c:firstSliceAng val="10"/>
      </c:pieChart>
      <c:spPr>
        <a:noFill/>
        <a:ln w="25400">
          <a:noFill/>
        </a:ln>
      </c:spPr>
    </c:plotArea>
    <c:plotVisOnly val="1"/>
    <c:dispBlanksAs val="zero"/>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en-US"/>
              <a:t>New DYS Commitments by County, 2017</a:t>
            </a:r>
          </a:p>
        </c:rich>
      </c:tx>
      <c:layout>
        <c:manualLayout>
          <c:xMode val="edge"/>
          <c:yMode val="edge"/>
          <c:x val="0.27706717741363412"/>
          <c:y val="5.6648610413060067E-2"/>
        </c:manualLayout>
      </c:layout>
      <c:overlay val="0"/>
    </c:title>
    <c:autoTitleDeleted val="0"/>
    <c:plotArea>
      <c:layout>
        <c:manualLayout>
          <c:layoutTarget val="inner"/>
          <c:xMode val="edge"/>
          <c:yMode val="edge"/>
          <c:x val="0.13797129412877443"/>
          <c:y val="0.22314814814814815"/>
          <c:w val="0.82141316119268892"/>
          <c:h val="0.50112715077282011"/>
        </c:manualLayout>
      </c:layout>
      <c:barChart>
        <c:barDir val="col"/>
        <c:grouping val="clustered"/>
        <c:varyColors val="0"/>
        <c:ser>
          <c:idx val="0"/>
          <c:order val="0"/>
          <c:spPr>
            <a:effectLst>
              <a:innerShdw blurRad="63500" dist="50800" dir="13500000">
                <a:prstClr val="black">
                  <a:alpha val="22000"/>
                </a:prstClr>
              </a:innerShdw>
            </a:effectLst>
          </c:spPr>
          <c:invertIfNegative val="0"/>
          <c:dLbls>
            <c:spPr>
              <a:noFill/>
              <a:ln>
                <a:noFill/>
              </a:ln>
              <a:effectLst/>
            </c:spPr>
            <c:txPr>
              <a:bodyPr wrap="square" lIns="38100" tIns="19050" rIns="38100" bIns="19050" anchor="ctr">
                <a:spAutoFit/>
              </a:bodyPr>
              <a:lstStyle/>
              <a:p>
                <a:pPr>
                  <a:defRPr sz="10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'DYS New Commit_RaceCty2017'!$D$27:$D$41</c:f>
              <c:strCache>
                <c:ptCount val="15"/>
                <c:pt idx="0">
                  <c:v>Suffolk </c:v>
                </c:pt>
                <c:pt idx="1">
                  <c:v>Essex</c:v>
                </c:pt>
                <c:pt idx="2">
                  <c:v>Worcester</c:v>
                </c:pt>
                <c:pt idx="3">
                  <c:v>Hampden</c:v>
                </c:pt>
                <c:pt idx="4">
                  <c:v>Bristol</c:v>
                </c:pt>
                <c:pt idx="5">
                  <c:v>Plymouth</c:v>
                </c:pt>
                <c:pt idx="6">
                  <c:v>Middlesex</c:v>
                </c:pt>
                <c:pt idx="7">
                  <c:v>Norfolk</c:v>
                </c:pt>
                <c:pt idx="8">
                  <c:v>Barnstable</c:v>
                </c:pt>
                <c:pt idx="9">
                  <c:v>Berkshire</c:v>
                </c:pt>
                <c:pt idx="10">
                  <c:v>Franklin</c:v>
                </c:pt>
                <c:pt idx="11">
                  <c:v>Hampshire</c:v>
                </c:pt>
                <c:pt idx="12">
                  <c:v>Out of State</c:v>
                </c:pt>
                <c:pt idx="13">
                  <c:v>Dukes</c:v>
                </c:pt>
                <c:pt idx="14">
                  <c:v>Nantucket</c:v>
                </c:pt>
              </c:strCache>
            </c:strRef>
          </c:cat>
          <c:val>
            <c:numRef>
              <c:f>'DYS New Commit_RaceCty2017'!$E$27:$E$41</c:f>
              <c:numCache>
                <c:formatCode>General</c:formatCode>
                <c:ptCount val="15"/>
                <c:pt idx="0">
                  <c:v>53</c:v>
                </c:pt>
                <c:pt idx="1">
                  <c:v>51</c:v>
                </c:pt>
                <c:pt idx="2">
                  <c:v>51</c:v>
                </c:pt>
                <c:pt idx="3">
                  <c:v>45</c:v>
                </c:pt>
                <c:pt idx="4">
                  <c:v>35</c:v>
                </c:pt>
                <c:pt idx="5">
                  <c:v>22</c:v>
                </c:pt>
                <c:pt idx="6">
                  <c:v>14</c:v>
                </c:pt>
                <c:pt idx="7">
                  <c:v>13</c:v>
                </c:pt>
                <c:pt idx="8">
                  <c:v>7</c:v>
                </c:pt>
                <c:pt idx="9">
                  <c:v>5</c:v>
                </c:pt>
                <c:pt idx="10">
                  <c:v>2</c:v>
                </c:pt>
                <c:pt idx="11">
                  <c:v>1</c:v>
                </c:pt>
                <c:pt idx="12">
                  <c:v>1</c:v>
                </c:pt>
                <c:pt idx="13">
                  <c:v>0</c:v>
                </c:pt>
                <c:pt idx="14">
                  <c:v>0</c:v>
                </c:pt>
              </c:numCache>
            </c:numRef>
          </c:val>
          <c:extLst>
            <c:ext xmlns:c16="http://schemas.microsoft.com/office/drawing/2014/chart" uri="{C3380CC4-5D6E-409C-BE32-E72D297353CC}">
              <c16:uniqueId val="{00000000-E9AD-43A1-A2D9-7B0C8863F14E}"/>
            </c:ext>
          </c:extLst>
        </c:ser>
        <c:dLbls>
          <c:showLegendKey val="0"/>
          <c:showVal val="0"/>
          <c:showCatName val="0"/>
          <c:showSerName val="0"/>
          <c:showPercent val="0"/>
          <c:showBubbleSize val="0"/>
        </c:dLbls>
        <c:gapWidth val="150"/>
        <c:axId val="332284960"/>
        <c:axId val="1"/>
      </c:barChart>
      <c:catAx>
        <c:axId val="332284960"/>
        <c:scaling>
          <c:orientation val="minMax"/>
        </c:scaling>
        <c:delete val="0"/>
        <c:axPos val="b"/>
        <c:numFmt formatCode="General" sourceLinked="1"/>
        <c:majorTickMark val="out"/>
        <c:minorTickMark val="none"/>
        <c:tickLblPos val="nextTo"/>
        <c:txPr>
          <a:bodyPr rot="-2700000" vert="horz"/>
          <a:lstStyle/>
          <a:p>
            <a:pPr>
              <a:defRPr sz="1000" b="0" i="0" u="none" strike="noStrike" baseline="0">
                <a:solidFill>
                  <a:srgbClr val="000000"/>
                </a:solidFill>
                <a:latin typeface="Times New Roman"/>
                <a:ea typeface="Times New Roman"/>
                <a:cs typeface="Times New Roman"/>
              </a:defRPr>
            </a:pPr>
            <a:endParaRPr lang="en-US"/>
          </a:p>
        </c:txPr>
        <c:crossAx val="1"/>
        <c:crosses val="autoZero"/>
        <c:auto val="1"/>
        <c:lblAlgn val="ctr"/>
        <c:lblOffset val="100"/>
        <c:noMultiLvlLbl val="0"/>
      </c:catAx>
      <c:valAx>
        <c:axId val="1"/>
        <c:scaling>
          <c:orientation val="minMax"/>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New Commitments </a:t>
                </a:r>
              </a:p>
            </c:rich>
          </c:tx>
          <c:layout>
            <c:manualLayout>
              <c:xMode val="edge"/>
              <c:yMode val="edge"/>
              <c:x val="2.6038069565628621E-2"/>
              <c:y val="0.23996612125611957"/>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332284960"/>
        <c:crosses val="autoZero"/>
        <c:crossBetween val="between"/>
      </c:valAx>
    </c:plotArea>
    <c:plotVisOnly val="1"/>
    <c:dispBlanksAs val="gap"/>
    <c:showDLblsOverMax val="0"/>
  </c:chart>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200" b="1" i="0" u="none" strike="noStrike" baseline="0">
                <a:solidFill>
                  <a:srgbClr val="000000"/>
                </a:solidFill>
                <a:latin typeface="Times New Roman"/>
                <a:ea typeface="Times New Roman"/>
                <a:cs typeface="Times New Roman"/>
              </a:defRPr>
            </a:pPr>
            <a:r>
              <a:rPr lang="en-US"/>
              <a:t>New  DYS Commitments by Race/Ethnicity, 2017 </a:t>
            </a:r>
          </a:p>
        </c:rich>
      </c:tx>
      <c:layout>
        <c:manualLayout>
          <c:xMode val="edge"/>
          <c:yMode val="edge"/>
          <c:x val="0.14103585657370518"/>
          <c:y val="3.7974683544303799E-2"/>
        </c:manualLayout>
      </c:layout>
      <c:overlay val="0"/>
    </c:title>
    <c:autoTitleDeleted val="0"/>
    <c:plotArea>
      <c:layout>
        <c:manualLayout>
          <c:layoutTarget val="inner"/>
          <c:xMode val="edge"/>
          <c:yMode val="edge"/>
          <c:x val="0.28578661731028643"/>
          <c:y val="0.28314341904642648"/>
          <c:w val="0.35669059652537127"/>
          <c:h val="0.59534630201159378"/>
        </c:manualLayout>
      </c:layout>
      <c:pieChart>
        <c:varyColors val="1"/>
        <c:ser>
          <c:idx val="1"/>
          <c:order val="0"/>
          <c:tx>
            <c:strRef>
              <c:f>'DYS New Commit_RaceCty2017'!$B$5:$F$5</c:f>
              <c:strCache>
                <c:ptCount val="5"/>
                <c:pt idx="0">
                  <c:v>African America</c:v>
                </c:pt>
                <c:pt idx="1">
                  <c:v>Asian</c:v>
                </c:pt>
                <c:pt idx="2">
                  <c:v>Caucasian</c:v>
                </c:pt>
                <c:pt idx="3">
                  <c:v>Hispanic</c:v>
                </c:pt>
                <c:pt idx="4">
                  <c:v>Other</c:v>
                </c:pt>
              </c:strCache>
            </c:strRef>
          </c:tx>
          <c:dPt>
            <c:idx val="0"/>
            <c:bubble3D val="0"/>
            <c:spPr>
              <a:pattFill prst="pct70">
                <a:fgClr>
                  <a:schemeClr val="accent1">
                    <a:lumMod val="60000"/>
                    <a:lumOff val="40000"/>
                  </a:schemeClr>
                </a:fgClr>
                <a:bgClr>
                  <a:schemeClr val="bg1"/>
                </a:bgClr>
              </a:pattFill>
            </c:spPr>
            <c:extLst>
              <c:ext xmlns:c16="http://schemas.microsoft.com/office/drawing/2014/chart" uri="{C3380CC4-5D6E-409C-BE32-E72D297353CC}">
                <c16:uniqueId val="{00000001-8267-4BC1-9ECD-BDC768596152}"/>
              </c:ext>
            </c:extLst>
          </c:dPt>
          <c:dPt>
            <c:idx val="1"/>
            <c:bubble3D val="0"/>
            <c:spPr>
              <a:solidFill>
                <a:srgbClr val="FF0000"/>
              </a:solidFill>
            </c:spPr>
            <c:extLst>
              <c:ext xmlns:c16="http://schemas.microsoft.com/office/drawing/2014/chart" uri="{C3380CC4-5D6E-409C-BE32-E72D297353CC}">
                <c16:uniqueId val="{00000003-8267-4BC1-9ECD-BDC768596152}"/>
              </c:ext>
            </c:extLst>
          </c:dPt>
          <c:dPt>
            <c:idx val="2"/>
            <c:bubble3D val="0"/>
            <c:spPr>
              <a:gradFill>
                <a:gsLst>
                  <a:gs pos="0">
                    <a:schemeClr val="accent1">
                      <a:tint val="66000"/>
                      <a:satMod val="160000"/>
                    </a:schemeClr>
                  </a:gs>
                  <a:gs pos="0">
                    <a:schemeClr val="accent1">
                      <a:tint val="44500"/>
                      <a:satMod val="160000"/>
                    </a:schemeClr>
                  </a:gs>
                  <a:gs pos="100000">
                    <a:schemeClr val="accent1">
                      <a:tint val="23500"/>
                      <a:satMod val="160000"/>
                    </a:schemeClr>
                  </a:gs>
                </a:gsLst>
                <a:lin ang="5400000" scaled="0"/>
              </a:gradFill>
            </c:spPr>
            <c:extLst>
              <c:ext xmlns:c16="http://schemas.microsoft.com/office/drawing/2014/chart" uri="{C3380CC4-5D6E-409C-BE32-E72D297353CC}">
                <c16:uniqueId val="{00000005-8267-4BC1-9ECD-BDC768596152}"/>
              </c:ext>
            </c:extLst>
          </c:dPt>
          <c:dPt>
            <c:idx val="3"/>
            <c:bubble3D val="0"/>
            <c:spPr>
              <a:pattFill prst="pct70">
                <a:fgClr>
                  <a:schemeClr val="accent4">
                    <a:lumMod val="60000"/>
                    <a:lumOff val="40000"/>
                  </a:schemeClr>
                </a:fgClr>
                <a:bgClr>
                  <a:schemeClr val="bg1"/>
                </a:bgClr>
              </a:pattFill>
            </c:spPr>
            <c:extLst>
              <c:ext xmlns:c16="http://schemas.microsoft.com/office/drawing/2014/chart" uri="{C3380CC4-5D6E-409C-BE32-E72D297353CC}">
                <c16:uniqueId val="{00000007-8267-4BC1-9ECD-BDC768596152}"/>
              </c:ext>
            </c:extLst>
          </c:dPt>
          <c:dPt>
            <c:idx val="4"/>
            <c:bubble3D val="0"/>
            <c:spPr>
              <a:solidFill>
                <a:schemeClr val="accent1">
                  <a:lumMod val="75000"/>
                </a:schemeClr>
              </a:solidFill>
            </c:spPr>
            <c:extLst>
              <c:ext xmlns:c16="http://schemas.microsoft.com/office/drawing/2014/chart" uri="{C3380CC4-5D6E-409C-BE32-E72D297353CC}">
                <c16:uniqueId val="{00000009-8267-4BC1-9ECD-BDC768596152}"/>
              </c:ext>
            </c:extLst>
          </c:dPt>
          <c:dLbls>
            <c:dLbl>
              <c:idx val="0"/>
              <c:layout>
                <c:manualLayout>
                  <c:x val="1.3280212483399735E-2"/>
                  <c:y val="-7.5949367088607556E-2"/>
                </c:manualLayout>
              </c:layout>
              <c:spPr/>
              <c:txPr>
                <a:bodyPr/>
                <a:lstStyle/>
                <a:p>
                  <a:pPr>
                    <a:defRPr sz="1000" b="0" i="0" u="none" strike="noStrike" baseline="0">
                      <a:solidFill>
                        <a:srgbClr val="000000"/>
                      </a:solidFill>
                      <a:latin typeface="Times New Roman"/>
                      <a:ea typeface="Times New Roman"/>
                      <a:cs typeface="Times New Roman"/>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67-4BC1-9ECD-BDC768596152}"/>
                </c:ext>
              </c:extLst>
            </c:dLbl>
            <c:dLbl>
              <c:idx val="1"/>
              <c:layout>
                <c:manualLayout>
                  <c:x val="5.0464807436918988E-2"/>
                  <c:y val="-9.704641350210963E-2"/>
                </c:manualLayout>
              </c:layout>
              <c:spPr/>
              <c:txPr>
                <a:bodyPr/>
                <a:lstStyle/>
                <a:p>
                  <a:pPr>
                    <a:defRPr sz="1000" b="0" i="0" u="none" strike="noStrike" baseline="0">
                      <a:solidFill>
                        <a:srgbClr val="000000"/>
                      </a:solidFill>
                      <a:latin typeface="Times New Roman"/>
                      <a:ea typeface="Times New Roman"/>
                      <a:cs typeface="Times New Roman"/>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267-4BC1-9ECD-BDC768596152}"/>
                </c:ext>
              </c:extLst>
            </c:dLbl>
            <c:dLbl>
              <c:idx val="2"/>
              <c:layout>
                <c:manualLayout>
                  <c:x val="3.9840637450199202E-2"/>
                  <c:y val="1.2658227848101266E-2"/>
                </c:manualLayout>
              </c:layout>
              <c:spPr/>
              <c:txPr>
                <a:bodyPr/>
                <a:lstStyle/>
                <a:p>
                  <a:pPr>
                    <a:defRPr sz="1000" b="0" i="0" u="none" strike="noStrike" baseline="0">
                      <a:solidFill>
                        <a:srgbClr val="000000"/>
                      </a:solidFill>
                      <a:latin typeface="Times New Roman"/>
                      <a:ea typeface="Times New Roman"/>
                      <a:cs typeface="Times New Roman"/>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267-4BC1-9ECD-BDC768596152}"/>
                </c:ext>
              </c:extLst>
            </c:dLbl>
            <c:dLbl>
              <c:idx val="3"/>
              <c:layout>
                <c:manualLayout>
                  <c:x val="-2.3904382470119521E-2"/>
                  <c:y val="-0.14767932489451469"/>
                </c:manualLayout>
              </c:layout>
              <c:spPr/>
              <c:txPr>
                <a:bodyPr/>
                <a:lstStyle/>
                <a:p>
                  <a:pPr>
                    <a:defRPr sz="1000" b="0" i="0" u="none" strike="noStrike" baseline="0">
                      <a:solidFill>
                        <a:srgbClr val="000000"/>
                      </a:solidFill>
                      <a:latin typeface="Times New Roman"/>
                      <a:ea typeface="Times New Roman"/>
                      <a:cs typeface="Times New Roman"/>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267-4BC1-9ECD-BDC768596152}"/>
                </c:ext>
              </c:extLst>
            </c:dLbl>
            <c:dLbl>
              <c:idx val="4"/>
              <c:layout>
                <c:manualLayout>
                  <c:x val="-6.9057104913678613E-2"/>
                  <c:y val="-1.2658227848101266E-2"/>
                </c:manualLayout>
              </c:layout>
              <c:spPr/>
              <c:txPr>
                <a:bodyPr/>
                <a:lstStyle/>
                <a:p>
                  <a:pPr>
                    <a:defRPr sz="1000" b="0" i="0" u="none" strike="noStrike" baseline="0">
                      <a:solidFill>
                        <a:srgbClr val="000000"/>
                      </a:solidFill>
                      <a:latin typeface="Times New Roman"/>
                      <a:ea typeface="Times New Roman"/>
                      <a:cs typeface="Times New Roman"/>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267-4BC1-9ECD-BDC768596152}"/>
                </c:ext>
              </c:extLst>
            </c:dLbl>
            <c:spPr>
              <a:noFill/>
              <a:ln>
                <a:noFill/>
              </a:ln>
              <a:effectLst/>
            </c:spPr>
            <c:txPr>
              <a:bodyPr wrap="square" lIns="38100" tIns="19050" rIns="38100" bIns="19050" anchor="ctr">
                <a:spAutoFit/>
              </a:bodyPr>
              <a:lstStyle/>
              <a:p>
                <a:pPr>
                  <a:defRPr sz="10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1"/>
            <c:showSerName val="0"/>
            <c:showPercent val="0"/>
            <c:showBubbleSize val="0"/>
            <c:showLeaderLines val="1"/>
            <c:extLst>
              <c:ext xmlns:c15="http://schemas.microsoft.com/office/drawing/2012/chart" uri="{CE6537A1-D6FC-4f65-9D91-7224C49458BB}"/>
            </c:extLst>
          </c:dLbls>
          <c:cat>
            <c:strRef>
              <c:f>'DYS New Commit_RaceCty2017'!$B$5:$F$5</c:f>
              <c:strCache>
                <c:ptCount val="5"/>
                <c:pt idx="0">
                  <c:v>African America</c:v>
                </c:pt>
                <c:pt idx="1">
                  <c:v>Asian</c:v>
                </c:pt>
                <c:pt idx="2">
                  <c:v>Caucasian</c:v>
                </c:pt>
                <c:pt idx="3">
                  <c:v>Hispanic</c:v>
                </c:pt>
                <c:pt idx="4">
                  <c:v>Other</c:v>
                </c:pt>
              </c:strCache>
            </c:strRef>
          </c:cat>
          <c:val>
            <c:numRef>
              <c:f>'DYS New Commit_RaceCty2017'!$B$23:$F$23</c:f>
              <c:numCache>
                <c:formatCode>0%</c:formatCode>
                <c:ptCount val="5"/>
                <c:pt idx="0">
                  <c:v>0.27333333333333332</c:v>
                </c:pt>
                <c:pt idx="1">
                  <c:v>3.3333333333333335E-3</c:v>
                </c:pt>
                <c:pt idx="2">
                  <c:v>0.25333333333333335</c:v>
                </c:pt>
                <c:pt idx="3">
                  <c:v>0.43666666666666665</c:v>
                </c:pt>
                <c:pt idx="4">
                  <c:v>3.3333333333333333E-2</c:v>
                </c:pt>
              </c:numCache>
            </c:numRef>
          </c:val>
          <c:extLst>
            <c:ext xmlns:c16="http://schemas.microsoft.com/office/drawing/2014/chart" uri="{C3380CC4-5D6E-409C-BE32-E72D297353CC}">
              <c16:uniqueId val="{0000000A-8267-4BC1-9ECD-BDC768596152}"/>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txPr>
    <a:bodyPr/>
    <a:lstStyle/>
    <a:p>
      <a:pPr>
        <a:defRPr sz="12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700" b="0" i="0" u="none" strike="noStrike" baseline="0">
                <a:solidFill>
                  <a:srgbClr val="000000"/>
                </a:solidFill>
                <a:latin typeface="Times New Roman"/>
                <a:ea typeface="Times New Roman"/>
                <a:cs typeface="Times New Roman"/>
              </a:defRPr>
            </a:pPr>
            <a:r>
              <a:rPr lang="en-US" sz="1200" b="1" i="0" u="none" strike="noStrike" baseline="0">
                <a:solidFill>
                  <a:srgbClr val="000000"/>
                </a:solidFill>
                <a:latin typeface="Times New Roman"/>
                <a:cs typeface="Times New Roman"/>
              </a:rPr>
              <a:t>Number of Massachusetts Juvenile Delinquency</a:t>
            </a:r>
          </a:p>
          <a:p>
            <a:pPr>
              <a:defRPr sz="1700" b="0" i="0" u="none" strike="noStrike" baseline="0">
                <a:solidFill>
                  <a:srgbClr val="000000"/>
                </a:solidFill>
                <a:latin typeface="Times New Roman"/>
                <a:ea typeface="Times New Roman"/>
                <a:cs typeface="Times New Roman"/>
              </a:defRPr>
            </a:pPr>
            <a:r>
              <a:rPr lang="en-US" sz="1200" b="1" i="0" u="none" strike="noStrike" baseline="0">
                <a:solidFill>
                  <a:srgbClr val="000000"/>
                </a:solidFill>
                <a:latin typeface="Times New Roman"/>
                <a:cs typeface="Times New Roman"/>
              </a:rPr>
              <a:t> Cases Filed in Juvenile Court</a:t>
            </a:r>
          </a:p>
          <a:p>
            <a:pPr>
              <a:defRPr sz="1700" b="0" i="0" u="none" strike="noStrike" baseline="0">
                <a:solidFill>
                  <a:srgbClr val="000000"/>
                </a:solidFill>
                <a:latin typeface="Times New Roman"/>
                <a:ea typeface="Times New Roman"/>
                <a:cs typeface="Times New Roman"/>
              </a:defRPr>
            </a:pPr>
            <a:r>
              <a:rPr lang="en-US" sz="1200" b="1" i="0" u="none" strike="noStrike" baseline="0">
                <a:solidFill>
                  <a:srgbClr val="000000"/>
                </a:solidFill>
                <a:latin typeface="Times New Roman"/>
                <a:cs typeface="Times New Roman"/>
              </a:rPr>
              <a:t>SFY 2008 - SFY 2017</a:t>
            </a:r>
          </a:p>
        </c:rich>
      </c:tx>
      <c:layout>
        <c:manualLayout>
          <c:xMode val="edge"/>
          <c:yMode val="edge"/>
          <c:x val="0.21739959300667527"/>
          <c:y val="2.5019458774549731E-2"/>
        </c:manualLayout>
      </c:layout>
      <c:overlay val="0"/>
    </c:title>
    <c:autoTitleDeleted val="0"/>
    <c:view3D>
      <c:rotX val="15"/>
      <c:rotY val="20"/>
      <c:depthPercent val="100"/>
      <c:rAngAx val="1"/>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8.8670166229221345E-2"/>
          <c:y val="0.10826246719160106"/>
          <c:w val="0.87363494539781594"/>
          <c:h val="0.75213884475951731"/>
        </c:manualLayout>
      </c:layout>
      <c:bar3DChart>
        <c:barDir val="col"/>
        <c:grouping val="clustered"/>
        <c:varyColors val="0"/>
        <c:ser>
          <c:idx val="0"/>
          <c:order val="0"/>
          <c:spPr>
            <a:solidFill>
              <a:srgbClr val="8064A2"/>
            </a:solidFill>
            <a:ln w="12700">
              <a:solidFill>
                <a:srgbClr val="000000"/>
              </a:solidFill>
              <a:prstDash val="solid"/>
            </a:ln>
          </c:spPr>
          <c:invertIfNegative val="0"/>
          <c:dLbls>
            <c:dLbl>
              <c:idx val="12"/>
              <c:layout>
                <c:manualLayout>
                  <c:xMode val="edge"/>
                  <c:yMode val="edge"/>
                  <c:x val="0.40093603744149764"/>
                  <c:y val="0.26210899135558935"/>
                </c:manualLayout>
              </c:layout>
              <c:spPr>
                <a:noFill/>
                <a:ln w="25400">
                  <a:noFill/>
                </a:ln>
              </c:spPr>
              <c:txPr>
                <a:bodyPr/>
                <a:lstStyle/>
                <a:p>
                  <a:pPr>
                    <a:defRPr sz="9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9E3-4073-8EC5-B4FE9E5326BE}"/>
                </c:ext>
              </c:extLst>
            </c:dLbl>
            <c:dLbl>
              <c:idx val="17"/>
              <c:layout>
                <c:manualLayout>
                  <c:xMode val="edge"/>
                  <c:yMode val="edge"/>
                  <c:x val="0.69422776911076445"/>
                  <c:y val="0.42450260556503061"/>
                </c:manualLayout>
              </c:layout>
              <c:spPr>
                <a:noFill/>
                <a:ln w="25400">
                  <a:noFill/>
                </a:ln>
              </c:spPr>
              <c:txPr>
                <a:bodyPr/>
                <a:lstStyle/>
                <a:p>
                  <a:pPr>
                    <a:defRPr sz="9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E3-4073-8EC5-B4FE9E5326BE}"/>
                </c:ext>
              </c:extLst>
            </c:dLbl>
            <c:dLbl>
              <c:idx val="18"/>
              <c:tx>
                <c:rich>
                  <a:bodyPr/>
                  <a:lstStyle/>
                  <a:p>
                    <a:pPr>
                      <a:defRPr sz="900" b="0" i="0" u="none" strike="noStrike" baseline="0">
                        <a:solidFill>
                          <a:srgbClr val="000000"/>
                        </a:solidFill>
                        <a:latin typeface="Times New Roman"/>
                        <a:ea typeface="Times New Roman"/>
                        <a:cs typeface="Times New Roman"/>
                      </a:defRPr>
                    </a:pPr>
                    <a:r>
                      <a:rPr lang="en-US"/>
                      <a:t>31,492*</a:t>
                    </a:r>
                  </a:p>
                </c:rich>
              </c:tx>
              <c:spPr>
                <a:noFill/>
                <a:ln w="25400">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9E3-4073-8EC5-B4FE9E5326BE}"/>
                </c:ext>
              </c:extLst>
            </c:dLbl>
            <c:dLbl>
              <c:idx val="19"/>
              <c:tx>
                <c:rich>
                  <a:bodyPr/>
                  <a:lstStyle/>
                  <a:p>
                    <a:pPr>
                      <a:defRPr sz="900" b="0" i="0" u="none" strike="noStrike" baseline="0">
                        <a:solidFill>
                          <a:srgbClr val="000000"/>
                        </a:solidFill>
                        <a:latin typeface="Times New Roman"/>
                        <a:ea typeface="Times New Roman"/>
                        <a:cs typeface="Times New Roman"/>
                      </a:defRPr>
                    </a:pPr>
                    <a:r>
                      <a:rPr lang="en-US"/>
                      <a:t>26,051*</a:t>
                    </a:r>
                  </a:p>
                </c:rich>
              </c:tx>
              <c:spPr>
                <a:noFill/>
                <a:ln w="25400">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E3-4073-8EC5-B4FE9E5326BE}"/>
                </c:ext>
              </c:extLst>
            </c:dLbl>
            <c:dLbl>
              <c:idx val="20"/>
              <c:tx>
                <c:rich>
                  <a:bodyPr/>
                  <a:lstStyle/>
                  <a:p>
                    <a:pPr>
                      <a:defRPr sz="900" b="0" i="0" u="none" strike="noStrike" baseline="0">
                        <a:solidFill>
                          <a:srgbClr val="000000"/>
                        </a:solidFill>
                        <a:latin typeface="Times New Roman"/>
                        <a:ea typeface="Times New Roman"/>
                        <a:cs typeface="Times New Roman"/>
                      </a:defRPr>
                    </a:pPr>
                    <a:r>
                      <a:rPr lang="en-US"/>
                      <a:t>22,596*</a:t>
                    </a:r>
                  </a:p>
                </c:rich>
              </c:tx>
              <c:spPr>
                <a:noFill/>
                <a:ln w="25400">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9E3-4073-8EC5-B4FE9E5326BE}"/>
                </c:ext>
              </c:extLst>
            </c:dLbl>
            <c:spPr>
              <a:noFill/>
              <a:ln w="25400">
                <a:noFill/>
              </a:ln>
            </c:spPr>
            <c:txPr>
              <a:bodyPr wrap="square" lIns="38100" tIns="19050" rIns="38100" bIns="19050" anchor="ctr">
                <a:spAutoFit/>
              </a:bodyPr>
              <a:lstStyle/>
              <a:p>
                <a:pPr>
                  <a:defRPr sz="9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'Juv Del Cases Filed 08_17'!$C$21:$C$30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'Juv Del Cases Filed 08_17'!$K$21:$K$30</c:f>
              <c:numCache>
                <c:formatCode>#,##0</c:formatCode>
                <c:ptCount val="10"/>
                <c:pt idx="0">
                  <c:v>31622</c:v>
                </c:pt>
                <c:pt idx="1">
                  <c:v>26147</c:v>
                </c:pt>
                <c:pt idx="2">
                  <c:v>22640</c:v>
                </c:pt>
                <c:pt idx="3">
                  <c:v>20194</c:v>
                </c:pt>
                <c:pt idx="4">
                  <c:v>17663</c:v>
                </c:pt>
                <c:pt idx="5">
                  <c:v>8188</c:v>
                </c:pt>
                <c:pt idx="6">
                  <c:v>9895</c:v>
                </c:pt>
                <c:pt idx="7">
                  <c:v>10294</c:v>
                </c:pt>
                <c:pt idx="8">
                  <c:v>9658</c:v>
                </c:pt>
                <c:pt idx="9">
                  <c:v>8648</c:v>
                </c:pt>
              </c:numCache>
            </c:numRef>
          </c:val>
          <c:extLst>
            <c:ext xmlns:c16="http://schemas.microsoft.com/office/drawing/2014/chart" uri="{C3380CC4-5D6E-409C-BE32-E72D297353CC}">
              <c16:uniqueId val="{00000005-79E3-4073-8EC5-B4FE9E5326BE}"/>
            </c:ext>
          </c:extLst>
        </c:ser>
        <c:dLbls>
          <c:showLegendKey val="0"/>
          <c:showVal val="0"/>
          <c:showCatName val="0"/>
          <c:showSerName val="0"/>
          <c:showPercent val="0"/>
          <c:showBubbleSize val="0"/>
        </c:dLbls>
        <c:gapWidth val="150"/>
        <c:shape val="box"/>
        <c:axId val="316578288"/>
        <c:axId val="1"/>
        <c:axId val="0"/>
      </c:bar3DChart>
      <c:catAx>
        <c:axId val="31657828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
        <c:crosses val="autoZero"/>
        <c:auto val="1"/>
        <c:lblAlgn val="ctr"/>
        <c:lblOffset val="100"/>
        <c:noMultiLvlLbl val="0"/>
      </c:catAx>
      <c:valAx>
        <c:axId val="1"/>
        <c:scaling>
          <c:orientation val="minMax"/>
          <c:max val="45000"/>
          <c:min val="5000"/>
        </c:scaling>
        <c:delete val="0"/>
        <c:axPos val="l"/>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316578288"/>
        <c:crosses val="autoZero"/>
        <c:crossBetween val="between"/>
        <c:majorUnit val="5000"/>
        <c:minorUnit val="1000"/>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17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anose="02020603050405020304" pitchFamily="18" charset="0"/>
                <a:cs typeface="Times New Roman" panose="02020603050405020304" pitchFamily="18" charset="0"/>
              </a:rPr>
              <a:t>Number of Massachusetts Juvenile Court </a:t>
            </a:r>
          </a:p>
          <a:p>
            <a:pPr>
              <a:defRPr/>
            </a:pPr>
            <a:r>
              <a:rPr lang="en-US" sz="1200">
                <a:latin typeface="Times New Roman" panose="02020603050405020304" pitchFamily="18" charset="0"/>
                <a:cs typeface="Times New Roman" panose="02020603050405020304" pitchFamily="18" charset="0"/>
              </a:rPr>
              <a:t>Delinquency Cases by County</a:t>
            </a:r>
          </a:p>
          <a:p>
            <a:pPr>
              <a:defRPr/>
            </a:pPr>
            <a:r>
              <a:rPr lang="en-US" sz="1200">
                <a:latin typeface="Times New Roman" panose="02020603050405020304" pitchFamily="18" charset="0"/>
                <a:cs typeface="Times New Roman" panose="02020603050405020304" pitchFamily="18" charset="0"/>
              </a:rPr>
              <a:t> SFY 2017</a:t>
            </a:r>
          </a:p>
        </c:rich>
      </c:tx>
      <c:layout>
        <c:manualLayout>
          <c:xMode val="edge"/>
          <c:yMode val="edge"/>
          <c:x val="0.28563545165385651"/>
          <c:y val="1.9998265828020292E-2"/>
        </c:manualLayout>
      </c:layout>
      <c:overlay val="0"/>
    </c:title>
    <c:autoTitleDeleted val="0"/>
    <c:plotArea>
      <c:layout>
        <c:manualLayout>
          <c:layoutTarget val="inner"/>
          <c:xMode val="edge"/>
          <c:yMode val="edge"/>
          <c:x val="0.16353164252346405"/>
          <c:y val="0.16051967152244892"/>
          <c:w val="0.7460060491848246"/>
          <c:h val="0.55497672614312599"/>
        </c:manualLayout>
      </c:layout>
      <c:barChart>
        <c:barDir val="col"/>
        <c:grouping val="clustered"/>
        <c:varyColors val="0"/>
        <c:ser>
          <c:idx val="0"/>
          <c:order val="0"/>
          <c:spPr>
            <a:pattFill prst="pct30">
              <a:fgClr>
                <a:schemeClr val="bg1"/>
              </a:fgClr>
              <a:bgClr>
                <a:schemeClr val="accent5">
                  <a:lumMod val="75000"/>
                </a:schemeClr>
              </a:bgClr>
            </a:pattFill>
          </c:spPr>
          <c:invertIfNegative val="0"/>
          <c:dLbls>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Delinquency!$B$5:$B$15</c:f>
              <c:strCache>
                <c:ptCount val="11"/>
                <c:pt idx="0">
                  <c:v>Essex</c:v>
                </c:pt>
                <c:pt idx="1">
                  <c:v>Middlesex</c:v>
                </c:pt>
                <c:pt idx="2">
                  <c:v>Worcester</c:v>
                </c:pt>
                <c:pt idx="3">
                  <c:v>Bristol</c:v>
                </c:pt>
                <c:pt idx="4">
                  <c:v>Hampden</c:v>
                </c:pt>
                <c:pt idx="5">
                  <c:v>Suffolk</c:v>
                </c:pt>
                <c:pt idx="6">
                  <c:v>Norfolk</c:v>
                </c:pt>
                <c:pt idx="7">
                  <c:v>Barnstable </c:v>
                </c:pt>
                <c:pt idx="8">
                  <c:v>Plymouth</c:v>
                </c:pt>
                <c:pt idx="9">
                  <c:v>Berkshire</c:v>
                </c:pt>
                <c:pt idx="10">
                  <c:v>Franklin/Hampshire</c:v>
                </c:pt>
              </c:strCache>
            </c:strRef>
          </c:cat>
          <c:val>
            <c:numRef>
              <c:f>Delinquency!$C$5:$C$15</c:f>
              <c:numCache>
                <c:formatCode>#,##0</c:formatCode>
                <c:ptCount val="11"/>
                <c:pt idx="0">
                  <c:v>1547</c:v>
                </c:pt>
                <c:pt idx="1">
                  <c:v>1232</c:v>
                </c:pt>
                <c:pt idx="2">
                  <c:v>1061</c:v>
                </c:pt>
                <c:pt idx="3">
                  <c:v>1025</c:v>
                </c:pt>
                <c:pt idx="4">
                  <c:v>1012</c:v>
                </c:pt>
                <c:pt idx="5">
                  <c:v>963</c:v>
                </c:pt>
                <c:pt idx="6" formatCode="General">
                  <c:v>448</c:v>
                </c:pt>
                <c:pt idx="7" formatCode="General">
                  <c:v>442</c:v>
                </c:pt>
                <c:pt idx="8" formatCode="General">
                  <c:v>418</c:v>
                </c:pt>
                <c:pt idx="9" formatCode="General">
                  <c:v>262</c:v>
                </c:pt>
                <c:pt idx="10" formatCode="General">
                  <c:v>238</c:v>
                </c:pt>
              </c:numCache>
            </c:numRef>
          </c:val>
          <c:extLst>
            <c:ext xmlns:c16="http://schemas.microsoft.com/office/drawing/2014/chart" uri="{C3380CC4-5D6E-409C-BE32-E72D297353CC}">
              <c16:uniqueId val="{00000000-7015-472F-B855-03E7722B5809}"/>
            </c:ext>
          </c:extLst>
        </c:ser>
        <c:dLbls>
          <c:showLegendKey val="0"/>
          <c:showVal val="0"/>
          <c:showCatName val="0"/>
          <c:showSerName val="0"/>
          <c:showPercent val="0"/>
          <c:showBubbleSize val="0"/>
        </c:dLbls>
        <c:gapWidth val="150"/>
        <c:axId val="142641408"/>
        <c:axId val="142651776"/>
      </c:barChart>
      <c:catAx>
        <c:axId val="142641408"/>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County</a:t>
                </a:r>
              </a:p>
            </c:rich>
          </c:tx>
          <c:layout>
            <c:manualLayout>
              <c:xMode val="edge"/>
              <c:yMode val="edge"/>
              <c:x val="0.42243293244137053"/>
              <c:y val="0.90493846592966587"/>
            </c:manualLayout>
          </c:layout>
          <c:overlay val="0"/>
        </c:title>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42651776"/>
        <c:crosses val="autoZero"/>
        <c:auto val="1"/>
        <c:lblAlgn val="ctr"/>
        <c:lblOffset val="100"/>
        <c:noMultiLvlLbl val="0"/>
      </c:catAx>
      <c:valAx>
        <c:axId val="142651776"/>
        <c:scaling>
          <c:orientation val="minMax"/>
          <c:max val="2000"/>
        </c:scaling>
        <c:delete val="0"/>
        <c:axPos val="l"/>
        <c:majorGridlines>
          <c:spPr>
            <a:ln>
              <a:noFill/>
            </a:ln>
          </c:spPr>
        </c:majorGridlines>
        <c:title>
          <c:tx>
            <c:rich>
              <a:bodyPr rot="-5400000" vert="horz"/>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Number of Cases</a:t>
                </a:r>
              </a:p>
            </c:rich>
          </c:tx>
          <c:layout>
            <c:manualLayout>
              <c:xMode val="edge"/>
              <c:yMode val="edge"/>
              <c:x val="2.5300416144429547E-2"/>
              <c:y val="0.29684975877184372"/>
            </c:manualLayout>
          </c:layout>
          <c:overlay val="0"/>
        </c:title>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42641408"/>
        <c:crosses val="autoZero"/>
        <c:crossBetween val="between"/>
        <c:majorUnit val="250"/>
      </c:valAx>
    </c:plotArea>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en-US" sz="1200" b="1" i="0" baseline="0">
                <a:effectLst/>
                <a:latin typeface="Times New Roman" panose="02020603050405020304" pitchFamily="18" charset="0"/>
                <a:cs typeface="Times New Roman" panose="02020603050405020304" pitchFamily="18" charset="0"/>
              </a:rPr>
              <a:t>Percent of Massachusetts Juvenile Court </a:t>
            </a:r>
          </a:p>
          <a:p>
            <a:pPr>
              <a:defRPr sz="1200">
                <a:latin typeface="Times New Roman" panose="02020603050405020304" pitchFamily="18" charset="0"/>
                <a:cs typeface="Times New Roman" panose="02020603050405020304" pitchFamily="18" charset="0"/>
              </a:defRPr>
            </a:pPr>
            <a:r>
              <a:rPr lang="en-US" sz="1200" b="1" i="0" baseline="0">
                <a:effectLst/>
                <a:latin typeface="Times New Roman" panose="02020603050405020304" pitchFamily="18" charset="0"/>
                <a:cs typeface="Times New Roman" panose="02020603050405020304" pitchFamily="18" charset="0"/>
              </a:rPr>
              <a:t>Delinquency Cases by Race/Ethnicity, SFY 2017</a:t>
            </a:r>
            <a:endParaRPr lang="en-US" sz="1200">
              <a:effectLst/>
              <a:latin typeface="Times New Roman" panose="02020603050405020304" pitchFamily="18" charset="0"/>
              <a:cs typeface="Times New Roman" panose="02020603050405020304" pitchFamily="18" charset="0"/>
            </a:endParaRPr>
          </a:p>
        </c:rich>
      </c:tx>
      <c:layout>
        <c:manualLayout>
          <c:xMode val="edge"/>
          <c:yMode val="edge"/>
          <c:x val="0.17302752007484212"/>
          <c:y val="1.1226736805423031E-2"/>
        </c:manualLayout>
      </c:layout>
      <c:overlay val="0"/>
    </c:title>
    <c:autoTitleDeleted val="0"/>
    <c:plotArea>
      <c:layout>
        <c:manualLayout>
          <c:layoutTarget val="inner"/>
          <c:xMode val="edge"/>
          <c:yMode val="edge"/>
          <c:x val="0.25584332078972055"/>
          <c:y val="0.21469894149915308"/>
          <c:w val="0.62759046685429376"/>
          <c:h val="0.62578788705142741"/>
        </c:manualLayout>
      </c:layout>
      <c:barChart>
        <c:barDir val="bar"/>
        <c:grouping val="clustered"/>
        <c:varyColors val="0"/>
        <c:ser>
          <c:idx val="0"/>
          <c:order val="0"/>
          <c:tx>
            <c:strRef>
              <c:f>Delinquency!$C$26</c:f>
              <c:strCache>
                <c:ptCount val="1"/>
                <c:pt idx="0">
                  <c:v>% Minority</c:v>
                </c:pt>
              </c:strCache>
            </c:strRef>
          </c:tx>
          <c:spPr>
            <a:solidFill>
              <a:schemeClr val="accent5">
                <a:lumMod val="75000"/>
              </a:schemeClr>
            </a:solidFill>
          </c:spPr>
          <c:invertIfNegative val="0"/>
          <c:dLbls>
            <c:dLbl>
              <c:idx val="1"/>
              <c:layout>
                <c:manualLayout>
                  <c:x val="-5.0793650793650794E-3"/>
                  <c:y val="1.07671616829215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5E2-4586-A1CC-C22129F832A1}"/>
                </c:ext>
              </c:extLst>
            </c:dLbl>
            <c:dLbl>
              <c:idx val="3"/>
              <c:layout>
                <c:manualLayout>
                  <c:x val="-7.619047619047619E-3"/>
                  <c:y val="-1.3159712257007324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5E2-4586-A1CC-C22129F832A1}"/>
                </c:ext>
              </c:extLst>
            </c:dLbl>
            <c:dLbl>
              <c:idx val="8"/>
              <c:layout>
                <c:manualLayout>
                  <c:x val="-7.619047619047619E-3"/>
                  <c:y val="7.1781077886143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5E2-4586-A1CC-C22129F832A1}"/>
                </c:ext>
              </c:extLst>
            </c:dLbl>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Delinquency!$B$27:$B$37</c:f>
              <c:strCache>
                <c:ptCount val="11"/>
                <c:pt idx="0">
                  <c:v>Barnstable </c:v>
                </c:pt>
                <c:pt idx="1">
                  <c:v>Berkshire</c:v>
                </c:pt>
                <c:pt idx="2">
                  <c:v>Bristol</c:v>
                </c:pt>
                <c:pt idx="3">
                  <c:v>Essex</c:v>
                </c:pt>
                <c:pt idx="4">
                  <c:v>Franklin/Hampshire</c:v>
                </c:pt>
                <c:pt idx="5">
                  <c:v>Hampden</c:v>
                </c:pt>
                <c:pt idx="6">
                  <c:v>Middlesex</c:v>
                </c:pt>
                <c:pt idx="7">
                  <c:v>Norfolk</c:v>
                </c:pt>
                <c:pt idx="8">
                  <c:v>Plymouth</c:v>
                </c:pt>
                <c:pt idx="9">
                  <c:v>Suffolk</c:v>
                </c:pt>
                <c:pt idx="10">
                  <c:v>Worcester</c:v>
                </c:pt>
              </c:strCache>
            </c:strRef>
          </c:cat>
          <c:val>
            <c:numRef>
              <c:f>Delinquency!$C$27:$C$37</c:f>
              <c:numCache>
                <c:formatCode>0%</c:formatCode>
                <c:ptCount val="11"/>
                <c:pt idx="0">
                  <c:v>0.24</c:v>
                </c:pt>
                <c:pt idx="1">
                  <c:v>0.49</c:v>
                </c:pt>
                <c:pt idx="2">
                  <c:v>0.46</c:v>
                </c:pt>
                <c:pt idx="3">
                  <c:v>0.46</c:v>
                </c:pt>
                <c:pt idx="4">
                  <c:v>0.33</c:v>
                </c:pt>
                <c:pt idx="5">
                  <c:v>0.73</c:v>
                </c:pt>
                <c:pt idx="6">
                  <c:v>0.56999999999999995</c:v>
                </c:pt>
                <c:pt idx="7">
                  <c:v>0.55000000000000004</c:v>
                </c:pt>
                <c:pt idx="8">
                  <c:v>0.44</c:v>
                </c:pt>
                <c:pt idx="9">
                  <c:v>0.88</c:v>
                </c:pt>
                <c:pt idx="10">
                  <c:v>0.56000000000000005</c:v>
                </c:pt>
              </c:numCache>
            </c:numRef>
          </c:val>
          <c:extLst>
            <c:ext xmlns:c16="http://schemas.microsoft.com/office/drawing/2014/chart" uri="{C3380CC4-5D6E-409C-BE32-E72D297353CC}">
              <c16:uniqueId val="{00000003-C5E2-4586-A1CC-C22129F832A1}"/>
            </c:ext>
          </c:extLst>
        </c:ser>
        <c:ser>
          <c:idx val="1"/>
          <c:order val="1"/>
          <c:tx>
            <c:strRef>
              <c:f>Delinquency!$D$26</c:f>
              <c:strCache>
                <c:ptCount val="1"/>
                <c:pt idx="0">
                  <c:v>% White </c:v>
                </c:pt>
              </c:strCache>
            </c:strRef>
          </c:tx>
          <c:spPr>
            <a:solidFill>
              <a:schemeClr val="accent5">
                <a:lumMod val="60000"/>
                <a:lumOff val="40000"/>
              </a:schemeClr>
            </a:solidFill>
          </c:spPr>
          <c:invertIfNegative val="0"/>
          <c:dLbls>
            <c:dLbl>
              <c:idx val="3"/>
              <c:layout>
                <c:manualLayout>
                  <c:x val="-5.0793650793650794E-3"/>
                  <c:y val="-3.5890538943071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5E2-4586-A1CC-C22129F832A1}"/>
                </c:ext>
              </c:extLst>
            </c:dLbl>
            <c:dLbl>
              <c:idx val="8"/>
              <c:layout>
                <c:manualLayout>
                  <c:x val="-2.5396825396825397E-3"/>
                  <c:y val="-3.5890538943071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5E2-4586-A1CC-C22129F832A1}"/>
                </c:ext>
              </c:extLst>
            </c:dLbl>
            <c:dLbl>
              <c:idx val="9"/>
              <c:layout>
                <c:manualLayout>
                  <c:x val="0"/>
                  <c:y val="-1.07671616829215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5E2-4586-A1CC-C22129F832A1}"/>
                </c:ext>
              </c:extLst>
            </c:dLbl>
            <c:dLbl>
              <c:idx val="10"/>
              <c:layout>
                <c:manualLayout>
                  <c:x val="-2.5396825396825397E-3"/>
                  <c:y val="-1.07671616829215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5E2-4586-A1CC-C22129F832A1}"/>
                </c:ext>
              </c:extLst>
            </c:dLbl>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Delinquency!$B$27:$B$37</c:f>
              <c:strCache>
                <c:ptCount val="11"/>
                <c:pt idx="0">
                  <c:v>Barnstable </c:v>
                </c:pt>
                <c:pt idx="1">
                  <c:v>Berkshire</c:v>
                </c:pt>
                <c:pt idx="2">
                  <c:v>Bristol</c:v>
                </c:pt>
                <c:pt idx="3">
                  <c:v>Essex</c:v>
                </c:pt>
                <c:pt idx="4">
                  <c:v>Franklin/Hampshire</c:v>
                </c:pt>
                <c:pt idx="5">
                  <c:v>Hampden</c:v>
                </c:pt>
                <c:pt idx="6">
                  <c:v>Middlesex</c:v>
                </c:pt>
                <c:pt idx="7">
                  <c:v>Norfolk</c:v>
                </c:pt>
                <c:pt idx="8">
                  <c:v>Plymouth</c:v>
                </c:pt>
                <c:pt idx="9">
                  <c:v>Suffolk</c:v>
                </c:pt>
                <c:pt idx="10">
                  <c:v>Worcester</c:v>
                </c:pt>
              </c:strCache>
            </c:strRef>
          </c:cat>
          <c:val>
            <c:numRef>
              <c:f>Delinquency!$D$27:$D$37</c:f>
              <c:numCache>
                <c:formatCode>0%</c:formatCode>
                <c:ptCount val="11"/>
                <c:pt idx="0">
                  <c:v>0.76</c:v>
                </c:pt>
                <c:pt idx="1">
                  <c:v>0.51</c:v>
                </c:pt>
                <c:pt idx="2">
                  <c:v>0.54</c:v>
                </c:pt>
                <c:pt idx="3">
                  <c:v>0.54</c:v>
                </c:pt>
                <c:pt idx="4">
                  <c:v>0.67</c:v>
                </c:pt>
                <c:pt idx="5">
                  <c:v>0.27</c:v>
                </c:pt>
                <c:pt idx="6">
                  <c:v>0.43</c:v>
                </c:pt>
                <c:pt idx="7">
                  <c:v>0.45</c:v>
                </c:pt>
                <c:pt idx="8">
                  <c:v>0.56000000000000005</c:v>
                </c:pt>
                <c:pt idx="9">
                  <c:v>0.12</c:v>
                </c:pt>
                <c:pt idx="10">
                  <c:v>0.44</c:v>
                </c:pt>
              </c:numCache>
            </c:numRef>
          </c:val>
          <c:extLst>
            <c:ext xmlns:c16="http://schemas.microsoft.com/office/drawing/2014/chart" uri="{C3380CC4-5D6E-409C-BE32-E72D297353CC}">
              <c16:uniqueId val="{00000008-C5E2-4586-A1CC-C22129F832A1}"/>
            </c:ext>
          </c:extLst>
        </c:ser>
        <c:dLbls>
          <c:showLegendKey val="0"/>
          <c:showVal val="0"/>
          <c:showCatName val="0"/>
          <c:showSerName val="0"/>
          <c:showPercent val="0"/>
          <c:showBubbleSize val="0"/>
        </c:dLbls>
        <c:gapWidth val="150"/>
        <c:axId val="142698368"/>
        <c:axId val="142704640"/>
      </c:barChart>
      <c:catAx>
        <c:axId val="142698368"/>
        <c:scaling>
          <c:orientation val="minMax"/>
        </c:scaling>
        <c:delete val="0"/>
        <c:axPos val="l"/>
        <c:title>
          <c:tx>
            <c:rich>
              <a:bodyPr rot="-5400000" vert="horz"/>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County</a:t>
                </a:r>
              </a:p>
            </c:rich>
          </c:tx>
          <c:layout>
            <c:manualLayout>
              <c:xMode val="edge"/>
              <c:yMode val="edge"/>
              <c:x val="3.2128514056224897E-2"/>
              <c:y val="0.35650681279806645"/>
            </c:manualLayout>
          </c:layout>
          <c:overlay val="0"/>
        </c:title>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42704640"/>
        <c:crosses val="autoZero"/>
        <c:auto val="1"/>
        <c:lblAlgn val="ctr"/>
        <c:lblOffset val="100"/>
        <c:noMultiLvlLbl val="0"/>
      </c:catAx>
      <c:valAx>
        <c:axId val="142704640"/>
        <c:scaling>
          <c:orientation val="minMax"/>
        </c:scaling>
        <c:delete val="0"/>
        <c:axPos val="b"/>
        <c:majorGridlines>
          <c:spPr>
            <a:ln>
              <a:noFill/>
            </a:ln>
          </c:spPr>
        </c:majorGridlines>
        <c:title>
          <c:tx>
            <c:rich>
              <a:bodyPr/>
              <a:lstStyle/>
              <a:p>
                <a:pPr>
                  <a:defRPr/>
                </a:pPr>
                <a:r>
                  <a:rPr lang="en-US">
                    <a:latin typeface="Times New Roman" panose="02020603050405020304" pitchFamily="18" charset="0"/>
                    <a:cs typeface="Times New Roman" panose="02020603050405020304" pitchFamily="18" charset="0"/>
                  </a:rPr>
                  <a:t>Percent</a:t>
                </a:r>
              </a:p>
            </c:rich>
          </c:tx>
          <c:layout>
            <c:manualLayout>
              <c:xMode val="edge"/>
              <c:yMode val="edge"/>
              <c:x val="0.49231593038821952"/>
              <c:y val="0.92413464964694236"/>
            </c:manualLayout>
          </c:layout>
          <c:overlay val="0"/>
        </c:title>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42698368"/>
        <c:crosses val="autoZero"/>
        <c:crossBetween val="between"/>
      </c:valAx>
    </c:plotArea>
    <c:legend>
      <c:legendPos val="r"/>
      <c:layout>
        <c:manualLayout>
          <c:xMode val="edge"/>
          <c:yMode val="edge"/>
          <c:x val="0.80456255468066495"/>
          <c:y val="0.39970290172061823"/>
          <c:w val="0.16695443190083167"/>
          <c:h val="0.12869929454184645"/>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anose="02020603050405020304" pitchFamily="18" charset="0"/>
                <a:cs typeface="Times New Roman" panose="02020603050405020304" pitchFamily="18" charset="0"/>
              </a:rPr>
              <a:t>National vs. Massachusetts Juvenile</a:t>
            </a:r>
            <a:r>
              <a:rPr lang="en-US" sz="1200" baseline="0">
                <a:latin typeface="Times New Roman" panose="02020603050405020304" pitchFamily="18" charset="0"/>
                <a:cs typeface="Times New Roman" panose="02020603050405020304" pitchFamily="18" charset="0"/>
              </a:rPr>
              <a:t> Part I Arrest Rates </a:t>
            </a:r>
          </a:p>
          <a:p>
            <a:pPr>
              <a:defRPr/>
            </a:pPr>
            <a:r>
              <a:rPr lang="en-US" sz="1200" baseline="0">
                <a:latin typeface="Times New Roman" panose="02020603050405020304" pitchFamily="18" charset="0"/>
                <a:cs typeface="Times New Roman" panose="02020603050405020304" pitchFamily="18" charset="0"/>
              </a:rPr>
              <a:t>(per 100,000 persons) 2007-2016</a:t>
            </a:r>
            <a:endParaRPr lang="en-US" sz="1200">
              <a:latin typeface="Times New Roman" panose="02020603050405020304" pitchFamily="18" charset="0"/>
              <a:cs typeface="Times New Roman" panose="02020603050405020304" pitchFamily="18" charset="0"/>
            </a:endParaRPr>
          </a:p>
        </c:rich>
      </c:tx>
      <c:layout>
        <c:manualLayout>
          <c:xMode val="edge"/>
          <c:yMode val="edge"/>
          <c:x val="0.23274844864153318"/>
          <c:y val="3.1752459205288824E-2"/>
        </c:manualLayout>
      </c:layout>
      <c:overlay val="0"/>
    </c:title>
    <c:autoTitleDeleted val="0"/>
    <c:plotArea>
      <c:layout>
        <c:manualLayout>
          <c:layoutTarget val="inner"/>
          <c:xMode val="edge"/>
          <c:yMode val="edge"/>
          <c:x val="0.17914796237658906"/>
          <c:y val="0.20477773789742768"/>
          <c:w val="0.63981954213018744"/>
          <c:h val="0.39761113105128609"/>
        </c:manualLayout>
      </c:layout>
      <c:lineChart>
        <c:grouping val="standard"/>
        <c:varyColors val="0"/>
        <c:ser>
          <c:idx val="0"/>
          <c:order val="0"/>
          <c:tx>
            <c:strRef>
              <c:f>'Youth Violence_Arrest Rate'!$A$18</c:f>
              <c:strCache>
                <c:ptCount val="1"/>
                <c:pt idx="0">
                  <c:v>    MA Homicide</c:v>
                </c:pt>
              </c:strCache>
            </c:strRef>
          </c:tx>
          <c:marker>
            <c:symbol val="none"/>
          </c:marker>
          <c:cat>
            <c:strRef>
              <c:f>'Youth Violence_Arrest Rate'!$C$3:$L$5</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'Youth Violence_Arrest Rate'!$C$18:$L$18</c:f>
              <c:numCache>
                <c:formatCode>#,##0.0</c:formatCode>
                <c:ptCount val="10"/>
                <c:pt idx="0">
                  <c:v>7.7522324491395414E-2</c:v>
                </c:pt>
                <c:pt idx="1">
                  <c:v>0.1</c:v>
                </c:pt>
                <c:pt idx="2">
                  <c:v>6.0665006770973071E-2</c:v>
                </c:pt>
                <c:pt idx="3">
                  <c:v>0.1</c:v>
                </c:pt>
                <c:pt idx="4">
                  <c:v>0.1</c:v>
                </c:pt>
                <c:pt idx="5">
                  <c:v>0</c:v>
                </c:pt>
                <c:pt idx="6">
                  <c:v>0</c:v>
                </c:pt>
                <c:pt idx="7">
                  <c:v>0</c:v>
                </c:pt>
                <c:pt idx="8">
                  <c:v>0</c:v>
                </c:pt>
                <c:pt idx="9">
                  <c:v>0.1</c:v>
                </c:pt>
              </c:numCache>
            </c:numRef>
          </c:val>
          <c:smooth val="0"/>
          <c:extLst>
            <c:ext xmlns:c16="http://schemas.microsoft.com/office/drawing/2014/chart" uri="{C3380CC4-5D6E-409C-BE32-E72D297353CC}">
              <c16:uniqueId val="{00000000-D0E8-426F-8F62-FC211F0A322C}"/>
            </c:ext>
          </c:extLst>
        </c:ser>
        <c:ser>
          <c:idx val="1"/>
          <c:order val="1"/>
          <c:tx>
            <c:strRef>
              <c:f>'Youth Violence_Arrest Rate'!$A$19</c:f>
              <c:strCache>
                <c:ptCount val="1"/>
                <c:pt idx="0">
                  <c:v>    US Homicide</c:v>
                </c:pt>
              </c:strCache>
            </c:strRef>
          </c:tx>
          <c:marker>
            <c:symbol val="none"/>
          </c:marker>
          <c:cat>
            <c:strRef>
              <c:f>'Youth Violence_Arrest Rate'!$C$3:$L$5</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'Youth Violence_Arrest Rate'!$C$19:$L$19</c:f>
              <c:numCache>
                <c:formatCode>#,##0.0</c:formatCode>
                <c:ptCount val="10"/>
                <c:pt idx="0">
                  <c:v>0.4</c:v>
                </c:pt>
                <c:pt idx="1">
                  <c:v>0.4</c:v>
                </c:pt>
                <c:pt idx="2">
                  <c:v>0.39276188871787349</c:v>
                </c:pt>
                <c:pt idx="3">
                  <c:v>0.3</c:v>
                </c:pt>
                <c:pt idx="4">
                  <c:v>0.3</c:v>
                </c:pt>
                <c:pt idx="5">
                  <c:v>0.2</c:v>
                </c:pt>
                <c:pt idx="6">
                  <c:v>0.2</c:v>
                </c:pt>
                <c:pt idx="7">
                  <c:v>0.2</c:v>
                </c:pt>
                <c:pt idx="8">
                  <c:v>0.2</c:v>
                </c:pt>
                <c:pt idx="9">
                  <c:v>0.3</c:v>
                </c:pt>
              </c:numCache>
            </c:numRef>
          </c:val>
          <c:smooth val="0"/>
          <c:extLst>
            <c:ext xmlns:c16="http://schemas.microsoft.com/office/drawing/2014/chart" uri="{C3380CC4-5D6E-409C-BE32-E72D297353CC}">
              <c16:uniqueId val="{00000001-D0E8-426F-8F62-FC211F0A322C}"/>
            </c:ext>
          </c:extLst>
        </c:ser>
        <c:ser>
          <c:idx val="2"/>
          <c:order val="2"/>
          <c:tx>
            <c:strRef>
              <c:f>'Youth Violence_Arrest Rate'!$A$20</c:f>
              <c:strCache>
                <c:ptCount val="1"/>
                <c:pt idx="0">
                  <c:v>    MA Rape</c:v>
                </c:pt>
              </c:strCache>
            </c:strRef>
          </c:tx>
          <c:spPr>
            <a:ln>
              <a:solidFill>
                <a:schemeClr val="accent4">
                  <a:lumMod val="40000"/>
                  <a:lumOff val="60000"/>
                </a:schemeClr>
              </a:solidFill>
            </a:ln>
          </c:spPr>
          <c:marker>
            <c:symbol val="none"/>
          </c:marker>
          <c:cat>
            <c:strRef>
              <c:f>'Youth Violence_Arrest Rate'!$C$3:$L$5</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'Youth Violence_Arrest Rate'!$C$20:$L$20</c:f>
              <c:numCache>
                <c:formatCode>#,##0.0</c:formatCode>
                <c:ptCount val="10"/>
                <c:pt idx="0">
                  <c:v>0.44962948205009334</c:v>
                </c:pt>
                <c:pt idx="1">
                  <c:v>0.5</c:v>
                </c:pt>
                <c:pt idx="2">
                  <c:v>0.4398212990895547</c:v>
                </c:pt>
                <c:pt idx="3">
                  <c:v>0.6</c:v>
                </c:pt>
                <c:pt idx="4">
                  <c:v>0.5</c:v>
                </c:pt>
                <c:pt idx="5">
                  <c:v>0.2</c:v>
                </c:pt>
                <c:pt idx="6">
                  <c:v>0.3</c:v>
                </c:pt>
                <c:pt idx="7">
                  <c:v>0.3</c:v>
                </c:pt>
                <c:pt idx="8">
                  <c:v>0.2</c:v>
                </c:pt>
                <c:pt idx="9">
                  <c:v>0.4</c:v>
                </c:pt>
              </c:numCache>
            </c:numRef>
          </c:val>
          <c:smooth val="0"/>
          <c:extLst>
            <c:ext xmlns:c16="http://schemas.microsoft.com/office/drawing/2014/chart" uri="{C3380CC4-5D6E-409C-BE32-E72D297353CC}">
              <c16:uniqueId val="{00000002-D0E8-426F-8F62-FC211F0A322C}"/>
            </c:ext>
          </c:extLst>
        </c:ser>
        <c:ser>
          <c:idx val="3"/>
          <c:order val="3"/>
          <c:tx>
            <c:strRef>
              <c:f>'Youth Violence_Arrest Rate'!$A$21</c:f>
              <c:strCache>
                <c:ptCount val="1"/>
                <c:pt idx="0">
                  <c:v>    US Rape</c:v>
                </c:pt>
              </c:strCache>
            </c:strRef>
          </c:tx>
          <c:spPr>
            <a:ln>
              <a:solidFill>
                <a:schemeClr val="accent4">
                  <a:lumMod val="75000"/>
                </a:schemeClr>
              </a:solidFill>
              <a:prstDash val="sysDot"/>
            </a:ln>
          </c:spPr>
          <c:marker>
            <c:symbol val="none"/>
          </c:marker>
          <c:cat>
            <c:strRef>
              <c:f>'Youth Violence_Arrest Rate'!$C$3:$L$5</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'Youth Violence_Arrest Rate'!$C$21:$L$21</c:f>
              <c:numCache>
                <c:formatCode>#,##0.0</c:formatCode>
                <c:ptCount val="10"/>
                <c:pt idx="0">
                  <c:v>1.2</c:v>
                </c:pt>
                <c:pt idx="1">
                  <c:v>1.1000000000000001</c:v>
                </c:pt>
                <c:pt idx="2">
                  <c:v>0.99441306219971159</c:v>
                </c:pt>
                <c:pt idx="3">
                  <c:v>0.9</c:v>
                </c:pt>
                <c:pt idx="4">
                  <c:v>0.9</c:v>
                </c:pt>
                <c:pt idx="5">
                  <c:v>0.8</c:v>
                </c:pt>
                <c:pt idx="6">
                  <c:v>0.9</c:v>
                </c:pt>
                <c:pt idx="7">
                  <c:v>1</c:v>
                </c:pt>
                <c:pt idx="8">
                  <c:v>1.1000000000000001</c:v>
                </c:pt>
                <c:pt idx="9">
                  <c:v>1.1000000000000001</c:v>
                </c:pt>
              </c:numCache>
            </c:numRef>
          </c:val>
          <c:smooth val="0"/>
          <c:extLst>
            <c:ext xmlns:c16="http://schemas.microsoft.com/office/drawing/2014/chart" uri="{C3380CC4-5D6E-409C-BE32-E72D297353CC}">
              <c16:uniqueId val="{00000003-D0E8-426F-8F62-FC211F0A322C}"/>
            </c:ext>
          </c:extLst>
        </c:ser>
        <c:ser>
          <c:idx val="4"/>
          <c:order val="4"/>
          <c:tx>
            <c:strRef>
              <c:f>'Youth Violence_Arrest Rate'!$A$22</c:f>
              <c:strCache>
                <c:ptCount val="1"/>
                <c:pt idx="0">
                  <c:v>    MA Robbery</c:v>
                </c:pt>
              </c:strCache>
            </c:strRef>
          </c:tx>
          <c:spPr>
            <a:ln>
              <a:solidFill>
                <a:schemeClr val="accent2">
                  <a:lumMod val="40000"/>
                  <a:lumOff val="60000"/>
                </a:schemeClr>
              </a:solidFill>
            </a:ln>
          </c:spPr>
          <c:marker>
            <c:symbol val="none"/>
          </c:marker>
          <c:cat>
            <c:strRef>
              <c:f>'Youth Violence_Arrest Rate'!$C$3:$L$5</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'Youth Violence_Arrest Rate'!$C$22:$L$22</c:f>
              <c:numCache>
                <c:formatCode>#,##0.0</c:formatCode>
                <c:ptCount val="10"/>
                <c:pt idx="0">
                  <c:v>7.7057190544447032</c:v>
                </c:pt>
                <c:pt idx="1">
                  <c:v>8.1</c:v>
                </c:pt>
                <c:pt idx="2">
                  <c:v>7.3404658192877417</c:v>
                </c:pt>
                <c:pt idx="3">
                  <c:v>5.3</c:v>
                </c:pt>
                <c:pt idx="4">
                  <c:v>4.8</c:v>
                </c:pt>
                <c:pt idx="5">
                  <c:v>3.6</c:v>
                </c:pt>
                <c:pt idx="6">
                  <c:v>3.7</c:v>
                </c:pt>
                <c:pt idx="7">
                  <c:v>3.9</c:v>
                </c:pt>
                <c:pt idx="8">
                  <c:v>3.2</c:v>
                </c:pt>
                <c:pt idx="9">
                  <c:v>2.9</c:v>
                </c:pt>
              </c:numCache>
            </c:numRef>
          </c:val>
          <c:smooth val="0"/>
          <c:extLst>
            <c:ext xmlns:c16="http://schemas.microsoft.com/office/drawing/2014/chart" uri="{C3380CC4-5D6E-409C-BE32-E72D297353CC}">
              <c16:uniqueId val="{00000004-D0E8-426F-8F62-FC211F0A322C}"/>
            </c:ext>
          </c:extLst>
        </c:ser>
        <c:ser>
          <c:idx val="5"/>
          <c:order val="5"/>
          <c:tx>
            <c:strRef>
              <c:f>'Youth Violence_Arrest Rate'!$A$23</c:f>
              <c:strCache>
                <c:ptCount val="1"/>
                <c:pt idx="0">
                  <c:v>    US Robbery</c:v>
                </c:pt>
              </c:strCache>
            </c:strRef>
          </c:tx>
          <c:spPr>
            <a:ln>
              <a:solidFill>
                <a:schemeClr val="accent2">
                  <a:lumMod val="75000"/>
                </a:schemeClr>
              </a:solidFill>
              <a:prstDash val="dashDot"/>
            </a:ln>
          </c:spPr>
          <c:marker>
            <c:symbol val="none"/>
          </c:marker>
          <c:cat>
            <c:strRef>
              <c:f>'Youth Violence_Arrest Rate'!$C$3:$L$5</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'Youth Violence_Arrest Rate'!$C$23:$L$23</c:f>
              <c:numCache>
                <c:formatCode>#,##0.0</c:formatCode>
                <c:ptCount val="10"/>
                <c:pt idx="0">
                  <c:v>11.7</c:v>
                </c:pt>
                <c:pt idx="1">
                  <c:v>11.9</c:v>
                </c:pt>
                <c:pt idx="2">
                  <c:v>10.540361514636775</c:v>
                </c:pt>
                <c:pt idx="3">
                  <c:v>8.8000000000000007</c:v>
                </c:pt>
                <c:pt idx="4">
                  <c:v>7.7</c:v>
                </c:pt>
                <c:pt idx="5">
                  <c:v>6.8</c:v>
                </c:pt>
                <c:pt idx="6">
                  <c:v>6.5</c:v>
                </c:pt>
                <c:pt idx="7">
                  <c:v>6.1</c:v>
                </c:pt>
                <c:pt idx="8">
                  <c:v>5.7</c:v>
                </c:pt>
                <c:pt idx="9">
                  <c:v>6</c:v>
                </c:pt>
              </c:numCache>
            </c:numRef>
          </c:val>
          <c:smooth val="0"/>
          <c:extLst>
            <c:ext xmlns:c16="http://schemas.microsoft.com/office/drawing/2014/chart" uri="{C3380CC4-5D6E-409C-BE32-E72D297353CC}">
              <c16:uniqueId val="{00000005-D0E8-426F-8F62-FC211F0A322C}"/>
            </c:ext>
          </c:extLst>
        </c:ser>
        <c:ser>
          <c:idx val="6"/>
          <c:order val="6"/>
          <c:tx>
            <c:strRef>
              <c:f>'Youth Violence_Arrest Rate'!$A$24</c:f>
              <c:strCache>
                <c:ptCount val="1"/>
                <c:pt idx="0">
                  <c:v>    MA Aggravated Assault</c:v>
                </c:pt>
              </c:strCache>
            </c:strRef>
          </c:tx>
          <c:spPr>
            <a:ln>
              <a:solidFill>
                <a:schemeClr val="accent1">
                  <a:lumMod val="75000"/>
                </a:schemeClr>
              </a:solidFill>
              <a:prstDash val="sysDash"/>
            </a:ln>
          </c:spPr>
          <c:marker>
            <c:symbol val="none"/>
          </c:marker>
          <c:cat>
            <c:strRef>
              <c:f>'Youth Violence_Arrest Rate'!$C$3:$L$5</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'Youth Violence_Arrest Rate'!$C$24:$L$24</c:f>
              <c:numCache>
                <c:formatCode>#,##0.0</c:formatCode>
                <c:ptCount val="10"/>
                <c:pt idx="0">
                  <c:v>21.179099051049228</c:v>
                </c:pt>
                <c:pt idx="1">
                  <c:v>21.5</c:v>
                </c:pt>
                <c:pt idx="2">
                  <c:v>19.018479622700056</c:v>
                </c:pt>
                <c:pt idx="3">
                  <c:v>20.3</c:v>
                </c:pt>
                <c:pt idx="4">
                  <c:v>14.9</c:v>
                </c:pt>
                <c:pt idx="5">
                  <c:v>12.2</c:v>
                </c:pt>
                <c:pt idx="6">
                  <c:v>11.4</c:v>
                </c:pt>
                <c:pt idx="7">
                  <c:v>10.4</c:v>
                </c:pt>
                <c:pt idx="8">
                  <c:v>10.7</c:v>
                </c:pt>
                <c:pt idx="9">
                  <c:v>9.8000000000000007</c:v>
                </c:pt>
              </c:numCache>
            </c:numRef>
          </c:val>
          <c:smooth val="0"/>
          <c:extLst>
            <c:ext xmlns:c16="http://schemas.microsoft.com/office/drawing/2014/chart" uri="{C3380CC4-5D6E-409C-BE32-E72D297353CC}">
              <c16:uniqueId val="{00000006-D0E8-426F-8F62-FC211F0A322C}"/>
            </c:ext>
          </c:extLst>
        </c:ser>
        <c:ser>
          <c:idx val="7"/>
          <c:order val="7"/>
          <c:tx>
            <c:strRef>
              <c:f>'Youth Violence_Arrest Rate'!$A$25</c:f>
              <c:strCache>
                <c:ptCount val="1"/>
                <c:pt idx="0">
                  <c:v>    US Aggravated Assault</c:v>
                </c:pt>
              </c:strCache>
            </c:strRef>
          </c:tx>
          <c:spPr>
            <a:ln>
              <a:solidFill>
                <a:schemeClr val="accent1">
                  <a:lumMod val="40000"/>
                  <a:lumOff val="60000"/>
                </a:schemeClr>
              </a:solidFill>
            </a:ln>
          </c:spPr>
          <c:marker>
            <c:symbol val="none"/>
          </c:marker>
          <c:cat>
            <c:strRef>
              <c:f>'Youth Violence_Arrest Rate'!$C$3:$L$5</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'Youth Violence_Arrest Rate'!$C$25:$L$25</c:f>
              <c:numCache>
                <c:formatCode>#,##0.0</c:formatCode>
                <c:ptCount val="10"/>
                <c:pt idx="0">
                  <c:v>19.3</c:v>
                </c:pt>
                <c:pt idx="1">
                  <c:v>18.600000000000001</c:v>
                </c:pt>
                <c:pt idx="2">
                  <c:v>16.455555692174432</c:v>
                </c:pt>
                <c:pt idx="3">
                  <c:v>14.6</c:v>
                </c:pt>
                <c:pt idx="4">
                  <c:v>13.1</c:v>
                </c:pt>
                <c:pt idx="5">
                  <c:v>11.6</c:v>
                </c:pt>
                <c:pt idx="6">
                  <c:v>10.199999999999999</c:v>
                </c:pt>
                <c:pt idx="7">
                  <c:v>9.5</c:v>
                </c:pt>
                <c:pt idx="8">
                  <c:v>8.9</c:v>
                </c:pt>
                <c:pt idx="9">
                  <c:v>8.6999999999999993</c:v>
                </c:pt>
              </c:numCache>
            </c:numRef>
          </c:val>
          <c:smooth val="0"/>
          <c:extLst>
            <c:ext xmlns:c16="http://schemas.microsoft.com/office/drawing/2014/chart" uri="{C3380CC4-5D6E-409C-BE32-E72D297353CC}">
              <c16:uniqueId val="{00000007-D0E8-426F-8F62-FC211F0A322C}"/>
            </c:ext>
          </c:extLst>
        </c:ser>
        <c:dLbls>
          <c:showLegendKey val="0"/>
          <c:showVal val="0"/>
          <c:showCatName val="0"/>
          <c:showSerName val="0"/>
          <c:showPercent val="0"/>
          <c:showBubbleSize val="0"/>
        </c:dLbls>
        <c:smooth val="0"/>
        <c:axId val="118990336"/>
        <c:axId val="118991872"/>
      </c:lineChart>
      <c:catAx>
        <c:axId val="118990336"/>
        <c:scaling>
          <c:orientation val="minMax"/>
        </c:scaling>
        <c:delete val="1"/>
        <c:axPos val="b"/>
        <c:numFmt formatCode="General" sourceLinked="0"/>
        <c:majorTickMark val="out"/>
        <c:minorTickMark val="none"/>
        <c:tickLblPos val="nextTo"/>
        <c:crossAx val="118991872"/>
        <c:crosses val="autoZero"/>
        <c:auto val="1"/>
        <c:lblAlgn val="ctr"/>
        <c:lblOffset val="100"/>
        <c:noMultiLvlLbl val="0"/>
      </c:catAx>
      <c:valAx>
        <c:axId val="118991872"/>
        <c:scaling>
          <c:orientation val="minMax"/>
          <c:min val="-5"/>
        </c:scaling>
        <c:delete val="0"/>
        <c:axPos val="l"/>
        <c:majorGridlines>
          <c:spPr>
            <a:ln>
              <a:noFill/>
            </a:ln>
          </c:spPr>
        </c:majorGridlines>
        <c:title>
          <c:tx>
            <c:rich>
              <a:bodyPr rot="-5400000" vert="horz"/>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Arrest Rates </a:t>
                </a:r>
              </a:p>
            </c:rich>
          </c:tx>
          <c:layout>
            <c:manualLayout>
              <c:xMode val="edge"/>
              <c:yMode val="edge"/>
              <c:x val="0.19622107296255237"/>
              <c:y val="0.24186413030716244"/>
            </c:manualLayout>
          </c:layout>
          <c:overlay val="0"/>
        </c:title>
        <c:numFmt formatCode="#,##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18990336"/>
        <c:crosses val="autoZero"/>
        <c:crossBetween val="between"/>
      </c:valAx>
      <c:dTable>
        <c:showHorzBorder val="1"/>
        <c:showVertBorder val="1"/>
        <c:showOutline val="1"/>
        <c:showKeys val="1"/>
        <c:txPr>
          <a:bodyPr/>
          <a:lstStyle/>
          <a:p>
            <a:pPr rtl="0">
              <a:defRPr>
                <a:latin typeface="Times New Roman" panose="02020603050405020304" pitchFamily="18" charset="0"/>
                <a:cs typeface="Times New Roman" panose="02020603050405020304" pitchFamily="18" charset="0"/>
              </a:defRPr>
            </a:pPr>
            <a:endParaRPr lang="en-US"/>
          </a:p>
        </c:txPr>
      </c:dTable>
    </c:plotArea>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National vs. </a:t>
            </a:r>
            <a:r>
              <a:rPr lang="en-US" sz="1200" baseline="0">
                <a:latin typeface="Times New Roman" panose="02020603050405020304" pitchFamily="18" charset="0"/>
                <a:cs typeface="Times New Roman" panose="02020603050405020304" pitchFamily="18" charset="0"/>
              </a:rPr>
              <a:t>Massachusetts Part I Arrests Rates</a:t>
            </a:r>
          </a:p>
          <a:p>
            <a:pPr>
              <a:defRPr sz="1200">
                <a:latin typeface="Times New Roman" panose="02020603050405020304" pitchFamily="18" charset="0"/>
                <a:cs typeface="Times New Roman" panose="02020603050405020304" pitchFamily="18" charset="0"/>
              </a:defRPr>
            </a:pPr>
            <a:r>
              <a:rPr lang="en-US" sz="1200" baseline="0">
                <a:latin typeface="Times New Roman" panose="02020603050405020304" pitchFamily="18" charset="0"/>
                <a:cs typeface="Times New Roman" panose="02020603050405020304" pitchFamily="18" charset="0"/>
              </a:rPr>
              <a:t>(per 100,000 persons) 2007 - 2016</a:t>
            </a:r>
            <a:endParaRPr lang="en-US" sz="1200">
              <a:latin typeface="Times New Roman" panose="02020603050405020304" pitchFamily="18" charset="0"/>
              <a:cs typeface="Times New Roman" panose="02020603050405020304" pitchFamily="18" charset="0"/>
            </a:endParaRPr>
          </a:p>
        </c:rich>
      </c:tx>
      <c:layout>
        <c:manualLayout>
          <c:xMode val="edge"/>
          <c:yMode val="edge"/>
          <c:x val="0.21087482479664027"/>
          <c:y val="1.1678833906750796E-2"/>
        </c:manualLayout>
      </c:layout>
      <c:overlay val="0"/>
    </c:title>
    <c:autoTitleDeleted val="0"/>
    <c:plotArea>
      <c:layout>
        <c:manualLayout>
          <c:layoutTarget val="inner"/>
          <c:xMode val="edge"/>
          <c:yMode val="edge"/>
          <c:x val="0.1793015890526819"/>
          <c:y val="0.18444647435191958"/>
          <c:w val="0.6425193173095044"/>
          <c:h val="0.45716332079476091"/>
        </c:manualLayout>
      </c:layout>
      <c:lineChart>
        <c:grouping val="standard"/>
        <c:varyColors val="0"/>
        <c:ser>
          <c:idx val="0"/>
          <c:order val="0"/>
          <c:tx>
            <c:strRef>
              <c:f>'Part I_II total Arrest Rates'!$A$5</c:f>
              <c:strCache>
                <c:ptCount val="1"/>
                <c:pt idx="0">
                  <c:v>MA Property Crime Arrests</c:v>
                </c:pt>
              </c:strCache>
            </c:strRef>
          </c:tx>
          <c:spPr>
            <a:ln>
              <a:prstDash val="sysDot"/>
            </a:ln>
          </c:spPr>
          <c:marker>
            <c:symbol val="none"/>
          </c:marker>
          <c:cat>
            <c:strRef>
              <c:f>'Part I_II total Arrest Rates'!$C$2:$N$4</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'Part I_II total Arrest Rates'!$C$5:$N$5</c:f>
              <c:numCache>
                <c:formatCode>#,##0.0</c:formatCode>
                <c:ptCount val="10"/>
                <c:pt idx="0">
                  <c:v>290.60000000000002</c:v>
                </c:pt>
                <c:pt idx="1">
                  <c:v>317.39999999999998</c:v>
                </c:pt>
                <c:pt idx="2">
                  <c:v>327.8</c:v>
                </c:pt>
                <c:pt idx="3">
                  <c:v>326.8</c:v>
                </c:pt>
                <c:pt idx="4">
                  <c:v>308.60000000000002</c:v>
                </c:pt>
                <c:pt idx="5">
                  <c:v>308.60000000000002</c:v>
                </c:pt>
                <c:pt idx="6">
                  <c:v>307.60000000000002</c:v>
                </c:pt>
                <c:pt idx="7">
                  <c:v>295.89999999999998</c:v>
                </c:pt>
                <c:pt idx="8">
                  <c:v>251.5</c:v>
                </c:pt>
                <c:pt idx="9" formatCode="0.0">
                  <c:v>232.6</c:v>
                </c:pt>
              </c:numCache>
            </c:numRef>
          </c:val>
          <c:smooth val="0"/>
          <c:extLst>
            <c:ext xmlns:c16="http://schemas.microsoft.com/office/drawing/2014/chart" uri="{C3380CC4-5D6E-409C-BE32-E72D297353CC}">
              <c16:uniqueId val="{00000000-42DA-458F-9D45-CB9F951B7A1D}"/>
            </c:ext>
          </c:extLst>
        </c:ser>
        <c:ser>
          <c:idx val="1"/>
          <c:order val="1"/>
          <c:tx>
            <c:strRef>
              <c:f>'Part I_II total Arrest Rates'!$A$6</c:f>
              <c:strCache>
                <c:ptCount val="1"/>
                <c:pt idx="0">
                  <c:v>US Property Crime Arrests</c:v>
                </c:pt>
              </c:strCache>
            </c:strRef>
          </c:tx>
          <c:spPr>
            <a:ln>
              <a:solidFill>
                <a:schemeClr val="accent1">
                  <a:lumMod val="60000"/>
                  <a:lumOff val="40000"/>
                </a:schemeClr>
              </a:solidFill>
            </a:ln>
          </c:spPr>
          <c:marker>
            <c:symbol val="none"/>
          </c:marker>
          <c:cat>
            <c:strRef>
              <c:f>'Part I_II total Arrest Rates'!$C$2:$N$4</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'Part I_II total Arrest Rates'!$C$6:$N$6</c:f>
              <c:numCache>
                <c:formatCode>#,##0.0</c:formatCode>
                <c:ptCount val="10"/>
                <c:pt idx="0">
                  <c:v>544.1</c:v>
                </c:pt>
                <c:pt idx="1">
                  <c:v>565.20000000000005</c:v>
                </c:pt>
                <c:pt idx="2">
                  <c:v>571.1</c:v>
                </c:pt>
                <c:pt idx="3">
                  <c:v>538.5</c:v>
                </c:pt>
                <c:pt idx="4">
                  <c:v>531.29999999999995</c:v>
                </c:pt>
                <c:pt idx="5">
                  <c:v>528.1</c:v>
                </c:pt>
                <c:pt idx="6">
                  <c:v>513.20000000000005</c:v>
                </c:pt>
                <c:pt idx="7">
                  <c:v>490.2</c:v>
                </c:pt>
                <c:pt idx="8">
                  <c:v>458.9</c:v>
                </c:pt>
                <c:pt idx="9" formatCode="0.0">
                  <c:v>420.6</c:v>
                </c:pt>
              </c:numCache>
            </c:numRef>
          </c:val>
          <c:smooth val="0"/>
          <c:extLst>
            <c:ext xmlns:c16="http://schemas.microsoft.com/office/drawing/2014/chart" uri="{C3380CC4-5D6E-409C-BE32-E72D297353CC}">
              <c16:uniqueId val="{00000001-42DA-458F-9D45-CB9F951B7A1D}"/>
            </c:ext>
          </c:extLst>
        </c:ser>
        <c:ser>
          <c:idx val="2"/>
          <c:order val="2"/>
          <c:tx>
            <c:strRef>
              <c:f>'Part I_II total Arrest Rates'!$A$15</c:f>
              <c:strCache>
                <c:ptCount val="1"/>
                <c:pt idx="0">
                  <c:v>MA Violent Crime Arrests</c:v>
                </c:pt>
              </c:strCache>
            </c:strRef>
          </c:tx>
          <c:spPr>
            <a:ln>
              <a:solidFill>
                <a:schemeClr val="accent4">
                  <a:lumMod val="60000"/>
                  <a:lumOff val="40000"/>
                </a:schemeClr>
              </a:solidFill>
            </a:ln>
          </c:spPr>
          <c:marker>
            <c:symbol val="none"/>
          </c:marker>
          <c:cat>
            <c:strRef>
              <c:f>'Part I_II total Arrest Rates'!$C$2:$N$4</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'Part I_II total Arrest Rates'!$C$15:$N$15</c:f>
              <c:numCache>
                <c:formatCode>#,##0.0</c:formatCode>
                <c:ptCount val="10"/>
                <c:pt idx="0">
                  <c:v>200.8</c:v>
                </c:pt>
                <c:pt idx="1">
                  <c:v>214.3</c:v>
                </c:pt>
                <c:pt idx="2">
                  <c:v>212.1</c:v>
                </c:pt>
                <c:pt idx="3">
                  <c:v>211.8</c:v>
                </c:pt>
                <c:pt idx="4">
                  <c:v>192.8</c:v>
                </c:pt>
                <c:pt idx="5">
                  <c:v>175</c:v>
                </c:pt>
                <c:pt idx="6">
                  <c:v>164</c:v>
                </c:pt>
                <c:pt idx="7">
                  <c:v>168.2</c:v>
                </c:pt>
                <c:pt idx="8">
                  <c:v>158.9</c:v>
                </c:pt>
                <c:pt idx="9" formatCode="0.0">
                  <c:v>150</c:v>
                </c:pt>
              </c:numCache>
            </c:numRef>
          </c:val>
          <c:smooth val="0"/>
          <c:extLst>
            <c:ext xmlns:c16="http://schemas.microsoft.com/office/drawing/2014/chart" uri="{C3380CC4-5D6E-409C-BE32-E72D297353CC}">
              <c16:uniqueId val="{00000002-42DA-458F-9D45-CB9F951B7A1D}"/>
            </c:ext>
          </c:extLst>
        </c:ser>
        <c:ser>
          <c:idx val="3"/>
          <c:order val="3"/>
          <c:tx>
            <c:strRef>
              <c:f>'Part I_II total Arrest Rates'!$A$16</c:f>
              <c:strCache>
                <c:ptCount val="1"/>
                <c:pt idx="0">
                  <c:v>US Violent Crime Arrests</c:v>
                </c:pt>
              </c:strCache>
            </c:strRef>
          </c:tx>
          <c:spPr>
            <a:ln>
              <a:solidFill>
                <a:schemeClr val="accent4">
                  <a:lumMod val="75000"/>
                </a:schemeClr>
              </a:solidFill>
              <a:prstDash val="sysDash"/>
            </a:ln>
          </c:spPr>
          <c:marker>
            <c:symbol val="none"/>
          </c:marker>
          <c:cat>
            <c:strRef>
              <c:f>'Part I_II total Arrest Rates'!$C$2:$N$4</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'Part I_II total Arrest Rates'!$C$16:$N$16</c:f>
              <c:numCache>
                <c:formatCode>#,##0.0</c:formatCode>
                <c:ptCount val="10"/>
                <c:pt idx="0">
                  <c:v>200.2</c:v>
                </c:pt>
                <c:pt idx="1">
                  <c:v>198.2</c:v>
                </c:pt>
                <c:pt idx="2">
                  <c:v>191.2</c:v>
                </c:pt>
                <c:pt idx="3">
                  <c:v>179.2</c:v>
                </c:pt>
                <c:pt idx="4">
                  <c:v>172.3</c:v>
                </c:pt>
                <c:pt idx="5">
                  <c:v>166.3</c:v>
                </c:pt>
                <c:pt idx="6">
                  <c:v>159.80000000000001</c:v>
                </c:pt>
                <c:pt idx="7">
                  <c:v>156.69999999999999</c:v>
                </c:pt>
                <c:pt idx="8">
                  <c:v>157.19999999999999</c:v>
                </c:pt>
                <c:pt idx="9" formatCode="0.0">
                  <c:v>159.69999999999999</c:v>
                </c:pt>
              </c:numCache>
            </c:numRef>
          </c:val>
          <c:smooth val="0"/>
          <c:extLst>
            <c:ext xmlns:c16="http://schemas.microsoft.com/office/drawing/2014/chart" uri="{C3380CC4-5D6E-409C-BE32-E72D297353CC}">
              <c16:uniqueId val="{00000003-42DA-458F-9D45-CB9F951B7A1D}"/>
            </c:ext>
          </c:extLst>
        </c:ser>
        <c:ser>
          <c:idx val="4"/>
          <c:order val="4"/>
          <c:tx>
            <c:strRef>
              <c:f>'Part I_II total Arrest Rates'!$A$25</c:f>
              <c:strCache>
                <c:ptCount val="1"/>
                <c:pt idx="0">
                  <c:v>MA Total Part I Arrests</c:v>
                </c:pt>
              </c:strCache>
            </c:strRef>
          </c:tx>
          <c:spPr>
            <a:ln>
              <a:solidFill>
                <a:schemeClr val="accent5">
                  <a:lumMod val="75000"/>
                </a:schemeClr>
              </a:solidFill>
              <a:prstDash val="dashDot"/>
            </a:ln>
          </c:spPr>
          <c:marker>
            <c:symbol val="none"/>
          </c:marker>
          <c:cat>
            <c:strRef>
              <c:f>'Part I_II total Arrest Rates'!$C$2:$N$4</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'Part I_II total Arrest Rates'!$C$25:$N$25</c:f>
              <c:numCache>
                <c:formatCode>#,##0.0</c:formatCode>
                <c:ptCount val="10"/>
                <c:pt idx="0">
                  <c:v>491.40000000000003</c:v>
                </c:pt>
                <c:pt idx="1">
                  <c:v>531.70000000000005</c:v>
                </c:pt>
                <c:pt idx="2">
                  <c:v>539.9</c:v>
                </c:pt>
                <c:pt idx="3">
                  <c:v>538.6</c:v>
                </c:pt>
                <c:pt idx="4">
                  <c:v>501.40000000000003</c:v>
                </c:pt>
                <c:pt idx="5">
                  <c:v>483.6</c:v>
                </c:pt>
                <c:pt idx="6">
                  <c:v>471.6</c:v>
                </c:pt>
                <c:pt idx="7">
                  <c:v>464.09999999999997</c:v>
                </c:pt>
                <c:pt idx="8">
                  <c:v>410.4</c:v>
                </c:pt>
                <c:pt idx="9">
                  <c:v>382.6</c:v>
                </c:pt>
              </c:numCache>
            </c:numRef>
          </c:val>
          <c:smooth val="0"/>
          <c:extLst>
            <c:ext xmlns:c16="http://schemas.microsoft.com/office/drawing/2014/chart" uri="{C3380CC4-5D6E-409C-BE32-E72D297353CC}">
              <c16:uniqueId val="{00000004-42DA-458F-9D45-CB9F951B7A1D}"/>
            </c:ext>
          </c:extLst>
        </c:ser>
        <c:ser>
          <c:idx val="5"/>
          <c:order val="5"/>
          <c:tx>
            <c:strRef>
              <c:f>'Part I_II total Arrest Rates'!$A$26</c:f>
              <c:strCache>
                <c:ptCount val="1"/>
                <c:pt idx="0">
                  <c:v>US Total Part I Arrests</c:v>
                </c:pt>
              </c:strCache>
            </c:strRef>
          </c:tx>
          <c:spPr>
            <a:ln w="34925" cap="rnd" cmpd="sng">
              <a:solidFill>
                <a:schemeClr val="accent5">
                  <a:lumMod val="60000"/>
                  <a:lumOff val="40000"/>
                </a:schemeClr>
              </a:solidFill>
              <a:prstDash val="lgDash"/>
            </a:ln>
          </c:spPr>
          <c:marker>
            <c:symbol val="none"/>
          </c:marker>
          <c:cat>
            <c:strRef>
              <c:f>'Part I_II total Arrest Rates'!$C$2:$N$4</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'Part I_II total Arrest Rates'!$C$26:$N$26</c:f>
              <c:numCache>
                <c:formatCode>#,##0.0</c:formatCode>
                <c:ptCount val="10"/>
                <c:pt idx="0">
                  <c:v>744.3</c:v>
                </c:pt>
                <c:pt idx="1">
                  <c:v>763.40000000000009</c:v>
                </c:pt>
                <c:pt idx="2">
                  <c:v>762.3</c:v>
                </c:pt>
                <c:pt idx="3">
                  <c:v>717.7</c:v>
                </c:pt>
                <c:pt idx="4">
                  <c:v>703.59999999999991</c:v>
                </c:pt>
                <c:pt idx="5">
                  <c:v>694.40000000000009</c:v>
                </c:pt>
                <c:pt idx="6">
                  <c:v>673</c:v>
                </c:pt>
                <c:pt idx="7">
                  <c:v>646.9</c:v>
                </c:pt>
                <c:pt idx="8">
                  <c:v>616.09999999999991</c:v>
                </c:pt>
                <c:pt idx="9">
                  <c:v>580.29999999999995</c:v>
                </c:pt>
              </c:numCache>
            </c:numRef>
          </c:val>
          <c:smooth val="0"/>
          <c:extLst>
            <c:ext xmlns:c16="http://schemas.microsoft.com/office/drawing/2014/chart" uri="{C3380CC4-5D6E-409C-BE32-E72D297353CC}">
              <c16:uniqueId val="{00000005-42DA-458F-9D45-CB9F951B7A1D}"/>
            </c:ext>
          </c:extLst>
        </c:ser>
        <c:dLbls>
          <c:showLegendKey val="0"/>
          <c:showVal val="0"/>
          <c:showCatName val="0"/>
          <c:showSerName val="0"/>
          <c:showPercent val="0"/>
          <c:showBubbleSize val="0"/>
        </c:dLbls>
        <c:smooth val="0"/>
        <c:axId val="121914880"/>
        <c:axId val="121916416"/>
      </c:lineChart>
      <c:catAx>
        <c:axId val="121914880"/>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21916416"/>
        <c:crosses val="autoZero"/>
        <c:auto val="1"/>
        <c:lblAlgn val="ctr"/>
        <c:lblOffset val="100"/>
        <c:noMultiLvlLbl val="0"/>
      </c:catAx>
      <c:valAx>
        <c:axId val="121916416"/>
        <c:scaling>
          <c:orientation val="minMax"/>
          <c:max val="800"/>
        </c:scaling>
        <c:delete val="0"/>
        <c:axPos val="l"/>
        <c:majorGridlines>
          <c:spPr>
            <a:ln>
              <a:noFill/>
            </a:ln>
          </c:spPr>
        </c:majorGridlines>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Arrests Rates</a:t>
                </a:r>
              </a:p>
            </c:rich>
          </c:tx>
          <c:layout>
            <c:manualLayout>
              <c:xMode val="edge"/>
              <c:yMode val="edge"/>
              <c:x val="5.5499856902585361E-2"/>
              <c:y val="0.3273969159050652"/>
            </c:manualLayout>
          </c:layout>
          <c:overlay val="0"/>
        </c:title>
        <c:numFmt formatCode="#,##0"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21914880"/>
        <c:crosses val="autoZero"/>
        <c:crossBetween val="between"/>
      </c:valAx>
    </c:plotArea>
    <c:legend>
      <c:legendPos val="r"/>
      <c:layout>
        <c:manualLayout>
          <c:xMode val="edge"/>
          <c:yMode val="edge"/>
          <c:x val="0.16064175222717761"/>
          <c:y val="0.75949480000686631"/>
          <c:w val="0.73517152184380641"/>
          <c:h val="0.17993609935413207"/>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Times New Roman"/>
                <a:ea typeface="Times New Roman"/>
                <a:cs typeface="Times New Roman"/>
              </a:defRPr>
            </a:pPr>
            <a:r>
              <a:rPr lang="en-US" sz="1200" b="1" i="0" u="none" strike="noStrike" baseline="0">
                <a:solidFill>
                  <a:srgbClr val="000000"/>
                </a:solidFill>
                <a:latin typeface="Times New Roman"/>
                <a:cs typeface="Times New Roman"/>
              </a:rPr>
              <a:t>Massachusetts Part I Juvenile Arrest Rates (per 100,000 persons)</a:t>
            </a:r>
          </a:p>
          <a:p>
            <a:pPr>
              <a:defRPr sz="1000" b="0" i="0" u="none" strike="noStrike" baseline="0">
                <a:solidFill>
                  <a:srgbClr val="000000"/>
                </a:solidFill>
                <a:latin typeface="Times New Roman"/>
                <a:ea typeface="Times New Roman"/>
                <a:cs typeface="Times New Roman"/>
              </a:defRPr>
            </a:pPr>
            <a:r>
              <a:rPr lang="en-US" sz="1200" b="1" i="0" u="none" strike="noStrike" baseline="0">
                <a:solidFill>
                  <a:srgbClr val="000000"/>
                </a:solidFill>
                <a:latin typeface="Times New Roman"/>
                <a:cs typeface="Times New Roman"/>
              </a:rPr>
              <a:t>2007- 2016</a:t>
            </a:r>
          </a:p>
          <a:p>
            <a:pPr>
              <a:defRPr sz="1000" b="0" i="0" u="none" strike="noStrike" baseline="0">
                <a:solidFill>
                  <a:srgbClr val="000000"/>
                </a:solidFill>
                <a:latin typeface="Times New Roman"/>
                <a:ea typeface="Times New Roman"/>
                <a:cs typeface="Times New Roman"/>
              </a:defRPr>
            </a:pPr>
            <a:r>
              <a:rPr lang="en-US" sz="1200" b="1" i="0" u="none" strike="noStrike" baseline="0">
                <a:solidFill>
                  <a:srgbClr val="000000"/>
                </a:solidFill>
                <a:latin typeface="Times New Roman"/>
                <a:cs typeface="Times New Roman"/>
              </a:rPr>
              <a:t> </a:t>
            </a:r>
          </a:p>
        </c:rich>
      </c:tx>
      <c:layout>
        <c:manualLayout>
          <c:xMode val="edge"/>
          <c:yMode val="edge"/>
          <c:x val="0.14045122598017218"/>
          <c:y val="1.7698033647433414E-2"/>
        </c:manualLayout>
      </c:layout>
      <c:overlay val="0"/>
      <c:spPr>
        <a:noFill/>
        <a:ln w="25400">
          <a:noFill/>
        </a:ln>
      </c:spPr>
    </c:title>
    <c:autoTitleDeleted val="0"/>
    <c:plotArea>
      <c:layout>
        <c:manualLayout>
          <c:layoutTarget val="inner"/>
          <c:xMode val="edge"/>
          <c:yMode val="edge"/>
          <c:x val="0.10275335052145031"/>
          <c:y val="0.22447043830503846"/>
          <c:w val="0.85496682383728584"/>
          <c:h val="0.54750709436154876"/>
        </c:manualLayout>
      </c:layout>
      <c:lineChart>
        <c:grouping val="standard"/>
        <c:varyColors val="0"/>
        <c:ser>
          <c:idx val="0"/>
          <c:order val="0"/>
          <c:tx>
            <c:v>Property Crime Arrests</c:v>
          </c:tx>
          <c:spPr>
            <a:ln w="12700">
              <a:solidFill>
                <a:srgbClr val="660066"/>
              </a:solidFill>
              <a:prstDash val="solid"/>
            </a:ln>
          </c:spPr>
          <c:marker>
            <c:symbol val="circle"/>
            <c:size val="6"/>
            <c:spPr>
              <a:solidFill>
                <a:srgbClr val="660066"/>
              </a:solidFill>
              <a:ln>
                <a:solidFill>
                  <a:srgbClr val="660066"/>
                </a:solidFill>
                <a:prstDash val="solid"/>
              </a:ln>
            </c:spPr>
          </c:marker>
          <c:dLbls>
            <c:dLbl>
              <c:idx val="0"/>
              <c:layout>
                <c:manualLayout>
                  <c:x val="-3.0268314906232576E-2"/>
                  <c:y val="-6.7954046727765588E-2"/>
                </c:manualLayout>
              </c:layout>
              <c:spPr/>
              <c:txPr>
                <a:bodyPr/>
                <a:lstStyle/>
                <a:p>
                  <a:pPr>
                    <a:defRPr sz="1000" b="0" i="0" u="none" strike="noStrike" baseline="0">
                      <a:solidFill>
                        <a:srgbClr val="000000"/>
                      </a:solidFill>
                      <a:latin typeface="Times New Roman"/>
                      <a:ea typeface="Times New Roman"/>
                      <a:cs typeface="Times New Roman"/>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939-40B9-9505-D87A5502B5C4}"/>
                </c:ext>
              </c:extLst>
            </c:dLbl>
            <c:dLbl>
              <c:idx val="1"/>
              <c:delete val="1"/>
              <c:extLst>
                <c:ext xmlns:c15="http://schemas.microsoft.com/office/drawing/2012/chart" uri="{CE6537A1-D6FC-4f65-9D91-7224C49458BB}"/>
                <c:ext xmlns:c16="http://schemas.microsoft.com/office/drawing/2014/chart" uri="{C3380CC4-5D6E-409C-BE32-E72D297353CC}">
                  <c16:uniqueId val="{00000001-4939-40B9-9505-D87A5502B5C4}"/>
                </c:ext>
              </c:extLst>
            </c:dLbl>
            <c:dLbl>
              <c:idx val="2"/>
              <c:delete val="1"/>
              <c:extLst>
                <c:ext xmlns:c15="http://schemas.microsoft.com/office/drawing/2012/chart" uri="{CE6537A1-D6FC-4f65-9D91-7224C49458BB}"/>
                <c:ext xmlns:c16="http://schemas.microsoft.com/office/drawing/2014/chart" uri="{C3380CC4-5D6E-409C-BE32-E72D297353CC}">
                  <c16:uniqueId val="{00000002-4939-40B9-9505-D87A5502B5C4}"/>
                </c:ext>
              </c:extLst>
            </c:dLbl>
            <c:dLbl>
              <c:idx val="3"/>
              <c:delete val="1"/>
              <c:extLst>
                <c:ext xmlns:c15="http://schemas.microsoft.com/office/drawing/2012/chart" uri="{CE6537A1-D6FC-4f65-9D91-7224C49458BB}"/>
                <c:ext xmlns:c16="http://schemas.microsoft.com/office/drawing/2014/chart" uri="{C3380CC4-5D6E-409C-BE32-E72D297353CC}">
                  <c16:uniqueId val="{00000003-4939-40B9-9505-D87A5502B5C4}"/>
                </c:ext>
              </c:extLst>
            </c:dLbl>
            <c:dLbl>
              <c:idx val="4"/>
              <c:delete val="1"/>
              <c:extLst>
                <c:ext xmlns:c15="http://schemas.microsoft.com/office/drawing/2012/chart" uri="{CE6537A1-D6FC-4f65-9D91-7224C49458BB}"/>
                <c:ext xmlns:c16="http://schemas.microsoft.com/office/drawing/2014/chart" uri="{C3380CC4-5D6E-409C-BE32-E72D297353CC}">
                  <c16:uniqueId val="{00000004-4939-40B9-9505-D87A5502B5C4}"/>
                </c:ext>
              </c:extLst>
            </c:dLbl>
            <c:dLbl>
              <c:idx val="5"/>
              <c:delete val="1"/>
              <c:extLst>
                <c:ext xmlns:c15="http://schemas.microsoft.com/office/drawing/2012/chart" uri="{CE6537A1-D6FC-4f65-9D91-7224C49458BB}"/>
                <c:ext xmlns:c16="http://schemas.microsoft.com/office/drawing/2014/chart" uri="{C3380CC4-5D6E-409C-BE32-E72D297353CC}">
                  <c16:uniqueId val="{00000005-4939-40B9-9505-D87A5502B5C4}"/>
                </c:ext>
              </c:extLst>
            </c:dLbl>
            <c:dLbl>
              <c:idx val="6"/>
              <c:delete val="1"/>
              <c:extLst>
                <c:ext xmlns:c15="http://schemas.microsoft.com/office/drawing/2012/chart" uri="{CE6537A1-D6FC-4f65-9D91-7224C49458BB}"/>
                <c:ext xmlns:c16="http://schemas.microsoft.com/office/drawing/2014/chart" uri="{C3380CC4-5D6E-409C-BE32-E72D297353CC}">
                  <c16:uniqueId val="{00000006-4939-40B9-9505-D87A5502B5C4}"/>
                </c:ext>
              </c:extLst>
            </c:dLbl>
            <c:dLbl>
              <c:idx val="7"/>
              <c:delete val="1"/>
              <c:extLst>
                <c:ext xmlns:c15="http://schemas.microsoft.com/office/drawing/2012/chart" uri="{CE6537A1-D6FC-4f65-9D91-7224C49458BB}"/>
                <c:ext xmlns:c16="http://schemas.microsoft.com/office/drawing/2014/chart" uri="{C3380CC4-5D6E-409C-BE32-E72D297353CC}">
                  <c16:uniqueId val="{00000007-4939-40B9-9505-D87A5502B5C4}"/>
                </c:ext>
              </c:extLst>
            </c:dLbl>
            <c:dLbl>
              <c:idx val="8"/>
              <c:layout>
                <c:manualLayout>
                  <c:x val="-2.6790873938685126E-2"/>
                  <c:y val="-5.9756120648853321E-2"/>
                </c:manualLayout>
              </c:layout>
              <c:spPr/>
              <c:txPr>
                <a:bodyPr/>
                <a:lstStyle/>
                <a:p>
                  <a:pPr>
                    <a:defRPr sz="1000" b="0" i="0" u="none" strike="noStrike" baseline="0">
                      <a:solidFill>
                        <a:srgbClr val="000000"/>
                      </a:solidFill>
                      <a:latin typeface="Times New Roman"/>
                      <a:ea typeface="Times New Roman"/>
                      <a:cs typeface="Times New Roman"/>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939-40B9-9505-D87A5502B5C4}"/>
                </c:ext>
              </c:extLst>
            </c:dLbl>
            <c:dLbl>
              <c:idx val="9"/>
              <c:layout>
                <c:manualLayout>
                  <c:x val="-3.6845135290731149E-2"/>
                  <c:y val="-5.6830601092896178E-2"/>
                </c:manualLayout>
              </c:layout>
              <c:spPr/>
              <c:txPr>
                <a:bodyPr/>
                <a:lstStyle/>
                <a:p>
                  <a:pPr>
                    <a:defRPr sz="1000" b="0" i="0" u="none" strike="noStrike" baseline="0">
                      <a:solidFill>
                        <a:srgbClr val="000000"/>
                      </a:solidFill>
                      <a:latin typeface="Times New Roman"/>
                      <a:ea typeface="Times New Roman"/>
                      <a:cs typeface="Times New Roman"/>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939-40B9-9505-D87A5502B5C4}"/>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'MA Part I Arrest Rate'!$A$25:$A$34</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'MA Part I Arrest Rate'!$D$25:$D$34</c:f>
              <c:numCache>
                <c:formatCode>0.0</c:formatCode>
                <c:ptCount val="10"/>
                <c:pt idx="0">
                  <c:v>49.815845718170699</c:v>
                </c:pt>
                <c:pt idx="1">
                  <c:v>52.5</c:v>
                </c:pt>
                <c:pt idx="2">
                  <c:v>51.41359323839967</c:v>
                </c:pt>
                <c:pt idx="3">
                  <c:v>45.5</c:v>
                </c:pt>
                <c:pt idx="4">
                  <c:v>33.888284900127942</c:v>
                </c:pt>
                <c:pt idx="5">
                  <c:v>27.613488805551832</c:v>
                </c:pt>
                <c:pt idx="6">
                  <c:v>26.666173787136259</c:v>
                </c:pt>
                <c:pt idx="7">
                  <c:v>21.22925699972485</c:v>
                </c:pt>
                <c:pt idx="8">
                  <c:v>21.358607631884155</c:v>
                </c:pt>
                <c:pt idx="9">
                  <c:v>19.965072775409244</c:v>
                </c:pt>
              </c:numCache>
            </c:numRef>
          </c:val>
          <c:smooth val="0"/>
          <c:extLst>
            <c:ext xmlns:c16="http://schemas.microsoft.com/office/drawing/2014/chart" uri="{C3380CC4-5D6E-409C-BE32-E72D297353CC}">
              <c16:uniqueId val="{0000000A-4939-40B9-9505-D87A5502B5C4}"/>
            </c:ext>
          </c:extLst>
        </c:ser>
        <c:ser>
          <c:idx val="1"/>
          <c:order val="1"/>
          <c:tx>
            <c:v>Violent Crime Arrests</c:v>
          </c:tx>
          <c:spPr>
            <a:ln w="12700">
              <a:solidFill>
                <a:srgbClr val="FF00FF"/>
              </a:solidFill>
              <a:prstDash val="solid"/>
            </a:ln>
          </c:spPr>
          <c:marker>
            <c:symbol val="square"/>
            <c:size val="5"/>
            <c:spPr>
              <a:solidFill>
                <a:srgbClr val="FF00FF"/>
              </a:solidFill>
              <a:ln>
                <a:solidFill>
                  <a:srgbClr val="FF00FF"/>
                </a:solidFill>
                <a:prstDash val="solid"/>
              </a:ln>
            </c:spPr>
          </c:marker>
          <c:dLbls>
            <c:dLbl>
              <c:idx val="0"/>
              <c:layout>
                <c:manualLayout>
                  <c:x val="-4.4875271420088035E-2"/>
                  <c:y val="5.863155630136397E-2"/>
                </c:manualLayout>
              </c:layout>
              <c:spPr/>
              <c:txPr>
                <a:bodyPr/>
                <a:lstStyle/>
                <a:p>
                  <a:pPr>
                    <a:defRPr sz="1000" b="0" i="0" u="none" strike="noStrike" baseline="0">
                      <a:solidFill>
                        <a:srgbClr val="000000"/>
                      </a:solidFill>
                      <a:latin typeface="Times New Roman"/>
                      <a:ea typeface="Times New Roman"/>
                      <a:cs typeface="Times New Roman"/>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939-40B9-9505-D87A5502B5C4}"/>
                </c:ext>
              </c:extLst>
            </c:dLbl>
            <c:dLbl>
              <c:idx val="1"/>
              <c:delete val="1"/>
              <c:extLst>
                <c:ext xmlns:c15="http://schemas.microsoft.com/office/drawing/2012/chart" uri="{CE6537A1-D6FC-4f65-9D91-7224C49458BB}"/>
                <c:ext xmlns:c16="http://schemas.microsoft.com/office/drawing/2014/chart" uri="{C3380CC4-5D6E-409C-BE32-E72D297353CC}">
                  <c16:uniqueId val="{0000000C-4939-40B9-9505-D87A5502B5C4}"/>
                </c:ext>
              </c:extLst>
            </c:dLbl>
            <c:dLbl>
              <c:idx val="2"/>
              <c:delete val="1"/>
              <c:extLst>
                <c:ext xmlns:c15="http://schemas.microsoft.com/office/drawing/2012/chart" uri="{CE6537A1-D6FC-4f65-9D91-7224C49458BB}"/>
                <c:ext xmlns:c16="http://schemas.microsoft.com/office/drawing/2014/chart" uri="{C3380CC4-5D6E-409C-BE32-E72D297353CC}">
                  <c16:uniqueId val="{0000000D-4939-40B9-9505-D87A5502B5C4}"/>
                </c:ext>
              </c:extLst>
            </c:dLbl>
            <c:dLbl>
              <c:idx val="3"/>
              <c:delete val="1"/>
              <c:extLst>
                <c:ext xmlns:c15="http://schemas.microsoft.com/office/drawing/2012/chart" uri="{CE6537A1-D6FC-4f65-9D91-7224C49458BB}"/>
                <c:ext xmlns:c16="http://schemas.microsoft.com/office/drawing/2014/chart" uri="{C3380CC4-5D6E-409C-BE32-E72D297353CC}">
                  <c16:uniqueId val="{0000000E-4939-40B9-9505-D87A5502B5C4}"/>
                </c:ext>
              </c:extLst>
            </c:dLbl>
            <c:dLbl>
              <c:idx val="4"/>
              <c:delete val="1"/>
              <c:extLst>
                <c:ext xmlns:c15="http://schemas.microsoft.com/office/drawing/2012/chart" uri="{CE6537A1-D6FC-4f65-9D91-7224C49458BB}"/>
                <c:ext xmlns:c16="http://schemas.microsoft.com/office/drawing/2014/chart" uri="{C3380CC4-5D6E-409C-BE32-E72D297353CC}">
                  <c16:uniqueId val="{0000000F-4939-40B9-9505-D87A5502B5C4}"/>
                </c:ext>
              </c:extLst>
            </c:dLbl>
            <c:dLbl>
              <c:idx val="5"/>
              <c:delete val="1"/>
              <c:extLst>
                <c:ext xmlns:c15="http://schemas.microsoft.com/office/drawing/2012/chart" uri="{CE6537A1-D6FC-4f65-9D91-7224C49458BB}"/>
                <c:ext xmlns:c16="http://schemas.microsoft.com/office/drawing/2014/chart" uri="{C3380CC4-5D6E-409C-BE32-E72D297353CC}">
                  <c16:uniqueId val="{00000010-4939-40B9-9505-D87A5502B5C4}"/>
                </c:ext>
              </c:extLst>
            </c:dLbl>
            <c:dLbl>
              <c:idx val="6"/>
              <c:delete val="1"/>
              <c:extLst>
                <c:ext xmlns:c15="http://schemas.microsoft.com/office/drawing/2012/chart" uri="{CE6537A1-D6FC-4f65-9D91-7224C49458BB}"/>
                <c:ext xmlns:c16="http://schemas.microsoft.com/office/drawing/2014/chart" uri="{C3380CC4-5D6E-409C-BE32-E72D297353CC}">
                  <c16:uniqueId val="{00000011-4939-40B9-9505-D87A5502B5C4}"/>
                </c:ext>
              </c:extLst>
            </c:dLbl>
            <c:dLbl>
              <c:idx val="7"/>
              <c:delete val="1"/>
              <c:extLst>
                <c:ext xmlns:c15="http://schemas.microsoft.com/office/drawing/2012/chart" uri="{CE6537A1-D6FC-4f65-9D91-7224C49458BB}"/>
                <c:ext xmlns:c16="http://schemas.microsoft.com/office/drawing/2014/chart" uri="{C3380CC4-5D6E-409C-BE32-E72D297353CC}">
                  <c16:uniqueId val="{00000012-4939-40B9-9505-D87A5502B5C4}"/>
                </c:ext>
              </c:extLst>
            </c:dLbl>
            <c:dLbl>
              <c:idx val="8"/>
              <c:layout>
                <c:manualLayout>
                  <c:x val="-2.4403737097629635E-2"/>
                  <c:y val="3.6418742739124821E-2"/>
                </c:manualLayout>
              </c:layout>
              <c:spPr/>
              <c:txPr>
                <a:bodyPr/>
                <a:lstStyle/>
                <a:p>
                  <a:pPr>
                    <a:defRPr sz="1000" b="0" i="0" u="none" strike="noStrike" baseline="0">
                      <a:solidFill>
                        <a:srgbClr val="000000"/>
                      </a:solidFill>
                      <a:latin typeface="Times New Roman"/>
                      <a:ea typeface="Times New Roman"/>
                      <a:cs typeface="Times New Roman"/>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939-40B9-9505-D87A5502B5C4}"/>
                </c:ext>
              </c:extLst>
            </c:dLbl>
            <c:dLbl>
              <c:idx val="9"/>
              <c:layout>
                <c:manualLayout>
                  <c:x val="-3.4542314335060449E-2"/>
                  <c:y val="4.8087431693989074E-2"/>
                </c:manualLayout>
              </c:layout>
              <c:spPr/>
              <c:txPr>
                <a:bodyPr/>
                <a:lstStyle/>
                <a:p>
                  <a:pPr>
                    <a:defRPr sz="1000" b="0" i="0" u="none" strike="noStrike" baseline="0">
                      <a:solidFill>
                        <a:srgbClr val="000000"/>
                      </a:solidFill>
                      <a:latin typeface="Times New Roman"/>
                      <a:ea typeface="Times New Roman"/>
                      <a:cs typeface="Times New Roman"/>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939-40B9-9505-D87A5502B5C4}"/>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'MA Part I Arrest Rate'!$A$25:$A$34</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'MA Part I Arrest Rate'!$F$25:$F$34</c:f>
              <c:numCache>
                <c:formatCode>0.0</c:formatCode>
                <c:ptCount val="10"/>
                <c:pt idx="0">
                  <c:v>29.411969912035399</c:v>
                </c:pt>
                <c:pt idx="1">
                  <c:v>30.2</c:v>
                </c:pt>
                <c:pt idx="2">
                  <c:v>26.859431747848326</c:v>
                </c:pt>
                <c:pt idx="3">
                  <c:v>26.3</c:v>
                </c:pt>
                <c:pt idx="4">
                  <c:v>20.281510391322662</c:v>
                </c:pt>
                <c:pt idx="5">
                  <c:v>16.041405485950001</c:v>
                </c:pt>
                <c:pt idx="6">
                  <c:v>15.322988626705465</c:v>
                </c:pt>
                <c:pt idx="7">
                  <c:v>14.632176437659515</c:v>
                </c:pt>
                <c:pt idx="8">
                  <c:v>14.303648043725897</c:v>
                </c:pt>
                <c:pt idx="9">
                  <c:v>13.190931351223696</c:v>
                </c:pt>
              </c:numCache>
            </c:numRef>
          </c:val>
          <c:smooth val="0"/>
          <c:extLst>
            <c:ext xmlns:c16="http://schemas.microsoft.com/office/drawing/2014/chart" uri="{C3380CC4-5D6E-409C-BE32-E72D297353CC}">
              <c16:uniqueId val="{00000015-4939-40B9-9505-D87A5502B5C4}"/>
            </c:ext>
          </c:extLst>
        </c:ser>
        <c:dLbls>
          <c:showLegendKey val="0"/>
          <c:showVal val="0"/>
          <c:showCatName val="0"/>
          <c:showSerName val="0"/>
          <c:showPercent val="0"/>
          <c:showBubbleSize val="0"/>
        </c:dLbls>
        <c:marker val="1"/>
        <c:smooth val="0"/>
        <c:axId val="184888320"/>
        <c:axId val="1"/>
      </c:lineChart>
      <c:catAx>
        <c:axId val="18488832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
        <c:crossesAt val="0"/>
        <c:auto val="1"/>
        <c:lblAlgn val="ctr"/>
        <c:lblOffset val="100"/>
        <c:tickLblSkip val="1"/>
        <c:tickMarkSkip val="1"/>
        <c:noMultiLvlLbl val="0"/>
      </c:catAx>
      <c:valAx>
        <c:axId val="1"/>
        <c:scaling>
          <c:orientation val="minMax"/>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Arrest Rate</a:t>
                </a:r>
              </a:p>
            </c:rich>
          </c:tx>
          <c:layout>
            <c:manualLayout>
              <c:xMode val="edge"/>
              <c:yMode val="edge"/>
              <c:x val="5.0796662465384607E-3"/>
              <c:y val="0.36416272013679041"/>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84888320"/>
        <c:crosses val="autoZero"/>
        <c:crossBetween val="between"/>
      </c:valAx>
      <c:spPr>
        <a:noFill/>
        <a:ln w="25400">
          <a:noFill/>
        </a:ln>
      </c:spPr>
    </c:plotArea>
    <c:legend>
      <c:legendPos val="b"/>
      <c:layout>
        <c:manualLayout>
          <c:xMode val="edge"/>
          <c:yMode val="edge"/>
          <c:x val="0.22135657913227166"/>
          <c:y val="0.90103937007874024"/>
          <c:w val="0.61284520782052498"/>
          <c:h val="5.8446710554623249E-2"/>
        </c:manualLayout>
      </c:layout>
      <c:overlay val="0"/>
      <c:spPr>
        <a:solidFill>
          <a:srgbClr val="FFFFFF"/>
        </a:solidFill>
        <a:ln w="25400">
          <a:noFill/>
        </a:ln>
      </c:spPr>
      <c:txPr>
        <a:bodyPr/>
        <a:lstStyle/>
        <a:p>
          <a:pPr>
            <a:defRPr sz="10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75" b="0" i="0" u="none" strike="noStrike" baseline="0">
                <a:solidFill>
                  <a:srgbClr val="000000"/>
                </a:solidFill>
                <a:latin typeface="Times New Roman"/>
                <a:ea typeface="Times New Roman"/>
                <a:cs typeface="Times New Roman"/>
              </a:defRPr>
            </a:pPr>
            <a:r>
              <a:rPr lang="en-US" sz="1200" b="1" i="0" u="none" strike="noStrike" baseline="0">
                <a:solidFill>
                  <a:srgbClr val="000000"/>
                </a:solidFill>
                <a:latin typeface="Times New Roman"/>
                <a:cs typeface="Times New Roman"/>
              </a:rPr>
              <a:t>Violence-Related Experiences and Behaviors </a:t>
            </a:r>
            <a:r>
              <a:rPr lang="en-US" sz="1200" b="1" i="1" u="none" strike="noStrike" baseline="0">
                <a:solidFill>
                  <a:srgbClr val="000000"/>
                </a:solidFill>
                <a:latin typeface="Times New Roman"/>
                <a:cs typeface="Times New Roman"/>
              </a:rPr>
              <a:t>at School </a:t>
            </a:r>
            <a:endParaRPr lang="en-US" sz="1200" b="1" i="0" u="none" strike="noStrike" baseline="0">
              <a:solidFill>
                <a:srgbClr val="000000"/>
              </a:solidFill>
              <a:latin typeface="Times New Roman"/>
              <a:cs typeface="Times New Roman"/>
            </a:endParaRPr>
          </a:p>
          <a:p>
            <a:pPr>
              <a:defRPr sz="875" b="0" i="0" u="none" strike="noStrike" baseline="0">
                <a:solidFill>
                  <a:srgbClr val="000000"/>
                </a:solidFill>
                <a:latin typeface="Times New Roman"/>
                <a:ea typeface="Times New Roman"/>
                <a:cs typeface="Times New Roman"/>
              </a:defRPr>
            </a:pPr>
            <a:r>
              <a:rPr lang="en-US" sz="1200" b="1" i="0" u="none" strike="noStrike" baseline="0">
                <a:solidFill>
                  <a:srgbClr val="000000"/>
                </a:solidFill>
                <a:latin typeface="Times New Roman"/>
                <a:cs typeface="Times New Roman"/>
              </a:rPr>
              <a:t>Among Massachusetts High School Students </a:t>
            </a:r>
          </a:p>
          <a:p>
            <a:pPr>
              <a:defRPr sz="875" b="0" i="0" u="none" strike="noStrike" baseline="0">
                <a:solidFill>
                  <a:srgbClr val="000000"/>
                </a:solidFill>
                <a:latin typeface="Times New Roman"/>
                <a:ea typeface="Times New Roman"/>
                <a:cs typeface="Times New Roman"/>
              </a:defRPr>
            </a:pPr>
            <a:r>
              <a:rPr lang="en-US" sz="1200" b="1" i="0" u="none" strike="noStrike" baseline="0">
                <a:solidFill>
                  <a:srgbClr val="000000"/>
                </a:solidFill>
                <a:latin typeface="Times New Roman"/>
                <a:cs typeface="Times New Roman"/>
              </a:rPr>
              <a:t>2007 - 2017</a:t>
            </a:r>
          </a:p>
        </c:rich>
      </c:tx>
      <c:layout>
        <c:manualLayout>
          <c:xMode val="edge"/>
          <c:yMode val="edge"/>
          <c:x val="0.22072700047109495"/>
          <c:y val="2.8768499447191349E-3"/>
        </c:manualLayout>
      </c:layout>
      <c:overlay val="0"/>
      <c:spPr>
        <a:noFill/>
        <a:ln w="25400">
          <a:noFill/>
        </a:ln>
      </c:spPr>
    </c:title>
    <c:autoTitleDeleted val="0"/>
    <c:plotArea>
      <c:layout>
        <c:manualLayout>
          <c:layoutTarget val="inner"/>
          <c:xMode val="edge"/>
          <c:yMode val="edge"/>
          <c:x val="0.1134269301243005"/>
          <c:y val="0.2532808398950131"/>
          <c:w val="0.87407484441803263"/>
          <c:h val="0.5284870510067361"/>
        </c:manualLayout>
      </c:layout>
      <c:barChart>
        <c:barDir val="col"/>
        <c:grouping val="clustered"/>
        <c:varyColors val="0"/>
        <c:ser>
          <c:idx val="2"/>
          <c:order val="0"/>
          <c:tx>
            <c:strRef>
              <c:f>'Violence Indicators School'!$Z$22</c:f>
              <c:strCache>
                <c:ptCount val="1"/>
                <c:pt idx="0">
                  <c:v>2007</c:v>
                </c:pt>
              </c:strCache>
            </c:strRef>
          </c:tx>
          <c:spPr>
            <a:pattFill prst="pct60">
              <a:fgClr>
                <a:srgbClr val="93CDDD"/>
              </a:fgClr>
              <a:bgClr>
                <a:srgbClr val="FFFFFF"/>
              </a:bgClr>
            </a:pattFill>
            <a:ln w="3175">
              <a:solidFill>
                <a:srgbClr val="000000"/>
              </a:solidFill>
              <a:prstDash val="solid"/>
            </a:ln>
          </c:spPr>
          <c:invertIfNegative val="0"/>
          <c:dLbls>
            <c:spPr>
              <a:noFill/>
              <a:ln>
                <a:noFill/>
              </a:ln>
              <a:effectLst/>
            </c:spPr>
            <c:txPr>
              <a:bodyPr wrap="square" lIns="38100" tIns="19050" rIns="38100" bIns="19050" anchor="ctr">
                <a:spAutoFit/>
              </a:bodyPr>
              <a:lstStyle/>
              <a:p>
                <a:pPr>
                  <a:defRPr sz="8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'Violence Indicators School'!$U$23:$U$27</c:f>
              <c:strCache>
                <c:ptCount val="5"/>
                <c:pt idx="0">
                  <c:v>Bullied at school, past year</c:v>
                </c:pt>
                <c:pt idx="1">
                  <c:v>Physical fight at school, past year</c:v>
                </c:pt>
                <c:pt idx="2">
                  <c:v>Skipped school because felt unsafe, past month</c:v>
                </c:pt>
                <c:pt idx="3">
                  <c:v>Carried a weapon at school, past month</c:v>
                </c:pt>
                <c:pt idx="4">
                  <c:v>Injured/threatened with weapon at school, past year</c:v>
                </c:pt>
              </c:strCache>
            </c:strRef>
          </c:cat>
          <c:val>
            <c:numRef>
              <c:f>'Violence Indicators School'!$Z$23:$Z$27</c:f>
              <c:numCache>
                <c:formatCode>General</c:formatCode>
                <c:ptCount val="5"/>
                <c:pt idx="0">
                  <c:v>22</c:v>
                </c:pt>
                <c:pt idx="1">
                  <c:v>9</c:v>
                </c:pt>
                <c:pt idx="2">
                  <c:v>5</c:v>
                </c:pt>
                <c:pt idx="3">
                  <c:v>5</c:v>
                </c:pt>
                <c:pt idx="4">
                  <c:v>5</c:v>
                </c:pt>
              </c:numCache>
            </c:numRef>
          </c:val>
          <c:extLst>
            <c:ext xmlns:c16="http://schemas.microsoft.com/office/drawing/2014/chart" uri="{C3380CC4-5D6E-409C-BE32-E72D297353CC}">
              <c16:uniqueId val="{00000000-C6D6-4BF9-9B67-51EEE9FC5829}"/>
            </c:ext>
          </c:extLst>
        </c:ser>
        <c:ser>
          <c:idx val="3"/>
          <c:order val="1"/>
          <c:tx>
            <c:strRef>
              <c:f>'Violence Indicators School'!$AA$22</c:f>
              <c:strCache>
                <c:ptCount val="1"/>
                <c:pt idx="0">
                  <c:v>2009</c:v>
                </c:pt>
              </c:strCache>
            </c:strRef>
          </c:tx>
          <c:spPr>
            <a:pattFill prst="pct40">
              <a:fgClr>
                <a:srgbClr val="FFFFFF"/>
              </a:fgClr>
              <a:bgClr>
                <a:srgbClr val="376092"/>
              </a:bgClr>
            </a:pattFill>
            <a:ln w="3175">
              <a:solidFill>
                <a:srgbClr val="000000"/>
              </a:solidFill>
              <a:prstDash val="solid"/>
            </a:ln>
          </c:spPr>
          <c:invertIfNegative val="0"/>
          <c:dLbls>
            <c:spPr>
              <a:noFill/>
              <a:ln>
                <a:noFill/>
              </a:ln>
              <a:effectLst/>
            </c:spPr>
            <c:txPr>
              <a:bodyPr wrap="square" lIns="38100" tIns="19050" rIns="38100" bIns="19050" anchor="ctr">
                <a:spAutoFit/>
              </a:bodyPr>
              <a:lstStyle/>
              <a:p>
                <a:pPr>
                  <a:defRPr sz="8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'Violence Indicators School'!$U$23:$U$27</c:f>
              <c:strCache>
                <c:ptCount val="5"/>
                <c:pt idx="0">
                  <c:v>Bullied at school, past year</c:v>
                </c:pt>
                <c:pt idx="1">
                  <c:v>Physical fight at school, past year</c:v>
                </c:pt>
                <c:pt idx="2">
                  <c:v>Skipped school because felt unsafe, past month</c:v>
                </c:pt>
                <c:pt idx="3">
                  <c:v>Carried a weapon at school, past month</c:v>
                </c:pt>
                <c:pt idx="4">
                  <c:v>Injured/threatened with weapon at school, past year</c:v>
                </c:pt>
              </c:strCache>
            </c:strRef>
          </c:cat>
          <c:val>
            <c:numRef>
              <c:f>'Violence Indicators School'!$AA$23:$AA$27</c:f>
              <c:numCache>
                <c:formatCode>General</c:formatCode>
                <c:ptCount val="5"/>
                <c:pt idx="0">
                  <c:v>19</c:v>
                </c:pt>
                <c:pt idx="1">
                  <c:v>9</c:v>
                </c:pt>
                <c:pt idx="2">
                  <c:v>4</c:v>
                </c:pt>
                <c:pt idx="3">
                  <c:v>4</c:v>
                </c:pt>
                <c:pt idx="4">
                  <c:v>7</c:v>
                </c:pt>
              </c:numCache>
            </c:numRef>
          </c:val>
          <c:extLst>
            <c:ext xmlns:c16="http://schemas.microsoft.com/office/drawing/2014/chart" uri="{C3380CC4-5D6E-409C-BE32-E72D297353CC}">
              <c16:uniqueId val="{00000001-C6D6-4BF9-9B67-51EEE9FC5829}"/>
            </c:ext>
          </c:extLst>
        </c:ser>
        <c:ser>
          <c:idx val="4"/>
          <c:order val="2"/>
          <c:tx>
            <c:strRef>
              <c:f>'Violence Indicators School'!$AB$22</c:f>
              <c:strCache>
                <c:ptCount val="1"/>
                <c:pt idx="0">
                  <c:v>2011</c:v>
                </c:pt>
              </c:strCache>
            </c:strRef>
          </c:tx>
          <c:spPr>
            <a:solidFill>
              <a:schemeClr val="tx2">
                <a:lumMod val="20000"/>
                <a:lumOff val="80000"/>
              </a:schemeClr>
            </a:solidFill>
            <a:ln w="0">
              <a:solidFill>
                <a:srgbClr val="000000"/>
              </a:solidFill>
              <a:prstDash val="solid"/>
            </a:ln>
          </c:spPr>
          <c:invertIfNegative val="0"/>
          <c:dLbls>
            <c:spPr>
              <a:noFill/>
              <a:ln>
                <a:noFill/>
              </a:ln>
              <a:effectLst/>
            </c:spPr>
            <c:txPr>
              <a:bodyPr wrap="square" lIns="38100" tIns="19050" rIns="38100" bIns="19050" anchor="ctr">
                <a:spAutoFit/>
              </a:bodyPr>
              <a:lstStyle/>
              <a:p>
                <a:pPr>
                  <a:defRPr sz="8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'Violence Indicators School'!$U$23:$U$27</c:f>
              <c:strCache>
                <c:ptCount val="5"/>
                <c:pt idx="0">
                  <c:v>Bullied at school, past year</c:v>
                </c:pt>
                <c:pt idx="1">
                  <c:v>Physical fight at school, past year</c:v>
                </c:pt>
                <c:pt idx="2">
                  <c:v>Skipped school because felt unsafe, past month</c:v>
                </c:pt>
                <c:pt idx="3">
                  <c:v>Carried a weapon at school, past month</c:v>
                </c:pt>
                <c:pt idx="4">
                  <c:v>Injured/threatened with weapon at school, past year</c:v>
                </c:pt>
              </c:strCache>
            </c:strRef>
          </c:cat>
          <c:val>
            <c:numRef>
              <c:f>'Violence Indicators School'!$AB$23:$AB$27</c:f>
              <c:numCache>
                <c:formatCode>General</c:formatCode>
                <c:ptCount val="5"/>
                <c:pt idx="0">
                  <c:v>18</c:v>
                </c:pt>
                <c:pt idx="1">
                  <c:v>7</c:v>
                </c:pt>
                <c:pt idx="2">
                  <c:v>5</c:v>
                </c:pt>
                <c:pt idx="3">
                  <c:v>4</c:v>
                </c:pt>
                <c:pt idx="4">
                  <c:v>7</c:v>
                </c:pt>
              </c:numCache>
            </c:numRef>
          </c:val>
          <c:extLst>
            <c:ext xmlns:c16="http://schemas.microsoft.com/office/drawing/2014/chart" uri="{C3380CC4-5D6E-409C-BE32-E72D297353CC}">
              <c16:uniqueId val="{00000002-C6D6-4BF9-9B67-51EEE9FC5829}"/>
            </c:ext>
          </c:extLst>
        </c:ser>
        <c:ser>
          <c:idx val="0"/>
          <c:order val="3"/>
          <c:tx>
            <c:strRef>
              <c:f>'Violence Indicators School'!$AC$22</c:f>
              <c:strCache>
                <c:ptCount val="1"/>
                <c:pt idx="0">
                  <c:v>2013</c:v>
                </c:pt>
              </c:strCache>
            </c:strRef>
          </c:tx>
          <c:spPr>
            <a:pattFill prst="openDmnd">
              <a:fgClr>
                <a:schemeClr val="bg1"/>
              </a:fgClr>
              <a:bgClr>
                <a:schemeClr val="accent4">
                  <a:lumMod val="75000"/>
                </a:schemeClr>
              </a:bgClr>
            </a:pattFill>
          </c:spPr>
          <c:invertIfNegative val="0"/>
          <c:dLbls>
            <c:spPr>
              <a:noFill/>
              <a:ln>
                <a:noFill/>
              </a:ln>
              <a:effectLst/>
            </c:spPr>
            <c:txPr>
              <a:bodyPr wrap="square" lIns="38100" tIns="19050" rIns="38100" bIns="19050" anchor="ctr">
                <a:spAutoFit/>
              </a:bodyPr>
              <a:lstStyle/>
              <a:p>
                <a:pPr>
                  <a:defRPr sz="8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'Violence Indicators School'!$U$23:$U$27</c:f>
              <c:strCache>
                <c:ptCount val="5"/>
                <c:pt idx="0">
                  <c:v>Bullied at school, past year</c:v>
                </c:pt>
                <c:pt idx="1">
                  <c:v>Physical fight at school, past year</c:v>
                </c:pt>
                <c:pt idx="2">
                  <c:v>Skipped school because felt unsafe, past month</c:v>
                </c:pt>
                <c:pt idx="3">
                  <c:v>Carried a weapon at school, past month</c:v>
                </c:pt>
                <c:pt idx="4">
                  <c:v>Injured/threatened with weapon at school, past year</c:v>
                </c:pt>
              </c:strCache>
            </c:strRef>
          </c:cat>
          <c:val>
            <c:numRef>
              <c:f>'Violence Indicators School'!$AC$23:$AC$27</c:f>
              <c:numCache>
                <c:formatCode>General</c:formatCode>
                <c:ptCount val="5"/>
                <c:pt idx="0">
                  <c:v>17</c:v>
                </c:pt>
                <c:pt idx="1">
                  <c:v>5</c:v>
                </c:pt>
                <c:pt idx="2">
                  <c:v>4</c:v>
                </c:pt>
                <c:pt idx="3">
                  <c:v>3</c:v>
                </c:pt>
                <c:pt idx="4">
                  <c:v>4</c:v>
                </c:pt>
              </c:numCache>
            </c:numRef>
          </c:val>
          <c:extLst>
            <c:ext xmlns:c16="http://schemas.microsoft.com/office/drawing/2014/chart" uri="{C3380CC4-5D6E-409C-BE32-E72D297353CC}">
              <c16:uniqueId val="{00000003-C6D6-4BF9-9B67-51EEE9FC5829}"/>
            </c:ext>
          </c:extLst>
        </c:ser>
        <c:ser>
          <c:idx val="5"/>
          <c:order val="4"/>
          <c:tx>
            <c:strRef>
              <c:f>'Violence Indicators School'!$AD$22</c:f>
              <c:strCache>
                <c:ptCount val="1"/>
                <c:pt idx="0">
                  <c:v>2015</c:v>
                </c:pt>
              </c:strCache>
            </c:strRef>
          </c:tx>
          <c:spPr>
            <a:solidFill>
              <a:schemeClr val="accent4">
                <a:lumMod val="20000"/>
                <a:lumOff val="80000"/>
              </a:schemeClr>
            </a:solidFill>
          </c:spPr>
          <c:invertIfNegative val="0"/>
          <c:dLbls>
            <c:spPr>
              <a:noFill/>
              <a:ln>
                <a:noFill/>
              </a:ln>
              <a:effectLst/>
            </c:spPr>
            <c:txPr>
              <a:bodyPr wrap="square" lIns="38100" tIns="19050" rIns="38100" bIns="19050" anchor="ctr">
                <a:spAutoFit/>
              </a:bodyPr>
              <a:lstStyle/>
              <a:p>
                <a:pPr>
                  <a:defRPr sz="8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'Violence Indicators School'!$AD$23:$AD$27</c:f>
              <c:numCache>
                <c:formatCode>General</c:formatCode>
                <c:ptCount val="5"/>
                <c:pt idx="0">
                  <c:v>16</c:v>
                </c:pt>
                <c:pt idx="1">
                  <c:v>6</c:v>
                </c:pt>
                <c:pt idx="2">
                  <c:v>5</c:v>
                </c:pt>
                <c:pt idx="3">
                  <c:v>3</c:v>
                </c:pt>
                <c:pt idx="4">
                  <c:v>4</c:v>
                </c:pt>
              </c:numCache>
            </c:numRef>
          </c:val>
          <c:extLst>
            <c:ext xmlns:c16="http://schemas.microsoft.com/office/drawing/2014/chart" uri="{C3380CC4-5D6E-409C-BE32-E72D297353CC}">
              <c16:uniqueId val="{00000004-C6D6-4BF9-9B67-51EEE9FC5829}"/>
            </c:ext>
          </c:extLst>
        </c:ser>
        <c:ser>
          <c:idx val="1"/>
          <c:order val="5"/>
          <c:tx>
            <c:strRef>
              <c:f>'Violence Indicators School'!$AE$22</c:f>
              <c:strCache>
                <c:ptCount val="1"/>
                <c:pt idx="0">
                  <c:v>2017</c:v>
                </c:pt>
              </c:strCache>
            </c:strRef>
          </c:tx>
          <c:spPr>
            <a:solidFill>
              <a:schemeClr val="accent4"/>
            </a:solidFill>
            <a:ln>
              <a:solidFill>
                <a:sysClr val="windowText" lastClr="000000"/>
              </a:solidFill>
            </a:ln>
          </c:spPr>
          <c:invertIfNegative val="0"/>
          <c:dLbls>
            <c:spPr>
              <a:noFill/>
              <a:ln>
                <a:noFill/>
              </a:ln>
              <a:effectLst/>
            </c:spPr>
            <c:txPr>
              <a:bodyPr wrap="square" lIns="38100" tIns="19050" rIns="38100" bIns="19050" anchor="ctr">
                <a:spAutoFit/>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'Violence Indicators School'!$AE$23:$AE$27</c:f>
              <c:numCache>
                <c:formatCode>General</c:formatCode>
                <c:ptCount val="5"/>
                <c:pt idx="0">
                  <c:v>15</c:v>
                </c:pt>
                <c:pt idx="1">
                  <c:v>6</c:v>
                </c:pt>
                <c:pt idx="2">
                  <c:v>5</c:v>
                </c:pt>
                <c:pt idx="3">
                  <c:v>3</c:v>
                </c:pt>
                <c:pt idx="4">
                  <c:v>5</c:v>
                </c:pt>
              </c:numCache>
            </c:numRef>
          </c:val>
          <c:extLst>
            <c:ext xmlns:c16="http://schemas.microsoft.com/office/drawing/2014/chart" uri="{C3380CC4-5D6E-409C-BE32-E72D297353CC}">
              <c16:uniqueId val="{00000005-C6D6-4BF9-9B67-51EEE9FC5829}"/>
            </c:ext>
          </c:extLst>
        </c:ser>
        <c:dLbls>
          <c:showLegendKey val="0"/>
          <c:showVal val="0"/>
          <c:showCatName val="0"/>
          <c:showSerName val="0"/>
          <c:showPercent val="0"/>
          <c:showBubbleSize val="0"/>
        </c:dLbls>
        <c:gapWidth val="150"/>
        <c:axId val="329251680"/>
        <c:axId val="1"/>
      </c:barChart>
      <c:catAx>
        <c:axId val="32925168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
        <c:crosses val="autoZero"/>
        <c:auto val="1"/>
        <c:lblAlgn val="ctr"/>
        <c:lblOffset val="100"/>
        <c:tickLblSkip val="1"/>
        <c:tickMarkSkip val="1"/>
        <c:noMultiLvlLbl val="0"/>
      </c:catAx>
      <c:valAx>
        <c:axId val="1"/>
        <c:scaling>
          <c:orientation val="minMax"/>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Percent of Students</a:t>
                </a:r>
              </a:p>
            </c:rich>
          </c:tx>
          <c:layout>
            <c:manualLayout>
              <c:xMode val="edge"/>
              <c:yMode val="edge"/>
              <c:x val="1.6062992125984252E-2"/>
              <c:y val="0.2941956206523135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329251680"/>
        <c:crosses val="autoZero"/>
        <c:crossBetween val="between"/>
      </c:valAx>
      <c:spPr>
        <a:solidFill>
          <a:srgbClr val="FFFFFF"/>
        </a:solidFill>
        <a:ln w="12700">
          <a:solidFill>
            <a:srgbClr val="FFFFFF"/>
          </a:solidFill>
          <a:prstDash val="solid"/>
        </a:ln>
      </c:spPr>
    </c:plotArea>
    <c:legend>
      <c:legendPos val="r"/>
      <c:layout>
        <c:manualLayout>
          <c:xMode val="edge"/>
          <c:yMode val="edge"/>
          <c:x val="0.88890506611201903"/>
          <c:y val="8.1274893085916719E-2"/>
          <c:w val="6.1262483698971588E-2"/>
          <c:h val="0.40543362149661361"/>
        </c:manualLayout>
      </c:layout>
      <c:overlay val="0"/>
      <c:spPr>
        <a:solidFill>
          <a:srgbClr val="FFFFFF"/>
        </a:solidFill>
        <a:ln w="25400">
          <a:noFill/>
        </a:ln>
      </c:spPr>
      <c:txPr>
        <a:bodyPr/>
        <a:lstStyle/>
        <a:p>
          <a:pPr>
            <a:defRPr sz="775"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875"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75" b="0" i="0" u="none" strike="noStrike" baseline="0">
                <a:solidFill>
                  <a:srgbClr val="000000"/>
                </a:solidFill>
                <a:latin typeface="Times New Roman"/>
                <a:ea typeface="Times New Roman"/>
                <a:cs typeface="Times New Roman"/>
              </a:defRPr>
            </a:pPr>
            <a:r>
              <a:rPr lang="en-US" sz="1100" b="1" i="0" u="none" strike="noStrike" baseline="0">
                <a:solidFill>
                  <a:srgbClr val="000000"/>
                </a:solidFill>
                <a:latin typeface="Times New Roman"/>
                <a:cs typeface="Times New Roman"/>
              </a:rPr>
              <a:t>Physical Violence Indicators Among Massachusetts High School Students </a:t>
            </a:r>
          </a:p>
          <a:p>
            <a:pPr>
              <a:defRPr sz="875" b="0" i="0" u="none" strike="noStrike" baseline="0">
                <a:solidFill>
                  <a:srgbClr val="000000"/>
                </a:solidFill>
                <a:latin typeface="Times New Roman"/>
                <a:ea typeface="Times New Roman"/>
                <a:cs typeface="Times New Roman"/>
              </a:defRPr>
            </a:pPr>
            <a:r>
              <a:rPr lang="en-US" sz="1100" b="1" i="0" u="none" strike="noStrike" baseline="0">
                <a:solidFill>
                  <a:srgbClr val="000000"/>
                </a:solidFill>
                <a:latin typeface="Times New Roman"/>
                <a:cs typeface="Times New Roman"/>
              </a:rPr>
              <a:t>2007 - 2017</a:t>
            </a:r>
          </a:p>
        </c:rich>
      </c:tx>
      <c:overlay val="0"/>
    </c:title>
    <c:autoTitleDeleted val="0"/>
    <c:plotArea>
      <c:layout>
        <c:manualLayout>
          <c:layoutTarget val="inner"/>
          <c:xMode val="edge"/>
          <c:yMode val="edge"/>
          <c:x val="0.10537478887646597"/>
          <c:y val="0.22178736460759307"/>
          <c:w val="0.84405701546342848"/>
          <c:h val="0.60844515914383934"/>
        </c:manualLayout>
      </c:layout>
      <c:barChart>
        <c:barDir val="col"/>
        <c:grouping val="clustered"/>
        <c:varyColors val="0"/>
        <c:ser>
          <c:idx val="2"/>
          <c:order val="0"/>
          <c:tx>
            <c:strRef>
              <c:f>'Violence Indicators School'!$AM$22</c:f>
              <c:strCache>
                <c:ptCount val="1"/>
                <c:pt idx="0">
                  <c:v>2007</c:v>
                </c:pt>
              </c:strCache>
            </c:strRef>
          </c:tx>
          <c:spPr>
            <a:pattFill prst="pct60">
              <a:fgClr>
                <a:srgbClr val="93CDDD"/>
              </a:fgClr>
              <a:bgClr>
                <a:srgbClr val="FFFFFF"/>
              </a:bgClr>
            </a:pattFill>
            <a:ln w="3175">
              <a:solidFill>
                <a:srgbClr val="000000"/>
              </a:solidFill>
              <a:prstDash val="solid"/>
            </a:ln>
          </c:spPr>
          <c:invertIfNegative val="0"/>
          <c:dLbls>
            <c:dLbl>
              <c:idx val="0"/>
              <c:layout>
                <c:manualLayout>
                  <c:x val="4.11522633744856E-3"/>
                  <c:y val="1.630988786952086E-2"/>
                </c:manualLayout>
              </c:layout>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6FF-4797-8260-BB2BD37561E7}"/>
                </c:ext>
              </c:extLst>
            </c:dLbl>
            <c:dLbl>
              <c:idx val="2"/>
              <c:layout>
                <c:manualLayout>
                  <c:x val="2.0576131687243555E-3"/>
                  <c:y val="1.2232415902140598E-2"/>
                </c:manualLayout>
              </c:layout>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6FF-4797-8260-BB2BD37561E7}"/>
                </c:ext>
              </c:extLst>
            </c:dLbl>
            <c:spPr>
              <a:noFill/>
              <a:ln w="25400">
                <a:noFill/>
              </a:ln>
            </c:spPr>
            <c:txPr>
              <a:bodyPr wrap="square" lIns="38100" tIns="19050" rIns="38100" bIns="19050" anchor="ctr">
                <a:spAutoFit/>
              </a:bodyPr>
              <a:lstStyle/>
              <a:p>
                <a:pPr>
                  <a:defRPr sz="8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'Violence Indicators School'!$AH$23:$AH$26</c:f>
              <c:strCache>
                <c:ptCount val="4"/>
                <c:pt idx="0">
                  <c:v>Physical fight,             past year</c:v>
                </c:pt>
                <c:pt idx="1">
                  <c:v>Carried a weapon,        past 30 days</c:v>
                </c:pt>
                <c:pt idx="2">
                  <c:v>Member of a gang, past year^ </c:v>
                </c:pt>
                <c:pt idx="3">
                  <c:v>Carried a gun,            past Year</c:v>
                </c:pt>
              </c:strCache>
            </c:strRef>
          </c:cat>
          <c:val>
            <c:numRef>
              <c:f>'Violence Indicators School'!$AM$23:$AM$26</c:f>
              <c:numCache>
                <c:formatCode>0</c:formatCode>
                <c:ptCount val="4"/>
                <c:pt idx="0">
                  <c:v>28</c:v>
                </c:pt>
                <c:pt idx="1">
                  <c:v>15</c:v>
                </c:pt>
                <c:pt idx="2">
                  <c:v>9</c:v>
                </c:pt>
                <c:pt idx="3">
                  <c:v>4</c:v>
                </c:pt>
              </c:numCache>
            </c:numRef>
          </c:val>
          <c:extLst>
            <c:ext xmlns:c16="http://schemas.microsoft.com/office/drawing/2014/chart" uri="{C3380CC4-5D6E-409C-BE32-E72D297353CC}">
              <c16:uniqueId val="{00000002-E6FF-4797-8260-BB2BD37561E7}"/>
            </c:ext>
          </c:extLst>
        </c:ser>
        <c:ser>
          <c:idx val="3"/>
          <c:order val="1"/>
          <c:tx>
            <c:strRef>
              <c:f>'Violence Indicators School'!$AN$22</c:f>
              <c:strCache>
                <c:ptCount val="1"/>
                <c:pt idx="0">
                  <c:v>2009</c:v>
                </c:pt>
              </c:strCache>
            </c:strRef>
          </c:tx>
          <c:spPr>
            <a:pattFill prst="pct40">
              <a:fgClr>
                <a:srgbClr val="FFFFFF"/>
              </a:fgClr>
              <a:bgClr>
                <a:srgbClr val="376092"/>
              </a:bgClr>
            </a:pattFill>
            <a:ln w="3175">
              <a:solidFill>
                <a:srgbClr val="000000"/>
              </a:solidFill>
              <a:prstDash val="solid"/>
            </a:ln>
          </c:spPr>
          <c:invertIfNegative val="0"/>
          <c:dLbls>
            <c:dLbl>
              <c:idx val="0"/>
              <c:layout>
                <c:manualLayout>
                  <c:x val="5.6116722783389446E-3"/>
                  <c:y val="0"/>
                </c:manualLayout>
              </c:layout>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6FF-4797-8260-BB2BD37561E7}"/>
                </c:ext>
              </c:extLst>
            </c:dLbl>
            <c:spPr>
              <a:noFill/>
              <a:ln w="25400">
                <a:noFill/>
              </a:ln>
            </c:spPr>
            <c:txPr>
              <a:bodyPr wrap="square" lIns="38100" tIns="19050" rIns="38100" bIns="19050" anchor="ctr">
                <a:spAutoFit/>
              </a:bodyPr>
              <a:lstStyle/>
              <a:p>
                <a:pPr>
                  <a:defRPr sz="8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'Violence Indicators School'!$AH$23:$AH$26</c:f>
              <c:strCache>
                <c:ptCount val="4"/>
                <c:pt idx="0">
                  <c:v>Physical fight,             past year</c:v>
                </c:pt>
                <c:pt idx="1">
                  <c:v>Carried a weapon,        past 30 days</c:v>
                </c:pt>
                <c:pt idx="2">
                  <c:v>Member of a gang, past year^ </c:v>
                </c:pt>
                <c:pt idx="3">
                  <c:v>Carried a gun,            past Year</c:v>
                </c:pt>
              </c:strCache>
            </c:strRef>
          </c:cat>
          <c:val>
            <c:numRef>
              <c:f>'Violence Indicators School'!$AN$23:$AN$26</c:f>
              <c:numCache>
                <c:formatCode>0</c:formatCode>
                <c:ptCount val="4"/>
                <c:pt idx="0">
                  <c:v>29</c:v>
                </c:pt>
                <c:pt idx="1">
                  <c:v>13</c:v>
                </c:pt>
                <c:pt idx="2">
                  <c:v>7</c:v>
                </c:pt>
                <c:pt idx="3">
                  <c:v>4</c:v>
                </c:pt>
              </c:numCache>
            </c:numRef>
          </c:val>
          <c:extLst>
            <c:ext xmlns:c16="http://schemas.microsoft.com/office/drawing/2014/chart" uri="{C3380CC4-5D6E-409C-BE32-E72D297353CC}">
              <c16:uniqueId val="{00000004-E6FF-4797-8260-BB2BD37561E7}"/>
            </c:ext>
          </c:extLst>
        </c:ser>
        <c:ser>
          <c:idx val="4"/>
          <c:order val="2"/>
          <c:tx>
            <c:strRef>
              <c:f>'Violence Indicators School'!$AO$22</c:f>
              <c:strCache>
                <c:ptCount val="1"/>
                <c:pt idx="0">
                  <c:v>2011</c:v>
                </c:pt>
              </c:strCache>
            </c:strRef>
          </c:tx>
          <c:spPr>
            <a:solidFill>
              <a:schemeClr val="tx2">
                <a:lumMod val="20000"/>
                <a:lumOff val="80000"/>
              </a:schemeClr>
            </a:solidFill>
            <a:ln w="0">
              <a:solidFill>
                <a:srgbClr val="000000"/>
              </a:solidFill>
              <a:prstDash val="solid"/>
            </a:ln>
          </c:spPr>
          <c:invertIfNegative val="0"/>
          <c:dLbls>
            <c:dLbl>
              <c:idx val="0"/>
              <c:layout>
                <c:manualLayout>
                  <c:x val="2.9928329665862476E-3"/>
                  <c:y val="0"/>
                </c:manualLayout>
              </c:layout>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6FF-4797-8260-BB2BD37561E7}"/>
                </c:ext>
              </c:extLst>
            </c:dLbl>
            <c:spPr>
              <a:noFill/>
              <a:ln w="25400">
                <a:noFill/>
              </a:ln>
            </c:spPr>
            <c:txPr>
              <a:bodyPr wrap="square" lIns="38100" tIns="19050" rIns="38100" bIns="19050" anchor="ctr">
                <a:spAutoFit/>
              </a:bodyPr>
              <a:lstStyle/>
              <a:p>
                <a:pPr>
                  <a:defRPr sz="8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'Violence Indicators School'!$AH$23:$AH$26</c:f>
              <c:strCache>
                <c:ptCount val="4"/>
                <c:pt idx="0">
                  <c:v>Physical fight,             past year</c:v>
                </c:pt>
                <c:pt idx="1">
                  <c:v>Carried a weapon,        past 30 days</c:v>
                </c:pt>
                <c:pt idx="2">
                  <c:v>Member of a gang, past year^ </c:v>
                </c:pt>
                <c:pt idx="3">
                  <c:v>Carried a gun,            past Year</c:v>
                </c:pt>
              </c:strCache>
            </c:strRef>
          </c:cat>
          <c:val>
            <c:numRef>
              <c:f>'Violence Indicators School'!$AO$23:$AO$26</c:f>
              <c:numCache>
                <c:formatCode>0</c:formatCode>
                <c:ptCount val="4"/>
                <c:pt idx="0">
                  <c:v>25</c:v>
                </c:pt>
                <c:pt idx="1">
                  <c:v>12</c:v>
                </c:pt>
                <c:pt idx="2">
                  <c:v>6</c:v>
                </c:pt>
                <c:pt idx="3">
                  <c:v>3</c:v>
                </c:pt>
              </c:numCache>
            </c:numRef>
          </c:val>
          <c:extLst>
            <c:ext xmlns:c16="http://schemas.microsoft.com/office/drawing/2014/chart" uri="{C3380CC4-5D6E-409C-BE32-E72D297353CC}">
              <c16:uniqueId val="{00000006-E6FF-4797-8260-BB2BD37561E7}"/>
            </c:ext>
          </c:extLst>
        </c:ser>
        <c:ser>
          <c:idx val="0"/>
          <c:order val="3"/>
          <c:tx>
            <c:strRef>
              <c:f>'Violence Indicators School'!$AP$22</c:f>
              <c:strCache>
                <c:ptCount val="1"/>
                <c:pt idx="0">
                  <c:v>2013</c:v>
                </c:pt>
              </c:strCache>
            </c:strRef>
          </c:tx>
          <c:spPr>
            <a:pattFill prst="openDmnd">
              <a:fgClr>
                <a:schemeClr val="bg1"/>
              </a:fgClr>
              <a:bgClr>
                <a:schemeClr val="accent4">
                  <a:lumMod val="75000"/>
                </a:schemeClr>
              </a:bgClr>
            </a:pattFill>
          </c:spPr>
          <c:invertIfNegative val="0"/>
          <c:dLbls>
            <c:spPr>
              <a:noFill/>
              <a:ln>
                <a:noFill/>
              </a:ln>
              <a:effectLst/>
            </c:spPr>
            <c:txPr>
              <a:bodyPr wrap="square" lIns="38100" tIns="19050" rIns="38100" bIns="19050" anchor="ctr">
                <a:spAutoFit/>
              </a:bodyPr>
              <a:lstStyle/>
              <a:p>
                <a:pPr>
                  <a:defRPr sz="8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'Violence Indicators School'!$AP$23:$AP$26</c:f>
              <c:numCache>
                <c:formatCode>0</c:formatCode>
                <c:ptCount val="4"/>
                <c:pt idx="0">
                  <c:v>20</c:v>
                </c:pt>
                <c:pt idx="1">
                  <c:v>12</c:v>
                </c:pt>
                <c:pt idx="2">
                  <c:v>7</c:v>
                </c:pt>
                <c:pt idx="3">
                  <c:v>3</c:v>
                </c:pt>
              </c:numCache>
            </c:numRef>
          </c:val>
          <c:extLst>
            <c:ext xmlns:c16="http://schemas.microsoft.com/office/drawing/2014/chart" uri="{C3380CC4-5D6E-409C-BE32-E72D297353CC}">
              <c16:uniqueId val="{00000007-E6FF-4797-8260-BB2BD37561E7}"/>
            </c:ext>
          </c:extLst>
        </c:ser>
        <c:ser>
          <c:idx val="5"/>
          <c:order val="4"/>
          <c:tx>
            <c:strRef>
              <c:f>'Violence Indicators School'!$AQ$22</c:f>
              <c:strCache>
                <c:ptCount val="1"/>
                <c:pt idx="0">
                  <c:v>2015</c:v>
                </c:pt>
              </c:strCache>
            </c:strRef>
          </c:tx>
          <c:spPr>
            <a:solidFill>
              <a:schemeClr val="accent4">
                <a:lumMod val="20000"/>
                <a:lumOff val="80000"/>
              </a:schemeClr>
            </a:solidFill>
          </c:spPr>
          <c:invertIfNegative val="0"/>
          <c:dLbls>
            <c:spPr>
              <a:noFill/>
              <a:ln>
                <a:noFill/>
              </a:ln>
              <a:effectLst/>
            </c:spPr>
            <c:txPr>
              <a:bodyPr wrap="square" lIns="38100" tIns="19050" rIns="38100" bIns="19050" anchor="ctr">
                <a:spAutoFit/>
              </a:bodyPr>
              <a:lstStyle/>
              <a:p>
                <a:pPr>
                  <a:defRPr sz="8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'Violence Indicators School'!$AQ$23:$AQ$26</c:f>
              <c:numCache>
                <c:formatCode>0</c:formatCode>
                <c:ptCount val="4"/>
                <c:pt idx="0">
                  <c:v>19</c:v>
                </c:pt>
                <c:pt idx="1">
                  <c:v>13</c:v>
                </c:pt>
                <c:pt idx="2">
                  <c:v>8</c:v>
                </c:pt>
                <c:pt idx="3">
                  <c:v>3</c:v>
                </c:pt>
              </c:numCache>
            </c:numRef>
          </c:val>
          <c:extLst>
            <c:ext xmlns:c16="http://schemas.microsoft.com/office/drawing/2014/chart" uri="{C3380CC4-5D6E-409C-BE32-E72D297353CC}">
              <c16:uniqueId val="{00000008-E6FF-4797-8260-BB2BD37561E7}"/>
            </c:ext>
          </c:extLst>
        </c:ser>
        <c:ser>
          <c:idx val="6"/>
          <c:order val="5"/>
          <c:tx>
            <c:strRef>
              <c:f>'Violence Indicators School'!$AR$22</c:f>
              <c:strCache>
                <c:ptCount val="1"/>
                <c:pt idx="0">
                  <c:v>2017</c:v>
                </c:pt>
              </c:strCache>
            </c:strRef>
          </c:tx>
          <c:spPr>
            <a:solidFill>
              <a:schemeClr val="accent4">
                <a:lumMod val="60000"/>
                <a:lumOff val="40000"/>
              </a:schemeClr>
            </a:solidFill>
            <a:ln>
              <a:solidFill>
                <a:srgbClr val="7030A0"/>
              </a:solidFill>
            </a:ln>
          </c:spPr>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'Violence Indicators School'!$AR$23:$AR$26</c:f>
              <c:numCache>
                <c:formatCode>0</c:formatCode>
                <c:ptCount val="4"/>
                <c:pt idx="0">
                  <c:v>18</c:v>
                </c:pt>
                <c:pt idx="1">
                  <c:v>11</c:v>
                </c:pt>
                <c:pt idx="3">
                  <c:v>3</c:v>
                </c:pt>
              </c:numCache>
            </c:numRef>
          </c:val>
          <c:extLst>
            <c:ext xmlns:c16="http://schemas.microsoft.com/office/drawing/2014/chart" uri="{C3380CC4-5D6E-409C-BE32-E72D297353CC}">
              <c16:uniqueId val="{00000009-E6FF-4797-8260-BB2BD37561E7}"/>
            </c:ext>
          </c:extLst>
        </c:ser>
        <c:dLbls>
          <c:showLegendKey val="0"/>
          <c:showVal val="0"/>
          <c:showCatName val="0"/>
          <c:showSerName val="0"/>
          <c:showPercent val="0"/>
          <c:showBubbleSize val="0"/>
        </c:dLbls>
        <c:gapWidth val="150"/>
        <c:axId val="393064408"/>
        <c:axId val="1"/>
      </c:barChart>
      <c:catAx>
        <c:axId val="39306440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
        <c:crosses val="autoZero"/>
        <c:auto val="1"/>
        <c:lblAlgn val="ctr"/>
        <c:lblOffset val="80"/>
        <c:tickLblSkip val="1"/>
        <c:tickMarkSkip val="1"/>
        <c:noMultiLvlLbl val="0"/>
      </c:catAx>
      <c:valAx>
        <c:axId val="1"/>
        <c:scaling>
          <c:orientation val="minMax"/>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Percent of Students</a:t>
                </a:r>
              </a:p>
            </c:rich>
          </c:tx>
          <c:layout>
            <c:manualLayout>
              <c:xMode val="edge"/>
              <c:yMode val="edge"/>
              <c:x val="1.7156340305946604E-2"/>
              <c:y val="0.31732156464312927"/>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393064408"/>
        <c:crosses val="autoZero"/>
        <c:crossBetween val="between"/>
      </c:valAx>
      <c:spPr>
        <a:solidFill>
          <a:srgbClr val="FFFFFF"/>
        </a:solidFill>
        <a:ln w="12700">
          <a:solidFill>
            <a:srgbClr val="FFFFFF"/>
          </a:solidFill>
          <a:prstDash val="solid"/>
        </a:ln>
      </c:spPr>
    </c:plotArea>
    <c:legend>
      <c:legendPos val="r"/>
      <c:layout>
        <c:manualLayout>
          <c:xMode val="edge"/>
          <c:yMode val="edge"/>
          <c:x val="0.88923760792527207"/>
          <c:y val="0.14058377783422232"/>
          <c:w val="5.9888827027934639E-2"/>
          <c:h val="0.43769367538735071"/>
        </c:manualLayout>
      </c:layout>
      <c:overlay val="0"/>
      <c:spPr>
        <a:solidFill>
          <a:srgbClr val="FFFFFF"/>
        </a:solidFill>
        <a:ln w="25400">
          <a:noFill/>
        </a:ln>
      </c:spPr>
      <c:txPr>
        <a:bodyPr/>
        <a:lstStyle/>
        <a:p>
          <a:pPr>
            <a:defRPr sz="69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875"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25" b="0" i="0" u="none" strike="noStrike" baseline="0">
                <a:solidFill>
                  <a:srgbClr val="000000"/>
                </a:solidFill>
                <a:latin typeface="Times New Roman"/>
                <a:ea typeface="Times New Roman"/>
                <a:cs typeface="Times New Roman"/>
              </a:defRPr>
            </a:pPr>
            <a:r>
              <a:rPr lang="en-US" sz="1200" b="1" i="0" u="none" strike="noStrike" baseline="0">
                <a:solidFill>
                  <a:srgbClr val="000000"/>
                </a:solidFill>
                <a:latin typeface="Times New Roman"/>
                <a:cs typeface="Times New Roman"/>
              </a:rPr>
              <a:t>Victimization Experiences Among Massachusetts High School Students </a:t>
            </a:r>
          </a:p>
          <a:p>
            <a:pPr>
              <a:defRPr sz="825" b="0" i="0" u="none" strike="noStrike" baseline="0">
                <a:solidFill>
                  <a:srgbClr val="000000"/>
                </a:solidFill>
                <a:latin typeface="Times New Roman"/>
                <a:ea typeface="Times New Roman"/>
                <a:cs typeface="Times New Roman"/>
              </a:defRPr>
            </a:pPr>
            <a:r>
              <a:rPr lang="en-US" sz="1200" b="1" i="0" u="none" strike="noStrike" baseline="0">
                <a:solidFill>
                  <a:srgbClr val="000000"/>
                </a:solidFill>
                <a:latin typeface="Times New Roman"/>
                <a:cs typeface="Times New Roman"/>
              </a:rPr>
              <a:t> 2009 - 2017</a:t>
            </a:r>
          </a:p>
        </c:rich>
      </c:tx>
      <c:layout>
        <c:manualLayout>
          <c:xMode val="edge"/>
          <c:yMode val="edge"/>
          <c:x val="0.12328050765806173"/>
          <c:y val="3.617776591485386E-2"/>
        </c:manualLayout>
      </c:layout>
      <c:overlay val="0"/>
      <c:spPr>
        <a:noFill/>
        <a:ln w="25400">
          <a:noFill/>
        </a:ln>
      </c:spPr>
    </c:title>
    <c:autoTitleDeleted val="0"/>
    <c:plotArea>
      <c:layout>
        <c:manualLayout>
          <c:layoutTarget val="inner"/>
          <c:xMode val="edge"/>
          <c:yMode val="edge"/>
          <c:x val="0.11162807598727591"/>
          <c:y val="0.2222045464655901"/>
          <c:w val="0.78941569372793918"/>
          <c:h val="0.59756288091107257"/>
        </c:manualLayout>
      </c:layout>
      <c:barChart>
        <c:barDir val="col"/>
        <c:grouping val="clustered"/>
        <c:varyColors val="0"/>
        <c:ser>
          <c:idx val="0"/>
          <c:order val="0"/>
          <c:tx>
            <c:strRef>
              <c:f>Victimizationyearsgrades2015!$R$19</c:f>
              <c:strCache>
                <c:ptCount val="1"/>
                <c:pt idx="0">
                  <c:v>2009</c:v>
                </c:pt>
              </c:strCache>
            </c:strRef>
          </c:tx>
          <c:spPr>
            <a:solidFill>
              <a:schemeClr val="accent5">
                <a:lumMod val="75000"/>
              </a:schemeClr>
            </a:solidFill>
            <a:ln w="12700">
              <a:solidFill>
                <a:srgbClr val="000000"/>
              </a:solidFill>
              <a:prstDash val="solid"/>
            </a:ln>
          </c:spPr>
          <c:invertIfNegative val="0"/>
          <c:dLbls>
            <c:dLbl>
              <c:idx val="0"/>
              <c:layout>
                <c:manualLayout>
                  <c:x val="-3.1705810027808598E-3"/>
                  <c:y val="-9.8641884880668485E-3"/>
                </c:manualLayout>
              </c:layout>
              <c:spPr>
                <a:noFill/>
                <a:ln w="25400">
                  <a:noFill/>
                </a:ln>
              </c:spPr>
              <c:txPr>
                <a:bodyPr/>
                <a:lstStyle/>
                <a:p>
                  <a:pPr>
                    <a:defRPr sz="9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127-4376-B29F-24038AFB42B5}"/>
                </c:ext>
              </c:extLst>
            </c:dLbl>
            <c:dLbl>
              <c:idx val="1"/>
              <c:layout>
                <c:manualLayout>
                  <c:x val="-3.5582577494268912E-3"/>
                  <c:y val="1.4842653142933404E-2"/>
                </c:manualLayout>
              </c:layout>
              <c:spPr>
                <a:noFill/>
                <a:ln w="25400">
                  <a:noFill/>
                </a:ln>
              </c:spPr>
              <c:txPr>
                <a:bodyPr/>
                <a:lstStyle/>
                <a:p>
                  <a:pPr>
                    <a:defRPr sz="9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27-4376-B29F-24038AFB42B5}"/>
                </c:ext>
              </c:extLst>
            </c:dLbl>
            <c:dLbl>
              <c:idx val="2"/>
              <c:layout>
                <c:manualLayout>
                  <c:x val="0"/>
                  <c:y val="9.0395480225988704E-3"/>
                </c:manualLayout>
              </c:layout>
              <c:spPr>
                <a:noFill/>
                <a:ln w="25400">
                  <a:noFill/>
                </a:ln>
              </c:spPr>
              <c:txPr>
                <a:bodyPr/>
                <a:lstStyle/>
                <a:p>
                  <a:pPr>
                    <a:defRPr sz="9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127-4376-B29F-24038AFB42B5}"/>
                </c:ext>
              </c:extLst>
            </c:dLbl>
            <c:spPr>
              <a:noFill/>
              <a:ln w="25400">
                <a:noFill/>
              </a:ln>
            </c:spPr>
            <c:txPr>
              <a:bodyPr wrap="square" lIns="38100" tIns="19050" rIns="38100" bIns="19050" anchor="ctr">
                <a:spAutoFit/>
              </a:bodyPr>
              <a:lstStyle/>
              <a:p>
                <a:pPr>
                  <a:defRPr sz="9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Victimizationyearsgrades2015!$P$20:$P$22</c:f>
              <c:strCache>
                <c:ptCount val="3"/>
                <c:pt idx="0">
                  <c:v>   Were electronically             bullied^</c:v>
                </c:pt>
                <c:pt idx="1">
                  <c:v>Experienced physical            dating violence</c:v>
                </c:pt>
                <c:pt idx="2">
                  <c:v>Physically forced to have sexual intercourse^^</c:v>
                </c:pt>
              </c:strCache>
            </c:strRef>
          </c:cat>
          <c:val>
            <c:numRef>
              <c:f>Victimizationyearsgrades2015!$R$20:$R$22</c:f>
              <c:numCache>
                <c:formatCode>General</c:formatCode>
                <c:ptCount val="3"/>
                <c:pt idx="1">
                  <c:v>11</c:v>
                </c:pt>
              </c:numCache>
            </c:numRef>
          </c:val>
          <c:extLst>
            <c:ext xmlns:c16="http://schemas.microsoft.com/office/drawing/2014/chart" uri="{C3380CC4-5D6E-409C-BE32-E72D297353CC}">
              <c16:uniqueId val="{00000003-7127-4376-B29F-24038AFB42B5}"/>
            </c:ext>
          </c:extLst>
        </c:ser>
        <c:ser>
          <c:idx val="1"/>
          <c:order val="1"/>
          <c:tx>
            <c:strRef>
              <c:f>Victimizationyearsgrades2015!$S$19</c:f>
              <c:strCache>
                <c:ptCount val="1"/>
                <c:pt idx="0">
                  <c:v>2011</c:v>
                </c:pt>
              </c:strCache>
            </c:strRef>
          </c:tx>
          <c:spPr>
            <a:pattFill prst="pct30">
              <a:fgClr>
                <a:schemeClr val="accent5">
                  <a:lumMod val="60000"/>
                  <a:lumOff val="40000"/>
                </a:schemeClr>
              </a:fgClr>
              <a:bgClr>
                <a:schemeClr val="bg1"/>
              </a:bgClr>
            </a:pattFill>
            <a:ln w="0" cmpd="sng">
              <a:solidFill>
                <a:srgbClr val="000000"/>
              </a:solidFill>
              <a:prstDash val="solid"/>
            </a:ln>
          </c:spPr>
          <c:invertIfNegative val="0"/>
          <c:dLbls>
            <c:dLbl>
              <c:idx val="0"/>
              <c:layout>
                <c:manualLayout>
                  <c:x val="-5.5726103857271008E-3"/>
                  <c:y val="0"/>
                </c:manualLayout>
              </c:layout>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127-4376-B29F-24038AFB42B5}"/>
                </c:ext>
              </c:extLst>
            </c:dLbl>
            <c:dLbl>
              <c:idx val="2"/>
              <c:layout>
                <c:manualLayout>
                  <c:x val="9.1954022988505746E-3"/>
                  <c:y val="1.3559322033898305E-2"/>
                </c:manualLayout>
              </c:layout>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127-4376-B29F-24038AFB42B5}"/>
                </c:ext>
              </c:extLst>
            </c:dLbl>
            <c:dLbl>
              <c:idx val="3"/>
              <c:layout>
                <c:manualLayout>
                  <c:x val="6.8965517241379309E-3"/>
                  <c:y val="1.3559322033898305E-2"/>
                </c:manualLayout>
              </c:layout>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127-4376-B29F-24038AFB42B5}"/>
                </c:ext>
              </c:extLst>
            </c:dLbl>
            <c:spPr>
              <a:noFill/>
              <a:ln w="25400">
                <a:noFill/>
              </a:ln>
            </c:spPr>
            <c:txPr>
              <a:bodyPr wrap="square" lIns="38100" tIns="19050" rIns="38100" bIns="19050" anchor="ctr">
                <a:spAutoFit/>
              </a:bodyPr>
              <a:lstStyle/>
              <a:p>
                <a:pPr>
                  <a:defRPr sz="8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Victimizationyearsgrades2015!$S$20:$S$22</c:f>
              <c:numCache>
                <c:formatCode>General</c:formatCode>
                <c:ptCount val="3"/>
                <c:pt idx="0">
                  <c:v>17</c:v>
                </c:pt>
                <c:pt idx="1">
                  <c:v>9</c:v>
                </c:pt>
              </c:numCache>
            </c:numRef>
          </c:val>
          <c:extLst>
            <c:ext xmlns:c16="http://schemas.microsoft.com/office/drawing/2014/chart" uri="{C3380CC4-5D6E-409C-BE32-E72D297353CC}">
              <c16:uniqueId val="{00000007-7127-4376-B29F-24038AFB42B5}"/>
            </c:ext>
          </c:extLst>
        </c:ser>
        <c:ser>
          <c:idx val="2"/>
          <c:order val="2"/>
          <c:tx>
            <c:strRef>
              <c:f>Victimizationyearsgrades2015!$T$19</c:f>
              <c:strCache>
                <c:ptCount val="1"/>
                <c:pt idx="0">
                  <c:v>2013</c:v>
                </c:pt>
              </c:strCache>
            </c:strRef>
          </c:tx>
          <c:spPr>
            <a:pattFill prst="pct40">
              <a:fgClr>
                <a:schemeClr val="bg1"/>
              </a:fgClr>
              <a:bgClr>
                <a:schemeClr val="accent1">
                  <a:lumMod val="75000"/>
                </a:schemeClr>
              </a:bgClr>
            </a:pattFill>
            <a:ln w="0">
              <a:solidFill>
                <a:srgbClr val="000000"/>
              </a:solidFill>
              <a:prstDash val="solid"/>
            </a:ln>
          </c:spPr>
          <c:invertIfNegative val="0"/>
          <c:dLbls>
            <c:dLbl>
              <c:idx val="0"/>
              <c:layout>
                <c:manualLayout>
                  <c:x val="2.2989135851689811E-3"/>
                  <c:y val="4.1752747008318878E-3"/>
                </c:manualLayout>
              </c:layout>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127-4376-B29F-24038AFB42B5}"/>
                </c:ext>
              </c:extLst>
            </c:dLbl>
            <c:dLbl>
              <c:idx val="1"/>
              <c:layout>
                <c:manualLayout>
                  <c:x val="-2.5515797867038773E-4"/>
                  <c:y val="-1.2271720272254105E-2"/>
                </c:manualLayout>
              </c:layout>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127-4376-B29F-24038AFB42B5}"/>
                </c:ext>
              </c:extLst>
            </c:dLbl>
            <c:dLbl>
              <c:idx val="2"/>
              <c:layout>
                <c:manualLayout>
                  <c:x val="3.2446260673112065E-3"/>
                  <c:y val="1.3559322033898305E-2"/>
                </c:manualLayout>
              </c:layout>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127-4376-B29F-24038AFB42B5}"/>
                </c:ext>
              </c:extLst>
            </c:dLbl>
            <c:dLbl>
              <c:idx val="3"/>
              <c:layout>
                <c:manualLayout>
                  <c:x val="6.8965517241379309E-3"/>
                  <c:y val="1.8079096045197741E-2"/>
                </c:manualLayout>
              </c:layout>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127-4376-B29F-24038AFB42B5}"/>
                </c:ext>
              </c:extLst>
            </c:dLbl>
            <c:spPr>
              <a:noFill/>
              <a:ln w="25400">
                <a:noFill/>
              </a:ln>
            </c:spPr>
            <c:txPr>
              <a:bodyPr wrap="square" lIns="38100" tIns="19050" rIns="38100" bIns="19050" anchor="ctr">
                <a:spAutoFit/>
              </a:bodyPr>
              <a:lstStyle/>
              <a:p>
                <a:pPr>
                  <a:defRPr sz="8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Victimizationyearsgrades2015!$T$20:$T$22</c:f>
              <c:numCache>
                <c:formatCode>General</c:formatCode>
                <c:ptCount val="3"/>
                <c:pt idx="0">
                  <c:v>14</c:v>
                </c:pt>
                <c:pt idx="1">
                  <c:v>8</c:v>
                </c:pt>
              </c:numCache>
            </c:numRef>
          </c:val>
          <c:extLst>
            <c:ext xmlns:c16="http://schemas.microsoft.com/office/drawing/2014/chart" uri="{C3380CC4-5D6E-409C-BE32-E72D297353CC}">
              <c16:uniqueId val="{0000000C-7127-4376-B29F-24038AFB42B5}"/>
            </c:ext>
          </c:extLst>
        </c:ser>
        <c:ser>
          <c:idx val="3"/>
          <c:order val="3"/>
          <c:tx>
            <c:strRef>
              <c:f>Victimizationyearsgrades2015!$U$19</c:f>
              <c:strCache>
                <c:ptCount val="1"/>
                <c:pt idx="0">
                  <c:v>2015</c:v>
                </c:pt>
              </c:strCache>
            </c:strRef>
          </c:tx>
          <c:spPr>
            <a:solidFill>
              <a:schemeClr val="tx2">
                <a:lumMod val="20000"/>
                <a:lumOff val="80000"/>
              </a:schemeClr>
            </a:solidFill>
          </c:spPr>
          <c:invertIfNegative val="0"/>
          <c:dLbls>
            <c:dLbl>
              <c:idx val="0"/>
              <c:layout>
                <c:manualLayout>
                  <c:x val="2.1097046413502498E-3"/>
                  <c:y val="4.5197740112994352E-3"/>
                </c:manualLayout>
              </c:layout>
              <c:spPr/>
              <c:txPr>
                <a:bodyPr/>
                <a:lstStyle/>
                <a:p>
                  <a:pPr>
                    <a:defRPr sz="800" b="0" i="0" u="none" strike="noStrike" baseline="0">
                      <a:solidFill>
                        <a:srgbClr val="000000"/>
                      </a:solidFill>
                      <a:latin typeface="Times New Roman"/>
                      <a:ea typeface="Times New Roman"/>
                      <a:cs typeface="Times New Roman"/>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127-4376-B29F-24038AFB42B5}"/>
                </c:ext>
              </c:extLst>
            </c:dLbl>
            <c:spPr>
              <a:noFill/>
              <a:ln>
                <a:noFill/>
              </a:ln>
              <a:effectLst/>
            </c:spPr>
            <c:txPr>
              <a:bodyPr wrap="square" lIns="38100" tIns="19050" rIns="38100" bIns="19050" anchor="ctr">
                <a:spAutoFit/>
              </a:bodyPr>
              <a:lstStyle/>
              <a:p>
                <a:pPr>
                  <a:defRPr sz="8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Victimizationyearsgrades2015!$U$20:$U$22</c:f>
              <c:numCache>
                <c:formatCode>General</c:formatCode>
                <c:ptCount val="3"/>
                <c:pt idx="0">
                  <c:v>13</c:v>
                </c:pt>
                <c:pt idx="1">
                  <c:v>7</c:v>
                </c:pt>
                <c:pt idx="2">
                  <c:v>6</c:v>
                </c:pt>
              </c:numCache>
            </c:numRef>
          </c:val>
          <c:extLst>
            <c:ext xmlns:c16="http://schemas.microsoft.com/office/drawing/2014/chart" uri="{C3380CC4-5D6E-409C-BE32-E72D297353CC}">
              <c16:uniqueId val="{0000000E-7127-4376-B29F-24038AFB42B5}"/>
            </c:ext>
          </c:extLst>
        </c:ser>
        <c:ser>
          <c:idx val="4"/>
          <c:order val="4"/>
          <c:tx>
            <c:strRef>
              <c:f>Victimizationyearsgrades2015!$V$19</c:f>
              <c:strCache>
                <c:ptCount val="1"/>
                <c:pt idx="0">
                  <c:v>2017</c:v>
                </c:pt>
              </c:strCache>
            </c:strRef>
          </c:tx>
          <c:spPr>
            <a:pattFill prst="pct75">
              <a:fgClr>
                <a:schemeClr val="accent1">
                  <a:lumMod val="60000"/>
                  <a:lumOff val="40000"/>
                </a:schemeClr>
              </a:fgClr>
              <a:bgClr>
                <a:schemeClr val="bg1"/>
              </a:bgClr>
            </a:patt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Victimizationyearsgrades2015!$V$20:$V$22</c:f>
              <c:numCache>
                <c:formatCode>0</c:formatCode>
                <c:ptCount val="3"/>
                <c:pt idx="0">
                  <c:v>14</c:v>
                </c:pt>
                <c:pt idx="1">
                  <c:v>6</c:v>
                </c:pt>
                <c:pt idx="2">
                  <c:v>7</c:v>
                </c:pt>
              </c:numCache>
            </c:numRef>
          </c:val>
          <c:extLst>
            <c:ext xmlns:c16="http://schemas.microsoft.com/office/drawing/2014/chart" uri="{C3380CC4-5D6E-409C-BE32-E72D297353CC}">
              <c16:uniqueId val="{0000000F-7127-4376-B29F-24038AFB42B5}"/>
            </c:ext>
          </c:extLst>
        </c:ser>
        <c:dLbls>
          <c:showLegendKey val="0"/>
          <c:showVal val="0"/>
          <c:showCatName val="0"/>
          <c:showSerName val="0"/>
          <c:showPercent val="0"/>
          <c:showBubbleSize val="0"/>
        </c:dLbls>
        <c:gapWidth val="150"/>
        <c:axId val="324339016"/>
        <c:axId val="1"/>
      </c:barChart>
      <c:catAx>
        <c:axId val="32433901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en-US"/>
          </a:p>
        </c:txPr>
        <c:crossAx val="1"/>
        <c:crosses val="autoZero"/>
        <c:auto val="1"/>
        <c:lblAlgn val="ctr"/>
        <c:lblOffset val="100"/>
        <c:tickLblSkip val="1"/>
        <c:tickMarkSkip val="1"/>
        <c:noMultiLvlLbl val="0"/>
      </c:catAx>
      <c:valAx>
        <c:axId val="1"/>
        <c:scaling>
          <c:orientation val="minMax"/>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Percent of Students</a:t>
                </a:r>
              </a:p>
            </c:rich>
          </c:tx>
          <c:layout>
            <c:manualLayout>
              <c:xMode val="edge"/>
              <c:yMode val="edge"/>
              <c:x val="1.5503837336788596E-2"/>
              <c:y val="0.3255813870723786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324339016"/>
        <c:crosses val="autoZero"/>
        <c:crossBetween val="between"/>
      </c:valAx>
      <c:spPr>
        <a:solidFill>
          <a:srgbClr val="FFFFFF"/>
        </a:solidFill>
        <a:ln w="12700">
          <a:solidFill>
            <a:srgbClr val="FFFFFF"/>
          </a:solidFill>
          <a:prstDash val="solid"/>
        </a:ln>
      </c:spPr>
    </c:plotArea>
    <c:legend>
      <c:legendPos val="r"/>
      <c:layout>
        <c:manualLayout>
          <c:xMode val="edge"/>
          <c:yMode val="edge"/>
          <c:x val="0.89605667962390778"/>
          <c:y val="0.15557110916690967"/>
          <c:w val="6.608458752782484E-2"/>
          <c:h val="0.3270436649964209"/>
        </c:manualLayout>
      </c:layout>
      <c:overlay val="1"/>
      <c:txPr>
        <a:bodyPr/>
        <a:lstStyle/>
        <a:p>
          <a:pPr>
            <a:defRPr sz="845"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825"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anose="02020603050405020304" pitchFamily="18" charset="0"/>
                <a:cs typeface="Times New Roman" panose="02020603050405020304" pitchFamily="18" charset="0"/>
              </a:rPr>
              <a:t>Massachusetts DOC Criminally Sentenced Jurisdiction Population:</a:t>
            </a:r>
          </a:p>
          <a:p>
            <a:pPr>
              <a:defRPr/>
            </a:pPr>
            <a:r>
              <a:rPr lang="en-US" sz="1200">
                <a:latin typeface="Times New Roman" panose="02020603050405020304" pitchFamily="18" charset="0"/>
                <a:cs typeface="Times New Roman" panose="02020603050405020304" pitchFamily="18" charset="0"/>
              </a:rPr>
              <a:t>Admissions and Releases 2008 - 2017</a:t>
            </a:r>
          </a:p>
        </c:rich>
      </c:tx>
      <c:layout>
        <c:manualLayout>
          <c:xMode val="edge"/>
          <c:yMode val="edge"/>
          <c:x val="0.14191939717212768"/>
          <c:y val="2.5039119516777852E-2"/>
        </c:manualLayout>
      </c:layout>
      <c:overlay val="0"/>
    </c:title>
    <c:autoTitleDeleted val="0"/>
    <c:plotArea>
      <c:layout>
        <c:manualLayout>
          <c:layoutTarget val="inner"/>
          <c:xMode val="edge"/>
          <c:yMode val="edge"/>
          <c:x val="0.20072607260726072"/>
          <c:y val="0.2259520944467702"/>
          <c:w val="0.77287128712871289"/>
          <c:h val="0.59483090050794585"/>
        </c:manualLayout>
      </c:layout>
      <c:lineChart>
        <c:grouping val="standard"/>
        <c:varyColors val="0"/>
        <c:ser>
          <c:idx val="0"/>
          <c:order val="0"/>
          <c:tx>
            <c:strRef>
              <c:f>'DOC Admissions_Releases'!$C$4</c:f>
              <c:strCache>
                <c:ptCount val="1"/>
                <c:pt idx="0">
                  <c:v>Admissions</c:v>
                </c:pt>
              </c:strCache>
            </c:strRef>
          </c:tx>
          <c:marker>
            <c:symbol val="circle"/>
            <c:size val="5"/>
            <c:spPr>
              <a:solidFill>
                <a:schemeClr val="tx2">
                  <a:lumMod val="20000"/>
                  <a:lumOff val="80000"/>
                </a:schemeClr>
              </a:solidFill>
            </c:spPr>
          </c:marker>
          <c:cat>
            <c:numRef>
              <c:f>'DOC Admissions_Releases'!$B$6:$B$15</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'DOC Admissions_Releases'!$C$6:$C$15</c:f>
              <c:numCache>
                <c:formatCode>#,##0</c:formatCode>
                <c:ptCount val="10"/>
                <c:pt idx="0">
                  <c:v>4050</c:v>
                </c:pt>
                <c:pt idx="1">
                  <c:v>3717</c:v>
                </c:pt>
                <c:pt idx="2">
                  <c:v>3863</c:v>
                </c:pt>
                <c:pt idx="3">
                  <c:v>3597</c:v>
                </c:pt>
                <c:pt idx="4">
                  <c:v>3219</c:v>
                </c:pt>
                <c:pt idx="5">
                  <c:v>3138</c:v>
                </c:pt>
                <c:pt idx="6">
                  <c:v>3150</c:v>
                </c:pt>
                <c:pt idx="7">
                  <c:v>2759</c:v>
                </c:pt>
                <c:pt idx="8">
                  <c:v>2578</c:v>
                </c:pt>
                <c:pt idx="9">
                  <c:v>2560</c:v>
                </c:pt>
              </c:numCache>
            </c:numRef>
          </c:val>
          <c:smooth val="0"/>
          <c:extLst>
            <c:ext xmlns:c16="http://schemas.microsoft.com/office/drawing/2014/chart" uri="{C3380CC4-5D6E-409C-BE32-E72D297353CC}">
              <c16:uniqueId val="{00000000-AA86-4C13-B835-167FB9C7F543}"/>
            </c:ext>
          </c:extLst>
        </c:ser>
        <c:ser>
          <c:idx val="1"/>
          <c:order val="1"/>
          <c:tx>
            <c:strRef>
              <c:f>'DOC Admissions_Releases'!$D$4</c:f>
              <c:strCache>
                <c:ptCount val="1"/>
                <c:pt idx="0">
                  <c:v>Releases</c:v>
                </c:pt>
              </c:strCache>
            </c:strRef>
          </c:tx>
          <c:marker>
            <c:spPr>
              <a:solidFill>
                <a:schemeClr val="accent2">
                  <a:lumMod val="40000"/>
                  <a:lumOff val="60000"/>
                </a:schemeClr>
              </a:solidFill>
            </c:spPr>
          </c:marker>
          <c:cat>
            <c:numRef>
              <c:f>'DOC Admissions_Releases'!$B$6:$B$15</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'DOC Admissions_Releases'!$D$6:$D$15</c:f>
              <c:numCache>
                <c:formatCode>#,##0</c:formatCode>
                <c:ptCount val="10"/>
                <c:pt idx="0">
                  <c:v>3808</c:v>
                </c:pt>
                <c:pt idx="1">
                  <c:v>3819</c:v>
                </c:pt>
                <c:pt idx="2">
                  <c:v>3901</c:v>
                </c:pt>
                <c:pt idx="3">
                  <c:v>3311</c:v>
                </c:pt>
                <c:pt idx="4">
                  <c:v>3557</c:v>
                </c:pt>
                <c:pt idx="5">
                  <c:v>3462</c:v>
                </c:pt>
                <c:pt idx="6">
                  <c:v>3303</c:v>
                </c:pt>
                <c:pt idx="7">
                  <c:v>3329</c:v>
                </c:pt>
                <c:pt idx="8">
                  <c:v>3029</c:v>
                </c:pt>
                <c:pt idx="9">
                  <c:v>2791</c:v>
                </c:pt>
              </c:numCache>
            </c:numRef>
          </c:val>
          <c:smooth val="0"/>
          <c:extLst>
            <c:ext xmlns:c16="http://schemas.microsoft.com/office/drawing/2014/chart" uri="{C3380CC4-5D6E-409C-BE32-E72D297353CC}">
              <c16:uniqueId val="{00000001-AA86-4C13-B835-167FB9C7F543}"/>
            </c:ext>
          </c:extLst>
        </c:ser>
        <c:dLbls>
          <c:showLegendKey val="0"/>
          <c:showVal val="0"/>
          <c:showCatName val="0"/>
          <c:showSerName val="0"/>
          <c:showPercent val="0"/>
          <c:showBubbleSize val="0"/>
        </c:dLbls>
        <c:marker val="1"/>
        <c:smooth val="0"/>
        <c:axId val="114768896"/>
        <c:axId val="114771072"/>
      </c:lineChart>
      <c:catAx>
        <c:axId val="114768896"/>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14771072"/>
        <c:crosses val="autoZero"/>
        <c:auto val="1"/>
        <c:lblAlgn val="ctr"/>
        <c:lblOffset val="100"/>
        <c:noMultiLvlLbl val="0"/>
      </c:catAx>
      <c:valAx>
        <c:axId val="114771072"/>
        <c:scaling>
          <c:orientation val="minMax"/>
          <c:max val="4100"/>
          <c:min val="2500"/>
        </c:scaling>
        <c:delete val="0"/>
        <c:axPos val="l"/>
        <c:majorGridlines>
          <c:spPr>
            <a:ln>
              <a:noFill/>
            </a:ln>
          </c:spPr>
        </c:majorGridlines>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14768896"/>
        <c:crosses val="autoZero"/>
        <c:crossBetween val="between"/>
        <c:majorUnit val="200"/>
        <c:minorUnit val="200"/>
      </c:valAx>
      <c:dTable>
        <c:showHorzBorder val="1"/>
        <c:showVertBorder val="1"/>
        <c:showOutline val="1"/>
        <c:showKeys val="1"/>
        <c:txPr>
          <a:bodyPr/>
          <a:lstStyle/>
          <a:p>
            <a:pPr rtl="0">
              <a:defRPr>
                <a:latin typeface="Times New Roman" panose="02020603050405020304" pitchFamily="18" charset="0"/>
                <a:cs typeface="Times New Roman" panose="02020603050405020304" pitchFamily="18" charset="0"/>
              </a:defRPr>
            </a:pPr>
            <a:endParaRPr lang="en-US"/>
          </a:p>
        </c:txPr>
      </c:dTable>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Massachusetts DOC Inmate Jurisdiction</a:t>
            </a:r>
            <a:r>
              <a:rPr lang="en-US" sz="1200" baseline="0"/>
              <a:t> Population</a:t>
            </a:r>
          </a:p>
          <a:p>
            <a:pPr>
              <a:defRPr sz="1200"/>
            </a:pPr>
            <a:r>
              <a:rPr lang="en-US" sz="1200" baseline="0"/>
              <a:t> (as of January 1)  and </a:t>
            </a:r>
          </a:p>
          <a:p>
            <a:pPr>
              <a:defRPr sz="1200"/>
            </a:pPr>
            <a:r>
              <a:rPr lang="en-US" sz="1200" baseline="0"/>
              <a:t>Release to the Community,  2008 - 2017 </a:t>
            </a:r>
            <a:endParaRPr lang="en-US" sz="1200"/>
          </a:p>
        </c:rich>
      </c:tx>
      <c:layout>
        <c:manualLayout>
          <c:xMode val="edge"/>
          <c:yMode val="edge"/>
          <c:x val="0.18390584427362064"/>
          <c:y val="2.1609832334680397E-2"/>
        </c:manualLayout>
      </c:layout>
      <c:overlay val="0"/>
    </c:title>
    <c:autoTitleDeleted val="0"/>
    <c:plotArea>
      <c:layout>
        <c:manualLayout>
          <c:layoutTarget val="inner"/>
          <c:xMode val="edge"/>
          <c:yMode val="edge"/>
          <c:x val="0.16180985789926139"/>
          <c:y val="0.29764992872040114"/>
          <c:w val="0.79323120884376863"/>
          <c:h val="0.45881131792187635"/>
        </c:manualLayout>
      </c:layout>
      <c:barChart>
        <c:barDir val="col"/>
        <c:grouping val="clustered"/>
        <c:varyColors val="0"/>
        <c:ser>
          <c:idx val="0"/>
          <c:order val="0"/>
          <c:tx>
            <c:strRef>
              <c:f>'Pop_Release to Street_2007_16'!$B$6</c:f>
              <c:strCache>
                <c:ptCount val="1"/>
                <c:pt idx="0">
                  <c:v>Inmate Population</c:v>
                </c:pt>
              </c:strCache>
            </c:strRef>
          </c:tx>
          <c:spPr>
            <a:gradFill flip="none" rotWithShape="1">
              <a:gsLst>
                <a:gs pos="0">
                  <a:schemeClr val="accent5">
                    <a:shade val="30000"/>
                    <a:satMod val="115000"/>
                  </a:schemeClr>
                </a:gs>
                <a:gs pos="50000">
                  <a:schemeClr val="accent5">
                    <a:shade val="67500"/>
                    <a:satMod val="115000"/>
                  </a:schemeClr>
                </a:gs>
                <a:gs pos="100000">
                  <a:schemeClr val="accent5">
                    <a:shade val="100000"/>
                    <a:satMod val="115000"/>
                  </a:schemeClr>
                </a:gs>
              </a:gsLst>
              <a:path path="circle">
                <a:fillToRect l="50000" t="50000" r="50000" b="50000"/>
              </a:path>
              <a:tileRect/>
            </a:gradFill>
          </c:spPr>
          <c:invertIfNegative val="0"/>
          <c:dLbls>
            <c:dLbl>
              <c:idx val="0"/>
              <c:layout>
                <c:manualLayout>
                  <c:x val="1.520912243962307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A37-4F9F-AF31-EC5AB56AD8F7}"/>
                </c:ext>
              </c:extLst>
            </c:dLbl>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'Pop_Release to Street_2007_16'!$D$5:$M$5</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'Pop_Release to Street_2007_16'!$D$6:$M$6</c:f>
              <c:numCache>
                <c:formatCode>#,##0</c:formatCode>
                <c:ptCount val="10"/>
                <c:pt idx="0">
                  <c:v>11364</c:v>
                </c:pt>
                <c:pt idx="1">
                  <c:v>11438</c:v>
                </c:pt>
                <c:pt idx="2">
                  <c:v>11361</c:v>
                </c:pt>
                <c:pt idx="3">
                  <c:v>11409</c:v>
                </c:pt>
                <c:pt idx="4">
                  <c:v>11723</c:v>
                </c:pt>
                <c:pt idx="5">
                  <c:v>11403</c:v>
                </c:pt>
                <c:pt idx="6">
                  <c:v>11034</c:v>
                </c:pt>
                <c:pt idx="7">
                  <c:v>10813</c:v>
                </c:pt>
                <c:pt idx="8">
                  <c:v>10014</c:v>
                </c:pt>
                <c:pt idx="9">
                  <c:v>9496</c:v>
                </c:pt>
              </c:numCache>
            </c:numRef>
          </c:val>
          <c:extLst>
            <c:ext xmlns:c16="http://schemas.microsoft.com/office/drawing/2014/chart" uri="{C3380CC4-5D6E-409C-BE32-E72D297353CC}">
              <c16:uniqueId val="{00000001-BA37-4F9F-AF31-EC5AB56AD8F7}"/>
            </c:ext>
          </c:extLst>
        </c:ser>
        <c:ser>
          <c:idx val="1"/>
          <c:order val="1"/>
          <c:tx>
            <c:strRef>
              <c:f>'Pop_Release to Street_2007_16'!$B$7</c:f>
              <c:strCache>
                <c:ptCount val="1"/>
                <c:pt idx="0">
                  <c:v>Release to Community</c:v>
                </c:pt>
              </c:strCache>
            </c:strRef>
          </c:tx>
          <c:spPr>
            <a:solidFill>
              <a:schemeClr val="accent5">
                <a:lumMod val="40000"/>
                <a:lumOff val="60000"/>
              </a:schemeClr>
            </a:solidFill>
          </c:spPr>
          <c:invertIfNegative val="0"/>
          <c:dLbls>
            <c:dLbl>
              <c:idx val="0"/>
              <c:layout>
                <c:manualLayout>
                  <c:x val="1.622718052738336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37-4F9F-AF31-EC5AB56AD8F7}"/>
                </c:ext>
              </c:extLst>
            </c:dLbl>
            <c:dLbl>
              <c:idx val="1"/>
              <c:layout>
                <c:manualLayout>
                  <c:x val="1.946574943615159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A37-4F9F-AF31-EC5AB56AD8F7}"/>
                </c:ext>
              </c:extLst>
            </c:dLbl>
            <c:dLbl>
              <c:idx val="2"/>
              <c:layout>
                <c:manualLayout>
                  <c:x val="1.946574943615159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A37-4F9F-AF31-EC5AB56AD8F7}"/>
                </c:ext>
              </c:extLst>
            </c:dLbl>
            <c:dLbl>
              <c:idx val="3"/>
              <c:layout>
                <c:manualLayout>
                  <c:x val="1.7028212285302401E-2"/>
                  <c:y val="-4.52744845838597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A37-4F9F-AF31-EC5AB56AD8F7}"/>
                </c:ext>
              </c:extLst>
            </c:dLbl>
            <c:dLbl>
              <c:idx val="4"/>
              <c:layout>
                <c:manualLayout>
                  <c:x val="1.893171061528059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A37-4F9F-AF31-EC5AB56AD8F7}"/>
                </c:ext>
              </c:extLst>
            </c:dLbl>
            <c:dLbl>
              <c:idx val="5"/>
              <c:layout>
                <c:manualLayout>
                  <c:x val="1.6761234791063721E-2"/>
                  <c:y val="-4.52744845838597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A37-4F9F-AF31-EC5AB56AD8F7}"/>
                </c:ext>
              </c:extLst>
            </c:dLbl>
            <c:dLbl>
              <c:idx val="6"/>
              <c:layout>
                <c:manualLayout>
                  <c:x val="1.622718052738346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A37-4F9F-AF31-EC5AB56AD8F7}"/>
                </c:ext>
              </c:extLst>
            </c:dLbl>
            <c:dLbl>
              <c:idx val="7"/>
              <c:layout>
                <c:manualLayout>
                  <c:x val="1.893171061528059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A37-4F9F-AF31-EC5AB56AD8F7}"/>
                </c:ext>
              </c:extLst>
            </c:dLbl>
            <c:dLbl>
              <c:idx val="8"/>
              <c:layout>
                <c:manualLayout>
                  <c:x val="1.793854604171796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A37-4F9F-AF31-EC5AB56AD8F7}"/>
                </c:ext>
              </c:extLst>
            </c:dLbl>
            <c:dLbl>
              <c:idx val="9"/>
              <c:layout>
                <c:manualLayout>
                  <c:x val="2.2813683659434616E-2"/>
                  <c:y val="-9.43952977762846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A37-4F9F-AF31-EC5AB56AD8F7}"/>
                </c:ext>
              </c:extLst>
            </c:dLbl>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'Pop_Release to Street_2007_16'!$D$5:$M$5</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'Pop_Release to Street_2007_16'!$D$7:$M$7</c:f>
              <c:numCache>
                <c:formatCode>#,##0</c:formatCode>
                <c:ptCount val="10"/>
                <c:pt idx="0">
                  <c:v>2785</c:v>
                </c:pt>
                <c:pt idx="1">
                  <c:v>2772</c:v>
                </c:pt>
                <c:pt idx="2">
                  <c:v>2738</c:v>
                </c:pt>
                <c:pt idx="3">
                  <c:v>2281</c:v>
                </c:pt>
                <c:pt idx="4">
                  <c:v>2708</c:v>
                </c:pt>
                <c:pt idx="5">
                  <c:v>2676</c:v>
                </c:pt>
                <c:pt idx="6">
                  <c:v>2537</c:v>
                </c:pt>
                <c:pt idx="7">
                  <c:v>2581</c:v>
                </c:pt>
                <c:pt idx="8">
                  <c:v>2328</c:v>
                </c:pt>
                <c:pt idx="9">
                  <c:v>2178</c:v>
                </c:pt>
              </c:numCache>
            </c:numRef>
          </c:val>
          <c:extLst>
            <c:ext xmlns:c16="http://schemas.microsoft.com/office/drawing/2014/chart" uri="{C3380CC4-5D6E-409C-BE32-E72D297353CC}">
              <c16:uniqueId val="{0000000C-BA37-4F9F-AF31-EC5AB56AD8F7}"/>
            </c:ext>
          </c:extLst>
        </c:ser>
        <c:dLbls>
          <c:showLegendKey val="0"/>
          <c:showVal val="0"/>
          <c:showCatName val="0"/>
          <c:showSerName val="0"/>
          <c:showPercent val="0"/>
          <c:showBubbleSize val="0"/>
        </c:dLbls>
        <c:gapWidth val="150"/>
        <c:axId val="113745920"/>
        <c:axId val="113747840"/>
      </c:barChart>
      <c:catAx>
        <c:axId val="113745920"/>
        <c:scaling>
          <c:orientation val="minMax"/>
        </c:scaling>
        <c:delete val="0"/>
        <c:axPos val="b"/>
        <c:title>
          <c:tx>
            <c:rich>
              <a:bodyPr/>
              <a:lstStyle/>
              <a:p>
                <a:pPr>
                  <a:defRPr/>
                </a:pPr>
                <a:r>
                  <a:rPr lang="en-US"/>
                  <a:t>Year</a:t>
                </a:r>
              </a:p>
            </c:rich>
          </c:tx>
          <c:overlay val="0"/>
        </c:title>
        <c:numFmt formatCode="General" sourceLinked="1"/>
        <c:majorTickMark val="none"/>
        <c:minorTickMark val="none"/>
        <c:tickLblPos val="nextTo"/>
        <c:crossAx val="113747840"/>
        <c:crosses val="autoZero"/>
        <c:auto val="1"/>
        <c:lblAlgn val="ctr"/>
        <c:lblOffset val="100"/>
        <c:noMultiLvlLbl val="0"/>
      </c:catAx>
      <c:valAx>
        <c:axId val="113747840"/>
        <c:scaling>
          <c:orientation val="minMax"/>
        </c:scaling>
        <c:delete val="0"/>
        <c:axPos val="l"/>
        <c:majorGridlines>
          <c:spPr>
            <a:ln>
              <a:noFill/>
            </a:ln>
          </c:spPr>
        </c:majorGridlines>
        <c:title>
          <c:tx>
            <c:rich>
              <a:bodyPr rot="-5400000" vert="horz"/>
              <a:lstStyle/>
              <a:p>
                <a:pPr>
                  <a:defRPr/>
                </a:pPr>
                <a:r>
                  <a:rPr lang="en-US"/>
                  <a:t>Population</a:t>
                </a:r>
              </a:p>
            </c:rich>
          </c:tx>
          <c:layout>
            <c:manualLayout>
              <c:xMode val="edge"/>
              <c:yMode val="edge"/>
              <c:x val="2.2852006755240753E-2"/>
              <c:y val="0.36252777072715819"/>
            </c:manualLayout>
          </c:layout>
          <c:overlay val="0"/>
        </c:title>
        <c:numFmt formatCode="#,##0" sourceLinked="1"/>
        <c:majorTickMark val="out"/>
        <c:minorTickMark val="none"/>
        <c:tickLblPos val="nextTo"/>
        <c:crossAx val="113745920"/>
        <c:crosses val="autoZero"/>
        <c:crossBetween val="between"/>
      </c:valAx>
    </c:plotArea>
    <c:legend>
      <c:legendPos val="b"/>
      <c:layout>
        <c:manualLayout>
          <c:xMode val="edge"/>
          <c:yMode val="edge"/>
          <c:x val="0.20939026412548103"/>
          <c:y val="0.91852080716983164"/>
          <c:w val="0.62719649901774444"/>
          <c:h val="7.3318792748106723E-2"/>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Victims of Intimate Partner and Family Violence</a:t>
            </a:r>
            <a:r>
              <a:rPr lang="en-US" sz="1200" b="1" baseline="0">
                <a:latin typeface="Times New Roman" panose="02020603050405020304" pitchFamily="18" charset="0"/>
                <a:cs typeface="Times New Roman" panose="02020603050405020304" pitchFamily="18" charset="0"/>
              </a:rPr>
              <a:t> in Massachusetts, 2008-2017</a:t>
            </a:r>
            <a:endParaRPr lang="en-US"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pattFill prst="pct80">
              <a:fgClr>
                <a:schemeClr val="accent5"/>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'Victims of Family Violence 2017'!$C$9:$L$10</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'Victims of Family Violence 2017'!$C$13:$L$13</c:f>
              <c:numCache>
                <c:formatCode>#,###</c:formatCode>
                <c:ptCount val="10"/>
                <c:pt idx="0">
                  <c:v>28310</c:v>
                </c:pt>
                <c:pt idx="1">
                  <c:v>28460</c:v>
                </c:pt>
                <c:pt idx="2">
                  <c:v>29129</c:v>
                </c:pt>
                <c:pt idx="3">
                  <c:v>28229</c:v>
                </c:pt>
                <c:pt idx="4">
                  <c:v>27328</c:v>
                </c:pt>
                <c:pt idx="5">
                  <c:v>26396</c:v>
                </c:pt>
                <c:pt idx="6">
                  <c:v>26049</c:v>
                </c:pt>
                <c:pt idx="7">
                  <c:v>25325</c:v>
                </c:pt>
                <c:pt idx="8">
                  <c:v>25077</c:v>
                </c:pt>
                <c:pt idx="9">
                  <c:v>24296</c:v>
                </c:pt>
              </c:numCache>
            </c:numRef>
          </c:val>
          <c:extLst>
            <c:ext xmlns:c16="http://schemas.microsoft.com/office/drawing/2014/chart" uri="{C3380CC4-5D6E-409C-BE32-E72D297353CC}">
              <c16:uniqueId val="{00000000-280D-45DC-B071-751EF17FEB20}"/>
            </c:ext>
          </c:extLst>
        </c:ser>
        <c:dLbls>
          <c:showLegendKey val="0"/>
          <c:showVal val="0"/>
          <c:showCatName val="0"/>
          <c:showSerName val="0"/>
          <c:showPercent val="0"/>
          <c:showBubbleSize val="0"/>
        </c:dLbls>
        <c:gapWidth val="219"/>
        <c:overlap val="-27"/>
        <c:axId val="485541656"/>
        <c:axId val="485541984"/>
      </c:barChart>
      <c:catAx>
        <c:axId val="485541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85541984"/>
        <c:crosses val="autoZero"/>
        <c:auto val="1"/>
        <c:lblAlgn val="ctr"/>
        <c:lblOffset val="100"/>
        <c:noMultiLvlLbl val="0"/>
      </c:catAx>
      <c:valAx>
        <c:axId val="485541984"/>
        <c:scaling>
          <c:orientation val="minMax"/>
        </c:scaling>
        <c:delete val="0"/>
        <c:axPos val="l"/>
        <c:majorGridlines>
          <c:spPr>
            <a:ln w="9525" cap="flat" cmpd="sng" algn="ctr">
              <a:noFill/>
              <a:round/>
            </a:ln>
            <a:effectLst/>
          </c:spPr>
        </c:majorGridlines>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8554165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4879D1-3354-3B45-8F1F-14066B845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14717</Words>
  <Characters>85363</Characters>
  <Application>Microsoft Office Word</Application>
  <DocSecurity>0</DocSecurity>
  <Lines>3711</Lines>
  <Paragraphs>2501</Paragraphs>
  <ScaleCrop>false</ScaleCrop>
  <HeadingPairs>
    <vt:vector size="2" baseType="variant">
      <vt:variant>
        <vt:lpstr>Title</vt:lpstr>
      </vt:variant>
      <vt:variant>
        <vt:i4>1</vt:i4>
      </vt:variant>
    </vt:vector>
  </HeadingPairs>
  <TitlesOfParts>
    <vt:vector size="1" baseType="lpstr">
      <vt:lpstr/>
    </vt:vector>
  </TitlesOfParts>
  <Company>EOPSS</Company>
  <LinksUpToDate>false</LinksUpToDate>
  <CharactersWithSpaces>97579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Bergin, Patricia (OGR)</dc:creator>
  <cp:lastModifiedBy>Bob Kearney</cp:lastModifiedBy>
  <cp:revision>2</cp:revision>
  <cp:lastPrinted>2018-08-15T16:10:00Z</cp:lastPrinted>
  <dcterms:created xsi:type="dcterms:W3CDTF">2021-04-29T18:49:00Z</dcterms:created>
  <dcterms:modified xsi:type="dcterms:W3CDTF">2021-04-29T18:49:00Z</dcterms:modified>
</cp:coreProperties>
</file>