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51"/>
        <w:rPr>
          <w:rFonts w:ascii="Times New Roman"/>
        </w:rPr>
      </w:pPr>
      <w:r>
        <w:rPr>
          <w:rFonts w:ascii="Times New Roman"/>
        </w:rPr>
        <w:drawing>
          <wp:inline distT="0" distB="0" distL="0" distR="0">
            <wp:extent cx="897943" cy="106441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97943" cy="1064418"/>
                    </a:xfrm>
                    <a:prstGeom prst="rect">
                      <a:avLst/>
                    </a:prstGeom>
                  </pic:spPr>
                </pic:pic>
              </a:graphicData>
            </a:graphic>
          </wp:inline>
        </w:drawing>
      </w:r>
      <w:r>
        <w:rPr>
          <w:rFonts w:ascii="Times New Roman"/>
        </w:rPr>
      </w:r>
    </w:p>
    <w:p>
      <w:pPr>
        <w:pStyle w:val="BodyText"/>
        <w:spacing w:before="130"/>
        <w:rPr>
          <w:rFonts w:ascii="Times New Roman"/>
          <w:sz w:val="16"/>
        </w:rPr>
      </w:pPr>
    </w:p>
    <w:p>
      <w:pPr>
        <w:spacing w:before="0"/>
        <w:ind w:left="41" w:right="1" w:firstLine="0"/>
        <w:jc w:val="center"/>
        <w:rPr>
          <w:rFonts w:ascii="Arial Rounded MT Bold"/>
          <w:sz w:val="16"/>
        </w:rPr>
      </w:pPr>
      <w:bookmarkStart w:name="220512 MA-C Indirect Intent" w:id="1"/>
      <w:bookmarkEnd w:id="1"/>
      <w:r>
        <w:rPr/>
      </w:r>
      <w:r>
        <w:rPr>
          <w:rFonts w:ascii="Arial Rounded MT Bold"/>
          <w:sz w:val="16"/>
        </w:rPr>
        <w:t>CHARLES</w:t>
      </w:r>
      <w:r>
        <w:rPr>
          <w:rFonts w:ascii="Arial Rounded MT Bold"/>
          <w:spacing w:val="-1"/>
          <w:sz w:val="16"/>
        </w:rPr>
        <w:t> </w:t>
      </w:r>
      <w:r>
        <w:rPr>
          <w:rFonts w:ascii="Arial Rounded MT Bold"/>
          <w:sz w:val="16"/>
        </w:rPr>
        <w:t>D.</w:t>
      </w:r>
      <w:r>
        <w:rPr>
          <w:rFonts w:ascii="Arial Rounded MT Bold"/>
          <w:spacing w:val="-2"/>
          <w:sz w:val="16"/>
        </w:rPr>
        <w:t> BAKER</w:t>
      </w:r>
    </w:p>
    <w:p>
      <w:pPr>
        <w:spacing w:before="2"/>
        <w:ind w:left="41" w:right="1" w:firstLine="0"/>
        <w:jc w:val="center"/>
        <w:rPr>
          <w:rFonts w:ascii="Arial Rounded MT Bold"/>
          <w:sz w:val="14"/>
        </w:rPr>
      </w:pPr>
      <w:r>
        <w:rPr>
          <w:rFonts w:ascii="Arial Rounded MT Bold"/>
          <w:spacing w:val="-2"/>
          <w:sz w:val="14"/>
        </w:rPr>
        <w:t>Governor</w:t>
      </w:r>
    </w:p>
    <w:p>
      <w:pPr>
        <w:spacing w:before="121"/>
        <w:ind w:left="41" w:right="1" w:firstLine="0"/>
        <w:jc w:val="center"/>
        <w:rPr>
          <w:rFonts w:ascii="Arial Rounded MT Bold"/>
          <w:sz w:val="16"/>
        </w:rPr>
      </w:pPr>
      <w:r>
        <w:rPr>
          <w:rFonts w:ascii="Arial Rounded MT Bold"/>
          <w:sz w:val="16"/>
        </w:rPr>
        <w:t>KARYN</w:t>
      </w:r>
      <w:r>
        <w:rPr>
          <w:rFonts w:ascii="Arial Rounded MT Bold"/>
          <w:spacing w:val="-1"/>
          <w:sz w:val="16"/>
        </w:rPr>
        <w:t> </w:t>
      </w:r>
      <w:r>
        <w:rPr>
          <w:rFonts w:ascii="Arial Rounded MT Bold"/>
          <w:sz w:val="16"/>
        </w:rPr>
        <w:t>E.</w:t>
      </w:r>
      <w:r>
        <w:rPr>
          <w:rFonts w:ascii="Arial Rounded MT Bold"/>
          <w:spacing w:val="-1"/>
          <w:sz w:val="16"/>
        </w:rPr>
        <w:t> </w:t>
      </w:r>
      <w:r>
        <w:rPr>
          <w:rFonts w:ascii="Arial Rounded MT Bold"/>
          <w:spacing w:val="-2"/>
          <w:sz w:val="16"/>
        </w:rPr>
        <w:t>POLITO</w:t>
      </w:r>
    </w:p>
    <w:p>
      <w:pPr>
        <w:spacing w:before="2"/>
        <w:ind w:left="41" w:right="0" w:firstLine="0"/>
        <w:jc w:val="center"/>
        <w:rPr>
          <w:rFonts w:ascii="Arial Rounded MT Bold"/>
          <w:sz w:val="14"/>
        </w:rPr>
      </w:pPr>
      <w:r>
        <w:rPr>
          <w:rFonts w:ascii="Arial Rounded MT Bold"/>
          <w:sz w:val="14"/>
        </w:rPr>
        <w:t>Lieutenant</w:t>
      </w:r>
      <w:r>
        <w:rPr>
          <w:rFonts w:ascii="Arial Rounded MT Bold"/>
          <w:spacing w:val="-8"/>
          <w:sz w:val="14"/>
        </w:rPr>
        <w:t> </w:t>
      </w:r>
      <w:r>
        <w:rPr>
          <w:rFonts w:ascii="Arial Rounded MT Bold"/>
          <w:spacing w:val="-2"/>
          <w:sz w:val="14"/>
        </w:rPr>
        <w:t>Governor</w:t>
      </w:r>
    </w:p>
    <w:p>
      <w:pPr>
        <w:pStyle w:val="BodyText"/>
        <w:rPr>
          <w:rFonts w:ascii="Arial Rounded MT Bold"/>
          <w:sz w:val="14"/>
        </w:rPr>
      </w:pPr>
    </w:p>
    <w:p>
      <w:pPr>
        <w:pStyle w:val="BodyText"/>
        <w:spacing w:before="51"/>
        <w:rPr>
          <w:rFonts w:ascii="Arial Rounded MT Bold"/>
          <w:sz w:val="14"/>
        </w:rPr>
      </w:pPr>
    </w:p>
    <w:p>
      <w:pPr>
        <w:spacing w:before="0"/>
        <w:ind w:left="364" w:right="0" w:firstLine="0"/>
        <w:jc w:val="left"/>
        <w:rPr>
          <w:rFonts w:ascii="Times New Roman"/>
          <w:sz w:val="24"/>
        </w:rPr>
      </w:pPr>
      <w:r>
        <w:rPr>
          <w:rFonts w:ascii="Times New Roman"/>
          <w:sz w:val="24"/>
        </w:rPr>
        <w:t>May</w:t>
      </w:r>
      <w:r>
        <w:rPr>
          <w:rFonts w:ascii="Times New Roman"/>
          <w:spacing w:val="-1"/>
          <w:sz w:val="24"/>
        </w:rPr>
        <w:t> </w:t>
      </w:r>
      <w:r>
        <w:rPr>
          <w:rFonts w:ascii="Times New Roman"/>
          <w:sz w:val="24"/>
        </w:rPr>
        <w:t>12, </w:t>
      </w:r>
      <w:r>
        <w:rPr>
          <w:rFonts w:ascii="Times New Roman"/>
          <w:spacing w:val="-4"/>
          <w:sz w:val="24"/>
        </w:rPr>
        <w:t>2022</w:t>
      </w:r>
    </w:p>
    <w:p>
      <w:pPr>
        <w:pStyle w:val="Title"/>
      </w:pPr>
      <w:r>
        <w:rPr/>
        <w:br w:type="column"/>
      </w:r>
      <w:r>
        <w:rPr/>
        <w:t>The</w:t>
      </w:r>
      <w:r>
        <w:rPr>
          <w:spacing w:val="-4"/>
        </w:rPr>
        <w:t> </w:t>
      </w:r>
      <w:r>
        <w:rPr/>
        <w:t>Commonwealth</w:t>
      </w:r>
      <w:r>
        <w:rPr>
          <w:spacing w:val="-1"/>
        </w:rPr>
        <w:t> </w:t>
      </w:r>
      <w:r>
        <w:rPr/>
        <w:t>of</w:t>
      </w:r>
      <w:r>
        <w:rPr>
          <w:spacing w:val="-2"/>
        </w:rPr>
        <w:t> Massachusetts</w:t>
      </w:r>
    </w:p>
    <w:p>
      <w:pPr>
        <w:spacing w:before="2"/>
        <w:ind w:left="54" w:right="0" w:firstLine="0"/>
        <w:jc w:val="center"/>
        <w:rPr>
          <w:sz w:val="28"/>
        </w:rPr>
      </w:pPr>
      <w:r>
        <w:rPr>
          <w:sz w:val="28"/>
        </w:rPr>
        <w:t>Executive</w:t>
      </w:r>
      <w:r>
        <w:rPr>
          <w:spacing w:val="-7"/>
          <w:sz w:val="28"/>
        </w:rPr>
        <w:t> </w:t>
      </w:r>
      <w:r>
        <w:rPr>
          <w:sz w:val="28"/>
        </w:rPr>
        <w:t>Office</w:t>
      </w:r>
      <w:r>
        <w:rPr>
          <w:spacing w:val="-7"/>
          <w:sz w:val="28"/>
        </w:rPr>
        <w:t> </w:t>
      </w:r>
      <w:r>
        <w:rPr>
          <w:sz w:val="28"/>
        </w:rPr>
        <w:t>of</w:t>
      </w:r>
      <w:r>
        <w:rPr>
          <w:spacing w:val="-7"/>
          <w:sz w:val="28"/>
        </w:rPr>
        <w:t> </w:t>
      </w:r>
      <w:r>
        <w:rPr>
          <w:sz w:val="28"/>
        </w:rPr>
        <w:t>Health</w:t>
      </w:r>
      <w:r>
        <w:rPr>
          <w:spacing w:val="-7"/>
          <w:sz w:val="28"/>
        </w:rPr>
        <w:t> </w:t>
      </w:r>
      <w:r>
        <w:rPr>
          <w:sz w:val="28"/>
        </w:rPr>
        <w:t>and</w:t>
      </w:r>
      <w:r>
        <w:rPr>
          <w:spacing w:val="-7"/>
          <w:sz w:val="28"/>
        </w:rPr>
        <w:t> </w:t>
      </w:r>
      <w:r>
        <w:rPr>
          <w:sz w:val="28"/>
        </w:rPr>
        <w:t>Human</w:t>
      </w:r>
      <w:r>
        <w:rPr>
          <w:spacing w:val="-7"/>
          <w:sz w:val="28"/>
        </w:rPr>
        <w:t> </w:t>
      </w:r>
      <w:r>
        <w:rPr>
          <w:sz w:val="28"/>
        </w:rPr>
        <w:t>Services Department of Public Health</w:t>
      </w:r>
    </w:p>
    <w:p>
      <w:pPr>
        <w:spacing w:line="321" w:lineRule="exact" w:before="0"/>
        <w:ind w:left="54" w:right="1" w:firstLine="0"/>
        <w:jc w:val="center"/>
        <w:rPr>
          <w:sz w:val="28"/>
        </w:rPr>
      </w:pPr>
      <w:r>
        <w:rPr>
          <w:sz w:val="28"/>
        </w:rPr>
        <w:t>250</w:t>
      </w:r>
      <w:r>
        <w:rPr>
          <w:spacing w:val="-10"/>
          <w:sz w:val="28"/>
        </w:rPr>
        <w:t> </w:t>
      </w:r>
      <w:r>
        <w:rPr>
          <w:sz w:val="28"/>
        </w:rPr>
        <w:t>Washington</w:t>
      </w:r>
      <w:r>
        <w:rPr>
          <w:spacing w:val="-9"/>
          <w:sz w:val="28"/>
        </w:rPr>
        <w:t> </w:t>
      </w:r>
      <w:r>
        <w:rPr>
          <w:sz w:val="28"/>
        </w:rPr>
        <w:t>Street,</w:t>
      </w:r>
      <w:r>
        <w:rPr>
          <w:spacing w:val="-9"/>
          <w:sz w:val="28"/>
        </w:rPr>
        <w:t> </w:t>
      </w:r>
      <w:r>
        <w:rPr>
          <w:sz w:val="28"/>
        </w:rPr>
        <w:t>Boston,</w:t>
      </w:r>
      <w:r>
        <w:rPr>
          <w:spacing w:val="-9"/>
          <w:sz w:val="28"/>
        </w:rPr>
        <w:t> </w:t>
      </w:r>
      <w:r>
        <w:rPr>
          <w:sz w:val="28"/>
        </w:rPr>
        <w:t>MA</w:t>
      </w:r>
      <w:r>
        <w:rPr>
          <w:spacing w:val="-9"/>
          <w:sz w:val="28"/>
        </w:rPr>
        <w:t> </w:t>
      </w:r>
      <w:r>
        <w:rPr>
          <w:sz w:val="28"/>
        </w:rPr>
        <w:t>02108-</w:t>
      </w:r>
      <w:r>
        <w:rPr>
          <w:spacing w:val="-4"/>
          <w:sz w:val="28"/>
        </w:rPr>
        <w:t>4619</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51"/>
        <w:rPr>
          <w:sz w:val="16"/>
        </w:rPr>
      </w:pPr>
    </w:p>
    <w:p>
      <w:pPr>
        <w:spacing w:before="0"/>
        <w:ind w:left="20" w:right="0" w:firstLine="0"/>
        <w:jc w:val="center"/>
        <w:rPr>
          <w:rFonts w:ascii="Arial Rounded MT Bold"/>
          <w:sz w:val="16"/>
        </w:rPr>
      </w:pPr>
      <w:r>
        <w:rPr>
          <w:rFonts w:ascii="Arial Rounded MT Bold"/>
          <w:sz w:val="16"/>
        </w:rPr>
        <w:t>MARYLOU</w:t>
      </w:r>
      <w:r>
        <w:rPr>
          <w:rFonts w:ascii="Arial Rounded MT Bold"/>
          <w:spacing w:val="-2"/>
          <w:sz w:val="16"/>
        </w:rPr>
        <w:t> SUDDERS</w:t>
      </w:r>
    </w:p>
    <w:p>
      <w:pPr>
        <w:spacing w:before="2"/>
        <w:ind w:left="20" w:right="0" w:firstLine="0"/>
        <w:jc w:val="center"/>
        <w:rPr>
          <w:rFonts w:ascii="Arial Rounded MT Bold"/>
          <w:sz w:val="14"/>
        </w:rPr>
      </w:pPr>
      <w:r>
        <w:rPr>
          <w:rFonts w:ascii="Arial Rounded MT Bold"/>
          <w:spacing w:val="-2"/>
          <w:sz w:val="14"/>
        </w:rPr>
        <w:t>Secretary</w:t>
      </w:r>
    </w:p>
    <w:p>
      <w:pPr>
        <w:spacing w:line="184" w:lineRule="exact" w:before="121"/>
        <w:ind w:left="20" w:right="1" w:firstLine="0"/>
        <w:jc w:val="center"/>
        <w:rPr>
          <w:rFonts w:ascii="Arial Rounded MT Bold"/>
          <w:sz w:val="16"/>
        </w:rPr>
      </w:pPr>
      <w:r>
        <w:rPr>
          <w:rFonts w:ascii="Arial Rounded MT Bold"/>
          <w:sz w:val="16"/>
        </w:rPr>
        <w:t>MARGRET</w:t>
      </w:r>
      <w:r>
        <w:rPr>
          <w:rFonts w:ascii="Arial Rounded MT Bold"/>
          <w:spacing w:val="-1"/>
          <w:sz w:val="16"/>
        </w:rPr>
        <w:t> </w:t>
      </w:r>
      <w:r>
        <w:rPr>
          <w:rFonts w:ascii="Arial Rounded MT Bold"/>
          <w:sz w:val="16"/>
        </w:rPr>
        <w:t>R.</w:t>
      </w:r>
      <w:r>
        <w:rPr>
          <w:rFonts w:ascii="Arial Rounded MT Bold"/>
          <w:spacing w:val="-1"/>
          <w:sz w:val="16"/>
        </w:rPr>
        <w:t> </w:t>
      </w:r>
      <w:r>
        <w:rPr>
          <w:rFonts w:ascii="Arial Rounded MT Bold"/>
          <w:spacing w:val="-4"/>
          <w:sz w:val="16"/>
        </w:rPr>
        <w:t>COOKE</w:t>
      </w:r>
    </w:p>
    <w:p>
      <w:pPr>
        <w:spacing w:line="160" w:lineRule="exact" w:before="0"/>
        <w:ind w:left="21" w:right="0" w:firstLine="0"/>
        <w:jc w:val="center"/>
        <w:rPr>
          <w:rFonts w:ascii="Arial Rounded MT Bold"/>
          <w:sz w:val="14"/>
        </w:rPr>
      </w:pPr>
      <w:r>
        <w:rPr>
          <w:rFonts w:ascii="Arial Rounded MT Bold"/>
          <w:spacing w:val="-2"/>
          <w:sz w:val="14"/>
        </w:rPr>
        <w:t>Commissioner</w:t>
      </w:r>
    </w:p>
    <w:p>
      <w:pPr>
        <w:pStyle w:val="BodyText"/>
        <w:spacing w:before="4"/>
        <w:rPr>
          <w:rFonts w:ascii="Arial Rounded MT Bold"/>
          <w:sz w:val="14"/>
        </w:rPr>
      </w:pPr>
    </w:p>
    <w:p>
      <w:pPr>
        <w:spacing w:line="160" w:lineRule="exact" w:before="0"/>
        <w:ind w:left="21" w:right="0" w:firstLine="0"/>
        <w:jc w:val="center"/>
        <w:rPr>
          <w:b/>
          <w:sz w:val="14"/>
        </w:rPr>
      </w:pPr>
      <w:r>
        <w:rPr>
          <w:b/>
          <w:sz w:val="14"/>
        </w:rPr>
        <w:t>Tel:</w:t>
      </w:r>
      <w:r>
        <w:rPr>
          <w:b/>
          <w:spacing w:val="-9"/>
          <w:sz w:val="14"/>
        </w:rPr>
        <w:t> </w:t>
      </w:r>
      <w:r>
        <w:rPr>
          <w:b/>
          <w:sz w:val="14"/>
        </w:rPr>
        <w:t>617-624-</w:t>
      </w:r>
      <w:r>
        <w:rPr>
          <w:b/>
          <w:spacing w:val="-4"/>
          <w:sz w:val="14"/>
        </w:rPr>
        <w:t>6000</w:t>
      </w:r>
    </w:p>
    <w:p>
      <w:pPr>
        <w:spacing w:line="160" w:lineRule="exact" w:before="0"/>
        <w:ind w:left="20" w:right="0" w:firstLine="0"/>
        <w:jc w:val="center"/>
        <w:rPr>
          <w:b/>
          <w:sz w:val="14"/>
        </w:rPr>
      </w:pPr>
      <w:hyperlink r:id="rId6">
        <w:r>
          <w:rPr>
            <w:b/>
            <w:spacing w:val="-2"/>
            <w:sz w:val="14"/>
          </w:rPr>
          <w:t>www.mass.gov/dph</w:t>
        </w:r>
      </w:hyperlink>
    </w:p>
    <w:p>
      <w:pPr>
        <w:spacing w:after="0" w:line="160" w:lineRule="exact"/>
        <w:jc w:val="center"/>
        <w:rPr>
          <w:b/>
          <w:sz w:val="14"/>
        </w:rPr>
        <w:sectPr>
          <w:type w:val="continuous"/>
          <w:pgSz w:w="12240" w:h="15840"/>
          <w:pgMar w:top="560" w:bottom="280" w:left="720" w:right="720"/>
          <w:cols w:num="3" w:equalWidth="0">
            <w:col w:w="1745" w:space="733"/>
            <w:col w:w="6256" w:space="246"/>
            <w:col w:w="1820"/>
          </w:cols>
        </w:sectPr>
      </w:pPr>
    </w:p>
    <w:p>
      <w:pPr>
        <w:spacing w:before="270"/>
        <w:ind w:left="364" w:right="0" w:firstLine="0"/>
        <w:jc w:val="left"/>
        <w:rPr>
          <w:sz w:val="24"/>
        </w:rPr>
      </w:pPr>
      <w:r>
        <w:rPr>
          <w:sz w:val="24"/>
        </w:rPr>
        <w:t>Dwight</w:t>
      </w:r>
      <w:r>
        <w:rPr>
          <w:spacing w:val="-1"/>
          <w:sz w:val="24"/>
        </w:rPr>
        <w:t> </w:t>
      </w:r>
      <w:r>
        <w:rPr>
          <w:spacing w:val="-2"/>
          <w:sz w:val="24"/>
        </w:rPr>
        <w:t>Thomas</w:t>
      </w:r>
    </w:p>
    <w:p>
      <w:pPr>
        <w:spacing w:line="249" w:lineRule="auto" w:before="12"/>
        <w:ind w:left="364" w:right="5184" w:firstLine="0"/>
        <w:jc w:val="left"/>
        <w:rPr>
          <w:sz w:val="24"/>
        </w:rPr>
      </w:pPr>
      <w:r>
        <w:rPr>
          <w:sz w:val="24"/>
        </w:rPr>
        <w:t>Monitoring</w:t>
      </w:r>
      <w:r>
        <w:rPr>
          <w:spacing w:val="-9"/>
          <w:sz w:val="24"/>
        </w:rPr>
        <w:t> </w:t>
      </w:r>
      <w:r>
        <w:rPr>
          <w:sz w:val="24"/>
        </w:rPr>
        <w:t>and</w:t>
      </w:r>
      <w:r>
        <w:rPr>
          <w:spacing w:val="-10"/>
          <w:sz w:val="24"/>
        </w:rPr>
        <w:t> </w:t>
      </w:r>
      <w:r>
        <w:rPr>
          <w:sz w:val="24"/>
        </w:rPr>
        <w:t>State</w:t>
      </w:r>
      <w:r>
        <w:rPr>
          <w:spacing w:val="-9"/>
          <w:sz w:val="24"/>
        </w:rPr>
        <w:t> </w:t>
      </w:r>
      <w:r>
        <w:rPr>
          <w:sz w:val="24"/>
        </w:rPr>
        <w:t>Improvement</w:t>
      </w:r>
      <w:r>
        <w:rPr>
          <w:spacing w:val="-10"/>
          <w:sz w:val="24"/>
        </w:rPr>
        <w:t> </w:t>
      </w:r>
      <w:r>
        <w:rPr>
          <w:sz w:val="24"/>
        </w:rPr>
        <w:t>Planning Office of Special Education Programs</w:t>
      </w:r>
    </w:p>
    <w:p>
      <w:pPr>
        <w:spacing w:line="249" w:lineRule="auto" w:before="2"/>
        <w:ind w:left="364" w:right="7094" w:firstLine="0"/>
        <w:jc w:val="left"/>
        <w:rPr>
          <w:sz w:val="24"/>
        </w:rPr>
      </w:pPr>
      <w:r>
        <w:rPr>
          <w:sz w:val="24"/>
        </w:rPr>
        <w:t>U.S.</w:t>
      </w:r>
      <w:r>
        <w:rPr>
          <w:spacing w:val="-13"/>
          <w:sz w:val="24"/>
        </w:rPr>
        <w:t> </w:t>
      </w:r>
      <w:r>
        <w:rPr>
          <w:sz w:val="24"/>
        </w:rPr>
        <w:t>Department</w:t>
      </w:r>
      <w:r>
        <w:rPr>
          <w:spacing w:val="-13"/>
          <w:sz w:val="24"/>
        </w:rPr>
        <w:t> </w:t>
      </w:r>
      <w:r>
        <w:rPr>
          <w:sz w:val="24"/>
        </w:rPr>
        <w:t>of</w:t>
      </w:r>
      <w:r>
        <w:rPr>
          <w:spacing w:val="-13"/>
          <w:sz w:val="24"/>
        </w:rPr>
        <w:t> </w:t>
      </w:r>
      <w:r>
        <w:rPr>
          <w:sz w:val="24"/>
        </w:rPr>
        <w:t>Education 550 12</w:t>
      </w:r>
      <w:r>
        <w:rPr>
          <w:sz w:val="24"/>
          <w:vertAlign w:val="superscript"/>
        </w:rPr>
        <w:t>th</w:t>
      </w:r>
      <w:r>
        <w:rPr>
          <w:sz w:val="24"/>
          <w:vertAlign w:val="baseline"/>
        </w:rPr>
        <w:t> Street SW Washington, DC 20202-2600</w:t>
      </w:r>
    </w:p>
    <w:p>
      <w:pPr>
        <w:pStyle w:val="BodyText"/>
        <w:spacing w:before="15"/>
        <w:rPr>
          <w:sz w:val="24"/>
        </w:rPr>
      </w:pPr>
    </w:p>
    <w:p>
      <w:pPr>
        <w:spacing w:line="501" w:lineRule="auto" w:before="0"/>
        <w:ind w:left="364" w:right="6226" w:firstLine="0"/>
        <w:jc w:val="left"/>
        <w:rPr>
          <w:sz w:val="24"/>
        </w:rPr>
      </w:pPr>
      <w:r>
        <w:rPr>
          <w:sz w:val="24"/>
        </w:rPr>
        <w:t>Re:</w:t>
      </w:r>
      <w:r>
        <w:rPr>
          <w:spacing w:val="40"/>
          <w:sz w:val="24"/>
        </w:rPr>
        <w:t> </w:t>
      </w:r>
      <w:r>
        <w:rPr>
          <w:sz w:val="24"/>
        </w:rPr>
        <w:t>Intent</w:t>
      </w:r>
      <w:r>
        <w:rPr>
          <w:spacing w:val="-7"/>
          <w:sz w:val="24"/>
        </w:rPr>
        <w:t> </w:t>
      </w:r>
      <w:r>
        <w:rPr>
          <w:sz w:val="24"/>
        </w:rPr>
        <w:t>to</w:t>
      </w:r>
      <w:r>
        <w:rPr>
          <w:spacing w:val="-6"/>
          <w:sz w:val="24"/>
        </w:rPr>
        <w:t> </w:t>
      </w:r>
      <w:r>
        <w:rPr>
          <w:sz w:val="24"/>
        </w:rPr>
        <w:t>Charge</w:t>
      </w:r>
      <w:r>
        <w:rPr>
          <w:spacing w:val="-6"/>
          <w:sz w:val="24"/>
        </w:rPr>
        <w:t> </w:t>
      </w:r>
      <w:r>
        <w:rPr>
          <w:sz w:val="24"/>
        </w:rPr>
        <w:t>Indirect</w:t>
      </w:r>
      <w:r>
        <w:rPr>
          <w:spacing w:val="-7"/>
          <w:sz w:val="24"/>
        </w:rPr>
        <w:t> </w:t>
      </w:r>
      <w:r>
        <w:rPr>
          <w:sz w:val="24"/>
        </w:rPr>
        <w:t>Costs Dear Mr. Thomas:</w:t>
      </w:r>
    </w:p>
    <w:p>
      <w:pPr>
        <w:spacing w:line="249" w:lineRule="auto" w:before="0"/>
        <w:ind w:left="364" w:right="344" w:firstLine="0"/>
        <w:jc w:val="left"/>
        <w:rPr>
          <w:sz w:val="24"/>
        </w:rPr>
      </w:pPr>
      <w:r>
        <w:rPr>
          <w:sz w:val="24"/>
        </w:rPr>
        <w:t>The Department of Public Health (MDPH), as the Lead Agency for IDEA Part C services in Massachusetts,</w:t>
      </w:r>
      <w:r>
        <w:rPr>
          <w:spacing w:val="-3"/>
          <w:sz w:val="24"/>
        </w:rPr>
        <w:t> </w:t>
      </w:r>
      <w:r>
        <w:rPr>
          <w:sz w:val="24"/>
        </w:rPr>
        <w:t>intends</w:t>
      </w:r>
      <w:r>
        <w:rPr>
          <w:spacing w:val="-3"/>
          <w:sz w:val="24"/>
        </w:rPr>
        <w:t> </w:t>
      </w:r>
      <w:r>
        <w:rPr>
          <w:sz w:val="24"/>
        </w:rPr>
        <w:t>to</w:t>
      </w:r>
      <w:r>
        <w:rPr>
          <w:spacing w:val="-3"/>
          <w:sz w:val="24"/>
        </w:rPr>
        <w:t> </w:t>
      </w:r>
      <w:r>
        <w:rPr>
          <w:sz w:val="24"/>
        </w:rPr>
        <w:t>establish</w:t>
      </w:r>
      <w:r>
        <w:rPr>
          <w:spacing w:val="-3"/>
          <w:sz w:val="24"/>
        </w:rPr>
        <w:t> </w:t>
      </w:r>
      <w:r>
        <w:rPr>
          <w:sz w:val="24"/>
        </w:rPr>
        <w:t>a</w:t>
      </w:r>
      <w:r>
        <w:rPr>
          <w:spacing w:val="-3"/>
          <w:sz w:val="24"/>
        </w:rPr>
        <w:t> </w:t>
      </w:r>
      <w:r>
        <w:rPr>
          <w:sz w:val="24"/>
        </w:rPr>
        <w:t>restricted</w:t>
      </w:r>
      <w:r>
        <w:rPr>
          <w:spacing w:val="-4"/>
          <w:sz w:val="24"/>
        </w:rPr>
        <w:t> </w:t>
      </w:r>
      <w:r>
        <w:rPr>
          <w:sz w:val="24"/>
        </w:rPr>
        <w:t>indirect</w:t>
      </w:r>
      <w:r>
        <w:rPr>
          <w:spacing w:val="-4"/>
          <w:sz w:val="24"/>
        </w:rPr>
        <w:t> </w:t>
      </w:r>
      <w:r>
        <w:rPr>
          <w:sz w:val="24"/>
        </w:rPr>
        <w:t>rate</w:t>
      </w:r>
      <w:r>
        <w:rPr>
          <w:spacing w:val="-3"/>
          <w:sz w:val="24"/>
        </w:rPr>
        <w:t> </w:t>
      </w:r>
      <w:r>
        <w:rPr>
          <w:sz w:val="24"/>
        </w:rPr>
        <w:t>and</w:t>
      </w:r>
      <w:r>
        <w:rPr>
          <w:spacing w:val="-3"/>
          <w:sz w:val="24"/>
        </w:rPr>
        <w:t> </w:t>
      </w:r>
      <w:r>
        <w:rPr>
          <w:sz w:val="24"/>
        </w:rPr>
        <w:t>expects</w:t>
      </w:r>
      <w:r>
        <w:rPr>
          <w:spacing w:val="-3"/>
          <w:sz w:val="24"/>
        </w:rPr>
        <w:t> </w:t>
      </w:r>
      <w:r>
        <w:rPr>
          <w:sz w:val="24"/>
        </w:rPr>
        <w:t>to</w:t>
      </w:r>
      <w:r>
        <w:rPr>
          <w:spacing w:val="-3"/>
          <w:sz w:val="24"/>
        </w:rPr>
        <w:t> </w:t>
      </w:r>
      <w:r>
        <w:rPr>
          <w:sz w:val="24"/>
        </w:rPr>
        <w:t>revise</w:t>
      </w:r>
      <w:r>
        <w:rPr>
          <w:spacing w:val="-3"/>
          <w:sz w:val="24"/>
        </w:rPr>
        <w:t> </w:t>
      </w:r>
      <w:r>
        <w:rPr>
          <w:sz w:val="24"/>
        </w:rPr>
        <w:t>Sections</w:t>
      </w:r>
      <w:r>
        <w:rPr>
          <w:spacing w:val="-3"/>
          <w:sz w:val="24"/>
        </w:rPr>
        <w:t> </w:t>
      </w:r>
      <w:r>
        <w:rPr>
          <w:sz w:val="24"/>
        </w:rPr>
        <w:t>3 and 4.b of our FFY22 application upon approval to charge indirect costs to the Part C grant.</w:t>
      </w:r>
    </w:p>
    <w:p>
      <w:pPr>
        <w:pStyle w:val="BodyText"/>
        <w:spacing w:before="13"/>
        <w:rPr>
          <w:sz w:val="24"/>
        </w:rPr>
      </w:pPr>
    </w:p>
    <w:p>
      <w:pPr>
        <w:spacing w:line="249" w:lineRule="auto" w:before="1"/>
        <w:ind w:left="364" w:right="344" w:firstLine="0"/>
        <w:jc w:val="left"/>
        <w:rPr>
          <w:sz w:val="24"/>
        </w:rPr>
      </w:pPr>
      <w:r>
        <w:rPr>
          <w:sz w:val="24"/>
        </w:rPr>
        <w:t>As you know, we have sought technical assistance from OSEP on May 2 and May 11, 2022 to understand</w:t>
      </w:r>
      <w:r>
        <w:rPr>
          <w:spacing w:val="-3"/>
          <w:sz w:val="24"/>
        </w:rPr>
        <w:t> </w:t>
      </w:r>
      <w:r>
        <w:rPr>
          <w:sz w:val="24"/>
        </w:rPr>
        <w:t>the</w:t>
      </w:r>
      <w:r>
        <w:rPr>
          <w:spacing w:val="-3"/>
          <w:sz w:val="24"/>
        </w:rPr>
        <w:t> </w:t>
      </w:r>
      <w:r>
        <w:rPr>
          <w:sz w:val="24"/>
        </w:rPr>
        <w:t>process</w:t>
      </w:r>
      <w:r>
        <w:rPr>
          <w:spacing w:val="-3"/>
          <w:sz w:val="24"/>
        </w:rPr>
        <w:t> </w:t>
      </w:r>
      <w:r>
        <w:rPr>
          <w:sz w:val="24"/>
        </w:rPr>
        <w:t>to</w:t>
      </w:r>
      <w:r>
        <w:rPr>
          <w:spacing w:val="-3"/>
          <w:sz w:val="24"/>
        </w:rPr>
        <w:t> </w:t>
      </w:r>
      <w:r>
        <w:rPr>
          <w:sz w:val="24"/>
        </w:rPr>
        <w:t>obtain</w:t>
      </w:r>
      <w:r>
        <w:rPr>
          <w:spacing w:val="-3"/>
          <w:sz w:val="24"/>
        </w:rPr>
        <w:t> </w:t>
      </w:r>
      <w:r>
        <w:rPr>
          <w:sz w:val="24"/>
        </w:rPr>
        <w:t>an</w:t>
      </w:r>
      <w:r>
        <w:rPr>
          <w:spacing w:val="-3"/>
          <w:sz w:val="24"/>
        </w:rPr>
        <w:t> </w:t>
      </w:r>
      <w:r>
        <w:rPr>
          <w:sz w:val="24"/>
        </w:rPr>
        <w:t>approved</w:t>
      </w:r>
      <w:r>
        <w:rPr>
          <w:spacing w:val="-4"/>
          <w:sz w:val="24"/>
        </w:rPr>
        <w:t> </w:t>
      </w:r>
      <w:r>
        <w:rPr>
          <w:sz w:val="24"/>
        </w:rPr>
        <w:t>restricted</w:t>
      </w:r>
      <w:r>
        <w:rPr>
          <w:spacing w:val="-3"/>
          <w:sz w:val="24"/>
        </w:rPr>
        <w:t> </w:t>
      </w:r>
      <w:r>
        <w:rPr>
          <w:sz w:val="24"/>
        </w:rPr>
        <w:t>indirect</w:t>
      </w:r>
      <w:r>
        <w:rPr>
          <w:spacing w:val="-4"/>
          <w:sz w:val="24"/>
        </w:rPr>
        <w:t> </w:t>
      </w:r>
      <w:r>
        <w:rPr>
          <w:sz w:val="24"/>
        </w:rPr>
        <w:t>rate</w:t>
      </w:r>
      <w:r>
        <w:rPr>
          <w:spacing w:val="-3"/>
          <w:sz w:val="24"/>
        </w:rPr>
        <w:t> </w:t>
      </w:r>
      <w:r>
        <w:rPr>
          <w:sz w:val="24"/>
        </w:rPr>
        <w:t>and</w:t>
      </w:r>
      <w:r>
        <w:rPr>
          <w:spacing w:val="-3"/>
          <w:sz w:val="24"/>
        </w:rPr>
        <w:t> </w:t>
      </w:r>
      <w:r>
        <w:rPr>
          <w:sz w:val="24"/>
        </w:rPr>
        <w:t>document</w:t>
      </w:r>
      <w:r>
        <w:rPr>
          <w:spacing w:val="-4"/>
          <w:sz w:val="24"/>
        </w:rPr>
        <w:t> </w:t>
      </w:r>
      <w:r>
        <w:rPr>
          <w:sz w:val="24"/>
        </w:rPr>
        <w:t>our</w:t>
      </w:r>
      <w:r>
        <w:rPr>
          <w:spacing w:val="-3"/>
          <w:sz w:val="24"/>
        </w:rPr>
        <w:t> </w:t>
      </w:r>
      <w:r>
        <w:rPr>
          <w:sz w:val="24"/>
        </w:rPr>
        <w:t>budget accordingly. As a result of this TA, we have started the process to request a restricted indirect rate with our cognizant agency. Our current budget reflects that no indirect costs will be charged to this grant. Upon approval, we will revise this budget as submitted.</w:t>
      </w:r>
    </w:p>
    <w:p>
      <w:pPr>
        <w:pStyle w:val="BodyText"/>
        <w:spacing w:before="16"/>
        <w:rPr>
          <w:sz w:val="24"/>
        </w:rPr>
      </w:pPr>
    </w:p>
    <w:p>
      <w:pPr>
        <w:spacing w:line="249" w:lineRule="auto" w:before="0"/>
        <w:ind w:left="364" w:right="344" w:firstLine="0"/>
        <w:jc w:val="left"/>
        <w:rPr>
          <w:sz w:val="24"/>
        </w:rPr>
      </w:pPr>
      <w:r>
        <w:rPr>
          <w:sz w:val="24"/>
        </w:rPr>
        <w:t>If you have specific questions related to this request, please contact me via email </w:t>
      </w:r>
      <w:hyperlink r:id="rId7">
        <w:r>
          <w:rPr>
            <w:sz w:val="24"/>
          </w:rPr>
          <w:t>(Emily.A.White@mass.gov)</w:t>
        </w:r>
      </w:hyperlink>
      <w:r>
        <w:rPr>
          <w:spacing w:val="-4"/>
          <w:sz w:val="24"/>
        </w:rPr>
        <w:t> </w:t>
      </w:r>
      <w:r>
        <w:rPr>
          <w:sz w:val="24"/>
        </w:rPr>
        <w:t>or</w:t>
      </w:r>
      <w:r>
        <w:rPr>
          <w:spacing w:val="-4"/>
          <w:sz w:val="24"/>
        </w:rPr>
        <w:t> </w:t>
      </w:r>
      <w:r>
        <w:rPr>
          <w:sz w:val="24"/>
        </w:rPr>
        <w:t>telephone</w:t>
      </w:r>
      <w:r>
        <w:rPr>
          <w:spacing w:val="-4"/>
          <w:sz w:val="24"/>
        </w:rPr>
        <w:t> </w:t>
      </w:r>
      <w:r>
        <w:rPr>
          <w:sz w:val="24"/>
        </w:rPr>
        <w:t>(781)</w:t>
      </w:r>
      <w:r>
        <w:rPr>
          <w:spacing w:val="-4"/>
          <w:sz w:val="24"/>
        </w:rPr>
        <w:t> </w:t>
      </w:r>
      <w:r>
        <w:rPr>
          <w:sz w:val="24"/>
        </w:rPr>
        <w:t>400-6648.</w:t>
      </w:r>
      <w:r>
        <w:rPr>
          <w:spacing w:val="-5"/>
          <w:sz w:val="24"/>
        </w:rPr>
        <w:t> </w:t>
      </w:r>
      <w:r>
        <w:rPr>
          <w:sz w:val="24"/>
        </w:rPr>
        <w:t>Thank</w:t>
      </w:r>
      <w:r>
        <w:rPr>
          <w:spacing w:val="-4"/>
          <w:sz w:val="24"/>
        </w:rPr>
        <w:t> </w:t>
      </w:r>
      <w:r>
        <w:rPr>
          <w:sz w:val="24"/>
        </w:rPr>
        <w:t>you</w:t>
      </w:r>
      <w:r>
        <w:rPr>
          <w:spacing w:val="-4"/>
          <w:sz w:val="24"/>
        </w:rPr>
        <w:t> </w:t>
      </w:r>
      <w:r>
        <w:rPr>
          <w:sz w:val="24"/>
        </w:rPr>
        <w:t>for</w:t>
      </w:r>
      <w:r>
        <w:rPr>
          <w:spacing w:val="-4"/>
          <w:sz w:val="24"/>
        </w:rPr>
        <w:t> </w:t>
      </w:r>
      <w:r>
        <w:rPr>
          <w:sz w:val="24"/>
        </w:rPr>
        <w:t>your</w:t>
      </w:r>
      <w:r>
        <w:rPr>
          <w:spacing w:val="-4"/>
          <w:sz w:val="24"/>
        </w:rPr>
        <w:t> </w:t>
      </w:r>
      <w:r>
        <w:rPr>
          <w:sz w:val="24"/>
        </w:rPr>
        <w:t>ongoing</w:t>
      </w:r>
      <w:r>
        <w:rPr>
          <w:spacing w:val="-4"/>
          <w:sz w:val="24"/>
        </w:rPr>
        <w:t> </w:t>
      </w:r>
      <w:r>
        <w:rPr>
          <w:sz w:val="24"/>
        </w:rPr>
        <w:t>support for the provision of high-quality Part C services across our Commonwealth.</w:t>
      </w:r>
    </w:p>
    <w:p>
      <w:pPr>
        <w:pStyle w:val="BodyText"/>
        <w:spacing w:before="15"/>
        <w:rPr>
          <w:sz w:val="24"/>
        </w:rPr>
      </w:pPr>
    </w:p>
    <w:p>
      <w:pPr>
        <w:spacing w:before="0"/>
        <w:ind w:left="364" w:right="0" w:firstLine="0"/>
        <w:jc w:val="left"/>
        <w:rPr>
          <w:sz w:val="24"/>
        </w:rPr>
      </w:pPr>
      <w:r>
        <w:rPr>
          <w:spacing w:val="-2"/>
          <w:sz w:val="24"/>
        </w:rPr>
        <w:t>Sincerely,</w:t>
      </w:r>
    </w:p>
    <w:p>
      <w:pPr>
        <w:pStyle w:val="BodyText"/>
        <w:spacing w:before="101"/>
      </w:pPr>
      <w:r>
        <w:rPr/>
        <w:drawing>
          <wp:anchor distT="0" distB="0" distL="0" distR="0" allowOverlap="1" layoutInCell="1" locked="0" behindDoc="1" simplePos="0" relativeHeight="487587840">
            <wp:simplePos x="0" y="0"/>
            <wp:positionH relativeFrom="page">
              <wp:posOffset>772992</wp:posOffset>
            </wp:positionH>
            <wp:positionV relativeFrom="paragraph">
              <wp:posOffset>225772</wp:posOffset>
            </wp:positionV>
            <wp:extent cx="1282923" cy="52806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1282923" cy="528065"/>
                    </a:xfrm>
                    <a:prstGeom prst="rect">
                      <a:avLst/>
                    </a:prstGeom>
                  </pic:spPr>
                </pic:pic>
              </a:graphicData>
            </a:graphic>
          </wp:anchor>
        </w:drawing>
      </w:r>
    </w:p>
    <w:p>
      <w:pPr>
        <w:spacing w:before="35"/>
        <w:ind w:left="364" w:right="0" w:firstLine="0"/>
        <w:jc w:val="left"/>
        <w:rPr>
          <w:sz w:val="24"/>
        </w:rPr>
      </w:pPr>
      <w:r>
        <w:rPr>
          <w:sz w:val="24"/>
        </w:rPr>
        <w:t>Emily</w:t>
      </w:r>
      <w:r>
        <w:rPr>
          <w:spacing w:val="-4"/>
          <w:sz w:val="24"/>
        </w:rPr>
        <w:t> </w:t>
      </w:r>
      <w:r>
        <w:rPr>
          <w:sz w:val="24"/>
        </w:rPr>
        <w:t>White,</w:t>
      </w:r>
      <w:r>
        <w:rPr>
          <w:spacing w:val="-2"/>
          <w:sz w:val="24"/>
        </w:rPr>
        <w:t> </w:t>
      </w:r>
      <w:r>
        <w:rPr>
          <w:sz w:val="24"/>
        </w:rPr>
        <w:t>PhD,</w:t>
      </w:r>
      <w:r>
        <w:rPr>
          <w:spacing w:val="-2"/>
          <w:sz w:val="24"/>
        </w:rPr>
        <w:t> </w:t>
      </w:r>
      <w:r>
        <w:rPr>
          <w:sz w:val="24"/>
        </w:rPr>
        <w:t>BCBA-D,</w:t>
      </w:r>
      <w:r>
        <w:rPr>
          <w:spacing w:val="-2"/>
          <w:sz w:val="24"/>
        </w:rPr>
        <w:t> </w:t>
      </w:r>
      <w:r>
        <w:rPr>
          <w:spacing w:val="-4"/>
          <w:sz w:val="24"/>
        </w:rPr>
        <w:t>LABA</w:t>
      </w:r>
    </w:p>
    <w:p>
      <w:pPr>
        <w:spacing w:line="249" w:lineRule="auto" w:before="12"/>
        <w:ind w:left="364" w:right="3175" w:firstLine="0"/>
        <w:jc w:val="left"/>
        <w:rPr>
          <w:sz w:val="24"/>
        </w:rPr>
      </w:pPr>
      <w:r>
        <w:rPr>
          <w:sz w:val="24"/>
        </w:rPr>
        <w:t>Part</w:t>
      </w:r>
      <w:r>
        <w:rPr>
          <w:spacing w:val="-6"/>
          <w:sz w:val="24"/>
        </w:rPr>
        <w:t> </w:t>
      </w:r>
      <w:r>
        <w:rPr>
          <w:sz w:val="24"/>
        </w:rPr>
        <w:t>C</w:t>
      </w:r>
      <w:r>
        <w:rPr>
          <w:spacing w:val="-6"/>
          <w:sz w:val="24"/>
        </w:rPr>
        <w:t> </w:t>
      </w:r>
      <w:r>
        <w:rPr>
          <w:sz w:val="24"/>
        </w:rPr>
        <w:t>Coordinator</w:t>
      </w:r>
      <w:r>
        <w:rPr>
          <w:spacing w:val="-6"/>
          <w:sz w:val="24"/>
        </w:rPr>
        <w:t> </w:t>
      </w:r>
      <w:r>
        <w:rPr>
          <w:sz w:val="24"/>
        </w:rPr>
        <w:t>for</w:t>
      </w:r>
      <w:r>
        <w:rPr>
          <w:spacing w:val="-6"/>
          <w:sz w:val="24"/>
        </w:rPr>
        <w:t> </w:t>
      </w:r>
      <w:r>
        <w:rPr>
          <w:sz w:val="24"/>
        </w:rPr>
        <w:t>the</w:t>
      </w:r>
      <w:r>
        <w:rPr>
          <w:spacing w:val="-6"/>
          <w:sz w:val="24"/>
        </w:rPr>
        <w:t> </w:t>
      </w:r>
      <w:r>
        <w:rPr>
          <w:sz w:val="24"/>
        </w:rPr>
        <w:t>Commonwealth</w:t>
      </w:r>
      <w:r>
        <w:rPr>
          <w:spacing w:val="-6"/>
          <w:sz w:val="24"/>
        </w:rPr>
        <w:t> </w:t>
      </w:r>
      <w:r>
        <w:rPr>
          <w:sz w:val="24"/>
        </w:rPr>
        <w:t>of</w:t>
      </w:r>
      <w:r>
        <w:rPr>
          <w:spacing w:val="-6"/>
          <w:sz w:val="24"/>
        </w:rPr>
        <w:t> </w:t>
      </w:r>
      <w:r>
        <w:rPr>
          <w:sz w:val="24"/>
        </w:rPr>
        <w:t>Massachusetts Director, Early Intervention Division</w:t>
      </w:r>
    </w:p>
    <w:p>
      <w:pPr>
        <w:spacing w:after="0" w:line="249" w:lineRule="auto"/>
        <w:jc w:val="left"/>
        <w:rPr>
          <w:sz w:val="24"/>
        </w:rPr>
        <w:sectPr>
          <w:type w:val="continuous"/>
          <w:pgSz w:w="12240" w:h="15840"/>
          <w:pgMar w:top="560" w:bottom="280" w:left="720" w:right="720"/>
        </w:sectPr>
      </w:pPr>
    </w:p>
    <w:p>
      <w:pPr>
        <w:pStyle w:val="BodyText"/>
      </w:pPr>
    </w:p>
    <w:p>
      <w:pPr>
        <w:pStyle w:val="BodyText"/>
      </w:pPr>
    </w:p>
    <w:p>
      <w:pPr>
        <w:pStyle w:val="BodyText"/>
        <w:spacing w:before="134"/>
      </w:pPr>
    </w:p>
    <w:p>
      <w:pPr>
        <w:spacing w:before="0"/>
        <w:ind w:left="20" w:right="11" w:firstLine="0"/>
        <w:jc w:val="center"/>
        <w:rPr>
          <w:b/>
          <w:sz w:val="20"/>
        </w:rPr>
      </w:pPr>
      <w:bookmarkStart w:name="budget 220427 MA-C Grants-Part-C-FFY-202" w:id="2"/>
      <w:bookmarkEnd w:id="2"/>
      <w:r>
        <w:rPr/>
      </w:r>
      <w:r>
        <w:rPr>
          <w:b/>
          <w:sz w:val="20"/>
        </w:rPr>
        <w:t>OMB</w:t>
      </w:r>
      <w:r>
        <w:rPr>
          <w:b/>
          <w:spacing w:val="-9"/>
          <w:sz w:val="20"/>
        </w:rPr>
        <w:t> </w:t>
      </w:r>
      <w:r>
        <w:rPr>
          <w:b/>
          <w:sz w:val="20"/>
        </w:rPr>
        <w:t>NO.</w:t>
      </w:r>
      <w:r>
        <w:rPr>
          <w:b/>
          <w:spacing w:val="-7"/>
          <w:sz w:val="20"/>
        </w:rPr>
        <w:t> </w:t>
      </w:r>
      <w:r>
        <w:rPr>
          <w:b/>
          <w:sz w:val="20"/>
        </w:rPr>
        <w:t>1820-</w:t>
      </w:r>
      <w:r>
        <w:rPr>
          <w:b/>
          <w:spacing w:val="-4"/>
          <w:sz w:val="20"/>
        </w:rPr>
        <w:t>0550</w:t>
      </w:r>
    </w:p>
    <w:p>
      <w:pPr>
        <w:spacing w:before="1"/>
        <w:ind w:left="21" w:right="11" w:firstLine="0"/>
        <w:jc w:val="center"/>
        <w:rPr>
          <w:b/>
          <w:sz w:val="20"/>
        </w:rPr>
      </w:pPr>
      <w:r>
        <w:rPr>
          <w:b/>
          <w:sz w:val="20"/>
        </w:rPr>
        <w:t>Expires:</w:t>
      </w:r>
      <w:r>
        <w:rPr>
          <w:b/>
          <w:spacing w:val="45"/>
          <w:sz w:val="20"/>
        </w:rPr>
        <w:t> </w:t>
      </w:r>
      <w:r>
        <w:rPr>
          <w:b/>
          <w:spacing w:val="-2"/>
          <w:sz w:val="20"/>
        </w:rPr>
        <w:t>12/31/2023</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2"/>
        <w:rPr>
          <w:b/>
        </w:rPr>
      </w:pPr>
    </w:p>
    <w:p>
      <w:pPr>
        <w:spacing w:line="322" w:lineRule="exact" w:before="0"/>
        <w:ind w:left="21" w:right="11" w:firstLine="0"/>
        <w:jc w:val="center"/>
        <w:rPr>
          <w:b/>
          <w:sz w:val="28"/>
        </w:rPr>
      </w:pPr>
      <w:r>
        <w:rPr>
          <w:b/>
          <w:smallCaps/>
          <w:sz w:val="28"/>
        </w:rPr>
        <w:t>Annual</w:t>
      </w:r>
      <w:r>
        <w:rPr>
          <w:b/>
          <w:smallCaps/>
          <w:spacing w:val="-16"/>
          <w:sz w:val="28"/>
        </w:rPr>
        <w:t> </w:t>
      </w:r>
      <w:r>
        <w:rPr>
          <w:b/>
          <w:smallCaps/>
          <w:sz w:val="28"/>
        </w:rPr>
        <w:t>State</w:t>
      </w:r>
      <w:r>
        <w:rPr>
          <w:b/>
          <w:smallCaps/>
          <w:spacing w:val="-15"/>
          <w:sz w:val="28"/>
        </w:rPr>
        <w:t> </w:t>
      </w:r>
      <w:r>
        <w:rPr>
          <w:b/>
          <w:smallCaps/>
          <w:sz w:val="28"/>
        </w:rPr>
        <w:t>Application</w:t>
      </w:r>
      <w:r>
        <w:rPr>
          <w:b/>
          <w:smallCaps/>
          <w:spacing w:val="-15"/>
          <w:sz w:val="28"/>
        </w:rPr>
        <w:t> </w:t>
      </w:r>
      <w:r>
        <w:rPr>
          <w:b/>
          <w:smallCaps/>
          <w:sz w:val="28"/>
        </w:rPr>
        <w:t>Under</w:t>
      </w:r>
      <w:r>
        <w:rPr>
          <w:b/>
          <w:smallCaps/>
          <w:spacing w:val="-16"/>
          <w:sz w:val="28"/>
        </w:rPr>
        <w:t> </w:t>
      </w:r>
      <w:r>
        <w:rPr>
          <w:b/>
          <w:smallCaps/>
          <w:sz w:val="28"/>
        </w:rPr>
        <w:t>Part</w:t>
      </w:r>
      <w:r>
        <w:rPr>
          <w:b/>
          <w:smallCaps/>
          <w:spacing w:val="-13"/>
          <w:sz w:val="28"/>
        </w:rPr>
        <w:t> </w:t>
      </w:r>
      <w:r>
        <w:rPr>
          <w:b/>
          <w:smallCaps/>
          <w:sz w:val="28"/>
        </w:rPr>
        <w:t>C</w:t>
      </w:r>
      <w:r>
        <w:rPr>
          <w:b/>
          <w:smallCaps/>
          <w:spacing w:val="-16"/>
          <w:sz w:val="28"/>
        </w:rPr>
        <w:t> </w:t>
      </w:r>
      <w:r>
        <w:rPr>
          <w:b/>
          <w:smallCaps/>
          <w:sz w:val="28"/>
        </w:rPr>
        <w:t>of</w:t>
      </w:r>
      <w:r>
        <w:rPr>
          <w:b/>
          <w:smallCaps/>
          <w:spacing w:val="-12"/>
          <w:sz w:val="28"/>
        </w:rPr>
        <w:t> </w:t>
      </w:r>
      <w:r>
        <w:rPr>
          <w:b/>
          <w:smallCaps/>
          <w:spacing w:val="-5"/>
          <w:sz w:val="28"/>
        </w:rPr>
        <w:t>the</w:t>
      </w:r>
    </w:p>
    <w:p>
      <w:pPr>
        <w:spacing w:line="322" w:lineRule="exact" w:before="0"/>
        <w:ind w:left="20" w:right="11" w:firstLine="0"/>
        <w:jc w:val="center"/>
        <w:rPr>
          <w:b/>
          <w:sz w:val="28"/>
        </w:rPr>
      </w:pPr>
      <w:r>
        <w:rPr>
          <w:b/>
          <w:smallCaps/>
          <w:sz w:val="28"/>
        </w:rPr>
        <w:t>Individuals</w:t>
      </w:r>
      <w:r>
        <w:rPr>
          <w:b/>
          <w:smallCaps/>
          <w:spacing w:val="-9"/>
          <w:sz w:val="28"/>
        </w:rPr>
        <w:t> </w:t>
      </w:r>
      <w:r>
        <w:rPr>
          <w:b/>
          <w:smallCaps/>
          <w:sz w:val="28"/>
        </w:rPr>
        <w:t>with</w:t>
      </w:r>
      <w:r>
        <w:rPr>
          <w:b/>
          <w:smallCaps/>
          <w:spacing w:val="-8"/>
          <w:sz w:val="28"/>
        </w:rPr>
        <w:t> </w:t>
      </w:r>
      <w:r>
        <w:rPr>
          <w:b/>
          <w:smallCaps/>
          <w:sz w:val="28"/>
        </w:rPr>
        <w:t>Disabilities</w:t>
      </w:r>
      <w:r>
        <w:rPr>
          <w:b/>
          <w:smallCaps/>
          <w:spacing w:val="-9"/>
          <w:sz w:val="28"/>
        </w:rPr>
        <w:t> </w:t>
      </w:r>
      <w:r>
        <w:rPr>
          <w:b/>
          <w:smallCaps/>
          <w:sz w:val="28"/>
        </w:rPr>
        <w:t>Education</w:t>
      </w:r>
      <w:r>
        <w:rPr>
          <w:b/>
          <w:smallCaps/>
          <w:spacing w:val="-8"/>
          <w:sz w:val="28"/>
        </w:rPr>
        <w:t> </w:t>
      </w:r>
      <w:r>
        <w:rPr>
          <w:b/>
          <w:smallCaps/>
          <w:sz w:val="28"/>
        </w:rPr>
        <w:t>Act</w:t>
      </w:r>
      <w:r>
        <w:rPr>
          <w:b/>
          <w:smallCaps/>
          <w:spacing w:val="-15"/>
          <w:sz w:val="28"/>
        </w:rPr>
        <w:t> </w:t>
      </w:r>
      <w:r>
        <w:rPr>
          <w:b/>
          <w:smallCaps/>
          <w:sz w:val="28"/>
        </w:rPr>
        <w:t>as</w:t>
      </w:r>
      <w:r>
        <w:rPr>
          <w:b/>
          <w:smallCaps/>
          <w:spacing w:val="-9"/>
          <w:sz w:val="28"/>
        </w:rPr>
        <w:t> </w:t>
      </w:r>
      <w:r>
        <w:rPr>
          <w:b/>
          <w:smallCaps/>
          <w:sz w:val="28"/>
        </w:rPr>
        <w:t>Amended</w:t>
      </w:r>
      <w:r>
        <w:rPr>
          <w:b/>
          <w:smallCaps/>
          <w:spacing w:val="-8"/>
          <w:sz w:val="28"/>
        </w:rPr>
        <w:t> </w:t>
      </w:r>
      <w:r>
        <w:rPr>
          <w:b/>
          <w:smallCaps/>
          <w:sz w:val="28"/>
        </w:rPr>
        <w:t>in</w:t>
      </w:r>
      <w:r>
        <w:rPr>
          <w:b/>
          <w:smallCaps/>
          <w:spacing w:val="-8"/>
          <w:sz w:val="28"/>
        </w:rPr>
        <w:t> </w:t>
      </w:r>
      <w:r>
        <w:rPr>
          <w:b/>
          <w:smallCaps/>
          <w:spacing w:val="-4"/>
          <w:sz w:val="28"/>
        </w:rPr>
        <w:t>2004</w:t>
      </w:r>
    </w:p>
    <w:p>
      <w:pPr>
        <w:spacing w:before="0"/>
        <w:ind w:left="20" w:right="11" w:firstLine="0"/>
        <w:jc w:val="center"/>
        <w:rPr>
          <w:b/>
          <w:sz w:val="28"/>
        </w:rPr>
      </w:pPr>
      <w:r>
        <w:rPr>
          <w:b/>
          <w:smallCaps/>
          <w:sz w:val="28"/>
        </w:rPr>
        <w:t>for</w:t>
      </w:r>
      <w:r>
        <w:rPr>
          <w:b/>
          <w:smallCaps/>
          <w:spacing w:val="-10"/>
          <w:sz w:val="28"/>
        </w:rPr>
        <w:t> </w:t>
      </w:r>
      <w:r>
        <w:rPr>
          <w:b/>
          <w:smallCaps/>
          <w:sz w:val="28"/>
        </w:rPr>
        <w:t>Federal</w:t>
      </w:r>
      <w:r>
        <w:rPr>
          <w:b/>
          <w:smallCaps/>
          <w:spacing w:val="-10"/>
          <w:sz w:val="28"/>
        </w:rPr>
        <w:t> </w:t>
      </w:r>
      <w:r>
        <w:rPr>
          <w:b/>
          <w:smallCaps/>
          <w:sz w:val="28"/>
        </w:rPr>
        <w:t>Fiscal</w:t>
      </w:r>
      <w:r>
        <w:rPr>
          <w:b/>
          <w:smallCaps/>
          <w:spacing w:val="-10"/>
          <w:sz w:val="28"/>
        </w:rPr>
        <w:t> </w:t>
      </w:r>
      <w:r>
        <w:rPr>
          <w:b/>
          <w:smallCaps/>
          <w:sz w:val="28"/>
        </w:rPr>
        <w:t>Year</w:t>
      </w:r>
      <w:r>
        <w:rPr>
          <w:b/>
          <w:smallCaps/>
          <w:spacing w:val="-6"/>
          <w:sz w:val="28"/>
        </w:rPr>
        <w:t> </w:t>
      </w:r>
      <w:r>
        <w:rPr>
          <w:b/>
          <w:smallCaps/>
          <w:sz w:val="28"/>
        </w:rPr>
        <w:t>(FFY)</w:t>
      </w:r>
      <w:r>
        <w:rPr>
          <w:b/>
          <w:smallCaps/>
          <w:spacing w:val="-17"/>
          <w:sz w:val="28"/>
        </w:rPr>
        <w:t> </w:t>
      </w:r>
      <w:r>
        <w:rPr>
          <w:b/>
          <w:smallCaps/>
          <w:spacing w:val="-4"/>
          <w:sz w:val="28"/>
        </w:rPr>
        <w:t>2022</w:t>
      </w:r>
    </w:p>
    <w:p>
      <w:pPr>
        <w:spacing w:before="118"/>
        <w:ind w:left="21" w:right="11" w:firstLine="0"/>
        <w:jc w:val="center"/>
        <w:rPr>
          <w:b/>
          <w:sz w:val="20"/>
        </w:rPr>
      </w:pPr>
      <w:r>
        <w:rPr>
          <w:b/>
          <w:spacing w:val="-2"/>
          <w:sz w:val="20"/>
        </w:rPr>
        <w:t>CFDA</w:t>
      </w:r>
      <w:r>
        <w:rPr>
          <w:b/>
          <w:spacing w:val="-10"/>
          <w:sz w:val="20"/>
        </w:rPr>
        <w:t> </w:t>
      </w:r>
      <w:r>
        <w:rPr>
          <w:b/>
          <w:spacing w:val="-2"/>
          <w:sz w:val="20"/>
        </w:rPr>
        <w:t>N</w:t>
      </w:r>
      <w:r>
        <w:rPr>
          <w:b/>
          <w:spacing w:val="-2"/>
          <w:sz w:val="16"/>
        </w:rPr>
        <w:t>O</w:t>
      </w:r>
      <w:r>
        <w:rPr>
          <w:b/>
          <w:spacing w:val="-2"/>
          <w:sz w:val="20"/>
        </w:rPr>
        <w:t>.</w:t>
      </w:r>
      <w:r>
        <w:rPr>
          <w:b/>
          <w:spacing w:val="-9"/>
          <w:sz w:val="20"/>
        </w:rPr>
        <w:t> </w:t>
      </w:r>
      <w:r>
        <w:rPr>
          <w:b/>
          <w:spacing w:val="-2"/>
          <w:sz w:val="20"/>
        </w:rPr>
        <w:t>84.181A</w:t>
      </w:r>
    </w:p>
    <w:p>
      <w:pPr>
        <w:pStyle w:val="BodyText"/>
        <w:rPr>
          <w:b/>
        </w:rPr>
      </w:pPr>
    </w:p>
    <w:p>
      <w:pPr>
        <w:pStyle w:val="BodyText"/>
        <w:spacing w:before="140"/>
        <w:rPr>
          <w:b/>
        </w:rPr>
      </w:pPr>
    </w:p>
    <w:p>
      <w:pPr>
        <w:pStyle w:val="Heading2"/>
        <w:ind w:left="21" w:right="11"/>
        <w:jc w:val="center"/>
      </w:pPr>
      <w:r>
        <w:rPr/>
        <w:t>ED</w:t>
      </w:r>
      <w:r>
        <w:rPr>
          <w:spacing w:val="-7"/>
        </w:rPr>
        <w:t> </w:t>
      </w:r>
      <w:r>
        <w:rPr/>
        <w:t>FORM</w:t>
      </w:r>
      <w:r>
        <w:rPr>
          <w:spacing w:val="-7"/>
        </w:rPr>
        <w:t> </w:t>
      </w:r>
      <w:r>
        <w:rPr/>
        <w:t>No.</w:t>
      </w:r>
      <w:r>
        <w:rPr>
          <w:spacing w:val="-6"/>
        </w:rPr>
        <w:t> </w:t>
      </w:r>
      <w:r>
        <w:rPr/>
        <w:t>1</w:t>
      </w:r>
      <w:r>
        <w:rPr>
          <w:spacing w:val="-5"/>
        </w:rPr>
        <w:t> </w:t>
      </w:r>
      <w:r>
        <w:rPr/>
        <w:t>B20—</w:t>
      </w:r>
      <w:r>
        <w:rPr>
          <w:spacing w:val="-5"/>
        </w:rPr>
        <w:t>26P</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1"/>
        <w:rPr>
          <w:b/>
        </w:rPr>
      </w:pPr>
    </w:p>
    <w:p>
      <w:pPr>
        <w:spacing w:before="0"/>
        <w:ind w:left="2803" w:right="2789" w:firstLine="0"/>
        <w:jc w:val="center"/>
        <w:rPr>
          <w:b/>
          <w:sz w:val="20"/>
        </w:rPr>
      </w:pPr>
      <w:r>
        <w:rPr>
          <w:b/>
          <w:spacing w:val="-2"/>
          <w:sz w:val="20"/>
        </w:rPr>
        <w:t>UNITED</w:t>
      </w:r>
      <w:r>
        <w:rPr>
          <w:b/>
          <w:spacing w:val="-8"/>
          <w:sz w:val="20"/>
        </w:rPr>
        <w:t> </w:t>
      </w:r>
      <w:r>
        <w:rPr>
          <w:b/>
          <w:spacing w:val="-2"/>
          <w:sz w:val="20"/>
        </w:rPr>
        <w:t>STATES</w:t>
      </w:r>
      <w:r>
        <w:rPr>
          <w:b/>
          <w:spacing w:val="-8"/>
          <w:sz w:val="20"/>
        </w:rPr>
        <w:t> </w:t>
      </w:r>
      <w:r>
        <w:rPr>
          <w:b/>
          <w:spacing w:val="-2"/>
          <w:sz w:val="20"/>
        </w:rPr>
        <w:t>DEPARTMENT</w:t>
      </w:r>
      <w:r>
        <w:rPr>
          <w:b/>
          <w:spacing w:val="-8"/>
          <w:sz w:val="20"/>
        </w:rPr>
        <w:t> </w:t>
      </w:r>
      <w:r>
        <w:rPr>
          <w:b/>
          <w:spacing w:val="-2"/>
          <w:sz w:val="20"/>
        </w:rPr>
        <w:t>OF</w:t>
      </w:r>
      <w:r>
        <w:rPr>
          <w:b/>
          <w:spacing w:val="-8"/>
          <w:sz w:val="20"/>
        </w:rPr>
        <w:t> </w:t>
      </w:r>
      <w:r>
        <w:rPr>
          <w:b/>
          <w:spacing w:val="-2"/>
          <w:sz w:val="20"/>
        </w:rPr>
        <w:t>EDUCATION </w:t>
      </w:r>
      <w:r>
        <w:rPr>
          <w:b/>
          <w:sz w:val="20"/>
        </w:rPr>
        <w:t>OFFICE OF SPECIAL EDUCATION PROGRAMS</w:t>
      </w:r>
    </w:p>
    <w:p>
      <w:pPr>
        <w:pStyle w:val="Heading2"/>
        <w:spacing w:before="121"/>
        <w:ind w:left="20" w:right="11"/>
        <w:jc w:val="center"/>
      </w:pPr>
      <w:r>
        <w:rPr/>
        <w:t>Washington,</w:t>
      </w:r>
      <w:r>
        <w:rPr>
          <w:spacing w:val="-10"/>
        </w:rPr>
        <w:t> </w:t>
      </w:r>
      <w:r>
        <w:rPr/>
        <w:t>DC</w:t>
      </w:r>
      <w:r>
        <w:rPr>
          <w:spacing w:val="36"/>
        </w:rPr>
        <w:t> </w:t>
      </w:r>
      <w:r>
        <w:rPr/>
        <w:t>20202-</w:t>
      </w:r>
      <w:r>
        <w:rPr>
          <w:spacing w:val="-4"/>
        </w:rPr>
        <w:t>2600</w:t>
      </w:r>
    </w:p>
    <w:p>
      <w:pPr>
        <w:pStyle w:val="BodyText"/>
        <w:rPr>
          <w:b/>
        </w:rPr>
      </w:pPr>
    </w:p>
    <w:p>
      <w:pPr>
        <w:pStyle w:val="BodyText"/>
        <w:rPr>
          <w:b/>
        </w:rPr>
      </w:pPr>
    </w:p>
    <w:p>
      <w:pPr>
        <w:pStyle w:val="BodyText"/>
        <w:rPr>
          <w:b/>
        </w:rPr>
      </w:pPr>
    </w:p>
    <w:p>
      <w:pPr>
        <w:pStyle w:val="BodyText"/>
        <w:spacing w:before="39"/>
        <w:rPr>
          <w:b/>
        </w:rPr>
      </w:pPr>
    </w:p>
    <w:p>
      <w:pPr>
        <w:spacing w:before="1"/>
        <w:ind w:left="4144" w:right="0" w:firstLine="0"/>
        <w:jc w:val="left"/>
        <w:rPr>
          <w:b/>
          <w:sz w:val="18"/>
        </w:rPr>
      </w:pPr>
      <w:r>
        <w:rPr>
          <w:b/>
          <w:sz w:val="18"/>
        </w:rPr>
        <w:t>Paperwork</w:t>
      </w:r>
      <w:r>
        <w:rPr>
          <w:b/>
          <w:spacing w:val="-6"/>
          <w:sz w:val="18"/>
        </w:rPr>
        <w:t> </w:t>
      </w:r>
      <w:r>
        <w:rPr>
          <w:b/>
          <w:sz w:val="18"/>
        </w:rPr>
        <w:t>Burden</w:t>
      </w:r>
      <w:r>
        <w:rPr>
          <w:b/>
          <w:spacing w:val="-6"/>
          <w:sz w:val="18"/>
        </w:rPr>
        <w:t> </w:t>
      </w:r>
      <w:r>
        <w:rPr>
          <w:b/>
          <w:spacing w:val="-2"/>
          <w:sz w:val="18"/>
        </w:rPr>
        <w:t>Statement</w:t>
      </w:r>
    </w:p>
    <w:p>
      <w:pPr>
        <w:pStyle w:val="BodyText"/>
        <w:ind w:left="724" w:right="798"/>
      </w:pPr>
      <w:r>
        <w:rPr/>
        <w:t>According to the Paperwork Reduction</w:t>
      </w:r>
      <w:r>
        <w:rPr>
          <w:spacing w:val="-11"/>
        </w:rPr>
        <w:t> </w:t>
      </w:r>
      <w:r>
        <w:rPr/>
        <w:t>Act of 1995, no persons are required to respond to a collection of information unless such collection displays a valid OMB control number.</w:t>
      </w:r>
      <w:r>
        <w:rPr>
          <w:spacing w:val="40"/>
        </w:rPr>
        <w:t> </w:t>
      </w:r>
      <w:r>
        <w:rPr/>
        <w:t>The valid OMB control number for this information collection is 1820-0550.</w:t>
      </w:r>
      <w:r>
        <w:rPr>
          <w:spacing w:val="40"/>
        </w:rPr>
        <w:t> </w:t>
      </w:r>
      <w:r>
        <w:rPr/>
        <w:t>Public reporting burden for this collection of information is estimated</w:t>
      </w:r>
      <w:r>
        <w:rPr>
          <w:spacing w:val="-1"/>
        </w:rPr>
        <w:t> </w:t>
      </w:r>
      <w:r>
        <w:rPr/>
        <w:t>to</w:t>
      </w:r>
      <w:r>
        <w:rPr>
          <w:spacing w:val="-1"/>
        </w:rPr>
        <w:t> </w:t>
      </w:r>
      <w:r>
        <w:rPr/>
        <w:t>average</w:t>
      </w:r>
      <w:r>
        <w:rPr>
          <w:spacing w:val="-1"/>
        </w:rPr>
        <w:t> </w:t>
      </w:r>
      <w:r>
        <w:rPr/>
        <w:t>10</w:t>
      </w:r>
      <w:r>
        <w:rPr>
          <w:spacing w:val="-1"/>
        </w:rPr>
        <w:t> </w:t>
      </w:r>
      <w:r>
        <w:rPr/>
        <w:t>hours</w:t>
      </w:r>
      <w:r>
        <w:rPr>
          <w:spacing w:val="-1"/>
        </w:rPr>
        <w:t> </w:t>
      </w:r>
      <w:r>
        <w:rPr/>
        <w:t>per</w:t>
      </w:r>
      <w:r>
        <w:rPr>
          <w:spacing w:val="-1"/>
        </w:rPr>
        <w:t> </w:t>
      </w:r>
      <w:r>
        <w:rPr/>
        <w:t>response,</w:t>
      </w:r>
      <w:r>
        <w:rPr>
          <w:spacing w:val="-1"/>
        </w:rPr>
        <w:t> </w:t>
      </w:r>
      <w:r>
        <w:rPr/>
        <w:t>including</w:t>
      </w:r>
      <w:r>
        <w:rPr>
          <w:spacing w:val="-1"/>
        </w:rPr>
        <w:t> </w:t>
      </w:r>
      <w:r>
        <w:rPr/>
        <w:t>time</w:t>
      </w:r>
      <w:r>
        <w:rPr>
          <w:spacing w:val="-1"/>
        </w:rPr>
        <w:t> </w:t>
      </w:r>
      <w:r>
        <w:rPr/>
        <w:t>for</w:t>
      </w:r>
      <w:r>
        <w:rPr>
          <w:spacing w:val="-1"/>
        </w:rPr>
        <w:t> </w:t>
      </w:r>
      <w:r>
        <w:rPr/>
        <w:t>reviewing</w:t>
      </w:r>
      <w:r>
        <w:rPr>
          <w:spacing w:val="-1"/>
        </w:rPr>
        <w:t> </w:t>
      </w:r>
      <w:r>
        <w:rPr/>
        <w:t>instructions,</w:t>
      </w:r>
      <w:r>
        <w:rPr>
          <w:spacing w:val="-1"/>
        </w:rPr>
        <w:t> </w:t>
      </w:r>
      <w:r>
        <w:rPr/>
        <w:t>searching</w:t>
      </w:r>
      <w:r>
        <w:rPr>
          <w:spacing w:val="-1"/>
        </w:rPr>
        <w:t> </w:t>
      </w:r>
      <w:r>
        <w:rPr/>
        <w:t>existing data</w:t>
      </w:r>
      <w:r>
        <w:rPr>
          <w:spacing w:val="-3"/>
        </w:rPr>
        <w:t> </w:t>
      </w:r>
      <w:r>
        <w:rPr/>
        <w:t>sources,</w:t>
      </w:r>
      <w:r>
        <w:rPr>
          <w:spacing w:val="-3"/>
        </w:rPr>
        <w:t> </w:t>
      </w:r>
      <w:r>
        <w:rPr/>
        <w:t>gathering</w:t>
      </w:r>
      <w:r>
        <w:rPr>
          <w:spacing w:val="-3"/>
        </w:rPr>
        <w:t> </w:t>
      </w:r>
      <w:r>
        <w:rPr/>
        <w:t>and</w:t>
      </w:r>
      <w:r>
        <w:rPr>
          <w:spacing w:val="-3"/>
        </w:rPr>
        <w:t> </w:t>
      </w:r>
      <w:r>
        <w:rPr/>
        <w:t>maintaining</w:t>
      </w:r>
      <w:r>
        <w:rPr>
          <w:spacing w:val="-3"/>
        </w:rPr>
        <w:t> </w:t>
      </w:r>
      <w:r>
        <w:rPr/>
        <w:t>the</w:t>
      </w:r>
      <w:r>
        <w:rPr>
          <w:spacing w:val="-3"/>
        </w:rPr>
        <w:t> </w:t>
      </w:r>
      <w:r>
        <w:rPr/>
        <w:t>data</w:t>
      </w:r>
      <w:r>
        <w:rPr>
          <w:spacing w:val="-3"/>
        </w:rPr>
        <w:t> </w:t>
      </w:r>
      <w:r>
        <w:rPr/>
        <w:t>needed,</w:t>
      </w:r>
      <w:r>
        <w:rPr>
          <w:spacing w:val="-3"/>
        </w:rPr>
        <w:t> </w:t>
      </w:r>
      <w:r>
        <w:rPr/>
        <w:t>and</w:t>
      </w:r>
      <w:r>
        <w:rPr>
          <w:spacing w:val="-3"/>
        </w:rPr>
        <w:t> </w:t>
      </w:r>
      <w:r>
        <w:rPr/>
        <w:t>completing</w:t>
      </w:r>
      <w:r>
        <w:rPr>
          <w:spacing w:val="-3"/>
        </w:rPr>
        <w:t> </w:t>
      </w:r>
      <w:r>
        <w:rPr/>
        <w:t>and</w:t>
      </w:r>
      <w:r>
        <w:rPr>
          <w:spacing w:val="-3"/>
        </w:rPr>
        <w:t> </w:t>
      </w:r>
      <w:r>
        <w:rPr/>
        <w:t>reviewing</w:t>
      </w:r>
      <w:r>
        <w:rPr>
          <w:spacing w:val="-3"/>
        </w:rPr>
        <w:t> </w:t>
      </w:r>
      <w:r>
        <w:rPr/>
        <w:t>the</w:t>
      </w:r>
      <w:r>
        <w:rPr>
          <w:spacing w:val="-3"/>
        </w:rPr>
        <w:t> </w:t>
      </w:r>
      <w:r>
        <w:rPr/>
        <w:t>collection</w:t>
      </w:r>
      <w:r>
        <w:rPr>
          <w:spacing w:val="-3"/>
        </w:rPr>
        <w:t> </w:t>
      </w:r>
      <w:r>
        <w:rPr/>
        <w:t>of information.</w:t>
      </w:r>
      <w:r>
        <w:rPr>
          <w:spacing w:val="40"/>
        </w:rPr>
        <w:t> </w:t>
      </w:r>
      <w:r>
        <w:rPr/>
        <w:t>The</w:t>
      </w:r>
      <w:r>
        <w:rPr>
          <w:spacing w:val="-1"/>
        </w:rPr>
        <w:t> </w:t>
      </w:r>
      <w:r>
        <w:rPr/>
        <w:t>obligation</w:t>
      </w:r>
      <w:r>
        <w:rPr>
          <w:spacing w:val="-1"/>
        </w:rPr>
        <w:t> </w:t>
      </w:r>
      <w:r>
        <w:rPr/>
        <w:t>to</w:t>
      </w:r>
      <w:r>
        <w:rPr>
          <w:spacing w:val="-1"/>
        </w:rPr>
        <w:t> </w:t>
      </w:r>
      <w:r>
        <w:rPr/>
        <w:t>respond</w:t>
      </w:r>
      <w:r>
        <w:rPr>
          <w:spacing w:val="-1"/>
        </w:rPr>
        <w:t> </w:t>
      </w:r>
      <w:r>
        <w:rPr/>
        <w:t>to</w:t>
      </w:r>
      <w:r>
        <w:rPr>
          <w:spacing w:val="-1"/>
        </w:rPr>
        <w:t> </w:t>
      </w:r>
      <w:r>
        <w:rPr/>
        <w:t>this</w:t>
      </w:r>
      <w:r>
        <w:rPr>
          <w:spacing w:val="-1"/>
        </w:rPr>
        <w:t> </w:t>
      </w:r>
      <w:r>
        <w:rPr/>
        <w:t>collection</w:t>
      </w:r>
      <w:r>
        <w:rPr>
          <w:spacing w:val="-1"/>
        </w:rPr>
        <w:t> </w:t>
      </w:r>
      <w:r>
        <w:rPr/>
        <w:t>is</w:t>
      </w:r>
      <w:r>
        <w:rPr>
          <w:spacing w:val="-1"/>
        </w:rPr>
        <w:t> </w:t>
      </w:r>
      <w:r>
        <w:rPr/>
        <w:t>required</w:t>
      </w:r>
      <w:r>
        <w:rPr>
          <w:spacing w:val="-1"/>
        </w:rPr>
        <w:t> </w:t>
      </w:r>
      <w:r>
        <w:rPr/>
        <w:t>to</w:t>
      </w:r>
      <w:r>
        <w:rPr>
          <w:spacing w:val="-1"/>
        </w:rPr>
        <w:t> </w:t>
      </w:r>
      <w:r>
        <w:rPr/>
        <w:t>obtain</w:t>
      </w:r>
      <w:r>
        <w:rPr>
          <w:spacing w:val="-1"/>
        </w:rPr>
        <w:t> </w:t>
      </w:r>
      <w:r>
        <w:rPr/>
        <w:t>or</w:t>
      </w:r>
      <w:r>
        <w:rPr>
          <w:spacing w:val="-1"/>
        </w:rPr>
        <w:t> </w:t>
      </w:r>
      <w:r>
        <w:rPr/>
        <w:t>retain</w:t>
      </w:r>
      <w:r>
        <w:rPr>
          <w:spacing w:val="-1"/>
        </w:rPr>
        <w:t> </w:t>
      </w:r>
      <w:r>
        <w:rPr/>
        <w:t>benefit</w:t>
      </w:r>
      <w:r>
        <w:rPr>
          <w:spacing w:val="-1"/>
        </w:rPr>
        <w:t> </w:t>
      </w:r>
      <w:r>
        <w:rPr/>
        <w:t>under</w:t>
      </w:r>
      <w:r>
        <w:rPr>
          <w:spacing w:val="-1"/>
        </w:rPr>
        <w:t> </w:t>
      </w:r>
      <w:r>
        <w:rPr/>
        <w:t>IDEA Part C (20 U.S.C. 1400, et seq.).</w:t>
      </w:r>
      <w:r>
        <w:rPr>
          <w:spacing w:val="40"/>
        </w:rPr>
        <w:t> </w:t>
      </w:r>
      <w:r>
        <w:rPr/>
        <w:t>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9">
        <w:r>
          <w:rPr>
            <w:color w:val="0000FF"/>
            <w:u w:val="single" w:color="0000FF"/>
          </w:rPr>
          <w:t>jennifer.simpson@ed.gov /</w:t>
        </w:r>
      </w:hyperlink>
      <w:r>
        <w:rPr>
          <w:color w:val="0000FF"/>
          <w:u w:val="none"/>
        </w:rPr>
        <w:t> </w:t>
      </w:r>
      <w:r>
        <w:rPr>
          <w:u w:val="none"/>
        </w:rPr>
        <w:t>(202) 245-6042 directly.</w:t>
      </w:r>
    </w:p>
    <w:p>
      <w:pPr>
        <w:pStyle w:val="BodyText"/>
        <w:spacing w:after="0"/>
        <w:sectPr>
          <w:pgSz w:w="12240" w:h="15840"/>
          <w:pgMar w:top="1820" w:bottom="280" w:left="720" w:right="720"/>
        </w:sectPr>
      </w:pPr>
    </w:p>
    <w:p>
      <w:pPr>
        <w:pStyle w:val="BodyText"/>
        <w:tabs>
          <w:tab w:pos="667" w:val="left" w:leader="none"/>
        </w:tabs>
        <w:spacing w:before="84"/>
        <w:ind w:right="712"/>
        <w:jc w:val="right"/>
      </w:pPr>
      <w:r>
        <w:rPr>
          <w:rFonts w:ascii="Times New Roman"/>
          <w:u w:val="single"/>
        </w:rPr>
        <w:tab/>
      </w:r>
      <w:r>
        <w:rPr>
          <w:rFonts w:ascii="Times New Roman"/>
          <w:spacing w:val="40"/>
          <w:u w:val="none"/>
        </w:rPr>
        <w:t> </w:t>
      </w:r>
      <w:r>
        <w:rPr>
          <w:u w:val="none"/>
        </w:rPr>
        <w:t>Massachusetts</w:t>
      </w:r>
    </w:p>
    <w:p>
      <w:pPr>
        <w:pStyle w:val="BodyText"/>
        <w:spacing w:before="239"/>
        <w:rPr>
          <w:sz w:val="22"/>
        </w:rPr>
      </w:pPr>
    </w:p>
    <w:p>
      <w:pPr>
        <w:spacing w:before="0"/>
        <w:ind w:left="724" w:right="0" w:firstLine="0"/>
        <w:jc w:val="left"/>
        <w:rPr>
          <w:b/>
          <w:sz w:val="28"/>
        </w:rPr>
      </w:pPr>
      <w:r>
        <w:rPr>
          <w:b/>
          <w:sz w:val="28"/>
        </w:rPr>
        <mc:AlternateContent>
          <mc:Choice Requires="wps">
            <w:drawing>
              <wp:anchor distT="0" distB="0" distL="0" distR="0" allowOverlap="1" layoutInCell="1" locked="0" behindDoc="1" simplePos="0" relativeHeight="487588352">
                <wp:simplePos x="0" y="0"/>
                <wp:positionH relativeFrom="page">
                  <wp:posOffset>899232</wp:posOffset>
                </wp:positionH>
                <wp:positionV relativeFrom="paragraph">
                  <wp:posOffset>215744</wp:posOffset>
                </wp:positionV>
                <wp:extent cx="5980430" cy="1841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5702pt;margin-top:16.987751pt;width:470.88pt;height:1.44pt;mso-position-horizontal-relative:page;mso-position-vertical-relative:paragraph;z-index:-15728128;mso-wrap-distance-left:0;mso-wrap-distance-right:0" id="docshape3" filled="true" fillcolor="#000000" stroked="false">
                <v:fill type="solid"/>
                <w10:wrap type="topAndBottom"/>
              </v:rect>
            </w:pict>
          </mc:Fallback>
        </mc:AlternateContent>
      </w:r>
      <w:r>
        <w:rPr>
          <w:b/>
          <w:smallCaps/>
          <w:sz w:val="28"/>
        </w:rPr>
        <w:t>Section</w:t>
      </w:r>
      <w:r>
        <w:rPr>
          <w:b/>
          <w:smallCaps/>
          <w:spacing w:val="-7"/>
          <w:sz w:val="28"/>
        </w:rPr>
        <w:t> </w:t>
      </w:r>
      <w:r>
        <w:rPr>
          <w:b/>
          <w:smallCaps/>
          <w:spacing w:val="-10"/>
          <w:sz w:val="28"/>
        </w:rPr>
        <w:t>I</w:t>
      </w:r>
    </w:p>
    <w:p>
      <w:pPr>
        <w:pStyle w:val="Heading1"/>
        <w:numPr>
          <w:ilvl w:val="0"/>
          <w:numId w:val="1"/>
        </w:numPr>
        <w:tabs>
          <w:tab w:pos="1123" w:val="left" w:leader="none"/>
        </w:tabs>
        <w:spacing w:line="240" w:lineRule="auto" w:before="240" w:after="0"/>
        <w:ind w:left="1123" w:right="0" w:hanging="399"/>
        <w:jc w:val="left"/>
      </w:pPr>
      <w:r>
        <w:rPr/>
        <w:t>Submission</w:t>
      </w:r>
      <w:r>
        <w:rPr>
          <w:spacing w:val="-7"/>
        </w:rPr>
        <w:t> </w:t>
      </w:r>
      <w:r>
        <w:rPr/>
        <w:t>Statements</w:t>
      </w:r>
      <w:r>
        <w:rPr>
          <w:spacing w:val="-5"/>
        </w:rPr>
        <w:t> </w:t>
      </w:r>
      <w:r>
        <w:rPr/>
        <w:t>for</w:t>
      </w:r>
      <w:r>
        <w:rPr>
          <w:spacing w:val="-5"/>
        </w:rPr>
        <w:t> </w:t>
      </w:r>
      <w:r>
        <w:rPr/>
        <w:t>Part</w:t>
      </w:r>
      <w:r>
        <w:rPr>
          <w:spacing w:val="-5"/>
        </w:rPr>
        <w:t> </w:t>
      </w:r>
      <w:r>
        <w:rPr/>
        <w:t>C</w:t>
      </w:r>
      <w:r>
        <w:rPr>
          <w:spacing w:val="-5"/>
        </w:rPr>
        <w:t> </w:t>
      </w:r>
      <w:r>
        <w:rPr/>
        <w:t>of</w:t>
      </w:r>
      <w:r>
        <w:rPr>
          <w:spacing w:val="-5"/>
        </w:rPr>
        <w:t> </w:t>
      </w:r>
      <w:r>
        <w:rPr>
          <w:spacing w:val="-4"/>
        </w:rPr>
        <w:t>IDEA</w:t>
      </w:r>
    </w:p>
    <w:p>
      <w:pPr>
        <w:pStyle w:val="BodyText"/>
        <w:spacing w:before="241"/>
        <w:ind w:left="724"/>
      </w:pPr>
      <w:r>
        <w:rPr/>
        <w:t>Select</w:t>
      </w:r>
      <w:r>
        <w:rPr>
          <w:spacing w:val="-7"/>
        </w:rPr>
        <w:t> </w:t>
      </w:r>
      <w:r>
        <w:rPr/>
        <w:t>1</w:t>
      </w:r>
      <w:r>
        <w:rPr>
          <w:spacing w:val="-4"/>
        </w:rPr>
        <w:t> </w:t>
      </w:r>
      <w:r>
        <w:rPr/>
        <w:t>or</w:t>
      </w:r>
      <w:r>
        <w:rPr>
          <w:spacing w:val="-4"/>
        </w:rPr>
        <w:t> </w:t>
      </w:r>
      <w:r>
        <w:rPr/>
        <w:t>2</w:t>
      </w:r>
      <w:r>
        <w:rPr>
          <w:spacing w:val="-5"/>
        </w:rPr>
        <w:t> </w:t>
      </w:r>
      <w:r>
        <w:rPr/>
        <w:t>below.</w:t>
      </w:r>
      <w:r>
        <w:rPr>
          <w:spacing w:val="48"/>
        </w:rPr>
        <w:t> </w:t>
      </w:r>
      <w:r>
        <w:rPr/>
        <w:t>Check</w:t>
      </w:r>
      <w:r>
        <w:rPr>
          <w:spacing w:val="-5"/>
        </w:rPr>
        <w:t> </w:t>
      </w:r>
      <w:r>
        <w:rPr/>
        <w:t>3</w:t>
      </w:r>
      <w:r>
        <w:rPr>
          <w:spacing w:val="-4"/>
        </w:rPr>
        <w:t> </w:t>
      </w:r>
      <w:r>
        <w:rPr/>
        <w:t>if</w:t>
      </w:r>
      <w:r>
        <w:rPr>
          <w:spacing w:val="-4"/>
        </w:rPr>
        <w:t> </w:t>
      </w:r>
      <w:r>
        <w:rPr>
          <w:spacing w:val="-2"/>
        </w:rPr>
        <w:t>appropriate.</w:t>
      </w:r>
    </w:p>
    <w:p>
      <w:pPr>
        <w:pStyle w:val="ListParagraph"/>
        <w:numPr>
          <w:ilvl w:val="1"/>
          <w:numId w:val="1"/>
        </w:numPr>
        <w:tabs>
          <w:tab w:pos="1001" w:val="left" w:leader="none"/>
          <w:tab w:pos="1924" w:val="left" w:leader="none"/>
        </w:tabs>
        <w:spacing w:line="240" w:lineRule="auto" w:before="120" w:after="0"/>
        <w:ind w:left="1924" w:right="722" w:hanging="1200"/>
        <w:jc w:val="left"/>
        <w:rPr>
          <w:sz w:val="20"/>
        </w:rPr>
      </w:pPr>
      <w:r>
        <w:rPr>
          <w:rFonts w:ascii="Times New Roman"/>
          <w:spacing w:val="80"/>
          <w:w w:val="150"/>
          <w:sz w:val="20"/>
          <w:u w:val="single"/>
        </w:rPr>
        <w:t> </w:t>
      </w:r>
      <w:r>
        <w:rPr>
          <w:sz w:val="20"/>
          <w:u w:val="none"/>
        </w:rPr>
        <w:t>X</w:t>
      </w:r>
      <w:r>
        <w:rPr>
          <w:rFonts w:ascii="Times New Roman"/>
          <w:spacing w:val="80"/>
          <w:w w:val="150"/>
          <w:sz w:val="20"/>
          <w:u w:val="single"/>
        </w:rPr>
        <w:t> </w:t>
      </w:r>
      <w:r>
        <w:rPr>
          <w:rFonts w:ascii="Times New Roman"/>
          <w:sz w:val="20"/>
          <w:u w:val="none"/>
        </w:rPr>
        <w:tab/>
      </w:r>
      <w:r>
        <w:rPr>
          <w:sz w:val="20"/>
          <w:u w:val="none"/>
        </w:rPr>
        <w:t>The</w:t>
      </w:r>
      <w:r>
        <w:rPr>
          <w:spacing w:val="-4"/>
          <w:sz w:val="20"/>
          <w:u w:val="none"/>
        </w:rPr>
        <w:t> </w:t>
      </w:r>
      <w:r>
        <w:rPr>
          <w:sz w:val="20"/>
          <w:u w:val="none"/>
        </w:rPr>
        <w:t>State's</w:t>
      </w:r>
      <w:r>
        <w:rPr>
          <w:spacing w:val="-4"/>
          <w:sz w:val="20"/>
          <w:u w:val="none"/>
        </w:rPr>
        <w:t> </w:t>
      </w:r>
      <w:r>
        <w:rPr>
          <w:sz w:val="20"/>
          <w:u w:val="none"/>
        </w:rPr>
        <w:t>policies,</w:t>
      </w:r>
      <w:r>
        <w:rPr>
          <w:spacing w:val="-4"/>
          <w:sz w:val="20"/>
          <w:u w:val="none"/>
        </w:rPr>
        <w:t> </w:t>
      </w:r>
      <w:r>
        <w:rPr>
          <w:sz w:val="20"/>
          <w:u w:val="none"/>
        </w:rPr>
        <w:t>procedures,</w:t>
      </w:r>
      <w:r>
        <w:rPr>
          <w:spacing w:val="-4"/>
          <w:sz w:val="20"/>
          <w:u w:val="none"/>
        </w:rPr>
        <w:t> </w:t>
      </w:r>
      <w:r>
        <w:rPr>
          <w:sz w:val="20"/>
          <w:u w:val="none"/>
        </w:rPr>
        <w:t>methods,</w:t>
      </w:r>
      <w:r>
        <w:rPr>
          <w:spacing w:val="-4"/>
          <w:sz w:val="20"/>
          <w:u w:val="none"/>
        </w:rPr>
        <w:t> </w:t>
      </w:r>
      <w:r>
        <w:rPr>
          <w:sz w:val="20"/>
          <w:u w:val="none"/>
        </w:rPr>
        <w:t>descriptions,</w:t>
      </w:r>
      <w:r>
        <w:rPr>
          <w:spacing w:val="-4"/>
          <w:sz w:val="20"/>
          <w:u w:val="none"/>
        </w:rPr>
        <w:t> </w:t>
      </w:r>
      <w:r>
        <w:rPr>
          <w:sz w:val="20"/>
          <w:u w:val="none"/>
        </w:rPr>
        <w:t>certifications,</w:t>
      </w:r>
      <w:r>
        <w:rPr>
          <w:spacing w:val="-4"/>
          <w:sz w:val="20"/>
          <w:u w:val="none"/>
        </w:rPr>
        <w:t> </w:t>
      </w:r>
      <w:r>
        <w:rPr>
          <w:sz w:val="20"/>
          <w:u w:val="none"/>
        </w:rPr>
        <w:t>and</w:t>
      </w:r>
      <w:r>
        <w:rPr>
          <w:spacing w:val="-4"/>
          <w:sz w:val="20"/>
          <w:u w:val="none"/>
        </w:rPr>
        <w:t> </w:t>
      </w:r>
      <w:r>
        <w:rPr>
          <w:sz w:val="20"/>
          <w:u w:val="none"/>
        </w:rPr>
        <w:t>assurances</w:t>
      </w:r>
      <w:r>
        <w:rPr>
          <w:spacing w:val="-4"/>
          <w:sz w:val="20"/>
          <w:u w:val="none"/>
        </w:rPr>
        <w:t> </w:t>
      </w:r>
      <w:r>
        <w:rPr>
          <w:sz w:val="20"/>
          <w:u w:val="none"/>
        </w:rPr>
        <w:t>meet all application requirements of Part C of the</w:t>
      </w:r>
      <w:r>
        <w:rPr>
          <w:spacing w:val="-4"/>
          <w:sz w:val="20"/>
          <w:u w:val="none"/>
        </w:rPr>
        <w:t> </w:t>
      </w:r>
      <w:r>
        <w:rPr>
          <w:sz w:val="20"/>
          <w:u w:val="none"/>
        </w:rPr>
        <w:t>Act as found in the Individuals with Disabilities Education</w:t>
      </w:r>
      <w:r>
        <w:rPr>
          <w:spacing w:val="-14"/>
          <w:sz w:val="20"/>
          <w:u w:val="none"/>
        </w:rPr>
        <w:t> </w:t>
      </w:r>
      <w:r>
        <w:rPr>
          <w:sz w:val="20"/>
          <w:u w:val="none"/>
        </w:rPr>
        <w:t>Act</w:t>
      </w:r>
      <w:r>
        <w:rPr>
          <w:spacing w:val="-3"/>
          <w:sz w:val="20"/>
          <w:u w:val="none"/>
        </w:rPr>
        <w:t> </w:t>
      </w:r>
      <w:r>
        <w:rPr>
          <w:sz w:val="20"/>
          <w:u w:val="none"/>
        </w:rPr>
        <w:t>(IDEA),</w:t>
      </w:r>
      <w:r>
        <w:rPr>
          <w:spacing w:val="-3"/>
          <w:sz w:val="20"/>
          <w:u w:val="none"/>
        </w:rPr>
        <w:t> </w:t>
      </w:r>
      <w:r>
        <w:rPr>
          <w:sz w:val="20"/>
          <w:u w:val="none"/>
        </w:rPr>
        <w:t>codified</w:t>
      </w:r>
      <w:r>
        <w:rPr>
          <w:spacing w:val="-3"/>
          <w:sz w:val="20"/>
          <w:u w:val="none"/>
        </w:rPr>
        <w:t> </w:t>
      </w:r>
      <w:r>
        <w:rPr>
          <w:sz w:val="20"/>
          <w:u w:val="none"/>
        </w:rPr>
        <w:t>at</w:t>
      </w:r>
      <w:r>
        <w:rPr>
          <w:spacing w:val="-3"/>
          <w:sz w:val="20"/>
          <w:u w:val="none"/>
        </w:rPr>
        <w:t> </w:t>
      </w:r>
      <w:r>
        <w:rPr>
          <w:sz w:val="20"/>
          <w:u w:val="none"/>
        </w:rPr>
        <w:t>20</w:t>
      </w:r>
      <w:r>
        <w:rPr>
          <w:spacing w:val="-3"/>
          <w:sz w:val="20"/>
          <w:u w:val="none"/>
        </w:rPr>
        <w:t> </w:t>
      </w:r>
      <w:r>
        <w:rPr>
          <w:sz w:val="20"/>
          <w:u w:val="none"/>
        </w:rPr>
        <w:t>U.S.C.</w:t>
      </w:r>
      <w:r>
        <w:rPr>
          <w:spacing w:val="-3"/>
          <w:sz w:val="20"/>
          <w:u w:val="none"/>
        </w:rPr>
        <w:t> </w:t>
      </w:r>
      <w:r>
        <w:rPr>
          <w:sz w:val="20"/>
          <w:u w:val="none"/>
        </w:rPr>
        <w:t>1431</w:t>
      </w:r>
      <w:r>
        <w:rPr>
          <w:spacing w:val="-3"/>
          <w:sz w:val="20"/>
          <w:u w:val="none"/>
        </w:rPr>
        <w:t> </w:t>
      </w:r>
      <w:r>
        <w:rPr>
          <w:sz w:val="20"/>
          <w:u w:val="none"/>
        </w:rPr>
        <w:t>through</w:t>
      </w:r>
      <w:r>
        <w:rPr>
          <w:spacing w:val="-3"/>
          <w:sz w:val="20"/>
          <w:u w:val="none"/>
        </w:rPr>
        <w:t> </w:t>
      </w:r>
      <w:r>
        <w:rPr>
          <w:sz w:val="20"/>
          <w:u w:val="none"/>
        </w:rPr>
        <w:t>1443</w:t>
      </w:r>
      <w:r>
        <w:rPr>
          <w:spacing w:val="-3"/>
          <w:sz w:val="20"/>
          <w:u w:val="none"/>
        </w:rPr>
        <w:t> </w:t>
      </w:r>
      <w:r>
        <w:rPr>
          <w:sz w:val="20"/>
          <w:u w:val="none"/>
        </w:rPr>
        <w:t>and</w:t>
      </w:r>
      <w:r>
        <w:rPr>
          <w:spacing w:val="-3"/>
          <w:sz w:val="20"/>
          <w:u w:val="none"/>
        </w:rPr>
        <w:t> </w:t>
      </w:r>
      <w:r>
        <w:rPr>
          <w:sz w:val="20"/>
          <w:u w:val="none"/>
        </w:rPr>
        <w:t>the</w:t>
      </w:r>
      <w:r>
        <w:rPr>
          <w:spacing w:val="-3"/>
          <w:sz w:val="20"/>
          <w:u w:val="none"/>
        </w:rPr>
        <w:t> </w:t>
      </w:r>
      <w:r>
        <w:rPr>
          <w:sz w:val="20"/>
          <w:u w:val="none"/>
        </w:rPr>
        <w:t>Part</w:t>
      </w:r>
      <w:r>
        <w:rPr>
          <w:spacing w:val="-3"/>
          <w:sz w:val="20"/>
          <w:u w:val="none"/>
        </w:rPr>
        <w:t> </w:t>
      </w:r>
      <w:r>
        <w:rPr>
          <w:sz w:val="20"/>
          <w:u w:val="none"/>
        </w:rPr>
        <w:t>C</w:t>
      </w:r>
      <w:r>
        <w:rPr>
          <w:spacing w:val="-4"/>
          <w:sz w:val="20"/>
          <w:u w:val="none"/>
        </w:rPr>
        <w:t> </w:t>
      </w:r>
      <w:r>
        <w:rPr>
          <w:sz w:val="20"/>
          <w:u w:val="none"/>
        </w:rPr>
        <w:t>regulations</w:t>
      </w:r>
      <w:r>
        <w:rPr>
          <w:spacing w:val="-3"/>
          <w:sz w:val="20"/>
          <w:u w:val="none"/>
        </w:rPr>
        <w:t> </w:t>
      </w:r>
      <w:r>
        <w:rPr>
          <w:sz w:val="20"/>
          <w:u w:val="none"/>
        </w:rPr>
        <w:t>in 34 CFR Part 303. The State is able to provide and/or meet all policies, procedures,</w:t>
      </w:r>
      <w:r>
        <w:rPr>
          <w:spacing w:val="40"/>
          <w:sz w:val="20"/>
          <w:u w:val="none"/>
        </w:rPr>
        <w:t> </w:t>
      </w:r>
      <w:r>
        <w:rPr>
          <w:sz w:val="20"/>
          <w:u w:val="none"/>
        </w:rPr>
        <w:t>methods, descriptions, and assurances, found in Sections II.A</w:t>
      </w:r>
      <w:r>
        <w:rPr>
          <w:spacing w:val="-3"/>
          <w:sz w:val="20"/>
          <w:u w:val="none"/>
        </w:rPr>
        <w:t> </w:t>
      </w:r>
      <w:r>
        <w:rPr>
          <w:sz w:val="20"/>
          <w:u w:val="none"/>
        </w:rPr>
        <w:t>and II.B of this</w:t>
      </w:r>
      <w:r>
        <w:rPr>
          <w:spacing w:val="-2"/>
          <w:sz w:val="20"/>
          <w:u w:val="none"/>
        </w:rPr>
        <w:t> </w:t>
      </w:r>
      <w:r>
        <w:rPr>
          <w:sz w:val="20"/>
          <w:u w:val="none"/>
        </w:rPr>
        <w:t>Application.</w:t>
      </w:r>
    </w:p>
    <w:p>
      <w:pPr>
        <w:pStyle w:val="BodyText"/>
        <w:spacing w:line="237" w:lineRule="auto" w:before="124"/>
        <w:ind w:left="1924" w:right="798"/>
      </w:pPr>
      <w:r>
        <w:rPr/>
        <w:t>By</w:t>
      </w:r>
      <w:r>
        <w:rPr>
          <w:spacing w:val="-3"/>
        </w:rPr>
        <w:t> </w:t>
      </w:r>
      <w:r>
        <w:rPr/>
        <w:t>selecting</w:t>
      </w:r>
      <w:r>
        <w:rPr>
          <w:spacing w:val="-3"/>
        </w:rPr>
        <w:t> </w:t>
      </w:r>
      <w:r>
        <w:rPr/>
        <w:t>this</w:t>
      </w:r>
      <w:r>
        <w:rPr>
          <w:spacing w:val="-3"/>
        </w:rPr>
        <w:t> </w:t>
      </w:r>
      <w:r>
        <w:rPr/>
        <w:t>submission</w:t>
      </w:r>
      <w:r>
        <w:rPr>
          <w:spacing w:val="-3"/>
        </w:rPr>
        <w:t> </w:t>
      </w:r>
      <w:r>
        <w:rPr/>
        <w:t>statement</w:t>
      </w:r>
      <w:r>
        <w:rPr>
          <w:spacing w:val="-3"/>
        </w:rPr>
        <w:t> </w:t>
      </w:r>
      <w:r>
        <w:rPr/>
        <w:t>the</w:t>
      </w:r>
      <w:r>
        <w:rPr>
          <w:spacing w:val="-3"/>
        </w:rPr>
        <w:t> </w:t>
      </w:r>
      <w:r>
        <w:rPr/>
        <w:t>State</w:t>
      </w:r>
      <w:r>
        <w:rPr>
          <w:spacing w:val="-3"/>
        </w:rPr>
        <w:t> </w:t>
      </w:r>
      <w:r>
        <w:rPr/>
        <w:t>either</w:t>
      </w:r>
      <w:r>
        <w:rPr>
          <w:spacing w:val="-3"/>
        </w:rPr>
        <w:t> </w:t>
      </w:r>
      <w:r>
        <w:rPr/>
        <w:t>has</w:t>
      </w:r>
      <w:r>
        <w:rPr>
          <w:spacing w:val="-3"/>
        </w:rPr>
        <w:t> </w:t>
      </w:r>
      <w:r>
        <w:rPr/>
        <w:t>on</w:t>
      </w:r>
      <w:r>
        <w:rPr>
          <w:spacing w:val="-3"/>
        </w:rPr>
        <w:t> </w:t>
      </w:r>
      <w:r>
        <w:rPr/>
        <w:t>file</w:t>
      </w:r>
      <w:r>
        <w:rPr>
          <w:spacing w:val="-3"/>
        </w:rPr>
        <w:t> </w:t>
      </w:r>
      <w:r>
        <w:rPr/>
        <w:t>with</w:t>
      </w:r>
      <w:r>
        <w:rPr>
          <w:spacing w:val="-3"/>
        </w:rPr>
        <w:t> </w:t>
      </w:r>
      <w:r>
        <w:rPr/>
        <w:t>the</w:t>
      </w:r>
      <w:r>
        <w:rPr>
          <w:spacing w:val="-3"/>
        </w:rPr>
        <w:t> </w:t>
      </w:r>
      <w:r>
        <w:rPr/>
        <w:t>Secretary</w:t>
      </w:r>
      <w:r>
        <w:rPr>
          <w:spacing w:val="-3"/>
        </w:rPr>
        <w:t> </w:t>
      </w:r>
      <w:r>
        <w:rPr/>
        <w:t>or</w:t>
      </w:r>
      <w:r>
        <w:rPr>
          <w:spacing w:val="-3"/>
        </w:rPr>
        <w:t> </w:t>
      </w:r>
      <w:r>
        <w:rPr/>
        <w:t>has submitted new or revised State policies, procedures, methods, and descriptions that meet all requirements found in Section II.A.</w:t>
      </w:r>
    </w:p>
    <w:p>
      <w:pPr>
        <w:pStyle w:val="ListParagraph"/>
        <w:numPr>
          <w:ilvl w:val="1"/>
          <w:numId w:val="1"/>
        </w:numPr>
        <w:tabs>
          <w:tab w:pos="1001" w:val="left" w:leader="none"/>
          <w:tab w:pos="1558" w:val="left" w:leader="none"/>
          <w:tab w:pos="1924" w:val="left" w:leader="none"/>
        </w:tabs>
        <w:spacing w:line="240" w:lineRule="auto" w:before="122" w:after="0"/>
        <w:ind w:left="1924" w:right="725" w:hanging="1200"/>
        <w:jc w:val="left"/>
        <w:rPr>
          <w:sz w:val="20"/>
        </w:rPr>
      </w:pPr>
      <w:r>
        <w:rPr>
          <w:rFonts w:ascii="Times New Roman" w:hAnsi="Times New Roman"/>
          <w:sz w:val="20"/>
          <w:u w:val="single"/>
        </w:rPr>
        <w:tab/>
      </w:r>
      <w:r>
        <w:rPr>
          <w:rFonts w:ascii="Times New Roman" w:hAnsi="Times New Roman"/>
          <w:sz w:val="20"/>
          <w:u w:val="none"/>
        </w:rPr>
        <w:tab/>
      </w:r>
      <w:r>
        <w:rPr>
          <w:sz w:val="20"/>
          <w:u w:val="none"/>
        </w:rPr>
        <w:t>The State cannot provide the policies, procedures, methods, descriptions, and/or assurances for all application requirements of Part C of the</w:t>
      </w:r>
      <w:r>
        <w:rPr>
          <w:spacing w:val="-5"/>
          <w:sz w:val="20"/>
          <w:u w:val="none"/>
        </w:rPr>
        <w:t> </w:t>
      </w:r>
      <w:r>
        <w:rPr>
          <w:sz w:val="20"/>
          <w:u w:val="none"/>
        </w:rPr>
        <w:t>Act as found in Part C of the IDEA, 20 U.S.C. 1431 through 1443 and the Part C regulations in 34 CFR Part 303. The State has determined that </w:t>
      </w:r>
      <w:r>
        <w:rPr>
          <w:sz w:val="20"/>
          <w:u w:val="single"/>
        </w:rPr>
        <w:t>it is unable</w:t>
      </w:r>
      <w:r>
        <w:rPr>
          <w:sz w:val="20"/>
          <w:u w:val="none"/>
        </w:rPr>
        <w:t> to provide the policies, procedures, methods, descriptions,</w:t>
      </w:r>
      <w:r>
        <w:rPr>
          <w:spacing w:val="-5"/>
          <w:sz w:val="20"/>
          <w:u w:val="none"/>
        </w:rPr>
        <w:t> </w:t>
      </w:r>
      <w:r>
        <w:rPr>
          <w:sz w:val="20"/>
          <w:u w:val="none"/>
        </w:rPr>
        <w:t>and/or</w:t>
      </w:r>
      <w:r>
        <w:rPr>
          <w:spacing w:val="-4"/>
          <w:sz w:val="20"/>
          <w:u w:val="none"/>
        </w:rPr>
        <w:t> </w:t>
      </w:r>
      <w:r>
        <w:rPr>
          <w:sz w:val="20"/>
          <w:u w:val="none"/>
        </w:rPr>
        <w:t>assurances</w:t>
      </w:r>
      <w:r>
        <w:rPr>
          <w:spacing w:val="-5"/>
          <w:sz w:val="20"/>
          <w:u w:val="none"/>
        </w:rPr>
        <w:t> </w:t>
      </w:r>
      <w:r>
        <w:rPr>
          <w:sz w:val="20"/>
          <w:u w:val="single"/>
        </w:rPr>
        <w:t>that</w:t>
      </w:r>
      <w:r>
        <w:rPr>
          <w:spacing w:val="-4"/>
          <w:sz w:val="20"/>
          <w:u w:val="single"/>
        </w:rPr>
        <w:t> </w:t>
      </w:r>
      <w:r>
        <w:rPr>
          <w:sz w:val="20"/>
          <w:u w:val="single"/>
        </w:rPr>
        <w:t>are</w:t>
      </w:r>
      <w:r>
        <w:rPr>
          <w:spacing w:val="-4"/>
          <w:sz w:val="20"/>
          <w:u w:val="single"/>
        </w:rPr>
        <w:t> </w:t>
      </w:r>
      <w:r>
        <w:rPr>
          <w:sz w:val="20"/>
          <w:u w:val="single"/>
        </w:rPr>
        <w:t>checked</w:t>
      </w:r>
      <w:r>
        <w:rPr>
          <w:spacing w:val="-4"/>
          <w:sz w:val="20"/>
          <w:u w:val="single"/>
        </w:rPr>
        <w:t> </w:t>
      </w:r>
      <w:r>
        <w:rPr>
          <w:sz w:val="20"/>
          <w:u w:val="single"/>
        </w:rPr>
        <w:t>'No'</w:t>
      </w:r>
      <w:r>
        <w:rPr>
          <w:spacing w:val="-4"/>
          <w:sz w:val="20"/>
          <w:u w:val="single"/>
        </w:rPr>
        <w:t> </w:t>
      </w:r>
      <w:r>
        <w:rPr>
          <w:sz w:val="20"/>
          <w:u w:val="single"/>
        </w:rPr>
        <w:t>in</w:t>
      </w:r>
      <w:r>
        <w:rPr>
          <w:spacing w:val="-4"/>
          <w:sz w:val="20"/>
          <w:u w:val="single"/>
        </w:rPr>
        <w:t> </w:t>
      </w:r>
      <w:r>
        <w:rPr>
          <w:sz w:val="20"/>
          <w:u w:val="single"/>
        </w:rPr>
        <w:t>Sections</w:t>
      </w:r>
      <w:r>
        <w:rPr>
          <w:spacing w:val="-4"/>
          <w:sz w:val="20"/>
          <w:u w:val="single"/>
        </w:rPr>
        <w:t> </w:t>
      </w:r>
      <w:r>
        <w:rPr>
          <w:sz w:val="20"/>
          <w:u w:val="single"/>
        </w:rPr>
        <w:t>II.A</w:t>
      </w:r>
      <w:r>
        <w:rPr>
          <w:spacing w:val="-14"/>
          <w:sz w:val="20"/>
          <w:u w:val="single"/>
        </w:rPr>
        <w:t> </w:t>
      </w:r>
      <w:r>
        <w:rPr>
          <w:sz w:val="20"/>
          <w:u w:val="single"/>
        </w:rPr>
        <w:t>and</w:t>
      </w:r>
      <w:r>
        <w:rPr>
          <w:spacing w:val="-4"/>
          <w:sz w:val="20"/>
          <w:u w:val="single"/>
        </w:rPr>
        <w:t> </w:t>
      </w:r>
      <w:r>
        <w:rPr>
          <w:sz w:val="20"/>
          <w:u w:val="single"/>
        </w:rPr>
        <w:t>II.B</w:t>
      </w:r>
      <w:r>
        <w:rPr>
          <w:sz w:val="20"/>
          <w:u w:val="none"/>
        </w:rPr>
        <w:t>.</w:t>
      </w:r>
      <w:r>
        <w:rPr>
          <w:spacing w:val="-4"/>
          <w:sz w:val="20"/>
          <w:u w:val="none"/>
        </w:rPr>
        <w:t> </w:t>
      </w:r>
      <w:r>
        <w:rPr>
          <w:sz w:val="20"/>
          <w:u w:val="none"/>
        </w:rPr>
        <w:t>However,</w:t>
      </w:r>
      <w:r>
        <w:rPr>
          <w:spacing w:val="-4"/>
          <w:sz w:val="20"/>
          <w:u w:val="none"/>
        </w:rPr>
        <w:t> </w:t>
      </w:r>
      <w:r>
        <w:rPr>
          <w:sz w:val="20"/>
          <w:u w:val="none"/>
        </w:rPr>
        <w:t>the State assures that throughout the period of this grant award the State will operate consistently with all requirements of IDEA</w:t>
      </w:r>
      <w:r>
        <w:rPr>
          <w:spacing w:val="-6"/>
          <w:sz w:val="20"/>
          <w:u w:val="none"/>
        </w:rPr>
        <w:t> </w:t>
      </w:r>
      <w:r>
        <w:rPr>
          <w:sz w:val="20"/>
          <w:u w:val="none"/>
        </w:rPr>
        <w:t>in 20 U.S.C. 1431 through 1443 and the 2011</w:t>
      </w:r>
      <w:r>
        <w:rPr>
          <w:spacing w:val="40"/>
          <w:sz w:val="20"/>
          <w:u w:val="none"/>
        </w:rPr>
        <w:t> </w:t>
      </w:r>
      <w:r>
        <w:rPr>
          <w:sz w:val="20"/>
          <w:u w:val="none"/>
        </w:rPr>
        <w:t>Part C</w:t>
      </w:r>
      <w:r>
        <w:rPr>
          <w:spacing w:val="-1"/>
          <w:sz w:val="20"/>
          <w:u w:val="none"/>
        </w:rPr>
        <w:t> </w:t>
      </w:r>
      <w:r>
        <w:rPr>
          <w:sz w:val="20"/>
          <w:u w:val="none"/>
        </w:rPr>
        <w:t>regulations in 34 CFR</w:t>
      </w:r>
      <w:r>
        <w:rPr>
          <w:spacing w:val="-1"/>
          <w:sz w:val="20"/>
          <w:u w:val="none"/>
        </w:rPr>
        <w:t> </w:t>
      </w:r>
      <w:r>
        <w:rPr>
          <w:sz w:val="20"/>
          <w:u w:val="none"/>
        </w:rPr>
        <w:t>Part 303.</w:t>
      </w:r>
      <w:r>
        <w:rPr>
          <w:spacing w:val="-4"/>
          <w:sz w:val="20"/>
          <w:u w:val="none"/>
        </w:rPr>
        <w:t> </w:t>
      </w:r>
      <w:r>
        <w:rPr>
          <w:sz w:val="20"/>
          <w:u w:val="none"/>
        </w:rPr>
        <w:t>The State will develop and/or make such changes to existing policies, procedures, methods, descriptions, and assurances as are necessary to bring the policies, procedures, methods, descriptions, and assurances into compliance with the requirements of the IDEA</w:t>
      </w:r>
      <w:r>
        <w:rPr>
          <w:spacing w:val="-11"/>
          <w:sz w:val="20"/>
          <w:u w:val="none"/>
        </w:rPr>
        <w:t> </w:t>
      </w:r>
      <w:r>
        <w:rPr>
          <w:sz w:val="20"/>
          <w:u w:val="none"/>
        </w:rPr>
        <w:t>Part C</w:t>
      </w:r>
      <w:r>
        <w:rPr>
          <w:spacing w:val="-11"/>
          <w:sz w:val="20"/>
          <w:u w:val="none"/>
        </w:rPr>
        <w:t> </w:t>
      </w:r>
      <w:r>
        <w:rPr>
          <w:sz w:val="20"/>
          <w:u w:val="none"/>
        </w:rPr>
        <w:t>Act and regulations, as amended, as soon as possible, and not later than June 30, 2023. </w:t>
      </w:r>
      <w:r>
        <w:rPr>
          <w:sz w:val="20"/>
          <w:u w:val="single"/>
        </w:rPr>
        <w:t>The State has included the date by which it expects to</w:t>
      </w:r>
      <w:r>
        <w:rPr>
          <w:sz w:val="20"/>
          <w:u w:val="none"/>
        </w:rPr>
        <w:t> </w:t>
      </w:r>
      <w:r>
        <w:rPr>
          <w:sz w:val="20"/>
          <w:u w:val="single"/>
        </w:rPr>
        <w:t>complete necessary changes associated with policies, procedures, methods, descriptions,</w:t>
      </w:r>
      <w:r>
        <w:rPr>
          <w:sz w:val="20"/>
          <w:u w:val="none"/>
        </w:rPr>
        <w:t> </w:t>
      </w:r>
      <w:r>
        <w:rPr>
          <w:sz w:val="20"/>
          <w:u w:val="single"/>
        </w:rPr>
        <w:t>and assurances marked 'No'. The items checked ‘Yes’</w:t>
      </w:r>
      <w:r>
        <w:rPr>
          <w:spacing w:val="-3"/>
          <w:sz w:val="20"/>
          <w:u w:val="single"/>
        </w:rPr>
        <w:t> </w:t>
      </w:r>
      <w:r>
        <w:rPr>
          <w:sz w:val="20"/>
          <w:u w:val="single"/>
        </w:rPr>
        <w:t>in Section II.A</w:t>
      </w:r>
      <w:r>
        <w:rPr>
          <w:spacing w:val="-10"/>
          <w:sz w:val="20"/>
          <w:u w:val="single"/>
        </w:rPr>
        <w:t> </w:t>
      </w:r>
      <w:r>
        <w:rPr>
          <w:sz w:val="20"/>
          <w:u w:val="single"/>
        </w:rPr>
        <w:t>are enclosed with this</w:t>
      </w:r>
      <w:r>
        <w:rPr>
          <w:sz w:val="20"/>
          <w:u w:val="none"/>
        </w:rPr>
        <w:t> </w:t>
      </w:r>
      <w:r>
        <w:rPr>
          <w:sz w:val="20"/>
          <w:u w:val="single"/>
        </w:rPr>
        <w:t>application as revised or new or are identified as “OF” already on file with the Secretary</w:t>
      </w:r>
      <w:r>
        <w:rPr>
          <w:sz w:val="20"/>
          <w:u w:val="none"/>
        </w:rPr>
        <w:t>.</w:t>
      </w:r>
      <w:r>
        <w:rPr>
          <w:sz w:val="20"/>
          <w:u w:val="none"/>
          <w:vertAlign w:val="superscript"/>
        </w:rPr>
        <w:t>1</w:t>
      </w:r>
    </w:p>
    <w:p>
      <w:pPr>
        <w:pStyle w:val="BodyText"/>
        <w:spacing w:before="121"/>
        <w:ind w:left="724"/>
      </w:pPr>
      <w:r>
        <w:rPr>
          <w:spacing w:val="-2"/>
        </w:rPr>
        <w:t>Optional:</w:t>
      </w:r>
    </w:p>
    <w:p>
      <w:pPr>
        <w:pStyle w:val="ListParagraph"/>
        <w:numPr>
          <w:ilvl w:val="1"/>
          <w:numId w:val="1"/>
        </w:numPr>
        <w:tabs>
          <w:tab w:pos="1001" w:val="left" w:leader="none"/>
          <w:tab w:pos="1558" w:val="left" w:leader="none"/>
          <w:tab w:pos="1919" w:val="left" w:leader="none"/>
        </w:tabs>
        <w:spacing w:line="240" w:lineRule="auto" w:before="121" w:after="0"/>
        <w:ind w:left="1919" w:right="786" w:hanging="1195"/>
        <w:jc w:val="left"/>
        <w:rPr>
          <w:sz w:val="20"/>
        </w:rPr>
      </w:pPr>
      <w:r>
        <w:rPr>
          <w:rFonts w:ascii="Times New Roman" w:hAnsi="Times New Roman"/>
          <w:sz w:val="20"/>
          <w:u w:val="single"/>
        </w:rPr>
        <w:tab/>
      </w:r>
      <w:r>
        <w:rPr>
          <w:rFonts w:ascii="Times New Roman" w:hAnsi="Times New Roman"/>
          <w:sz w:val="20"/>
          <w:u w:val="none"/>
        </w:rPr>
        <w:tab/>
      </w:r>
      <w:r>
        <w:rPr>
          <w:sz w:val="20"/>
          <w:u w:val="none"/>
        </w:rPr>
        <w:t>The</w:t>
      </w:r>
      <w:r>
        <w:rPr>
          <w:spacing w:val="-2"/>
          <w:sz w:val="20"/>
          <w:u w:val="none"/>
        </w:rPr>
        <w:t> </w:t>
      </w:r>
      <w:r>
        <w:rPr>
          <w:sz w:val="20"/>
          <w:u w:val="none"/>
        </w:rPr>
        <w:t>State</w:t>
      </w:r>
      <w:r>
        <w:rPr>
          <w:spacing w:val="-2"/>
          <w:sz w:val="20"/>
          <w:u w:val="none"/>
        </w:rPr>
        <w:t> </w:t>
      </w:r>
      <w:r>
        <w:rPr>
          <w:sz w:val="20"/>
          <w:u w:val="none"/>
        </w:rPr>
        <w:t>is</w:t>
      </w:r>
      <w:r>
        <w:rPr>
          <w:spacing w:val="-2"/>
          <w:sz w:val="20"/>
          <w:u w:val="none"/>
        </w:rPr>
        <w:t> </w:t>
      </w:r>
      <w:r>
        <w:rPr>
          <w:sz w:val="20"/>
          <w:u w:val="none"/>
        </w:rPr>
        <w:t>submitting</w:t>
      </w:r>
      <w:r>
        <w:rPr>
          <w:spacing w:val="-2"/>
          <w:sz w:val="20"/>
          <w:u w:val="none"/>
        </w:rPr>
        <w:t> </w:t>
      </w:r>
      <w:r>
        <w:rPr>
          <w:sz w:val="20"/>
          <w:u w:val="none"/>
        </w:rPr>
        <w:t>new</w:t>
      </w:r>
      <w:r>
        <w:rPr>
          <w:spacing w:val="-3"/>
          <w:sz w:val="20"/>
          <w:u w:val="none"/>
        </w:rPr>
        <w:t> </w:t>
      </w:r>
      <w:r>
        <w:rPr>
          <w:sz w:val="20"/>
          <w:u w:val="none"/>
        </w:rPr>
        <w:t>or</w:t>
      </w:r>
      <w:r>
        <w:rPr>
          <w:spacing w:val="-2"/>
          <w:sz w:val="20"/>
          <w:u w:val="none"/>
        </w:rPr>
        <w:t> </w:t>
      </w:r>
      <w:r>
        <w:rPr>
          <w:sz w:val="20"/>
          <w:u w:val="none"/>
        </w:rPr>
        <w:t>modified</w:t>
      </w:r>
      <w:r>
        <w:rPr>
          <w:spacing w:val="-2"/>
          <w:sz w:val="20"/>
          <w:u w:val="none"/>
        </w:rPr>
        <w:t> </w:t>
      </w:r>
      <w:r>
        <w:rPr>
          <w:sz w:val="20"/>
          <w:u w:val="none"/>
        </w:rPr>
        <w:t>State</w:t>
      </w:r>
      <w:r>
        <w:rPr>
          <w:spacing w:val="-2"/>
          <w:sz w:val="20"/>
          <w:u w:val="none"/>
        </w:rPr>
        <w:t> </w:t>
      </w:r>
      <w:r>
        <w:rPr>
          <w:sz w:val="20"/>
          <w:u w:val="none"/>
        </w:rPr>
        <w:t>policies</w:t>
      </w:r>
      <w:r>
        <w:rPr>
          <w:spacing w:val="-2"/>
          <w:sz w:val="20"/>
          <w:u w:val="none"/>
        </w:rPr>
        <w:t> </w:t>
      </w:r>
      <w:r>
        <w:rPr>
          <w:sz w:val="20"/>
          <w:u w:val="none"/>
        </w:rPr>
        <w:t>and</w:t>
      </w:r>
      <w:r>
        <w:rPr>
          <w:spacing w:val="-2"/>
          <w:sz w:val="20"/>
          <w:u w:val="none"/>
        </w:rPr>
        <w:t> </w:t>
      </w:r>
      <w:r>
        <w:rPr>
          <w:sz w:val="20"/>
          <w:u w:val="none"/>
        </w:rPr>
        <w:t>procedures</w:t>
      </w:r>
      <w:r>
        <w:rPr>
          <w:spacing w:val="-2"/>
          <w:sz w:val="20"/>
          <w:u w:val="none"/>
        </w:rPr>
        <w:t> </w:t>
      </w:r>
      <w:r>
        <w:rPr>
          <w:sz w:val="20"/>
          <w:u w:val="none"/>
        </w:rPr>
        <w:t>previously</w:t>
      </w:r>
      <w:r>
        <w:rPr>
          <w:spacing w:val="-2"/>
          <w:sz w:val="20"/>
          <w:u w:val="none"/>
        </w:rPr>
        <w:t> </w:t>
      </w:r>
      <w:r>
        <w:rPr>
          <w:sz w:val="20"/>
          <w:u w:val="none"/>
        </w:rPr>
        <w:t>submitted to the Department and checked in Section II.A, “N”, “R” or “OF” cell(s) found in the 'Yes' column.</w:t>
      </w:r>
      <w:r>
        <w:rPr>
          <w:spacing w:val="-7"/>
          <w:sz w:val="20"/>
          <w:u w:val="none"/>
        </w:rPr>
        <w:t> </w:t>
      </w:r>
      <w:r>
        <w:rPr>
          <w:sz w:val="20"/>
          <w:u w:val="none"/>
        </w:rPr>
        <w:t>These</w:t>
      </w:r>
      <w:r>
        <w:rPr>
          <w:spacing w:val="-3"/>
          <w:sz w:val="20"/>
          <w:u w:val="none"/>
        </w:rPr>
        <w:t> </w:t>
      </w:r>
      <w:r>
        <w:rPr>
          <w:sz w:val="20"/>
          <w:u w:val="none"/>
        </w:rPr>
        <w:t>modifications</w:t>
      </w:r>
      <w:r>
        <w:rPr>
          <w:spacing w:val="-3"/>
          <w:sz w:val="20"/>
          <w:u w:val="none"/>
        </w:rPr>
        <w:t> </w:t>
      </w:r>
      <w:r>
        <w:rPr>
          <w:sz w:val="20"/>
          <w:u w:val="none"/>
        </w:rPr>
        <w:t>are</w:t>
      </w:r>
      <w:r>
        <w:rPr>
          <w:spacing w:val="-3"/>
          <w:sz w:val="20"/>
          <w:u w:val="none"/>
        </w:rPr>
        <w:t> </w:t>
      </w:r>
      <w:r>
        <w:rPr>
          <w:sz w:val="20"/>
          <w:u w:val="none"/>
        </w:rPr>
        <w:t>a</w:t>
      </w:r>
      <w:r>
        <w:rPr>
          <w:spacing w:val="-3"/>
          <w:sz w:val="20"/>
          <w:u w:val="none"/>
        </w:rPr>
        <w:t> </w:t>
      </w:r>
      <w:r>
        <w:rPr>
          <w:sz w:val="20"/>
          <w:u w:val="none"/>
        </w:rPr>
        <w:t>result</w:t>
      </w:r>
      <w:r>
        <w:rPr>
          <w:spacing w:val="-3"/>
          <w:sz w:val="20"/>
          <w:u w:val="none"/>
        </w:rPr>
        <w:t> </w:t>
      </w:r>
      <w:r>
        <w:rPr>
          <w:sz w:val="20"/>
          <w:u w:val="none"/>
        </w:rPr>
        <w:t>of:</w:t>
      </w:r>
      <w:r>
        <w:rPr>
          <w:spacing w:val="-3"/>
          <w:sz w:val="20"/>
          <w:u w:val="none"/>
        </w:rPr>
        <w:t> </w:t>
      </w:r>
      <w:r>
        <w:rPr>
          <w:sz w:val="20"/>
          <w:u w:val="none"/>
        </w:rPr>
        <w:t>(1)</w:t>
      </w:r>
      <w:r>
        <w:rPr>
          <w:spacing w:val="-3"/>
          <w:sz w:val="20"/>
          <w:u w:val="none"/>
        </w:rPr>
        <w:t> </w:t>
      </w:r>
      <w:r>
        <w:rPr>
          <w:sz w:val="20"/>
          <w:u w:val="none"/>
        </w:rPr>
        <w:t>the</w:t>
      </w:r>
      <w:r>
        <w:rPr>
          <w:spacing w:val="-3"/>
          <w:sz w:val="20"/>
          <w:u w:val="none"/>
        </w:rPr>
        <w:t> </w:t>
      </w:r>
      <w:r>
        <w:rPr>
          <w:sz w:val="20"/>
          <w:u w:val="none"/>
        </w:rPr>
        <w:t>State</w:t>
      </w:r>
      <w:r>
        <w:rPr>
          <w:spacing w:val="-3"/>
          <w:sz w:val="20"/>
          <w:u w:val="none"/>
        </w:rPr>
        <w:t> </w:t>
      </w:r>
      <w:r>
        <w:rPr>
          <w:sz w:val="20"/>
          <w:u w:val="none"/>
        </w:rPr>
        <w:t>revising</w:t>
      </w:r>
      <w:r>
        <w:rPr>
          <w:spacing w:val="-3"/>
          <w:sz w:val="20"/>
          <w:u w:val="none"/>
        </w:rPr>
        <w:t> </w:t>
      </w:r>
      <w:r>
        <w:rPr>
          <w:sz w:val="20"/>
          <w:u w:val="none"/>
        </w:rPr>
        <w:t>its</w:t>
      </w:r>
      <w:r>
        <w:rPr>
          <w:spacing w:val="-3"/>
          <w:sz w:val="20"/>
          <w:u w:val="none"/>
        </w:rPr>
        <w:t> </w:t>
      </w:r>
      <w:r>
        <w:rPr>
          <w:sz w:val="20"/>
          <w:u w:val="none"/>
        </w:rPr>
        <w:t>applicable</w:t>
      </w:r>
      <w:r>
        <w:rPr>
          <w:spacing w:val="-3"/>
          <w:sz w:val="20"/>
          <w:u w:val="none"/>
        </w:rPr>
        <w:t> </w:t>
      </w:r>
      <w:r>
        <w:rPr>
          <w:sz w:val="20"/>
          <w:u w:val="none"/>
        </w:rPr>
        <w:t>State</w:t>
      </w:r>
      <w:r>
        <w:rPr>
          <w:spacing w:val="-3"/>
          <w:sz w:val="20"/>
          <w:u w:val="none"/>
        </w:rPr>
        <w:t> </w:t>
      </w:r>
      <w:r>
        <w:rPr>
          <w:sz w:val="20"/>
          <w:u w:val="none"/>
        </w:rPr>
        <w:t>law</w:t>
      </w:r>
      <w:r>
        <w:rPr>
          <w:spacing w:val="-4"/>
          <w:sz w:val="20"/>
          <w:u w:val="none"/>
        </w:rPr>
        <w:t> </w:t>
      </w:r>
      <w:r>
        <w:rPr>
          <w:sz w:val="20"/>
          <w:u w:val="none"/>
        </w:rPr>
        <w:t>or regulations; (2) changes required by the Secretary due to new interpretation of the</w:t>
      </w:r>
      <w:r>
        <w:rPr>
          <w:spacing w:val="-5"/>
          <w:sz w:val="20"/>
          <w:u w:val="none"/>
        </w:rPr>
        <w:t> </w:t>
      </w:r>
      <w:r>
        <w:rPr>
          <w:sz w:val="20"/>
          <w:u w:val="none"/>
        </w:rPr>
        <w:t>Act or regulations by a Federal court or the State's highest court; and/or (3) because of an official finding of noncompliance with Federal law or regulation.</w:t>
      </w:r>
    </w:p>
    <w:p>
      <w:pPr>
        <w:pStyle w:val="Heading1"/>
        <w:numPr>
          <w:ilvl w:val="0"/>
          <w:numId w:val="1"/>
        </w:numPr>
        <w:tabs>
          <w:tab w:pos="1123" w:val="left" w:leader="none"/>
        </w:tabs>
        <w:spacing w:line="240" w:lineRule="auto" w:before="118" w:after="0"/>
        <w:ind w:left="1123" w:right="0" w:hanging="399"/>
        <w:jc w:val="left"/>
      </w:pPr>
      <w:r>
        <w:rPr/>
        <w:t>Conditional</w:t>
      </w:r>
      <w:r>
        <w:rPr>
          <w:spacing w:val="-15"/>
        </w:rPr>
        <w:t> </w:t>
      </w:r>
      <w:r>
        <w:rPr/>
        <w:t>Approval</w:t>
      </w:r>
      <w:r>
        <w:rPr>
          <w:spacing w:val="-7"/>
        </w:rPr>
        <w:t> </w:t>
      </w:r>
      <w:r>
        <w:rPr/>
        <w:t>for</w:t>
      </w:r>
      <w:r>
        <w:rPr>
          <w:spacing w:val="-7"/>
        </w:rPr>
        <w:t> </w:t>
      </w:r>
      <w:r>
        <w:rPr/>
        <w:t>Current</w:t>
      </w:r>
      <w:r>
        <w:rPr>
          <w:spacing w:val="-7"/>
        </w:rPr>
        <w:t> </w:t>
      </w:r>
      <w:r>
        <w:rPr/>
        <w:t>Grant</w:t>
      </w:r>
      <w:r>
        <w:rPr>
          <w:spacing w:val="-10"/>
        </w:rPr>
        <w:t> </w:t>
      </w:r>
      <w:r>
        <w:rPr>
          <w:spacing w:val="-4"/>
        </w:rPr>
        <w:t>Year</w:t>
      </w:r>
    </w:p>
    <w:p>
      <w:pPr>
        <w:pStyle w:val="Heading2"/>
        <w:spacing w:before="241"/>
        <w:ind w:left="724"/>
      </w:pPr>
      <w:r>
        <w:rPr/>
        <w:t>If</w:t>
      </w:r>
      <w:r>
        <w:rPr>
          <w:spacing w:val="-10"/>
        </w:rPr>
        <w:t> </w:t>
      </w:r>
      <w:r>
        <w:rPr/>
        <w:t>the</w:t>
      </w:r>
      <w:r>
        <w:rPr>
          <w:spacing w:val="-8"/>
        </w:rPr>
        <w:t> </w:t>
      </w:r>
      <w:r>
        <w:rPr/>
        <w:t>State</w:t>
      </w:r>
      <w:r>
        <w:rPr>
          <w:spacing w:val="-8"/>
        </w:rPr>
        <w:t> </w:t>
      </w:r>
      <w:r>
        <w:rPr/>
        <w:t>received</w:t>
      </w:r>
      <w:r>
        <w:rPr>
          <w:spacing w:val="-9"/>
        </w:rPr>
        <w:t> </w:t>
      </w:r>
      <w:r>
        <w:rPr/>
        <w:t>conditional</w:t>
      </w:r>
      <w:r>
        <w:rPr>
          <w:spacing w:val="-8"/>
        </w:rPr>
        <w:t> </w:t>
      </w:r>
      <w:r>
        <w:rPr/>
        <w:t>approval</w:t>
      </w:r>
      <w:r>
        <w:rPr>
          <w:spacing w:val="-8"/>
        </w:rPr>
        <w:t> </w:t>
      </w:r>
      <w:r>
        <w:rPr/>
        <w:t>for</w:t>
      </w:r>
      <w:r>
        <w:rPr>
          <w:spacing w:val="-8"/>
        </w:rPr>
        <w:t> </w:t>
      </w:r>
      <w:r>
        <w:rPr/>
        <w:t>the</w:t>
      </w:r>
      <w:r>
        <w:rPr>
          <w:spacing w:val="-8"/>
        </w:rPr>
        <w:t> </w:t>
      </w:r>
      <w:r>
        <w:rPr/>
        <w:t>current</w:t>
      </w:r>
      <w:r>
        <w:rPr>
          <w:spacing w:val="-8"/>
        </w:rPr>
        <w:t> </w:t>
      </w:r>
      <w:r>
        <w:rPr/>
        <w:t>grant</w:t>
      </w:r>
      <w:r>
        <w:rPr>
          <w:spacing w:val="-8"/>
        </w:rPr>
        <w:t> </w:t>
      </w:r>
      <w:r>
        <w:rPr/>
        <w:t>year,</w:t>
      </w:r>
      <w:r>
        <w:rPr>
          <w:spacing w:val="-8"/>
        </w:rPr>
        <w:t> </w:t>
      </w:r>
      <w:r>
        <w:rPr/>
        <w:t>check</w:t>
      </w:r>
      <w:r>
        <w:rPr>
          <w:spacing w:val="-8"/>
        </w:rPr>
        <w:t> </w:t>
      </w:r>
      <w:r>
        <w:rPr/>
        <w:t>the</w:t>
      </w:r>
      <w:r>
        <w:rPr>
          <w:spacing w:val="-8"/>
        </w:rPr>
        <w:t> </w:t>
      </w:r>
      <w:r>
        <w:rPr/>
        <w:t>statement(s)</w:t>
      </w:r>
      <w:r>
        <w:rPr>
          <w:spacing w:val="-7"/>
        </w:rPr>
        <w:t> </w:t>
      </w:r>
      <w:r>
        <w:rPr>
          <w:spacing w:val="-2"/>
        </w:rPr>
        <w:t>below:</w:t>
      </w:r>
    </w:p>
    <w:p>
      <w:pPr>
        <w:pStyle w:val="ListParagraph"/>
        <w:numPr>
          <w:ilvl w:val="1"/>
          <w:numId w:val="1"/>
        </w:numPr>
        <w:tabs>
          <w:tab w:pos="1124" w:val="left" w:leader="none"/>
        </w:tabs>
        <w:spacing w:line="240" w:lineRule="auto" w:before="120" w:after="0"/>
        <w:ind w:left="1124" w:right="0" w:hanging="400"/>
        <w:jc w:val="left"/>
        <w:rPr>
          <w:b/>
          <w:sz w:val="20"/>
        </w:rPr>
      </w:pPr>
      <w:r>
        <w:rPr>
          <w:b/>
          <w:sz w:val="20"/>
        </w:rPr>
        <w:t>Conditional</w:t>
      </w:r>
      <w:r>
        <w:rPr>
          <w:b/>
          <w:spacing w:val="-16"/>
          <w:sz w:val="20"/>
        </w:rPr>
        <w:t> </w:t>
      </w:r>
      <w:r>
        <w:rPr>
          <w:b/>
          <w:sz w:val="20"/>
        </w:rPr>
        <w:t>Approval</w:t>
      </w:r>
      <w:r>
        <w:rPr>
          <w:b/>
          <w:spacing w:val="-9"/>
          <w:sz w:val="20"/>
        </w:rPr>
        <w:t> </w:t>
      </w:r>
      <w:r>
        <w:rPr>
          <w:b/>
          <w:sz w:val="20"/>
        </w:rPr>
        <w:t>Related</w:t>
      </w:r>
      <w:r>
        <w:rPr>
          <w:b/>
          <w:spacing w:val="-8"/>
          <w:sz w:val="20"/>
        </w:rPr>
        <w:t> </w:t>
      </w:r>
      <w:r>
        <w:rPr>
          <w:b/>
          <w:sz w:val="20"/>
        </w:rPr>
        <w:t>to</w:t>
      </w:r>
      <w:r>
        <w:rPr>
          <w:b/>
          <w:spacing w:val="-13"/>
          <w:sz w:val="20"/>
        </w:rPr>
        <w:t> </w:t>
      </w:r>
      <w:r>
        <w:rPr>
          <w:b/>
          <w:sz w:val="20"/>
        </w:rPr>
        <w:t>Assurances</w:t>
      </w:r>
      <w:r>
        <w:rPr>
          <w:b/>
          <w:spacing w:val="-8"/>
          <w:sz w:val="20"/>
        </w:rPr>
        <w:t> </w:t>
      </w:r>
      <w:r>
        <w:rPr>
          <w:b/>
          <w:sz w:val="20"/>
        </w:rPr>
        <w:t>in</w:t>
      </w:r>
      <w:r>
        <w:rPr>
          <w:b/>
          <w:spacing w:val="-8"/>
          <w:sz w:val="20"/>
        </w:rPr>
        <w:t> </w:t>
      </w:r>
      <w:r>
        <w:rPr>
          <w:b/>
          <w:sz w:val="20"/>
        </w:rPr>
        <w:t>Section</w:t>
      </w:r>
      <w:r>
        <w:rPr>
          <w:b/>
          <w:spacing w:val="-7"/>
          <w:sz w:val="20"/>
        </w:rPr>
        <w:t> </w:t>
      </w:r>
      <w:r>
        <w:rPr>
          <w:b/>
          <w:spacing w:val="-2"/>
          <w:sz w:val="20"/>
        </w:rPr>
        <w:t>II.A:</w:t>
      </w:r>
    </w:p>
    <w:p>
      <w:pPr>
        <w:pStyle w:val="BodyText"/>
        <w:tabs>
          <w:tab w:pos="1680" w:val="left" w:leader="none"/>
          <w:tab w:pos="2124" w:val="left" w:leader="none"/>
        </w:tabs>
        <w:spacing w:before="120"/>
        <w:ind w:left="2124" w:right="750" w:hanging="1000"/>
      </w:pPr>
      <w:r>
        <w:rPr>
          <w:rFonts w:ascii="Times New Roman"/>
          <w:u w:val="single"/>
        </w:rPr>
        <w:tab/>
      </w:r>
      <w:r>
        <w:rPr>
          <w:rFonts w:ascii="Times New Roman"/>
          <w:u w:val="none"/>
        </w:rPr>
        <w:t> </w:t>
      </w:r>
      <w:r>
        <w:rPr>
          <w:u w:val="none"/>
        </w:rPr>
        <w:t>a.</w:t>
        <w:tab/>
        <w:t>Sections</w:t>
      </w:r>
      <w:r>
        <w:rPr>
          <w:spacing w:val="-3"/>
          <w:u w:val="none"/>
        </w:rPr>
        <w:t> </w:t>
      </w:r>
      <w:r>
        <w:rPr>
          <w:u w:val="none"/>
        </w:rPr>
        <w:t>II.A</w:t>
      </w:r>
      <w:r>
        <w:rPr>
          <w:spacing w:val="-14"/>
          <w:u w:val="none"/>
        </w:rPr>
        <w:t> </w:t>
      </w:r>
      <w:r>
        <w:rPr>
          <w:u w:val="none"/>
        </w:rPr>
        <w:t>and</w:t>
      </w:r>
      <w:r>
        <w:rPr>
          <w:spacing w:val="-3"/>
          <w:u w:val="none"/>
        </w:rPr>
        <w:t> </w:t>
      </w:r>
      <w:r>
        <w:rPr>
          <w:u w:val="none"/>
        </w:rPr>
        <w:t>II.B</w:t>
      </w:r>
      <w:r>
        <w:rPr>
          <w:spacing w:val="-3"/>
          <w:u w:val="none"/>
        </w:rPr>
        <w:t> </w:t>
      </w:r>
      <w:r>
        <w:rPr>
          <w:u w:val="none"/>
        </w:rPr>
        <w:t>reflect</w:t>
      </w:r>
      <w:r>
        <w:rPr>
          <w:spacing w:val="-3"/>
          <w:u w:val="none"/>
        </w:rPr>
        <w:t> </w:t>
      </w:r>
      <w:r>
        <w:rPr>
          <w:u w:val="none"/>
        </w:rPr>
        <w:t>completion</w:t>
      </w:r>
      <w:r>
        <w:rPr>
          <w:spacing w:val="-3"/>
          <w:u w:val="none"/>
        </w:rPr>
        <w:t> </w:t>
      </w:r>
      <w:r>
        <w:rPr>
          <w:u w:val="none"/>
        </w:rPr>
        <w:t>of</w:t>
      </w:r>
      <w:r>
        <w:rPr>
          <w:spacing w:val="-3"/>
          <w:u w:val="none"/>
        </w:rPr>
        <w:t> </w:t>
      </w:r>
      <w:r>
        <w:rPr>
          <w:u w:val="none"/>
        </w:rPr>
        <w:t>all</w:t>
      </w:r>
      <w:r>
        <w:rPr>
          <w:spacing w:val="-3"/>
          <w:u w:val="none"/>
        </w:rPr>
        <w:t> </w:t>
      </w:r>
      <w:r>
        <w:rPr>
          <w:u w:val="none"/>
        </w:rPr>
        <w:t>issues</w:t>
      </w:r>
      <w:r>
        <w:rPr>
          <w:spacing w:val="-3"/>
          <w:u w:val="none"/>
        </w:rPr>
        <w:t> </w:t>
      </w:r>
      <w:r>
        <w:rPr>
          <w:u w:val="none"/>
        </w:rPr>
        <w:t>identified</w:t>
      </w:r>
      <w:r>
        <w:rPr>
          <w:spacing w:val="-3"/>
          <w:u w:val="none"/>
        </w:rPr>
        <w:t> </w:t>
      </w:r>
      <w:r>
        <w:rPr>
          <w:u w:val="none"/>
        </w:rPr>
        <w:t>in</w:t>
      </w:r>
      <w:r>
        <w:rPr>
          <w:spacing w:val="-3"/>
          <w:u w:val="none"/>
        </w:rPr>
        <w:t> </w:t>
      </w:r>
      <w:r>
        <w:rPr>
          <w:u w:val="none"/>
        </w:rPr>
        <w:t>the</w:t>
      </w:r>
      <w:r>
        <w:rPr>
          <w:spacing w:val="-3"/>
          <w:u w:val="none"/>
        </w:rPr>
        <w:t> </w:t>
      </w:r>
      <w:r>
        <w:rPr>
          <w:u w:val="none"/>
        </w:rPr>
        <w:t>FFY</w:t>
      </w:r>
      <w:r>
        <w:rPr>
          <w:spacing w:val="-9"/>
          <w:u w:val="none"/>
        </w:rPr>
        <w:t> </w:t>
      </w:r>
      <w:r>
        <w:rPr>
          <w:u w:val="none"/>
        </w:rPr>
        <w:t>2021</w:t>
      </w:r>
      <w:r>
        <w:rPr>
          <w:spacing w:val="-3"/>
          <w:u w:val="none"/>
        </w:rPr>
        <w:t> </w:t>
      </w:r>
      <w:r>
        <w:rPr>
          <w:u w:val="none"/>
        </w:rPr>
        <w:t>conditional approval letter (attach any additional documentation required by the FFY 2021 letter).</w:t>
      </w:r>
    </w:p>
    <w:p>
      <w:pPr>
        <w:pStyle w:val="BodyText"/>
        <w:tabs>
          <w:tab w:pos="1680" w:val="left" w:leader="none"/>
          <w:tab w:pos="2124" w:val="left" w:leader="none"/>
        </w:tabs>
        <w:spacing w:before="1"/>
        <w:ind w:left="2124" w:right="878" w:hanging="1000"/>
      </w:pPr>
      <w:r>
        <w:rPr>
          <w:rFonts w:ascii="Times New Roman"/>
          <w:u w:val="single"/>
        </w:rPr>
        <w:tab/>
      </w:r>
      <w:r>
        <w:rPr>
          <w:rFonts w:ascii="Times New Roman"/>
          <w:u w:val="none"/>
        </w:rPr>
        <w:t> </w:t>
      </w:r>
      <w:r>
        <w:rPr>
          <w:u w:val="none"/>
        </w:rPr>
        <w:t>b.</w:t>
        <w:tab/>
        <w:t>As</w:t>
      </w:r>
      <w:r>
        <w:rPr>
          <w:spacing w:val="-3"/>
          <w:u w:val="none"/>
        </w:rPr>
        <w:t> </w:t>
      </w:r>
      <w:r>
        <w:rPr>
          <w:u w:val="none"/>
        </w:rPr>
        <w:t>noted</w:t>
      </w:r>
      <w:r>
        <w:rPr>
          <w:spacing w:val="-3"/>
          <w:u w:val="none"/>
        </w:rPr>
        <w:t> </w:t>
      </w:r>
      <w:r>
        <w:rPr>
          <w:u w:val="none"/>
        </w:rPr>
        <w:t>in</w:t>
      </w:r>
      <w:r>
        <w:rPr>
          <w:spacing w:val="-3"/>
          <w:u w:val="none"/>
        </w:rPr>
        <w:t> </w:t>
      </w:r>
      <w:r>
        <w:rPr>
          <w:u w:val="none"/>
        </w:rPr>
        <w:t>Sections</w:t>
      </w:r>
      <w:r>
        <w:rPr>
          <w:spacing w:val="-3"/>
          <w:u w:val="none"/>
        </w:rPr>
        <w:t> </w:t>
      </w:r>
      <w:r>
        <w:rPr>
          <w:u w:val="none"/>
        </w:rPr>
        <w:t>II.A</w:t>
      </w:r>
      <w:r>
        <w:rPr>
          <w:spacing w:val="-14"/>
          <w:u w:val="none"/>
        </w:rPr>
        <w:t> </w:t>
      </w:r>
      <w:r>
        <w:rPr>
          <w:u w:val="none"/>
        </w:rPr>
        <w:t>and</w:t>
      </w:r>
      <w:r>
        <w:rPr>
          <w:spacing w:val="-3"/>
          <w:u w:val="none"/>
        </w:rPr>
        <w:t> </w:t>
      </w:r>
      <w:r>
        <w:rPr>
          <w:u w:val="none"/>
        </w:rPr>
        <w:t>II.B,</w:t>
      </w:r>
      <w:r>
        <w:rPr>
          <w:spacing w:val="-3"/>
          <w:u w:val="none"/>
        </w:rPr>
        <w:t> </w:t>
      </w:r>
      <w:r>
        <w:rPr>
          <w:u w:val="none"/>
        </w:rPr>
        <w:t>the</w:t>
      </w:r>
      <w:r>
        <w:rPr>
          <w:spacing w:val="-3"/>
          <w:u w:val="none"/>
        </w:rPr>
        <w:t> </w:t>
      </w:r>
      <w:r>
        <w:rPr>
          <w:u w:val="none"/>
        </w:rPr>
        <w:t>State</w:t>
      </w:r>
      <w:r>
        <w:rPr>
          <w:spacing w:val="-3"/>
          <w:u w:val="none"/>
        </w:rPr>
        <w:t> </w:t>
      </w:r>
      <w:r>
        <w:rPr>
          <w:u w:val="none"/>
        </w:rPr>
        <w:t>has</w:t>
      </w:r>
      <w:r>
        <w:rPr>
          <w:spacing w:val="-3"/>
          <w:u w:val="none"/>
        </w:rPr>
        <w:t> </w:t>
      </w:r>
      <w:r>
        <w:rPr>
          <w:u w:val="none"/>
        </w:rPr>
        <w:t>not</w:t>
      </w:r>
      <w:r>
        <w:rPr>
          <w:spacing w:val="-3"/>
          <w:u w:val="none"/>
        </w:rPr>
        <w:t> </w:t>
      </w:r>
      <w:r>
        <w:rPr>
          <w:u w:val="none"/>
        </w:rPr>
        <w:t>completed</w:t>
      </w:r>
      <w:r>
        <w:rPr>
          <w:spacing w:val="-3"/>
          <w:u w:val="none"/>
        </w:rPr>
        <w:t> </w:t>
      </w:r>
      <w:r>
        <w:rPr>
          <w:u w:val="none"/>
        </w:rPr>
        <w:t>all</w:t>
      </w:r>
      <w:r>
        <w:rPr>
          <w:spacing w:val="-3"/>
          <w:u w:val="none"/>
        </w:rPr>
        <w:t> </w:t>
      </w:r>
      <w:r>
        <w:rPr>
          <w:u w:val="none"/>
        </w:rPr>
        <w:t>issues</w:t>
      </w:r>
      <w:r>
        <w:rPr>
          <w:spacing w:val="-3"/>
          <w:u w:val="none"/>
        </w:rPr>
        <w:t> </w:t>
      </w:r>
      <w:r>
        <w:rPr>
          <w:u w:val="none"/>
        </w:rPr>
        <w:t>identified</w:t>
      </w:r>
      <w:r>
        <w:rPr>
          <w:spacing w:val="-3"/>
          <w:u w:val="none"/>
        </w:rPr>
        <w:t> </w:t>
      </w:r>
      <w:r>
        <w:rPr>
          <w:u w:val="none"/>
        </w:rPr>
        <w:t>in</w:t>
      </w:r>
      <w:r>
        <w:rPr>
          <w:spacing w:val="-3"/>
          <w:u w:val="none"/>
        </w:rPr>
        <w:t> </w:t>
      </w:r>
      <w:r>
        <w:rPr>
          <w:u w:val="none"/>
        </w:rPr>
        <w:t>the FFY 2021 conditional approval letter.</w:t>
      </w:r>
    </w:p>
    <w:p>
      <w:pPr>
        <w:pStyle w:val="BodyText"/>
      </w:pPr>
    </w:p>
    <w:p>
      <w:pPr>
        <w:pStyle w:val="BodyText"/>
      </w:pPr>
    </w:p>
    <w:p>
      <w:pPr>
        <w:pStyle w:val="BodyText"/>
      </w:pPr>
    </w:p>
    <w:p>
      <w:pPr>
        <w:pStyle w:val="BodyText"/>
      </w:pPr>
    </w:p>
    <w:p>
      <w:pPr>
        <w:pStyle w:val="BodyText"/>
        <w:spacing w:before="215"/>
      </w:pPr>
      <w:r>
        <w:rPr/>
        <mc:AlternateContent>
          <mc:Choice Requires="wps">
            <w:drawing>
              <wp:anchor distT="0" distB="0" distL="0" distR="0" allowOverlap="1" layoutInCell="1" locked="0" behindDoc="1" simplePos="0" relativeHeight="487588864">
                <wp:simplePos x="0" y="0"/>
                <wp:positionH relativeFrom="page">
                  <wp:posOffset>917520</wp:posOffset>
                </wp:positionH>
                <wp:positionV relativeFrom="paragraph">
                  <wp:posOffset>297906</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245697pt;margin-top:23.457169pt;width:144pt;height:.48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44" w:lineRule="auto" w:before="85"/>
        <w:ind w:left="904" w:right="798" w:hanging="180"/>
        <w:jc w:val="left"/>
        <w:rPr>
          <w:sz w:val="16"/>
        </w:rPr>
      </w:pPr>
      <w:r>
        <w:rPr>
          <w:sz w:val="16"/>
          <w:vertAlign w:val="superscript"/>
        </w:rPr>
        <w:t>1</w:t>
      </w:r>
      <w:r>
        <w:rPr>
          <w:spacing w:val="40"/>
          <w:sz w:val="16"/>
          <w:vertAlign w:val="baseline"/>
        </w:rPr>
        <w:t> </w:t>
      </w:r>
      <w:r>
        <w:rPr>
          <w:sz w:val="16"/>
          <w:vertAlign w:val="baseline"/>
        </w:rPr>
        <w:t>If</w:t>
      </w:r>
      <w:r>
        <w:rPr>
          <w:spacing w:val="-2"/>
          <w:sz w:val="16"/>
          <w:vertAlign w:val="baseline"/>
        </w:rPr>
        <w:t> </w:t>
      </w:r>
      <w:r>
        <w:rPr>
          <w:sz w:val="16"/>
          <w:vertAlign w:val="baseline"/>
        </w:rPr>
        <w:t>Option</w:t>
      </w:r>
      <w:r>
        <w:rPr>
          <w:spacing w:val="-2"/>
          <w:sz w:val="16"/>
          <w:vertAlign w:val="baseline"/>
        </w:rPr>
        <w:t> </w:t>
      </w:r>
      <w:r>
        <w:rPr>
          <w:sz w:val="16"/>
          <w:vertAlign w:val="baseline"/>
        </w:rPr>
        <w:t>2</w:t>
      </w:r>
      <w:r>
        <w:rPr>
          <w:spacing w:val="-2"/>
          <w:sz w:val="16"/>
          <w:vertAlign w:val="baseline"/>
        </w:rPr>
        <w:t> </w:t>
      </w:r>
      <w:r>
        <w:rPr>
          <w:sz w:val="16"/>
          <w:vertAlign w:val="baseline"/>
        </w:rPr>
        <w:t>is</w:t>
      </w:r>
      <w:r>
        <w:rPr>
          <w:spacing w:val="-2"/>
          <w:sz w:val="16"/>
          <w:vertAlign w:val="baseline"/>
        </w:rPr>
        <w:t> </w:t>
      </w:r>
      <w:r>
        <w:rPr>
          <w:sz w:val="16"/>
          <w:vertAlign w:val="baseline"/>
        </w:rPr>
        <w:t>checked,</w:t>
      </w:r>
      <w:r>
        <w:rPr>
          <w:spacing w:val="-2"/>
          <w:sz w:val="16"/>
          <w:vertAlign w:val="baseline"/>
        </w:rPr>
        <w:t> </w:t>
      </w:r>
      <w:r>
        <w:rPr>
          <w:sz w:val="16"/>
          <w:vertAlign w:val="baseline"/>
        </w:rPr>
        <w:t>the</w:t>
      </w:r>
      <w:r>
        <w:rPr>
          <w:spacing w:val="-2"/>
          <w:sz w:val="16"/>
          <w:vertAlign w:val="baseline"/>
        </w:rPr>
        <w:t> </w:t>
      </w:r>
      <w:r>
        <w:rPr>
          <w:sz w:val="16"/>
          <w:vertAlign w:val="baseline"/>
        </w:rPr>
        <w:t>State</w:t>
      </w:r>
      <w:r>
        <w:rPr>
          <w:spacing w:val="-2"/>
          <w:sz w:val="16"/>
          <w:vertAlign w:val="baseline"/>
        </w:rPr>
        <w:t> </w:t>
      </w:r>
      <w:r>
        <w:rPr>
          <w:sz w:val="16"/>
          <w:vertAlign w:val="baseline"/>
        </w:rPr>
        <w:t>is</w:t>
      </w:r>
      <w:r>
        <w:rPr>
          <w:spacing w:val="-2"/>
          <w:sz w:val="16"/>
          <w:vertAlign w:val="baseline"/>
        </w:rPr>
        <w:t> </w:t>
      </w:r>
      <w:r>
        <w:rPr>
          <w:sz w:val="16"/>
          <w:vertAlign w:val="baseline"/>
        </w:rPr>
        <w:t>to</w:t>
      </w:r>
      <w:r>
        <w:rPr>
          <w:spacing w:val="-2"/>
          <w:sz w:val="16"/>
          <w:vertAlign w:val="baseline"/>
        </w:rPr>
        <w:t> </w:t>
      </w:r>
      <w:r>
        <w:rPr>
          <w:sz w:val="16"/>
          <w:vertAlign w:val="baseline"/>
        </w:rPr>
        <w:t>provide</w:t>
      </w:r>
      <w:r>
        <w:rPr>
          <w:spacing w:val="-2"/>
          <w:sz w:val="16"/>
          <w:vertAlign w:val="baseline"/>
        </w:rPr>
        <w:t> </w:t>
      </w:r>
      <w:r>
        <w:rPr>
          <w:sz w:val="16"/>
          <w:vertAlign w:val="baseline"/>
        </w:rPr>
        <w:t>dates</w:t>
      </w:r>
      <w:r>
        <w:rPr>
          <w:spacing w:val="-2"/>
          <w:sz w:val="16"/>
          <w:vertAlign w:val="baseline"/>
        </w:rPr>
        <w:t> </w:t>
      </w:r>
      <w:r>
        <w:rPr>
          <w:sz w:val="16"/>
          <w:vertAlign w:val="baseline"/>
        </w:rPr>
        <w:t>in</w:t>
      </w:r>
      <w:r>
        <w:rPr>
          <w:spacing w:val="-2"/>
          <w:sz w:val="16"/>
          <w:vertAlign w:val="baseline"/>
        </w:rPr>
        <w:t> </w:t>
      </w:r>
      <w:r>
        <w:rPr>
          <w:sz w:val="16"/>
          <w:vertAlign w:val="baseline"/>
        </w:rPr>
        <w:t>Sections</w:t>
      </w:r>
      <w:r>
        <w:rPr>
          <w:spacing w:val="-2"/>
          <w:sz w:val="16"/>
          <w:vertAlign w:val="baseline"/>
        </w:rPr>
        <w:t> </w:t>
      </w:r>
      <w:r>
        <w:rPr>
          <w:sz w:val="16"/>
          <w:vertAlign w:val="baseline"/>
        </w:rPr>
        <w:t>II.A</w:t>
      </w:r>
      <w:r>
        <w:rPr>
          <w:spacing w:val="-1"/>
          <w:sz w:val="16"/>
          <w:vertAlign w:val="baseline"/>
        </w:rPr>
        <w:t> </w:t>
      </w:r>
      <w:r>
        <w:rPr>
          <w:sz w:val="16"/>
          <w:vertAlign w:val="baseline"/>
        </w:rPr>
        <w:t>and</w:t>
      </w:r>
      <w:r>
        <w:rPr>
          <w:spacing w:val="-2"/>
          <w:sz w:val="16"/>
          <w:vertAlign w:val="baseline"/>
        </w:rPr>
        <w:t> </w:t>
      </w:r>
      <w:r>
        <w:rPr>
          <w:sz w:val="16"/>
          <w:vertAlign w:val="baseline"/>
        </w:rPr>
        <w:t>II.B</w:t>
      </w:r>
      <w:r>
        <w:rPr>
          <w:spacing w:val="-1"/>
          <w:sz w:val="16"/>
          <w:vertAlign w:val="baseline"/>
        </w:rPr>
        <w:t> </w:t>
      </w:r>
      <w:r>
        <w:rPr>
          <w:sz w:val="16"/>
          <w:vertAlign w:val="baseline"/>
        </w:rPr>
        <w:t>as</w:t>
      </w:r>
      <w:r>
        <w:rPr>
          <w:spacing w:val="-2"/>
          <w:sz w:val="16"/>
          <w:vertAlign w:val="baseline"/>
        </w:rPr>
        <w:t> </w:t>
      </w:r>
      <w:r>
        <w:rPr>
          <w:sz w:val="16"/>
          <w:vertAlign w:val="baseline"/>
        </w:rPr>
        <w:t>to</w:t>
      </w:r>
      <w:r>
        <w:rPr>
          <w:spacing w:val="-2"/>
          <w:sz w:val="16"/>
          <w:vertAlign w:val="baseline"/>
        </w:rPr>
        <w:t> </w:t>
      </w:r>
      <w:r>
        <w:rPr>
          <w:sz w:val="16"/>
          <w:vertAlign w:val="baseline"/>
        </w:rPr>
        <w:t>when</w:t>
      </w:r>
      <w:r>
        <w:rPr>
          <w:spacing w:val="-2"/>
          <w:sz w:val="16"/>
          <w:vertAlign w:val="baseline"/>
        </w:rPr>
        <w:t> </w:t>
      </w:r>
      <w:r>
        <w:rPr>
          <w:sz w:val="16"/>
          <w:vertAlign w:val="baseline"/>
        </w:rPr>
        <w:t>the</w:t>
      </w:r>
      <w:r>
        <w:rPr>
          <w:spacing w:val="-2"/>
          <w:sz w:val="16"/>
          <w:vertAlign w:val="baseline"/>
        </w:rPr>
        <w:t> </w:t>
      </w:r>
      <w:r>
        <w:rPr>
          <w:sz w:val="16"/>
          <w:vertAlign w:val="baseline"/>
        </w:rPr>
        <w:t>required</w:t>
      </w:r>
      <w:r>
        <w:rPr>
          <w:spacing w:val="-2"/>
          <w:sz w:val="16"/>
          <w:vertAlign w:val="baseline"/>
        </w:rPr>
        <w:t> </w:t>
      </w:r>
      <w:r>
        <w:rPr>
          <w:sz w:val="16"/>
          <w:vertAlign w:val="baseline"/>
        </w:rPr>
        <w:t>policies,</w:t>
      </w:r>
      <w:r>
        <w:rPr>
          <w:spacing w:val="-2"/>
          <w:sz w:val="16"/>
          <w:vertAlign w:val="baseline"/>
        </w:rPr>
        <w:t> </w:t>
      </w:r>
      <w:r>
        <w:rPr>
          <w:sz w:val="16"/>
          <w:vertAlign w:val="baseline"/>
        </w:rPr>
        <w:t>procedures, methods, descriptions, and assurances will be provided, which date can be no later than June 30, 2023.</w:t>
      </w:r>
    </w:p>
    <w:p>
      <w:pPr>
        <w:spacing w:after="0" w:line="244" w:lineRule="auto"/>
        <w:jc w:val="left"/>
        <w:rPr>
          <w:sz w:val="16"/>
        </w:rPr>
        <w:sectPr>
          <w:footerReference w:type="default" r:id="rId10"/>
          <w:pgSz w:w="12240" w:h="15840"/>
          <w:pgMar w:header="0" w:footer="879" w:top="640" w:bottom="1060" w:left="720" w:right="720"/>
          <w:pgNumType w:start="1"/>
        </w:sectPr>
      </w:pPr>
    </w:p>
    <w:p>
      <w:pPr>
        <w:pStyle w:val="BodyText"/>
        <w:tabs>
          <w:tab w:pos="667" w:val="left" w:leader="none"/>
        </w:tabs>
        <w:spacing w:before="84"/>
        <w:ind w:right="712"/>
        <w:jc w:val="right"/>
      </w:pPr>
      <w:r>
        <w:rPr>
          <w:rFonts w:ascii="Times New Roman"/>
          <w:u w:val="single"/>
        </w:rPr>
        <w:tab/>
      </w:r>
      <w:r>
        <w:rPr>
          <w:rFonts w:ascii="Times New Roman"/>
          <w:spacing w:val="40"/>
          <w:u w:val="none"/>
        </w:rPr>
        <w:t> </w:t>
      </w:r>
      <w:r>
        <w:rPr>
          <w:u w:val="none"/>
        </w:rPr>
        <w:t>Massachusetts</w:t>
      </w:r>
    </w:p>
    <w:p>
      <w:pPr>
        <w:pStyle w:val="BodyText"/>
      </w:pPr>
    </w:p>
    <w:p>
      <w:pPr>
        <w:pStyle w:val="BodyText"/>
        <w:spacing w:before="30"/>
      </w:pPr>
    </w:p>
    <w:p>
      <w:pPr>
        <w:pStyle w:val="Heading2"/>
        <w:numPr>
          <w:ilvl w:val="1"/>
          <w:numId w:val="1"/>
        </w:numPr>
        <w:tabs>
          <w:tab w:pos="1124" w:val="left" w:leader="none"/>
        </w:tabs>
        <w:spacing w:line="240" w:lineRule="auto" w:before="0" w:after="0"/>
        <w:ind w:left="1124" w:right="0" w:hanging="400"/>
        <w:jc w:val="left"/>
      </w:pPr>
      <w:r>
        <w:rPr/>
        <w:t>Conditional</w:t>
      </w:r>
      <w:r>
        <w:rPr>
          <w:spacing w:val="-14"/>
        </w:rPr>
        <w:t> </w:t>
      </w:r>
      <w:r>
        <w:rPr/>
        <w:t>Approval</w:t>
      </w:r>
      <w:r>
        <w:rPr>
          <w:spacing w:val="-8"/>
        </w:rPr>
        <w:t> </w:t>
      </w:r>
      <w:r>
        <w:rPr/>
        <w:t>Related</w:t>
      </w:r>
      <w:r>
        <w:rPr>
          <w:spacing w:val="-7"/>
        </w:rPr>
        <w:t> </w:t>
      </w:r>
      <w:r>
        <w:rPr/>
        <w:t>to</w:t>
      </w:r>
      <w:r>
        <w:rPr>
          <w:spacing w:val="-8"/>
        </w:rPr>
        <w:t> </w:t>
      </w:r>
      <w:r>
        <w:rPr/>
        <w:t>Other</w:t>
      </w:r>
      <w:r>
        <w:rPr>
          <w:spacing w:val="-7"/>
        </w:rPr>
        <w:t> </w:t>
      </w:r>
      <w:r>
        <w:rPr>
          <w:spacing w:val="-2"/>
        </w:rPr>
        <w:t>Issues:</w:t>
      </w:r>
    </w:p>
    <w:p>
      <w:pPr>
        <w:pStyle w:val="BodyText"/>
        <w:tabs>
          <w:tab w:pos="1680" w:val="left" w:leader="none"/>
          <w:tab w:pos="2124" w:val="left" w:leader="none"/>
        </w:tabs>
        <w:spacing w:before="121"/>
        <w:ind w:left="2124" w:right="812" w:hanging="1000"/>
      </w:pPr>
      <w:r>
        <w:rPr>
          <w:rFonts w:ascii="Times New Roman"/>
          <w:u w:val="single"/>
        </w:rPr>
        <w:tab/>
      </w:r>
      <w:r>
        <w:rPr>
          <w:rFonts w:ascii="Times New Roman"/>
          <w:u w:val="none"/>
        </w:rPr>
        <w:t> </w:t>
      </w:r>
      <w:r>
        <w:rPr>
          <w:u w:val="none"/>
        </w:rPr>
        <w:t>a.</w:t>
        <w:tab/>
        <w:t>The</w:t>
      </w:r>
      <w:r>
        <w:rPr>
          <w:spacing w:val="-3"/>
          <w:u w:val="none"/>
        </w:rPr>
        <w:t> </w:t>
      </w:r>
      <w:r>
        <w:rPr>
          <w:u w:val="none"/>
        </w:rPr>
        <w:t>State</w:t>
      </w:r>
      <w:r>
        <w:rPr>
          <w:spacing w:val="-3"/>
          <w:u w:val="none"/>
        </w:rPr>
        <w:t> </w:t>
      </w:r>
      <w:r>
        <w:rPr>
          <w:u w:val="none"/>
        </w:rPr>
        <w:t>previously</w:t>
      </w:r>
      <w:r>
        <w:rPr>
          <w:spacing w:val="-3"/>
          <w:u w:val="none"/>
        </w:rPr>
        <w:t> </w:t>
      </w:r>
      <w:r>
        <w:rPr>
          <w:u w:val="none"/>
        </w:rPr>
        <w:t>submitted</w:t>
      </w:r>
      <w:r>
        <w:rPr>
          <w:spacing w:val="-3"/>
          <w:u w:val="none"/>
        </w:rPr>
        <w:t> </w:t>
      </w:r>
      <w:r>
        <w:rPr>
          <w:u w:val="none"/>
        </w:rPr>
        <w:t>documentation</w:t>
      </w:r>
      <w:r>
        <w:rPr>
          <w:spacing w:val="-3"/>
          <w:u w:val="none"/>
        </w:rPr>
        <w:t> </w:t>
      </w:r>
      <w:r>
        <w:rPr>
          <w:u w:val="none"/>
        </w:rPr>
        <w:t>of</w:t>
      </w:r>
      <w:r>
        <w:rPr>
          <w:spacing w:val="-3"/>
          <w:u w:val="none"/>
        </w:rPr>
        <w:t> </w:t>
      </w:r>
      <w:r>
        <w:rPr>
          <w:u w:val="none"/>
        </w:rPr>
        <w:t>completion</w:t>
      </w:r>
      <w:r>
        <w:rPr>
          <w:spacing w:val="-5"/>
          <w:u w:val="none"/>
        </w:rPr>
        <w:t> </w:t>
      </w:r>
      <w:r>
        <w:rPr>
          <w:u w:val="none"/>
        </w:rPr>
        <w:t>of</w:t>
      </w:r>
      <w:r>
        <w:rPr>
          <w:spacing w:val="-3"/>
          <w:u w:val="none"/>
        </w:rPr>
        <w:t> </w:t>
      </w:r>
      <w:r>
        <w:rPr>
          <w:u w:val="none"/>
        </w:rPr>
        <w:t>all</w:t>
      </w:r>
      <w:r>
        <w:rPr>
          <w:spacing w:val="-3"/>
          <w:u w:val="none"/>
        </w:rPr>
        <w:t> </w:t>
      </w:r>
      <w:r>
        <w:rPr>
          <w:u w:val="none"/>
        </w:rPr>
        <w:t>issues</w:t>
      </w:r>
      <w:r>
        <w:rPr>
          <w:spacing w:val="-3"/>
          <w:u w:val="none"/>
        </w:rPr>
        <w:t> </w:t>
      </w:r>
      <w:r>
        <w:rPr>
          <w:u w:val="none"/>
        </w:rPr>
        <w:t>identified</w:t>
      </w:r>
      <w:r>
        <w:rPr>
          <w:spacing w:val="-3"/>
          <w:u w:val="none"/>
        </w:rPr>
        <w:t> </w:t>
      </w:r>
      <w:r>
        <w:rPr>
          <w:u w:val="none"/>
        </w:rPr>
        <w:t>in</w:t>
      </w:r>
      <w:r>
        <w:rPr>
          <w:spacing w:val="-3"/>
          <w:u w:val="none"/>
        </w:rPr>
        <w:t> </w:t>
      </w:r>
      <w:r>
        <w:rPr>
          <w:u w:val="none"/>
        </w:rPr>
        <w:t>the FFY 2021 conditional approval letter.</w:t>
      </w:r>
    </w:p>
    <w:p>
      <w:pPr>
        <w:tabs>
          <w:tab w:pos="1680" w:val="left" w:leader="none"/>
          <w:tab w:pos="2124" w:val="left" w:leader="none"/>
        </w:tabs>
        <w:spacing w:before="1"/>
        <w:ind w:left="2124" w:right="1188" w:hanging="1000"/>
        <w:jc w:val="left"/>
        <w:rPr>
          <w:i/>
          <w:sz w:val="16"/>
        </w:rPr>
      </w:pPr>
      <w:r>
        <w:rPr>
          <w:rFonts w:ascii="Times New Roman"/>
          <w:sz w:val="20"/>
          <w:u w:val="single"/>
        </w:rPr>
        <w:tab/>
      </w:r>
      <w:r>
        <w:rPr>
          <w:rFonts w:ascii="Times New Roman"/>
          <w:sz w:val="20"/>
          <w:u w:val="none"/>
        </w:rPr>
        <w:t> </w:t>
      </w:r>
      <w:r>
        <w:rPr>
          <w:sz w:val="20"/>
          <w:u w:val="none"/>
        </w:rPr>
        <w:t>b.</w:t>
        <w:tab/>
        <w:t>The</w:t>
      </w:r>
      <w:r>
        <w:rPr>
          <w:spacing w:val="-3"/>
          <w:sz w:val="20"/>
          <w:u w:val="none"/>
        </w:rPr>
        <w:t> </w:t>
      </w:r>
      <w:r>
        <w:rPr>
          <w:sz w:val="20"/>
          <w:u w:val="none"/>
        </w:rPr>
        <w:t>State</w:t>
      </w:r>
      <w:r>
        <w:rPr>
          <w:spacing w:val="-3"/>
          <w:sz w:val="20"/>
          <w:u w:val="none"/>
        </w:rPr>
        <w:t> </w:t>
      </w:r>
      <w:r>
        <w:rPr>
          <w:sz w:val="20"/>
          <w:u w:val="none"/>
        </w:rPr>
        <w:t>is</w:t>
      </w:r>
      <w:r>
        <w:rPr>
          <w:spacing w:val="-3"/>
          <w:sz w:val="20"/>
          <w:u w:val="none"/>
        </w:rPr>
        <w:t> </w:t>
      </w:r>
      <w:r>
        <w:rPr>
          <w:sz w:val="20"/>
          <w:u w:val="none"/>
        </w:rPr>
        <w:t>attaching</w:t>
      </w:r>
      <w:r>
        <w:rPr>
          <w:spacing w:val="-3"/>
          <w:sz w:val="20"/>
          <w:u w:val="none"/>
        </w:rPr>
        <w:t> </w:t>
      </w:r>
      <w:r>
        <w:rPr>
          <w:sz w:val="20"/>
          <w:u w:val="none"/>
        </w:rPr>
        <w:t>documentation</w:t>
      </w:r>
      <w:r>
        <w:rPr>
          <w:spacing w:val="-3"/>
          <w:sz w:val="20"/>
          <w:u w:val="none"/>
        </w:rPr>
        <w:t> </w:t>
      </w:r>
      <w:r>
        <w:rPr>
          <w:sz w:val="20"/>
          <w:u w:val="none"/>
        </w:rPr>
        <w:t>of</w:t>
      </w:r>
      <w:r>
        <w:rPr>
          <w:spacing w:val="-3"/>
          <w:sz w:val="20"/>
          <w:u w:val="none"/>
        </w:rPr>
        <w:t> </w:t>
      </w:r>
      <w:r>
        <w:rPr>
          <w:sz w:val="20"/>
          <w:u w:val="none"/>
        </w:rPr>
        <w:t>completion</w:t>
      </w:r>
      <w:r>
        <w:rPr>
          <w:spacing w:val="-3"/>
          <w:sz w:val="20"/>
          <w:u w:val="none"/>
        </w:rPr>
        <w:t> </w:t>
      </w:r>
      <w:r>
        <w:rPr>
          <w:sz w:val="20"/>
          <w:u w:val="none"/>
        </w:rPr>
        <w:t>of</w:t>
      </w:r>
      <w:r>
        <w:rPr>
          <w:spacing w:val="-3"/>
          <w:sz w:val="20"/>
          <w:u w:val="none"/>
        </w:rPr>
        <w:t> </w:t>
      </w:r>
      <w:r>
        <w:rPr>
          <w:sz w:val="20"/>
          <w:u w:val="none"/>
        </w:rPr>
        <w:t>all</w:t>
      </w:r>
      <w:r>
        <w:rPr>
          <w:spacing w:val="-3"/>
          <w:sz w:val="20"/>
          <w:u w:val="none"/>
        </w:rPr>
        <w:t> </w:t>
      </w:r>
      <w:r>
        <w:rPr>
          <w:sz w:val="20"/>
          <w:u w:val="none"/>
        </w:rPr>
        <w:t>issues</w:t>
      </w:r>
      <w:r>
        <w:rPr>
          <w:spacing w:val="-3"/>
          <w:sz w:val="20"/>
          <w:u w:val="none"/>
        </w:rPr>
        <w:t> </w:t>
      </w:r>
      <w:r>
        <w:rPr>
          <w:sz w:val="20"/>
          <w:u w:val="none"/>
        </w:rPr>
        <w:t>identified</w:t>
      </w:r>
      <w:r>
        <w:rPr>
          <w:spacing w:val="-3"/>
          <w:sz w:val="20"/>
          <w:u w:val="none"/>
        </w:rPr>
        <w:t> </w:t>
      </w:r>
      <w:r>
        <w:rPr>
          <w:sz w:val="20"/>
          <w:u w:val="none"/>
        </w:rPr>
        <w:t>in</w:t>
      </w:r>
      <w:r>
        <w:rPr>
          <w:spacing w:val="-3"/>
          <w:sz w:val="20"/>
          <w:u w:val="none"/>
        </w:rPr>
        <w:t> </w:t>
      </w:r>
      <w:r>
        <w:rPr>
          <w:sz w:val="20"/>
          <w:u w:val="none"/>
        </w:rPr>
        <w:t>the</w:t>
      </w:r>
      <w:r>
        <w:rPr>
          <w:spacing w:val="-3"/>
          <w:sz w:val="20"/>
          <w:u w:val="none"/>
        </w:rPr>
        <w:t> </w:t>
      </w:r>
      <w:r>
        <w:rPr>
          <w:sz w:val="20"/>
          <w:u w:val="none"/>
        </w:rPr>
        <w:t>FFY 2021 conditional approval letter.</w:t>
      </w:r>
      <w:r>
        <w:rPr>
          <w:spacing w:val="40"/>
          <w:sz w:val="20"/>
          <w:u w:val="none"/>
        </w:rPr>
        <w:t> </w:t>
      </w:r>
      <w:r>
        <w:rPr>
          <w:i/>
          <w:sz w:val="16"/>
          <w:u w:val="none"/>
        </w:rPr>
        <w:t>(Attach documentation showing completion of all issues.)</w:t>
      </w:r>
    </w:p>
    <w:p>
      <w:pPr>
        <w:tabs>
          <w:tab w:pos="1680" w:val="left" w:leader="none"/>
          <w:tab w:pos="2124" w:val="left" w:leader="none"/>
        </w:tabs>
        <w:spacing w:line="240" w:lineRule="auto" w:before="0"/>
        <w:ind w:left="2124" w:right="1072" w:hanging="1000"/>
        <w:jc w:val="left"/>
        <w:rPr>
          <w:i/>
          <w:sz w:val="16"/>
        </w:rPr>
      </w:pPr>
      <w:r>
        <w:rPr>
          <w:rFonts w:ascii="Times New Roman"/>
          <w:sz w:val="20"/>
          <w:u w:val="single"/>
        </w:rPr>
        <w:tab/>
      </w:r>
      <w:r>
        <w:rPr>
          <w:rFonts w:ascii="Times New Roman"/>
          <w:sz w:val="20"/>
          <w:u w:val="none"/>
        </w:rPr>
        <w:t> </w:t>
      </w:r>
      <w:r>
        <w:rPr>
          <w:sz w:val="20"/>
          <w:u w:val="none"/>
        </w:rPr>
        <w:t>c.</w:t>
        <w:tab/>
        <w:t>The</w:t>
      </w:r>
      <w:r>
        <w:rPr>
          <w:spacing w:val="-3"/>
          <w:sz w:val="20"/>
          <w:u w:val="none"/>
        </w:rPr>
        <w:t> </w:t>
      </w:r>
      <w:r>
        <w:rPr>
          <w:sz w:val="20"/>
          <w:u w:val="none"/>
        </w:rPr>
        <w:t>State</w:t>
      </w:r>
      <w:r>
        <w:rPr>
          <w:spacing w:val="-3"/>
          <w:sz w:val="20"/>
          <w:u w:val="none"/>
        </w:rPr>
        <w:t> </w:t>
      </w:r>
      <w:r>
        <w:rPr>
          <w:sz w:val="20"/>
          <w:u w:val="none"/>
        </w:rPr>
        <w:t>has</w:t>
      </w:r>
      <w:r>
        <w:rPr>
          <w:spacing w:val="-3"/>
          <w:sz w:val="20"/>
          <w:u w:val="none"/>
        </w:rPr>
        <w:t> </w:t>
      </w:r>
      <w:r>
        <w:rPr>
          <w:sz w:val="20"/>
          <w:u w:val="none"/>
        </w:rPr>
        <w:t>not</w:t>
      </w:r>
      <w:r>
        <w:rPr>
          <w:spacing w:val="-3"/>
          <w:sz w:val="20"/>
          <w:u w:val="none"/>
        </w:rPr>
        <w:t> </w:t>
      </w:r>
      <w:r>
        <w:rPr>
          <w:sz w:val="20"/>
          <w:u w:val="none"/>
        </w:rPr>
        <w:t>completed</w:t>
      </w:r>
      <w:r>
        <w:rPr>
          <w:spacing w:val="-3"/>
          <w:sz w:val="20"/>
          <w:u w:val="none"/>
        </w:rPr>
        <w:t> </w:t>
      </w:r>
      <w:r>
        <w:rPr>
          <w:sz w:val="20"/>
          <w:u w:val="none"/>
        </w:rPr>
        <w:t>all</w:t>
      </w:r>
      <w:r>
        <w:rPr>
          <w:spacing w:val="-3"/>
          <w:sz w:val="20"/>
          <w:u w:val="none"/>
        </w:rPr>
        <w:t> </w:t>
      </w:r>
      <w:r>
        <w:rPr>
          <w:sz w:val="20"/>
          <w:u w:val="none"/>
        </w:rPr>
        <w:t>issues</w:t>
      </w:r>
      <w:r>
        <w:rPr>
          <w:spacing w:val="-3"/>
          <w:sz w:val="20"/>
          <w:u w:val="none"/>
        </w:rPr>
        <w:t> </w:t>
      </w:r>
      <w:r>
        <w:rPr>
          <w:sz w:val="20"/>
          <w:u w:val="none"/>
        </w:rPr>
        <w:t>identified</w:t>
      </w:r>
      <w:r>
        <w:rPr>
          <w:spacing w:val="-3"/>
          <w:sz w:val="20"/>
          <w:u w:val="none"/>
        </w:rPr>
        <w:t> </w:t>
      </w:r>
      <w:r>
        <w:rPr>
          <w:sz w:val="20"/>
          <w:u w:val="none"/>
        </w:rPr>
        <w:t>in</w:t>
      </w:r>
      <w:r>
        <w:rPr>
          <w:spacing w:val="-3"/>
          <w:sz w:val="20"/>
          <w:u w:val="none"/>
        </w:rPr>
        <w:t> </w:t>
      </w:r>
      <w:r>
        <w:rPr>
          <w:sz w:val="20"/>
          <w:u w:val="none"/>
        </w:rPr>
        <w:t>the</w:t>
      </w:r>
      <w:r>
        <w:rPr>
          <w:spacing w:val="-3"/>
          <w:sz w:val="20"/>
          <w:u w:val="none"/>
        </w:rPr>
        <w:t> </w:t>
      </w:r>
      <w:r>
        <w:rPr>
          <w:sz w:val="20"/>
          <w:u w:val="none"/>
        </w:rPr>
        <w:t>FFY</w:t>
      </w:r>
      <w:r>
        <w:rPr>
          <w:spacing w:val="-9"/>
          <w:sz w:val="20"/>
          <w:u w:val="none"/>
        </w:rPr>
        <w:t> </w:t>
      </w:r>
      <w:r>
        <w:rPr>
          <w:sz w:val="20"/>
          <w:u w:val="none"/>
        </w:rPr>
        <w:t>2021</w:t>
      </w:r>
      <w:r>
        <w:rPr>
          <w:spacing w:val="-3"/>
          <w:sz w:val="20"/>
          <w:u w:val="none"/>
        </w:rPr>
        <w:t> </w:t>
      </w:r>
      <w:r>
        <w:rPr>
          <w:sz w:val="20"/>
          <w:u w:val="none"/>
        </w:rPr>
        <w:t>conditional</w:t>
      </w:r>
      <w:r>
        <w:rPr>
          <w:spacing w:val="-3"/>
          <w:sz w:val="20"/>
          <w:u w:val="none"/>
        </w:rPr>
        <w:t> </w:t>
      </w:r>
      <w:r>
        <w:rPr>
          <w:sz w:val="20"/>
          <w:u w:val="none"/>
        </w:rPr>
        <w:t>approval letter.</w:t>
      </w:r>
      <w:r>
        <w:rPr>
          <w:spacing w:val="40"/>
          <w:sz w:val="20"/>
          <w:u w:val="none"/>
        </w:rPr>
        <w:t> </w:t>
      </w:r>
      <w:r>
        <w:rPr>
          <w:i/>
          <w:sz w:val="16"/>
          <w:u w:val="none"/>
        </w:rPr>
        <w:t>(Attach documentation showing completion of any issues and a list of items not yet completed.)</w:t>
      </w:r>
    </w:p>
    <w:p>
      <w:pPr>
        <w:spacing w:after="0" w:line="240" w:lineRule="auto"/>
        <w:jc w:val="left"/>
        <w:rPr>
          <w:i/>
          <w:sz w:val="16"/>
        </w:rPr>
        <w:sectPr>
          <w:pgSz w:w="12240" w:h="15840"/>
          <w:pgMar w:header="0" w:footer="879" w:top="640" w:bottom="1060" w:left="720" w:right="720"/>
        </w:sectPr>
      </w:pPr>
    </w:p>
    <w:p>
      <w:pPr>
        <w:spacing w:before="66"/>
        <w:ind w:left="724" w:right="0" w:firstLine="0"/>
        <w:jc w:val="left"/>
        <w:rPr>
          <w:b/>
          <w:sz w:val="28"/>
        </w:rPr>
      </w:pPr>
      <w:r>
        <w:rPr>
          <w:b/>
          <w:sz w:val="28"/>
        </w:rPr>
        <mc:AlternateContent>
          <mc:Choice Requires="wps">
            <w:drawing>
              <wp:anchor distT="0" distB="0" distL="0" distR="0" allowOverlap="1" layoutInCell="1" locked="0" behindDoc="1" simplePos="0" relativeHeight="487589376">
                <wp:simplePos x="0" y="0"/>
                <wp:positionH relativeFrom="page">
                  <wp:posOffset>899232</wp:posOffset>
                </wp:positionH>
                <wp:positionV relativeFrom="paragraph">
                  <wp:posOffset>257628</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5702pt;margin-top:20.285700pt;width:470.88pt;height:1.44pt;mso-position-horizontal-relative:page;mso-position-vertical-relative:paragraph;z-index:-15727104;mso-wrap-distance-left:0;mso-wrap-distance-right:0" id="docshape7" filled="true" fillcolor="#000000" stroked="false">
                <v:fill type="solid"/>
                <w10:wrap type="topAndBottom"/>
              </v:rect>
            </w:pict>
          </mc:Fallback>
        </mc:AlternateContent>
      </w:r>
      <w:r>
        <w:rPr>
          <w:b/>
          <w:smallCaps/>
          <w:sz w:val="28"/>
        </w:rPr>
        <w:t>Section</w:t>
      </w:r>
      <w:r>
        <w:rPr>
          <w:b/>
          <w:smallCaps/>
          <w:spacing w:val="-7"/>
          <w:sz w:val="28"/>
        </w:rPr>
        <w:t> </w:t>
      </w:r>
      <w:r>
        <w:rPr>
          <w:b/>
          <w:smallCaps/>
          <w:spacing w:val="-5"/>
          <w:sz w:val="28"/>
        </w:rPr>
        <w:t>II</w:t>
      </w:r>
    </w:p>
    <w:p>
      <w:pPr>
        <w:pStyle w:val="Heading1"/>
        <w:numPr>
          <w:ilvl w:val="0"/>
          <w:numId w:val="2"/>
        </w:numPr>
        <w:tabs>
          <w:tab w:pos="1123" w:val="left" w:leader="none"/>
        </w:tabs>
        <w:spacing w:line="240" w:lineRule="auto" w:before="240" w:after="0"/>
        <w:ind w:left="1123" w:right="0" w:hanging="399"/>
        <w:jc w:val="left"/>
      </w:pPr>
      <w:r>
        <w:rPr/>
        <w:t>State</w:t>
      </w:r>
      <w:r>
        <w:rPr>
          <w:spacing w:val="-10"/>
        </w:rPr>
        <w:t> </w:t>
      </w:r>
      <w:r>
        <w:rPr/>
        <w:t>Policies,</w:t>
      </w:r>
      <w:r>
        <w:rPr>
          <w:spacing w:val="-7"/>
        </w:rPr>
        <w:t> </w:t>
      </w:r>
      <w:r>
        <w:rPr/>
        <w:t>Procedures,</w:t>
      </w:r>
      <w:r>
        <w:rPr>
          <w:spacing w:val="-7"/>
        </w:rPr>
        <w:t> </w:t>
      </w:r>
      <w:r>
        <w:rPr/>
        <w:t>Methods,</w:t>
      </w:r>
      <w:r>
        <w:rPr>
          <w:spacing w:val="-7"/>
        </w:rPr>
        <w:t> </w:t>
      </w:r>
      <w:r>
        <w:rPr/>
        <w:t>and</w:t>
      </w:r>
      <w:r>
        <w:rPr>
          <w:spacing w:val="-7"/>
        </w:rPr>
        <w:t> </w:t>
      </w:r>
      <w:r>
        <w:rPr>
          <w:spacing w:val="-2"/>
        </w:rPr>
        <w:t>Descriptions</w:t>
      </w:r>
    </w:p>
    <w:p>
      <w:pPr>
        <w:pStyle w:val="BodyText"/>
        <w:spacing w:before="241"/>
        <w:ind w:left="724" w:right="737"/>
      </w:pPr>
      <w:r>
        <w:rPr/>
        <w:t>As</w:t>
      </w:r>
      <w:r>
        <w:rPr>
          <w:spacing w:val="-3"/>
        </w:rPr>
        <w:t> </w:t>
      </w:r>
      <w:r>
        <w:rPr/>
        <w:t>checked</w:t>
      </w:r>
      <w:r>
        <w:rPr>
          <w:spacing w:val="-3"/>
        </w:rPr>
        <w:t> </w:t>
      </w:r>
      <w:r>
        <w:rPr/>
        <w:t>below,</w:t>
      </w:r>
      <w:r>
        <w:rPr>
          <w:spacing w:val="-3"/>
        </w:rPr>
        <w:t> </w:t>
      </w:r>
      <w:r>
        <w:rPr/>
        <w:t>the</w:t>
      </w:r>
      <w:r>
        <w:rPr>
          <w:spacing w:val="-3"/>
        </w:rPr>
        <w:t> </w:t>
      </w:r>
      <w:r>
        <w:rPr/>
        <w:t>State</w:t>
      </w:r>
      <w:r>
        <w:rPr>
          <w:spacing w:val="-3"/>
        </w:rPr>
        <w:t> </w:t>
      </w:r>
      <w:r>
        <w:rPr/>
        <w:t>hereby</w:t>
      </w:r>
      <w:r>
        <w:rPr>
          <w:spacing w:val="-3"/>
        </w:rPr>
        <w:t> </w:t>
      </w:r>
      <w:r>
        <w:rPr/>
        <w:t>declares</w:t>
      </w:r>
      <w:r>
        <w:rPr>
          <w:spacing w:val="-3"/>
        </w:rPr>
        <w:t> </w:t>
      </w:r>
      <w:r>
        <w:rPr/>
        <w:t>that</w:t>
      </w:r>
      <w:r>
        <w:rPr>
          <w:spacing w:val="-3"/>
        </w:rPr>
        <w:t> </w:t>
      </w:r>
      <w:r>
        <w:rPr/>
        <w:t>it</w:t>
      </w:r>
      <w:r>
        <w:rPr>
          <w:spacing w:val="-3"/>
        </w:rPr>
        <w:t> </w:t>
      </w:r>
      <w:r>
        <w:rPr/>
        <w:t>has</w:t>
      </w:r>
      <w:r>
        <w:rPr>
          <w:spacing w:val="-3"/>
        </w:rPr>
        <w:t> </w:t>
      </w:r>
      <w:r>
        <w:rPr/>
        <w:t>or</w:t>
      </w:r>
      <w:r>
        <w:rPr>
          <w:spacing w:val="-3"/>
        </w:rPr>
        <w:t> </w:t>
      </w:r>
      <w:r>
        <w:rPr/>
        <w:t>has</w:t>
      </w:r>
      <w:r>
        <w:rPr>
          <w:spacing w:val="-3"/>
        </w:rPr>
        <w:t> </w:t>
      </w:r>
      <w:r>
        <w:rPr/>
        <w:t>not</w:t>
      </w:r>
      <w:r>
        <w:rPr>
          <w:spacing w:val="-3"/>
        </w:rPr>
        <w:t> </w:t>
      </w:r>
      <w:r>
        <w:rPr/>
        <w:t>filed</w:t>
      </w:r>
      <w:r>
        <w:rPr>
          <w:spacing w:val="-3"/>
        </w:rPr>
        <w:t> </w:t>
      </w:r>
      <w:r>
        <w:rPr/>
        <w:t>the</w:t>
      </w:r>
      <w:r>
        <w:rPr>
          <w:spacing w:val="-3"/>
        </w:rPr>
        <w:t> </w:t>
      </w:r>
      <w:r>
        <w:rPr/>
        <w:t>following</w:t>
      </w:r>
      <w:r>
        <w:rPr>
          <w:spacing w:val="-3"/>
        </w:rPr>
        <w:t> </w:t>
      </w:r>
      <w:r>
        <w:rPr/>
        <w:t>policies,</w:t>
      </w:r>
      <w:r>
        <w:rPr>
          <w:spacing w:val="-3"/>
        </w:rPr>
        <w:t> </w:t>
      </w:r>
      <w:r>
        <w:rPr/>
        <w:t>procedures, methods, and descriptions with the U.S. Department of Education, and, as of the date of the signature below, affirms and incorporates by reference those policies, procedures, methods, and descriptions with respect to Part C of the Individuals with Disabilities Education</w:t>
      </w:r>
      <w:r>
        <w:rPr>
          <w:spacing w:val="-7"/>
        </w:rPr>
        <w:t> </w:t>
      </w:r>
      <w:r>
        <w:rPr/>
        <w:t>Act (IDEA</w:t>
      </w:r>
      <w:r>
        <w:rPr>
          <w:spacing w:val="-7"/>
        </w:rPr>
        <w:t> </w:t>
      </w:r>
      <w:r>
        <w:rPr/>
        <w:t>or</w:t>
      </w:r>
      <w:r>
        <w:rPr>
          <w:spacing w:val="-5"/>
        </w:rPr>
        <w:t> </w:t>
      </w:r>
      <w:r>
        <w:rPr/>
        <w:t>Act) in 20 U.S.C. 1431–1443 and the Part C regulations in 34 CFR Part 303 (Part C). By submission of this Section II, the State assures that throughout the period of this FFY 2022 grant award, the State will operate consistently with all requirements of Part C of the IDEA</w:t>
      </w:r>
      <w:r>
        <w:rPr>
          <w:spacing w:val="-7"/>
        </w:rPr>
        <w:t> </w:t>
      </w:r>
      <w:r>
        <w:rPr/>
        <w:t>in 20 U.S.C. 1431 through 1443 and the Part C regulations in 34 CFR Part 303. The State will develop and/or make such changes to existing policies, procedures, methods, descriptions, and assurances as are necessary to bring the policies, procedures, methods, descriptions, and assurances into compliance with the requirements of the IDEA</w:t>
      </w:r>
      <w:r>
        <w:rPr>
          <w:spacing w:val="-5"/>
        </w:rPr>
        <w:t> </w:t>
      </w:r>
      <w:r>
        <w:rPr/>
        <w:t>Part C</w:t>
      </w:r>
      <w:r>
        <w:rPr>
          <w:spacing w:val="-5"/>
        </w:rPr>
        <w:t> </w:t>
      </w:r>
      <w:r>
        <w:rPr/>
        <w:t>Act and regulations by the date indicated below and not later than June 30, 2023.</w:t>
      </w:r>
    </w:p>
    <w:p>
      <w:pPr>
        <w:pStyle w:val="ListParagraph"/>
        <w:numPr>
          <w:ilvl w:val="1"/>
          <w:numId w:val="2"/>
        </w:numPr>
        <w:tabs>
          <w:tab w:pos="1444" w:val="left" w:leader="none"/>
        </w:tabs>
        <w:spacing w:line="240" w:lineRule="auto" w:before="120" w:after="0"/>
        <w:ind w:left="1444" w:right="0" w:hanging="360"/>
        <w:jc w:val="left"/>
        <w:rPr>
          <w:sz w:val="20"/>
        </w:rPr>
      </w:pPr>
      <w:r>
        <w:rPr>
          <w:sz w:val="20"/>
        </w:rPr>
        <w:t>Check</w:t>
      </w:r>
      <w:r>
        <w:rPr>
          <w:spacing w:val="-5"/>
          <w:sz w:val="20"/>
        </w:rPr>
        <w:t> </w:t>
      </w:r>
      <w:r>
        <w:rPr>
          <w:sz w:val="20"/>
        </w:rPr>
        <w:t>and</w:t>
      </w:r>
      <w:r>
        <w:rPr>
          <w:spacing w:val="-5"/>
          <w:sz w:val="20"/>
        </w:rPr>
        <w:t> </w:t>
      </w:r>
      <w:r>
        <w:rPr>
          <w:sz w:val="20"/>
        </w:rPr>
        <w:t>enter</w:t>
      </w:r>
      <w:r>
        <w:rPr>
          <w:spacing w:val="-4"/>
          <w:sz w:val="20"/>
        </w:rPr>
        <w:t> </w:t>
      </w:r>
      <w:r>
        <w:rPr>
          <w:sz w:val="20"/>
        </w:rPr>
        <w:t>date(s)</w:t>
      </w:r>
      <w:r>
        <w:rPr>
          <w:spacing w:val="-5"/>
          <w:sz w:val="20"/>
        </w:rPr>
        <w:t> </w:t>
      </w:r>
      <w:r>
        <w:rPr>
          <w:sz w:val="20"/>
        </w:rPr>
        <w:t>as</w:t>
      </w:r>
      <w:r>
        <w:rPr>
          <w:spacing w:val="-4"/>
          <w:sz w:val="20"/>
        </w:rPr>
        <w:t> </w:t>
      </w:r>
      <w:r>
        <w:rPr>
          <w:spacing w:val="-2"/>
          <w:sz w:val="20"/>
        </w:rPr>
        <w:t>applicable.</w:t>
      </w:r>
    </w:p>
    <w:p>
      <w:pPr>
        <w:pStyle w:val="ListParagraph"/>
        <w:numPr>
          <w:ilvl w:val="1"/>
          <w:numId w:val="2"/>
        </w:numPr>
        <w:tabs>
          <w:tab w:pos="1444" w:val="left" w:leader="none"/>
        </w:tabs>
        <w:spacing w:line="240" w:lineRule="auto" w:before="120" w:after="0"/>
        <w:ind w:left="1444" w:right="0" w:hanging="360"/>
        <w:jc w:val="left"/>
        <w:rPr>
          <w:sz w:val="20"/>
        </w:rPr>
      </w:pPr>
      <w:r>
        <w:rPr>
          <w:sz w:val="20"/>
        </w:rPr>
        <w:t>Enclose</w:t>
      </w:r>
      <w:r>
        <w:rPr>
          <w:spacing w:val="-8"/>
          <w:sz w:val="20"/>
        </w:rPr>
        <w:t> </w:t>
      </w:r>
      <w:r>
        <w:rPr>
          <w:sz w:val="20"/>
        </w:rPr>
        <w:t>relevant</w:t>
      </w:r>
      <w:r>
        <w:rPr>
          <w:spacing w:val="-8"/>
          <w:sz w:val="20"/>
        </w:rPr>
        <w:t> </w:t>
      </w:r>
      <w:r>
        <w:rPr>
          <w:spacing w:val="-2"/>
          <w:sz w:val="20"/>
        </w:rPr>
        <w:t>documents.</w:t>
      </w:r>
    </w:p>
    <w:p>
      <w:pPr>
        <w:pStyle w:val="BodyText"/>
        <w:spacing w:before="119"/>
        <w:ind w:left="1084" w:right="798"/>
      </w:pPr>
      <w:r>
        <w:rPr>
          <w:b/>
        </w:rPr>
        <w:t>Yes</w:t>
      </w:r>
      <w:r>
        <w:rPr>
          <w:b/>
          <w:spacing w:val="-3"/>
        </w:rPr>
        <w:t> </w:t>
      </w:r>
      <w:r>
        <w:rPr/>
        <w:t>(If</w:t>
      </w:r>
      <w:r>
        <w:rPr>
          <w:spacing w:val="-3"/>
        </w:rPr>
        <w:t> </w:t>
      </w:r>
      <w:r>
        <w:rPr/>
        <w:t>New</w:t>
      </w:r>
      <w:r>
        <w:rPr>
          <w:spacing w:val="-4"/>
        </w:rPr>
        <w:t> </w:t>
      </w:r>
      <w:r>
        <w:rPr/>
        <w:t>or</w:t>
      </w:r>
      <w:r>
        <w:rPr>
          <w:spacing w:val="-3"/>
        </w:rPr>
        <w:t> </w:t>
      </w:r>
      <w:r>
        <w:rPr/>
        <w:t>Revised</w:t>
      </w:r>
      <w:r>
        <w:rPr>
          <w:spacing w:val="-3"/>
        </w:rPr>
        <w:t> </w:t>
      </w:r>
      <w:r>
        <w:rPr/>
        <w:t>is</w:t>
      </w:r>
      <w:r>
        <w:rPr>
          <w:spacing w:val="-3"/>
        </w:rPr>
        <w:t> </w:t>
      </w:r>
      <w:r>
        <w:rPr/>
        <w:t>checked,</w:t>
      </w:r>
      <w:r>
        <w:rPr>
          <w:spacing w:val="-3"/>
        </w:rPr>
        <w:t> </w:t>
      </w:r>
      <w:r>
        <w:rPr/>
        <w:t>the</w:t>
      </w:r>
      <w:r>
        <w:rPr>
          <w:spacing w:val="-3"/>
        </w:rPr>
        <w:t> </w:t>
      </w:r>
      <w:r>
        <w:rPr/>
        <w:t>State</w:t>
      </w:r>
      <w:r>
        <w:rPr>
          <w:spacing w:val="-3"/>
        </w:rPr>
        <w:t> </w:t>
      </w:r>
      <w:r>
        <w:rPr/>
        <w:t>is</w:t>
      </w:r>
      <w:r>
        <w:rPr>
          <w:spacing w:val="-3"/>
        </w:rPr>
        <w:t> </w:t>
      </w:r>
      <w:r>
        <w:rPr/>
        <w:t>submitting</w:t>
      </w:r>
      <w:r>
        <w:rPr>
          <w:spacing w:val="-3"/>
        </w:rPr>
        <w:t> </w:t>
      </w:r>
      <w:r>
        <w:rPr/>
        <w:t>policies,</w:t>
      </w:r>
      <w:r>
        <w:rPr>
          <w:spacing w:val="-1"/>
        </w:rPr>
        <w:t> </w:t>
      </w:r>
      <w:r>
        <w:rPr/>
        <w:t>procedures,</w:t>
      </w:r>
      <w:r>
        <w:rPr>
          <w:spacing w:val="-3"/>
        </w:rPr>
        <w:t> </w:t>
      </w:r>
      <w:r>
        <w:rPr/>
        <w:t>methods,</w:t>
      </w:r>
      <w:r>
        <w:rPr>
          <w:spacing w:val="-3"/>
        </w:rPr>
        <w:t> </w:t>
      </w:r>
      <w:r>
        <w:rPr/>
        <w:t>and descriptions with this application. If already 'On File with OSEP', check OF.)</w:t>
      </w:r>
    </w:p>
    <w:p>
      <w:pPr>
        <w:pStyle w:val="BodyText"/>
        <w:spacing w:before="116"/>
        <w:ind w:left="1444"/>
      </w:pPr>
      <w:r>
        <w:rPr>
          <w:b/>
        </w:rPr>
        <w:t>N</w:t>
      </w:r>
      <w:r>
        <w:rPr>
          <w:b/>
          <w:spacing w:val="-6"/>
        </w:rPr>
        <w:t> </w:t>
      </w:r>
      <w:r>
        <w:rPr/>
        <w:t>=</w:t>
      </w:r>
      <w:r>
        <w:rPr>
          <w:spacing w:val="-5"/>
        </w:rPr>
        <w:t> </w:t>
      </w:r>
      <w:r>
        <w:rPr/>
        <w:t>'New'</w:t>
      </w:r>
      <w:r>
        <w:rPr>
          <w:spacing w:val="-5"/>
        </w:rPr>
        <w:t> </w:t>
      </w:r>
      <w:r>
        <w:rPr/>
        <w:t>Policy</w:t>
      </w:r>
      <w:r>
        <w:rPr>
          <w:spacing w:val="-4"/>
        </w:rPr>
        <w:t> </w:t>
      </w:r>
      <w:r>
        <w:rPr/>
        <w:t>and/or</w:t>
      </w:r>
      <w:r>
        <w:rPr>
          <w:spacing w:val="-4"/>
        </w:rPr>
        <w:t> </w:t>
      </w:r>
      <w:r>
        <w:rPr>
          <w:spacing w:val="-2"/>
        </w:rPr>
        <w:t>Procedure</w:t>
      </w:r>
    </w:p>
    <w:p>
      <w:pPr>
        <w:pStyle w:val="BodyText"/>
        <w:spacing w:before="121"/>
        <w:ind w:left="1444"/>
      </w:pPr>
      <w:r>
        <w:rPr>
          <w:b/>
        </w:rPr>
        <w:t>R</w:t>
      </w:r>
      <w:r>
        <w:rPr>
          <w:b/>
          <w:spacing w:val="-6"/>
        </w:rPr>
        <w:t> </w:t>
      </w:r>
      <w:r>
        <w:rPr/>
        <w:t>=</w:t>
      </w:r>
      <w:r>
        <w:rPr>
          <w:spacing w:val="-6"/>
        </w:rPr>
        <w:t> </w:t>
      </w:r>
      <w:r>
        <w:rPr/>
        <w:t>'Revised'</w:t>
      </w:r>
      <w:r>
        <w:rPr>
          <w:spacing w:val="-5"/>
        </w:rPr>
        <w:t> </w:t>
      </w:r>
      <w:r>
        <w:rPr/>
        <w:t>Policy</w:t>
      </w:r>
      <w:r>
        <w:rPr>
          <w:spacing w:val="-5"/>
        </w:rPr>
        <w:t> </w:t>
      </w:r>
      <w:r>
        <w:rPr/>
        <w:t>and/or</w:t>
      </w:r>
      <w:r>
        <w:rPr>
          <w:spacing w:val="-5"/>
        </w:rPr>
        <w:t> </w:t>
      </w:r>
      <w:r>
        <w:rPr>
          <w:spacing w:val="-2"/>
        </w:rPr>
        <w:t>Procedure</w:t>
      </w:r>
    </w:p>
    <w:p>
      <w:pPr>
        <w:pStyle w:val="BodyText"/>
        <w:spacing w:before="120"/>
        <w:ind w:left="1444"/>
      </w:pPr>
      <w:r>
        <w:rPr>
          <w:b/>
        </w:rPr>
        <w:t>OF</w:t>
      </w:r>
      <w:r>
        <w:rPr>
          <w:b/>
          <w:spacing w:val="-5"/>
        </w:rPr>
        <w:t> </w:t>
      </w:r>
      <w:r>
        <w:rPr/>
        <w:t>=</w:t>
      </w:r>
      <w:r>
        <w:rPr>
          <w:spacing w:val="-6"/>
        </w:rPr>
        <w:t> </w:t>
      </w:r>
      <w:r>
        <w:rPr/>
        <w:t>Policy</w:t>
      </w:r>
      <w:r>
        <w:rPr>
          <w:spacing w:val="-5"/>
        </w:rPr>
        <w:t> </w:t>
      </w:r>
      <w:r>
        <w:rPr/>
        <w:t>and/or</w:t>
      </w:r>
      <w:r>
        <w:rPr>
          <w:spacing w:val="-5"/>
        </w:rPr>
        <w:t> </w:t>
      </w:r>
      <w:r>
        <w:rPr/>
        <w:t>Procedure</w:t>
      </w:r>
      <w:r>
        <w:rPr>
          <w:spacing w:val="-6"/>
        </w:rPr>
        <w:t> </w:t>
      </w:r>
      <w:r>
        <w:rPr/>
        <w:t>is</w:t>
      </w:r>
      <w:r>
        <w:rPr>
          <w:spacing w:val="-4"/>
        </w:rPr>
        <w:t> </w:t>
      </w:r>
      <w:r>
        <w:rPr/>
        <w:t>already</w:t>
      </w:r>
      <w:r>
        <w:rPr>
          <w:spacing w:val="-5"/>
        </w:rPr>
        <w:t> </w:t>
      </w:r>
      <w:r>
        <w:rPr/>
        <w:t>'On</w:t>
      </w:r>
      <w:r>
        <w:rPr>
          <w:spacing w:val="-6"/>
        </w:rPr>
        <w:t> </w:t>
      </w:r>
      <w:r>
        <w:rPr/>
        <w:t>File'</w:t>
      </w:r>
      <w:r>
        <w:rPr>
          <w:spacing w:val="-5"/>
        </w:rPr>
        <w:t> </w:t>
      </w:r>
      <w:r>
        <w:rPr/>
        <w:t>with</w:t>
      </w:r>
      <w:r>
        <w:rPr>
          <w:spacing w:val="-6"/>
        </w:rPr>
        <w:t> </w:t>
      </w:r>
      <w:r>
        <w:rPr/>
        <w:t>the</w:t>
      </w:r>
      <w:r>
        <w:rPr>
          <w:spacing w:val="-5"/>
        </w:rPr>
        <w:t> </w:t>
      </w:r>
      <w:r>
        <w:rPr>
          <w:spacing w:val="-4"/>
        </w:rPr>
        <w:t>USDE</w:t>
      </w:r>
    </w:p>
    <w:p>
      <w:pPr>
        <w:pStyle w:val="BodyText"/>
        <w:spacing w:before="120"/>
        <w:ind w:left="1084" w:right="798"/>
      </w:pPr>
      <w:r>
        <w:rPr>
          <w:b/>
        </w:rPr>
        <w:t>No</w:t>
      </w:r>
      <w:r>
        <w:rPr>
          <w:b/>
          <w:spacing w:val="-3"/>
        </w:rPr>
        <w:t> </w:t>
      </w:r>
      <w:r>
        <w:rPr/>
        <w:t>(Policies,</w:t>
      </w:r>
      <w:r>
        <w:rPr>
          <w:spacing w:val="-2"/>
        </w:rPr>
        <w:t> </w:t>
      </w:r>
      <w:r>
        <w:rPr/>
        <w:t>procedures,</w:t>
      </w:r>
      <w:r>
        <w:rPr>
          <w:spacing w:val="-2"/>
        </w:rPr>
        <w:t> </w:t>
      </w:r>
      <w:r>
        <w:rPr/>
        <w:t>methods,</w:t>
      </w:r>
      <w:r>
        <w:rPr>
          <w:spacing w:val="-2"/>
        </w:rPr>
        <w:t> </w:t>
      </w:r>
      <w:r>
        <w:rPr/>
        <w:t>and</w:t>
      </w:r>
      <w:r>
        <w:rPr>
          <w:spacing w:val="-2"/>
        </w:rPr>
        <w:t> </w:t>
      </w:r>
      <w:r>
        <w:rPr/>
        <w:t>descriptions</w:t>
      </w:r>
      <w:r>
        <w:rPr>
          <w:spacing w:val="-2"/>
        </w:rPr>
        <w:t> </w:t>
      </w:r>
      <w:r>
        <w:rPr/>
        <w:t>have</w:t>
      </w:r>
      <w:r>
        <w:rPr>
          <w:spacing w:val="-2"/>
        </w:rPr>
        <w:t> </w:t>
      </w:r>
      <w:r>
        <w:rPr/>
        <w:t>not</w:t>
      </w:r>
      <w:r>
        <w:rPr>
          <w:spacing w:val="-2"/>
        </w:rPr>
        <w:t> </w:t>
      </w:r>
      <w:r>
        <w:rPr/>
        <w:t>been</w:t>
      </w:r>
      <w:r>
        <w:rPr>
          <w:spacing w:val="-2"/>
        </w:rPr>
        <w:t> </w:t>
      </w:r>
      <w:r>
        <w:rPr/>
        <w:t>provided.</w:t>
      </w:r>
      <w:r>
        <w:rPr>
          <w:spacing w:val="-2"/>
        </w:rPr>
        <w:t> </w:t>
      </w:r>
      <w:r>
        <w:rPr/>
        <w:t>Provide</w:t>
      </w:r>
      <w:r>
        <w:rPr>
          <w:spacing w:val="-2"/>
        </w:rPr>
        <w:t> </w:t>
      </w:r>
      <w:r>
        <w:rPr/>
        <w:t>date</w:t>
      </w:r>
      <w:r>
        <w:rPr>
          <w:spacing w:val="-2"/>
        </w:rPr>
        <w:t> </w:t>
      </w:r>
      <w:r>
        <w:rPr/>
        <w:t>by</w:t>
      </w:r>
      <w:r>
        <w:rPr>
          <w:spacing w:val="-2"/>
        </w:rPr>
        <w:t> </w:t>
      </w:r>
      <w:r>
        <w:rPr/>
        <w:t>which State</w:t>
      </w:r>
      <w:r>
        <w:rPr>
          <w:spacing w:val="-8"/>
        </w:rPr>
        <w:t> </w:t>
      </w:r>
      <w:r>
        <w:rPr/>
        <w:t>will</w:t>
      </w:r>
      <w:r>
        <w:rPr>
          <w:spacing w:val="-5"/>
        </w:rPr>
        <w:t> </w:t>
      </w:r>
      <w:r>
        <w:rPr/>
        <w:t>submit</w:t>
      </w:r>
      <w:r>
        <w:rPr>
          <w:spacing w:val="-5"/>
        </w:rPr>
        <w:t> </w:t>
      </w:r>
      <w:r>
        <w:rPr/>
        <w:t>to</w:t>
      </w:r>
      <w:r>
        <w:rPr>
          <w:spacing w:val="-6"/>
        </w:rPr>
        <w:t> </w:t>
      </w:r>
      <w:r>
        <w:rPr/>
        <w:t>OSEP</w:t>
      </w:r>
      <w:r>
        <w:rPr>
          <w:spacing w:val="-6"/>
        </w:rPr>
        <w:t> </w:t>
      </w:r>
      <w:r>
        <w:rPr/>
        <w:t>required</w:t>
      </w:r>
      <w:r>
        <w:rPr>
          <w:spacing w:val="-5"/>
        </w:rPr>
        <w:t> </w:t>
      </w:r>
      <w:r>
        <w:rPr/>
        <w:t>documentation,</w:t>
      </w:r>
      <w:r>
        <w:rPr>
          <w:spacing w:val="-6"/>
        </w:rPr>
        <w:t> </w:t>
      </w:r>
      <w:r>
        <w:rPr/>
        <w:t>which</w:t>
      </w:r>
      <w:r>
        <w:rPr>
          <w:spacing w:val="-5"/>
        </w:rPr>
        <w:t> </w:t>
      </w:r>
      <w:r>
        <w:rPr/>
        <w:t>date</w:t>
      </w:r>
      <w:r>
        <w:rPr>
          <w:spacing w:val="-5"/>
        </w:rPr>
        <w:t> </w:t>
      </w:r>
      <w:r>
        <w:rPr/>
        <w:t>shall</w:t>
      </w:r>
      <w:r>
        <w:rPr>
          <w:spacing w:val="-6"/>
        </w:rPr>
        <w:t> </w:t>
      </w:r>
      <w:r>
        <w:rPr/>
        <w:t>be</w:t>
      </w:r>
      <w:r>
        <w:rPr>
          <w:spacing w:val="-5"/>
        </w:rPr>
        <w:t> </w:t>
      </w:r>
      <w:r>
        <w:rPr/>
        <w:t>no</w:t>
      </w:r>
      <w:r>
        <w:rPr>
          <w:spacing w:val="-5"/>
        </w:rPr>
        <w:t> </w:t>
      </w:r>
      <w:r>
        <w:rPr/>
        <w:t>later</w:t>
      </w:r>
      <w:r>
        <w:rPr>
          <w:spacing w:val="-6"/>
        </w:rPr>
        <w:t> </w:t>
      </w:r>
      <w:r>
        <w:rPr/>
        <w:t>than</w:t>
      </w:r>
      <w:r>
        <w:rPr>
          <w:spacing w:val="-5"/>
        </w:rPr>
        <w:t> </w:t>
      </w:r>
      <w:r>
        <w:rPr/>
        <w:t>June</w:t>
      </w:r>
      <w:r>
        <w:rPr>
          <w:spacing w:val="-5"/>
        </w:rPr>
        <w:t> </w:t>
      </w:r>
      <w:r>
        <w:rPr/>
        <w:t>30,</w:t>
      </w:r>
      <w:r>
        <w:rPr>
          <w:spacing w:val="-6"/>
        </w:rPr>
        <w:t> </w:t>
      </w:r>
      <w:r>
        <w:rPr>
          <w:spacing w:val="-2"/>
        </w:rPr>
        <w:t>2023.)</w:t>
      </w:r>
    </w:p>
    <w:p>
      <w:pPr>
        <w:pStyle w:val="BodyText"/>
        <w:spacing w:before="4"/>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35"/>
              <w:jc w:val="center"/>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469" w:hRule="atLeast"/>
        </w:trPr>
        <w:tc>
          <w:tcPr>
            <w:tcW w:w="722" w:type="dxa"/>
            <w:tcBorders>
              <w:top w:val="single" w:sz="12" w:space="0" w:color="000000"/>
              <w:left w:val="single" w:sz="12" w:space="0" w:color="000000"/>
            </w:tcBorders>
            <w:shd w:val="clear" w:color="auto" w:fill="808080"/>
          </w:tcPr>
          <w:p>
            <w:pPr>
              <w:pStyle w:val="TableParagraph"/>
              <w:rPr>
                <w:rFonts w:ascii="Times New Roman"/>
                <w:sz w:val="20"/>
              </w:rPr>
            </w:pPr>
          </w:p>
        </w:tc>
        <w:tc>
          <w:tcPr>
            <w:tcW w:w="720" w:type="dxa"/>
            <w:tcBorders>
              <w:top w:val="single" w:sz="12" w:space="0" w:color="000000"/>
            </w:tcBorders>
            <w:shd w:val="clear" w:color="auto" w:fill="808080"/>
          </w:tcPr>
          <w:p>
            <w:pPr>
              <w:pStyle w:val="TableParagraph"/>
              <w:rPr>
                <w:rFonts w:ascii="Times New Roman"/>
                <w:sz w:val="20"/>
              </w:rPr>
            </w:pPr>
          </w:p>
        </w:tc>
        <w:tc>
          <w:tcPr>
            <w:tcW w:w="725" w:type="dxa"/>
            <w:tcBorders>
              <w:top w:val="single" w:sz="12" w:space="0" w:color="000000"/>
            </w:tcBorders>
            <w:shd w:val="clear" w:color="auto" w:fill="808080"/>
          </w:tcPr>
          <w:p>
            <w:pPr>
              <w:pStyle w:val="TableParagraph"/>
              <w:rPr>
                <w:rFonts w:ascii="Times New Roman"/>
                <w:sz w:val="20"/>
              </w:rPr>
            </w:pPr>
          </w:p>
        </w:tc>
        <w:tc>
          <w:tcPr>
            <w:tcW w:w="1551" w:type="dxa"/>
            <w:tcBorders>
              <w:top w:val="single" w:sz="12" w:space="0" w:color="000000"/>
            </w:tcBorders>
            <w:shd w:val="clear" w:color="auto" w:fill="808080"/>
          </w:tcPr>
          <w:p>
            <w:pPr>
              <w:pStyle w:val="TableParagraph"/>
              <w:rPr>
                <w:rFonts w:ascii="Times New Roman"/>
                <w:sz w:val="20"/>
              </w:rPr>
            </w:pPr>
          </w:p>
        </w:tc>
        <w:tc>
          <w:tcPr>
            <w:tcW w:w="5643" w:type="dxa"/>
            <w:tcBorders>
              <w:top w:val="single" w:sz="12" w:space="0" w:color="000000"/>
              <w:right w:val="single" w:sz="12" w:space="0" w:color="000000"/>
            </w:tcBorders>
          </w:tcPr>
          <w:p>
            <w:pPr>
              <w:pStyle w:val="TableParagraph"/>
              <w:spacing w:before="119"/>
              <w:ind w:left="35" w:right="1"/>
              <w:jc w:val="center"/>
              <w:rPr>
                <w:b/>
                <w:sz w:val="20"/>
              </w:rPr>
            </w:pPr>
            <w:r>
              <w:rPr>
                <w:b/>
                <w:sz w:val="20"/>
              </w:rPr>
              <w:t>Subpart</w:t>
            </w:r>
            <w:r>
              <w:rPr>
                <w:b/>
                <w:spacing w:val="-9"/>
                <w:sz w:val="20"/>
              </w:rPr>
              <w:t> </w:t>
            </w:r>
            <w:r>
              <w:rPr>
                <w:b/>
                <w:sz w:val="20"/>
              </w:rPr>
              <w:t>C—State</w:t>
            </w:r>
            <w:r>
              <w:rPr>
                <w:b/>
                <w:spacing w:val="-9"/>
                <w:sz w:val="20"/>
              </w:rPr>
              <w:t> </w:t>
            </w:r>
            <w:r>
              <w:rPr>
                <w:b/>
                <w:sz w:val="20"/>
              </w:rPr>
              <w:t>Policies</w:t>
            </w:r>
            <w:r>
              <w:rPr>
                <w:b/>
                <w:spacing w:val="-8"/>
                <w:sz w:val="20"/>
              </w:rPr>
              <w:t> </w:t>
            </w:r>
            <w:r>
              <w:rPr>
                <w:b/>
                <w:sz w:val="20"/>
              </w:rPr>
              <w:t>and</w:t>
            </w:r>
            <w:r>
              <w:rPr>
                <w:b/>
                <w:spacing w:val="-9"/>
                <w:sz w:val="20"/>
              </w:rPr>
              <w:t> </w:t>
            </w:r>
            <w:r>
              <w:rPr>
                <w:b/>
                <w:spacing w:val="-2"/>
                <w:sz w:val="20"/>
              </w:rPr>
              <w:t>Procedures</w:t>
            </w:r>
          </w:p>
        </w:tc>
      </w:tr>
      <w:tr>
        <w:trPr>
          <w:trHeight w:val="1161" w:hRule="atLeast"/>
        </w:trPr>
        <w:tc>
          <w:tcPr>
            <w:tcW w:w="722" w:type="dxa"/>
            <w:tcBorders>
              <w:left w:val="single" w:sz="12" w:space="0" w:color="000000"/>
            </w:tcBorders>
          </w:tcPr>
          <w:p>
            <w:pPr>
              <w:pStyle w:val="TableParagraph"/>
              <w:rPr>
                <w:rFonts w:ascii="Times New Roman"/>
                <w:sz w:val="20"/>
              </w:rPr>
            </w:pPr>
          </w:p>
        </w:tc>
        <w:tc>
          <w:tcPr>
            <w:tcW w:w="720" w:type="dxa"/>
          </w:tcPr>
          <w:p>
            <w:pPr>
              <w:pStyle w:val="TableParagraph"/>
              <w:rPr>
                <w:rFonts w:ascii="Times New Roman"/>
                <w:sz w:val="20"/>
              </w:rPr>
            </w:pPr>
          </w:p>
        </w:tc>
        <w:tc>
          <w:tcPr>
            <w:tcW w:w="725" w:type="dxa"/>
          </w:tcPr>
          <w:p>
            <w:pPr>
              <w:pStyle w:val="TableParagraph"/>
              <w:rPr>
                <w:sz w:val="20"/>
              </w:rPr>
            </w:pPr>
          </w:p>
          <w:p>
            <w:pPr>
              <w:pStyle w:val="TableParagraph"/>
              <w:spacing w:before="4"/>
              <w:rPr>
                <w:sz w:val="20"/>
              </w:rPr>
            </w:pPr>
          </w:p>
          <w:p>
            <w:pPr>
              <w:pStyle w:val="TableParagraph"/>
              <w:spacing w:before="1"/>
              <w:ind w:left="28"/>
              <w:jc w:val="center"/>
              <w:rPr>
                <w:sz w:val="20"/>
              </w:rPr>
            </w:pPr>
            <w:r>
              <w:rPr>
                <w:spacing w:val="-10"/>
                <w:sz w:val="20"/>
              </w:rPr>
              <w:t>X</w:t>
            </w:r>
          </w:p>
        </w:tc>
        <w:tc>
          <w:tcPr>
            <w:tcW w:w="1551" w:type="dxa"/>
            <w:shd w:val="clear" w:color="auto" w:fill="808080"/>
          </w:tcPr>
          <w:p>
            <w:pPr>
              <w:pStyle w:val="TableParagraph"/>
              <w:rPr>
                <w:rFonts w:ascii="Times New Roman"/>
                <w:sz w:val="20"/>
              </w:rPr>
            </w:pPr>
          </w:p>
        </w:tc>
        <w:tc>
          <w:tcPr>
            <w:tcW w:w="5643" w:type="dxa"/>
            <w:tcBorders>
              <w:right w:val="single" w:sz="12" w:space="0" w:color="000000"/>
            </w:tcBorders>
          </w:tcPr>
          <w:p>
            <w:pPr>
              <w:pStyle w:val="TableParagraph"/>
              <w:tabs>
                <w:tab w:pos="503" w:val="left" w:leader="none"/>
              </w:tabs>
              <w:spacing w:before="119"/>
              <w:ind w:left="503" w:right="183" w:hanging="389"/>
              <w:rPr>
                <w:sz w:val="20"/>
              </w:rPr>
            </w:pPr>
            <w:r>
              <w:rPr>
                <w:spacing w:val="-6"/>
                <w:sz w:val="20"/>
              </w:rPr>
              <w:t>1.</w:t>
            </w:r>
            <w:r>
              <w:rPr>
                <w:sz w:val="20"/>
              </w:rPr>
              <w:tab/>
              <w:t>Each application must include the name of the State lead</w:t>
            </w:r>
            <w:r>
              <w:rPr>
                <w:spacing w:val="-7"/>
                <w:sz w:val="20"/>
              </w:rPr>
              <w:t> </w:t>
            </w:r>
            <w:r>
              <w:rPr>
                <w:sz w:val="20"/>
              </w:rPr>
              <w:t>agency,</w:t>
            </w:r>
            <w:r>
              <w:rPr>
                <w:spacing w:val="-7"/>
                <w:sz w:val="20"/>
              </w:rPr>
              <w:t> </w:t>
            </w:r>
            <w:r>
              <w:rPr>
                <w:sz w:val="20"/>
              </w:rPr>
              <w:t>as</w:t>
            </w:r>
            <w:r>
              <w:rPr>
                <w:spacing w:val="-7"/>
                <w:sz w:val="20"/>
              </w:rPr>
              <w:t> </w:t>
            </w:r>
            <w:r>
              <w:rPr>
                <w:sz w:val="20"/>
              </w:rPr>
              <w:t>designated</w:t>
            </w:r>
            <w:r>
              <w:rPr>
                <w:spacing w:val="-7"/>
                <w:sz w:val="20"/>
              </w:rPr>
              <w:t> </w:t>
            </w:r>
            <w:r>
              <w:rPr>
                <w:sz w:val="20"/>
              </w:rPr>
              <w:t>under</w:t>
            </w:r>
            <w:r>
              <w:rPr>
                <w:spacing w:val="-7"/>
                <w:sz w:val="20"/>
              </w:rPr>
              <w:t> </w:t>
            </w:r>
            <w:r>
              <w:rPr>
                <w:sz w:val="20"/>
              </w:rPr>
              <w:t>§303.120,</w:t>
            </w:r>
            <w:r>
              <w:rPr>
                <w:spacing w:val="-7"/>
                <w:sz w:val="20"/>
              </w:rPr>
              <w:t> </w:t>
            </w:r>
            <w:r>
              <w:rPr>
                <w:sz w:val="20"/>
              </w:rPr>
              <w:t>that</w:t>
            </w:r>
            <w:r>
              <w:rPr>
                <w:spacing w:val="-7"/>
                <w:sz w:val="20"/>
              </w:rPr>
              <w:t> </w:t>
            </w:r>
            <w:r>
              <w:rPr>
                <w:sz w:val="20"/>
              </w:rPr>
              <w:t>will</w:t>
            </w:r>
            <w:r>
              <w:rPr>
                <w:spacing w:val="-7"/>
                <w:sz w:val="20"/>
              </w:rPr>
              <w:t> </w:t>
            </w:r>
            <w:r>
              <w:rPr>
                <w:sz w:val="20"/>
              </w:rPr>
              <w:t>be responsible for the administration of funds provided under this part. (34 CFR §303.201)</w:t>
            </w:r>
          </w:p>
        </w:tc>
      </w:tr>
      <w:tr>
        <w:trPr>
          <w:trHeight w:val="1161" w:hRule="atLeast"/>
        </w:trPr>
        <w:tc>
          <w:tcPr>
            <w:tcW w:w="722" w:type="dxa"/>
            <w:tcBorders>
              <w:left w:val="single" w:sz="12" w:space="0" w:color="000000"/>
            </w:tcBorders>
          </w:tcPr>
          <w:p>
            <w:pPr>
              <w:pStyle w:val="TableParagraph"/>
              <w:rPr>
                <w:rFonts w:ascii="Times New Roman"/>
                <w:sz w:val="20"/>
              </w:rPr>
            </w:pPr>
          </w:p>
        </w:tc>
        <w:tc>
          <w:tcPr>
            <w:tcW w:w="720" w:type="dxa"/>
          </w:tcPr>
          <w:p>
            <w:pPr>
              <w:pStyle w:val="TableParagraph"/>
              <w:rPr>
                <w:rFonts w:ascii="Times New Roman"/>
                <w:sz w:val="20"/>
              </w:rPr>
            </w:pPr>
          </w:p>
        </w:tc>
        <w:tc>
          <w:tcPr>
            <w:tcW w:w="725" w:type="dxa"/>
          </w:tcPr>
          <w:p>
            <w:pPr>
              <w:pStyle w:val="TableParagraph"/>
              <w:rPr>
                <w:sz w:val="20"/>
              </w:rPr>
            </w:pPr>
          </w:p>
          <w:p>
            <w:pPr>
              <w:pStyle w:val="TableParagraph"/>
              <w:spacing w:before="4"/>
              <w:rPr>
                <w:sz w:val="20"/>
              </w:rPr>
            </w:pPr>
          </w:p>
          <w:p>
            <w:pPr>
              <w:pStyle w:val="TableParagraph"/>
              <w:spacing w:before="1"/>
              <w:ind w:left="28"/>
              <w:jc w:val="center"/>
              <w:rPr>
                <w:sz w:val="20"/>
              </w:rPr>
            </w:pPr>
            <w:r>
              <w:rPr>
                <w:spacing w:val="-10"/>
                <w:sz w:val="20"/>
              </w:rPr>
              <w:t>X</w:t>
            </w:r>
          </w:p>
        </w:tc>
        <w:tc>
          <w:tcPr>
            <w:tcW w:w="1551" w:type="dxa"/>
          </w:tcPr>
          <w:p>
            <w:pPr>
              <w:pStyle w:val="TableParagraph"/>
              <w:rPr>
                <w:rFonts w:ascii="Times New Roman"/>
                <w:sz w:val="20"/>
              </w:rPr>
            </w:pPr>
          </w:p>
        </w:tc>
        <w:tc>
          <w:tcPr>
            <w:tcW w:w="5643" w:type="dxa"/>
            <w:tcBorders>
              <w:right w:val="single" w:sz="12" w:space="0" w:color="000000"/>
            </w:tcBorders>
          </w:tcPr>
          <w:p>
            <w:pPr>
              <w:pStyle w:val="TableParagraph"/>
              <w:tabs>
                <w:tab w:pos="503" w:val="left" w:leader="none"/>
              </w:tabs>
              <w:spacing w:before="119"/>
              <w:ind w:left="503" w:right="149" w:hanging="389"/>
              <w:rPr>
                <w:sz w:val="20"/>
              </w:rPr>
            </w:pPr>
            <w:r>
              <w:rPr>
                <w:spacing w:val="-6"/>
                <w:sz w:val="20"/>
              </w:rPr>
              <w:t>2.</w:t>
            </w:r>
            <w:r>
              <w:rPr>
                <w:sz w:val="20"/>
              </w:rPr>
              <w:tab/>
              <w:t>Each application must include a description of services to be provided under Part C to infants and toddlers with disabilities</w:t>
            </w:r>
            <w:r>
              <w:rPr>
                <w:spacing w:val="-6"/>
                <w:sz w:val="20"/>
              </w:rPr>
              <w:t> </w:t>
            </w:r>
            <w:r>
              <w:rPr>
                <w:sz w:val="20"/>
              </w:rPr>
              <w:t>and</w:t>
            </w:r>
            <w:r>
              <w:rPr>
                <w:spacing w:val="-6"/>
                <w:sz w:val="20"/>
              </w:rPr>
              <w:t> </w:t>
            </w:r>
            <w:r>
              <w:rPr>
                <w:sz w:val="20"/>
              </w:rPr>
              <w:t>their</w:t>
            </w:r>
            <w:r>
              <w:rPr>
                <w:spacing w:val="-6"/>
                <w:sz w:val="20"/>
              </w:rPr>
              <w:t> </w:t>
            </w:r>
            <w:r>
              <w:rPr>
                <w:sz w:val="20"/>
              </w:rPr>
              <w:t>families</w:t>
            </w:r>
            <w:r>
              <w:rPr>
                <w:spacing w:val="-6"/>
                <w:sz w:val="20"/>
              </w:rPr>
              <w:t> </w:t>
            </w:r>
            <w:r>
              <w:rPr>
                <w:sz w:val="20"/>
              </w:rPr>
              <w:t>through</w:t>
            </w:r>
            <w:r>
              <w:rPr>
                <w:spacing w:val="-6"/>
                <w:sz w:val="20"/>
              </w:rPr>
              <w:t> </w:t>
            </w:r>
            <w:r>
              <w:rPr>
                <w:sz w:val="20"/>
              </w:rPr>
              <w:t>the</w:t>
            </w:r>
            <w:r>
              <w:rPr>
                <w:spacing w:val="-6"/>
                <w:sz w:val="20"/>
              </w:rPr>
              <w:t> </w:t>
            </w:r>
            <w:r>
              <w:rPr>
                <w:sz w:val="20"/>
              </w:rPr>
              <w:t>State’s</w:t>
            </w:r>
            <w:r>
              <w:rPr>
                <w:spacing w:val="-6"/>
                <w:sz w:val="20"/>
              </w:rPr>
              <w:t> </w:t>
            </w:r>
            <w:r>
              <w:rPr>
                <w:sz w:val="20"/>
              </w:rPr>
              <w:t>system. (34 CFR §303.203(a))</w:t>
            </w:r>
          </w:p>
        </w:tc>
      </w:tr>
      <w:tr>
        <w:trPr>
          <w:trHeight w:val="2658" w:hRule="atLeast"/>
        </w:trPr>
        <w:tc>
          <w:tcPr>
            <w:tcW w:w="722" w:type="dxa"/>
            <w:tcBorders>
              <w:left w:val="single" w:sz="12" w:space="0" w:color="000000"/>
              <w:bottom w:val="single" w:sz="12" w:space="0" w:color="000000"/>
            </w:tcBorders>
            <w:shd w:val="clear" w:color="auto" w:fill="808080"/>
          </w:tcPr>
          <w:p>
            <w:pPr>
              <w:pStyle w:val="TableParagraph"/>
              <w:rPr>
                <w:rFonts w:ascii="Times New Roman"/>
                <w:sz w:val="20"/>
              </w:rPr>
            </w:pPr>
          </w:p>
        </w:tc>
        <w:tc>
          <w:tcPr>
            <w:tcW w:w="720" w:type="dxa"/>
            <w:tcBorders>
              <w:bottom w:val="single" w:sz="12" w:space="0" w:color="000000"/>
            </w:tcBorders>
            <w:shd w:val="clear" w:color="auto" w:fill="808080"/>
          </w:tcPr>
          <w:p>
            <w:pPr>
              <w:pStyle w:val="TableParagraph"/>
              <w:rPr>
                <w:rFonts w:ascii="Times New Roman"/>
                <w:sz w:val="20"/>
              </w:rPr>
            </w:pPr>
          </w:p>
        </w:tc>
        <w:tc>
          <w:tcPr>
            <w:tcW w:w="725" w:type="dxa"/>
            <w:tcBorders>
              <w:bottom w:val="single" w:sz="12" w:space="0" w:color="000000"/>
            </w:tcBorders>
            <w:shd w:val="clear" w:color="auto" w:fill="808080"/>
          </w:tcPr>
          <w:p>
            <w:pPr>
              <w:pStyle w:val="TableParagraph"/>
              <w:rPr>
                <w:rFonts w:ascii="Times New Roman"/>
                <w:sz w:val="20"/>
              </w:rPr>
            </w:pPr>
          </w:p>
        </w:tc>
        <w:tc>
          <w:tcPr>
            <w:tcW w:w="1551" w:type="dxa"/>
            <w:tcBorders>
              <w:bottom w:val="single" w:sz="12" w:space="0" w:color="000000"/>
            </w:tcBorders>
            <w:shd w:val="clear" w:color="auto" w:fill="808080"/>
          </w:tcPr>
          <w:p>
            <w:pPr>
              <w:pStyle w:val="TableParagraph"/>
              <w:rPr>
                <w:rFonts w:ascii="Times New Roman"/>
                <w:sz w:val="20"/>
              </w:rPr>
            </w:pPr>
          </w:p>
        </w:tc>
        <w:tc>
          <w:tcPr>
            <w:tcW w:w="5643" w:type="dxa"/>
            <w:tcBorders>
              <w:bottom w:val="single" w:sz="12" w:space="0" w:color="000000"/>
              <w:right w:val="single" w:sz="12" w:space="0" w:color="000000"/>
            </w:tcBorders>
          </w:tcPr>
          <w:p>
            <w:pPr>
              <w:pStyle w:val="TableParagraph"/>
              <w:tabs>
                <w:tab w:pos="503" w:val="left" w:leader="none"/>
              </w:tabs>
              <w:spacing w:before="119"/>
              <w:ind w:left="503" w:right="177" w:hanging="389"/>
              <w:rPr>
                <w:sz w:val="20"/>
              </w:rPr>
            </w:pPr>
            <w:r>
              <w:rPr>
                <w:spacing w:val="-6"/>
                <w:sz w:val="20"/>
              </w:rPr>
              <w:t>3.</w:t>
            </w:r>
            <w:r>
              <w:rPr>
                <w:sz w:val="20"/>
              </w:rPr>
              <w:tab/>
              <w:t>Each application must include the State’s policies and procedures</w:t>
            </w:r>
            <w:r>
              <w:rPr>
                <w:spacing w:val="-8"/>
                <w:sz w:val="20"/>
              </w:rPr>
              <w:t> </w:t>
            </w:r>
            <w:r>
              <w:rPr>
                <w:sz w:val="20"/>
              </w:rPr>
              <w:t>regarding</w:t>
            </w:r>
            <w:r>
              <w:rPr>
                <w:spacing w:val="-8"/>
                <w:sz w:val="20"/>
              </w:rPr>
              <w:t> </w:t>
            </w:r>
            <w:r>
              <w:rPr>
                <w:sz w:val="20"/>
              </w:rPr>
              <w:t>the</w:t>
            </w:r>
            <w:r>
              <w:rPr>
                <w:spacing w:val="-8"/>
                <w:sz w:val="20"/>
              </w:rPr>
              <w:t> </w:t>
            </w:r>
            <w:r>
              <w:rPr>
                <w:sz w:val="20"/>
              </w:rPr>
              <w:t>identification</w:t>
            </w:r>
            <w:r>
              <w:rPr>
                <w:spacing w:val="-8"/>
                <w:sz w:val="20"/>
              </w:rPr>
              <w:t> </w:t>
            </w:r>
            <w:r>
              <w:rPr>
                <w:sz w:val="20"/>
              </w:rPr>
              <w:t>and</w:t>
            </w:r>
            <w:r>
              <w:rPr>
                <w:spacing w:val="-8"/>
                <w:sz w:val="20"/>
              </w:rPr>
              <w:t> </w:t>
            </w:r>
            <w:r>
              <w:rPr>
                <w:sz w:val="20"/>
              </w:rPr>
              <w:t>coordination of all available resources within the State from Federal, State, local, and private sources as required under subpart F of 34 CFR Part 303.</w:t>
            </w:r>
          </w:p>
          <w:p>
            <w:pPr>
              <w:pStyle w:val="TableParagraph"/>
              <w:spacing w:before="117"/>
              <w:ind w:left="518" w:right="183"/>
              <w:rPr>
                <w:i/>
                <w:sz w:val="20"/>
              </w:rPr>
            </w:pPr>
            <w:r>
              <w:rPr>
                <w:i/>
                <w:sz w:val="20"/>
              </w:rPr>
              <w:t>The</w:t>
            </w:r>
            <w:r>
              <w:rPr>
                <w:i/>
                <w:spacing w:val="-5"/>
                <w:sz w:val="20"/>
              </w:rPr>
              <w:t> </w:t>
            </w:r>
            <w:r>
              <w:rPr>
                <w:i/>
                <w:sz w:val="20"/>
              </w:rPr>
              <w:t>State</w:t>
            </w:r>
            <w:r>
              <w:rPr>
                <w:i/>
                <w:spacing w:val="-6"/>
                <w:sz w:val="20"/>
              </w:rPr>
              <w:t> </w:t>
            </w:r>
            <w:r>
              <w:rPr>
                <w:i/>
                <w:sz w:val="20"/>
              </w:rPr>
              <w:t>must</w:t>
            </w:r>
            <w:r>
              <w:rPr>
                <w:i/>
                <w:spacing w:val="-5"/>
                <w:sz w:val="20"/>
              </w:rPr>
              <w:t> </w:t>
            </w:r>
            <w:r>
              <w:rPr>
                <w:i/>
                <w:sz w:val="20"/>
              </w:rPr>
              <w:t>have</w:t>
            </w:r>
            <w:r>
              <w:rPr>
                <w:i/>
                <w:spacing w:val="-5"/>
                <w:sz w:val="20"/>
              </w:rPr>
              <w:t> </w:t>
            </w:r>
            <w:r>
              <w:rPr>
                <w:i/>
                <w:sz w:val="20"/>
              </w:rPr>
              <w:t>policies</w:t>
            </w:r>
            <w:r>
              <w:rPr>
                <w:i/>
                <w:spacing w:val="-5"/>
                <w:sz w:val="20"/>
              </w:rPr>
              <w:t> </w:t>
            </w:r>
            <w:r>
              <w:rPr>
                <w:i/>
                <w:sz w:val="20"/>
              </w:rPr>
              <w:t>and</w:t>
            </w:r>
            <w:r>
              <w:rPr>
                <w:i/>
                <w:spacing w:val="-5"/>
                <w:sz w:val="20"/>
              </w:rPr>
              <w:t> </w:t>
            </w:r>
            <w:r>
              <w:rPr>
                <w:i/>
                <w:sz w:val="20"/>
              </w:rPr>
              <w:t>procedures</w:t>
            </w:r>
            <w:r>
              <w:rPr>
                <w:i/>
                <w:spacing w:val="-5"/>
                <w:sz w:val="20"/>
              </w:rPr>
              <w:t> </w:t>
            </w:r>
            <w:r>
              <w:rPr>
                <w:i/>
                <w:sz w:val="20"/>
              </w:rPr>
              <w:t>that</w:t>
            </w:r>
            <w:r>
              <w:rPr>
                <w:i/>
                <w:spacing w:val="-5"/>
                <w:sz w:val="20"/>
              </w:rPr>
              <w:t> </w:t>
            </w:r>
            <w:r>
              <w:rPr>
                <w:i/>
                <w:sz w:val="20"/>
              </w:rPr>
              <w:t>meet</w:t>
            </w:r>
            <w:r>
              <w:rPr>
                <w:i/>
                <w:sz w:val="20"/>
              </w:rPr>
              <w:t> the requirements listed in 3(a) and the methods identified in 3(b), and must provide responses to those entries. If the State has not adopted a system of payments, it may respond “NA” to 3(a).</w:t>
            </w:r>
          </w:p>
        </w:tc>
      </w:tr>
    </w:tbl>
    <w:p>
      <w:pPr>
        <w:pStyle w:val="TableParagraph"/>
        <w:spacing w:after="0"/>
        <w:rPr>
          <w:i/>
          <w:sz w:val="20"/>
        </w:rPr>
        <w:sectPr>
          <w:footerReference w:type="default" r:id="rId11"/>
          <w:pgSz w:w="12240" w:h="15840"/>
          <w:pgMar w:header="0" w:footer="879" w:top="1380" w:bottom="1334" w:left="720" w:right="720"/>
          <w:pgNumType w:start="1"/>
        </w:sectPr>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237"/>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4727"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0" w:type="dxa"/>
            <w:tcBorders>
              <w:top w:val="single" w:sz="12" w:space="0" w:color="000000"/>
            </w:tcBorders>
          </w:tcPr>
          <w:p>
            <w:pPr>
              <w:pStyle w:val="TableParagraph"/>
              <w:rPr>
                <w:rFonts w:ascii="Times New Roman"/>
                <w:sz w:val="18"/>
              </w:rPr>
            </w:pPr>
          </w:p>
        </w:tc>
        <w:tc>
          <w:tcPr>
            <w:tcW w:w="725" w:type="dxa"/>
            <w:tcBorders>
              <w:top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0"/>
              <w:rPr>
                <w:sz w:val="20"/>
              </w:rPr>
            </w:pPr>
          </w:p>
          <w:p>
            <w:pPr>
              <w:pStyle w:val="TableParagraph"/>
              <w:ind w:left="28"/>
              <w:jc w:val="center"/>
              <w:rPr>
                <w:sz w:val="20"/>
              </w:rPr>
            </w:pPr>
            <w:r>
              <w:rPr>
                <w:spacing w:val="-10"/>
                <w:sz w:val="20"/>
              </w:rPr>
              <w:t>X</w:t>
            </w:r>
          </w:p>
        </w:tc>
        <w:tc>
          <w:tcPr>
            <w:tcW w:w="1551" w:type="dxa"/>
            <w:tcBorders>
              <w:top w:val="single" w:sz="12" w:space="0" w:color="000000"/>
            </w:tcBorders>
          </w:tcPr>
          <w:p>
            <w:pPr>
              <w:pStyle w:val="TableParagraph"/>
              <w:rPr>
                <w:rFonts w:ascii="Times New Roman"/>
                <w:sz w:val="18"/>
              </w:rPr>
            </w:pPr>
          </w:p>
        </w:tc>
        <w:tc>
          <w:tcPr>
            <w:tcW w:w="5643" w:type="dxa"/>
            <w:tcBorders>
              <w:top w:val="single" w:sz="12" w:space="0" w:color="000000"/>
              <w:right w:val="single" w:sz="12" w:space="0" w:color="000000"/>
            </w:tcBorders>
          </w:tcPr>
          <w:p>
            <w:pPr>
              <w:pStyle w:val="TableParagraph"/>
              <w:spacing w:before="104"/>
              <w:ind w:left="920" w:right="183" w:hanging="403"/>
              <w:rPr>
                <w:sz w:val="20"/>
              </w:rPr>
            </w:pPr>
            <w:r>
              <w:rPr>
                <w:sz w:val="20"/>
              </w:rPr>
              <w:t>(a)</w:t>
            </w:r>
            <w:r>
              <w:rPr>
                <w:spacing w:val="80"/>
                <w:sz w:val="20"/>
              </w:rPr>
              <w:t> </w:t>
            </w:r>
            <w:r>
              <w:rPr>
                <w:sz w:val="20"/>
              </w:rPr>
              <w:t>If the State has adopted a system of payments, each application must include any policies or procedures adopted by the State as its system of payments</w:t>
            </w:r>
            <w:r>
              <w:rPr>
                <w:spacing w:val="-7"/>
                <w:sz w:val="20"/>
              </w:rPr>
              <w:t> </w:t>
            </w:r>
            <w:r>
              <w:rPr>
                <w:sz w:val="20"/>
              </w:rPr>
              <w:t>and</w:t>
            </w:r>
            <w:r>
              <w:rPr>
                <w:spacing w:val="-7"/>
                <w:sz w:val="20"/>
              </w:rPr>
              <w:t> </w:t>
            </w:r>
            <w:r>
              <w:rPr>
                <w:sz w:val="20"/>
              </w:rPr>
              <w:t>those</w:t>
            </w:r>
            <w:r>
              <w:rPr>
                <w:spacing w:val="-7"/>
                <w:sz w:val="20"/>
              </w:rPr>
              <w:t> </w:t>
            </w:r>
            <w:r>
              <w:rPr>
                <w:sz w:val="20"/>
              </w:rPr>
              <w:t>policies</w:t>
            </w:r>
            <w:r>
              <w:rPr>
                <w:spacing w:val="-7"/>
                <w:sz w:val="20"/>
              </w:rPr>
              <w:t> </w:t>
            </w:r>
            <w:r>
              <w:rPr>
                <w:sz w:val="20"/>
              </w:rPr>
              <w:t>and</w:t>
            </w:r>
            <w:r>
              <w:rPr>
                <w:spacing w:val="-7"/>
                <w:sz w:val="20"/>
              </w:rPr>
              <w:t> </w:t>
            </w:r>
            <w:r>
              <w:rPr>
                <w:sz w:val="20"/>
              </w:rPr>
              <w:t>procedures</w:t>
            </w:r>
            <w:r>
              <w:rPr>
                <w:spacing w:val="-7"/>
                <w:sz w:val="20"/>
              </w:rPr>
              <w:t> </w:t>
            </w:r>
            <w:r>
              <w:rPr>
                <w:sz w:val="20"/>
              </w:rPr>
              <w:t>must meet</w:t>
            </w:r>
            <w:r>
              <w:rPr>
                <w:spacing w:val="-7"/>
                <w:sz w:val="20"/>
              </w:rPr>
              <w:t> </w:t>
            </w:r>
            <w:r>
              <w:rPr>
                <w:sz w:val="20"/>
              </w:rPr>
              <w:t>the</w:t>
            </w:r>
            <w:r>
              <w:rPr>
                <w:spacing w:val="-6"/>
                <w:sz w:val="20"/>
              </w:rPr>
              <w:t> </w:t>
            </w:r>
            <w:r>
              <w:rPr>
                <w:sz w:val="20"/>
              </w:rPr>
              <w:t>requirements</w:t>
            </w:r>
            <w:r>
              <w:rPr>
                <w:spacing w:val="-7"/>
                <w:sz w:val="20"/>
              </w:rPr>
              <w:t> </w:t>
            </w:r>
            <w:r>
              <w:rPr>
                <w:sz w:val="20"/>
              </w:rPr>
              <w:t>in</w:t>
            </w:r>
            <w:r>
              <w:rPr>
                <w:spacing w:val="-6"/>
                <w:sz w:val="20"/>
              </w:rPr>
              <w:t> </w:t>
            </w:r>
            <w:r>
              <w:rPr>
                <w:sz w:val="20"/>
              </w:rPr>
              <w:t>§§303.510,</w:t>
            </w:r>
            <w:r>
              <w:rPr>
                <w:spacing w:val="-7"/>
                <w:sz w:val="20"/>
              </w:rPr>
              <w:t> </w:t>
            </w:r>
            <w:r>
              <w:rPr>
                <w:sz w:val="20"/>
              </w:rPr>
              <w:t>303.520</w:t>
            </w:r>
            <w:r>
              <w:rPr>
                <w:spacing w:val="-6"/>
                <w:sz w:val="20"/>
              </w:rPr>
              <w:t> </w:t>
            </w:r>
            <w:r>
              <w:rPr>
                <w:spacing w:val="-5"/>
                <w:sz w:val="20"/>
              </w:rPr>
              <w:t>and</w:t>
            </w:r>
          </w:p>
          <w:p>
            <w:pPr>
              <w:pStyle w:val="TableParagraph"/>
              <w:spacing w:before="2"/>
              <w:ind w:left="920" w:right="183"/>
              <w:rPr>
                <w:sz w:val="20"/>
              </w:rPr>
            </w:pPr>
            <w:r>
              <w:rPr>
                <w:sz w:val="20"/>
              </w:rPr>
              <w:t>303.521 (regarding the use of public insurance or benefits,</w:t>
            </w:r>
            <w:r>
              <w:rPr>
                <w:spacing w:val="-6"/>
                <w:sz w:val="20"/>
              </w:rPr>
              <w:t> </w:t>
            </w:r>
            <w:r>
              <w:rPr>
                <w:sz w:val="20"/>
              </w:rPr>
              <w:t>private</w:t>
            </w:r>
            <w:r>
              <w:rPr>
                <w:spacing w:val="-6"/>
                <w:sz w:val="20"/>
              </w:rPr>
              <w:t> </w:t>
            </w:r>
            <w:r>
              <w:rPr>
                <w:sz w:val="20"/>
              </w:rPr>
              <w:t>insurance,</w:t>
            </w:r>
            <w:r>
              <w:rPr>
                <w:spacing w:val="-6"/>
                <w:sz w:val="20"/>
              </w:rPr>
              <w:t> </w:t>
            </w:r>
            <w:r>
              <w:rPr>
                <w:sz w:val="20"/>
              </w:rPr>
              <w:t>or</w:t>
            </w:r>
            <w:r>
              <w:rPr>
                <w:spacing w:val="-6"/>
                <w:sz w:val="20"/>
              </w:rPr>
              <w:t> </w:t>
            </w:r>
            <w:r>
              <w:rPr>
                <w:sz w:val="20"/>
              </w:rPr>
              <w:t>family</w:t>
            </w:r>
            <w:r>
              <w:rPr>
                <w:spacing w:val="-6"/>
                <w:sz w:val="20"/>
              </w:rPr>
              <w:t> </w:t>
            </w:r>
            <w:r>
              <w:rPr>
                <w:sz w:val="20"/>
              </w:rPr>
              <w:t>costs</w:t>
            </w:r>
            <w:r>
              <w:rPr>
                <w:spacing w:val="-6"/>
                <w:sz w:val="20"/>
              </w:rPr>
              <w:t> </w:t>
            </w:r>
            <w:r>
              <w:rPr>
                <w:sz w:val="20"/>
              </w:rPr>
              <w:t>or</w:t>
            </w:r>
            <w:r>
              <w:rPr>
                <w:spacing w:val="-6"/>
                <w:sz w:val="20"/>
              </w:rPr>
              <w:t> </w:t>
            </w:r>
            <w:r>
              <w:rPr>
                <w:sz w:val="20"/>
              </w:rPr>
              <w:t>fees).</w:t>
            </w:r>
          </w:p>
          <w:p>
            <w:pPr>
              <w:pStyle w:val="TableParagraph"/>
              <w:spacing w:before="116"/>
              <w:ind w:left="517"/>
              <w:rPr>
                <w:sz w:val="20"/>
              </w:rPr>
            </w:pPr>
            <w:r>
              <w:rPr>
                <w:sz w:val="20"/>
              </w:rPr>
              <w:t>(34</w:t>
            </w:r>
            <w:r>
              <w:rPr>
                <w:spacing w:val="-4"/>
                <w:sz w:val="20"/>
              </w:rPr>
              <w:t> </w:t>
            </w:r>
            <w:r>
              <w:rPr>
                <w:sz w:val="20"/>
              </w:rPr>
              <w:t>CFR</w:t>
            </w:r>
            <w:r>
              <w:rPr>
                <w:spacing w:val="-4"/>
                <w:sz w:val="20"/>
              </w:rPr>
              <w:t> </w:t>
            </w:r>
            <w:r>
              <w:rPr>
                <w:spacing w:val="-2"/>
                <w:sz w:val="20"/>
              </w:rPr>
              <w:t>§303.203(b)(1))</w:t>
            </w:r>
          </w:p>
          <w:p>
            <w:pPr>
              <w:pStyle w:val="TableParagraph"/>
              <w:spacing w:before="121"/>
              <w:ind w:left="517" w:right="137"/>
              <w:rPr>
                <w:b/>
                <w:i/>
                <w:sz w:val="20"/>
              </w:rPr>
            </w:pPr>
            <w:r>
              <w:rPr>
                <w:b/>
                <w:i/>
                <w:sz w:val="20"/>
              </w:rPr>
              <w:t>The policies and procedures listed in 3(a) are</w:t>
            </w:r>
            <w:r>
              <w:rPr>
                <w:b/>
                <w:i/>
                <w:sz w:val="20"/>
              </w:rPr>
              <w:t> </w:t>
            </w:r>
            <w:r>
              <w:rPr>
                <w:b/>
                <w:i/>
                <w:sz w:val="20"/>
                <w:u w:val="single"/>
              </w:rPr>
              <w:t>optional</w:t>
            </w:r>
            <w:r>
              <w:rPr>
                <w:b/>
                <w:i/>
                <w:sz w:val="20"/>
                <w:u w:val="none"/>
              </w:rPr>
              <w:t>.</w:t>
            </w:r>
            <w:r>
              <w:rPr>
                <w:b/>
                <w:i/>
                <w:spacing w:val="-4"/>
                <w:sz w:val="20"/>
                <w:u w:val="none"/>
              </w:rPr>
              <w:t> </w:t>
            </w:r>
            <w:r>
              <w:rPr>
                <w:b/>
                <w:i/>
                <w:sz w:val="20"/>
                <w:u w:val="none"/>
              </w:rPr>
              <w:t>Enter</w:t>
            </w:r>
            <w:r>
              <w:rPr>
                <w:b/>
                <w:i/>
                <w:spacing w:val="-4"/>
                <w:sz w:val="20"/>
                <w:u w:val="none"/>
              </w:rPr>
              <w:t> </w:t>
            </w:r>
            <w:r>
              <w:rPr>
                <w:b/>
                <w:i/>
                <w:sz w:val="20"/>
                <w:u w:val="none"/>
              </w:rPr>
              <w:t>'NA'</w:t>
            </w:r>
            <w:r>
              <w:rPr>
                <w:b/>
                <w:i/>
                <w:spacing w:val="-4"/>
                <w:sz w:val="20"/>
                <w:u w:val="none"/>
              </w:rPr>
              <w:t> </w:t>
            </w:r>
            <w:r>
              <w:rPr>
                <w:b/>
                <w:i/>
                <w:sz w:val="20"/>
                <w:u w:val="none"/>
              </w:rPr>
              <w:t>in</w:t>
            </w:r>
            <w:r>
              <w:rPr>
                <w:b/>
                <w:i/>
                <w:spacing w:val="-5"/>
                <w:sz w:val="20"/>
                <w:u w:val="none"/>
              </w:rPr>
              <w:t> </w:t>
            </w:r>
            <w:r>
              <w:rPr>
                <w:b/>
                <w:i/>
                <w:sz w:val="20"/>
                <w:u w:val="none"/>
              </w:rPr>
              <w:t>the</w:t>
            </w:r>
            <w:r>
              <w:rPr>
                <w:b/>
                <w:i/>
                <w:spacing w:val="-4"/>
                <w:sz w:val="20"/>
                <w:u w:val="none"/>
              </w:rPr>
              <w:t> </w:t>
            </w:r>
            <w:r>
              <w:rPr>
                <w:b/>
                <w:i/>
                <w:sz w:val="20"/>
                <w:u w:val="none"/>
              </w:rPr>
              <w:t>cells</w:t>
            </w:r>
            <w:r>
              <w:rPr>
                <w:b/>
                <w:i/>
                <w:spacing w:val="-4"/>
                <w:sz w:val="20"/>
                <w:u w:val="none"/>
              </w:rPr>
              <w:t> </w:t>
            </w:r>
            <w:r>
              <w:rPr>
                <w:b/>
                <w:i/>
                <w:sz w:val="20"/>
                <w:u w:val="none"/>
              </w:rPr>
              <w:t>to</w:t>
            </w:r>
            <w:r>
              <w:rPr>
                <w:b/>
                <w:i/>
                <w:spacing w:val="-5"/>
                <w:sz w:val="20"/>
                <w:u w:val="none"/>
              </w:rPr>
              <w:t> </w:t>
            </w:r>
            <w:r>
              <w:rPr>
                <w:b/>
                <w:i/>
                <w:sz w:val="20"/>
                <w:u w:val="none"/>
              </w:rPr>
              <w:t>the</w:t>
            </w:r>
            <w:r>
              <w:rPr>
                <w:b/>
                <w:i/>
                <w:spacing w:val="-4"/>
                <w:sz w:val="20"/>
                <w:u w:val="none"/>
              </w:rPr>
              <w:t> </w:t>
            </w:r>
            <w:r>
              <w:rPr>
                <w:b/>
                <w:i/>
                <w:sz w:val="20"/>
                <w:u w:val="none"/>
              </w:rPr>
              <w:t>left</w:t>
            </w:r>
            <w:r>
              <w:rPr>
                <w:b/>
                <w:i/>
                <w:spacing w:val="-4"/>
                <w:sz w:val="20"/>
                <w:u w:val="none"/>
              </w:rPr>
              <w:t> </w:t>
            </w:r>
            <w:r>
              <w:rPr>
                <w:b/>
                <w:i/>
                <w:sz w:val="20"/>
                <w:u w:val="none"/>
              </w:rPr>
              <w:t>if</w:t>
            </w:r>
            <w:r>
              <w:rPr>
                <w:b/>
                <w:i/>
                <w:spacing w:val="-4"/>
                <w:sz w:val="20"/>
                <w:u w:val="none"/>
              </w:rPr>
              <w:t> </w:t>
            </w:r>
            <w:r>
              <w:rPr>
                <w:b/>
                <w:i/>
                <w:sz w:val="20"/>
                <w:u w:val="none"/>
              </w:rPr>
              <w:t>the</w:t>
            </w:r>
            <w:r>
              <w:rPr>
                <w:b/>
                <w:i/>
                <w:spacing w:val="-4"/>
                <w:sz w:val="20"/>
                <w:u w:val="none"/>
              </w:rPr>
              <w:t> </w:t>
            </w:r>
            <w:r>
              <w:rPr>
                <w:b/>
                <w:i/>
                <w:sz w:val="20"/>
                <w:u w:val="none"/>
              </w:rPr>
              <w:t>State has elected not to adopt a system of payments (which</w:t>
            </w:r>
            <w:r>
              <w:rPr>
                <w:b/>
                <w:i/>
                <w:spacing w:val="-4"/>
                <w:sz w:val="20"/>
                <w:u w:val="none"/>
              </w:rPr>
              <w:t> </w:t>
            </w:r>
            <w:r>
              <w:rPr>
                <w:b/>
                <w:i/>
                <w:sz w:val="20"/>
                <w:u w:val="none"/>
              </w:rPr>
              <w:t>includes</w:t>
            </w:r>
            <w:r>
              <w:rPr>
                <w:b/>
                <w:i/>
                <w:spacing w:val="-4"/>
                <w:sz w:val="20"/>
                <w:u w:val="none"/>
              </w:rPr>
              <w:t> </w:t>
            </w:r>
            <w:r>
              <w:rPr>
                <w:b/>
                <w:i/>
                <w:sz w:val="20"/>
                <w:u w:val="none"/>
              </w:rPr>
              <w:t>a</w:t>
            </w:r>
            <w:r>
              <w:rPr>
                <w:b/>
                <w:i/>
                <w:spacing w:val="-4"/>
                <w:sz w:val="20"/>
                <w:u w:val="none"/>
              </w:rPr>
              <w:t> </w:t>
            </w:r>
            <w:r>
              <w:rPr>
                <w:b/>
                <w:i/>
                <w:sz w:val="20"/>
                <w:u w:val="none"/>
              </w:rPr>
              <w:t>system</w:t>
            </w:r>
            <w:r>
              <w:rPr>
                <w:b/>
                <w:i/>
                <w:spacing w:val="-5"/>
                <w:sz w:val="20"/>
                <w:u w:val="none"/>
              </w:rPr>
              <w:t> </w:t>
            </w:r>
            <w:r>
              <w:rPr>
                <w:b/>
                <w:i/>
                <w:sz w:val="20"/>
                <w:u w:val="none"/>
              </w:rPr>
              <w:t>to</w:t>
            </w:r>
            <w:r>
              <w:rPr>
                <w:b/>
                <w:i/>
                <w:spacing w:val="-4"/>
                <w:sz w:val="20"/>
                <w:u w:val="none"/>
              </w:rPr>
              <w:t> </w:t>
            </w:r>
            <w:r>
              <w:rPr>
                <w:b/>
                <w:i/>
                <w:sz w:val="20"/>
                <w:u w:val="none"/>
              </w:rPr>
              <w:t>use</w:t>
            </w:r>
            <w:r>
              <w:rPr>
                <w:b/>
                <w:i/>
                <w:spacing w:val="-4"/>
                <w:sz w:val="20"/>
                <w:u w:val="none"/>
              </w:rPr>
              <w:t> </w:t>
            </w:r>
            <w:r>
              <w:rPr>
                <w:b/>
                <w:i/>
                <w:sz w:val="20"/>
                <w:u w:val="none"/>
              </w:rPr>
              <w:t>public</w:t>
            </w:r>
            <w:r>
              <w:rPr>
                <w:b/>
                <w:i/>
                <w:spacing w:val="-4"/>
                <w:sz w:val="20"/>
                <w:u w:val="none"/>
              </w:rPr>
              <w:t> </w:t>
            </w:r>
            <w:r>
              <w:rPr>
                <w:b/>
                <w:i/>
                <w:sz w:val="20"/>
                <w:u w:val="none"/>
              </w:rPr>
              <w:t>insurance</w:t>
            </w:r>
            <w:r>
              <w:rPr>
                <w:b/>
                <w:i/>
                <w:spacing w:val="-4"/>
                <w:sz w:val="20"/>
                <w:u w:val="none"/>
              </w:rPr>
              <w:t> </w:t>
            </w:r>
            <w:r>
              <w:rPr>
                <w:b/>
                <w:i/>
                <w:sz w:val="20"/>
                <w:u w:val="none"/>
              </w:rPr>
              <w:t>or benefits or private insurance or family fees to pay for Part C services); otherwise check the appropriate</w:t>
            </w:r>
            <w:r>
              <w:rPr>
                <w:b/>
                <w:i/>
                <w:spacing w:val="-1"/>
                <w:sz w:val="20"/>
                <w:u w:val="none"/>
              </w:rPr>
              <w:t> </w:t>
            </w:r>
            <w:r>
              <w:rPr>
                <w:b/>
                <w:i/>
                <w:sz w:val="20"/>
                <w:u w:val="none"/>
              </w:rPr>
              <w:t>response</w:t>
            </w:r>
            <w:r>
              <w:rPr>
                <w:b/>
                <w:i/>
                <w:spacing w:val="-1"/>
                <w:sz w:val="20"/>
                <w:u w:val="none"/>
              </w:rPr>
              <w:t> </w:t>
            </w:r>
            <w:r>
              <w:rPr>
                <w:b/>
                <w:i/>
                <w:sz w:val="20"/>
                <w:u w:val="none"/>
              </w:rPr>
              <w:t>under</w:t>
            </w:r>
            <w:r>
              <w:rPr>
                <w:b/>
                <w:i/>
                <w:spacing w:val="-1"/>
                <w:sz w:val="20"/>
                <w:u w:val="none"/>
              </w:rPr>
              <w:t> </w:t>
            </w:r>
            <w:r>
              <w:rPr>
                <w:b/>
                <w:i/>
                <w:sz w:val="20"/>
                <w:u w:val="none"/>
              </w:rPr>
              <w:t>the</w:t>
            </w:r>
            <w:r>
              <w:rPr>
                <w:b/>
                <w:i/>
                <w:spacing w:val="-1"/>
                <w:sz w:val="20"/>
                <w:u w:val="none"/>
              </w:rPr>
              <w:t> </w:t>
            </w:r>
            <w:r>
              <w:rPr>
                <w:b/>
                <w:i/>
                <w:sz w:val="20"/>
                <w:u w:val="none"/>
              </w:rPr>
              <w:t>'Yes'</w:t>
            </w:r>
            <w:r>
              <w:rPr>
                <w:b/>
                <w:i/>
                <w:spacing w:val="-1"/>
                <w:sz w:val="20"/>
                <w:u w:val="none"/>
              </w:rPr>
              <w:t> </w:t>
            </w:r>
            <w:r>
              <w:rPr>
                <w:b/>
                <w:i/>
                <w:sz w:val="20"/>
                <w:u w:val="none"/>
              </w:rPr>
              <w:t>column</w:t>
            </w:r>
            <w:r>
              <w:rPr>
                <w:b/>
                <w:i/>
                <w:spacing w:val="-2"/>
                <w:sz w:val="20"/>
                <w:u w:val="none"/>
              </w:rPr>
              <w:t> </w:t>
            </w:r>
            <w:r>
              <w:rPr>
                <w:b/>
                <w:i/>
                <w:sz w:val="20"/>
                <w:u w:val="none"/>
              </w:rPr>
              <w:t>and,</w:t>
            </w:r>
            <w:r>
              <w:rPr>
                <w:b/>
                <w:i/>
                <w:spacing w:val="-1"/>
                <w:sz w:val="20"/>
                <w:u w:val="none"/>
              </w:rPr>
              <w:t> </w:t>
            </w:r>
            <w:r>
              <w:rPr>
                <w:b/>
                <w:i/>
                <w:sz w:val="20"/>
                <w:u w:val="none"/>
              </w:rPr>
              <w:t>if checking ‘N’ or ‘R’, attach policies and procedures.</w:t>
            </w:r>
          </w:p>
          <w:p>
            <w:pPr>
              <w:pStyle w:val="TableParagraph"/>
              <w:spacing w:before="123"/>
              <w:ind w:left="517" w:right="149"/>
              <w:rPr>
                <w:b/>
                <w:i/>
                <w:sz w:val="20"/>
              </w:rPr>
            </w:pPr>
            <w:r>
              <w:rPr>
                <w:b/>
                <w:i/>
                <w:sz w:val="20"/>
              </w:rPr>
              <w:t>The</w:t>
            </w:r>
            <w:r>
              <w:rPr>
                <w:b/>
                <w:i/>
                <w:spacing w:val="-5"/>
                <w:sz w:val="20"/>
              </w:rPr>
              <w:t> </w:t>
            </w:r>
            <w:r>
              <w:rPr>
                <w:b/>
                <w:i/>
                <w:sz w:val="20"/>
              </w:rPr>
              <w:t>State’s</w:t>
            </w:r>
            <w:r>
              <w:rPr>
                <w:b/>
                <w:i/>
                <w:spacing w:val="-5"/>
                <w:sz w:val="20"/>
              </w:rPr>
              <w:t> </w:t>
            </w:r>
            <w:r>
              <w:rPr>
                <w:b/>
                <w:i/>
                <w:sz w:val="20"/>
              </w:rPr>
              <w:t>response</w:t>
            </w:r>
            <w:r>
              <w:rPr>
                <w:b/>
                <w:i/>
                <w:spacing w:val="-5"/>
                <w:sz w:val="20"/>
              </w:rPr>
              <w:t> </w:t>
            </w:r>
            <w:r>
              <w:rPr>
                <w:b/>
                <w:i/>
                <w:sz w:val="20"/>
              </w:rPr>
              <w:t>under</w:t>
            </w:r>
            <w:r>
              <w:rPr>
                <w:b/>
                <w:i/>
                <w:spacing w:val="-5"/>
                <w:sz w:val="20"/>
              </w:rPr>
              <w:t> </w:t>
            </w:r>
            <w:r>
              <w:rPr>
                <w:b/>
                <w:i/>
                <w:sz w:val="20"/>
              </w:rPr>
              <w:t>3(a)</w:t>
            </w:r>
            <w:r>
              <w:rPr>
                <w:b/>
                <w:i/>
                <w:spacing w:val="-5"/>
                <w:sz w:val="20"/>
              </w:rPr>
              <w:t> </w:t>
            </w:r>
            <w:r>
              <w:rPr>
                <w:b/>
                <w:i/>
                <w:sz w:val="20"/>
              </w:rPr>
              <w:t>of</w:t>
            </w:r>
            <w:r>
              <w:rPr>
                <w:b/>
                <w:i/>
                <w:spacing w:val="-5"/>
                <w:sz w:val="20"/>
              </w:rPr>
              <w:t> </w:t>
            </w:r>
            <w:r>
              <w:rPr>
                <w:b/>
                <w:i/>
                <w:sz w:val="20"/>
              </w:rPr>
              <w:t>Section</w:t>
            </w:r>
            <w:r>
              <w:rPr>
                <w:b/>
                <w:i/>
                <w:spacing w:val="-5"/>
                <w:sz w:val="20"/>
              </w:rPr>
              <w:t> </w:t>
            </w:r>
            <w:r>
              <w:rPr>
                <w:b/>
                <w:i/>
                <w:sz w:val="20"/>
              </w:rPr>
              <w:t>II.A</w:t>
            </w:r>
            <w:r>
              <w:rPr>
                <w:b/>
                <w:i/>
                <w:spacing w:val="-13"/>
                <w:sz w:val="20"/>
              </w:rPr>
              <w:t> </w:t>
            </w:r>
            <w:r>
              <w:rPr>
                <w:b/>
                <w:i/>
                <w:sz w:val="20"/>
              </w:rPr>
              <w:t>must</w:t>
            </w:r>
            <w:r>
              <w:rPr>
                <w:b/>
                <w:i/>
                <w:sz w:val="20"/>
              </w:rPr>
              <w:t> match the State’s response under Section IV.A.</w:t>
            </w:r>
          </w:p>
        </w:tc>
      </w:tr>
      <w:tr>
        <w:trPr>
          <w:trHeight w:val="3695" w:hRule="atLeast"/>
        </w:trPr>
        <w:tc>
          <w:tcPr>
            <w:tcW w:w="722" w:type="dxa"/>
            <w:tcBorders>
              <w:left w:val="single" w:sz="12" w:space="0" w:color="000000"/>
            </w:tcBorders>
          </w:tcPr>
          <w:p>
            <w:pPr>
              <w:pStyle w:val="TableParagraph"/>
              <w:rPr>
                <w:rFonts w:ascii="Times New Roman"/>
                <w:sz w:val="18"/>
              </w:rPr>
            </w:pPr>
          </w:p>
        </w:tc>
        <w:tc>
          <w:tcPr>
            <w:tcW w:w="720" w:type="dxa"/>
          </w:tcPr>
          <w:p>
            <w:pPr>
              <w:pStyle w:val="TableParagraph"/>
              <w:rPr>
                <w:rFonts w:ascii="Times New Roman"/>
                <w:sz w:val="18"/>
              </w:rPr>
            </w:pPr>
          </w:p>
        </w:tc>
        <w:tc>
          <w:tcPr>
            <w:tcW w:w="72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2"/>
              <w:rPr>
                <w:sz w:val="20"/>
              </w:rPr>
            </w:pPr>
          </w:p>
          <w:p>
            <w:pPr>
              <w:pStyle w:val="TableParagraph"/>
              <w:ind w:left="28"/>
              <w:jc w:val="center"/>
              <w:rPr>
                <w:sz w:val="20"/>
              </w:rPr>
            </w:pPr>
            <w:r>
              <w:rPr>
                <w:spacing w:val="-10"/>
                <w:sz w:val="20"/>
              </w:rPr>
              <w:t>X</w:t>
            </w:r>
          </w:p>
        </w:tc>
        <w:tc>
          <w:tcPr>
            <w:tcW w:w="1551" w:type="dxa"/>
          </w:tcPr>
          <w:p>
            <w:pPr>
              <w:pStyle w:val="TableParagraph"/>
              <w:rPr>
                <w:rFonts w:ascii="Times New Roman"/>
                <w:sz w:val="18"/>
              </w:rPr>
            </w:pPr>
          </w:p>
        </w:tc>
        <w:tc>
          <w:tcPr>
            <w:tcW w:w="5643" w:type="dxa"/>
            <w:tcBorders>
              <w:right w:val="single" w:sz="12" w:space="0" w:color="000000"/>
            </w:tcBorders>
          </w:tcPr>
          <w:p>
            <w:pPr>
              <w:pStyle w:val="TableParagraph"/>
              <w:spacing w:before="119"/>
              <w:ind w:left="920" w:hanging="403"/>
              <w:rPr>
                <w:sz w:val="20"/>
              </w:rPr>
            </w:pPr>
            <w:r>
              <w:rPr>
                <w:sz w:val="20"/>
              </w:rPr>
              <w:t>(b)</w:t>
            </w:r>
            <w:r>
              <w:rPr>
                <w:spacing w:val="80"/>
                <w:sz w:val="20"/>
              </w:rPr>
              <w:t> </w:t>
            </w:r>
            <w:r>
              <w:rPr>
                <w:sz w:val="20"/>
              </w:rPr>
              <w:t>Each application must include the methods (State law, regulation, signed interagency or intra-agency agreements or other appropriate written method(s) approved by the Secretary) used by the State to implement the payor of last resort and fiscal </w:t>
            </w:r>
            <w:r>
              <w:rPr>
                <w:spacing w:val="-2"/>
                <w:sz w:val="20"/>
              </w:rPr>
              <w:t>responsibility</w:t>
            </w:r>
            <w:r>
              <w:rPr>
                <w:spacing w:val="-12"/>
                <w:sz w:val="20"/>
              </w:rPr>
              <w:t> </w:t>
            </w:r>
            <w:r>
              <w:rPr>
                <w:spacing w:val="-2"/>
                <w:sz w:val="20"/>
              </w:rPr>
              <w:t>requirements</w:t>
            </w:r>
            <w:r>
              <w:rPr>
                <w:spacing w:val="-12"/>
                <w:sz w:val="20"/>
              </w:rPr>
              <w:t> </w:t>
            </w:r>
            <w:r>
              <w:rPr>
                <w:spacing w:val="-2"/>
                <w:sz w:val="20"/>
              </w:rPr>
              <w:t>in</w:t>
            </w:r>
            <w:r>
              <w:rPr>
                <w:spacing w:val="-12"/>
                <w:sz w:val="20"/>
              </w:rPr>
              <w:t> </w:t>
            </w:r>
            <w:r>
              <w:rPr>
                <w:spacing w:val="-2"/>
                <w:sz w:val="20"/>
              </w:rPr>
              <w:t>§303.511(b)(2)</w:t>
            </w:r>
            <w:r>
              <w:rPr>
                <w:spacing w:val="-12"/>
                <w:sz w:val="20"/>
              </w:rPr>
              <w:t> </w:t>
            </w:r>
            <w:r>
              <w:rPr>
                <w:spacing w:val="-2"/>
                <w:sz w:val="20"/>
              </w:rPr>
              <w:t>and</w:t>
            </w:r>
            <w:r>
              <w:rPr>
                <w:spacing w:val="-12"/>
                <w:sz w:val="20"/>
              </w:rPr>
              <w:t> </w:t>
            </w:r>
            <w:r>
              <w:rPr>
                <w:spacing w:val="-2"/>
                <w:sz w:val="20"/>
              </w:rPr>
              <w:t>(3).</w:t>
            </w:r>
          </w:p>
          <w:p>
            <w:pPr>
              <w:pStyle w:val="TableParagraph"/>
              <w:spacing w:before="118"/>
              <w:ind w:left="517"/>
              <w:rPr>
                <w:sz w:val="20"/>
              </w:rPr>
            </w:pPr>
            <w:r>
              <w:rPr>
                <w:sz w:val="20"/>
              </w:rPr>
              <w:t>(34</w:t>
            </w:r>
            <w:r>
              <w:rPr>
                <w:spacing w:val="-4"/>
                <w:sz w:val="20"/>
              </w:rPr>
              <w:t> </w:t>
            </w:r>
            <w:r>
              <w:rPr>
                <w:sz w:val="20"/>
              </w:rPr>
              <w:t>CFR</w:t>
            </w:r>
            <w:r>
              <w:rPr>
                <w:spacing w:val="-4"/>
                <w:sz w:val="20"/>
              </w:rPr>
              <w:t> </w:t>
            </w:r>
            <w:r>
              <w:rPr>
                <w:spacing w:val="-2"/>
                <w:sz w:val="20"/>
              </w:rPr>
              <w:t>§303.203(b)(2))</w:t>
            </w:r>
          </w:p>
          <w:p>
            <w:pPr>
              <w:pStyle w:val="TableParagraph"/>
              <w:spacing w:before="120"/>
              <w:ind w:left="517" w:right="105"/>
              <w:rPr>
                <w:b/>
                <w:i/>
                <w:sz w:val="20"/>
              </w:rPr>
            </w:pPr>
            <w:r>
              <w:rPr>
                <w:b/>
                <w:i/>
                <w:sz w:val="20"/>
              </w:rPr>
              <w:t>If the State uses signed interagency agreements or</w:t>
            </w:r>
            <w:r>
              <w:rPr>
                <w:b/>
                <w:i/>
                <w:sz w:val="20"/>
              </w:rPr>
              <w:t> “other appropriate written method(s)” to meet the requirements in 3(b), please check ‘N’ or ‘R’ and submit with the application. If the State’s method is</w:t>
            </w:r>
            <w:r>
              <w:rPr>
                <w:b/>
                <w:i/>
                <w:spacing w:val="40"/>
                <w:sz w:val="20"/>
              </w:rPr>
              <w:t> </w:t>
            </w:r>
            <w:r>
              <w:rPr>
                <w:b/>
                <w:i/>
                <w:sz w:val="20"/>
              </w:rPr>
              <w:t>a</w:t>
            </w:r>
            <w:r>
              <w:rPr>
                <w:b/>
                <w:i/>
                <w:spacing w:val="-5"/>
                <w:sz w:val="20"/>
              </w:rPr>
              <w:t> </w:t>
            </w:r>
            <w:r>
              <w:rPr>
                <w:b/>
                <w:i/>
                <w:sz w:val="20"/>
              </w:rPr>
              <w:t>State</w:t>
            </w:r>
            <w:r>
              <w:rPr>
                <w:b/>
                <w:i/>
                <w:spacing w:val="-5"/>
                <w:sz w:val="20"/>
              </w:rPr>
              <w:t> </w:t>
            </w:r>
            <w:r>
              <w:rPr>
                <w:b/>
                <w:i/>
                <w:sz w:val="20"/>
              </w:rPr>
              <w:t>statute</w:t>
            </w:r>
            <w:r>
              <w:rPr>
                <w:b/>
                <w:i/>
                <w:spacing w:val="-5"/>
                <w:sz w:val="20"/>
              </w:rPr>
              <w:t> </w:t>
            </w:r>
            <w:r>
              <w:rPr>
                <w:b/>
                <w:i/>
                <w:sz w:val="20"/>
              </w:rPr>
              <w:t>or</w:t>
            </w:r>
            <w:r>
              <w:rPr>
                <w:b/>
                <w:i/>
                <w:spacing w:val="-5"/>
                <w:sz w:val="20"/>
              </w:rPr>
              <w:t> </w:t>
            </w:r>
            <w:r>
              <w:rPr>
                <w:b/>
                <w:i/>
                <w:sz w:val="20"/>
              </w:rPr>
              <w:t>regulation,</w:t>
            </w:r>
            <w:r>
              <w:rPr>
                <w:b/>
                <w:i/>
                <w:spacing w:val="-5"/>
                <w:sz w:val="20"/>
              </w:rPr>
              <w:t> </w:t>
            </w:r>
            <w:r>
              <w:rPr>
                <w:b/>
                <w:i/>
                <w:sz w:val="20"/>
              </w:rPr>
              <w:t>the</w:t>
            </w:r>
            <w:r>
              <w:rPr>
                <w:b/>
                <w:i/>
                <w:spacing w:val="-5"/>
                <w:sz w:val="20"/>
              </w:rPr>
              <w:t> </w:t>
            </w:r>
            <w:r>
              <w:rPr>
                <w:b/>
                <w:i/>
                <w:sz w:val="20"/>
              </w:rPr>
              <w:t>State</w:t>
            </w:r>
            <w:r>
              <w:rPr>
                <w:b/>
                <w:i/>
                <w:spacing w:val="-5"/>
                <w:sz w:val="20"/>
              </w:rPr>
              <w:t> </w:t>
            </w:r>
            <w:r>
              <w:rPr>
                <w:b/>
                <w:i/>
                <w:sz w:val="20"/>
              </w:rPr>
              <w:t>does</w:t>
            </w:r>
            <w:r>
              <w:rPr>
                <w:b/>
                <w:i/>
                <w:spacing w:val="-5"/>
                <w:sz w:val="20"/>
              </w:rPr>
              <w:t> </w:t>
            </w:r>
            <w:r>
              <w:rPr>
                <w:b/>
                <w:i/>
                <w:sz w:val="20"/>
              </w:rPr>
              <w:t>not</w:t>
            </w:r>
            <w:r>
              <w:rPr>
                <w:b/>
                <w:i/>
                <w:spacing w:val="-5"/>
                <w:sz w:val="20"/>
              </w:rPr>
              <w:t> </w:t>
            </w:r>
            <w:r>
              <w:rPr>
                <w:b/>
                <w:i/>
                <w:sz w:val="20"/>
              </w:rPr>
              <w:t>need to submit that method (the statute or regulation)</w:t>
            </w:r>
            <w:r>
              <w:rPr>
                <w:b/>
                <w:i/>
                <w:spacing w:val="40"/>
                <w:sz w:val="20"/>
              </w:rPr>
              <w:t> </w:t>
            </w:r>
            <w:r>
              <w:rPr>
                <w:b/>
                <w:i/>
                <w:sz w:val="20"/>
              </w:rPr>
              <w:t>with its application.</w:t>
            </w:r>
          </w:p>
        </w:tc>
      </w:tr>
      <w:tr>
        <w:trPr>
          <w:trHeight w:val="3810" w:hRule="atLeast"/>
        </w:trPr>
        <w:tc>
          <w:tcPr>
            <w:tcW w:w="722" w:type="dxa"/>
            <w:tcBorders>
              <w:left w:val="single" w:sz="12" w:space="0" w:color="000000"/>
              <w:bottom w:val="single" w:sz="12" w:space="0" w:color="000000"/>
            </w:tcBorders>
          </w:tcPr>
          <w:p>
            <w:pPr>
              <w:pStyle w:val="TableParagraph"/>
              <w:rPr>
                <w:rFonts w:ascii="Times New Roman"/>
                <w:sz w:val="18"/>
              </w:rPr>
            </w:pPr>
          </w:p>
        </w:tc>
        <w:tc>
          <w:tcPr>
            <w:tcW w:w="720" w:type="dxa"/>
            <w:tcBorders>
              <w:bottom w:val="single" w:sz="12" w:space="0" w:color="000000"/>
            </w:tcBorders>
          </w:tcPr>
          <w:p>
            <w:pPr>
              <w:pStyle w:val="TableParagraph"/>
              <w:rPr>
                <w:rFonts w:ascii="Times New Roman"/>
                <w:sz w:val="18"/>
              </w:rPr>
            </w:pPr>
          </w:p>
        </w:tc>
        <w:tc>
          <w:tcPr>
            <w:tcW w:w="725" w:type="dxa"/>
            <w:tcBorders>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9"/>
              <w:rPr>
                <w:sz w:val="20"/>
              </w:rPr>
            </w:pPr>
          </w:p>
          <w:p>
            <w:pPr>
              <w:pStyle w:val="TableParagraph"/>
              <w:spacing w:before="1"/>
              <w:ind w:left="28"/>
              <w:jc w:val="center"/>
              <w:rPr>
                <w:sz w:val="20"/>
              </w:rPr>
            </w:pPr>
            <w:r>
              <w:rPr>
                <w:spacing w:val="-10"/>
                <w:sz w:val="20"/>
              </w:rPr>
              <w:t>X</w:t>
            </w:r>
          </w:p>
        </w:tc>
        <w:tc>
          <w:tcPr>
            <w:tcW w:w="1551" w:type="dxa"/>
            <w:tcBorders>
              <w:bottom w:val="single" w:sz="12" w:space="0" w:color="000000"/>
            </w:tcBorders>
          </w:tcPr>
          <w:p>
            <w:pPr>
              <w:pStyle w:val="TableParagraph"/>
              <w:rPr>
                <w:rFonts w:ascii="Times New Roman"/>
                <w:sz w:val="18"/>
              </w:rPr>
            </w:pPr>
          </w:p>
        </w:tc>
        <w:tc>
          <w:tcPr>
            <w:tcW w:w="5643" w:type="dxa"/>
            <w:tcBorders>
              <w:bottom w:val="single" w:sz="12" w:space="0" w:color="000000"/>
              <w:right w:val="single" w:sz="12" w:space="0" w:color="000000"/>
            </w:tcBorders>
          </w:tcPr>
          <w:p>
            <w:pPr>
              <w:pStyle w:val="TableParagraph"/>
              <w:numPr>
                <w:ilvl w:val="0"/>
                <w:numId w:val="3"/>
              </w:numPr>
              <w:tabs>
                <w:tab w:pos="523" w:val="left" w:leader="none"/>
              </w:tabs>
              <w:spacing w:line="240" w:lineRule="auto" w:before="119" w:after="0"/>
              <w:ind w:left="523" w:right="558" w:hanging="409"/>
              <w:jc w:val="left"/>
              <w:rPr>
                <w:sz w:val="20"/>
              </w:rPr>
            </w:pPr>
            <w:r>
              <w:rPr>
                <w:sz w:val="20"/>
              </w:rPr>
              <w:t>Each application must include the State’s rigorous definition</w:t>
            </w:r>
            <w:r>
              <w:rPr>
                <w:spacing w:val="-7"/>
                <w:sz w:val="20"/>
              </w:rPr>
              <w:t> </w:t>
            </w:r>
            <w:r>
              <w:rPr>
                <w:sz w:val="20"/>
              </w:rPr>
              <w:t>of</w:t>
            </w:r>
            <w:r>
              <w:rPr>
                <w:spacing w:val="-7"/>
                <w:sz w:val="20"/>
              </w:rPr>
              <w:t> </w:t>
            </w:r>
            <w:r>
              <w:rPr>
                <w:sz w:val="20"/>
              </w:rPr>
              <w:t>developmental</w:t>
            </w:r>
            <w:r>
              <w:rPr>
                <w:spacing w:val="-7"/>
                <w:sz w:val="20"/>
              </w:rPr>
              <w:t> </w:t>
            </w:r>
            <w:r>
              <w:rPr>
                <w:sz w:val="20"/>
              </w:rPr>
              <w:t>delay</w:t>
            </w:r>
            <w:r>
              <w:rPr>
                <w:spacing w:val="-7"/>
                <w:sz w:val="20"/>
              </w:rPr>
              <w:t> </w:t>
            </w:r>
            <w:r>
              <w:rPr>
                <w:sz w:val="20"/>
              </w:rPr>
              <w:t>as</w:t>
            </w:r>
            <w:r>
              <w:rPr>
                <w:spacing w:val="-7"/>
                <w:sz w:val="20"/>
              </w:rPr>
              <w:t> </w:t>
            </w:r>
            <w:r>
              <w:rPr>
                <w:sz w:val="20"/>
              </w:rPr>
              <w:t>required</w:t>
            </w:r>
            <w:r>
              <w:rPr>
                <w:spacing w:val="-7"/>
                <w:sz w:val="20"/>
              </w:rPr>
              <w:t> </w:t>
            </w:r>
            <w:r>
              <w:rPr>
                <w:sz w:val="20"/>
              </w:rPr>
              <w:t>under</w:t>
            </w:r>
          </w:p>
          <w:p>
            <w:pPr>
              <w:pStyle w:val="TableParagraph"/>
              <w:spacing w:before="1"/>
              <w:ind w:left="523" w:right="115"/>
              <w:rPr>
                <w:sz w:val="20"/>
              </w:rPr>
            </w:pPr>
            <w:r>
              <w:rPr>
                <w:sz w:val="20"/>
              </w:rPr>
              <w:t>§§303.10 and 303.111. Each Statewide system must include the State's rigorous definition of </w:t>
            </w:r>
            <w:r>
              <w:rPr>
                <w:sz w:val="20"/>
                <w:u w:val="single"/>
              </w:rPr>
              <w:t>developmental</w:t>
            </w:r>
            <w:r>
              <w:rPr>
                <w:sz w:val="20"/>
                <w:u w:val="none"/>
              </w:rPr>
              <w:t> </w:t>
            </w:r>
            <w:r>
              <w:rPr>
                <w:sz w:val="20"/>
                <w:u w:val="single"/>
              </w:rPr>
              <w:t>delay</w:t>
            </w:r>
            <w:r>
              <w:rPr>
                <w:sz w:val="20"/>
                <w:u w:val="none"/>
              </w:rPr>
              <w:t>,</w:t>
            </w:r>
            <w:r>
              <w:rPr>
                <w:spacing w:val="-4"/>
                <w:sz w:val="20"/>
                <w:u w:val="none"/>
              </w:rPr>
              <w:t> </w:t>
            </w:r>
            <w:r>
              <w:rPr>
                <w:sz w:val="20"/>
                <w:u w:val="none"/>
              </w:rPr>
              <w:t>consistent</w:t>
            </w:r>
            <w:r>
              <w:rPr>
                <w:spacing w:val="-4"/>
                <w:sz w:val="20"/>
                <w:u w:val="none"/>
              </w:rPr>
              <w:t> </w:t>
            </w:r>
            <w:r>
              <w:rPr>
                <w:sz w:val="20"/>
                <w:u w:val="none"/>
              </w:rPr>
              <w:t>with</w:t>
            </w:r>
            <w:r>
              <w:rPr>
                <w:spacing w:val="-4"/>
                <w:sz w:val="20"/>
                <w:u w:val="none"/>
              </w:rPr>
              <w:t> </w:t>
            </w:r>
            <w:r>
              <w:rPr>
                <w:sz w:val="20"/>
                <w:u w:val="none"/>
              </w:rPr>
              <w:t>§§303.10</w:t>
            </w:r>
            <w:r>
              <w:rPr>
                <w:spacing w:val="-4"/>
                <w:sz w:val="20"/>
                <w:u w:val="none"/>
              </w:rPr>
              <w:t> </w:t>
            </w:r>
            <w:r>
              <w:rPr>
                <w:sz w:val="20"/>
                <w:u w:val="none"/>
              </w:rPr>
              <w:t>and</w:t>
            </w:r>
            <w:r>
              <w:rPr>
                <w:spacing w:val="-4"/>
                <w:sz w:val="20"/>
                <w:u w:val="none"/>
              </w:rPr>
              <w:t> </w:t>
            </w:r>
            <w:r>
              <w:rPr>
                <w:sz w:val="20"/>
                <w:u w:val="none"/>
              </w:rPr>
              <w:t>303.203(c),</w:t>
            </w:r>
            <w:r>
              <w:rPr>
                <w:spacing w:val="-4"/>
                <w:sz w:val="20"/>
                <w:u w:val="none"/>
              </w:rPr>
              <w:t> </w:t>
            </w:r>
            <w:r>
              <w:rPr>
                <w:sz w:val="20"/>
                <w:u w:val="none"/>
              </w:rPr>
              <w:t>that</w:t>
            </w:r>
            <w:r>
              <w:rPr>
                <w:spacing w:val="-4"/>
                <w:sz w:val="20"/>
                <w:u w:val="none"/>
              </w:rPr>
              <w:t> </w:t>
            </w:r>
            <w:r>
              <w:rPr>
                <w:sz w:val="20"/>
                <w:u w:val="none"/>
              </w:rPr>
              <w:t>will be used by the State in carrying out programs under Part</w:t>
            </w:r>
            <w:r>
              <w:rPr>
                <w:spacing w:val="-2"/>
                <w:sz w:val="20"/>
                <w:u w:val="none"/>
              </w:rPr>
              <w:t> </w:t>
            </w:r>
            <w:r>
              <w:rPr>
                <w:sz w:val="20"/>
                <w:u w:val="none"/>
              </w:rPr>
              <w:t>C</w:t>
            </w:r>
            <w:r>
              <w:rPr>
                <w:spacing w:val="-3"/>
                <w:sz w:val="20"/>
                <w:u w:val="none"/>
              </w:rPr>
              <w:t> </w:t>
            </w:r>
            <w:r>
              <w:rPr>
                <w:sz w:val="20"/>
                <w:u w:val="none"/>
              </w:rPr>
              <w:t>of</w:t>
            </w:r>
            <w:r>
              <w:rPr>
                <w:spacing w:val="-2"/>
                <w:sz w:val="20"/>
                <w:u w:val="none"/>
              </w:rPr>
              <w:t> </w:t>
            </w:r>
            <w:r>
              <w:rPr>
                <w:sz w:val="20"/>
                <w:u w:val="none"/>
              </w:rPr>
              <w:t>the</w:t>
            </w:r>
            <w:r>
              <w:rPr>
                <w:spacing w:val="-13"/>
                <w:sz w:val="20"/>
                <w:u w:val="none"/>
              </w:rPr>
              <w:t> </w:t>
            </w:r>
            <w:r>
              <w:rPr>
                <w:sz w:val="20"/>
                <w:u w:val="none"/>
              </w:rPr>
              <w:t>Act</w:t>
            </w:r>
            <w:r>
              <w:rPr>
                <w:spacing w:val="-2"/>
                <w:sz w:val="20"/>
                <w:u w:val="none"/>
              </w:rPr>
              <w:t> </w:t>
            </w:r>
            <w:r>
              <w:rPr>
                <w:sz w:val="20"/>
                <w:u w:val="none"/>
              </w:rPr>
              <w:t>in</w:t>
            </w:r>
            <w:r>
              <w:rPr>
                <w:spacing w:val="-2"/>
                <w:sz w:val="20"/>
                <w:u w:val="none"/>
              </w:rPr>
              <w:t> </w:t>
            </w:r>
            <w:r>
              <w:rPr>
                <w:sz w:val="20"/>
                <w:u w:val="none"/>
              </w:rPr>
              <w:t>order</w:t>
            </w:r>
            <w:r>
              <w:rPr>
                <w:spacing w:val="-2"/>
                <w:sz w:val="20"/>
                <w:u w:val="none"/>
              </w:rPr>
              <w:t> </w:t>
            </w:r>
            <w:r>
              <w:rPr>
                <w:sz w:val="20"/>
                <w:u w:val="none"/>
              </w:rPr>
              <w:t>to</w:t>
            </w:r>
            <w:r>
              <w:rPr>
                <w:spacing w:val="-2"/>
                <w:sz w:val="20"/>
                <w:u w:val="none"/>
              </w:rPr>
              <w:t> </w:t>
            </w:r>
            <w:r>
              <w:rPr>
                <w:sz w:val="20"/>
                <w:u w:val="none"/>
              </w:rPr>
              <w:t>appropriately</w:t>
            </w:r>
            <w:r>
              <w:rPr>
                <w:spacing w:val="-2"/>
                <w:sz w:val="20"/>
                <w:u w:val="none"/>
              </w:rPr>
              <w:t> </w:t>
            </w:r>
            <w:r>
              <w:rPr>
                <w:sz w:val="20"/>
                <w:u w:val="none"/>
              </w:rPr>
              <w:t>identify</w:t>
            </w:r>
            <w:r>
              <w:rPr>
                <w:spacing w:val="-2"/>
                <w:sz w:val="20"/>
                <w:u w:val="none"/>
              </w:rPr>
              <w:t> </w:t>
            </w:r>
            <w:r>
              <w:rPr>
                <w:sz w:val="20"/>
                <w:u w:val="none"/>
              </w:rPr>
              <w:t>infants and</w:t>
            </w:r>
            <w:r>
              <w:rPr>
                <w:spacing w:val="-5"/>
                <w:sz w:val="20"/>
                <w:u w:val="none"/>
              </w:rPr>
              <w:t> </w:t>
            </w:r>
            <w:r>
              <w:rPr>
                <w:sz w:val="20"/>
                <w:u w:val="none"/>
              </w:rPr>
              <w:t>toddlers</w:t>
            </w:r>
            <w:r>
              <w:rPr>
                <w:spacing w:val="-5"/>
                <w:sz w:val="20"/>
                <w:u w:val="none"/>
              </w:rPr>
              <w:t> </w:t>
            </w:r>
            <w:r>
              <w:rPr>
                <w:sz w:val="20"/>
                <w:u w:val="none"/>
              </w:rPr>
              <w:t>with</w:t>
            </w:r>
            <w:r>
              <w:rPr>
                <w:spacing w:val="-5"/>
                <w:sz w:val="20"/>
                <w:u w:val="none"/>
              </w:rPr>
              <w:t> </w:t>
            </w:r>
            <w:r>
              <w:rPr>
                <w:sz w:val="20"/>
                <w:u w:val="none"/>
              </w:rPr>
              <w:t>disabilities</w:t>
            </w:r>
            <w:r>
              <w:rPr>
                <w:spacing w:val="-5"/>
                <w:sz w:val="20"/>
                <w:u w:val="none"/>
              </w:rPr>
              <w:t> </w:t>
            </w:r>
            <w:r>
              <w:rPr>
                <w:sz w:val="20"/>
                <w:u w:val="none"/>
              </w:rPr>
              <w:t>who</w:t>
            </w:r>
            <w:r>
              <w:rPr>
                <w:spacing w:val="-5"/>
                <w:sz w:val="20"/>
                <w:u w:val="none"/>
              </w:rPr>
              <w:t> </w:t>
            </w:r>
            <w:r>
              <w:rPr>
                <w:sz w:val="20"/>
                <w:u w:val="none"/>
              </w:rPr>
              <w:t>are</w:t>
            </w:r>
            <w:r>
              <w:rPr>
                <w:spacing w:val="-5"/>
                <w:sz w:val="20"/>
                <w:u w:val="none"/>
              </w:rPr>
              <w:t> </w:t>
            </w:r>
            <w:r>
              <w:rPr>
                <w:sz w:val="20"/>
                <w:u w:val="none"/>
              </w:rPr>
              <w:t>in</w:t>
            </w:r>
            <w:r>
              <w:rPr>
                <w:spacing w:val="-5"/>
                <w:sz w:val="20"/>
                <w:u w:val="none"/>
              </w:rPr>
              <w:t> </w:t>
            </w:r>
            <w:r>
              <w:rPr>
                <w:sz w:val="20"/>
                <w:u w:val="none"/>
              </w:rPr>
              <w:t>need</w:t>
            </w:r>
            <w:r>
              <w:rPr>
                <w:spacing w:val="-5"/>
                <w:sz w:val="20"/>
                <w:u w:val="none"/>
              </w:rPr>
              <w:t> </w:t>
            </w:r>
            <w:r>
              <w:rPr>
                <w:sz w:val="20"/>
                <w:u w:val="none"/>
              </w:rPr>
              <w:t>of</w:t>
            </w:r>
            <w:r>
              <w:rPr>
                <w:spacing w:val="-5"/>
                <w:sz w:val="20"/>
                <w:u w:val="none"/>
              </w:rPr>
              <w:t> </w:t>
            </w:r>
            <w:r>
              <w:rPr>
                <w:sz w:val="20"/>
                <w:u w:val="none"/>
              </w:rPr>
              <w:t>services under Part C of the Act. The definition must—</w:t>
            </w:r>
          </w:p>
          <w:p>
            <w:pPr>
              <w:pStyle w:val="TableParagraph"/>
              <w:numPr>
                <w:ilvl w:val="1"/>
                <w:numId w:val="3"/>
              </w:numPr>
              <w:tabs>
                <w:tab w:pos="919" w:val="left" w:leader="none"/>
              </w:tabs>
              <w:spacing w:line="240" w:lineRule="auto" w:before="123" w:after="0"/>
              <w:ind w:left="919" w:right="0" w:hanging="402"/>
              <w:jc w:val="left"/>
              <w:rPr>
                <w:sz w:val="20"/>
              </w:rPr>
            </w:pPr>
            <w:r>
              <w:rPr>
                <w:sz w:val="20"/>
              </w:rPr>
              <w:t>Describe,</w:t>
            </w:r>
            <w:r>
              <w:rPr>
                <w:spacing w:val="-7"/>
                <w:sz w:val="20"/>
              </w:rPr>
              <w:t> </w:t>
            </w:r>
            <w:r>
              <w:rPr>
                <w:sz w:val="20"/>
              </w:rPr>
              <w:t>for</w:t>
            </w:r>
            <w:r>
              <w:rPr>
                <w:spacing w:val="-5"/>
                <w:sz w:val="20"/>
              </w:rPr>
              <w:t> </w:t>
            </w:r>
            <w:r>
              <w:rPr>
                <w:sz w:val="20"/>
              </w:rPr>
              <w:t>each</w:t>
            </w:r>
            <w:r>
              <w:rPr>
                <w:spacing w:val="-5"/>
                <w:sz w:val="20"/>
              </w:rPr>
              <w:t> </w:t>
            </w:r>
            <w:r>
              <w:rPr>
                <w:sz w:val="20"/>
              </w:rPr>
              <w:t>of</w:t>
            </w:r>
            <w:r>
              <w:rPr>
                <w:spacing w:val="-4"/>
                <w:sz w:val="20"/>
              </w:rPr>
              <w:t> </w:t>
            </w:r>
            <w:r>
              <w:rPr>
                <w:sz w:val="20"/>
              </w:rPr>
              <w:t>the</w:t>
            </w:r>
            <w:r>
              <w:rPr>
                <w:spacing w:val="-5"/>
                <w:sz w:val="20"/>
              </w:rPr>
              <w:t> </w:t>
            </w:r>
            <w:r>
              <w:rPr>
                <w:sz w:val="20"/>
              </w:rPr>
              <w:t>areas</w:t>
            </w:r>
            <w:r>
              <w:rPr>
                <w:spacing w:val="-5"/>
                <w:sz w:val="20"/>
              </w:rPr>
              <w:t> </w:t>
            </w:r>
            <w:r>
              <w:rPr>
                <w:sz w:val="20"/>
              </w:rPr>
              <w:t>listed</w:t>
            </w:r>
            <w:r>
              <w:rPr>
                <w:spacing w:val="-4"/>
                <w:sz w:val="20"/>
              </w:rPr>
              <w:t> </w:t>
            </w:r>
            <w:r>
              <w:rPr>
                <w:spacing w:val="-5"/>
                <w:sz w:val="20"/>
              </w:rPr>
              <w:t>in</w:t>
            </w:r>
          </w:p>
          <w:p>
            <w:pPr>
              <w:pStyle w:val="TableParagraph"/>
              <w:spacing w:line="237" w:lineRule="auto" w:before="2"/>
              <w:ind w:left="920" w:right="183"/>
              <w:rPr>
                <w:sz w:val="20"/>
              </w:rPr>
            </w:pPr>
            <w:r>
              <w:rPr>
                <w:sz w:val="20"/>
              </w:rPr>
              <w:t>§303.21(a)(1), the evaluation and assessment procedures,</w:t>
            </w:r>
            <w:r>
              <w:rPr>
                <w:spacing w:val="-6"/>
                <w:sz w:val="20"/>
              </w:rPr>
              <w:t> </w:t>
            </w:r>
            <w:r>
              <w:rPr>
                <w:sz w:val="20"/>
              </w:rPr>
              <w:t>consistent</w:t>
            </w:r>
            <w:r>
              <w:rPr>
                <w:spacing w:val="-6"/>
                <w:sz w:val="20"/>
              </w:rPr>
              <w:t> </w:t>
            </w:r>
            <w:r>
              <w:rPr>
                <w:sz w:val="20"/>
              </w:rPr>
              <w:t>with</w:t>
            </w:r>
            <w:r>
              <w:rPr>
                <w:spacing w:val="-6"/>
                <w:sz w:val="20"/>
              </w:rPr>
              <w:t> </w:t>
            </w:r>
            <w:r>
              <w:rPr>
                <w:sz w:val="20"/>
              </w:rPr>
              <w:t>§303.321,</w:t>
            </w:r>
            <w:r>
              <w:rPr>
                <w:spacing w:val="-6"/>
                <w:sz w:val="20"/>
              </w:rPr>
              <w:t> </w:t>
            </w:r>
            <w:r>
              <w:rPr>
                <w:sz w:val="20"/>
              </w:rPr>
              <w:t>that</w:t>
            </w:r>
            <w:r>
              <w:rPr>
                <w:spacing w:val="-6"/>
                <w:sz w:val="20"/>
              </w:rPr>
              <w:t> </w:t>
            </w:r>
            <w:r>
              <w:rPr>
                <w:sz w:val="20"/>
              </w:rPr>
              <w:t>will</w:t>
            </w:r>
            <w:r>
              <w:rPr>
                <w:spacing w:val="-6"/>
                <w:sz w:val="20"/>
              </w:rPr>
              <w:t> </w:t>
            </w:r>
            <w:r>
              <w:rPr>
                <w:sz w:val="20"/>
              </w:rPr>
              <w:t>be used to measure a child's development; and</w:t>
            </w:r>
          </w:p>
          <w:p>
            <w:pPr>
              <w:pStyle w:val="TableParagraph"/>
              <w:numPr>
                <w:ilvl w:val="1"/>
                <w:numId w:val="3"/>
              </w:numPr>
              <w:tabs>
                <w:tab w:pos="815" w:val="left" w:leader="none"/>
                <w:tab w:pos="920" w:val="left" w:leader="none"/>
              </w:tabs>
              <w:spacing w:line="230" w:lineRule="atLeast" w:before="102" w:after="0"/>
              <w:ind w:left="920" w:right="840" w:hanging="403"/>
              <w:jc w:val="left"/>
              <w:rPr>
                <w:sz w:val="20"/>
              </w:rPr>
            </w:pPr>
            <w:r>
              <w:rPr>
                <w:sz w:val="20"/>
              </w:rPr>
              <w:t>Specify the level of developmental delay in functioning</w:t>
            </w:r>
            <w:r>
              <w:rPr>
                <w:spacing w:val="-8"/>
                <w:sz w:val="20"/>
              </w:rPr>
              <w:t> </w:t>
            </w:r>
            <w:r>
              <w:rPr>
                <w:sz w:val="20"/>
              </w:rPr>
              <w:t>or</w:t>
            </w:r>
            <w:r>
              <w:rPr>
                <w:spacing w:val="-8"/>
                <w:sz w:val="20"/>
              </w:rPr>
              <w:t> </w:t>
            </w:r>
            <w:r>
              <w:rPr>
                <w:sz w:val="20"/>
              </w:rPr>
              <w:t>other</w:t>
            </w:r>
            <w:r>
              <w:rPr>
                <w:spacing w:val="-8"/>
                <w:sz w:val="20"/>
              </w:rPr>
              <w:t> </w:t>
            </w:r>
            <w:r>
              <w:rPr>
                <w:sz w:val="20"/>
              </w:rPr>
              <w:t>comparable</w:t>
            </w:r>
            <w:r>
              <w:rPr>
                <w:spacing w:val="-8"/>
                <w:sz w:val="20"/>
              </w:rPr>
              <w:t> </w:t>
            </w:r>
            <w:r>
              <w:rPr>
                <w:sz w:val="20"/>
              </w:rPr>
              <w:t>criteria</w:t>
            </w:r>
            <w:r>
              <w:rPr>
                <w:spacing w:val="-8"/>
                <w:sz w:val="20"/>
              </w:rPr>
              <w:t> </w:t>
            </w:r>
            <w:r>
              <w:rPr>
                <w:sz w:val="20"/>
              </w:rPr>
              <w:t>that</w:t>
            </w:r>
          </w:p>
        </w:tc>
      </w:tr>
    </w:tbl>
    <w:p>
      <w:pPr>
        <w:pStyle w:val="TableParagraph"/>
        <w:spacing w:after="0" w:line="230" w:lineRule="atLeast"/>
        <w:jc w:val="left"/>
        <w:rPr>
          <w:sz w:val="20"/>
        </w:rPr>
        <w:sectPr>
          <w:type w:val="continuous"/>
          <w:pgSz w:w="12240" w:h="15840"/>
          <w:pgMar w:header="0" w:footer="879" w:top="1420" w:bottom="1394" w:left="720" w:right="720"/>
        </w:sectPr>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237"/>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930"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0" w:type="dxa"/>
            <w:tcBorders>
              <w:top w:val="single" w:sz="12" w:space="0" w:color="000000"/>
            </w:tcBorders>
          </w:tcPr>
          <w:p>
            <w:pPr>
              <w:pStyle w:val="TableParagraph"/>
              <w:rPr>
                <w:rFonts w:ascii="Times New Roman"/>
                <w:sz w:val="18"/>
              </w:rPr>
            </w:pPr>
          </w:p>
        </w:tc>
        <w:tc>
          <w:tcPr>
            <w:tcW w:w="725" w:type="dxa"/>
            <w:tcBorders>
              <w:top w:val="single" w:sz="12" w:space="0" w:color="000000"/>
            </w:tcBorders>
          </w:tcPr>
          <w:p>
            <w:pPr>
              <w:pStyle w:val="TableParagraph"/>
              <w:rPr>
                <w:rFonts w:ascii="Times New Roman"/>
                <w:sz w:val="18"/>
              </w:rPr>
            </w:pPr>
          </w:p>
        </w:tc>
        <w:tc>
          <w:tcPr>
            <w:tcW w:w="1551" w:type="dxa"/>
            <w:tcBorders>
              <w:top w:val="single" w:sz="12" w:space="0" w:color="000000"/>
            </w:tcBorders>
          </w:tcPr>
          <w:p>
            <w:pPr>
              <w:pStyle w:val="TableParagraph"/>
              <w:rPr>
                <w:rFonts w:ascii="Times New Roman"/>
                <w:sz w:val="18"/>
              </w:rPr>
            </w:pPr>
          </w:p>
        </w:tc>
        <w:tc>
          <w:tcPr>
            <w:tcW w:w="5643" w:type="dxa"/>
            <w:tcBorders>
              <w:top w:val="single" w:sz="12" w:space="0" w:color="000000"/>
              <w:right w:val="single" w:sz="12" w:space="0" w:color="000000"/>
            </w:tcBorders>
          </w:tcPr>
          <w:p>
            <w:pPr>
              <w:pStyle w:val="TableParagraph"/>
              <w:ind w:left="920"/>
              <w:rPr>
                <w:sz w:val="20"/>
              </w:rPr>
            </w:pPr>
            <w:r>
              <w:rPr>
                <w:sz w:val="20"/>
              </w:rPr>
              <w:t>constitute a developmental delay in one or more of the</w:t>
            </w:r>
            <w:r>
              <w:rPr>
                <w:spacing w:val="-8"/>
                <w:sz w:val="20"/>
              </w:rPr>
              <w:t> </w:t>
            </w:r>
            <w:r>
              <w:rPr>
                <w:sz w:val="20"/>
              </w:rPr>
              <w:t>developmental</w:t>
            </w:r>
            <w:r>
              <w:rPr>
                <w:spacing w:val="-8"/>
                <w:sz w:val="20"/>
              </w:rPr>
              <w:t> </w:t>
            </w:r>
            <w:r>
              <w:rPr>
                <w:sz w:val="20"/>
              </w:rPr>
              <w:t>areas</w:t>
            </w:r>
            <w:r>
              <w:rPr>
                <w:spacing w:val="-8"/>
                <w:sz w:val="20"/>
              </w:rPr>
              <w:t> </w:t>
            </w:r>
            <w:r>
              <w:rPr>
                <w:sz w:val="20"/>
              </w:rPr>
              <w:t>identified</w:t>
            </w:r>
            <w:r>
              <w:rPr>
                <w:spacing w:val="-8"/>
                <w:sz w:val="20"/>
              </w:rPr>
              <w:t> </w:t>
            </w:r>
            <w:r>
              <w:rPr>
                <w:sz w:val="20"/>
              </w:rPr>
              <w:t>in</w:t>
            </w:r>
            <w:r>
              <w:rPr>
                <w:spacing w:val="-8"/>
                <w:sz w:val="20"/>
              </w:rPr>
              <w:t> </w:t>
            </w:r>
            <w:r>
              <w:rPr>
                <w:sz w:val="20"/>
              </w:rPr>
              <w:t>§303.21(a)(1).</w:t>
            </w:r>
          </w:p>
          <w:p>
            <w:pPr>
              <w:pStyle w:val="TableParagraph"/>
              <w:spacing w:before="119"/>
              <w:ind w:left="559"/>
              <w:rPr>
                <w:sz w:val="20"/>
              </w:rPr>
            </w:pPr>
            <w:r>
              <w:rPr>
                <w:sz w:val="20"/>
              </w:rPr>
              <w:t>(34</w:t>
            </w:r>
            <w:r>
              <w:rPr>
                <w:spacing w:val="-6"/>
                <w:sz w:val="20"/>
              </w:rPr>
              <w:t> </w:t>
            </w:r>
            <w:r>
              <w:rPr>
                <w:sz w:val="20"/>
              </w:rPr>
              <w:t>CFR</w:t>
            </w:r>
            <w:r>
              <w:rPr>
                <w:spacing w:val="-5"/>
                <w:sz w:val="20"/>
              </w:rPr>
              <w:t> </w:t>
            </w:r>
            <w:r>
              <w:rPr>
                <w:sz w:val="20"/>
              </w:rPr>
              <w:t>§§303.203(c)</w:t>
            </w:r>
            <w:r>
              <w:rPr>
                <w:spacing w:val="-6"/>
                <w:sz w:val="20"/>
              </w:rPr>
              <w:t> </w:t>
            </w:r>
            <w:r>
              <w:rPr>
                <w:sz w:val="20"/>
              </w:rPr>
              <w:t>&amp;</w:t>
            </w:r>
            <w:r>
              <w:rPr>
                <w:spacing w:val="-5"/>
                <w:sz w:val="20"/>
              </w:rPr>
              <w:t> </w:t>
            </w:r>
            <w:r>
              <w:rPr>
                <w:spacing w:val="-2"/>
                <w:sz w:val="20"/>
              </w:rPr>
              <w:t>303.111)</w:t>
            </w:r>
          </w:p>
        </w:tc>
      </w:tr>
      <w:tr>
        <w:trPr>
          <w:trHeight w:val="5317" w:hRule="atLeast"/>
        </w:trPr>
        <w:tc>
          <w:tcPr>
            <w:tcW w:w="722" w:type="dxa"/>
            <w:tcBorders>
              <w:left w:val="single" w:sz="12" w:space="0" w:color="000000"/>
            </w:tcBorders>
          </w:tcPr>
          <w:p>
            <w:pPr>
              <w:pStyle w:val="TableParagraph"/>
              <w:rPr>
                <w:rFonts w:ascii="Times New Roman"/>
                <w:sz w:val="18"/>
              </w:rPr>
            </w:pPr>
          </w:p>
        </w:tc>
        <w:tc>
          <w:tcPr>
            <w:tcW w:w="720" w:type="dxa"/>
          </w:tcPr>
          <w:p>
            <w:pPr>
              <w:pStyle w:val="TableParagraph"/>
              <w:rPr>
                <w:rFonts w:ascii="Times New Roman"/>
                <w:sz w:val="18"/>
              </w:rPr>
            </w:pPr>
          </w:p>
        </w:tc>
        <w:tc>
          <w:tcPr>
            <w:tcW w:w="72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
              <w:rPr>
                <w:sz w:val="20"/>
              </w:rPr>
            </w:pPr>
          </w:p>
          <w:p>
            <w:pPr>
              <w:pStyle w:val="TableParagraph"/>
              <w:ind w:left="28"/>
              <w:jc w:val="center"/>
              <w:rPr>
                <w:sz w:val="20"/>
              </w:rPr>
            </w:pPr>
            <w:r>
              <w:rPr>
                <w:spacing w:val="-10"/>
                <w:sz w:val="20"/>
              </w:rPr>
              <w:t>X</w:t>
            </w:r>
          </w:p>
        </w:tc>
        <w:tc>
          <w:tcPr>
            <w:tcW w:w="1551" w:type="dxa"/>
          </w:tcPr>
          <w:p>
            <w:pPr>
              <w:pStyle w:val="TableParagraph"/>
              <w:rPr>
                <w:rFonts w:ascii="Times New Roman"/>
                <w:sz w:val="18"/>
              </w:rPr>
            </w:pPr>
          </w:p>
        </w:tc>
        <w:tc>
          <w:tcPr>
            <w:tcW w:w="5643" w:type="dxa"/>
            <w:tcBorders>
              <w:right w:val="single" w:sz="12" w:space="0" w:color="000000"/>
            </w:tcBorders>
          </w:tcPr>
          <w:p>
            <w:pPr>
              <w:pStyle w:val="TableParagraph"/>
              <w:numPr>
                <w:ilvl w:val="0"/>
                <w:numId w:val="4"/>
              </w:numPr>
              <w:tabs>
                <w:tab w:pos="503" w:val="left" w:leader="none"/>
              </w:tabs>
              <w:spacing w:line="240" w:lineRule="auto" w:before="119" w:after="0"/>
              <w:ind w:left="503" w:right="324" w:hanging="389"/>
              <w:jc w:val="left"/>
              <w:rPr>
                <w:sz w:val="20"/>
              </w:rPr>
            </w:pPr>
            <w:r>
              <w:rPr>
                <w:sz w:val="20"/>
              </w:rPr>
              <w:t>If the State provides services under Part C to at-risk infants</w:t>
            </w:r>
            <w:r>
              <w:rPr>
                <w:spacing w:val="-6"/>
                <w:sz w:val="20"/>
              </w:rPr>
              <w:t> </w:t>
            </w:r>
            <w:r>
              <w:rPr>
                <w:sz w:val="20"/>
              </w:rPr>
              <w:t>and</w:t>
            </w:r>
            <w:r>
              <w:rPr>
                <w:spacing w:val="-6"/>
                <w:sz w:val="20"/>
              </w:rPr>
              <w:t> </w:t>
            </w:r>
            <w:r>
              <w:rPr>
                <w:sz w:val="20"/>
              </w:rPr>
              <w:t>toddlers</w:t>
            </w:r>
            <w:r>
              <w:rPr>
                <w:spacing w:val="-6"/>
                <w:sz w:val="20"/>
              </w:rPr>
              <w:t> </w:t>
            </w:r>
            <w:r>
              <w:rPr>
                <w:sz w:val="20"/>
              </w:rPr>
              <w:t>through</w:t>
            </w:r>
            <w:r>
              <w:rPr>
                <w:spacing w:val="-6"/>
                <w:sz w:val="20"/>
              </w:rPr>
              <w:t> </w:t>
            </w:r>
            <w:r>
              <w:rPr>
                <w:sz w:val="20"/>
              </w:rPr>
              <w:t>the</w:t>
            </w:r>
            <w:r>
              <w:rPr>
                <w:spacing w:val="-6"/>
                <w:sz w:val="20"/>
              </w:rPr>
              <w:t> </w:t>
            </w:r>
            <w:r>
              <w:rPr>
                <w:sz w:val="20"/>
              </w:rPr>
              <w:t>statewide</w:t>
            </w:r>
            <w:r>
              <w:rPr>
                <w:spacing w:val="-6"/>
                <w:sz w:val="20"/>
              </w:rPr>
              <w:t> </w:t>
            </w:r>
            <w:r>
              <w:rPr>
                <w:sz w:val="20"/>
              </w:rPr>
              <w:t>system,</w:t>
            </w:r>
            <w:r>
              <w:rPr>
                <w:spacing w:val="-6"/>
                <w:sz w:val="20"/>
              </w:rPr>
              <w:t> </w:t>
            </w:r>
            <w:r>
              <w:rPr>
                <w:sz w:val="20"/>
              </w:rPr>
              <w:t>the application must include—</w:t>
            </w:r>
          </w:p>
          <w:p>
            <w:pPr>
              <w:pStyle w:val="TableParagraph"/>
              <w:numPr>
                <w:ilvl w:val="1"/>
                <w:numId w:val="4"/>
              </w:numPr>
              <w:tabs>
                <w:tab w:pos="1007" w:val="left" w:leader="none"/>
              </w:tabs>
              <w:spacing w:line="237" w:lineRule="auto" w:before="123" w:after="0"/>
              <w:ind w:left="1007" w:right="84" w:hanging="504"/>
              <w:jc w:val="left"/>
              <w:rPr>
                <w:sz w:val="20"/>
              </w:rPr>
            </w:pPr>
            <w:r>
              <w:rPr>
                <w:sz w:val="20"/>
              </w:rPr>
              <w:t>The</w:t>
            </w:r>
            <w:r>
              <w:rPr>
                <w:spacing w:val="-1"/>
                <w:sz w:val="20"/>
              </w:rPr>
              <w:t> </w:t>
            </w:r>
            <w:r>
              <w:rPr>
                <w:sz w:val="20"/>
              </w:rPr>
              <w:t>State’s</w:t>
            </w:r>
            <w:r>
              <w:rPr>
                <w:spacing w:val="-1"/>
                <w:sz w:val="20"/>
              </w:rPr>
              <w:t> </w:t>
            </w:r>
            <w:r>
              <w:rPr>
                <w:sz w:val="20"/>
              </w:rPr>
              <w:t>definition</w:t>
            </w:r>
            <w:r>
              <w:rPr>
                <w:spacing w:val="-1"/>
                <w:sz w:val="20"/>
              </w:rPr>
              <w:t> </w:t>
            </w:r>
            <w:r>
              <w:rPr>
                <w:sz w:val="20"/>
              </w:rPr>
              <w:t>of</w:t>
            </w:r>
            <w:r>
              <w:rPr>
                <w:spacing w:val="-1"/>
                <w:sz w:val="20"/>
              </w:rPr>
              <w:t> </w:t>
            </w:r>
            <w:r>
              <w:rPr>
                <w:sz w:val="20"/>
              </w:rPr>
              <w:t>at-risk</w:t>
            </w:r>
            <w:r>
              <w:rPr>
                <w:spacing w:val="-1"/>
                <w:sz w:val="20"/>
              </w:rPr>
              <w:t> </w:t>
            </w:r>
            <w:r>
              <w:rPr>
                <w:sz w:val="20"/>
              </w:rPr>
              <w:t>infants</w:t>
            </w:r>
            <w:r>
              <w:rPr>
                <w:spacing w:val="-1"/>
                <w:sz w:val="20"/>
              </w:rPr>
              <w:t> </w:t>
            </w:r>
            <w:r>
              <w:rPr>
                <w:sz w:val="20"/>
              </w:rPr>
              <w:t>and</w:t>
            </w:r>
            <w:r>
              <w:rPr>
                <w:spacing w:val="-1"/>
                <w:sz w:val="20"/>
              </w:rPr>
              <w:t> </w:t>
            </w:r>
            <w:r>
              <w:rPr>
                <w:sz w:val="20"/>
              </w:rPr>
              <w:t>toddlers with disabilities who are eligible in the State for services</w:t>
            </w:r>
            <w:r>
              <w:rPr>
                <w:spacing w:val="-5"/>
                <w:sz w:val="20"/>
              </w:rPr>
              <w:t> </w:t>
            </w:r>
            <w:r>
              <w:rPr>
                <w:sz w:val="20"/>
              </w:rPr>
              <w:t>under</w:t>
            </w:r>
            <w:r>
              <w:rPr>
                <w:spacing w:val="-5"/>
                <w:sz w:val="20"/>
              </w:rPr>
              <w:t> </w:t>
            </w:r>
            <w:r>
              <w:rPr>
                <w:sz w:val="20"/>
              </w:rPr>
              <w:t>Part</w:t>
            </w:r>
            <w:r>
              <w:rPr>
                <w:spacing w:val="-5"/>
                <w:sz w:val="20"/>
              </w:rPr>
              <w:t> </w:t>
            </w:r>
            <w:r>
              <w:rPr>
                <w:sz w:val="20"/>
              </w:rPr>
              <w:t>C</w:t>
            </w:r>
            <w:r>
              <w:rPr>
                <w:spacing w:val="-6"/>
                <w:sz w:val="20"/>
              </w:rPr>
              <w:t> </w:t>
            </w:r>
            <w:r>
              <w:rPr>
                <w:sz w:val="20"/>
              </w:rPr>
              <w:t>(consistent</w:t>
            </w:r>
            <w:r>
              <w:rPr>
                <w:spacing w:val="-5"/>
                <w:sz w:val="20"/>
              </w:rPr>
              <w:t> </w:t>
            </w:r>
            <w:r>
              <w:rPr>
                <w:sz w:val="20"/>
              </w:rPr>
              <w:t>with</w:t>
            </w:r>
            <w:r>
              <w:rPr>
                <w:spacing w:val="-5"/>
                <w:sz w:val="20"/>
              </w:rPr>
              <w:t> </w:t>
            </w:r>
            <w:r>
              <w:rPr>
                <w:sz w:val="20"/>
              </w:rPr>
              <w:t>§§303.5</w:t>
            </w:r>
            <w:r>
              <w:rPr>
                <w:spacing w:val="-5"/>
                <w:sz w:val="20"/>
              </w:rPr>
              <w:t> </w:t>
            </w:r>
            <w:r>
              <w:rPr>
                <w:sz w:val="20"/>
              </w:rPr>
              <w:t>and 303.21(b)); and</w:t>
            </w:r>
          </w:p>
          <w:p>
            <w:pPr>
              <w:pStyle w:val="TableParagraph"/>
              <w:numPr>
                <w:ilvl w:val="1"/>
                <w:numId w:val="4"/>
              </w:numPr>
              <w:tabs>
                <w:tab w:pos="892" w:val="left" w:leader="none"/>
              </w:tabs>
              <w:spacing w:line="240" w:lineRule="auto" w:before="124" w:after="0"/>
              <w:ind w:left="892" w:right="146" w:hanging="389"/>
              <w:jc w:val="left"/>
              <w:rPr>
                <w:sz w:val="20"/>
              </w:rPr>
            </w:pPr>
            <w:r>
              <w:rPr>
                <w:sz w:val="20"/>
              </w:rPr>
              <w:t>A description of the early intervention services provided</w:t>
            </w:r>
            <w:r>
              <w:rPr>
                <w:spacing w:val="-5"/>
                <w:sz w:val="20"/>
              </w:rPr>
              <w:t> </w:t>
            </w:r>
            <w:r>
              <w:rPr>
                <w:sz w:val="20"/>
              </w:rPr>
              <w:t>under</w:t>
            </w:r>
            <w:r>
              <w:rPr>
                <w:spacing w:val="-5"/>
                <w:sz w:val="20"/>
              </w:rPr>
              <w:t> </w:t>
            </w:r>
            <w:r>
              <w:rPr>
                <w:sz w:val="20"/>
              </w:rPr>
              <w:t>Part</w:t>
            </w:r>
            <w:r>
              <w:rPr>
                <w:spacing w:val="-5"/>
                <w:sz w:val="20"/>
              </w:rPr>
              <w:t> </w:t>
            </w:r>
            <w:r>
              <w:rPr>
                <w:sz w:val="20"/>
              </w:rPr>
              <w:t>C</w:t>
            </w:r>
            <w:r>
              <w:rPr>
                <w:spacing w:val="-6"/>
                <w:sz w:val="20"/>
              </w:rPr>
              <w:t> </w:t>
            </w:r>
            <w:r>
              <w:rPr>
                <w:sz w:val="20"/>
              </w:rPr>
              <w:t>to</w:t>
            </w:r>
            <w:r>
              <w:rPr>
                <w:spacing w:val="-5"/>
                <w:sz w:val="20"/>
              </w:rPr>
              <w:t> </w:t>
            </w:r>
            <w:r>
              <w:rPr>
                <w:sz w:val="20"/>
              </w:rPr>
              <w:t>at-risk</w:t>
            </w:r>
            <w:r>
              <w:rPr>
                <w:spacing w:val="-5"/>
                <w:sz w:val="20"/>
              </w:rPr>
              <w:t> </w:t>
            </w:r>
            <w:r>
              <w:rPr>
                <w:sz w:val="20"/>
              </w:rPr>
              <w:t>infants</w:t>
            </w:r>
            <w:r>
              <w:rPr>
                <w:spacing w:val="-5"/>
                <w:sz w:val="20"/>
              </w:rPr>
              <w:t> </w:t>
            </w:r>
            <w:r>
              <w:rPr>
                <w:sz w:val="20"/>
              </w:rPr>
              <w:t>and</w:t>
            </w:r>
            <w:r>
              <w:rPr>
                <w:spacing w:val="-5"/>
                <w:sz w:val="20"/>
              </w:rPr>
              <w:t> </w:t>
            </w:r>
            <w:r>
              <w:rPr>
                <w:sz w:val="20"/>
              </w:rPr>
              <w:t>toddlers with disabilities who meet the State’s definition described in §303.204(a).</w:t>
            </w:r>
          </w:p>
          <w:p>
            <w:pPr>
              <w:pStyle w:val="TableParagraph"/>
              <w:spacing w:before="122"/>
              <w:ind w:left="503"/>
              <w:rPr>
                <w:sz w:val="20"/>
              </w:rPr>
            </w:pPr>
            <w:r>
              <w:rPr>
                <w:sz w:val="20"/>
              </w:rPr>
              <w:t>(34</w:t>
            </w:r>
            <w:r>
              <w:rPr>
                <w:spacing w:val="-4"/>
                <w:sz w:val="20"/>
              </w:rPr>
              <w:t> </w:t>
            </w:r>
            <w:r>
              <w:rPr>
                <w:sz w:val="20"/>
              </w:rPr>
              <w:t>CFR</w:t>
            </w:r>
            <w:r>
              <w:rPr>
                <w:spacing w:val="-4"/>
                <w:sz w:val="20"/>
              </w:rPr>
              <w:t> </w:t>
            </w:r>
            <w:r>
              <w:rPr>
                <w:spacing w:val="-2"/>
                <w:sz w:val="20"/>
              </w:rPr>
              <w:t>§303.204).</w:t>
            </w:r>
          </w:p>
          <w:p>
            <w:pPr>
              <w:pStyle w:val="TableParagraph"/>
              <w:spacing w:before="120"/>
              <w:ind w:left="517" w:right="149"/>
              <w:rPr>
                <w:b/>
                <w:i/>
                <w:sz w:val="20"/>
              </w:rPr>
            </w:pPr>
            <w:r>
              <w:rPr>
                <w:b/>
                <w:i/>
                <w:sz w:val="20"/>
              </w:rPr>
              <w:t>The policies and procedures listed in 5 are </w:t>
            </w:r>
            <w:r>
              <w:rPr>
                <w:b/>
                <w:i/>
                <w:sz w:val="20"/>
                <w:u w:val="single"/>
              </w:rPr>
              <w:t>optional</w:t>
            </w:r>
            <w:r>
              <w:rPr>
                <w:b/>
                <w:i/>
                <w:sz w:val="20"/>
                <w:u w:val="none"/>
              </w:rPr>
              <w:t> (i.e.,</w:t>
            </w:r>
            <w:r>
              <w:rPr>
                <w:b/>
                <w:i/>
                <w:spacing w:val="-4"/>
                <w:sz w:val="20"/>
                <w:u w:val="none"/>
              </w:rPr>
              <w:t> </w:t>
            </w:r>
            <w:r>
              <w:rPr>
                <w:b/>
                <w:i/>
                <w:sz w:val="20"/>
                <w:u w:val="none"/>
              </w:rPr>
              <w:t>they</w:t>
            </w:r>
            <w:r>
              <w:rPr>
                <w:b/>
                <w:i/>
                <w:spacing w:val="-4"/>
                <w:sz w:val="20"/>
                <w:u w:val="none"/>
              </w:rPr>
              <w:t> </w:t>
            </w:r>
            <w:r>
              <w:rPr>
                <w:b/>
                <w:i/>
                <w:sz w:val="20"/>
                <w:u w:val="none"/>
              </w:rPr>
              <w:t>only</w:t>
            </w:r>
            <w:r>
              <w:rPr>
                <w:b/>
                <w:i/>
                <w:spacing w:val="-4"/>
                <w:sz w:val="20"/>
                <w:u w:val="none"/>
              </w:rPr>
              <w:t> </w:t>
            </w:r>
            <w:r>
              <w:rPr>
                <w:b/>
                <w:i/>
                <w:sz w:val="20"/>
                <w:u w:val="none"/>
              </w:rPr>
              <w:t>apply</w:t>
            </w:r>
            <w:r>
              <w:rPr>
                <w:b/>
                <w:i/>
                <w:spacing w:val="-4"/>
                <w:sz w:val="20"/>
                <w:u w:val="none"/>
              </w:rPr>
              <w:t> </w:t>
            </w:r>
            <w:r>
              <w:rPr>
                <w:b/>
                <w:i/>
                <w:sz w:val="20"/>
                <w:u w:val="none"/>
              </w:rPr>
              <w:t>if</w:t>
            </w:r>
            <w:r>
              <w:rPr>
                <w:b/>
                <w:i/>
                <w:spacing w:val="-4"/>
                <w:sz w:val="20"/>
                <w:u w:val="none"/>
              </w:rPr>
              <w:t> </w:t>
            </w:r>
            <w:r>
              <w:rPr>
                <w:b/>
                <w:i/>
                <w:sz w:val="20"/>
                <w:u w:val="none"/>
              </w:rPr>
              <w:t>the</w:t>
            </w:r>
            <w:r>
              <w:rPr>
                <w:b/>
                <w:i/>
                <w:spacing w:val="-4"/>
                <w:sz w:val="20"/>
                <w:u w:val="none"/>
              </w:rPr>
              <w:t> </w:t>
            </w:r>
            <w:r>
              <w:rPr>
                <w:b/>
                <w:i/>
                <w:sz w:val="20"/>
                <w:u w:val="none"/>
              </w:rPr>
              <w:t>State</w:t>
            </w:r>
            <w:r>
              <w:rPr>
                <w:b/>
                <w:i/>
                <w:spacing w:val="-4"/>
                <w:sz w:val="20"/>
                <w:u w:val="none"/>
              </w:rPr>
              <w:t> </w:t>
            </w:r>
            <w:r>
              <w:rPr>
                <w:b/>
                <w:i/>
                <w:sz w:val="20"/>
                <w:u w:val="none"/>
              </w:rPr>
              <w:t>opts</w:t>
            </w:r>
            <w:r>
              <w:rPr>
                <w:b/>
                <w:i/>
                <w:spacing w:val="-4"/>
                <w:sz w:val="20"/>
                <w:u w:val="none"/>
              </w:rPr>
              <w:t> </w:t>
            </w:r>
            <w:r>
              <w:rPr>
                <w:b/>
                <w:i/>
                <w:sz w:val="20"/>
                <w:u w:val="none"/>
              </w:rPr>
              <w:t>to</w:t>
            </w:r>
            <w:r>
              <w:rPr>
                <w:b/>
                <w:i/>
                <w:spacing w:val="-4"/>
                <w:sz w:val="20"/>
                <w:u w:val="none"/>
              </w:rPr>
              <w:t> </w:t>
            </w:r>
            <w:r>
              <w:rPr>
                <w:b/>
                <w:i/>
                <w:sz w:val="20"/>
                <w:u w:val="none"/>
              </w:rPr>
              <w:t>serve</w:t>
            </w:r>
            <w:r>
              <w:rPr>
                <w:b/>
                <w:i/>
                <w:spacing w:val="-4"/>
                <w:sz w:val="20"/>
                <w:u w:val="none"/>
              </w:rPr>
              <w:t> </w:t>
            </w:r>
            <w:r>
              <w:rPr>
                <w:b/>
                <w:i/>
                <w:sz w:val="20"/>
                <w:u w:val="none"/>
              </w:rPr>
              <w:t>at-risk children). Enter 'NA' in the cells to the left if the State</w:t>
            </w:r>
            <w:r>
              <w:rPr>
                <w:b/>
                <w:i/>
                <w:spacing w:val="-3"/>
                <w:sz w:val="20"/>
                <w:u w:val="none"/>
              </w:rPr>
              <w:t> </w:t>
            </w:r>
            <w:r>
              <w:rPr>
                <w:b/>
                <w:i/>
                <w:sz w:val="20"/>
                <w:u w:val="none"/>
              </w:rPr>
              <w:t>has</w:t>
            </w:r>
            <w:r>
              <w:rPr>
                <w:b/>
                <w:i/>
                <w:spacing w:val="-3"/>
                <w:sz w:val="20"/>
                <w:u w:val="none"/>
              </w:rPr>
              <w:t> </w:t>
            </w:r>
            <w:r>
              <w:rPr>
                <w:b/>
                <w:i/>
                <w:sz w:val="20"/>
                <w:u w:val="none"/>
              </w:rPr>
              <w:t>elected</w:t>
            </w:r>
            <w:r>
              <w:rPr>
                <w:b/>
                <w:i/>
                <w:spacing w:val="-4"/>
                <w:sz w:val="20"/>
                <w:u w:val="none"/>
              </w:rPr>
              <w:t> </w:t>
            </w:r>
            <w:r>
              <w:rPr>
                <w:b/>
                <w:i/>
                <w:sz w:val="20"/>
                <w:u w:val="none"/>
              </w:rPr>
              <w:t>not</w:t>
            </w:r>
            <w:r>
              <w:rPr>
                <w:b/>
                <w:i/>
                <w:spacing w:val="-3"/>
                <w:sz w:val="20"/>
                <w:u w:val="none"/>
              </w:rPr>
              <w:t> </w:t>
            </w:r>
            <w:r>
              <w:rPr>
                <w:b/>
                <w:i/>
                <w:sz w:val="20"/>
                <w:u w:val="none"/>
              </w:rPr>
              <w:t>to</w:t>
            </w:r>
            <w:r>
              <w:rPr>
                <w:b/>
                <w:i/>
                <w:spacing w:val="-4"/>
                <w:sz w:val="20"/>
                <w:u w:val="none"/>
              </w:rPr>
              <w:t> </w:t>
            </w:r>
            <w:r>
              <w:rPr>
                <w:b/>
                <w:i/>
                <w:sz w:val="20"/>
                <w:u w:val="none"/>
              </w:rPr>
              <w:t>provide</w:t>
            </w:r>
            <w:r>
              <w:rPr>
                <w:b/>
                <w:i/>
                <w:spacing w:val="-3"/>
                <w:sz w:val="20"/>
                <w:u w:val="none"/>
              </w:rPr>
              <w:t> </w:t>
            </w:r>
            <w:r>
              <w:rPr>
                <w:b/>
                <w:i/>
                <w:sz w:val="20"/>
                <w:u w:val="none"/>
              </w:rPr>
              <w:t>services</w:t>
            </w:r>
            <w:r>
              <w:rPr>
                <w:b/>
                <w:i/>
                <w:spacing w:val="-3"/>
                <w:sz w:val="20"/>
                <w:u w:val="none"/>
              </w:rPr>
              <w:t> </w:t>
            </w:r>
            <w:r>
              <w:rPr>
                <w:b/>
                <w:i/>
                <w:sz w:val="20"/>
                <w:u w:val="none"/>
              </w:rPr>
              <w:t>under</w:t>
            </w:r>
            <w:r>
              <w:rPr>
                <w:b/>
                <w:i/>
                <w:spacing w:val="-3"/>
                <w:sz w:val="20"/>
                <w:u w:val="none"/>
              </w:rPr>
              <w:t> </w:t>
            </w:r>
            <w:r>
              <w:rPr>
                <w:b/>
                <w:i/>
                <w:sz w:val="20"/>
                <w:u w:val="none"/>
              </w:rPr>
              <w:t>Part C to at-risk infants and toddlers; otherwise check the appropriate response under the 'Yes' column and, if checking ‘N’ or ‘R’, attach the definition and </w:t>
            </w:r>
            <w:r>
              <w:rPr>
                <w:b/>
                <w:i/>
                <w:spacing w:val="-2"/>
                <w:sz w:val="20"/>
                <w:u w:val="none"/>
              </w:rPr>
              <w:t>description.</w:t>
            </w:r>
          </w:p>
        </w:tc>
      </w:tr>
      <w:tr>
        <w:trPr>
          <w:trHeight w:val="1281" w:hRule="atLeast"/>
        </w:trPr>
        <w:tc>
          <w:tcPr>
            <w:tcW w:w="722" w:type="dxa"/>
            <w:tcBorders>
              <w:left w:val="single" w:sz="12" w:space="0" w:color="000000"/>
            </w:tcBorders>
            <w:shd w:val="clear" w:color="auto" w:fill="808080"/>
          </w:tcPr>
          <w:p>
            <w:pPr>
              <w:pStyle w:val="TableParagraph"/>
              <w:rPr>
                <w:rFonts w:ascii="Times New Roman"/>
                <w:sz w:val="18"/>
              </w:rPr>
            </w:pPr>
          </w:p>
        </w:tc>
        <w:tc>
          <w:tcPr>
            <w:tcW w:w="720" w:type="dxa"/>
            <w:shd w:val="clear" w:color="auto" w:fill="808080"/>
          </w:tcPr>
          <w:p>
            <w:pPr>
              <w:pStyle w:val="TableParagraph"/>
              <w:rPr>
                <w:rFonts w:ascii="Times New Roman"/>
                <w:sz w:val="18"/>
              </w:rPr>
            </w:pPr>
          </w:p>
        </w:tc>
        <w:tc>
          <w:tcPr>
            <w:tcW w:w="725" w:type="dxa"/>
            <w:shd w:val="clear" w:color="auto" w:fill="808080"/>
          </w:tcPr>
          <w:p>
            <w:pPr>
              <w:pStyle w:val="TableParagraph"/>
              <w:rPr>
                <w:rFonts w:ascii="Times New Roman"/>
                <w:sz w:val="18"/>
              </w:rPr>
            </w:pPr>
          </w:p>
        </w:tc>
        <w:tc>
          <w:tcPr>
            <w:tcW w:w="1551" w:type="dxa"/>
            <w:shd w:val="clear" w:color="auto" w:fill="808080"/>
          </w:tcPr>
          <w:p>
            <w:pPr>
              <w:pStyle w:val="TableParagraph"/>
              <w:rPr>
                <w:rFonts w:ascii="Times New Roman"/>
                <w:sz w:val="18"/>
              </w:rPr>
            </w:pPr>
          </w:p>
        </w:tc>
        <w:tc>
          <w:tcPr>
            <w:tcW w:w="5643" w:type="dxa"/>
            <w:tcBorders>
              <w:right w:val="single" w:sz="12" w:space="0" w:color="000000"/>
            </w:tcBorders>
          </w:tcPr>
          <w:p>
            <w:pPr>
              <w:pStyle w:val="TableParagraph"/>
              <w:tabs>
                <w:tab w:pos="503" w:val="left" w:leader="none"/>
              </w:tabs>
              <w:spacing w:before="119"/>
              <w:ind w:left="503" w:right="199" w:hanging="389"/>
              <w:rPr>
                <w:sz w:val="20"/>
              </w:rPr>
            </w:pPr>
            <w:r>
              <w:rPr>
                <w:spacing w:val="-6"/>
                <w:sz w:val="20"/>
              </w:rPr>
              <w:t>6.</w:t>
            </w:r>
            <w:r>
              <w:rPr>
                <w:sz w:val="20"/>
              </w:rPr>
              <w:tab/>
              <w:t>Each</w:t>
            </w:r>
            <w:r>
              <w:rPr>
                <w:spacing w:val="-5"/>
                <w:sz w:val="20"/>
              </w:rPr>
              <w:t> </w:t>
            </w:r>
            <w:r>
              <w:rPr>
                <w:sz w:val="20"/>
              </w:rPr>
              <w:t>State</w:t>
            </w:r>
            <w:r>
              <w:rPr>
                <w:spacing w:val="-5"/>
                <w:sz w:val="20"/>
              </w:rPr>
              <w:t> </w:t>
            </w:r>
            <w:r>
              <w:rPr>
                <w:sz w:val="20"/>
              </w:rPr>
              <w:t>application</w:t>
            </w:r>
            <w:r>
              <w:rPr>
                <w:spacing w:val="-5"/>
                <w:sz w:val="20"/>
              </w:rPr>
              <w:t> </w:t>
            </w:r>
            <w:r>
              <w:rPr>
                <w:sz w:val="20"/>
              </w:rPr>
              <w:t>must</w:t>
            </w:r>
            <w:r>
              <w:rPr>
                <w:spacing w:val="-5"/>
                <w:sz w:val="20"/>
              </w:rPr>
              <w:t> </w:t>
            </w:r>
            <w:r>
              <w:rPr>
                <w:sz w:val="20"/>
              </w:rPr>
              <w:t>include</w:t>
            </w:r>
            <w:r>
              <w:rPr>
                <w:spacing w:val="-5"/>
                <w:sz w:val="20"/>
              </w:rPr>
              <w:t> </w:t>
            </w:r>
            <w:r>
              <w:rPr>
                <w:sz w:val="20"/>
              </w:rPr>
              <w:t>a</w:t>
            </w:r>
            <w:r>
              <w:rPr>
                <w:spacing w:val="-5"/>
                <w:sz w:val="20"/>
              </w:rPr>
              <w:t> </w:t>
            </w:r>
            <w:r>
              <w:rPr>
                <w:sz w:val="20"/>
              </w:rPr>
              <w:t>description</w:t>
            </w:r>
            <w:r>
              <w:rPr>
                <w:spacing w:val="-5"/>
                <w:sz w:val="20"/>
              </w:rPr>
              <w:t> </w:t>
            </w:r>
            <w:r>
              <w:rPr>
                <w:sz w:val="20"/>
              </w:rPr>
              <w:t>of</w:t>
            </w:r>
            <w:r>
              <w:rPr>
                <w:spacing w:val="-5"/>
                <w:sz w:val="20"/>
              </w:rPr>
              <w:t> </w:t>
            </w:r>
            <w:r>
              <w:rPr>
                <w:sz w:val="20"/>
              </w:rPr>
              <w:t>the State’s use of funds under Part C for the fiscal year or years covered by the application. (34 CFR §303.205)</w:t>
            </w:r>
          </w:p>
          <w:p>
            <w:pPr>
              <w:pStyle w:val="TableParagraph"/>
              <w:spacing w:before="121"/>
              <w:ind w:left="114"/>
              <w:rPr>
                <w:b/>
                <w:i/>
                <w:sz w:val="20"/>
              </w:rPr>
            </w:pPr>
            <w:r>
              <w:rPr>
                <w:b/>
                <w:i/>
                <w:sz w:val="20"/>
              </w:rPr>
              <w:t>The</w:t>
            </w:r>
            <w:r>
              <w:rPr>
                <w:b/>
                <w:i/>
                <w:spacing w:val="-6"/>
                <w:sz w:val="20"/>
              </w:rPr>
              <w:t> </w:t>
            </w:r>
            <w:r>
              <w:rPr>
                <w:b/>
                <w:i/>
                <w:sz w:val="20"/>
              </w:rPr>
              <w:t>State</w:t>
            </w:r>
            <w:r>
              <w:rPr>
                <w:b/>
                <w:i/>
                <w:spacing w:val="-5"/>
                <w:sz w:val="20"/>
              </w:rPr>
              <w:t> </w:t>
            </w:r>
            <w:r>
              <w:rPr>
                <w:b/>
                <w:i/>
                <w:sz w:val="20"/>
              </w:rPr>
              <w:t>must</w:t>
            </w:r>
            <w:r>
              <w:rPr>
                <w:b/>
                <w:i/>
                <w:spacing w:val="-6"/>
                <w:sz w:val="20"/>
              </w:rPr>
              <w:t> </w:t>
            </w:r>
            <w:r>
              <w:rPr>
                <w:b/>
                <w:i/>
                <w:sz w:val="20"/>
              </w:rPr>
              <w:t>complete</w:t>
            </w:r>
            <w:r>
              <w:rPr>
                <w:b/>
                <w:i/>
                <w:spacing w:val="-5"/>
                <w:sz w:val="20"/>
              </w:rPr>
              <w:t> </w:t>
            </w:r>
            <w:r>
              <w:rPr>
                <w:b/>
                <w:i/>
                <w:sz w:val="20"/>
              </w:rPr>
              <w:t>Section</w:t>
            </w:r>
            <w:r>
              <w:rPr>
                <w:b/>
                <w:i/>
                <w:spacing w:val="-5"/>
                <w:sz w:val="20"/>
              </w:rPr>
              <w:t> </w:t>
            </w:r>
            <w:r>
              <w:rPr>
                <w:b/>
                <w:i/>
                <w:sz w:val="20"/>
              </w:rPr>
              <w:t>III</w:t>
            </w:r>
            <w:r>
              <w:rPr>
                <w:b/>
                <w:i/>
                <w:spacing w:val="-6"/>
                <w:sz w:val="20"/>
              </w:rPr>
              <w:t> </w:t>
            </w:r>
            <w:r>
              <w:rPr>
                <w:b/>
                <w:i/>
                <w:sz w:val="20"/>
              </w:rPr>
              <w:t>of</w:t>
            </w:r>
            <w:r>
              <w:rPr>
                <w:b/>
                <w:i/>
                <w:spacing w:val="-5"/>
                <w:sz w:val="20"/>
              </w:rPr>
              <w:t> </w:t>
            </w:r>
            <w:r>
              <w:rPr>
                <w:b/>
                <w:i/>
                <w:sz w:val="20"/>
              </w:rPr>
              <w:t>this</w:t>
            </w:r>
            <w:r>
              <w:rPr>
                <w:b/>
                <w:i/>
                <w:spacing w:val="-5"/>
                <w:sz w:val="20"/>
              </w:rPr>
              <w:t> </w:t>
            </w:r>
            <w:r>
              <w:rPr>
                <w:b/>
                <w:i/>
                <w:spacing w:val="-2"/>
                <w:sz w:val="20"/>
              </w:rPr>
              <w:t>application.</w:t>
            </w:r>
          </w:p>
        </w:tc>
      </w:tr>
      <w:tr>
        <w:trPr>
          <w:trHeight w:val="2082" w:hRule="atLeast"/>
        </w:trPr>
        <w:tc>
          <w:tcPr>
            <w:tcW w:w="722" w:type="dxa"/>
            <w:tcBorders>
              <w:left w:val="single" w:sz="12" w:space="0" w:color="000000"/>
            </w:tcBorders>
          </w:tcPr>
          <w:p>
            <w:pPr>
              <w:pStyle w:val="TableParagraph"/>
              <w:rPr>
                <w:rFonts w:ascii="Times New Roman"/>
                <w:sz w:val="18"/>
              </w:rPr>
            </w:pPr>
          </w:p>
        </w:tc>
        <w:tc>
          <w:tcPr>
            <w:tcW w:w="720" w:type="dxa"/>
          </w:tcPr>
          <w:p>
            <w:pPr>
              <w:pStyle w:val="TableParagraph"/>
              <w:rPr>
                <w:rFonts w:ascii="Times New Roman"/>
                <w:sz w:val="18"/>
              </w:rPr>
            </w:pPr>
          </w:p>
        </w:tc>
        <w:tc>
          <w:tcPr>
            <w:tcW w:w="725" w:type="dxa"/>
          </w:tcPr>
          <w:p>
            <w:pPr>
              <w:pStyle w:val="TableParagraph"/>
              <w:rPr>
                <w:sz w:val="20"/>
              </w:rPr>
            </w:pPr>
          </w:p>
          <w:p>
            <w:pPr>
              <w:pStyle w:val="TableParagraph"/>
              <w:rPr>
                <w:sz w:val="20"/>
              </w:rPr>
            </w:pPr>
          </w:p>
          <w:p>
            <w:pPr>
              <w:pStyle w:val="TableParagraph"/>
              <w:rPr>
                <w:sz w:val="20"/>
              </w:rPr>
            </w:pPr>
          </w:p>
          <w:p>
            <w:pPr>
              <w:pStyle w:val="TableParagraph"/>
              <w:spacing w:before="5"/>
              <w:rPr>
                <w:sz w:val="20"/>
              </w:rPr>
            </w:pPr>
          </w:p>
          <w:p>
            <w:pPr>
              <w:pStyle w:val="TableParagraph"/>
              <w:ind w:left="28"/>
              <w:jc w:val="center"/>
              <w:rPr>
                <w:sz w:val="20"/>
              </w:rPr>
            </w:pPr>
            <w:r>
              <w:rPr>
                <w:spacing w:val="-10"/>
                <w:sz w:val="20"/>
              </w:rPr>
              <w:t>X</w:t>
            </w:r>
          </w:p>
        </w:tc>
        <w:tc>
          <w:tcPr>
            <w:tcW w:w="1551" w:type="dxa"/>
          </w:tcPr>
          <w:p>
            <w:pPr>
              <w:pStyle w:val="TableParagraph"/>
              <w:rPr>
                <w:rFonts w:ascii="Times New Roman"/>
                <w:sz w:val="18"/>
              </w:rPr>
            </w:pPr>
          </w:p>
        </w:tc>
        <w:tc>
          <w:tcPr>
            <w:tcW w:w="5643" w:type="dxa"/>
            <w:tcBorders>
              <w:right w:val="single" w:sz="12" w:space="0" w:color="000000"/>
            </w:tcBorders>
          </w:tcPr>
          <w:p>
            <w:pPr>
              <w:pStyle w:val="TableParagraph"/>
              <w:tabs>
                <w:tab w:pos="503" w:val="left" w:leader="none"/>
              </w:tabs>
              <w:spacing w:before="119"/>
              <w:ind w:left="503" w:right="92" w:hanging="389"/>
              <w:rPr>
                <w:sz w:val="20"/>
              </w:rPr>
            </w:pPr>
            <w:r>
              <w:rPr>
                <w:spacing w:val="-6"/>
                <w:sz w:val="20"/>
              </w:rPr>
              <w:t>7.</w:t>
            </w:r>
            <w:r>
              <w:rPr>
                <w:sz w:val="20"/>
              </w:rPr>
              <w:tab/>
              <w:t>Each application must include the State’s policies and procedures that require the referral for early intervention services under Part C of specific children under the age of three, as described in §303.303(b) (which includes children who are the subject of a substantiated case of abuse</w:t>
            </w:r>
            <w:r>
              <w:rPr>
                <w:spacing w:val="-5"/>
                <w:sz w:val="20"/>
              </w:rPr>
              <w:t> </w:t>
            </w:r>
            <w:r>
              <w:rPr>
                <w:sz w:val="20"/>
              </w:rPr>
              <w:t>or</w:t>
            </w:r>
            <w:r>
              <w:rPr>
                <w:spacing w:val="-5"/>
                <w:sz w:val="20"/>
              </w:rPr>
              <w:t> </w:t>
            </w:r>
            <w:r>
              <w:rPr>
                <w:sz w:val="20"/>
              </w:rPr>
              <w:t>neglect,</w:t>
            </w:r>
            <w:r>
              <w:rPr>
                <w:spacing w:val="-5"/>
                <w:sz w:val="20"/>
              </w:rPr>
              <w:t> </w:t>
            </w:r>
            <w:r>
              <w:rPr>
                <w:sz w:val="20"/>
              </w:rPr>
              <w:t>or</w:t>
            </w:r>
            <w:r>
              <w:rPr>
                <w:spacing w:val="-5"/>
                <w:sz w:val="20"/>
              </w:rPr>
              <w:t> </w:t>
            </w:r>
            <w:r>
              <w:rPr>
                <w:sz w:val="20"/>
              </w:rPr>
              <w:t>directly</w:t>
            </w:r>
            <w:r>
              <w:rPr>
                <w:spacing w:val="-5"/>
                <w:sz w:val="20"/>
              </w:rPr>
              <w:t> </w:t>
            </w:r>
            <w:r>
              <w:rPr>
                <w:sz w:val="20"/>
              </w:rPr>
              <w:t>affected</w:t>
            </w:r>
            <w:r>
              <w:rPr>
                <w:spacing w:val="-5"/>
                <w:sz w:val="20"/>
              </w:rPr>
              <w:t> </w:t>
            </w:r>
            <w:r>
              <w:rPr>
                <w:sz w:val="20"/>
              </w:rPr>
              <w:t>by</w:t>
            </w:r>
            <w:r>
              <w:rPr>
                <w:spacing w:val="-5"/>
                <w:sz w:val="20"/>
              </w:rPr>
              <w:t> </w:t>
            </w:r>
            <w:r>
              <w:rPr>
                <w:sz w:val="20"/>
              </w:rPr>
              <w:t>illegal</w:t>
            </w:r>
            <w:r>
              <w:rPr>
                <w:spacing w:val="-5"/>
                <w:sz w:val="20"/>
              </w:rPr>
              <w:t> </w:t>
            </w:r>
            <w:r>
              <w:rPr>
                <w:sz w:val="20"/>
              </w:rPr>
              <w:t>substance abuse or withdrawal symptoms resulting from prenatal drug exposure). (34 CFR §303.206)</w:t>
            </w:r>
          </w:p>
        </w:tc>
      </w:tr>
      <w:tr>
        <w:trPr>
          <w:trHeight w:val="1156" w:hRule="atLeast"/>
        </w:trPr>
        <w:tc>
          <w:tcPr>
            <w:tcW w:w="722" w:type="dxa"/>
            <w:tcBorders>
              <w:left w:val="single" w:sz="12" w:space="0" w:color="000000"/>
            </w:tcBorders>
          </w:tcPr>
          <w:p>
            <w:pPr>
              <w:pStyle w:val="TableParagraph"/>
              <w:rPr>
                <w:rFonts w:ascii="Times New Roman"/>
                <w:sz w:val="18"/>
              </w:rPr>
            </w:pPr>
          </w:p>
        </w:tc>
        <w:tc>
          <w:tcPr>
            <w:tcW w:w="720" w:type="dxa"/>
          </w:tcPr>
          <w:p>
            <w:pPr>
              <w:pStyle w:val="TableParagraph"/>
              <w:rPr>
                <w:rFonts w:ascii="Times New Roman"/>
                <w:sz w:val="18"/>
              </w:rPr>
            </w:pPr>
          </w:p>
        </w:tc>
        <w:tc>
          <w:tcPr>
            <w:tcW w:w="725" w:type="dxa"/>
          </w:tcPr>
          <w:p>
            <w:pPr>
              <w:pStyle w:val="TableParagraph"/>
              <w:rPr>
                <w:sz w:val="20"/>
              </w:rPr>
            </w:pPr>
          </w:p>
          <w:p>
            <w:pPr>
              <w:pStyle w:val="TableParagraph"/>
              <w:spacing w:before="4"/>
              <w:rPr>
                <w:sz w:val="20"/>
              </w:rPr>
            </w:pPr>
          </w:p>
          <w:p>
            <w:pPr>
              <w:pStyle w:val="TableParagraph"/>
              <w:spacing w:before="1"/>
              <w:ind w:left="28"/>
              <w:jc w:val="center"/>
              <w:rPr>
                <w:sz w:val="20"/>
              </w:rPr>
            </w:pPr>
            <w:r>
              <w:rPr>
                <w:spacing w:val="-10"/>
                <w:sz w:val="20"/>
              </w:rPr>
              <w:t>X</w:t>
            </w:r>
          </w:p>
        </w:tc>
        <w:tc>
          <w:tcPr>
            <w:tcW w:w="1551" w:type="dxa"/>
          </w:tcPr>
          <w:p>
            <w:pPr>
              <w:pStyle w:val="TableParagraph"/>
              <w:rPr>
                <w:rFonts w:ascii="Times New Roman"/>
                <w:sz w:val="18"/>
              </w:rPr>
            </w:pPr>
          </w:p>
        </w:tc>
        <w:tc>
          <w:tcPr>
            <w:tcW w:w="5643" w:type="dxa"/>
            <w:tcBorders>
              <w:right w:val="single" w:sz="12" w:space="0" w:color="000000"/>
            </w:tcBorders>
          </w:tcPr>
          <w:p>
            <w:pPr>
              <w:pStyle w:val="TableParagraph"/>
              <w:tabs>
                <w:tab w:pos="503" w:val="left" w:leader="none"/>
              </w:tabs>
              <w:spacing w:line="237" w:lineRule="auto" w:before="121"/>
              <w:ind w:left="503" w:right="88" w:hanging="389"/>
              <w:rPr>
                <w:sz w:val="20"/>
              </w:rPr>
            </w:pPr>
            <w:r>
              <w:rPr>
                <w:spacing w:val="-6"/>
                <w:sz w:val="20"/>
              </w:rPr>
              <w:t>8.</w:t>
            </w:r>
            <w:r>
              <w:rPr>
                <w:sz w:val="20"/>
              </w:rPr>
              <w:tab/>
              <w:t>Each application must include a description of the procedure used by the State to ensure that resources are</w:t>
            </w:r>
            <w:r>
              <w:rPr>
                <w:spacing w:val="-4"/>
                <w:sz w:val="20"/>
              </w:rPr>
              <w:t> </w:t>
            </w:r>
            <w:r>
              <w:rPr>
                <w:sz w:val="20"/>
              </w:rPr>
              <w:t>made</w:t>
            </w:r>
            <w:r>
              <w:rPr>
                <w:spacing w:val="-4"/>
                <w:sz w:val="20"/>
              </w:rPr>
              <w:t> </w:t>
            </w:r>
            <w:r>
              <w:rPr>
                <w:sz w:val="20"/>
              </w:rPr>
              <w:t>available</w:t>
            </w:r>
            <w:r>
              <w:rPr>
                <w:spacing w:val="-4"/>
                <w:sz w:val="20"/>
              </w:rPr>
              <w:t> </w:t>
            </w:r>
            <w:r>
              <w:rPr>
                <w:sz w:val="20"/>
              </w:rPr>
              <w:t>under</w:t>
            </w:r>
            <w:r>
              <w:rPr>
                <w:spacing w:val="-4"/>
                <w:sz w:val="20"/>
              </w:rPr>
              <w:t> </w:t>
            </w:r>
            <w:r>
              <w:rPr>
                <w:sz w:val="20"/>
              </w:rPr>
              <w:t>Part</w:t>
            </w:r>
            <w:r>
              <w:rPr>
                <w:spacing w:val="-4"/>
                <w:sz w:val="20"/>
              </w:rPr>
              <w:t> </w:t>
            </w:r>
            <w:r>
              <w:rPr>
                <w:sz w:val="20"/>
              </w:rPr>
              <w:t>C</w:t>
            </w:r>
            <w:r>
              <w:rPr>
                <w:spacing w:val="-5"/>
                <w:sz w:val="20"/>
              </w:rPr>
              <w:t> </w:t>
            </w:r>
            <w:r>
              <w:rPr>
                <w:sz w:val="20"/>
              </w:rPr>
              <w:t>for</w:t>
            </w:r>
            <w:r>
              <w:rPr>
                <w:spacing w:val="-4"/>
                <w:sz w:val="20"/>
              </w:rPr>
              <w:t> </w:t>
            </w:r>
            <w:r>
              <w:rPr>
                <w:sz w:val="20"/>
              </w:rPr>
              <w:t>all</w:t>
            </w:r>
            <w:r>
              <w:rPr>
                <w:spacing w:val="-4"/>
                <w:sz w:val="20"/>
              </w:rPr>
              <w:t> </w:t>
            </w:r>
            <w:r>
              <w:rPr>
                <w:sz w:val="20"/>
              </w:rPr>
              <w:t>geographic</w:t>
            </w:r>
            <w:r>
              <w:rPr>
                <w:spacing w:val="-4"/>
                <w:sz w:val="20"/>
              </w:rPr>
              <w:t> </w:t>
            </w:r>
            <w:r>
              <w:rPr>
                <w:sz w:val="20"/>
              </w:rPr>
              <w:t>areas within the State. (34 CFR §303.207)</w:t>
            </w:r>
          </w:p>
        </w:tc>
      </w:tr>
      <w:tr>
        <w:trPr>
          <w:trHeight w:val="1040" w:hRule="atLeast"/>
        </w:trPr>
        <w:tc>
          <w:tcPr>
            <w:tcW w:w="722" w:type="dxa"/>
            <w:tcBorders>
              <w:left w:val="single" w:sz="12" w:space="0" w:color="000000"/>
              <w:bottom w:val="single" w:sz="12" w:space="0" w:color="000000"/>
            </w:tcBorders>
          </w:tcPr>
          <w:p>
            <w:pPr>
              <w:pStyle w:val="TableParagraph"/>
              <w:rPr>
                <w:rFonts w:ascii="Times New Roman"/>
                <w:sz w:val="18"/>
              </w:rPr>
            </w:pPr>
          </w:p>
        </w:tc>
        <w:tc>
          <w:tcPr>
            <w:tcW w:w="720" w:type="dxa"/>
            <w:tcBorders>
              <w:bottom w:val="single" w:sz="12" w:space="0" w:color="000000"/>
            </w:tcBorders>
          </w:tcPr>
          <w:p>
            <w:pPr>
              <w:pStyle w:val="TableParagraph"/>
              <w:rPr>
                <w:rFonts w:ascii="Times New Roman"/>
                <w:sz w:val="18"/>
              </w:rPr>
            </w:pPr>
          </w:p>
        </w:tc>
        <w:tc>
          <w:tcPr>
            <w:tcW w:w="725" w:type="dxa"/>
            <w:tcBorders>
              <w:bottom w:val="single" w:sz="12" w:space="0" w:color="000000"/>
            </w:tcBorders>
          </w:tcPr>
          <w:p>
            <w:pPr>
              <w:pStyle w:val="TableParagraph"/>
              <w:spacing w:before="177"/>
              <w:rPr>
                <w:sz w:val="20"/>
              </w:rPr>
            </w:pPr>
          </w:p>
          <w:p>
            <w:pPr>
              <w:pStyle w:val="TableParagraph"/>
              <w:ind w:left="28"/>
              <w:jc w:val="center"/>
              <w:rPr>
                <w:sz w:val="20"/>
              </w:rPr>
            </w:pPr>
            <w:r>
              <w:rPr>
                <w:spacing w:val="-10"/>
                <w:sz w:val="20"/>
              </w:rPr>
              <w:t>X</w:t>
            </w:r>
          </w:p>
        </w:tc>
        <w:tc>
          <w:tcPr>
            <w:tcW w:w="1551" w:type="dxa"/>
            <w:tcBorders>
              <w:bottom w:val="single" w:sz="12" w:space="0" w:color="000000"/>
            </w:tcBorders>
          </w:tcPr>
          <w:p>
            <w:pPr>
              <w:pStyle w:val="TableParagraph"/>
              <w:rPr>
                <w:rFonts w:ascii="Times New Roman"/>
                <w:sz w:val="18"/>
              </w:rPr>
            </w:pPr>
          </w:p>
        </w:tc>
        <w:tc>
          <w:tcPr>
            <w:tcW w:w="5643" w:type="dxa"/>
            <w:tcBorders>
              <w:bottom w:val="single" w:sz="12" w:space="0" w:color="000000"/>
              <w:right w:val="single" w:sz="12" w:space="0" w:color="000000"/>
            </w:tcBorders>
          </w:tcPr>
          <w:p>
            <w:pPr>
              <w:pStyle w:val="TableParagraph"/>
              <w:tabs>
                <w:tab w:pos="503" w:val="left" w:leader="none"/>
              </w:tabs>
              <w:spacing w:line="230" w:lineRule="atLeast" w:before="100"/>
              <w:ind w:left="503" w:right="80" w:hanging="389"/>
              <w:rPr>
                <w:sz w:val="20"/>
              </w:rPr>
            </w:pPr>
            <w:r>
              <w:rPr>
                <w:spacing w:val="-6"/>
                <w:sz w:val="20"/>
              </w:rPr>
              <w:t>9.</w:t>
            </w:r>
            <w:r>
              <w:rPr>
                <w:sz w:val="20"/>
              </w:rPr>
              <w:tab/>
              <w:t>Each application must include a description of the policies and procedures used by the State to ensure</w:t>
            </w:r>
            <w:r>
              <w:rPr>
                <w:spacing w:val="40"/>
                <w:sz w:val="20"/>
              </w:rPr>
              <w:t> </w:t>
            </w:r>
            <w:r>
              <w:rPr>
                <w:sz w:val="20"/>
              </w:rPr>
              <w:t>that, before adopting any new policy or procedure (including</w:t>
            </w:r>
            <w:r>
              <w:rPr>
                <w:spacing w:val="-5"/>
                <w:sz w:val="20"/>
              </w:rPr>
              <w:t> </w:t>
            </w:r>
            <w:r>
              <w:rPr>
                <w:sz w:val="20"/>
              </w:rPr>
              <w:t>any</w:t>
            </w:r>
            <w:r>
              <w:rPr>
                <w:spacing w:val="-5"/>
                <w:sz w:val="20"/>
              </w:rPr>
              <w:t> </w:t>
            </w:r>
            <w:r>
              <w:rPr>
                <w:sz w:val="20"/>
              </w:rPr>
              <w:t>revision</w:t>
            </w:r>
            <w:r>
              <w:rPr>
                <w:spacing w:val="-5"/>
                <w:sz w:val="20"/>
              </w:rPr>
              <w:t> </w:t>
            </w:r>
            <w:r>
              <w:rPr>
                <w:sz w:val="20"/>
              </w:rPr>
              <w:t>to</w:t>
            </w:r>
            <w:r>
              <w:rPr>
                <w:spacing w:val="-5"/>
                <w:sz w:val="20"/>
              </w:rPr>
              <w:t> </w:t>
            </w:r>
            <w:r>
              <w:rPr>
                <w:sz w:val="20"/>
              </w:rPr>
              <w:t>an</w:t>
            </w:r>
            <w:r>
              <w:rPr>
                <w:spacing w:val="-5"/>
                <w:sz w:val="20"/>
              </w:rPr>
              <w:t> </w:t>
            </w:r>
            <w:r>
              <w:rPr>
                <w:sz w:val="20"/>
              </w:rPr>
              <w:t>existing</w:t>
            </w:r>
            <w:r>
              <w:rPr>
                <w:spacing w:val="-5"/>
                <w:sz w:val="20"/>
              </w:rPr>
              <w:t> </w:t>
            </w:r>
            <w:r>
              <w:rPr>
                <w:sz w:val="20"/>
              </w:rPr>
              <w:t>policy</w:t>
            </w:r>
            <w:r>
              <w:rPr>
                <w:spacing w:val="-5"/>
                <w:sz w:val="20"/>
              </w:rPr>
              <w:t> </w:t>
            </w:r>
            <w:r>
              <w:rPr>
                <w:sz w:val="20"/>
              </w:rPr>
              <w:t>or</w:t>
            </w:r>
            <w:r>
              <w:rPr>
                <w:spacing w:val="-5"/>
                <w:sz w:val="20"/>
              </w:rPr>
              <w:t> </w:t>
            </w:r>
            <w:r>
              <w:rPr>
                <w:sz w:val="20"/>
              </w:rPr>
              <w:t>procedure)</w:t>
            </w:r>
          </w:p>
        </w:tc>
      </w:tr>
    </w:tbl>
    <w:p>
      <w:pPr>
        <w:pStyle w:val="TableParagraph"/>
        <w:spacing w:after="0" w:line="230" w:lineRule="atLeast"/>
        <w:rPr>
          <w:sz w:val="20"/>
        </w:rPr>
        <w:sectPr>
          <w:type w:val="continuous"/>
          <w:pgSz w:w="12240" w:h="15840"/>
          <w:pgMar w:header="0" w:footer="879" w:top="1420" w:bottom="1775" w:left="720" w:right="720"/>
        </w:sectPr>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237"/>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4501"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0" w:type="dxa"/>
            <w:tcBorders>
              <w:top w:val="single" w:sz="12" w:space="0" w:color="000000"/>
            </w:tcBorders>
          </w:tcPr>
          <w:p>
            <w:pPr>
              <w:pStyle w:val="TableParagraph"/>
              <w:rPr>
                <w:rFonts w:ascii="Times New Roman"/>
                <w:sz w:val="18"/>
              </w:rPr>
            </w:pPr>
          </w:p>
        </w:tc>
        <w:tc>
          <w:tcPr>
            <w:tcW w:w="725" w:type="dxa"/>
            <w:tcBorders>
              <w:top w:val="single" w:sz="12" w:space="0" w:color="000000"/>
            </w:tcBorders>
          </w:tcPr>
          <w:p>
            <w:pPr>
              <w:pStyle w:val="TableParagraph"/>
              <w:rPr>
                <w:rFonts w:ascii="Times New Roman"/>
                <w:sz w:val="18"/>
              </w:rPr>
            </w:pPr>
          </w:p>
        </w:tc>
        <w:tc>
          <w:tcPr>
            <w:tcW w:w="1551" w:type="dxa"/>
            <w:tcBorders>
              <w:top w:val="single" w:sz="12" w:space="0" w:color="000000"/>
            </w:tcBorders>
          </w:tcPr>
          <w:p>
            <w:pPr>
              <w:pStyle w:val="TableParagraph"/>
              <w:rPr>
                <w:rFonts w:ascii="Times New Roman"/>
                <w:sz w:val="18"/>
              </w:rPr>
            </w:pPr>
          </w:p>
        </w:tc>
        <w:tc>
          <w:tcPr>
            <w:tcW w:w="5643" w:type="dxa"/>
            <w:tcBorders>
              <w:top w:val="single" w:sz="12" w:space="0" w:color="000000"/>
              <w:right w:val="single" w:sz="12" w:space="0" w:color="000000"/>
            </w:tcBorders>
          </w:tcPr>
          <w:p>
            <w:pPr>
              <w:pStyle w:val="TableParagraph"/>
              <w:ind w:left="503" w:right="183"/>
              <w:rPr>
                <w:sz w:val="20"/>
              </w:rPr>
            </w:pPr>
            <w:r>
              <w:rPr>
                <w:sz w:val="20"/>
              </w:rPr>
              <w:t>needed</w:t>
            </w:r>
            <w:r>
              <w:rPr>
                <w:spacing w:val="-4"/>
                <w:sz w:val="20"/>
              </w:rPr>
              <w:t> </w:t>
            </w:r>
            <w:r>
              <w:rPr>
                <w:sz w:val="20"/>
              </w:rPr>
              <w:t>to</w:t>
            </w:r>
            <w:r>
              <w:rPr>
                <w:spacing w:val="-4"/>
                <w:sz w:val="20"/>
              </w:rPr>
              <w:t> </w:t>
            </w:r>
            <w:r>
              <w:rPr>
                <w:sz w:val="20"/>
              </w:rPr>
              <w:t>comply</w:t>
            </w:r>
            <w:r>
              <w:rPr>
                <w:spacing w:val="-4"/>
                <w:sz w:val="20"/>
              </w:rPr>
              <w:t> </w:t>
            </w:r>
            <w:r>
              <w:rPr>
                <w:sz w:val="20"/>
              </w:rPr>
              <w:t>with</w:t>
            </w:r>
            <w:r>
              <w:rPr>
                <w:spacing w:val="-4"/>
                <w:sz w:val="20"/>
              </w:rPr>
              <w:t> </w:t>
            </w:r>
            <w:r>
              <w:rPr>
                <w:sz w:val="20"/>
              </w:rPr>
              <w:t>Part</w:t>
            </w:r>
            <w:r>
              <w:rPr>
                <w:spacing w:val="-4"/>
                <w:sz w:val="20"/>
              </w:rPr>
              <w:t> </w:t>
            </w:r>
            <w:r>
              <w:rPr>
                <w:sz w:val="20"/>
              </w:rPr>
              <w:t>C</w:t>
            </w:r>
            <w:r>
              <w:rPr>
                <w:spacing w:val="-5"/>
                <w:sz w:val="20"/>
              </w:rPr>
              <w:t> </w:t>
            </w:r>
            <w:r>
              <w:rPr>
                <w:sz w:val="20"/>
              </w:rPr>
              <w:t>of</w:t>
            </w:r>
            <w:r>
              <w:rPr>
                <w:spacing w:val="-4"/>
                <w:sz w:val="20"/>
              </w:rPr>
              <w:t> </w:t>
            </w:r>
            <w:r>
              <w:rPr>
                <w:sz w:val="20"/>
              </w:rPr>
              <w:t>the</w:t>
            </w:r>
            <w:r>
              <w:rPr>
                <w:spacing w:val="-14"/>
                <w:sz w:val="20"/>
              </w:rPr>
              <w:t> </w:t>
            </w:r>
            <w:r>
              <w:rPr>
                <w:sz w:val="20"/>
              </w:rPr>
              <w:t>Act</w:t>
            </w:r>
            <w:r>
              <w:rPr>
                <w:spacing w:val="-4"/>
                <w:sz w:val="20"/>
              </w:rPr>
              <w:t> </w:t>
            </w:r>
            <w:r>
              <w:rPr>
                <w:sz w:val="20"/>
              </w:rPr>
              <w:t>and</w:t>
            </w:r>
            <w:r>
              <w:rPr>
                <w:spacing w:val="-4"/>
                <w:sz w:val="20"/>
              </w:rPr>
              <w:t> </w:t>
            </w:r>
            <w:r>
              <w:rPr>
                <w:sz w:val="20"/>
              </w:rPr>
              <w:t>34</w:t>
            </w:r>
            <w:r>
              <w:rPr>
                <w:spacing w:val="-4"/>
                <w:sz w:val="20"/>
              </w:rPr>
              <w:t> </w:t>
            </w:r>
            <w:r>
              <w:rPr>
                <w:sz w:val="20"/>
              </w:rPr>
              <w:t>CFR Part 303, the lead agency—</w:t>
            </w:r>
          </w:p>
          <w:p>
            <w:pPr>
              <w:pStyle w:val="TableParagraph"/>
              <w:numPr>
                <w:ilvl w:val="0"/>
                <w:numId w:val="5"/>
              </w:numPr>
              <w:tabs>
                <w:tab w:pos="1307" w:val="left" w:leader="none"/>
              </w:tabs>
              <w:spacing w:line="240" w:lineRule="auto" w:before="119" w:after="0"/>
              <w:ind w:left="1307" w:right="141" w:hanging="400"/>
              <w:jc w:val="left"/>
              <w:rPr>
                <w:sz w:val="20"/>
              </w:rPr>
            </w:pPr>
            <w:r>
              <w:rPr>
                <w:sz w:val="20"/>
              </w:rPr>
              <w:t>Holds public hearings on the new policy or procedure</w:t>
            </w:r>
            <w:r>
              <w:rPr>
                <w:spacing w:val="-6"/>
                <w:sz w:val="20"/>
              </w:rPr>
              <w:t> </w:t>
            </w:r>
            <w:r>
              <w:rPr>
                <w:sz w:val="20"/>
              </w:rPr>
              <w:t>(including</w:t>
            </w:r>
            <w:r>
              <w:rPr>
                <w:spacing w:val="-6"/>
                <w:sz w:val="20"/>
              </w:rPr>
              <w:t> </w:t>
            </w:r>
            <w:r>
              <w:rPr>
                <w:sz w:val="20"/>
              </w:rPr>
              <w:t>any</w:t>
            </w:r>
            <w:r>
              <w:rPr>
                <w:spacing w:val="-7"/>
                <w:sz w:val="20"/>
              </w:rPr>
              <w:t> </w:t>
            </w:r>
            <w:r>
              <w:rPr>
                <w:sz w:val="20"/>
              </w:rPr>
              <w:t>revision</w:t>
            </w:r>
            <w:r>
              <w:rPr>
                <w:spacing w:val="-6"/>
                <w:sz w:val="20"/>
              </w:rPr>
              <w:t> </w:t>
            </w:r>
            <w:r>
              <w:rPr>
                <w:sz w:val="20"/>
              </w:rPr>
              <w:t>to</w:t>
            </w:r>
            <w:r>
              <w:rPr>
                <w:spacing w:val="-6"/>
                <w:sz w:val="20"/>
              </w:rPr>
              <w:t> </w:t>
            </w:r>
            <w:r>
              <w:rPr>
                <w:sz w:val="20"/>
              </w:rPr>
              <w:t>an</w:t>
            </w:r>
            <w:r>
              <w:rPr>
                <w:spacing w:val="-6"/>
                <w:sz w:val="20"/>
              </w:rPr>
              <w:t> </w:t>
            </w:r>
            <w:r>
              <w:rPr>
                <w:sz w:val="20"/>
              </w:rPr>
              <w:t>existing policy or procedure);</w:t>
            </w:r>
          </w:p>
          <w:p>
            <w:pPr>
              <w:pStyle w:val="TableParagraph"/>
              <w:numPr>
                <w:ilvl w:val="0"/>
                <w:numId w:val="5"/>
              </w:numPr>
              <w:tabs>
                <w:tab w:pos="1307" w:val="left" w:leader="none"/>
              </w:tabs>
              <w:spacing w:line="237" w:lineRule="auto" w:before="4" w:after="0"/>
              <w:ind w:left="1307" w:right="508" w:hanging="400"/>
              <w:jc w:val="left"/>
              <w:rPr>
                <w:sz w:val="20"/>
              </w:rPr>
            </w:pPr>
            <w:r>
              <w:rPr>
                <w:sz w:val="20"/>
              </w:rPr>
              <w:t>Provides notice of the hearings held in accordance</w:t>
            </w:r>
            <w:r>
              <w:rPr>
                <w:spacing w:val="-8"/>
                <w:sz w:val="20"/>
              </w:rPr>
              <w:t> </w:t>
            </w:r>
            <w:r>
              <w:rPr>
                <w:sz w:val="20"/>
              </w:rPr>
              <w:t>with</w:t>
            </w:r>
            <w:r>
              <w:rPr>
                <w:spacing w:val="-8"/>
                <w:sz w:val="20"/>
              </w:rPr>
              <w:t> </w:t>
            </w:r>
            <w:r>
              <w:rPr>
                <w:sz w:val="20"/>
              </w:rPr>
              <w:t>§303.208(b)(1)</w:t>
            </w:r>
            <w:r>
              <w:rPr>
                <w:spacing w:val="-8"/>
                <w:sz w:val="20"/>
              </w:rPr>
              <w:t> </w:t>
            </w:r>
            <w:r>
              <w:rPr>
                <w:sz w:val="20"/>
              </w:rPr>
              <w:t>at</w:t>
            </w:r>
            <w:r>
              <w:rPr>
                <w:spacing w:val="-8"/>
                <w:sz w:val="20"/>
              </w:rPr>
              <w:t> </w:t>
            </w:r>
            <w:r>
              <w:rPr>
                <w:sz w:val="20"/>
              </w:rPr>
              <w:t>least</w:t>
            </w:r>
            <w:r>
              <w:rPr>
                <w:spacing w:val="-8"/>
                <w:sz w:val="20"/>
              </w:rPr>
              <w:t> </w:t>
            </w:r>
            <w:r>
              <w:rPr>
                <w:sz w:val="20"/>
              </w:rPr>
              <w:t>30 days before the hearings are conducted to enable public participation; and</w:t>
            </w:r>
          </w:p>
          <w:p>
            <w:pPr>
              <w:pStyle w:val="TableParagraph"/>
              <w:numPr>
                <w:ilvl w:val="0"/>
                <w:numId w:val="5"/>
              </w:numPr>
              <w:tabs>
                <w:tab w:pos="1309" w:val="left" w:leader="none"/>
              </w:tabs>
              <w:spacing w:line="240" w:lineRule="auto" w:before="4" w:after="0"/>
              <w:ind w:left="1309" w:right="138" w:hanging="403"/>
              <w:jc w:val="left"/>
              <w:rPr>
                <w:sz w:val="20"/>
              </w:rPr>
            </w:pPr>
            <w:r>
              <w:rPr>
                <w:sz w:val="20"/>
              </w:rPr>
              <w:t>Provides an opportunity for the general public, including</w:t>
            </w:r>
            <w:r>
              <w:rPr>
                <w:spacing w:val="-8"/>
                <w:sz w:val="20"/>
              </w:rPr>
              <w:t> </w:t>
            </w:r>
            <w:r>
              <w:rPr>
                <w:sz w:val="20"/>
              </w:rPr>
              <w:t>individuals</w:t>
            </w:r>
            <w:r>
              <w:rPr>
                <w:spacing w:val="-8"/>
                <w:sz w:val="20"/>
              </w:rPr>
              <w:t> </w:t>
            </w:r>
            <w:r>
              <w:rPr>
                <w:sz w:val="20"/>
              </w:rPr>
              <w:t>with</w:t>
            </w:r>
            <w:r>
              <w:rPr>
                <w:spacing w:val="-8"/>
                <w:sz w:val="20"/>
              </w:rPr>
              <w:t> </w:t>
            </w:r>
            <w:r>
              <w:rPr>
                <w:sz w:val="20"/>
              </w:rPr>
              <w:t>disabilities,</w:t>
            </w:r>
            <w:r>
              <w:rPr>
                <w:spacing w:val="-8"/>
                <w:sz w:val="20"/>
              </w:rPr>
              <w:t> </w:t>
            </w:r>
            <w:r>
              <w:rPr>
                <w:sz w:val="20"/>
              </w:rPr>
              <w:t>parents</w:t>
            </w:r>
            <w:r>
              <w:rPr>
                <w:spacing w:val="-8"/>
                <w:sz w:val="20"/>
              </w:rPr>
              <w:t> </w:t>
            </w:r>
            <w:r>
              <w:rPr>
                <w:sz w:val="20"/>
              </w:rPr>
              <w:t>of infants and toddlers with disabilities, EIS providers, and the members of the Council, to comment</w:t>
            </w:r>
            <w:r>
              <w:rPr>
                <w:spacing w:val="-4"/>
                <w:sz w:val="20"/>
              </w:rPr>
              <w:t> </w:t>
            </w:r>
            <w:r>
              <w:rPr>
                <w:sz w:val="20"/>
              </w:rPr>
              <w:t>for</w:t>
            </w:r>
            <w:r>
              <w:rPr>
                <w:spacing w:val="-4"/>
                <w:sz w:val="20"/>
              </w:rPr>
              <w:t> </w:t>
            </w:r>
            <w:r>
              <w:rPr>
                <w:sz w:val="20"/>
              </w:rPr>
              <w:t>at</w:t>
            </w:r>
            <w:r>
              <w:rPr>
                <w:spacing w:val="-4"/>
                <w:sz w:val="20"/>
              </w:rPr>
              <w:t> </w:t>
            </w:r>
            <w:r>
              <w:rPr>
                <w:sz w:val="20"/>
              </w:rPr>
              <w:t>least</w:t>
            </w:r>
            <w:r>
              <w:rPr>
                <w:spacing w:val="-4"/>
                <w:sz w:val="20"/>
              </w:rPr>
              <w:t> </w:t>
            </w:r>
            <w:r>
              <w:rPr>
                <w:sz w:val="20"/>
              </w:rPr>
              <w:t>30</w:t>
            </w:r>
            <w:r>
              <w:rPr>
                <w:spacing w:val="-4"/>
                <w:sz w:val="20"/>
              </w:rPr>
              <w:t> </w:t>
            </w:r>
            <w:r>
              <w:rPr>
                <w:sz w:val="20"/>
              </w:rPr>
              <w:t>days</w:t>
            </w:r>
            <w:r>
              <w:rPr>
                <w:spacing w:val="-4"/>
                <w:sz w:val="20"/>
              </w:rPr>
              <w:t> </w:t>
            </w:r>
            <w:r>
              <w:rPr>
                <w:sz w:val="20"/>
              </w:rPr>
              <w:t>on</w:t>
            </w:r>
            <w:r>
              <w:rPr>
                <w:spacing w:val="-4"/>
                <w:sz w:val="20"/>
              </w:rPr>
              <w:t> </w:t>
            </w:r>
            <w:r>
              <w:rPr>
                <w:sz w:val="20"/>
              </w:rPr>
              <w:t>the</w:t>
            </w:r>
            <w:r>
              <w:rPr>
                <w:spacing w:val="-4"/>
                <w:sz w:val="20"/>
              </w:rPr>
              <w:t> </w:t>
            </w:r>
            <w:r>
              <w:rPr>
                <w:sz w:val="20"/>
              </w:rPr>
              <w:t>new</w:t>
            </w:r>
            <w:r>
              <w:rPr>
                <w:spacing w:val="-5"/>
                <w:sz w:val="20"/>
              </w:rPr>
              <w:t> </w:t>
            </w:r>
            <w:r>
              <w:rPr>
                <w:sz w:val="20"/>
              </w:rPr>
              <w:t>policy or procedure (including any revision to an existing</w:t>
            </w:r>
            <w:r>
              <w:rPr>
                <w:spacing w:val="-1"/>
                <w:sz w:val="20"/>
              </w:rPr>
              <w:t> </w:t>
            </w:r>
            <w:r>
              <w:rPr>
                <w:sz w:val="20"/>
              </w:rPr>
              <w:t>policy</w:t>
            </w:r>
            <w:r>
              <w:rPr>
                <w:spacing w:val="-1"/>
                <w:sz w:val="20"/>
              </w:rPr>
              <w:t> </w:t>
            </w:r>
            <w:r>
              <w:rPr>
                <w:sz w:val="20"/>
              </w:rPr>
              <w:t>or</w:t>
            </w:r>
            <w:r>
              <w:rPr>
                <w:spacing w:val="-1"/>
                <w:sz w:val="20"/>
              </w:rPr>
              <w:t> </w:t>
            </w:r>
            <w:r>
              <w:rPr>
                <w:sz w:val="20"/>
              </w:rPr>
              <w:t>procedure)</w:t>
            </w:r>
            <w:r>
              <w:rPr>
                <w:spacing w:val="-1"/>
                <w:sz w:val="20"/>
              </w:rPr>
              <w:t> </w:t>
            </w:r>
            <w:r>
              <w:rPr>
                <w:sz w:val="20"/>
              </w:rPr>
              <w:t>needed</w:t>
            </w:r>
            <w:r>
              <w:rPr>
                <w:spacing w:val="-1"/>
                <w:sz w:val="20"/>
              </w:rPr>
              <w:t> </w:t>
            </w:r>
            <w:r>
              <w:rPr>
                <w:sz w:val="20"/>
              </w:rPr>
              <w:t>to</w:t>
            </w:r>
            <w:r>
              <w:rPr>
                <w:spacing w:val="-1"/>
                <w:sz w:val="20"/>
              </w:rPr>
              <w:t> </w:t>
            </w:r>
            <w:r>
              <w:rPr>
                <w:sz w:val="20"/>
              </w:rPr>
              <w:t>comply with Part C of the</w:t>
            </w:r>
            <w:r>
              <w:rPr>
                <w:spacing w:val="-1"/>
                <w:sz w:val="20"/>
              </w:rPr>
              <w:t> </w:t>
            </w:r>
            <w:r>
              <w:rPr>
                <w:sz w:val="20"/>
              </w:rPr>
              <w:t>Act and 34 CFR Part 303.</w:t>
            </w:r>
          </w:p>
          <w:p>
            <w:pPr>
              <w:pStyle w:val="TableParagraph"/>
              <w:spacing w:before="123"/>
              <w:ind w:left="906"/>
              <w:rPr>
                <w:sz w:val="20"/>
              </w:rPr>
            </w:pPr>
            <w:r>
              <w:rPr>
                <w:sz w:val="20"/>
              </w:rPr>
              <w:t>(34</w:t>
            </w:r>
            <w:r>
              <w:rPr>
                <w:spacing w:val="-4"/>
                <w:sz w:val="20"/>
              </w:rPr>
              <w:t> </w:t>
            </w:r>
            <w:r>
              <w:rPr>
                <w:sz w:val="20"/>
              </w:rPr>
              <w:t>CFR</w:t>
            </w:r>
            <w:r>
              <w:rPr>
                <w:spacing w:val="-4"/>
                <w:sz w:val="20"/>
              </w:rPr>
              <w:t> </w:t>
            </w:r>
            <w:r>
              <w:rPr>
                <w:spacing w:val="-2"/>
                <w:sz w:val="20"/>
              </w:rPr>
              <w:t>§303.208(b))</w:t>
            </w:r>
          </w:p>
        </w:tc>
      </w:tr>
      <w:tr>
        <w:trPr>
          <w:trHeight w:val="7597" w:hRule="atLeast"/>
        </w:trPr>
        <w:tc>
          <w:tcPr>
            <w:tcW w:w="722" w:type="dxa"/>
            <w:tcBorders>
              <w:left w:val="single" w:sz="12" w:space="0" w:color="000000"/>
              <w:bottom w:val="single" w:sz="12" w:space="0" w:color="000000"/>
            </w:tcBorders>
          </w:tcPr>
          <w:p>
            <w:pPr>
              <w:pStyle w:val="TableParagraph"/>
              <w:rPr>
                <w:rFonts w:ascii="Times New Roman"/>
                <w:sz w:val="18"/>
              </w:rPr>
            </w:pPr>
          </w:p>
        </w:tc>
        <w:tc>
          <w:tcPr>
            <w:tcW w:w="720" w:type="dxa"/>
            <w:tcBorders>
              <w:bottom w:val="single" w:sz="12" w:space="0" w:color="000000"/>
            </w:tcBorders>
          </w:tcPr>
          <w:p>
            <w:pPr>
              <w:pStyle w:val="TableParagraph"/>
              <w:rPr>
                <w:rFonts w:ascii="Times New Roman"/>
                <w:sz w:val="18"/>
              </w:rPr>
            </w:pPr>
          </w:p>
        </w:tc>
        <w:tc>
          <w:tcPr>
            <w:tcW w:w="725" w:type="dxa"/>
            <w:tcBorders>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left="28"/>
              <w:jc w:val="center"/>
              <w:rPr>
                <w:sz w:val="20"/>
              </w:rPr>
            </w:pPr>
            <w:r>
              <w:rPr>
                <w:spacing w:val="-10"/>
                <w:sz w:val="20"/>
              </w:rPr>
              <w:t>X</w:t>
            </w:r>
          </w:p>
        </w:tc>
        <w:tc>
          <w:tcPr>
            <w:tcW w:w="1551" w:type="dxa"/>
            <w:tcBorders>
              <w:bottom w:val="single" w:sz="12" w:space="0" w:color="000000"/>
            </w:tcBorders>
          </w:tcPr>
          <w:p>
            <w:pPr>
              <w:pStyle w:val="TableParagraph"/>
              <w:rPr>
                <w:rFonts w:ascii="Times New Roman"/>
                <w:sz w:val="18"/>
              </w:rPr>
            </w:pPr>
          </w:p>
        </w:tc>
        <w:tc>
          <w:tcPr>
            <w:tcW w:w="5643" w:type="dxa"/>
            <w:tcBorders>
              <w:bottom w:val="single" w:sz="12" w:space="0" w:color="000000"/>
              <w:right w:val="single" w:sz="12" w:space="0" w:color="000000"/>
            </w:tcBorders>
          </w:tcPr>
          <w:p>
            <w:pPr>
              <w:pStyle w:val="TableParagraph"/>
              <w:numPr>
                <w:ilvl w:val="0"/>
                <w:numId w:val="6"/>
              </w:numPr>
              <w:tabs>
                <w:tab w:pos="503" w:val="left" w:leader="none"/>
              </w:tabs>
              <w:spacing w:line="240" w:lineRule="auto" w:before="119" w:after="0"/>
              <w:ind w:left="503" w:right="278" w:hanging="389"/>
              <w:jc w:val="left"/>
              <w:rPr>
                <w:sz w:val="20"/>
              </w:rPr>
            </w:pPr>
            <w:r>
              <w:rPr>
                <w:sz w:val="20"/>
              </w:rPr>
              <w:t>(a)</w:t>
            </w:r>
            <w:r>
              <w:rPr>
                <w:spacing w:val="-14"/>
                <w:sz w:val="20"/>
              </w:rPr>
              <w:t> </w:t>
            </w:r>
            <w:r>
              <w:rPr>
                <w:sz w:val="20"/>
                <w:u w:val="single"/>
              </w:rPr>
              <w:t>Application</w:t>
            </w:r>
            <w:r>
              <w:rPr>
                <w:spacing w:val="-9"/>
                <w:sz w:val="20"/>
                <w:u w:val="single"/>
              </w:rPr>
              <w:t> </w:t>
            </w:r>
            <w:r>
              <w:rPr>
                <w:sz w:val="20"/>
                <w:u w:val="single"/>
              </w:rPr>
              <w:t>Requirements</w:t>
            </w:r>
            <w:r>
              <w:rPr>
                <w:sz w:val="20"/>
                <w:u w:val="none"/>
              </w:rPr>
              <w:t>:</w:t>
            </w:r>
            <w:r>
              <w:rPr>
                <w:spacing w:val="-7"/>
                <w:sz w:val="20"/>
                <w:u w:val="none"/>
              </w:rPr>
              <w:t> </w:t>
            </w:r>
            <w:r>
              <w:rPr>
                <w:sz w:val="20"/>
                <w:u w:val="none"/>
              </w:rPr>
              <w:t>Each</w:t>
            </w:r>
            <w:r>
              <w:rPr>
                <w:spacing w:val="-7"/>
                <w:sz w:val="20"/>
                <w:u w:val="none"/>
              </w:rPr>
              <w:t> </w:t>
            </w:r>
            <w:r>
              <w:rPr>
                <w:sz w:val="20"/>
                <w:u w:val="none"/>
              </w:rPr>
              <w:t>State</w:t>
            </w:r>
            <w:r>
              <w:rPr>
                <w:spacing w:val="-7"/>
                <w:sz w:val="20"/>
                <w:u w:val="none"/>
              </w:rPr>
              <w:t> </w:t>
            </w:r>
            <w:r>
              <w:rPr>
                <w:sz w:val="20"/>
                <w:u w:val="none"/>
              </w:rPr>
              <w:t>must</w:t>
            </w:r>
            <w:r>
              <w:rPr>
                <w:spacing w:val="-7"/>
                <w:sz w:val="20"/>
                <w:u w:val="none"/>
              </w:rPr>
              <w:t> </w:t>
            </w:r>
            <w:r>
              <w:rPr>
                <w:sz w:val="20"/>
                <w:u w:val="none"/>
              </w:rPr>
              <w:t>include the following in its application:</w:t>
            </w:r>
          </w:p>
          <w:p>
            <w:pPr>
              <w:pStyle w:val="TableParagraph"/>
              <w:numPr>
                <w:ilvl w:val="1"/>
                <w:numId w:val="6"/>
              </w:numPr>
              <w:tabs>
                <w:tab w:pos="1266" w:val="left" w:leader="none"/>
              </w:tabs>
              <w:spacing w:line="240" w:lineRule="auto" w:before="116" w:after="0"/>
              <w:ind w:left="1266" w:right="126" w:hanging="403"/>
              <w:jc w:val="left"/>
              <w:rPr>
                <w:sz w:val="20"/>
              </w:rPr>
            </w:pPr>
            <w:r>
              <w:rPr>
                <w:sz w:val="20"/>
              </w:rPr>
              <w:t>A description of the policies and procedures it will</w:t>
            </w:r>
            <w:r>
              <w:rPr>
                <w:spacing w:val="-5"/>
                <w:sz w:val="20"/>
              </w:rPr>
              <w:t> </w:t>
            </w:r>
            <w:r>
              <w:rPr>
                <w:sz w:val="20"/>
              </w:rPr>
              <w:t>use</w:t>
            </w:r>
            <w:r>
              <w:rPr>
                <w:spacing w:val="-5"/>
                <w:sz w:val="20"/>
              </w:rPr>
              <w:t> </w:t>
            </w:r>
            <w:r>
              <w:rPr>
                <w:sz w:val="20"/>
              </w:rPr>
              <w:t>to</w:t>
            </w:r>
            <w:r>
              <w:rPr>
                <w:spacing w:val="-5"/>
                <w:sz w:val="20"/>
              </w:rPr>
              <w:t> </w:t>
            </w:r>
            <w:r>
              <w:rPr>
                <w:sz w:val="20"/>
              </w:rPr>
              <w:t>ensure</w:t>
            </w:r>
            <w:r>
              <w:rPr>
                <w:spacing w:val="-5"/>
                <w:sz w:val="20"/>
              </w:rPr>
              <w:t> </w:t>
            </w:r>
            <w:r>
              <w:rPr>
                <w:sz w:val="20"/>
              </w:rPr>
              <w:t>a</w:t>
            </w:r>
            <w:r>
              <w:rPr>
                <w:spacing w:val="-5"/>
                <w:sz w:val="20"/>
              </w:rPr>
              <w:t> </w:t>
            </w:r>
            <w:r>
              <w:rPr>
                <w:sz w:val="20"/>
              </w:rPr>
              <w:t>smooth</w:t>
            </w:r>
            <w:r>
              <w:rPr>
                <w:spacing w:val="-5"/>
                <w:sz w:val="20"/>
              </w:rPr>
              <w:t> </w:t>
            </w:r>
            <w:r>
              <w:rPr>
                <w:sz w:val="20"/>
              </w:rPr>
              <w:t>transition</w:t>
            </w:r>
            <w:r>
              <w:rPr>
                <w:spacing w:val="-5"/>
                <w:sz w:val="20"/>
              </w:rPr>
              <w:t> </w:t>
            </w:r>
            <w:r>
              <w:rPr>
                <w:sz w:val="20"/>
              </w:rPr>
              <w:t>for</w:t>
            </w:r>
            <w:r>
              <w:rPr>
                <w:spacing w:val="-5"/>
                <w:sz w:val="20"/>
              </w:rPr>
              <w:t> </w:t>
            </w:r>
            <w:r>
              <w:rPr>
                <w:sz w:val="20"/>
              </w:rPr>
              <w:t>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p>
          <w:p>
            <w:pPr>
              <w:pStyle w:val="TableParagraph"/>
              <w:numPr>
                <w:ilvl w:val="1"/>
                <w:numId w:val="6"/>
              </w:numPr>
              <w:tabs>
                <w:tab w:pos="1266" w:val="left" w:leader="none"/>
              </w:tabs>
              <w:spacing w:line="240" w:lineRule="auto" w:before="3" w:after="0"/>
              <w:ind w:left="1266" w:right="381" w:hanging="403"/>
              <w:jc w:val="left"/>
              <w:rPr>
                <w:sz w:val="20"/>
              </w:rPr>
            </w:pPr>
            <w:r>
              <w:rPr>
                <w:sz w:val="20"/>
              </w:rPr>
              <w:t>A</w:t>
            </w:r>
            <w:r>
              <w:rPr>
                <w:spacing w:val="-14"/>
                <w:sz w:val="20"/>
              </w:rPr>
              <w:t> </w:t>
            </w:r>
            <w:r>
              <w:rPr>
                <w:sz w:val="20"/>
              </w:rPr>
              <w:t>description</w:t>
            </w:r>
            <w:r>
              <w:rPr>
                <w:spacing w:val="-6"/>
                <w:sz w:val="20"/>
              </w:rPr>
              <w:t> </w:t>
            </w:r>
            <w:r>
              <w:rPr>
                <w:sz w:val="20"/>
              </w:rPr>
              <w:t>of</w:t>
            </w:r>
            <w:r>
              <w:rPr>
                <w:spacing w:val="-5"/>
                <w:sz w:val="20"/>
              </w:rPr>
              <w:t> </w:t>
            </w:r>
            <w:r>
              <w:rPr>
                <w:sz w:val="20"/>
              </w:rPr>
              <w:t>how</w:t>
            </w:r>
            <w:r>
              <w:rPr>
                <w:spacing w:val="-6"/>
                <w:sz w:val="20"/>
              </w:rPr>
              <w:t> </w:t>
            </w:r>
            <w:r>
              <w:rPr>
                <w:sz w:val="20"/>
              </w:rPr>
              <w:t>the</w:t>
            </w:r>
            <w:r>
              <w:rPr>
                <w:spacing w:val="-5"/>
                <w:sz w:val="20"/>
              </w:rPr>
              <w:t> </w:t>
            </w:r>
            <w:r>
              <w:rPr>
                <w:sz w:val="20"/>
              </w:rPr>
              <w:t>State</w:t>
            </w:r>
            <w:r>
              <w:rPr>
                <w:spacing w:val="-5"/>
                <w:sz w:val="20"/>
              </w:rPr>
              <w:t> </w:t>
            </w:r>
            <w:r>
              <w:rPr>
                <w:sz w:val="20"/>
              </w:rPr>
              <w:t>will</w:t>
            </w:r>
            <w:r>
              <w:rPr>
                <w:spacing w:val="-5"/>
                <w:sz w:val="20"/>
              </w:rPr>
              <w:t> </w:t>
            </w:r>
            <w:r>
              <w:rPr>
                <w:sz w:val="20"/>
              </w:rPr>
              <w:t>meet</w:t>
            </w:r>
            <w:r>
              <w:rPr>
                <w:spacing w:val="-5"/>
                <w:sz w:val="20"/>
              </w:rPr>
              <w:t> </w:t>
            </w:r>
            <w:r>
              <w:rPr>
                <w:sz w:val="20"/>
              </w:rPr>
              <w:t>each requirement in §303.209(b) through (f).</w:t>
            </w:r>
          </w:p>
          <w:p>
            <w:pPr>
              <w:pStyle w:val="TableParagraph"/>
              <w:numPr>
                <w:ilvl w:val="1"/>
                <w:numId w:val="6"/>
              </w:numPr>
              <w:tabs>
                <w:tab w:pos="1237" w:val="left" w:leader="none"/>
                <w:tab w:pos="1958" w:val="left" w:leader="none"/>
              </w:tabs>
              <w:spacing w:line="237" w:lineRule="auto" w:before="3" w:after="0"/>
              <w:ind w:left="1958" w:right="462" w:hanging="1095"/>
              <w:jc w:val="both"/>
              <w:rPr>
                <w:sz w:val="20"/>
              </w:rPr>
            </w:pPr>
            <w:r>
              <w:rPr>
                <w:sz w:val="20"/>
              </w:rPr>
              <w:t>(i)</w:t>
            </w:r>
            <w:r>
              <w:rPr>
                <w:spacing w:val="80"/>
                <w:sz w:val="20"/>
              </w:rPr>
              <w:t> </w:t>
            </w:r>
            <w:r>
              <w:rPr>
                <w:sz w:val="20"/>
              </w:rPr>
              <w:t>(A)</w:t>
            </w:r>
            <w:r>
              <w:rPr>
                <w:spacing w:val="-4"/>
                <w:sz w:val="20"/>
              </w:rPr>
              <w:t> </w:t>
            </w:r>
            <w:r>
              <w:rPr>
                <w:sz w:val="20"/>
              </w:rPr>
              <w:t>If</w:t>
            </w:r>
            <w:r>
              <w:rPr>
                <w:spacing w:val="-4"/>
                <w:sz w:val="20"/>
              </w:rPr>
              <w:t> </w:t>
            </w:r>
            <w:r>
              <w:rPr>
                <w:sz w:val="20"/>
              </w:rPr>
              <w:t>the</w:t>
            </w:r>
            <w:r>
              <w:rPr>
                <w:spacing w:val="-4"/>
                <w:sz w:val="20"/>
              </w:rPr>
              <w:t> </w:t>
            </w:r>
            <w:r>
              <w:rPr>
                <w:sz w:val="20"/>
              </w:rPr>
              <w:t>lead</w:t>
            </w:r>
            <w:r>
              <w:rPr>
                <w:spacing w:val="-4"/>
                <w:sz w:val="20"/>
              </w:rPr>
              <w:t> </w:t>
            </w:r>
            <w:r>
              <w:rPr>
                <w:sz w:val="20"/>
              </w:rPr>
              <w:t>agency</w:t>
            </w:r>
            <w:r>
              <w:rPr>
                <w:spacing w:val="-4"/>
                <w:sz w:val="20"/>
              </w:rPr>
              <w:t> </w:t>
            </w:r>
            <w:r>
              <w:rPr>
                <w:sz w:val="20"/>
              </w:rPr>
              <w:t>is</w:t>
            </w:r>
            <w:r>
              <w:rPr>
                <w:spacing w:val="-4"/>
                <w:sz w:val="20"/>
              </w:rPr>
              <w:t> </w:t>
            </w:r>
            <w:r>
              <w:rPr>
                <w:sz w:val="20"/>
              </w:rPr>
              <w:t>not</w:t>
            </w:r>
            <w:r>
              <w:rPr>
                <w:spacing w:val="-4"/>
                <w:sz w:val="20"/>
              </w:rPr>
              <w:t> </w:t>
            </w:r>
            <w:r>
              <w:rPr>
                <w:sz w:val="20"/>
              </w:rPr>
              <w:t>the</w:t>
            </w:r>
            <w:r>
              <w:rPr>
                <w:spacing w:val="-4"/>
                <w:sz w:val="20"/>
              </w:rPr>
              <w:t> </w:t>
            </w:r>
            <w:r>
              <w:rPr>
                <w:sz w:val="20"/>
              </w:rPr>
              <w:t>SEA,</w:t>
            </w:r>
            <w:r>
              <w:rPr>
                <w:spacing w:val="-4"/>
                <w:sz w:val="20"/>
              </w:rPr>
              <w:t> </w:t>
            </w:r>
            <w:r>
              <w:rPr>
                <w:sz w:val="20"/>
              </w:rPr>
              <w:t>an interagency</w:t>
            </w:r>
            <w:r>
              <w:rPr>
                <w:spacing w:val="-11"/>
                <w:sz w:val="20"/>
              </w:rPr>
              <w:t> </w:t>
            </w:r>
            <w:r>
              <w:rPr>
                <w:sz w:val="20"/>
              </w:rPr>
              <w:t>agreement</w:t>
            </w:r>
            <w:r>
              <w:rPr>
                <w:spacing w:val="-11"/>
                <w:sz w:val="20"/>
              </w:rPr>
              <w:t> </w:t>
            </w:r>
            <w:r>
              <w:rPr>
                <w:sz w:val="20"/>
              </w:rPr>
              <w:t>between</w:t>
            </w:r>
            <w:r>
              <w:rPr>
                <w:spacing w:val="-11"/>
                <w:sz w:val="20"/>
              </w:rPr>
              <w:t> </w:t>
            </w:r>
            <w:r>
              <w:rPr>
                <w:sz w:val="20"/>
              </w:rPr>
              <w:t>the lead agency and the SEA; or</w:t>
            </w:r>
          </w:p>
          <w:p>
            <w:pPr>
              <w:pStyle w:val="TableParagraph"/>
              <w:spacing w:before="2"/>
              <w:ind w:left="1958" w:right="183" w:hanging="360"/>
              <w:rPr>
                <w:sz w:val="20"/>
              </w:rPr>
            </w:pPr>
            <w:r>
              <w:rPr>
                <w:sz w:val="20"/>
              </w:rPr>
              <w:t>(B)</w:t>
            </w:r>
            <w:r>
              <w:rPr>
                <w:spacing w:val="-5"/>
                <w:sz w:val="20"/>
              </w:rPr>
              <w:t> </w:t>
            </w:r>
            <w:r>
              <w:rPr>
                <w:sz w:val="20"/>
              </w:rPr>
              <w:t>If</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is</w:t>
            </w:r>
            <w:r>
              <w:rPr>
                <w:spacing w:val="-5"/>
                <w:sz w:val="20"/>
              </w:rPr>
              <w:t> </w:t>
            </w:r>
            <w:r>
              <w:rPr>
                <w:sz w:val="20"/>
              </w:rPr>
              <w:t>the</w:t>
            </w:r>
            <w:r>
              <w:rPr>
                <w:spacing w:val="-5"/>
                <w:sz w:val="20"/>
              </w:rPr>
              <w:t> </w:t>
            </w:r>
            <w:r>
              <w:rPr>
                <w:sz w:val="20"/>
              </w:rPr>
              <w:t>SEA,</w:t>
            </w:r>
            <w:r>
              <w:rPr>
                <w:spacing w:val="-5"/>
                <w:sz w:val="20"/>
              </w:rPr>
              <w:t> </w:t>
            </w:r>
            <w:r>
              <w:rPr>
                <w:sz w:val="20"/>
              </w:rPr>
              <w:t>an</w:t>
            </w:r>
            <w:r>
              <w:rPr>
                <w:spacing w:val="-5"/>
                <w:sz w:val="20"/>
              </w:rPr>
              <w:t> </w:t>
            </w:r>
            <w:r>
              <w:rPr>
                <w:sz w:val="20"/>
              </w:rPr>
              <w:t>intra- agency agreement between the program within that agency that administers Part C of the</w:t>
            </w:r>
            <w:r>
              <w:rPr>
                <w:spacing w:val="-2"/>
                <w:sz w:val="20"/>
              </w:rPr>
              <w:t> </w:t>
            </w:r>
            <w:r>
              <w:rPr>
                <w:sz w:val="20"/>
              </w:rPr>
              <w:t>Act and the program within the agency that administers section 619 of the Act</w:t>
            </w:r>
          </w:p>
          <w:p>
            <w:pPr>
              <w:pStyle w:val="TableParagraph"/>
              <w:spacing w:before="2"/>
              <w:ind w:left="1598" w:right="130" w:hanging="360"/>
              <w:rPr>
                <w:sz w:val="20"/>
              </w:rPr>
            </w:pPr>
            <w:r>
              <w:rPr>
                <w:sz w:val="20"/>
              </w:rPr>
              <w:t>(ii)</w:t>
            </w:r>
            <w:r>
              <w:rPr>
                <w:spacing w:val="80"/>
                <w:sz w:val="20"/>
              </w:rPr>
              <w:t> </w:t>
            </w:r>
            <w:r>
              <w:rPr>
                <w:sz w:val="20"/>
              </w:rPr>
              <w:t>To ensure a seamless transition between services under Part C and under Part B of the Act, an interagency agreement under paragraph (a)(3)(i)(A) of this section or an intra-agency agreement under paragraph (a)(3)(i)(B)</w:t>
            </w:r>
            <w:r>
              <w:rPr>
                <w:spacing w:val="-7"/>
                <w:sz w:val="20"/>
              </w:rPr>
              <w:t> </w:t>
            </w:r>
            <w:r>
              <w:rPr>
                <w:sz w:val="20"/>
              </w:rPr>
              <w:t>of</w:t>
            </w:r>
            <w:r>
              <w:rPr>
                <w:spacing w:val="-7"/>
                <w:sz w:val="20"/>
              </w:rPr>
              <w:t> </w:t>
            </w:r>
            <w:r>
              <w:rPr>
                <w:sz w:val="20"/>
              </w:rPr>
              <w:t>this</w:t>
            </w:r>
            <w:r>
              <w:rPr>
                <w:spacing w:val="-7"/>
                <w:sz w:val="20"/>
              </w:rPr>
              <w:t> </w:t>
            </w:r>
            <w:r>
              <w:rPr>
                <w:sz w:val="20"/>
              </w:rPr>
              <w:t>section</w:t>
            </w:r>
            <w:r>
              <w:rPr>
                <w:spacing w:val="-7"/>
                <w:sz w:val="20"/>
              </w:rPr>
              <w:t> </w:t>
            </w:r>
            <w:r>
              <w:rPr>
                <w:sz w:val="20"/>
              </w:rPr>
              <w:t>must</w:t>
            </w:r>
            <w:r>
              <w:rPr>
                <w:spacing w:val="-7"/>
                <w:sz w:val="20"/>
              </w:rPr>
              <w:t> </w:t>
            </w:r>
            <w:r>
              <w:rPr>
                <w:sz w:val="20"/>
              </w:rPr>
              <w:t>address</w:t>
            </w:r>
            <w:r>
              <w:rPr>
                <w:spacing w:val="-7"/>
                <w:sz w:val="20"/>
              </w:rPr>
              <w:t> </w:t>
            </w:r>
            <w:r>
              <w:rPr>
                <w:sz w:val="20"/>
              </w:rPr>
              <w:t>how the lead agency and the SEA</w:t>
            </w:r>
            <w:r>
              <w:rPr>
                <w:spacing w:val="-2"/>
                <w:sz w:val="20"/>
              </w:rPr>
              <w:t> </w:t>
            </w:r>
            <w:r>
              <w:rPr>
                <w:sz w:val="20"/>
              </w:rPr>
              <w:t>will meet the requirements of paragraphs (b) through (f) of this section (including any policies adopted by the lead agency under</w:t>
            </w:r>
          </w:p>
          <w:p>
            <w:pPr>
              <w:pStyle w:val="TableParagraph"/>
              <w:spacing w:line="210" w:lineRule="exact"/>
              <w:ind w:left="1598"/>
              <w:rPr>
                <w:sz w:val="20"/>
              </w:rPr>
            </w:pPr>
            <w:r>
              <w:rPr>
                <w:sz w:val="20"/>
              </w:rPr>
              <w:t>§303.401(d)</w:t>
            </w:r>
            <w:r>
              <w:rPr>
                <w:spacing w:val="-7"/>
                <w:sz w:val="20"/>
              </w:rPr>
              <w:t> </w:t>
            </w:r>
            <w:r>
              <w:rPr>
                <w:sz w:val="20"/>
              </w:rPr>
              <w:t>and</w:t>
            </w:r>
            <w:r>
              <w:rPr>
                <w:spacing w:val="-7"/>
                <w:sz w:val="20"/>
              </w:rPr>
              <w:t> </w:t>
            </w:r>
            <w:r>
              <w:rPr>
                <w:sz w:val="20"/>
              </w:rPr>
              <w:t>(e)),</w:t>
            </w:r>
            <w:r>
              <w:rPr>
                <w:spacing w:val="-7"/>
                <w:sz w:val="20"/>
              </w:rPr>
              <w:t> </w:t>
            </w:r>
            <w:r>
              <w:rPr>
                <w:sz w:val="20"/>
              </w:rPr>
              <w:t>§303.344(h),</w:t>
            </w:r>
            <w:r>
              <w:rPr>
                <w:spacing w:val="-7"/>
                <w:sz w:val="20"/>
              </w:rPr>
              <w:t> </w:t>
            </w:r>
            <w:r>
              <w:rPr>
                <w:sz w:val="20"/>
              </w:rPr>
              <w:t>and</w:t>
            </w:r>
            <w:r>
              <w:rPr>
                <w:spacing w:val="-6"/>
                <w:sz w:val="20"/>
              </w:rPr>
              <w:t> </w:t>
            </w:r>
            <w:r>
              <w:rPr>
                <w:spacing w:val="-5"/>
                <w:sz w:val="20"/>
              </w:rPr>
              <w:t>34</w:t>
            </w:r>
          </w:p>
        </w:tc>
      </w:tr>
    </w:tbl>
    <w:p>
      <w:pPr>
        <w:pStyle w:val="TableParagraph"/>
        <w:spacing w:after="0" w:line="210" w:lineRule="exact"/>
        <w:rPr>
          <w:sz w:val="20"/>
        </w:rPr>
        <w:sectPr>
          <w:type w:val="continuous"/>
          <w:pgSz w:w="12240" w:h="15840"/>
          <w:pgMar w:header="0" w:footer="879" w:top="1420" w:bottom="1543" w:left="720" w:right="720"/>
        </w:sectPr>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237"/>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12421"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0" w:type="dxa"/>
            <w:tcBorders>
              <w:top w:val="single" w:sz="12" w:space="0" w:color="000000"/>
              <w:bottom w:val="single" w:sz="12" w:space="0" w:color="000000"/>
            </w:tcBorders>
          </w:tcPr>
          <w:p>
            <w:pPr>
              <w:pStyle w:val="TableParagraph"/>
              <w:rPr>
                <w:rFonts w:ascii="Times New Roman"/>
                <w:sz w:val="18"/>
              </w:rPr>
            </w:pPr>
          </w:p>
        </w:tc>
        <w:tc>
          <w:tcPr>
            <w:tcW w:w="725" w:type="dxa"/>
            <w:tcBorders>
              <w:top w:val="single" w:sz="12" w:space="0" w:color="000000"/>
              <w:bottom w:val="single" w:sz="12" w:space="0" w:color="000000"/>
            </w:tcBorders>
          </w:tcPr>
          <w:p>
            <w:pPr>
              <w:pStyle w:val="TableParagraph"/>
              <w:rPr>
                <w:rFonts w:ascii="Times New Roman"/>
                <w:sz w:val="18"/>
              </w:rPr>
            </w:pPr>
          </w:p>
        </w:tc>
        <w:tc>
          <w:tcPr>
            <w:tcW w:w="1551" w:type="dxa"/>
            <w:tcBorders>
              <w:top w:val="single" w:sz="12" w:space="0" w:color="000000"/>
              <w:bottom w:val="single" w:sz="12" w:space="0" w:color="000000"/>
            </w:tcBorders>
          </w:tcPr>
          <w:p>
            <w:pPr>
              <w:pStyle w:val="TableParagraph"/>
              <w:rPr>
                <w:rFonts w:ascii="Times New Roman"/>
                <w:sz w:val="18"/>
              </w:rPr>
            </w:pPr>
          </w:p>
        </w:tc>
        <w:tc>
          <w:tcPr>
            <w:tcW w:w="5643" w:type="dxa"/>
            <w:tcBorders>
              <w:top w:val="single" w:sz="12" w:space="0" w:color="000000"/>
              <w:bottom w:val="single" w:sz="12" w:space="0" w:color="000000"/>
              <w:right w:val="single" w:sz="12" w:space="0" w:color="000000"/>
            </w:tcBorders>
          </w:tcPr>
          <w:p>
            <w:pPr>
              <w:pStyle w:val="TableParagraph"/>
              <w:ind w:left="1598" w:right="183"/>
              <w:rPr>
                <w:sz w:val="20"/>
              </w:rPr>
            </w:pPr>
            <w:r>
              <w:rPr>
                <w:sz w:val="20"/>
              </w:rPr>
              <w:t>CFR</w:t>
            </w:r>
            <w:r>
              <w:rPr>
                <w:spacing w:val="-11"/>
                <w:sz w:val="20"/>
              </w:rPr>
              <w:t> </w:t>
            </w:r>
            <w:r>
              <w:rPr>
                <w:sz w:val="20"/>
              </w:rPr>
              <w:t>300.101(b),</w:t>
            </w:r>
            <w:r>
              <w:rPr>
                <w:spacing w:val="-10"/>
                <w:sz w:val="20"/>
              </w:rPr>
              <w:t> </w:t>
            </w:r>
            <w:r>
              <w:rPr>
                <w:sz w:val="20"/>
              </w:rPr>
              <w:t>300.124,</w:t>
            </w:r>
            <w:r>
              <w:rPr>
                <w:spacing w:val="-10"/>
                <w:sz w:val="20"/>
              </w:rPr>
              <w:t> </w:t>
            </w:r>
            <w:r>
              <w:rPr>
                <w:sz w:val="20"/>
              </w:rPr>
              <w:t>300.321(f)</w:t>
            </w:r>
            <w:r>
              <w:rPr>
                <w:spacing w:val="-10"/>
                <w:sz w:val="20"/>
              </w:rPr>
              <w:t> </w:t>
            </w:r>
            <w:r>
              <w:rPr>
                <w:sz w:val="20"/>
              </w:rPr>
              <w:t>and </w:t>
            </w:r>
            <w:r>
              <w:rPr>
                <w:spacing w:val="-2"/>
                <w:sz w:val="20"/>
              </w:rPr>
              <w:t>300.323(b).</w:t>
            </w:r>
          </w:p>
          <w:p>
            <w:pPr>
              <w:pStyle w:val="TableParagraph"/>
              <w:ind w:left="863"/>
              <w:rPr>
                <w:sz w:val="20"/>
              </w:rPr>
            </w:pPr>
            <w:r>
              <w:rPr>
                <w:sz w:val="20"/>
              </w:rPr>
              <w:t>(4)</w:t>
            </w:r>
            <w:r>
              <w:rPr>
                <w:spacing w:val="66"/>
                <w:w w:val="150"/>
                <w:sz w:val="20"/>
              </w:rPr>
              <w:t> </w:t>
            </w:r>
            <w:r>
              <w:rPr>
                <w:sz w:val="20"/>
              </w:rPr>
              <w:t>Any</w:t>
            </w:r>
            <w:r>
              <w:rPr>
                <w:spacing w:val="-4"/>
                <w:sz w:val="20"/>
              </w:rPr>
              <w:t> </w:t>
            </w:r>
            <w:r>
              <w:rPr>
                <w:sz w:val="20"/>
              </w:rPr>
              <w:t>policy</w:t>
            </w:r>
            <w:r>
              <w:rPr>
                <w:spacing w:val="-4"/>
                <w:sz w:val="20"/>
              </w:rPr>
              <w:t> </w:t>
            </w:r>
            <w:r>
              <w:rPr>
                <w:sz w:val="20"/>
              </w:rPr>
              <w:t>the</w:t>
            </w:r>
            <w:r>
              <w:rPr>
                <w:spacing w:val="-4"/>
                <w:sz w:val="20"/>
              </w:rPr>
              <w:t> </w:t>
            </w:r>
            <w:r>
              <w:rPr>
                <w:sz w:val="20"/>
              </w:rPr>
              <w:t>lead</w:t>
            </w:r>
            <w:r>
              <w:rPr>
                <w:spacing w:val="-4"/>
                <w:sz w:val="20"/>
              </w:rPr>
              <w:t> </w:t>
            </w:r>
            <w:r>
              <w:rPr>
                <w:sz w:val="20"/>
              </w:rPr>
              <w:t>agency</w:t>
            </w:r>
            <w:r>
              <w:rPr>
                <w:spacing w:val="-4"/>
                <w:sz w:val="20"/>
              </w:rPr>
              <w:t> </w:t>
            </w:r>
            <w:r>
              <w:rPr>
                <w:sz w:val="20"/>
              </w:rPr>
              <w:t>has</w:t>
            </w:r>
            <w:r>
              <w:rPr>
                <w:spacing w:val="-3"/>
                <w:sz w:val="20"/>
              </w:rPr>
              <w:t> </w:t>
            </w:r>
            <w:r>
              <w:rPr>
                <w:sz w:val="20"/>
              </w:rPr>
              <w:t>adopted</w:t>
            </w:r>
            <w:r>
              <w:rPr>
                <w:spacing w:val="-4"/>
                <w:sz w:val="20"/>
              </w:rPr>
              <w:t> </w:t>
            </w:r>
            <w:r>
              <w:rPr>
                <w:spacing w:val="-2"/>
                <w:sz w:val="20"/>
              </w:rPr>
              <w:t>under</w:t>
            </w:r>
          </w:p>
          <w:p>
            <w:pPr>
              <w:pStyle w:val="TableParagraph"/>
              <w:ind w:left="1266"/>
              <w:rPr>
                <w:sz w:val="20"/>
              </w:rPr>
            </w:pPr>
            <w:r>
              <w:rPr>
                <w:sz w:val="20"/>
              </w:rPr>
              <w:t>§303.401(d)</w:t>
            </w:r>
            <w:r>
              <w:rPr>
                <w:spacing w:val="-8"/>
                <w:sz w:val="20"/>
              </w:rPr>
              <w:t> </w:t>
            </w:r>
            <w:r>
              <w:rPr>
                <w:sz w:val="20"/>
              </w:rPr>
              <w:t>and</w:t>
            </w:r>
            <w:r>
              <w:rPr>
                <w:spacing w:val="-7"/>
                <w:sz w:val="20"/>
              </w:rPr>
              <w:t> </w:t>
            </w:r>
            <w:r>
              <w:rPr>
                <w:spacing w:val="-4"/>
                <w:sz w:val="20"/>
              </w:rPr>
              <w:t>(e).</w:t>
            </w:r>
          </w:p>
          <w:p>
            <w:pPr>
              <w:pStyle w:val="TableParagraph"/>
              <w:numPr>
                <w:ilvl w:val="0"/>
                <w:numId w:val="7"/>
              </w:numPr>
              <w:tabs>
                <w:tab w:pos="863" w:val="left" w:leader="none"/>
              </w:tabs>
              <w:spacing w:line="240" w:lineRule="auto" w:before="0" w:after="0"/>
              <w:ind w:left="863" w:right="421" w:hanging="403"/>
              <w:jc w:val="left"/>
              <w:rPr>
                <w:sz w:val="20"/>
              </w:rPr>
            </w:pPr>
            <w:r>
              <w:rPr>
                <w:sz w:val="20"/>
                <w:u w:val="single"/>
              </w:rPr>
              <w:t>Notification</w:t>
            </w:r>
            <w:r>
              <w:rPr>
                <w:spacing w:val="-8"/>
                <w:sz w:val="20"/>
                <w:u w:val="single"/>
              </w:rPr>
              <w:t> </w:t>
            </w:r>
            <w:r>
              <w:rPr>
                <w:sz w:val="20"/>
                <w:u w:val="single"/>
              </w:rPr>
              <w:t>to</w:t>
            </w:r>
            <w:r>
              <w:rPr>
                <w:spacing w:val="-6"/>
                <w:sz w:val="20"/>
                <w:u w:val="single"/>
              </w:rPr>
              <w:t> </w:t>
            </w:r>
            <w:r>
              <w:rPr>
                <w:sz w:val="20"/>
                <w:u w:val="single"/>
              </w:rPr>
              <w:t>the</w:t>
            </w:r>
            <w:r>
              <w:rPr>
                <w:spacing w:val="-6"/>
                <w:sz w:val="20"/>
                <w:u w:val="single"/>
              </w:rPr>
              <w:t> </w:t>
            </w:r>
            <w:r>
              <w:rPr>
                <w:sz w:val="20"/>
                <w:u w:val="single"/>
              </w:rPr>
              <w:t>SEA</w:t>
            </w:r>
            <w:r>
              <w:rPr>
                <w:spacing w:val="-14"/>
                <w:sz w:val="20"/>
                <w:u w:val="single"/>
              </w:rPr>
              <w:t> </w:t>
            </w:r>
            <w:r>
              <w:rPr>
                <w:sz w:val="20"/>
                <w:u w:val="single"/>
              </w:rPr>
              <w:t>and</w:t>
            </w:r>
            <w:r>
              <w:rPr>
                <w:spacing w:val="-6"/>
                <w:sz w:val="20"/>
                <w:u w:val="single"/>
              </w:rPr>
              <w:t> </w:t>
            </w:r>
            <w:r>
              <w:rPr>
                <w:sz w:val="20"/>
                <w:u w:val="single"/>
              </w:rPr>
              <w:t>appropriate</w:t>
            </w:r>
            <w:r>
              <w:rPr>
                <w:spacing w:val="-6"/>
                <w:sz w:val="20"/>
                <w:u w:val="single"/>
              </w:rPr>
              <w:t> </w:t>
            </w:r>
            <w:r>
              <w:rPr>
                <w:sz w:val="20"/>
                <w:u w:val="single"/>
              </w:rPr>
              <w:t>LEA</w:t>
            </w:r>
            <w:r>
              <w:rPr>
                <w:sz w:val="20"/>
                <w:u w:val="none"/>
              </w:rPr>
              <w:t>.</w:t>
            </w:r>
            <w:r>
              <w:rPr>
                <w:spacing w:val="-9"/>
                <w:sz w:val="20"/>
                <w:u w:val="none"/>
              </w:rPr>
              <w:t> </w:t>
            </w:r>
            <w:r>
              <w:rPr>
                <w:sz w:val="20"/>
                <w:u w:val="none"/>
              </w:rPr>
              <w:t>The State must ensure that—</w:t>
            </w:r>
          </w:p>
          <w:p>
            <w:pPr>
              <w:pStyle w:val="TableParagraph"/>
              <w:numPr>
                <w:ilvl w:val="1"/>
                <w:numId w:val="7"/>
              </w:numPr>
              <w:tabs>
                <w:tab w:pos="1266" w:val="left" w:leader="none"/>
              </w:tabs>
              <w:spacing w:line="240" w:lineRule="auto" w:before="1" w:after="0"/>
              <w:ind w:left="1266" w:right="82" w:hanging="403"/>
              <w:jc w:val="left"/>
              <w:rPr>
                <w:sz w:val="20"/>
              </w:rPr>
            </w:pPr>
            <w:r>
              <w:rPr>
                <w:sz w:val="20"/>
              </w:rPr>
              <w:t>Subject to paragraph (b)(4) of this section, not fewer than 90 days before the third birthday of the</w:t>
            </w:r>
            <w:r>
              <w:rPr>
                <w:spacing w:val="-5"/>
                <w:sz w:val="20"/>
              </w:rPr>
              <w:t> </w:t>
            </w:r>
            <w:r>
              <w:rPr>
                <w:sz w:val="20"/>
              </w:rPr>
              <w:t>toddler</w:t>
            </w:r>
            <w:r>
              <w:rPr>
                <w:spacing w:val="-5"/>
                <w:sz w:val="20"/>
              </w:rPr>
              <w:t> </w:t>
            </w:r>
            <w:r>
              <w:rPr>
                <w:sz w:val="20"/>
              </w:rPr>
              <w:t>with</w:t>
            </w:r>
            <w:r>
              <w:rPr>
                <w:spacing w:val="-5"/>
                <w:sz w:val="20"/>
              </w:rPr>
              <w:t> </w:t>
            </w:r>
            <w:r>
              <w:rPr>
                <w:sz w:val="20"/>
              </w:rPr>
              <w:t>a</w:t>
            </w:r>
            <w:r>
              <w:rPr>
                <w:spacing w:val="-5"/>
                <w:sz w:val="20"/>
              </w:rPr>
              <w:t> </w:t>
            </w:r>
            <w:r>
              <w:rPr>
                <w:sz w:val="20"/>
              </w:rPr>
              <w:t>disability</w:t>
            </w:r>
            <w:r>
              <w:rPr>
                <w:spacing w:val="-5"/>
                <w:sz w:val="20"/>
              </w:rPr>
              <w:t> </w:t>
            </w:r>
            <w:r>
              <w:rPr>
                <w:sz w:val="20"/>
              </w:rPr>
              <w:t>if</w:t>
            </w:r>
            <w:r>
              <w:rPr>
                <w:spacing w:val="-5"/>
                <w:sz w:val="20"/>
              </w:rPr>
              <w:t> </w:t>
            </w:r>
            <w:r>
              <w:rPr>
                <w:sz w:val="20"/>
              </w:rPr>
              <w:t>that</w:t>
            </w:r>
            <w:r>
              <w:rPr>
                <w:spacing w:val="-5"/>
                <w:sz w:val="20"/>
              </w:rPr>
              <w:t> </w:t>
            </w:r>
            <w:r>
              <w:rPr>
                <w:sz w:val="20"/>
              </w:rPr>
              <w:t>toddler</w:t>
            </w:r>
            <w:r>
              <w:rPr>
                <w:spacing w:val="-5"/>
                <w:sz w:val="20"/>
              </w:rPr>
              <w:t> </w:t>
            </w:r>
            <w:r>
              <w:rPr>
                <w:sz w:val="20"/>
              </w:rPr>
              <w:t>may</w:t>
            </w:r>
            <w:r>
              <w:rPr>
                <w:spacing w:val="-5"/>
                <w:sz w:val="20"/>
              </w:rPr>
              <w:t> </w:t>
            </w:r>
            <w:r>
              <w:rPr>
                <w:sz w:val="20"/>
              </w:rPr>
              <w:t>be eligible for preschool services under Part B of the Act, the lead agency notifies the SEA and the</w:t>
            </w:r>
            <w:r>
              <w:rPr>
                <w:spacing w:val="-4"/>
                <w:sz w:val="20"/>
              </w:rPr>
              <w:t> </w:t>
            </w:r>
            <w:r>
              <w:rPr>
                <w:sz w:val="20"/>
              </w:rPr>
              <w:t>LEA</w:t>
            </w:r>
            <w:r>
              <w:rPr>
                <w:spacing w:val="-14"/>
                <w:sz w:val="20"/>
              </w:rPr>
              <w:t> </w:t>
            </w:r>
            <w:r>
              <w:rPr>
                <w:sz w:val="20"/>
              </w:rPr>
              <w:t>for</w:t>
            </w:r>
            <w:r>
              <w:rPr>
                <w:spacing w:val="-3"/>
                <w:sz w:val="20"/>
              </w:rPr>
              <w:t> </w:t>
            </w:r>
            <w:r>
              <w:rPr>
                <w:sz w:val="20"/>
              </w:rPr>
              <w:t>the</w:t>
            </w:r>
            <w:r>
              <w:rPr>
                <w:spacing w:val="-3"/>
                <w:sz w:val="20"/>
              </w:rPr>
              <w:t> </w:t>
            </w:r>
            <w:r>
              <w:rPr>
                <w:sz w:val="20"/>
              </w:rPr>
              <w:t>area</w:t>
            </w:r>
            <w:r>
              <w:rPr>
                <w:spacing w:val="-3"/>
                <w:sz w:val="20"/>
              </w:rPr>
              <w:t> </w:t>
            </w:r>
            <w:r>
              <w:rPr>
                <w:sz w:val="20"/>
              </w:rPr>
              <w:t>in</w:t>
            </w:r>
            <w:r>
              <w:rPr>
                <w:spacing w:val="-3"/>
                <w:sz w:val="20"/>
              </w:rPr>
              <w:t> </w:t>
            </w:r>
            <w:r>
              <w:rPr>
                <w:sz w:val="20"/>
              </w:rPr>
              <w:t>which</w:t>
            </w:r>
            <w:r>
              <w:rPr>
                <w:spacing w:val="-3"/>
                <w:sz w:val="20"/>
              </w:rPr>
              <w:t> </w:t>
            </w:r>
            <w:r>
              <w:rPr>
                <w:sz w:val="20"/>
              </w:rPr>
              <w:t>the</w:t>
            </w:r>
            <w:r>
              <w:rPr>
                <w:spacing w:val="-3"/>
                <w:sz w:val="20"/>
              </w:rPr>
              <w:t> </w:t>
            </w:r>
            <w:r>
              <w:rPr>
                <w:sz w:val="20"/>
              </w:rPr>
              <w:t>toddler</w:t>
            </w:r>
            <w:r>
              <w:rPr>
                <w:spacing w:val="-3"/>
                <w:sz w:val="20"/>
              </w:rPr>
              <w:t> </w:t>
            </w:r>
            <w:r>
              <w:rPr>
                <w:sz w:val="20"/>
              </w:rPr>
              <w:t>resides that the toddler on his or her third birthday will reach the age of eligibility for services under Part B of the</w:t>
            </w:r>
            <w:r>
              <w:rPr>
                <w:spacing w:val="-2"/>
                <w:sz w:val="20"/>
              </w:rPr>
              <w:t> </w:t>
            </w:r>
            <w:r>
              <w:rPr>
                <w:sz w:val="20"/>
              </w:rPr>
              <w:t>Act, as determined in accordance with State law; or</w:t>
            </w:r>
          </w:p>
          <w:p>
            <w:pPr>
              <w:pStyle w:val="TableParagraph"/>
              <w:numPr>
                <w:ilvl w:val="1"/>
                <w:numId w:val="7"/>
              </w:numPr>
              <w:tabs>
                <w:tab w:pos="1266" w:val="left" w:leader="none"/>
              </w:tabs>
              <w:spacing w:line="240" w:lineRule="auto" w:before="0" w:after="0"/>
              <w:ind w:left="1266" w:right="81" w:hanging="403"/>
              <w:jc w:val="left"/>
              <w:rPr>
                <w:sz w:val="20"/>
              </w:rPr>
            </w:pPr>
            <w:r>
              <w:rPr>
                <w:sz w:val="20"/>
              </w:rPr>
              <w:t>Subject to paragraph (b)(4) of this section, if the lead agency determines that the toddler is eligible</w:t>
            </w:r>
            <w:r>
              <w:rPr>
                <w:spacing w:val="-6"/>
                <w:sz w:val="20"/>
              </w:rPr>
              <w:t> </w:t>
            </w:r>
            <w:r>
              <w:rPr>
                <w:sz w:val="20"/>
              </w:rPr>
              <w:t>for</w:t>
            </w:r>
            <w:r>
              <w:rPr>
                <w:spacing w:val="-6"/>
                <w:sz w:val="20"/>
              </w:rPr>
              <w:t> </w:t>
            </w:r>
            <w:r>
              <w:rPr>
                <w:sz w:val="20"/>
              </w:rPr>
              <w:t>early</w:t>
            </w:r>
            <w:r>
              <w:rPr>
                <w:spacing w:val="-6"/>
                <w:sz w:val="20"/>
              </w:rPr>
              <w:t> </w:t>
            </w:r>
            <w:r>
              <w:rPr>
                <w:sz w:val="20"/>
              </w:rPr>
              <w:t>intervention</w:t>
            </w:r>
            <w:r>
              <w:rPr>
                <w:spacing w:val="-6"/>
                <w:sz w:val="20"/>
              </w:rPr>
              <w:t> </w:t>
            </w:r>
            <w:r>
              <w:rPr>
                <w:sz w:val="20"/>
              </w:rPr>
              <w:t>services</w:t>
            </w:r>
            <w:r>
              <w:rPr>
                <w:spacing w:val="-6"/>
                <w:sz w:val="20"/>
              </w:rPr>
              <w:t> </w:t>
            </w:r>
            <w:r>
              <w:rPr>
                <w:sz w:val="20"/>
              </w:rPr>
              <w:t>under</w:t>
            </w:r>
            <w:r>
              <w:rPr>
                <w:spacing w:val="-6"/>
                <w:sz w:val="20"/>
              </w:rPr>
              <w:t> </w:t>
            </w:r>
            <w:r>
              <w:rPr>
                <w:sz w:val="20"/>
              </w:rPr>
              <w:t>Part C of the</w:t>
            </w:r>
            <w:r>
              <w:rPr>
                <w:spacing w:val="-11"/>
                <w:sz w:val="20"/>
              </w:rPr>
              <w:t> </w:t>
            </w:r>
            <w:r>
              <w:rPr>
                <w:sz w:val="20"/>
              </w:rPr>
              <w:t>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w:t>
            </w:r>
            <w:r>
              <w:rPr>
                <w:spacing w:val="40"/>
                <w:sz w:val="20"/>
              </w:rPr>
              <w:t> </w:t>
            </w:r>
            <w:r>
              <w:rPr>
                <w:sz w:val="20"/>
              </w:rPr>
              <w:t>resides that the toddler on his or her third birthday will reach the age of eligibility for services under Part B of the</w:t>
            </w:r>
            <w:r>
              <w:rPr>
                <w:spacing w:val="-6"/>
                <w:sz w:val="20"/>
              </w:rPr>
              <w:t> </w:t>
            </w:r>
            <w:r>
              <w:rPr>
                <w:sz w:val="20"/>
              </w:rPr>
              <w:t>Act, as determined in accordance with State law; or</w:t>
            </w:r>
          </w:p>
          <w:p>
            <w:pPr>
              <w:pStyle w:val="TableParagraph"/>
              <w:numPr>
                <w:ilvl w:val="1"/>
                <w:numId w:val="7"/>
              </w:numPr>
              <w:tabs>
                <w:tab w:pos="1266" w:val="left" w:leader="none"/>
              </w:tabs>
              <w:spacing w:line="240" w:lineRule="auto" w:before="0" w:after="0"/>
              <w:ind w:left="1266" w:right="105" w:hanging="403"/>
              <w:jc w:val="left"/>
              <w:rPr>
                <w:sz w:val="20"/>
              </w:rPr>
            </w:pPr>
            <w:r>
              <w:rPr>
                <w:sz w:val="20"/>
              </w:rPr>
              <w:t>Subject to paragraph (b)(4) of this section, if a toddler</w:t>
            </w:r>
            <w:r>
              <w:rPr>
                <w:spacing w:val="-5"/>
                <w:sz w:val="20"/>
              </w:rPr>
              <w:t> </w:t>
            </w:r>
            <w:r>
              <w:rPr>
                <w:sz w:val="20"/>
              </w:rPr>
              <w:t>is</w:t>
            </w:r>
            <w:r>
              <w:rPr>
                <w:spacing w:val="-5"/>
                <w:sz w:val="20"/>
              </w:rPr>
              <w:t> </w:t>
            </w:r>
            <w:r>
              <w:rPr>
                <w:sz w:val="20"/>
              </w:rPr>
              <w:t>referred</w:t>
            </w:r>
            <w:r>
              <w:rPr>
                <w:spacing w:val="-5"/>
                <w:sz w:val="20"/>
              </w:rPr>
              <w:t> </w:t>
            </w:r>
            <w:r>
              <w:rPr>
                <w:sz w:val="20"/>
              </w:rPr>
              <w:t>to</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fewer</w:t>
            </w:r>
            <w:r>
              <w:rPr>
                <w:spacing w:val="-5"/>
                <w:sz w:val="20"/>
              </w:rPr>
              <w:t> </w:t>
            </w:r>
            <w:r>
              <w:rPr>
                <w:sz w:val="20"/>
              </w:rPr>
              <w:t>than 45 days before that toddler’s third birthday and that toddler may be eligible for preschool services under Part B of the Act, the lead agency, with parental consent required under</w:t>
            </w:r>
          </w:p>
          <w:p>
            <w:pPr>
              <w:pStyle w:val="TableParagraph"/>
              <w:ind w:left="1266" w:right="149"/>
              <w:rPr>
                <w:sz w:val="20"/>
              </w:rPr>
            </w:pPr>
            <w:r>
              <w:rPr>
                <w:sz w:val="20"/>
              </w:rPr>
              <w:t>§303.414,</w:t>
            </w:r>
            <w:r>
              <w:rPr>
                <w:spacing w:val="-7"/>
                <w:sz w:val="20"/>
              </w:rPr>
              <w:t> </w:t>
            </w:r>
            <w:r>
              <w:rPr>
                <w:sz w:val="20"/>
              </w:rPr>
              <w:t>refers</w:t>
            </w:r>
            <w:r>
              <w:rPr>
                <w:spacing w:val="-5"/>
                <w:sz w:val="20"/>
              </w:rPr>
              <w:t> </w:t>
            </w:r>
            <w:r>
              <w:rPr>
                <w:sz w:val="20"/>
              </w:rPr>
              <w:t>the</w:t>
            </w:r>
            <w:r>
              <w:rPr>
                <w:spacing w:val="-5"/>
                <w:sz w:val="20"/>
              </w:rPr>
              <w:t> </w:t>
            </w:r>
            <w:r>
              <w:rPr>
                <w:sz w:val="20"/>
              </w:rPr>
              <w:t>toddler</w:t>
            </w:r>
            <w:r>
              <w:rPr>
                <w:spacing w:val="-5"/>
                <w:sz w:val="20"/>
              </w:rPr>
              <w:t> </w:t>
            </w:r>
            <w:r>
              <w:rPr>
                <w:sz w:val="20"/>
              </w:rPr>
              <w:t>to</w:t>
            </w:r>
            <w:r>
              <w:rPr>
                <w:spacing w:val="-5"/>
                <w:sz w:val="20"/>
              </w:rPr>
              <w:t> </w:t>
            </w:r>
            <w:r>
              <w:rPr>
                <w:sz w:val="20"/>
              </w:rPr>
              <w:t>the</w:t>
            </w:r>
            <w:r>
              <w:rPr>
                <w:spacing w:val="-5"/>
                <w:sz w:val="20"/>
              </w:rPr>
              <w:t> </w:t>
            </w:r>
            <w:r>
              <w:rPr>
                <w:sz w:val="20"/>
              </w:rPr>
              <w:t>SEA</w:t>
            </w:r>
            <w:r>
              <w:rPr>
                <w:spacing w:val="-14"/>
                <w:sz w:val="20"/>
              </w:rPr>
              <w:t> </w:t>
            </w:r>
            <w:r>
              <w:rPr>
                <w:sz w:val="20"/>
              </w:rPr>
              <w:t>and</w:t>
            </w:r>
            <w:r>
              <w:rPr>
                <w:spacing w:val="-5"/>
                <w:sz w:val="20"/>
              </w:rPr>
              <w:t> </w:t>
            </w:r>
            <w:r>
              <w:rPr>
                <w:sz w:val="20"/>
              </w:rPr>
              <w:t>the LEA for the area in which the toddler resides; but, the lead agency is not required to conduct an evaluation, assessment, or an initial IFSP meeting under these circumstances;</w:t>
            </w:r>
          </w:p>
          <w:p>
            <w:pPr>
              <w:pStyle w:val="TableParagraph"/>
              <w:numPr>
                <w:ilvl w:val="1"/>
                <w:numId w:val="7"/>
              </w:numPr>
              <w:tabs>
                <w:tab w:pos="1266" w:val="left" w:leader="none"/>
              </w:tabs>
              <w:spacing w:line="240" w:lineRule="auto" w:before="0" w:after="0"/>
              <w:ind w:left="1266" w:right="115" w:hanging="403"/>
              <w:jc w:val="left"/>
              <w:rPr>
                <w:sz w:val="20"/>
              </w:rPr>
            </w:pPr>
            <w:r>
              <w:rPr>
                <w:sz w:val="20"/>
              </w:rPr>
              <w:t>The notification required under paragraphs (b)(1), (2), and (3) of this section is consistent with any policy that the State has adopted, under</w:t>
            </w:r>
            <w:r>
              <w:rPr>
                <w:spacing w:val="-7"/>
                <w:sz w:val="20"/>
              </w:rPr>
              <w:t> </w:t>
            </w:r>
            <w:r>
              <w:rPr>
                <w:sz w:val="20"/>
              </w:rPr>
              <w:t>§303.401(e),</w:t>
            </w:r>
            <w:r>
              <w:rPr>
                <w:spacing w:val="-7"/>
                <w:sz w:val="20"/>
              </w:rPr>
              <w:t> </w:t>
            </w:r>
            <w:r>
              <w:rPr>
                <w:sz w:val="20"/>
              </w:rPr>
              <w:t>permitting</w:t>
            </w:r>
            <w:r>
              <w:rPr>
                <w:spacing w:val="-7"/>
                <w:sz w:val="20"/>
              </w:rPr>
              <w:t> </w:t>
            </w:r>
            <w:r>
              <w:rPr>
                <w:sz w:val="20"/>
              </w:rPr>
              <w:t>a</w:t>
            </w:r>
            <w:r>
              <w:rPr>
                <w:spacing w:val="-7"/>
                <w:sz w:val="20"/>
              </w:rPr>
              <w:t> </w:t>
            </w:r>
            <w:r>
              <w:rPr>
                <w:sz w:val="20"/>
              </w:rPr>
              <w:t>parent</w:t>
            </w:r>
            <w:r>
              <w:rPr>
                <w:spacing w:val="-7"/>
                <w:sz w:val="20"/>
              </w:rPr>
              <w:t> </w:t>
            </w:r>
            <w:r>
              <w:rPr>
                <w:sz w:val="20"/>
              </w:rPr>
              <w:t>to</w:t>
            </w:r>
            <w:r>
              <w:rPr>
                <w:spacing w:val="-7"/>
                <w:sz w:val="20"/>
              </w:rPr>
              <w:t> </w:t>
            </w:r>
            <w:r>
              <w:rPr>
                <w:sz w:val="20"/>
              </w:rPr>
              <w:t>object to disclosure of personally identifiable </w:t>
            </w:r>
            <w:r>
              <w:rPr>
                <w:spacing w:val="-2"/>
                <w:sz w:val="20"/>
              </w:rPr>
              <w:t>information.</w:t>
            </w:r>
          </w:p>
          <w:p>
            <w:pPr>
              <w:pStyle w:val="TableParagraph"/>
              <w:numPr>
                <w:ilvl w:val="0"/>
                <w:numId w:val="7"/>
              </w:numPr>
              <w:tabs>
                <w:tab w:pos="861" w:val="left" w:leader="none"/>
                <w:tab w:pos="863" w:val="left" w:leader="none"/>
              </w:tabs>
              <w:spacing w:line="240" w:lineRule="auto" w:before="0" w:after="0"/>
              <w:ind w:left="863" w:right="522" w:hanging="403"/>
              <w:jc w:val="left"/>
              <w:rPr>
                <w:sz w:val="20"/>
              </w:rPr>
            </w:pPr>
            <w:r>
              <w:rPr>
                <w:sz w:val="20"/>
                <w:u w:val="single"/>
              </w:rPr>
              <w:t>Conference</w:t>
            </w:r>
            <w:r>
              <w:rPr>
                <w:spacing w:val="-6"/>
                <w:sz w:val="20"/>
                <w:u w:val="single"/>
              </w:rPr>
              <w:t> </w:t>
            </w:r>
            <w:r>
              <w:rPr>
                <w:sz w:val="20"/>
                <w:u w:val="single"/>
              </w:rPr>
              <w:t>to</w:t>
            </w:r>
            <w:r>
              <w:rPr>
                <w:spacing w:val="-6"/>
                <w:sz w:val="20"/>
                <w:u w:val="single"/>
              </w:rPr>
              <w:t> </w:t>
            </w:r>
            <w:r>
              <w:rPr>
                <w:sz w:val="20"/>
                <w:u w:val="single"/>
              </w:rPr>
              <w:t>discuss</w:t>
            </w:r>
            <w:r>
              <w:rPr>
                <w:spacing w:val="-6"/>
                <w:sz w:val="20"/>
                <w:u w:val="single"/>
              </w:rPr>
              <w:t> </w:t>
            </w:r>
            <w:r>
              <w:rPr>
                <w:sz w:val="20"/>
                <w:u w:val="single"/>
              </w:rPr>
              <w:t>services</w:t>
            </w:r>
            <w:r>
              <w:rPr>
                <w:sz w:val="20"/>
                <w:u w:val="none"/>
              </w:rPr>
              <w:t>.</w:t>
            </w:r>
            <w:r>
              <w:rPr>
                <w:spacing w:val="-10"/>
                <w:sz w:val="20"/>
                <w:u w:val="none"/>
              </w:rPr>
              <w:t> </w:t>
            </w:r>
            <w:r>
              <w:rPr>
                <w:sz w:val="20"/>
                <w:u w:val="none"/>
              </w:rPr>
              <w:t>The</w:t>
            </w:r>
            <w:r>
              <w:rPr>
                <w:spacing w:val="-6"/>
                <w:sz w:val="20"/>
                <w:u w:val="none"/>
              </w:rPr>
              <w:t> </w:t>
            </w:r>
            <w:r>
              <w:rPr>
                <w:sz w:val="20"/>
                <w:u w:val="none"/>
              </w:rPr>
              <w:t>State</w:t>
            </w:r>
            <w:r>
              <w:rPr>
                <w:spacing w:val="-6"/>
                <w:sz w:val="20"/>
                <w:u w:val="none"/>
              </w:rPr>
              <w:t> </w:t>
            </w:r>
            <w:r>
              <w:rPr>
                <w:sz w:val="20"/>
                <w:u w:val="none"/>
              </w:rPr>
              <w:t>must ensure that—</w:t>
            </w:r>
          </w:p>
          <w:p>
            <w:pPr>
              <w:pStyle w:val="TableParagraph"/>
              <w:numPr>
                <w:ilvl w:val="1"/>
                <w:numId w:val="7"/>
              </w:numPr>
              <w:tabs>
                <w:tab w:pos="1375" w:val="left" w:leader="none"/>
              </w:tabs>
              <w:spacing w:line="240" w:lineRule="auto" w:before="0" w:after="0"/>
              <w:ind w:left="1375" w:right="129" w:hanging="488"/>
              <w:jc w:val="left"/>
              <w:rPr>
                <w:sz w:val="20"/>
              </w:rPr>
            </w:pPr>
            <w:r>
              <w:rPr>
                <w:sz w:val="20"/>
              </w:rPr>
              <w:t>If a toddler with a disability may be eligible for preschool</w:t>
            </w:r>
            <w:r>
              <w:rPr>
                <w:spacing w:val="-6"/>
                <w:sz w:val="20"/>
              </w:rPr>
              <w:t> </w:t>
            </w:r>
            <w:r>
              <w:rPr>
                <w:sz w:val="20"/>
              </w:rPr>
              <w:t>services</w:t>
            </w:r>
            <w:r>
              <w:rPr>
                <w:spacing w:val="-5"/>
                <w:sz w:val="20"/>
              </w:rPr>
              <w:t> </w:t>
            </w:r>
            <w:r>
              <w:rPr>
                <w:sz w:val="20"/>
              </w:rPr>
              <w:t>under</w:t>
            </w:r>
            <w:r>
              <w:rPr>
                <w:spacing w:val="-5"/>
                <w:sz w:val="20"/>
              </w:rPr>
              <w:t> </w:t>
            </w:r>
            <w:r>
              <w:rPr>
                <w:sz w:val="20"/>
              </w:rPr>
              <w:t>Part</w:t>
            </w:r>
            <w:r>
              <w:rPr>
                <w:spacing w:val="-5"/>
                <w:sz w:val="20"/>
              </w:rPr>
              <w:t> </w:t>
            </w:r>
            <w:r>
              <w:rPr>
                <w:sz w:val="20"/>
              </w:rPr>
              <w:t>B</w:t>
            </w:r>
            <w:r>
              <w:rPr>
                <w:spacing w:val="-6"/>
                <w:sz w:val="20"/>
              </w:rPr>
              <w:t> </w:t>
            </w:r>
            <w:r>
              <w:rPr>
                <w:sz w:val="20"/>
              </w:rPr>
              <w:t>of</w:t>
            </w:r>
            <w:r>
              <w:rPr>
                <w:spacing w:val="-5"/>
                <w:sz w:val="20"/>
              </w:rPr>
              <w:t> </w:t>
            </w:r>
            <w:r>
              <w:rPr>
                <w:sz w:val="20"/>
              </w:rPr>
              <w:t>the</w:t>
            </w:r>
            <w:r>
              <w:rPr>
                <w:spacing w:val="-14"/>
                <w:sz w:val="20"/>
              </w:rPr>
              <w:t> </w:t>
            </w:r>
            <w:r>
              <w:rPr>
                <w:sz w:val="20"/>
              </w:rPr>
              <w:t>Act,</w:t>
            </w:r>
            <w:r>
              <w:rPr>
                <w:spacing w:val="-5"/>
                <w:sz w:val="20"/>
              </w:rPr>
              <w:t> </w:t>
            </w:r>
            <w:r>
              <w:rPr>
                <w:sz w:val="20"/>
              </w:rPr>
              <w:t>the lead agency, with the approval of the family of</w:t>
            </w:r>
          </w:p>
          <w:p>
            <w:pPr>
              <w:pStyle w:val="TableParagraph"/>
              <w:spacing w:line="226" w:lineRule="exact"/>
              <w:ind w:left="1375" w:right="183"/>
              <w:rPr>
                <w:sz w:val="20"/>
              </w:rPr>
            </w:pPr>
            <w:r>
              <w:rPr>
                <w:sz w:val="20"/>
              </w:rPr>
              <w:t>the</w:t>
            </w:r>
            <w:r>
              <w:rPr>
                <w:spacing w:val="-1"/>
                <w:sz w:val="20"/>
              </w:rPr>
              <w:t> </w:t>
            </w:r>
            <w:r>
              <w:rPr>
                <w:sz w:val="20"/>
              </w:rPr>
              <w:t>toddler,</w:t>
            </w:r>
            <w:r>
              <w:rPr>
                <w:spacing w:val="-1"/>
                <w:sz w:val="20"/>
              </w:rPr>
              <w:t> </w:t>
            </w:r>
            <w:r>
              <w:rPr>
                <w:sz w:val="20"/>
              </w:rPr>
              <w:t>convenes</w:t>
            </w:r>
            <w:r>
              <w:rPr>
                <w:spacing w:val="-1"/>
                <w:sz w:val="20"/>
              </w:rPr>
              <w:t> </w:t>
            </w:r>
            <w:r>
              <w:rPr>
                <w:sz w:val="20"/>
              </w:rPr>
              <w:t>a</w:t>
            </w:r>
            <w:r>
              <w:rPr>
                <w:spacing w:val="-1"/>
                <w:sz w:val="20"/>
              </w:rPr>
              <w:t> </w:t>
            </w:r>
            <w:r>
              <w:rPr>
                <w:sz w:val="20"/>
              </w:rPr>
              <w:t>conference,</w:t>
            </w:r>
            <w:r>
              <w:rPr>
                <w:spacing w:val="-1"/>
                <w:sz w:val="20"/>
              </w:rPr>
              <w:t> </w:t>
            </w:r>
            <w:r>
              <w:rPr>
                <w:sz w:val="20"/>
              </w:rPr>
              <w:t>among the</w:t>
            </w:r>
            <w:r>
              <w:rPr>
                <w:spacing w:val="-14"/>
                <w:sz w:val="20"/>
              </w:rPr>
              <w:t> </w:t>
            </w:r>
            <w:r>
              <w:rPr>
                <w:sz w:val="20"/>
              </w:rPr>
              <w:t>lead</w:t>
            </w:r>
            <w:r>
              <w:rPr>
                <w:spacing w:val="-9"/>
                <w:sz w:val="20"/>
              </w:rPr>
              <w:t> </w:t>
            </w:r>
            <w:r>
              <w:rPr>
                <w:sz w:val="20"/>
              </w:rPr>
              <w:t>agency,</w:t>
            </w:r>
            <w:r>
              <w:rPr>
                <w:spacing w:val="-9"/>
                <w:sz w:val="20"/>
              </w:rPr>
              <w:t> </w:t>
            </w:r>
            <w:r>
              <w:rPr>
                <w:sz w:val="20"/>
              </w:rPr>
              <w:t>the</w:t>
            </w:r>
            <w:r>
              <w:rPr>
                <w:spacing w:val="-9"/>
                <w:sz w:val="20"/>
              </w:rPr>
              <w:t> </w:t>
            </w:r>
            <w:r>
              <w:rPr>
                <w:sz w:val="20"/>
              </w:rPr>
              <w:t>family,</w:t>
            </w:r>
            <w:r>
              <w:rPr>
                <w:spacing w:val="-9"/>
                <w:sz w:val="20"/>
              </w:rPr>
              <w:t> </w:t>
            </w:r>
            <w:r>
              <w:rPr>
                <w:sz w:val="20"/>
              </w:rPr>
              <w:t>and</w:t>
            </w:r>
            <w:r>
              <w:rPr>
                <w:spacing w:val="-9"/>
                <w:sz w:val="20"/>
              </w:rPr>
              <w:t> </w:t>
            </w:r>
            <w:r>
              <w:rPr>
                <w:sz w:val="20"/>
              </w:rPr>
              <w:t>the</w:t>
            </w:r>
            <w:r>
              <w:rPr>
                <w:spacing w:val="-9"/>
                <w:sz w:val="20"/>
              </w:rPr>
              <w:t> </w:t>
            </w:r>
            <w:r>
              <w:rPr>
                <w:sz w:val="20"/>
              </w:rPr>
              <w:t>LEA</w:t>
            </w:r>
            <w:r>
              <w:rPr>
                <w:spacing w:val="-14"/>
                <w:sz w:val="20"/>
              </w:rPr>
              <w:t> </w:t>
            </w:r>
            <w:r>
              <w:rPr>
                <w:sz w:val="20"/>
              </w:rPr>
              <w:t>not</w:t>
            </w:r>
          </w:p>
        </w:tc>
      </w:tr>
    </w:tbl>
    <w:p>
      <w:pPr>
        <w:pStyle w:val="TableParagraph"/>
        <w:spacing w:after="0" w:line="226" w:lineRule="exact"/>
        <w:rPr>
          <w:sz w:val="20"/>
        </w:rPr>
        <w:sectPr>
          <w:type w:val="continuous"/>
          <w:pgSz w:w="12240" w:h="15840"/>
          <w:pgMar w:header="0" w:footer="879" w:top="1420" w:bottom="1235" w:left="720" w:right="720"/>
        </w:sectPr>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237"/>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12190"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0" w:type="dxa"/>
            <w:tcBorders>
              <w:top w:val="single" w:sz="12" w:space="0" w:color="000000"/>
              <w:bottom w:val="single" w:sz="12" w:space="0" w:color="000000"/>
            </w:tcBorders>
          </w:tcPr>
          <w:p>
            <w:pPr>
              <w:pStyle w:val="TableParagraph"/>
              <w:rPr>
                <w:rFonts w:ascii="Times New Roman"/>
                <w:sz w:val="18"/>
              </w:rPr>
            </w:pPr>
          </w:p>
        </w:tc>
        <w:tc>
          <w:tcPr>
            <w:tcW w:w="725" w:type="dxa"/>
            <w:tcBorders>
              <w:top w:val="single" w:sz="12" w:space="0" w:color="000000"/>
              <w:bottom w:val="single" w:sz="12" w:space="0" w:color="000000"/>
            </w:tcBorders>
          </w:tcPr>
          <w:p>
            <w:pPr>
              <w:pStyle w:val="TableParagraph"/>
              <w:rPr>
                <w:rFonts w:ascii="Times New Roman"/>
                <w:sz w:val="18"/>
              </w:rPr>
            </w:pPr>
          </w:p>
        </w:tc>
        <w:tc>
          <w:tcPr>
            <w:tcW w:w="1551" w:type="dxa"/>
            <w:tcBorders>
              <w:top w:val="single" w:sz="12" w:space="0" w:color="000000"/>
              <w:bottom w:val="single" w:sz="12" w:space="0" w:color="000000"/>
            </w:tcBorders>
          </w:tcPr>
          <w:p>
            <w:pPr>
              <w:pStyle w:val="TableParagraph"/>
              <w:rPr>
                <w:rFonts w:ascii="Times New Roman"/>
                <w:sz w:val="18"/>
              </w:rPr>
            </w:pPr>
          </w:p>
        </w:tc>
        <w:tc>
          <w:tcPr>
            <w:tcW w:w="5643" w:type="dxa"/>
            <w:tcBorders>
              <w:top w:val="single" w:sz="12" w:space="0" w:color="000000"/>
              <w:bottom w:val="single" w:sz="12" w:space="0" w:color="000000"/>
              <w:right w:val="single" w:sz="12" w:space="0" w:color="000000"/>
            </w:tcBorders>
          </w:tcPr>
          <w:p>
            <w:pPr>
              <w:pStyle w:val="TableParagraph"/>
              <w:ind w:left="1375" w:right="183"/>
              <w:rPr>
                <w:sz w:val="20"/>
              </w:rPr>
            </w:pPr>
            <w:r>
              <w:rPr>
                <w:sz w:val="20"/>
              </w:rPr>
              <w:t>fewer</w:t>
            </w:r>
            <w:r>
              <w:rPr>
                <w:spacing w:val="-6"/>
                <w:sz w:val="20"/>
              </w:rPr>
              <w:t> </w:t>
            </w:r>
            <w:r>
              <w:rPr>
                <w:sz w:val="20"/>
              </w:rPr>
              <w:t>than</w:t>
            </w:r>
            <w:r>
              <w:rPr>
                <w:spacing w:val="-6"/>
                <w:sz w:val="20"/>
              </w:rPr>
              <w:t> </w:t>
            </w:r>
            <w:r>
              <w:rPr>
                <w:sz w:val="20"/>
              </w:rPr>
              <w:t>90</w:t>
            </w:r>
            <w:r>
              <w:rPr>
                <w:spacing w:val="-6"/>
                <w:sz w:val="20"/>
              </w:rPr>
              <w:t> </w:t>
            </w:r>
            <w:r>
              <w:rPr>
                <w:sz w:val="20"/>
              </w:rPr>
              <w:t>days—and,</w:t>
            </w:r>
            <w:r>
              <w:rPr>
                <w:spacing w:val="-6"/>
                <w:sz w:val="20"/>
              </w:rPr>
              <w:t> </w:t>
            </w:r>
            <w:r>
              <w:rPr>
                <w:sz w:val="20"/>
              </w:rPr>
              <w:t>at</w:t>
            </w:r>
            <w:r>
              <w:rPr>
                <w:spacing w:val="-6"/>
                <w:sz w:val="20"/>
              </w:rPr>
              <w:t> </w:t>
            </w:r>
            <w:r>
              <w:rPr>
                <w:sz w:val="20"/>
              </w:rPr>
              <w:t>the</w:t>
            </w:r>
            <w:r>
              <w:rPr>
                <w:spacing w:val="-6"/>
                <w:sz w:val="20"/>
              </w:rPr>
              <w:t> </w:t>
            </w:r>
            <w:r>
              <w:rPr>
                <w:sz w:val="20"/>
              </w:rPr>
              <w:t>discretion</w:t>
            </w:r>
            <w:r>
              <w:rPr>
                <w:spacing w:val="-6"/>
                <w:sz w:val="20"/>
              </w:rPr>
              <w:t> </w:t>
            </w:r>
            <w:r>
              <w:rPr>
                <w:sz w:val="20"/>
              </w:rPr>
              <w:t>of all of the parties, not more than 9 months— before the toddler’s third birthday to discuss any services the toddler may receive under Part B of the Act.</w:t>
            </w:r>
          </w:p>
          <w:p>
            <w:pPr>
              <w:pStyle w:val="TableParagraph"/>
              <w:tabs>
                <w:tab w:pos="1382" w:val="left" w:leader="none"/>
              </w:tabs>
              <w:spacing w:before="1"/>
              <w:ind w:left="1382" w:right="80" w:hanging="490"/>
              <w:rPr>
                <w:sz w:val="20"/>
              </w:rPr>
            </w:pPr>
            <w:r>
              <w:rPr>
                <w:spacing w:val="-4"/>
                <w:sz w:val="20"/>
              </w:rPr>
              <w:t>(2)</w:t>
            </w:r>
            <w:r>
              <w:rPr>
                <w:sz w:val="20"/>
              </w:rPr>
              <w:tab/>
              <w:t>If</w:t>
            </w:r>
            <w:r>
              <w:rPr>
                <w:spacing w:val="-5"/>
                <w:sz w:val="20"/>
              </w:rPr>
              <w:t> </w:t>
            </w:r>
            <w:r>
              <w:rPr>
                <w:sz w:val="20"/>
              </w:rPr>
              <w:t>a</w:t>
            </w:r>
            <w:r>
              <w:rPr>
                <w:spacing w:val="-5"/>
                <w:sz w:val="20"/>
              </w:rPr>
              <w:t> </w:t>
            </w:r>
            <w:r>
              <w:rPr>
                <w:sz w:val="20"/>
              </w:rPr>
              <w:t>toddler</w:t>
            </w:r>
            <w:r>
              <w:rPr>
                <w:spacing w:val="-5"/>
                <w:sz w:val="20"/>
              </w:rPr>
              <w:t> </w:t>
            </w:r>
            <w:r>
              <w:rPr>
                <w:sz w:val="20"/>
              </w:rPr>
              <w:t>with</w:t>
            </w:r>
            <w:r>
              <w:rPr>
                <w:spacing w:val="-5"/>
                <w:sz w:val="20"/>
              </w:rPr>
              <w:t> </w:t>
            </w:r>
            <w:r>
              <w:rPr>
                <w:sz w:val="20"/>
              </w:rPr>
              <w:t>a</w:t>
            </w:r>
            <w:r>
              <w:rPr>
                <w:spacing w:val="-5"/>
                <w:sz w:val="20"/>
              </w:rPr>
              <w:t> </w:t>
            </w:r>
            <w:r>
              <w:rPr>
                <w:sz w:val="20"/>
              </w:rPr>
              <w:t>disability</w:t>
            </w:r>
            <w:r>
              <w:rPr>
                <w:spacing w:val="-5"/>
                <w:sz w:val="20"/>
              </w:rPr>
              <w:t> </w:t>
            </w:r>
            <w:r>
              <w:rPr>
                <w:sz w:val="20"/>
              </w:rPr>
              <w:t>is</w:t>
            </w:r>
            <w:r>
              <w:rPr>
                <w:spacing w:val="-5"/>
                <w:sz w:val="20"/>
              </w:rPr>
              <w:t> </w:t>
            </w:r>
            <w:r>
              <w:rPr>
                <w:sz w:val="20"/>
              </w:rPr>
              <w:t>determined</w:t>
            </w:r>
            <w:r>
              <w:rPr>
                <w:spacing w:val="-5"/>
                <w:sz w:val="20"/>
              </w:rPr>
              <w:t> </w:t>
            </w:r>
            <w:r>
              <w:rPr>
                <w:sz w:val="20"/>
              </w:rPr>
              <w:t>to</w:t>
            </w:r>
            <w:r>
              <w:rPr>
                <w:spacing w:val="-5"/>
                <w:sz w:val="20"/>
              </w:rPr>
              <w:t> </w:t>
            </w:r>
            <w:r>
              <w:rPr>
                <w:sz w:val="20"/>
              </w:rPr>
              <w:t>not be potentially eligible for preschool services under Part B of the</w:t>
            </w:r>
            <w:r>
              <w:rPr>
                <w:spacing w:val="-1"/>
                <w:sz w:val="20"/>
              </w:rPr>
              <w:t> </w:t>
            </w:r>
            <w:r>
              <w:rPr>
                <w:sz w:val="20"/>
              </w:rPr>
              <w:t>Act, the lead agency, with the approval of the family of that toddler, makes reasonable efforts to convene a conference</w:t>
            </w:r>
            <w:r>
              <w:rPr>
                <w:spacing w:val="-5"/>
                <w:sz w:val="20"/>
              </w:rPr>
              <w:t> </w:t>
            </w:r>
            <w:r>
              <w:rPr>
                <w:sz w:val="20"/>
              </w:rPr>
              <w:t>among</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the</w:t>
            </w:r>
            <w:r>
              <w:rPr>
                <w:spacing w:val="-5"/>
                <w:sz w:val="20"/>
              </w:rPr>
              <w:t> </w:t>
            </w:r>
            <w:r>
              <w:rPr>
                <w:sz w:val="20"/>
              </w:rPr>
              <w:t>family, and providers of other appropriate services for the</w:t>
            </w:r>
            <w:r>
              <w:rPr>
                <w:spacing w:val="-3"/>
                <w:sz w:val="20"/>
              </w:rPr>
              <w:t> </w:t>
            </w:r>
            <w:r>
              <w:rPr>
                <w:sz w:val="20"/>
              </w:rPr>
              <w:t>toddler</w:t>
            </w:r>
            <w:r>
              <w:rPr>
                <w:spacing w:val="-3"/>
                <w:sz w:val="20"/>
              </w:rPr>
              <w:t> </w:t>
            </w:r>
            <w:r>
              <w:rPr>
                <w:sz w:val="20"/>
              </w:rPr>
              <w:t>to</w:t>
            </w:r>
            <w:r>
              <w:rPr>
                <w:spacing w:val="-3"/>
                <w:sz w:val="20"/>
              </w:rPr>
              <w:t> </w:t>
            </w:r>
            <w:r>
              <w:rPr>
                <w:sz w:val="20"/>
              </w:rPr>
              <w:t>discuss</w:t>
            </w:r>
            <w:r>
              <w:rPr>
                <w:spacing w:val="-3"/>
                <w:sz w:val="20"/>
              </w:rPr>
              <w:t> </w:t>
            </w:r>
            <w:r>
              <w:rPr>
                <w:sz w:val="20"/>
              </w:rPr>
              <w:t>appropriate</w:t>
            </w:r>
            <w:r>
              <w:rPr>
                <w:spacing w:val="-3"/>
                <w:sz w:val="20"/>
              </w:rPr>
              <w:t> </w:t>
            </w:r>
            <w:r>
              <w:rPr>
                <w:sz w:val="20"/>
              </w:rPr>
              <w:t>services</w:t>
            </w:r>
            <w:r>
              <w:rPr>
                <w:spacing w:val="-3"/>
                <w:sz w:val="20"/>
              </w:rPr>
              <w:t> </w:t>
            </w:r>
            <w:r>
              <w:rPr>
                <w:sz w:val="20"/>
              </w:rPr>
              <w:t>that the toddler may receive.</w:t>
            </w:r>
          </w:p>
          <w:p>
            <w:pPr>
              <w:pStyle w:val="TableParagraph"/>
              <w:numPr>
                <w:ilvl w:val="0"/>
                <w:numId w:val="8"/>
              </w:numPr>
              <w:tabs>
                <w:tab w:pos="863" w:val="left" w:leader="none"/>
              </w:tabs>
              <w:spacing w:line="240" w:lineRule="auto" w:before="0" w:after="0"/>
              <w:ind w:left="863" w:right="384" w:hanging="403"/>
              <w:jc w:val="left"/>
              <w:rPr>
                <w:sz w:val="20"/>
              </w:rPr>
            </w:pPr>
            <w:r>
              <w:rPr>
                <w:sz w:val="20"/>
                <w:u w:val="single"/>
              </w:rPr>
              <w:t>Transition</w:t>
            </w:r>
            <w:r>
              <w:rPr>
                <w:spacing w:val="-6"/>
                <w:sz w:val="20"/>
                <w:u w:val="single"/>
              </w:rPr>
              <w:t> </w:t>
            </w:r>
            <w:r>
              <w:rPr>
                <w:sz w:val="20"/>
                <w:u w:val="single"/>
              </w:rPr>
              <w:t>plan</w:t>
            </w:r>
            <w:r>
              <w:rPr>
                <w:sz w:val="20"/>
                <w:u w:val="none"/>
              </w:rPr>
              <w:t>.</w:t>
            </w:r>
            <w:r>
              <w:rPr>
                <w:spacing w:val="-10"/>
                <w:sz w:val="20"/>
                <w:u w:val="none"/>
              </w:rPr>
              <w:t> </w:t>
            </w:r>
            <w:r>
              <w:rPr>
                <w:sz w:val="20"/>
                <w:u w:val="none"/>
              </w:rPr>
              <w:t>The</w:t>
            </w:r>
            <w:r>
              <w:rPr>
                <w:spacing w:val="-6"/>
                <w:sz w:val="20"/>
                <w:u w:val="none"/>
              </w:rPr>
              <w:t> </w:t>
            </w:r>
            <w:r>
              <w:rPr>
                <w:sz w:val="20"/>
                <w:u w:val="none"/>
              </w:rPr>
              <w:t>State</w:t>
            </w:r>
            <w:r>
              <w:rPr>
                <w:spacing w:val="-6"/>
                <w:sz w:val="20"/>
                <w:u w:val="none"/>
              </w:rPr>
              <w:t> </w:t>
            </w:r>
            <w:r>
              <w:rPr>
                <w:sz w:val="20"/>
                <w:u w:val="none"/>
              </w:rPr>
              <w:t>must</w:t>
            </w:r>
            <w:r>
              <w:rPr>
                <w:spacing w:val="-6"/>
                <w:sz w:val="20"/>
                <w:u w:val="none"/>
              </w:rPr>
              <w:t> </w:t>
            </w:r>
            <w:r>
              <w:rPr>
                <w:sz w:val="20"/>
                <w:u w:val="none"/>
              </w:rPr>
              <w:t>ensure</w:t>
            </w:r>
            <w:r>
              <w:rPr>
                <w:spacing w:val="-6"/>
                <w:sz w:val="20"/>
                <w:u w:val="none"/>
              </w:rPr>
              <w:t> </w:t>
            </w:r>
            <w:r>
              <w:rPr>
                <w:sz w:val="20"/>
                <w:u w:val="none"/>
              </w:rPr>
              <w:t>that</w:t>
            </w:r>
            <w:r>
              <w:rPr>
                <w:spacing w:val="-6"/>
                <w:sz w:val="20"/>
                <w:u w:val="none"/>
              </w:rPr>
              <w:t> </w:t>
            </w:r>
            <w:r>
              <w:rPr>
                <w:sz w:val="20"/>
                <w:u w:val="none"/>
              </w:rPr>
              <w:t>for</w:t>
            </w:r>
            <w:r>
              <w:rPr>
                <w:spacing w:val="-6"/>
                <w:sz w:val="20"/>
                <w:u w:val="none"/>
              </w:rPr>
              <w:t> </w:t>
            </w:r>
            <w:r>
              <w:rPr>
                <w:sz w:val="20"/>
                <w:u w:val="none"/>
              </w:rPr>
              <w:t>all toddlers with disabilities –</w:t>
            </w:r>
          </w:p>
          <w:p>
            <w:pPr>
              <w:pStyle w:val="TableParagraph"/>
              <w:spacing w:line="237" w:lineRule="auto" w:before="1"/>
              <w:ind w:left="1382" w:right="183" w:hanging="490"/>
              <w:rPr>
                <w:sz w:val="20"/>
              </w:rPr>
            </w:pPr>
            <w:r>
              <w:rPr>
                <w:sz w:val="20"/>
              </w:rPr>
              <w:t>(1)(i) It</w:t>
            </w:r>
            <w:r>
              <w:rPr>
                <w:spacing w:val="-3"/>
                <w:sz w:val="20"/>
              </w:rPr>
              <w:t> </w:t>
            </w:r>
            <w:r>
              <w:rPr>
                <w:sz w:val="20"/>
              </w:rPr>
              <w:t>reviews</w:t>
            </w:r>
            <w:r>
              <w:rPr>
                <w:spacing w:val="-3"/>
                <w:sz w:val="20"/>
              </w:rPr>
              <w:t> </w:t>
            </w:r>
            <w:r>
              <w:rPr>
                <w:sz w:val="20"/>
              </w:rPr>
              <w:t>the</w:t>
            </w:r>
            <w:r>
              <w:rPr>
                <w:spacing w:val="-3"/>
                <w:sz w:val="20"/>
              </w:rPr>
              <w:t> </w:t>
            </w:r>
            <w:r>
              <w:rPr>
                <w:sz w:val="20"/>
              </w:rPr>
              <w:t>program</w:t>
            </w:r>
            <w:r>
              <w:rPr>
                <w:spacing w:val="-4"/>
                <w:sz w:val="20"/>
              </w:rPr>
              <w:t> </w:t>
            </w:r>
            <w:r>
              <w:rPr>
                <w:sz w:val="20"/>
              </w:rPr>
              <w:t>options</w:t>
            </w:r>
            <w:r>
              <w:rPr>
                <w:spacing w:val="-3"/>
                <w:sz w:val="20"/>
              </w:rPr>
              <w:t> </w:t>
            </w:r>
            <w:r>
              <w:rPr>
                <w:sz w:val="20"/>
              </w:rPr>
              <w:t>for</w:t>
            </w:r>
            <w:r>
              <w:rPr>
                <w:spacing w:val="-3"/>
                <w:sz w:val="20"/>
              </w:rPr>
              <w:t> </w:t>
            </w:r>
            <w:r>
              <w:rPr>
                <w:sz w:val="20"/>
              </w:rPr>
              <w:t>the</w:t>
            </w:r>
            <w:r>
              <w:rPr>
                <w:spacing w:val="-3"/>
                <w:sz w:val="20"/>
              </w:rPr>
              <w:t> </w:t>
            </w:r>
            <w:r>
              <w:rPr>
                <w:sz w:val="20"/>
              </w:rPr>
              <w:t>toddler with a disability for the period from the toddler's</w:t>
            </w:r>
            <w:r>
              <w:rPr>
                <w:spacing w:val="-8"/>
                <w:sz w:val="20"/>
              </w:rPr>
              <w:t> </w:t>
            </w:r>
            <w:r>
              <w:rPr>
                <w:sz w:val="20"/>
              </w:rPr>
              <w:t>third</w:t>
            </w:r>
            <w:r>
              <w:rPr>
                <w:spacing w:val="-8"/>
                <w:sz w:val="20"/>
              </w:rPr>
              <w:t> </w:t>
            </w:r>
            <w:r>
              <w:rPr>
                <w:sz w:val="20"/>
              </w:rPr>
              <w:t>birthday</w:t>
            </w:r>
            <w:r>
              <w:rPr>
                <w:spacing w:val="-8"/>
                <w:sz w:val="20"/>
              </w:rPr>
              <w:t> </w:t>
            </w:r>
            <w:r>
              <w:rPr>
                <w:sz w:val="20"/>
              </w:rPr>
              <w:t>through</w:t>
            </w:r>
            <w:r>
              <w:rPr>
                <w:spacing w:val="-8"/>
                <w:sz w:val="20"/>
              </w:rPr>
              <w:t> </w:t>
            </w:r>
            <w:r>
              <w:rPr>
                <w:sz w:val="20"/>
              </w:rPr>
              <w:t>the</w:t>
            </w:r>
            <w:r>
              <w:rPr>
                <w:spacing w:val="-8"/>
                <w:sz w:val="20"/>
              </w:rPr>
              <w:t> </w:t>
            </w:r>
            <w:r>
              <w:rPr>
                <w:sz w:val="20"/>
              </w:rPr>
              <w:t>remainder of the school year; and</w:t>
            </w:r>
          </w:p>
          <w:p>
            <w:pPr>
              <w:pStyle w:val="TableParagraph"/>
              <w:tabs>
                <w:tab w:pos="1875" w:val="left" w:leader="none"/>
              </w:tabs>
              <w:spacing w:before="5"/>
              <w:ind w:left="1875" w:right="119" w:hanging="490"/>
              <w:rPr>
                <w:sz w:val="20"/>
              </w:rPr>
            </w:pPr>
            <w:r>
              <w:rPr>
                <w:spacing w:val="-4"/>
                <w:sz w:val="20"/>
              </w:rPr>
              <w:t>(ii)</w:t>
            </w:r>
            <w:r>
              <w:rPr>
                <w:sz w:val="20"/>
              </w:rPr>
              <w:tab/>
              <w:t>Each family of a toddler with a disability who</w:t>
            </w:r>
            <w:r>
              <w:rPr>
                <w:spacing w:val="-5"/>
                <w:sz w:val="20"/>
              </w:rPr>
              <w:t> </w:t>
            </w:r>
            <w:r>
              <w:rPr>
                <w:sz w:val="20"/>
              </w:rPr>
              <w:t>is</w:t>
            </w:r>
            <w:r>
              <w:rPr>
                <w:spacing w:val="-5"/>
                <w:sz w:val="20"/>
              </w:rPr>
              <w:t> </w:t>
            </w:r>
            <w:r>
              <w:rPr>
                <w:sz w:val="20"/>
              </w:rPr>
              <w:t>served</w:t>
            </w:r>
            <w:r>
              <w:rPr>
                <w:spacing w:val="-5"/>
                <w:sz w:val="20"/>
              </w:rPr>
              <w:t> </w:t>
            </w:r>
            <w:r>
              <w:rPr>
                <w:sz w:val="20"/>
              </w:rPr>
              <w:t>under</w:t>
            </w:r>
            <w:r>
              <w:rPr>
                <w:spacing w:val="-5"/>
                <w:sz w:val="20"/>
              </w:rPr>
              <w:t> </w:t>
            </w:r>
            <w:r>
              <w:rPr>
                <w:sz w:val="20"/>
              </w:rPr>
              <w:t>Part</w:t>
            </w:r>
            <w:r>
              <w:rPr>
                <w:spacing w:val="-5"/>
                <w:sz w:val="20"/>
              </w:rPr>
              <w:t> </w:t>
            </w:r>
            <w:r>
              <w:rPr>
                <w:sz w:val="20"/>
              </w:rPr>
              <w:t>C</w:t>
            </w:r>
            <w:r>
              <w:rPr>
                <w:spacing w:val="-6"/>
                <w:sz w:val="20"/>
              </w:rPr>
              <w:t> </w:t>
            </w:r>
            <w:r>
              <w:rPr>
                <w:sz w:val="20"/>
              </w:rPr>
              <w:t>is</w:t>
            </w:r>
            <w:r>
              <w:rPr>
                <w:spacing w:val="-5"/>
                <w:sz w:val="20"/>
              </w:rPr>
              <w:t> </w:t>
            </w:r>
            <w:r>
              <w:rPr>
                <w:sz w:val="20"/>
              </w:rPr>
              <w:t>included</w:t>
            </w:r>
            <w:r>
              <w:rPr>
                <w:spacing w:val="-5"/>
                <w:sz w:val="20"/>
              </w:rPr>
              <w:t> </w:t>
            </w:r>
            <w:r>
              <w:rPr>
                <w:sz w:val="20"/>
              </w:rPr>
              <w:t>in the development of the transition plan required under this section and</w:t>
            </w:r>
          </w:p>
          <w:p>
            <w:pPr>
              <w:pStyle w:val="TableParagraph"/>
              <w:spacing w:before="1"/>
              <w:ind w:left="1875"/>
              <w:rPr>
                <w:sz w:val="20"/>
              </w:rPr>
            </w:pPr>
            <w:r>
              <w:rPr>
                <w:spacing w:val="-2"/>
                <w:sz w:val="20"/>
              </w:rPr>
              <w:t>§303.344(h);</w:t>
            </w:r>
          </w:p>
          <w:p>
            <w:pPr>
              <w:pStyle w:val="TableParagraph"/>
              <w:numPr>
                <w:ilvl w:val="1"/>
                <w:numId w:val="8"/>
              </w:numPr>
              <w:tabs>
                <w:tab w:pos="1382" w:val="left" w:leader="none"/>
              </w:tabs>
              <w:spacing w:line="240" w:lineRule="auto" w:before="1" w:after="0"/>
              <w:ind w:left="1382" w:right="227" w:hanging="490"/>
              <w:jc w:val="left"/>
              <w:rPr>
                <w:sz w:val="20"/>
              </w:rPr>
            </w:pPr>
            <w:r>
              <w:rPr>
                <w:sz w:val="20"/>
              </w:rPr>
              <w:t>It</w:t>
            </w:r>
            <w:r>
              <w:rPr>
                <w:spacing w:val="-5"/>
                <w:sz w:val="20"/>
              </w:rPr>
              <w:t> </w:t>
            </w:r>
            <w:r>
              <w:rPr>
                <w:sz w:val="20"/>
              </w:rPr>
              <w:t>establishes</w:t>
            </w:r>
            <w:r>
              <w:rPr>
                <w:spacing w:val="-5"/>
                <w:sz w:val="20"/>
              </w:rPr>
              <w:t> </w:t>
            </w:r>
            <w:r>
              <w:rPr>
                <w:sz w:val="20"/>
              </w:rPr>
              <w:t>a</w:t>
            </w:r>
            <w:r>
              <w:rPr>
                <w:spacing w:val="-5"/>
                <w:sz w:val="20"/>
              </w:rPr>
              <w:t> </w:t>
            </w:r>
            <w:r>
              <w:rPr>
                <w:sz w:val="20"/>
              </w:rPr>
              <w:t>transition</w:t>
            </w:r>
            <w:r>
              <w:rPr>
                <w:spacing w:val="-5"/>
                <w:sz w:val="20"/>
              </w:rPr>
              <w:t> </w:t>
            </w:r>
            <w:r>
              <w:rPr>
                <w:sz w:val="20"/>
              </w:rPr>
              <w:t>plan</w:t>
            </w:r>
            <w:r>
              <w:rPr>
                <w:spacing w:val="-5"/>
                <w:sz w:val="20"/>
              </w:rPr>
              <w:t> </w:t>
            </w:r>
            <w:r>
              <w:rPr>
                <w:sz w:val="20"/>
              </w:rPr>
              <w:t>in</w:t>
            </w:r>
            <w:r>
              <w:rPr>
                <w:spacing w:val="-5"/>
                <w:sz w:val="20"/>
              </w:rPr>
              <w:t> </w:t>
            </w:r>
            <w:r>
              <w:rPr>
                <w:sz w:val="20"/>
              </w:rPr>
              <w:t>the</w:t>
            </w:r>
            <w:r>
              <w:rPr>
                <w:spacing w:val="-5"/>
                <w:sz w:val="20"/>
              </w:rPr>
              <w:t> </w:t>
            </w:r>
            <w:r>
              <w:rPr>
                <w:sz w:val="20"/>
              </w:rPr>
              <w:t>IFSP</w:t>
            </w:r>
            <w:r>
              <w:rPr>
                <w:spacing w:val="-9"/>
                <w:sz w:val="20"/>
              </w:rPr>
              <w:t> </w:t>
            </w:r>
            <w:r>
              <w:rPr>
                <w:sz w:val="20"/>
              </w:rPr>
              <w:t>not fewer than 90 days—and, at the discretion of all of the parties, not more than 9 months— before the toddler’s third birthday; and</w:t>
            </w:r>
          </w:p>
          <w:p>
            <w:pPr>
              <w:pStyle w:val="TableParagraph"/>
              <w:numPr>
                <w:ilvl w:val="1"/>
                <w:numId w:val="8"/>
              </w:numPr>
              <w:tabs>
                <w:tab w:pos="1382" w:val="left" w:leader="none"/>
              </w:tabs>
              <w:spacing w:line="235" w:lineRule="auto" w:before="5" w:after="0"/>
              <w:ind w:left="1382" w:right="198" w:hanging="490"/>
              <w:jc w:val="left"/>
              <w:rPr>
                <w:sz w:val="20"/>
              </w:rPr>
            </w:pPr>
            <w:r>
              <w:rPr>
                <w:sz w:val="20"/>
              </w:rPr>
              <w:t>The transition plan in the IFSP includes, consistent</w:t>
            </w:r>
            <w:r>
              <w:rPr>
                <w:spacing w:val="-9"/>
                <w:sz w:val="20"/>
              </w:rPr>
              <w:t> </w:t>
            </w:r>
            <w:r>
              <w:rPr>
                <w:sz w:val="20"/>
              </w:rPr>
              <w:t>with</w:t>
            </w:r>
            <w:r>
              <w:rPr>
                <w:spacing w:val="-9"/>
                <w:sz w:val="20"/>
              </w:rPr>
              <w:t> </w:t>
            </w:r>
            <w:r>
              <w:rPr>
                <w:sz w:val="20"/>
              </w:rPr>
              <w:t>§303.344(h),</w:t>
            </w:r>
            <w:r>
              <w:rPr>
                <w:spacing w:val="-9"/>
                <w:sz w:val="20"/>
              </w:rPr>
              <w:t> </w:t>
            </w:r>
            <w:r>
              <w:rPr>
                <w:sz w:val="20"/>
              </w:rPr>
              <w:t>as</w:t>
            </w:r>
            <w:r>
              <w:rPr>
                <w:spacing w:val="-9"/>
                <w:sz w:val="20"/>
              </w:rPr>
              <w:t> </w:t>
            </w:r>
            <w:r>
              <w:rPr>
                <w:sz w:val="20"/>
              </w:rPr>
              <w:t>appropriate—</w:t>
            </w:r>
          </w:p>
          <w:p>
            <w:pPr>
              <w:pStyle w:val="TableParagraph"/>
              <w:numPr>
                <w:ilvl w:val="2"/>
                <w:numId w:val="8"/>
              </w:numPr>
              <w:tabs>
                <w:tab w:pos="1875" w:val="left" w:leader="none"/>
              </w:tabs>
              <w:spacing w:line="240" w:lineRule="auto" w:before="2" w:after="0"/>
              <w:ind w:left="1875" w:right="150" w:hanging="490"/>
              <w:jc w:val="left"/>
              <w:rPr>
                <w:sz w:val="20"/>
              </w:rPr>
            </w:pPr>
            <w:r>
              <w:rPr>
                <w:sz w:val="20"/>
              </w:rPr>
              <w:t>Steps</w:t>
            </w:r>
            <w:r>
              <w:rPr>
                <w:spacing w:val="-6"/>
                <w:sz w:val="20"/>
              </w:rPr>
              <w:t> </w:t>
            </w:r>
            <w:r>
              <w:rPr>
                <w:sz w:val="20"/>
              </w:rPr>
              <w:t>for</w:t>
            </w:r>
            <w:r>
              <w:rPr>
                <w:spacing w:val="-6"/>
                <w:sz w:val="20"/>
              </w:rPr>
              <w:t> </w:t>
            </w:r>
            <w:r>
              <w:rPr>
                <w:sz w:val="20"/>
              </w:rPr>
              <w:t>the</w:t>
            </w:r>
            <w:r>
              <w:rPr>
                <w:spacing w:val="-6"/>
                <w:sz w:val="20"/>
              </w:rPr>
              <w:t> </w:t>
            </w:r>
            <w:r>
              <w:rPr>
                <w:sz w:val="20"/>
              </w:rPr>
              <w:t>toddler</w:t>
            </w:r>
            <w:r>
              <w:rPr>
                <w:spacing w:val="-6"/>
                <w:sz w:val="20"/>
              </w:rPr>
              <w:t> </w:t>
            </w:r>
            <w:r>
              <w:rPr>
                <w:sz w:val="20"/>
              </w:rPr>
              <w:t>with</w:t>
            </w:r>
            <w:r>
              <w:rPr>
                <w:spacing w:val="-6"/>
                <w:sz w:val="20"/>
              </w:rPr>
              <w:t> </w:t>
            </w:r>
            <w:r>
              <w:rPr>
                <w:sz w:val="20"/>
              </w:rPr>
              <w:t>a</w:t>
            </w:r>
            <w:r>
              <w:rPr>
                <w:spacing w:val="-6"/>
                <w:sz w:val="20"/>
              </w:rPr>
              <w:t> </w:t>
            </w:r>
            <w:r>
              <w:rPr>
                <w:sz w:val="20"/>
              </w:rPr>
              <w:t>disability</w:t>
            </w:r>
            <w:r>
              <w:rPr>
                <w:spacing w:val="-6"/>
                <w:sz w:val="20"/>
              </w:rPr>
              <w:t> </w:t>
            </w:r>
            <w:r>
              <w:rPr>
                <w:sz w:val="20"/>
              </w:rPr>
              <w:t>and his or her family to exit from the Part C program; and</w:t>
            </w:r>
          </w:p>
          <w:p>
            <w:pPr>
              <w:pStyle w:val="TableParagraph"/>
              <w:numPr>
                <w:ilvl w:val="2"/>
                <w:numId w:val="8"/>
              </w:numPr>
              <w:tabs>
                <w:tab w:pos="1875" w:val="left" w:leader="none"/>
              </w:tabs>
              <w:spacing w:line="240" w:lineRule="auto" w:before="1" w:after="0"/>
              <w:ind w:left="1875" w:right="94" w:hanging="490"/>
              <w:jc w:val="left"/>
              <w:rPr>
                <w:sz w:val="20"/>
              </w:rPr>
            </w:pPr>
            <w:r>
              <w:rPr>
                <w:sz w:val="20"/>
              </w:rPr>
              <w:t>Any transition services that the IFSP Team</w:t>
            </w:r>
            <w:r>
              <w:rPr>
                <w:spacing w:val="-11"/>
                <w:sz w:val="20"/>
              </w:rPr>
              <w:t> </w:t>
            </w:r>
            <w:r>
              <w:rPr>
                <w:sz w:val="20"/>
              </w:rPr>
              <w:t>identifies</w:t>
            </w:r>
            <w:r>
              <w:rPr>
                <w:spacing w:val="-10"/>
                <w:sz w:val="20"/>
              </w:rPr>
              <w:t> </w:t>
            </w:r>
            <w:r>
              <w:rPr>
                <w:sz w:val="20"/>
              </w:rPr>
              <w:t>as</w:t>
            </w:r>
            <w:r>
              <w:rPr>
                <w:spacing w:val="-10"/>
                <w:sz w:val="20"/>
              </w:rPr>
              <w:t> </w:t>
            </w:r>
            <w:r>
              <w:rPr>
                <w:sz w:val="20"/>
              </w:rPr>
              <w:t>needed</w:t>
            </w:r>
            <w:r>
              <w:rPr>
                <w:spacing w:val="-10"/>
                <w:sz w:val="20"/>
              </w:rPr>
              <w:t> </w:t>
            </w:r>
            <w:r>
              <w:rPr>
                <w:sz w:val="20"/>
              </w:rPr>
              <w:t>by</w:t>
            </w:r>
            <w:r>
              <w:rPr>
                <w:spacing w:val="-10"/>
                <w:sz w:val="20"/>
              </w:rPr>
              <w:t> </w:t>
            </w:r>
            <w:r>
              <w:rPr>
                <w:sz w:val="20"/>
              </w:rPr>
              <w:t>that</w:t>
            </w:r>
            <w:r>
              <w:rPr>
                <w:spacing w:val="-10"/>
                <w:sz w:val="20"/>
              </w:rPr>
              <w:t> </w:t>
            </w:r>
            <w:r>
              <w:rPr>
                <w:sz w:val="20"/>
              </w:rPr>
              <w:t>toddler and his or her family.</w:t>
            </w:r>
          </w:p>
          <w:p>
            <w:pPr>
              <w:pStyle w:val="TableParagraph"/>
              <w:numPr>
                <w:ilvl w:val="0"/>
                <w:numId w:val="9"/>
              </w:numPr>
              <w:tabs>
                <w:tab w:pos="863" w:val="left" w:leader="none"/>
              </w:tabs>
              <w:spacing w:line="240" w:lineRule="auto" w:before="1" w:after="0"/>
              <w:ind w:left="863" w:right="296" w:hanging="403"/>
              <w:jc w:val="left"/>
              <w:rPr>
                <w:sz w:val="20"/>
              </w:rPr>
            </w:pPr>
            <w:r>
              <w:rPr>
                <w:sz w:val="20"/>
                <w:u w:val="single"/>
              </w:rPr>
              <w:t>Transition conference and plan meeting</w:t>
            </w:r>
            <w:r>
              <w:rPr>
                <w:sz w:val="20"/>
                <w:u w:val="none"/>
              </w:rPr>
              <w:t> </w:t>
            </w:r>
            <w:r>
              <w:rPr>
                <w:sz w:val="20"/>
                <w:u w:val="single"/>
              </w:rPr>
              <w:t>requirements</w:t>
            </w:r>
            <w:r>
              <w:rPr>
                <w:sz w:val="20"/>
                <w:u w:val="none"/>
              </w:rPr>
              <w:t>. Any conference conducted under paragraph</w:t>
            </w:r>
            <w:r>
              <w:rPr>
                <w:spacing w:val="-5"/>
                <w:sz w:val="20"/>
                <w:u w:val="none"/>
              </w:rPr>
              <w:t> </w:t>
            </w:r>
            <w:r>
              <w:rPr>
                <w:sz w:val="20"/>
                <w:u w:val="none"/>
              </w:rPr>
              <w:t>(c)</w:t>
            </w:r>
            <w:r>
              <w:rPr>
                <w:spacing w:val="-5"/>
                <w:sz w:val="20"/>
                <w:u w:val="none"/>
              </w:rPr>
              <w:t> </w:t>
            </w:r>
            <w:r>
              <w:rPr>
                <w:sz w:val="20"/>
                <w:u w:val="none"/>
              </w:rPr>
              <w:t>of</w:t>
            </w:r>
            <w:r>
              <w:rPr>
                <w:spacing w:val="-5"/>
                <w:sz w:val="20"/>
                <w:u w:val="none"/>
              </w:rPr>
              <w:t> </w:t>
            </w:r>
            <w:r>
              <w:rPr>
                <w:sz w:val="20"/>
                <w:u w:val="none"/>
              </w:rPr>
              <w:t>this</w:t>
            </w:r>
            <w:r>
              <w:rPr>
                <w:spacing w:val="-5"/>
                <w:sz w:val="20"/>
                <w:u w:val="none"/>
              </w:rPr>
              <w:t> </w:t>
            </w:r>
            <w:r>
              <w:rPr>
                <w:sz w:val="20"/>
                <w:u w:val="none"/>
              </w:rPr>
              <w:t>section</w:t>
            </w:r>
            <w:r>
              <w:rPr>
                <w:spacing w:val="-5"/>
                <w:sz w:val="20"/>
                <w:u w:val="none"/>
              </w:rPr>
              <w:t> </w:t>
            </w:r>
            <w:r>
              <w:rPr>
                <w:sz w:val="20"/>
                <w:u w:val="none"/>
              </w:rPr>
              <w:t>or</w:t>
            </w:r>
            <w:r>
              <w:rPr>
                <w:spacing w:val="-5"/>
                <w:sz w:val="20"/>
                <w:u w:val="none"/>
              </w:rPr>
              <w:t> </w:t>
            </w:r>
            <w:r>
              <w:rPr>
                <w:sz w:val="20"/>
                <w:u w:val="none"/>
              </w:rPr>
              <w:t>meeting</w:t>
            </w:r>
            <w:r>
              <w:rPr>
                <w:spacing w:val="-5"/>
                <w:sz w:val="20"/>
                <w:u w:val="none"/>
              </w:rPr>
              <w:t> </w:t>
            </w:r>
            <w:r>
              <w:rPr>
                <w:sz w:val="20"/>
                <w:u w:val="none"/>
              </w:rPr>
              <w:t>to</w:t>
            </w:r>
            <w:r>
              <w:rPr>
                <w:spacing w:val="-5"/>
                <w:sz w:val="20"/>
                <w:u w:val="none"/>
              </w:rPr>
              <w:t> </w:t>
            </w:r>
            <w:r>
              <w:rPr>
                <w:sz w:val="20"/>
                <w:u w:val="none"/>
              </w:rPr>
              <w:t>develop the transition plan under paragraph (d) of this section (which conference and meeting may be combined into one meeting) must meet the requirements in §§303.342(d) and (e) and </w:t>
            </w:r>
            <w:r>
              <w:rPr>
                <w:spacing w:val="-2"/>
                <w:sz w:val="20"/>
                <w:u w:val="none"/>
              </w:rPr>
              <w:t>303.343(a).</w:t>
            </w:r>
          </w:p>
          <w:p>
            <w:pPr>
              <w:pStyle w:val="TableParagraph"/>
              <w:numPr>
                <w:ilvl w:val="0"/>
                <w:numId w:val="9"/>
              </w:numPr>
              <w:tabs>
                <w:tab w:pos="766" w:val="left" w:leader="none"/>
              </w:tabs>
              <w:spacing w:line="229" w:lineRule="exact" w:before="0" w:after="0"/>
              <w:ind w:left="766" w:right="0" w:hanging="231"/>
              <w:jc w:val="left"/>
              <w:rPr>
                <w:sz w:val="20"/>
              </w:rPr>
            </w:pPr>
            <w:r>
              <w:rPr>
                <w:sz w:val="20"/>
                <w:u w:val="single"/>
              </w:rPr>
              <w:t>Applicability</w:t>
            </w:r>
            <w:r>
              <w:rPr>
                <w:spacing w:val="-9"/>
                <w:sz w:val="20"/>
                <w:u w:val="single"/>
              </w:rPr>
              <w:t> </w:t>
            </w:r>
            <w:r>
              <w:rPr>
                <w:sz w:val="20"/>
                <w:u w:val="single"/>
              </w:rPr>
              <w:t>of</w:t>
            </w:r>
            <w:r>
              <w:rPr>
                <w:spacing w:val="-9"/>
                <w:sz w:val="20"/>
                <w:u w:val="single"/>
              </w:rPr>
              <w:t> </w:t>
            </w:r>
            <w:r>
              <w:rPr>
                <w:sz w:val="20"/>
                <w:u w:val="single"/>
              </w:rPr>
              <w:t>transition</w:t>
            </w:r>
            <w:r>
              <w:rPr>
                <w:spacing w:val="-8"/>
                <w:sz w:val="20"/>
                <w:u w:val="single"/>
              </w:rPr>
              <w:t> </w:t>
            </w:r>
            <w:r>
              <w:rPr>
                <w:spacing w:val="-2"/>
                <w:sz w:val="20"/>
                <w:u w:val="single"/>
              </w:rPr>
              <w:t>requirements</w:t>
            </w:r>
            <w:r>
              <w:rPr>
                <w:spacing w:val="-2"/>
                <w:sz w:val="20"/>
                <w:u w:val="none"/>
              </w:rPr>
              <w:t>.</w:t>
            </w:r>
          </w:p>
          <w:p>
            <w:pPr>
              <w:pStyle w:val="TableParagraph"/>
              <w:numPr>
                <w:ilvl w:val="1"/>
                <w:numId w:val="9"/>
              </w:numPr>
              <w:tabs>
                <w:tab w:pos="1189" w:val="left" w:leader="none"/>
              </w:tabs>
              <w:spacing w:line="230" w:lineRule="atLeast" w:before="0" w:after="0"/>
              <w:ind w:left="895" w:right="79" w:firstLine="0"/>
              <w:jc w:val="left"/>
              <w:rPr>
                <w:sz w:val="20"/>
              </w:rPr>
            </w:pPr>
            <w:r>
              <w:rPr>
                <w:sz w:val="20"/>
              </w:rPr>
              <w:t>The transition requirements in paragraphs (b)(1) and (2), (c)(1), and (d) of this section apply to all toddlers with disabilities receiving services under</w:t>
            </w:r>
            <w:r>
              <w:rPr>
                <w:spacing w:val="40"/>
                <w:sz w:val="20"/>
              </w:rPr>
              <w:t> </w:t>
            </w:r>
            <w:r>
              <w:rPr>
                <w:sz w:val="20"/>
              </w:rPr>
              <w:t>this part before those toddlers turn age three, including any toddler with a disability under the age of</w:t>
            </w:r>
            <w:r>
              <w:rPr>
                <w:spacing w:val="-5"/>
                <w:sz w:val="20"/>
              </w:rPr>
              <w:t> </w:t>
            </w:r>
            <w:r>
              <w:rPr>
                <w:sz w:val="20"/>
              </w:rPr>
              <w:t>three</w:t>
            </w:r>
            <w:r>
              <w:rPr>
                <w:spacing w:val="-5"/>
                <w:sz w:val="20"/>
              </w:rPr>
              <w:t> </w:t>
            </w:r>
            <w:r>
              <w:rPr>
                <w:sz w:val="20"/>
              </w:rPr>
              <w:t>who</w:t>
            </w:r>
            <w:r>
              <w:rPr>
                <w:spacing w:val="-5"/>
                <w:sz w:val="20"/>
              </w:rPr>
              <w:t> </w:t>
            </w:r>
            <w:r>
              <w:rPr>
                <w:sz w:val="20"/>
              </w:rPr>
              <w:t>is</w:t>
            </w:r>
            <w:r>
              <w:rPr>
                <w:spacing w:val="-5"/>
                <w:sz w:val="20"/>
              </w:rPr>
              <w:t> </w:t>
            </w:r>
            <w:r>
              <w:rPr>
                <w:sz w:val="20"/>
              </w:rPr>
              <w:t>served</w:t>
            </w:r>
            <w:r>
              <w:rPr>
                <w:spacing w:val="-5"/>
                <w:sz w:val="20"/>
              </w:rPr>
              <w:t> </w:t>
            </w:r>
            <w:r>
              <w:rPr>
                <w:sz w:val="20"/>
              </w:rPr>
              <w:t>by</w:t>
            </w:r>
            <w:r>
              <w:rPr>
                <w:spacing w:val="-5"/>
                <w:sz w:val="20"/>
              </w:rPr>
              <w:t> </w:t>
            </w:r>
            <w:r>
              <w:rPr>
                <w:sz w:val="20"/>
              </w:rPr>
              <w:t>a</w:t>
            </w:r>
            <w:r>
              <w:rPr>
                <w:spacing w:val="-5"/>
                <w:sz w:val="20"/>
              </w:rPr>
              <w:t> </w:t>
            </w:r>
            <w:r>
              <w:rPr>
                <w:sz w:val="20"/>
              </w:rPr>
              <w:t>State</w:t>
            </w:r>
            <w:r>
              <w:rPr>
                <w:spacing w:val="-5"/>
                <w:sz w:val="20"/>
              </w:rPr>
              <w:t> </w:t>
            </w:r>
            <w:r>
              <w:rPr>
                <w:sz w:val="20"/>
              </w:rPr>
              <w:t>that</w:t>
            </w:r>
            <w:r>
              <w:rPr>
                <w:spacing w:val="-5"/>
                <w:sz w:val="20"/>
              </w:rPr>
              <w:t> </w:t>
            </w:r>
            <w:r>
              <w:rPr>
                <w:sz w:val="20"/>
              </w:rPr>
              <w:t>offers</w:t>
            </w:r>
            <w:r>
              <w:rPr>
                <w:spacing w:val="-5"/>
                <w:sz w:val="20"/>
              </w:rPr>
              <w:t> </w:t>
            </w:r>
            <w:r>
              <w:rPr>
                <w:sz w:val="20"/>
              </w:rPr>
              <w:t>services under §303.211.</w:t>
            </w:r>
          </w:p>
        </w:tc>
      </w:tr>
    </w:tbl>
    <w:p>
      <w:pPr>
        <w:pStyle w:val="TableParagraph"/>
        <w:spacing w:after="0" w:line="230" w:lineRule="atLeast"/>
        <w:jc w:val="left"/>
        <w:rPr>
          <w:sz w:val="20"/>
        </w:rPr>
        <w:sectPr>
          <w:type w:val="continuous"/>
          <w:pgSz w:w="12240" w:h="15840"/>
          <w:pgMar w:header="0" w:footer="879" w:top="1420" w:bottom="1466" w:left="720" w:right="720"/>
        </w:sectPr>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237"/>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3690" w:hRule="atLeast"/>
        </w:trPr>
        <w:tc>
          <w:tcPr>
            <w:tcW w:w="722" w:type="dxa"/>
            <w:tcBorders>
              <w:top w:val="single" w:sz="12" w:space="0" w:color="000000"/>
              <w:left w:val="single" w:sz="12" w:space="0" w:color="000000"/>
            </w:tcBorders>
          </w:tcPr>
          <w:p>
            <w:pPr>
              <w:pStyle w:val="TableParagraph"/>
              <w:rPr>
                <w:rFonts w:ascii="Times New Roman"/>
                <w:sz w:val="18"/>
              </w:rPr>
            </w:pPr>
          </w:p>
        </w:tc>
        <w:tc>
          <w:tcPr>
            <w:tcW w:w="720" w:type="dxa"/>
            <w:tcBorders>
              <w:top w:val="single" w:sz="12" w:space="0" w:color="000000"/>
            </w:tcBorders>
          </w:tcPr>
          <w:p>
            <w:pPr>
              <w:pStyle w:val="TableParagraph"/>
              <w:rPr>
                <w:rFonts w:ascii="Times New Roman"/>
                <w:sz w:val="18"/>
              </w:rPr>
            </w:pPr>
          </w:p>
        </w:tc>
        <w:tc>
          <w:tcPr>
            <w:tcW w:w="725" w:type="dxa"/>
            <w:tcBorders>
              <w:top w:val="single" w:sz="12" w:space="0" w:color="000000"/>
            </w:tcBorders>
          </w:tcPr>
          <w:p>
            <w:pPr>
              <w:pStyle w:val="TableParagraph"/>
              <w:rPr>
                <w:rFonts w:ascii="Times New Roman"/>
                <w:sz w:val="18"/>
              </w:rPr>
            </w:pPr>
          </w:p>
        </w:tc>
        <w:tc>
          <w:tcPr>
            <w:tcW w:w="1551" w:type="dxa"/>
            <w:tcBorders>
              <w:top w:val="single" w:sz="12" w:space="0" w:color="000000"/>
            </w:tcBorders>
          </w:tcPr>
          <w:p>
            <w:pPr>
              <w:pStyle w:val="TableParagraph"/>
              <w:rPr>
                <w:rFonts w:ascii="Times New Roman"/>
                <w:sz w:val="18"/>
              </w:rPr>
            </w:pPr>
          </w:p>
        </w:tc>
        <w:tc>
          <w:tcPr>
            <w:tcW w:w="5643" w:type="dxa"/>
            <w:tcBorders>
              <w:top w:val="single" w:sz="12" w:space="0" w:color="000000"/>
              <w:right w:val="single" w:sz="12" w:space="0" w:color="000000"/>
            </w:tcBorders>
          </w:tcPr>
          <w:p>
            <w:pPr>
              <w:pStyle w:val="TableParagraph"/>
              <w:ind w:left="863" w:right="109"/>
              <w:rPr>
                <w:sz w:val="20"/>
              </w:rPr>
            </w:pPr>
            <w:r>
              <w:rPr>
                <w:sz w:val="20"/>
              </w:rPr>
              <w:t>(2)</w:t>
            </w:r>
            <w:r>
              <w:rPr>
                <w:spacing w:val="-7"/>
                <w:sz w:val="20"/>
              </w:rPr>
              <w:t> </w:t>
            </w:r>
            <w:r>
              <w:rPr>
                <w:sz w:val="20"/>
              </w:rPr>
              <w:t>In</w:t>
            </w:r>
            <w:r>
              <w:rPr>
                <w:spacing w:val="-7"/>
                <w:sz w:val="20"/>
              </w:rPr>
              <w:t> </w:t>
            </w:r>
            <w:r>
              <w:rPr>
                <w:sz w:val="20"/>
              </w:rPr>
              <w:t>a</w:t>
            </w:r>
            <w:r>
              <w:rPr>
                <w:spacing w:val="-7"/>
                <w:sz w:val="20"/>
              </w:rPr>
              <w:t> </w:t>
            </w:r>
            <w:r>
              <w:rPr>
                <w:sz w:val="20"/>
              </w:rPr>
              <w:t>State</w:t>
            </w:r>
            <w:r>
              <w:rPr>
                <w:spacing w:val="-7"/>
                <w:sz w:val="20"/>
              </w:rPr>
              <w:t> </w:t>
            </w:r>
            <w:r>
              <w:rPr>
                <w:sz w:val="20"/>
              </w:rPr>
              <w:t>that</w:t>
            </w:r>
            <w:r>
              <w:rPr>
                <w:spacing w:val="-7"/>
                <w:sz w:val="20"/>
              </w:rPr>
              <w:t> </w:t>
            </w:r>
            <w:r>
              <w:rPr>
                <w:sz w:val="20"/>
              </w:rPr>
              <w:t>offers</w:t>
            </w:r>
            <w:r>
              <w:rPr>
                <w:spacing w:val="-7"/>
                <w:sz w:val="20"/>
              </w:rPr>
              <w:t> </w:t>
            </w:r>
            <w:r>
              <w:rPr>
                <w:sz w:val="20"/>
              </w:rPr>
              <w:t>services</w:t>
            </w:r>
            <w:r>
              <w:rPr>
                <w:spacing w:val="-7"/>
                <w:sz w:val="20"/>
              </w:rPr>
              <w:t> </w:t>
            </w:r>
            <w:r>
              <w:rPr>
                <w:sz w:val="20"/>
              </w:rPr>
              <w:t>under</w:t>
            </w:r>
            <w:r>
              <w:rPr>
                <w:spacing w:val="-7"/>
                <w:sz w:val="20"/>
              </w:rPr>
              <w:t> </w:t>
            </w:r>
            <w:r>
              <w:rPr>
                <w:sz w:val="20"/>
              </w:rPr>
              <w:t>§303.211,</w:t>
            </w:r>
            <w:r>
              <w:rPr>
                <w:spacing w:val="-7"/>
                <w:sz w:val="20"/>
              </w:rPr>
              <w:t> </w:t>
            </w:r>
            <w:r>
              <w:rPr>
                <w:sz w:val="20"/>
              </w:rPr>
              <w:t>for toddlers with disabilities identified in paragraph</w:t>
            </w:r>
            <w:r>
              <w:rPr>
                <w:spacing w:val="40"/>
                <w:sz w:val="20"/>
              </w:rPr>
              <w:t> </w:t>
            </w:r>
            <w:r>
              <w:rPr>
                <w:sz w:val="20"/>
              </w:rPr>
              <w:t>(b)(1) of this section, the parent must be provided at the transition conference conducted under</w:t>
            </w:r>
            <w:r>
              <w:rPr>
                <w:spacing w:val="40"/>
                <w:sz w:val="20"/>
              </w:rPr>
              <w:t> </w:t>
            </w:r>
            <w:r>
              <w:rPr>
                <w:sz w:val="20"/>
              </w:rPr>
              <w:t>paragraph (c)(1) of this section: (i) An explanation, consistent with §303.211(b)(1)(ii), of the toddler’s options to continue to receive early intervention services under this part or preschool services under section 619 of the Act; (ii) The initial annual notice referenced in §303.211(b)(1). (3) For children with disabilities age three and older who receive services pursuant to §303.211, the State must ensure that it satisfies the separate transition requirements in</w:t>
            </w:r>
          </w:p>
          <w:p>
            <w:pPr>
              <w:pStyle w:val="TableParagraph"/>
              <w:ind w:left="863"/>
              <w:rPr>
                <w:sz w:val="20"/>
              </w:rPr>
            </w:pPr>
            <w:r>
              <w:rPr>
                <w:spacing w:val="-2"/>
                <w:sz w:val="20"/>
              </w:rPr>
              <w:t>§303.211(b)(6)(ii).</w:t>
            </w:r>
          </w:p>
          <w:p>
            <w:pPr>
              <w:pStyle w:val="TableParagraph"/>
              <w:spacing w:before="120"/>
              <w:ind w:left="460"/>
              <w:rPr>
                <w:sz w:val="20"/>
              </w:rPr>
            </w:pPr>
            <w:r>
              <w:rPr>
                <w:sz w:val="20"/>
              </w:rPr>
              <w:t>(34</w:t>
            </w:r>
            <w:r>
              <w:rPr>
                <w:spacing w:val="-4"/>
                <w:sz w:val="20"/>
              </w:rPr>
              <w:t> </w:t>
            </w:r>
            <w:r>
              <w:rPr>
                <w:sz w:val="20"/>
              </w:rPr>
              <w:t>CFR</w:t>
            </w:r>
            <w:r>
              <w:rPr>
                <w:spacing w:val="-4"/>
                <w:sz w:val="20"/>
              </w:rPr>
              <w:t> </w:t>
            </w:r>
            <w:r>
              <w:rPr>
                <w:spacing w:val="-2"/>
                <w:sz w:val="20"/>
              </w:rPr>
              <w:t>§303.209)</w:t>
            </w:r>
          </w:p>
        </w:tc>
      </w:tr>
      <w:tr>
        <w:trPr>
          <w:trHeight w:val="1616" w:hRule="atLeast"/>
        </w:trPr>
        <w:tc>
          <w:tcPr>
            <w:tcW w:w="722" w:type="dxa"/>
            <w:tcBorders>
              <w:left w:val="single" w:sz="12" w:space="0" w:color="000000"/>
            </w:tcBorders>
          </w:tcPr>
          <w:p>
            <w:pPr>
              <w:pStyle w:val="TableParagraph"/>
              <w:rPr>
                <w:rFonts w:ascii="Times New Roman"/>
                <w:sz w:val="18"/>
              </w:rPr>
            </w:pPr>
          </w:p>
        </w:tc>
        <w:tc>
          <w:tcPr>
            <w:tcW w:w="720" w:type="dxa"/>
          </w:tcPr>
          <w:p>
            <w:pPr>
              <w:pStyle w:val="TableParagraph"/>
              <w:rPr>
                <w:rFonts w:ascii="Times New Roman"/>
                <w:sz w:val="18"/>
              </w:rPr>
            </w:pPr>
          </w:p>
        </w:tc>
        <w:tc>
          <w:tcPr>
            <w:tcW w:w="725" w:type="dxa"/>
          </w:tcPr>
          <w:p>
            <w:pPr>
              <w:pStyle w:val="TableParagraph"/>
              <w:rPr>
                <w:sz w:val="20"/>
              </w:rPr>
            </w:pPr>
          </w:p>
          <w:p>
            <w:pPr>
              <w:pStyle w:val="TableParagraph"/>
              <w:rPr>
                <w:sz w:val="20"/>
              </w:rPr>
            </w:pPr>
          </w:p>
          <w:p>
            <w:pPr>
              <w:pStyle w:val="TableParagraph"/>
              <w:spacing w:before="5"/>
              <w:rPr>
                <w:sz w:val="20"/>
              </w:rPr>
            </w:pPr>
          </w:p>
          <w:p>
            <w:pPr>
              <w:pStyle w:val="TableParagraph"/>
              <w:ind w:left="28"/>
              <w:jc w:val="center"/>
              <w:rPr>
                <w:sz w:val="20"/>
              </w:rPr>
            </w:pPr>
            <w:r>
              <w:rPr>
                <w:spacing w:val="-10"/>
                <w:sz w:val="20"/>
              </w:rPr>
              <w:t>X</w:t>
            </w:r>
          </w:p>
        </w:tc>
        <w:tc>
          <w:tcPr>
            <w:tcW w:w="1551" w:type="dxa"/>
          </w:tcPr>
          <w:p>
            <w:pPr>
              <w:pStyle w:val="TableParagraph"/>
              <w:rPr>
                <w:rFonts w:ascii="Times New Roman"/>
                <w:sz w:val="18"/>
              </w:rPr>
            </w:pPr>
          </w:p>
        </w:tc>
        <w:tc>
          <w:tcPr>
            <w:tcW w:w="5643" w:type="dxa"/>
            <w:tcBorders>
              <w:right w:val="single" w:sz="12" w:space="0" w:color="000000"/>
            </w:tcBorders>
          </w:tcPr>
          <w:p>
            <w:pPr>
              <w:pStyle w:val="TableParagraph"/>
              <w:spacing w:before="119"/>
              <w:ind w:left="503" w:right="149" w:hanging="389"/>
              <w:rPr>
                <w:sz w:val="20"/>
              </w:rPr>
            </w:pPr>
            <w:r>
              <w:rPr>
                <w:sz w:val="20"/>
              </w:rPr>
              <w:t>11.</w:t>
            </w:r>
            <w:r>
              <w:rPr>
                <w:spacing w:val="40"/>
                <w:sz w:val="20"/>
              </w:rPr>
              <w:t> </w:t>
            </w:r>
            <w:r>
              <w:rPr>
                <w:sz w:val="20"/>
              </w:rPr>
              <w:t>Each application must contain a description of State efforts to promote collaboration among Head Start and Early</w:t>
            </w:r>
            <w:r>
              <w:rPr>
                <w:spacing w:val="-5"/>
                <w:sz w:val="20"/>
              </w:rPr>
              <w:t> </w:t>
            </w:r>
            <w:r>
              <w:rPr>
                <w:sz w:val="20"/>
              </w:rPr>
              <w:t>Head</w:t>
            </w:r>
            <w:r>
              <w:rPr>
                <w:spacing w:val="-5"/>
                <w:sz w:val="20"/>
              </w:rPr>
              <w:t> </w:t>
            </w:r>
            <w:r>
              <w:rPr>
                <w:sz w:val="20"/>
              </w:rPr>
              <w:t>Start</w:t>
            </w:r>
            <w:r>
              <w:rPr>
                <w:spacing w:val="-5"/>
                <w:sz w:val="20"/>
              </w:rPr>
              <w:t> </w:t>
            </w:r>
            <w:r>
              <w:rPr>
                <w:sz w:val="20"/>
              </w:rPr>
              <w:t>programs</w:t>
            </w:r>
            <w:r>
              <w:rPr>
                <w:spacing w:val="-5"/>
                <w:sz w:val="20"/>
              </w:rPr>
              <w:t> </w:t>
            </w:r>
            <w:r>
              <w:rPr>
                <w:sz w:val="20"/>
              </w:rPr>
              <w:t>under</w:t>
            </w:r>
            <w:r>
              <w:rPr>
                <w:spacing w:val="-5"/>
                <w:sz w:val="20"/>
              </w:rPr>
              <w:t> </w:t>
            </w:r>
            <w:r>
              <w:rPr>
                <w:sz w:val="20"/>
              </w:rPr>
              <w:t>the</w:t>
            </w:r>
            <w:r>
              <w:rPr>
                <w:spacing w:val="-5"/>
                <w:sz w:val="20"/>
              </w:rPr>
              <w:t> </w:t>
            </w:r>
            <w:r>
              <w:rPr>
                <w:sz w:val="20"/>
              </w:rPr>
              <w:t>Head</w:t>
            </w:r>
            <w:r>
              <w:rPr>
                <w:spacing w:val="-5"/>
                <w:sz w:val="20"/>
              </w:rPr>
              <w:t> </w:t>
            </w:r>
            <w:r>
              <w:rPr>
                <w:sz w:val="20"/>
              </w:rPr>
              <w:t>Start</w:t>
            </w:r>
            <w:r>
              <w:rPr>
                <w:spacing w:val="-14"/>
                <w:sz w:val="20"/>
              </w:rPr>
              <w:t> </w:t>
            </w:r>
            <w:r>
              <w:rPr>
                <w:sz w:val="20"/>
              </w:rPr>
              <w:t>Act</w:t>
            </w:r>
            <w:r>
              <w:rPr>
                <w:spacing w:val="-4"/>
                <w:sz w:val="20"/>
              </w:rPr>
              <w:t> </w:t>
            </w:r>
            <w:r>
              <w:rPr>
                <w:sz w:val="20"/>
              </w:rPr>
              <w:t>(42 U.S.C.</w:t>
            </w:r>
            <w:r>
              <w:rPr>
                <w:spacing w:val="-2"/>
                <w:sz w:val="20"/>
              </w:rPr>
              <w:t> </w:t>
            </w:r>
            <w:r>
              <w:rPr>
                <w:sz w:val="20"/>
              </w:rPr>
              <w:t>9801,</w:t>
            </w:r>
            <w:r>
              <w:rPr>
                <w:spacing w:val="-2"/>
                <w:sz w:val="20"/>
              </w:rPr>
              <w:t> </w:t>
            </w:r>
            <w:r>
              <w:rPr>
                <w:sz w:val="20"/>
                <w:u w:val="single"/>
              </w:rPr>
              <w:t>et</w:t>
            </w:r>
            <w:r>
              <w:rPr>
                <w:spacing w:val="-2"/>
                <w:sz w:val="20"/>
                <w:u w:val="single"/>
              </w:rPr>
              <w:t> </w:t>
            </w:r>
            <w:r>
              <w:rPr>
                <w:sz w:val="20"/>
                <w:u w:val="single"/>
              </w:rPr>
              <w:t>seq</w:t>
            </w:r>
            <w:r>
              <w:rPr>
                <w:sz w:val="20"/>
                <w:u w:val="none"/>
              </w:rPr>
              <w:t>.,</w:t>
            </w:r>
            <w:r>
              <w:rPr>
                <w:spacing w:val="-2"/>
                <w:sz w:val="20"/>
                <w:u w:val="none"/>
              </w:rPr>
              <w:t> </w:t>
            </w:r>
            <w:r>
              <w:rPr>
                <w:sz w:val="20"/>
                <w:u w:val="none"/>
              </w:rPr>
              <w:t>as</w:t>
            </w:r>
            <w:r>
              <w:rPr>
                <w:spacing w:val="-2"/>
                <w:sz w:val="20"/>
                <w:u w:val="none"/>
              </w:rPr>
              <w:t> </w:t>
            </w:r>
            <w:r>
              <w:rPr>
                <w:sz w:val="20"/>
                <w:u w:val="none"/>
              </w:rPr>
              <w:t>amended),</w:t>
            </w:r>
            <w:r>
              <w:rPr>
                <w:spacing w:val="-2"/>
                <w:sz w:val="20"/>
                <w:u w:val="none"/>
              </w:rPr>
              <w:t> </w:t>
            </w:r>
            <w:r>
              <w:rPr>
                <w:sz w:val="20"/>
                <w:u w:val="none"/>
              </w:rPr>
              <w:t>early</w:t>
            </w:r>
            <w:r>
              <w:rPr>
                <w:spacing w:val="-2"/>
                <w:sz w:val="20"/>
                <w:u w:val="none"/>
              </w:rPr>
              <w:t> </w:t>
            </w:r>
            <w:r>
              <w:rPr>
                <w:sz w:val="20"/>
                <w:u w:val="none"/>
              </w:rPr>
              <w:t>education</w:t>
            </w:r>
            <w:r>
              <w:rPr>
                <w:spacing w:val="-2"/>
                <w:sz w:val="20"/>
                <w:u w:val="none"/>
              </w:rPr>
              <w:t> </w:t>
            </w:r>
            <w:r>
              <w:rPr>
                <w:sz w:val="20"/>
                <w:u w:val="none"/>
              </w:rPr>
              <w:t>and child care programs, and services under Part C.</w:t>
            </w:r>
          </w:p>
          <w:p>
            <w:pPr>
              <w:pStyle w:val="TableParagraph"/>
              <w:spacing w:before="2"/>
              <w:ind w:left="503"/>
              <w:rPr>
                <w:sz w:val="20"/>
              </w:rPr>
            </w:pPr>
            <w:r>
              <w:rPr>
                <w:sz w:val="20"/>
              </w:rPr>
              <w:t>(34</w:t>
            </w:r>
            <w:r>
              <w:rPr>
                <w:spacing w:val="-4"/>
                <w:sz w:val="20"/>
              </w:rPr>
              <w:t> </w:t>
            </w:r>
            <w:r>
              <w:rPr>
                <w:sz w:val="20"/>
              </w:rPr>
              <w:t>CFR</w:t>
            </w:r>
            <w:r>
              <w:rPr>
                <w:spacing w:val="-4"/>
                <w:sz w:val="20"/>
              </w:rPr>
              <w:t> </w:t>
            </w:r>
            <w:r>
              <w:rPr>
                <w:spacing w:val="-2"/>
                <w:sz w:val="20"/>
              </w:rPr>
              <w:t>§303.210)</w:t>
            </w:r>
          </w:p>
        </w:tc>
      </w:tr>
      <w:tr>
        <w:trPr>
          <w:trHeight w:val="1852" w:hRule="atLeast"/>
        </w:trPr>
        <w:tc>
          <w:tcPr>
            <w:tcW w:w="722" w:type="dxa"/>
            <w:tcBorders>
              <w:left w:val="single" w:sz="12" w:space="0" w:color="000000"/>
            </w:tcBorders>
          </w:tcPr>
          <w:p>
            <w:pPr>
              <w:pStyle w:val="TableParagraph"/>
              <w:rPr>
                <w:rFonts w:ascii="Times New Roman"/>
                <w:sz w:val="18"/>
              </w:rPr>
            </w:pPr>
          </w:p>
        </w:tc>
        <w:tc>
          <w:tcPr>
            <w:tcW w:w="720" w:type="dxa"/>
          </w:tcPr>
          <w:p>
            <w:pPr>
              <w:pStyle w:val="TableParagraph"/>
              <w:rPr>
                <w:rFonts w:ascii="Times New Roman"/>
                <w:sz w:val="18"/>
              </w:rPr>
            </w:pPr>
          </w:p>
        </w:tc>
        <w:tc>
          <w:tcPr>
            <w:tcW w:w="725" w:type="dxa"/>
          </w:tcPr>
          <w:p>
            <w:pPr>
              <w:pStyle w:val="TableParagraph"/>
              <w:rPr>
                <w:sz w:val="20"/>
              </w:rPr>
            </w:pPr>
          </w:p>
          <w:p>
            <w:pPr>
              <w:pStyle w:val="TableParagraph"/>
              <w:rPr>
                <w:sz w:val="20"/>
              </w:rPr>
            </w:pPr>
          </w:p>
          <w:p>
            <w:pPr>
              <w:pStyle w:val="TableParagraph"/>
              <w:spacing w:before="120"/>
              <w:rPr>
                <w:sz w:val="20"/>
              </w:rPr>
            </w:pPr>
          </w:p>
          <w:p>
            <w:pPr>
              <w:pStyle w:val="TableParagraph"/>
              <w:ind w:left="28"/>
              <w:jc w:val="center"/>
              <w:rPr>
                <w:sz w:val="20"/>
              </w:rPr>
            </w:pPr>
            <w:r>
              <w:rPr>
                <w:spacing w:val="-10"/>
                <w:sz w:val="20"/>
              </w:rPr>
              <w:t>X</w:t>
            </w:r>
          </w:p>
        </w:tc>
        <w:tc>
          <w:tcPr>
            <w:tcW w:w="1551" w:type="dxa"/>
          </w:tcPr>
          <w:p>
            <w:pPr>
              <w:pStyle w:val="TableParagraph"/>
              <w:rPr>
                <w:rFonts w:ascii="Times New Roman"/>
                <w:sz w:val="18"/>
              </w:rPr>
            </w:pPr>
          </w:p>
        </w:tc>
        <w:tc>
          <w:tcPr>
            <w:tcW w:w="5643" w:type="dxa"/>
            <w:tcBorders>
              <w:right w:val="single" w:sz="12" w:space="0" w:color="000000"/>
            </w:tcBorders>
          </w:tcPr>
          <w:p>
            <w:pPr>
              <w:pStyle w:val="TableParagraph"/>
              <w:spacing w:before="124"/>
              <w:ind w:left="503" w:right="183" w:hanging="389"/>
              <w:rPr>
                <w:sz w:val="20"/>
              </w:rPr>
            </w:pPr>
            <w:r>
              <w:rPr>
                <w:sz w:val="20"/>
              </w:rPr>
              <w:t>12.</w:t>
            </w:r>
            <w:r>
              <w:rPr>
                <w:spacing w:val="40"/>
                <w:sz w:val="20"/>
              </w:rPr>
              <w:t> </w:t>
            </w:r>
            <w:r>
              <w:rPr>
                <w:sz w:val="20"/>
              </w:rPr>
              <w:t>Each application must include, as required by Section 427</w:t>
            </w:r>
            <w:r>
              <w:rPr>
                <w:spacing w:val="-1"/>
                <w:sz w:val="20"/>
              </w:rPr>
              <w:t> </w:t>
            </w:r>
            <w:r>
              <w:rPr>
                <w:sz w:val="20"/>
              </w:rPr>
              <w:t>of</w:t>
            </w:r>
            <w:r>
              <w:rPr>
                <w:spacing w:val="-1"/>
                <w:sz w:val="20"/>
              </w:rPr>
              <w:t> </w:t>
            </w:r>
            <w:r>
              <w:rPr>
                <w:sz w:val="20"/>
              </w:rPr>
              <w:t>the</w:t>
            </w:r>
            <w:r>
              <w:rPr>
                <w:spacing w:val="-1"/>
                <w:sz w:val="20"/>
              </w:rPr>
              <w:t> </w:t>
            </w:r>
            <w:r>
              <w:rPr>
                <w:sz w:val="20"/>
              </w:rPr>
              <w:t>General</w:t>
            </w:r>
            <w:r>
              <w:rPr>
                <w:spacing w:val="-1"/>
                <w:sz w:val="20"/>
              </w:rPr>
              <w:t> </w:t>
            </w:r>
            <w:r>
              <w:rPr>
                <w:sz w:val="20"/>
              </w:rPr>
              <w:t>Education</w:t>
            </w:r>
            <w:r>
              <w:rPr>
                <w:spacing w:val="-1"/>
                <w:sz w:val="20"/>
              </w:rPr>
              <w:t> </w:t>
            </w:r>
            <w:r>
              <w:rPr>
                <w:sz w:val="20"/>
              </w:rPr>
              <w:t>Provisions</w:t>
            </w:r>
            <w:r>
              <w:rPr>
                <w:spacing w:val="-12"/>
                <w:sz w:val="20"/>
              </w:rPr>
              <w:t> </w:t>
            </w:r>
            <w:r>
              <w:rPr>
                <w:sz w:val="20"/>
              </w:rPr>
              <w:t>Act</w:t>
            </w:r>
            <w:r>
              <w:rPr>
                <w:spacing w:val="-1"/>
                <w:sz w:val="20"/>
              </w:rPr>
              <w:t> </w:t>
            </w:r>
            <w:r>
              <w:rPr>
                <w:sz w:val="20"/>
              </w:rPr>
              <w:t>(GEPA),</w:t>
            </w:r>
            <w:r>
              <w:rPr>
                <w:spacing w:val="-1"/>
                <w:sz w:val="20"/>
              </w:rPr>
              <w:t> </w:t>
            </w:r>
            <w:r>
              <w:rPr>
                <w:sz w:val="20"/>
              </w:rPr>
              <w:t>a description of how the State has identified barriers and developed strategies to address the barriers and has provided</w:t>
            </w:r>
            <w:r>
              <w:rPr>
                <w:spacing w:val="-4"/>
                <w:sz w:val="20"/>
              </w:rPr>
              <w:t> </w:t>
            </w:r>
            <w:r>
              <w:rPr>
                <w:sz w:val="20"/>
              </w:rPr>
              <w:t>a</w:t>
            </w:r>
            <w:r>
              <w:rPr>
                <w:spacing w:val="-4"/>
                <w:sz w:val="20"/>
              </w:rPr>
              <w:t> </w:t>
            </w:r>
            <w:r>
              <w:rPr>
                <w:sz w:val="20"/>
              </w:rPr>
              <w:t>description</w:t>
            </w:r>
            <w:r>
              <w:rPr>
                <w:spacing w:val="-4"/>
                <w:sz w:val="20"/>
              </w:rPr>
              <w:t> </w:t>
            </w:r>
            <w:r>
              <w:rPr>
                <w:sz w:val="20"/>
              </w:rPr>
              <w:t>of</w:t>
            </w:r>
            <w:r>
              <w:rPr>
                <w:spacing w:val="-4"/>
                <w:sz w:val="20"/>
              </w:rPr>
              <w:t> </w:t>
            </w:r>
            <w:r>
              <w:rPr>
                <w:sz w:val="20"/>
              </w:rPr>
              <w:t>the</w:t>
            </w:r>
            <w:r>
              <w:rPr>
                <w:spacing w:val="-4"/>
                <w:sz w:val="20"/>
              </w:rPr>
              <w:t> </w:t>
            </w:r>
            <w:r>
              <w:rPr>
                <w:sz w:val="20"/>
              </w:rPr>
              <w:t>steps</w:t>
            </w:r>
            <w:r>
              <w:rPr>
                <w:spacing w:val="-4"/>
                <w:sz w:val="20"/>
              </w:rPr>
              <w:t> </w:t>
            </w:r>
            <w:r>
              <w:rPr>
                <w:sz w:val="20"/>
              </w:rPr>
              <w:t>the</w:t>
            </w:r>
            <w:r>
              <w:rPr>
                <w:spacing w:val="-4"/>
                <w:sz w:val="20"/>
              </w:rPr>
              <w:t> </w:t>
            </w:r>
            <w:r>
              <w:rPr>
                <w:sz w:val="20"/>
              </w:rPr>
              <w:t>State</w:t>
            </w:r>
            <w:r>
              <w:rPr>
                <w:spacing w:val="-4"/>
                <w:sz w:val="20"/>
              </w:rPr>
              <w:t> </w:t>
            </w:r>
            <w:r>
              <w:rPr>
                <w:sz w:val="20"/>
              </w:rPr>
              <w:t>is</w:t>
            </w:r>
            <w:r>
              <w:rPr>
                <w:spacing w:val="-4"/>
                <w:sz w:val="20"/>
              </w:rPr>
              <w:t> </w:t>
            </w:r>
            <w:r>
              <w:rPr>
                <w:sz w:val="20"/>
              </w:rPr>
              <w:t>taking</w:t>
            </w:r>
            <w:r>
              <w:rPr>
                <w:spacing w:val="-4"/>
                <w:sz w:val="20"/>
              </w:rPr>
              <w:t> </w:t>
            </w:r>
            <w:r>
              <w:rPr>
                <w:sz w:val="20"/>
              </w:rPr>
              <w:t>to ensure</w:t>
            </w:r>
            <w:r>
              <w:rPr>
                <w:spacing w:val="-4"/>
                <w:sz w:val="20"/>
              </w:rPr>
              <w:t> </w:t>
            </w:r>
            <w:r>
              <w:rPr>
                <w:sz w:val="20"/>
              </w:rPr>
              <w:t>equitable</w:t>
            </w:r>
            <w:r>
              <w:rPr>
                <w:spacing w:val="-4"/>
                <w:sz w:val="20"/>
              </w:rPr>
              <w:t> </w:t>
            </w:r>
            <w:r>
              <w:rPr>
                <w:sz w:val="20"/>
              </w:rPr>
              <w:t>access</w:t>
            </w:r>
            <w:r>
              <w:rPr>
                <w:spacing w:val="-4"/>
                <w:sz w:val="20"/>
              </w:rPr>
              <w:t> </w:t>
            </w:r>
            <w:r>
              <w:rPr>
                <w:sz w:val="20"/>
              </w:rPr>
              <w:t>to,</w:t>
            </w:r>
            <w:r>
              <w:rPr>
                <w:spacing w:val="-4"/>
                <w:sz w:val="20"/>
              </w:rPr>
              <w:t> </w:t>
            </w:r>
            <w:r>
              <w:rPr>
                <w:sz w:val="20"/>
              </w:rPr>
              <w:t>and</w:t>
            </w:r>
            <w:r>
              <w:rPr>
                <w:spacing w:val="-4"/>
                <w:sz w:val="20"/>
              </w:rPr>
              <w:t> </w:t>
            </w:r>
            <w:r>
              <w:rPr>
                <w:sz w:val="20"/>
              </w:rPr>
              <w:t>participation</w:t>
            </w:r>
            <w:r>
              <w:rPr>
                <w:spacing w:val="-4"/>
                <w:sz w:val="20"/>
              </w:rPr>
              <w:t> </w:t>
            </w:r>
            <w:r>
              <w:rPr>
                <w:sz w:val="20"/>
              </w:rPr>
              <w:t>in,</w:t>
            </w:r>
            <w:r>
              <w:rPr>
                <w:spacing w:val="-4"/>
                <w:sz w:val="20"/>
              </w:rPr>
              <w:t> </w:t>
            </w:r>
            <w:r>
              <w:rPr>
                <w:sz w:val="20"/>
              </w:rPr>
              <w:t>Part</w:t>
            </w:r>
            <w:r>
              <w:rPr>
                <w:spacing w:val="-4"/>
                <w:sz w:val="20"/>
              </w:rPr>
              <w:t> </w:t>
            </w:r>
            <w:r>
              <w:rPr>
                <w:sz w:val="20"/>
              </w:rPr>
              <w:t>C. (34 CFR §303.212(a))</w:t>
            </w:r>
          </w:p>
        </w:tc>
      </w:tr>
      <w:tr>
        <w:trPr>
          <w:trHeight w:val="4832" w:hRule="atLeast"/>
        </w:trPr>
        <w:tc>
          <w:tcPr>
            <w:tcW w:w="722" w:type="dxa"/>
            <w:tcBorders>
              <w:left w:val="single" w:sz="12" w:space="0" w:color="000000"/>
              <w:bottom w:val="single" w:sz="12"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28"/>
              <w:rPr>
                <w:sz w:val="20"/>
              </w:rPr>
            </w:pPr>
          </w:p>
          <w:p>
            <w:pPr>
              <w:pStyle w:val="TableParagraph"/>
              <w:ind w:left="191"/>
              <w:rPr>
                <w:sz w:val="20"/>
              </w:rPr>
            </w:pPr>
            <w:r>
              <w:rPr>
                <w:spacing w:val="-5"/>
                <w:sz w:val="20"/>
              </w:rPr>
              <w:t>N/A</w:t>
            </w:r>
          </w:p>
        </w:tc>
        <w:tc>
          <w:tcPr>
            <w:tcW w:w="720" w:type="dxa"/>
            <w:tcBorders>
              <w:bottom w:val="single" w:sz="12" w:space="0" w:color="000000"/>
            </w:tcBorders>
          </w:tcPr>
          <w:p>
            <w:pPr>
              <w:pStyle w:val="TableParagraph"/>
              <w:rPr>
                <w:rFonts w:ascii="Times New Roman"/>
                <w:sz w:val="18"/>
              </w:rPr>
            </w:pPr>
          </w:p>
        </w:tc>
        <w:tc>
          <w:tcPr>
            <w:tcW w:w="725" w:type="dxa"/>
            <w:tcBorders>
              <w:bottom w:val="single" w:sz="12" w:space="0" w:color="000000"/>
            </w:tcBorders>
          </w:tcPr>
          <w:p>
            <w:pPr>
              <w:pStyle w:val="TableParagraph"/>
              <w:rPr>
                <w:rFonts w:ascii="Times New Roman"/>
                <w:sz w:val="18"/>
              </w:rPr>
            </w:pPr>
          </w:p>
        </w:tc>
        <w:tc>
          <w:tcPr>
            <w:tcW w:w="1551" w:type="dxa"/>
            <w:tcBorders>
              <w:bottom w:val="single" w:sz="12" w:space="0" w:color="000000"/>
            </w:tcBorders>
          </w:tcPr>
          <w:p>
            <w:pPr>
              <w:pStyle w:val="TableParagraph"/>
              <w:rPr>
                <w:rFonts w:ascii="Times New Roman"/>
                <w:sz w:val="18"/>
              </w:rPr>
            </w:pPr>
          </w:p>
        </w:tc>
        <w:tc>
          <w:tcPr>
            <w:tcW w:w="5643" w:type="dxa"/>
            <w:tcBorders>
              <w:bottom w:val="single" w:sz="12" w:space="0" w:color="000000"/>
              <w:right w:val="single" w:sz="12" w:space="0" w:color="000000"/>
            </w:tcBorders>
          </w:tcPr>
          <w:p>
            <w:pPr>
              <w:pStyle w:val="TableParagraph"/>
              <w:numPr>
                <w:ilvl w:val="0"/>
                <w:numId w:val="10"/>
              </w:numPr>
              <w:tabs>
                <w:tab w:pos="457" w:val="left" w:leader="none"/>
                <w:tab w:pos="459" w:val="left" w:leader="none"/>
              </w:tabs>
              <w:spacing w:line="240" w:lineRule="auto" w:before="0" w:after="0"/>
              <w:ind w:left="459" w:right="111" w:hanging="345"/>
              <w:jc w:val="left"/>
              <w:rPr>
                <w:sz w:val="20"/>
              </w:rPr>
            </w:pPr>
            <w:r>
              <w:rPr>
                <w:sz w:val="20"/>
              </w:rPr>
              <w:t>(a) General. (1) Subject to paragraphs (a)(2) and (b) of this</w:t>
            </w:r>
            <w:r>
              <w:rPr>
                <w:spacing w:val="-4"/>
                <w:sz w:val="20"/>
              </w:rPr>
              <w:t> </w:t>
            </w:r>
            <w:r>
              <w:rPr>
                <w:sz w:val="20"/>
              </w:rPr>
              <w:t>section,</w:t>
            </w:r>
            <w:r>
              <w:rPr>
                <w:spacing w:val="-4"/>
                <w:sz w:val="20"/>
              </w:rPr>
              <w:t> </w:t>
            </w:r>
            <w:r>
              <w:rPr>
                <w:sz w:val="20"/>
              </w:rPr>
              <w:t>a</w:t>
            </w:r>
            <w:r>
              <w:rPr>
                <w:spacing w:val="-4"/>
                <w:sz w:val="20"/>
              </w:rPr>
              <w:t> </w:t>
            </w:r>
            <w:r>
              <w:rPr>
                <w:sz w:val="20"/>
              </w:rPr>
              <w:t>State</w:t>
            </w:r>
            <w:r>
              <w:rPr>
                <w:spacing w:val="-4"/>
                <w:sz w:val="20"/>
              </w:rPr>
              <w:t> </w:t>
            </w:r>
            <w:r>
              <w:rPr>
                <w:sz w:val="20"/>
              </w:rPr>
              <w:t>may</w:t>
            </w:r>
            <w:r>
              <w:rPr>
                <w:spacing w:val="-4"/>
                <w:sz w:val="20"/>
              </w:rPr>
              <w:t> </w:t>
            </w:r>
            <w:r>
              <w:rPr>
                <w:sz w:val="20"/>
              </w:rPr>
              <w:t>elect</w:t>
            </w:r>
            <w:r>
              <w:rPr>
                <w:spacing w:val="-4"/>
                <w:sz w:val="20"/>
              </w:rPr>
              <w:t> </w:t>
            </w:r>
            <w:r>
              <w:rPr>
                <w:sz w:val="20"/>
              </w:rPr>
              <w:t>to</w:t>
            </w:r>
            <w:r>
              <w:rPr>
                <w:spacing w:val="-4"/>
                <w:sz w:val="20"/>
              </w:rPr>
              <w:t> </w:t>
            </w:r>
            <w:r>
              <w:rPr>
                <w:sz w:val="20"/>
              </w:rPr>
              <w:t>include</w:t>
            </w:r>
            <w:r>
              <w:rPr>
                <w:spacing w:val="-4"/>
                <w:sz w:val="20"/>
              </w:rPr>
              <w:t> </w:t>
            </w:r>
            <w:r>
              <w:rPr>
                <w:sz w:val="20"/>
              </w:rPr>
              <w:t>in</w:t>
            </w:r>
            <w:r>
              <w:rPr>
                <w:spacing w:val="-5"/>
                <w:sz w:val="20"/>
              </w:rPr>
              <w:t> </w:t>
            </w:r>
            <w:r>
              <w:rPr>
                <w:sz w:val="20"/>
              </w:rPr>
              <w:t>its</w:t>
            </w:r>
            <w:r>
              <w:rPr>
                <w:spacing w:val="-4"/>
                <w:sz w:val="20"/>
              </w:rPr>
              <w:t> </w:t>
            </w:r>
            <w:r>
              <w:rPr>
                <w:sz w:val="20"/>
              </w:rPr>
              <w:t>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 child turns three until the child enters, or is eligible under State law to enter, kindergarten or elementary school.</w:t>
            </w:r>
          </w:p>
          <w:p>
            <w:pPr>
              <w:pStyle w:val="TableParagraph"/>
              <w:numPr>
                <w:ilvl w:val="1"/>
                <w:numId w:val="10"/>
              </w:numPr>
              <w:tabs>
                <w:tab w:pos="832" w:val="left" w:leader="none"/>
              </w:tabs>
              <w:spacing w:line="240" w:lineRule="auto" w:before="0" w:after="0"/>
              <w:ind w:left="459" w:right="89" w:firstLine="16"/>
              <w:jc w:val="left"/>
              <w:rPr>
                <w:sz w:val="20"/>
              </w:rPr>
            </w:pPr>
            <w:r>
              <w:rPr>
                <w:sz w:val="20"/>
              </w:rPr>
              <w:t>A</w:t>
            </w:r>
            <w:r>
              <w:rPr>
                <w:spacing w:val="-14"/>
                <w:sz w:val="20"/>
              </w:rPr>
              <w:t> </w:t>
            </w:r>
            <w:r>
              <w:rPr>
                <w:sz w:val="20"/>
              </w:rPr>
              <w:t>State</w:t>
            </w:r>
            <w:r>
              <w:rPr>
                <w:spacing w:val="-6"/>
                <w:sz w:val="20"/>
              </w:rPr>
              <w:t> </w:t>
            </w:r>
            <w:r>
              <w:rPr>
                <w:sz w:val="20"/>
              </w:rPr>
              <w:t>that</w:t>
            </w:r>
            <w:r>
              <w:rPr>
                <w:spacing w:val="-5"/>
                <w:sz w:val="20"/>
              </w:rPr>
              <w:t> </w:t>
            </w:r>
            <w:r>
              <w:rPr>
                <w:sz w:val="20"/>
              </w:rPr>
              <w:t>adopts</w:t>
            </w:r>
            <w:r>
              <w:rPr>
                <w:spacing w:val="-5"/>
                <w:sz w:val="20"/>
              </w:rPr>
              <w:t> </w:t>
            </w:r>
            <w:r>
              <w:rPr>
                <w:sz w:val="20"/>
              </w:rPr>
              <w:t>the</w:t>
            </w:r>
            <w:r>
              <w:rPr>
                <w:spacing w:val="-5"/>
                <w:sz w:val="20"/>
              </w:rPr>
              <w:t> </w:t>
            </w:r>
            <w:r>
              <w:rPr>
                <w:sz w:val="20"/>
              </w:rPr>
              <w:t>policy</w:t>
            </w:r>
            <w:r>
              <w:rPr>
                <w:spacing w:val="-5"/>
                <w:sz w:val="20"/>
              </w:rPr>
              <w:t> </w:t>
            </w:r>
            <w:r>
              <w:rPr>
                <w:sz w:val="20"/>
              </w:rPr>
              <w:t>described</w:t>
            </w:r>
            <w:r>
              <w:rPr>
                <w:spacing w:val="-5"/>
                <w:sz w:val="20"/>
              </w:rPr>
              <w:t> </w:t>
            </w:r>
            <w:r>
              <w:rPr>
                <w:sz w:val="20"/>
              </w:rPr>
              <w:t>in</w:t>
            </w:r>
            <w:r>
              <w:rPr>
                <w:spacing w:val="-5"/>
                <w:sz w:val="20"/>
              </w:rPr>
              <w:t> </w:t>
            </w:r>
            <w:r>
              <w:rPr>
                <w:sz w:val="20"/>
              </w:rPr>
              <w:t>paragraph (a)(1) of this section may determine whether it applies to children with disabilities—</w:t>
            </w:r>
          </w:p>
          <w:p>
            <w:pPr>
              <w:pStyle w:val="TableParagraph"/>
              <w:numPr>
                <w:ilvl w:val="2"/>
                <w:numId w:val="10"/>
              </w:numPr>
              <w:tabs>
                <w:tab w:pos="1621" w:val="left" w:leader="none"/>
                <w:tab w:pos="1623" w:val="left" w:leader="none"/>
              </w:tabs>
              <w:spacing w:line="240" w:lineRule="auto" w:before="0" w:after="0"/>
              <w:ind w:left="1623" w:right="390" w:hanging="300"/>
              <w:jc w:val="left"/>
              <w:rPr>
                <w:sz w:val="20"/>
              </w:rPr>
            </w:pPr>
            <w:r>
              <w:rPr>
                <w:sz w:val="20"/>
              </w:rPr>
              <w:t>From</w:t>
            </w:r>
            <w:r>
              <w:rPr>
                <w:spacing w:val="-6"/>
                <w:sz w:val="20"/>
              </w:rPr>
              <w:t> </w:t>
            </w:r>
            <w:r>
              <w:rPr>
                <w:sz w:val="20"/>
              </w:rPr>
              <w:t>age</w:t>
            </w:r>
            <w:r>
              <w:rPr>
                <w:spacing w:val="-5"/>
                <w:sz w:val="20"/>
              </w:rPr>
              <w:t> </w:t>
            </w:r>
            <w:r>
              <w:rPr>
                <w:sz w:val="20"/>
              </w:rPr>
              <w:t>three</w:t>
            </w:r>
            <w:r>
              <w:rPr>
                <w:spacing w:val="-5"/>
                <w:sz w:val="20"/>
              </w:rPr>
              <w:t> </w:t>
            </w:r>
            <w:r>
              <w:rPr>
                <w:sz w:val="20"/>
              </w:rPr>
              <w:t>until</w:t>
            </w:r>
            <w:r>
              <w:rPr>
                <w:spacing w:val="-5"/>
                <w:sz w:val="20"/>
              </w:rPr>
              <w:t> </w:t>
            </w:r>
            <w:r>
              <w:rPr>
                <w:sz w:val="20"/>
              </w:rPr>
              <w:t>the</w:t>
            </w:r>
            <w:r>
              <w:rPr>
                <w:spacing w:val="-5"/>
                <w:sz w:val="20"/>
              </w:rPr>
              <w:t> </w:t>
            </w:r>
            <w:r>
              <w:rPr>
                <w:sz w:val="20"/>
              </w:rPr>
              <w:t>beginning</w:t>
            </w:r>
            <w:r>
              <w:rPr>
                <w:spacing w:val="-5"/>
                <w:sz w:val="20"/>
              </w:rPr>
              <w:t> </w:t>
            </w:r>
            <w:r>
              <w:rPr>
                <w:sz w:val="20"/>
              </w:rPr>
              <w:t>of</w:t>
            </w:r>
            <w:r>
              <w:rPr>
                <w:spacing w:val="-5"/>
                <w:sz w:val="20"/>
              </w:rPr>
              <w:t> </w:t>
            </w:r>
            <w:r>
              <w:rPr>
                <w:sz w:val="20"/>
              </w:rPr>
              <w:t>the school year following the child’s third </w:t>
            </w:r>
            <w:r>
              <w:rPr>
                <w:spacing w:val="-2"/>
                <w:sz w:val="20"/>
              </w:rPr>
              <w:t>birthday;</w:t>
            </w:r>
          </w:p>
          <w:p>
            <w:pPr>
              <w:pStyle w:val="TableParagraph"/>
              <w:numPr>
                <w:ilvl w:val="2"/>
                <w:numId w:val="10"/>
              </w:numPr>
              <w:tabs>
                <w:tab w:pos="1620" w:val="left" w:leader="none"/>
              </w:tabs>
              <w:spacing w:line="226" w:lineRule="exact" w:before="0" w:after="0"/>
              <w:ind w:left="1620" w:right="0" w:hanging="297"/>
              <w:jc w:val="left"/>
              <w:rPr>
                <w:sz w:val="20"/>
              </w:rPr>
            </w:pPr>
            <w:r>
              <w:rPr>
                <w:sz w:val="20"/>
              </w:rPr>
              <w:t>From</w:t>
            </w:r>
            <w:r>
              <w:rPr>
                <w:spacing w:val="-8"/>
                <w:sz w:val="20"/>
              </w:rPr>
              <w:t> </w:t>
            </w:r>
            <w:r>
              <w:rPr>
                <w:sz w:val="20"/>
              </w:rPr>
              <w:t>age</w:t>
            </w:r>
            <w:r>
              <w:rPr>
                <w:spacing w:val="-4"/>
                <w:sz w:val="20"/>
              </w:rPr>
              <w:t> </w:t>
            </w:r>
            <w:r>
              <w:rPr>
                <w:sz w:val="20"/>
              </w:rPr>
              <w:t>three</w:t>
            </w:r>
            <w:r>
              <w:rPr>
                <w:spacing w:val="-5"/>
                <w:sz w:val="20"/>
              </w:rPr>
              <w:t> </w:t>
            </w:r>
            <w:r>
              <w:rPr>
                <w:sz w:val="20"/>
              </w:rPr>
              <w:t>until</w:t>
            </w:r>
            <w:r>
              <w:rPr>
                <w:spacing w:val="-4"/>
                <w:sz w:val="20"/>
              </w:rPr>
              <w:t> </w:t>
            </w:r>
            <w:r>
              <w:rPr>
                <w:sz w:val="20"/>
              </w:rPr>
              <w:t>the</w:t>
            </w:r>
            <w:r>
              <w:rPr>
                <w:spacing w:val="-5"/>
                <w:sz w:val="20"/>
              </w:rPr>
              <w:t> </w:t>
            </w:r>
            <w:r>
              <w:rPr>
                <w:sz w:val="20"/>
              </w:rPr>
              <w:t>beginning</w:t>
            </w:r>
            <w:r>
              <w:rPr>
                <w:spacing w:val="-4"/>
                <w:sz w:val="20"/>
              </w:rPr>
              <w:t> </w:t>
            </w:r>
            <w:r>
              <w:rPr>
                <w:sz w:val="20"/>
              </w:rPr>
              <w:t>of</w:t>
            </w:r>
            <w:r>
              <w:rPr>
                <w:spacing w:val="-4"/>
                <w:sz w:val="20"/>
              </w:rPr>
              <w:t> </w:t>
            </w:r>
            <w:r>
              <w:rPr>
                <w:spacing w:val="-5"/>
                <w:sz w:val="20"/>
              </w:rPr>
              <w:t>the</w:t>
            </w:r>
          </w:p>
          <w:p>
            <w:pPr>
              <w:pStyle w:val="TableParagraph"/>
              <w:spacing w:line="230" w:lineRule="atLeast"/>
              <w:ind w:left="1623" w:right="183"/>
              <w:rPr>
                <w:sz w:val="20"/>
              </w:rPr>
            </w:pPr>
            <w:r>
              <w:rPr>
                <w:sz w:val="20"/>
              </w:rPr>
              <w:t>school</w:t>
            </w:r>
            <w:r>
              <w:rPr>
                <w:spacing w:val="-8"/>
                <w:sz w:val="20"/>
              </w:rPr>
              <w:t> </w:t>
            </w:r>
            <w:r>
              <w:rPr>
                <w:sz w:val="20"/>
              </w:rPr>
              <w:t>year</w:t>
            </w:r>
            <w:r>
              <w:rPr>
                <w:spacing w:val="-8"/>
                <w:sz w:val="20"/>
              </w:rPr>
              <w:t> </w:t>
            </w:r>
            <w:r>
              <w:rPr>
                <w:sz w:val="20"/>
              </w:rPr>
              <w:t>following</w:t>
            </w:r>
            <w:r>
              <w:rPr>
                <w:spacing w:val="-8"/>
                <w:sz w:val="20"/>
              </w:rPr>
              <w:t> </w:t>
            </w:r>
            <w:r>
              <w:rPr>
                <w:sz w:val="20"/>
              </w:rPr>
              <w:t>the</w:t>
            </w:r>
            <w:r>
              <w:rPr>
                <w:spacing w:val="-8"/>
                <w:sz w:val="20"/>
              </w:rPr>
              <w:t> </w:t>
            </w:r>
            <w:r>
              <w:rPr>
                <w:sz w:val="20"/>
              </w:rPr>
              <w:t>child’s</w:t>
            </w:r>
            <w:r>
              <w:rPr>
                <w:spacing w:val="-8"/>
                <w:sz w:val="20"/>
              </w:rPr>
              <w:t> </w:t>
            </w:r>
            <w:r>
              <w:rPr>
                <w:sz w:val="20"/>
              </w:rPr>
              <w:t>fourth birthday; or</w:t>
            </w:r>
          </w:p>
        </w:tc>
      </w:tr>
    </w:tbl>
    <w:p>
      <w:pPr>
        <w:pStyle w:val="TableParagraph"/>
        <w:spacing w:after="0" w:line="230" w:lineRule="atLeast"/>
        <w:rPr>
          <w:sz w:val="20"/>
        </w:rPr>
        <w:sectPr>
          <w:type w:val="continuous"/>
          <w:pgSz w:w="12240" w:h="15840"/>
          <w:pgMar w:header="0" w:footer="879" w:top="1420" w:bottom="1621" w:left="720" w:right="720"/>
        </w:sectPr>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237"/>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12421"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0" w:type="dxa"/>
            <w:tcBorders>
              <w:top w:val="single" w:sz="12" w:space="0" w:color="000000"/>
              <w:bottom w:val="single" w:sz="12" w:space="0" w:color="000000"/>
            </w:tcBorders>
          </w:tcPr>
          <w:p>
            <w:pPr>
              <w:pStyle w:val="TableParagraph"/>
              <w:rPr>
                <w:rFonts w:ascii="Times New Roman"/>
                <w:sz w:val="18"/>
              </w:rPr>
            </w:pPr>
          </w:p>
        </w:tc>
        <w:tc>
          <w:tcPr>
            <w:tcW w:w="725" w:type="dxa"/>
            <w:tcBorders>
              <w:top w:val="single" w:sz="12" w:space="0" w:color="000000"/>
              <w:bottom w:val="single" w:sz="12" w:space="0" w:color="000000"/>
            </w:tcBorders>
          </w:tcPr>
          <w:p>
            <w:pPr>
              <w:pStyle w:val="TableParagraph"/>
              <w:rPr>
                <w:rFonts w:ascii="Times New Roman"/>
                <w:sz w:val="18"/>
              </w:rPr>
            </w:pPr>
          </w:p>
        </w:tc>
        <w:tc>
          <w:tcPr>
            <w:tcW w:w="1551" w:type="dxa"/>
            <w:tcBorders>
              <w:top w:val="single" w:sz="12" w:space="0" w:color="000000"/>
              <w:bottom w:val="single" w:sz="12" w:space="0" w:color="000000"/>
            </w:tcBorders>
          </w:tcPr>
          <w:p>
            <w:pPr>
              <w:pStyle w:val="TableParagraph"/>
              <w:rPr>
                <w:rFonts w:ascii="Times New Roman"/>
                <w:sz w:val="18"/>
              </w:rPr>
            </w:pPr>
          </w:p>
        </w:tc>
        <w:tc>
          <w:tcPr>
            <w:tcW w:w="5643" w:type="dxa"/>
            <w:tcBorders>
              <w:top w:val="single" w:sz="12" w:space="0" w:color="000000"/>
              <w:bottom w:val="single" w:sz="12" w:space="0" w:color="000000"/>
              <w:right w:val="single" w:sz="12" w:space="0" w:color="000000"/>
            </w:tcBorders>
          </w:tcPr>
          <w:p>
            <w:pPr>
              <w:pStyle w:val="TableParagraph"/>
              <w:ind w:left="1623" w:right="183" w:hanging="300"/>
              <w:rPr>
                <w:sz w:val="20"/>
              </w:rPr>
            </w:pPr>
            <w:r>
              <w:rPr>
                <w:sz w:val="20"/>
              </w:rPr>
              <w:t>(iii)</w:t>
            </w:r>
            <w:r>
              <w:rPr>
                <w:spacing w:val="-23"/>
                <w:sz w:val="20"/>
              </w:rPr>
              <w:t> </w:t>
            </w:r>
            <w:r>
              <w:rPr>
                <w:sz w:val="20"/>
              </w:rPr>
              <w:t>From</w:t>
            </w:r>
            <w:r>
              <w:rPr>
                <w:spacing w:val="-8"/>
                <w:sz w:val="20"/>
              </w:rPr>
              <w:t> </w:t>
            </w:r>
            <w:r>
              <w:rPr>
                <w:sz w:val="20"/>
              </w:rPr>
              <w:t>age</w:t>
            </w:r>
            <w:r>
              <w:rPr>
                <w:spacing w:val="-5"/>
                <w:sz w:val="20"/>
              </w:rPr>
              <w:t> </w:t>
            </w:r>
            <w:r>
              <w:rPr>
                <w:sz w:val="20"/>
              </w:rPr>
              <w:t>three</w:t>
            </w:r>
            <w:r>
              <w:rPr>
                <w:spacing w:val="-5"/>
                <w:sz w:val="20"/>
              </w:rPr>
              <w:t> </w:t>
            </w:r>
            <w:r>
              <w:rPr>
                <w:sz w:val="20"/>
              </w:rPr>
              <w:t>until</w:t>
            </w:r>
            <w:r>
              <w:rPr>
                <w:spacing w:val="-5"/>
                <w:sz w:val="20"/>
              </w:rPr>
              <w:t> </w:t>
            </w:r>
            <w:r>
              <w:rPr>
                <w:sz w:val="20"/>
              </w:rPr>
              <w:t>the</w:t>
            </w:r>
            <w:r>
              <w:rPr>
                <w:spacing w:val="-5"/>
                <w:sz w:val="20"/>
              </w:rPr>
              <w:t> </w:t>
            </w:r>
            <w:r>
              <w:rPr>
                <w:sz w:val="20"/>
              </w:rPr>
              <w:t>beginning</w:t>
            </w:r>
            <w:r>
              <w:rPr>
                <w:spacing w:val="-5"/>
                <w:sz w:val="20"/>
              </w:rPr>
              <w:t> </w:t>
            </w:r>
            <w:r>
              <w:rPr>
                <w:sz w:val="20"/>
              </w:rPr>
              <w:t>of</w:t>
            </w:r>
            <w:r>
              <w:rPr>
                <w:spacing w:val="-5"/>
                <w:sz w:val="20"/>
              </w:rPr>
              <w:t> </w:t>
            </w:r>
            <w:r>
              <w:rPr>
                <w:sz w:val="20"/>
              </w:rPr>
              <w:t>the school year following the child’s fifth </w:t>
            </w:r>
            <w:r>
              <w:rPr>
                <w:spacing w:val="-2"/>
                <w:sz w:val="20"/>
              </w:rPr>
              <w:t>birthday.</w:t>
            </w:r>
          </w:p>
          <w:p>
            <w:pPr>
              <w:pStyle w:val="TableParagraph"/>
              <w:ind w:left="475" w:right="183"/>
              <w:rPr>
                <w:sz w:val="20"/>
              </w:rPr>
            </w:pPr>
            <w:r>
              <w:rPr>
                <w:sz w:val="20"/>
              </w:rPr>
              <w:t>(3)</w:t>
            </w:r>
            <w:r>
              <w:rPr>
                <w:spacing w:val="40"/>
                <w:sz w:val="20"/>
              </w:rPr>
              <w:t> </w:t>
            </w:r>
            <w:r>
              <w:rPr>
                <w:sz w:val="20"/>
              </w:rPr>
              <w:t>However, in no case may a State provide services under this section beyond the age at which the child actually</w:t>
            </w:r>
            <w:r>
              <w:rPr>
                <w:spacing w:val="-5"/>
                <w:sz w:val="20"/>
              </w:rPr>
              <w:t> </w:t>
            </w:r>
            <w:r>
              <w:rPr>
                <w:sz w:val="20"/>
              </w:rPr>
              <w:t>enrolls</w:t>
            </w:r>
            <w:r>
              <w:rPr>
                <w:spacing w:val="-5"/>
                <w:sz w:val="20"/>
              </w:rPr>
              <w:t> </w:t>
            </w:r>
            <w:r>
              <w:rPr>
                <w:sz w:val="20"/>
              </w:rPr>
              <w:t>in,</w:t>
            </w:r>
            <w:r>
              <w:rPr>
                <w:spacing w:val="-5"/>
                <w:sz w:val="20"/>
              </w:rPr>
              <w:t> </w:t>
            </w:r>
            <w:r>
              <w:rPr>
                <w:sz w:val="20"/>
              </w:rPr>
              <w:t>or</w:t>
            </w:r>
            <w:r>
              <w:rPr>
                <w:spacing w:val="-5"/>
                <w:sz w:val="20"/>
              </w:rPr>
              <w:t> </w:t>
            </w:r>
            <w:r>
              <w:rPr>
                <w:sz w:val="20"/>
              </w:rPr>
              <w:t>is</w:t>
            </w:r>
            <w:r>
              <w:rPr>
                <w:spacing w:val="-5"/>
                <w:sz w:val="20"/>
              </w:rPr>
              <w:t> </w:t>
            </w:r>
            <w:r>
              <w:rPr>
                <w:sz w:val="20"/>
              </w:rPr>
              <w:t>eligible</w:t>
            </w:r>
            <w:r>
              <w:rPr>
                <w:spacing w:val="-6"/>
                <w:sz w:val="20"/>
              </w:rPr>
              <w:t> </w:t>
            </w:r>
            <w:r>
              <w:rPr>
                <w:sz w:val="20"/>
              </w:rPr>
              <w:t>under</w:t>
            </w:r>
            <w:r>
              <w:rPr>
                <w:spacing w:val="-5"/>
                <w:sz w:val="20"/>
              </w:rPr>
              <w:t> </w:t>
            </w:r>
            <w:r>
              <w:rPr>
                <w:sz w:val="20"/>
              </w:rPr>
              <w:t>State</w:t>
            </w:r>
            <w:r>
              <w:rPr>
                <w:spacing w:val="-6"/>
                <w:sz w:val="20"/>
              </w:rPr>
              <w:t> </w:t>
            </w:r>
            <w:r>
              <w:rPr>
                <w:sz w:val="20"/>
              </w:rPr>
              <w:t>law</w:t>
            </w:r>
            <w:r>
              <w:rPr>
                <w:spacing w:val="-6"/>
                <w:sz w:val="20"/>
              </w:rPr>
              <w:t> </w:t>
            </w:r>
            <w:r>
              <w:rPr>
                <w:sz w:val="20"/>
              </w:rPr>
              <w:t>to</w:t>
            </w:r>
            <w:r>
              <w:rPr>
                <w:spacing w:val="-5"/>
                <w:sz w:val="20"/>
              </w:rPr>
              <w:t> </w:t>
            </w:r>
            <w:r>
              <w:rPr>
                <w:sz w:val="20"/>
              </w:rPr>
              <w:t>enter, kindergarten or elementary school in the State.</w:t>
            </w:r>
          </w:p>
          <w:p>
            <w:pPr>
              <w:pStyle w:val="TableParagraph"/>
              <w:numPr>
                <w:ilvl w:val="0"/>
                <w:numId w:val="11"/>
              </w:numPr>
              <w:tabs>
                <w:tab w:pos="920" w:val="left" w:leader="none"/>
              </w:tabs>
              <w:spacing w:line="237" w:lineRule="auto" w:before="3" w:after="0"/>
              <w:ind w:left="920" w:right="216" w:hanging="403"/>
              <w:jc w:val="left"/>
              <w:rPr>
                <w:sz w:val="20"/>
              </w:rPr>
            </w:pPr>
            <w:r>
              <w:rPr>
                <w:sz w:val="20"/>
                <w:u w:val="single"/>
              </w:rPr>
              <w:t>Requirements</w:t>
            </w:r>
            <w:r>
              <w:rPr>
                <w:sz w:val="20"/>
                <w:u w:val="none"/>
              </w:rPr>
              <w:t>. If a State’s application for a grant under</w:t>
            </w:r>
            <w:r>
              <w:rPr>
                <w:spacing w:val="-5"/>
                <w:sz w:val="20"/>
                <w:u w:val="none"/>
              </w:rPr>
              <w:t> </w:t>
            </w:r>
            <w:r>
              <w:rPr>
                <w:sz w:val="20"/>
                <w:u w:val="none"/>
              </w:rPr>
              <w:t>Part</w:t>
            </w:r>
            <w:r>
              <w:rPr>
                <w:spacing w:val="-5"/>
                <w:sz w:val="20"/>
                <w:u w:val="none"/>
              </w:rPr>
              <w:t> </w:t>
            </w:r>
            <w:r>
              <w:rPr>
                <w:sz w:val="20"/>
                <w:u w:val="none"/>
              </w:rPr>
              <w:t>C</w:t>
            </w:r>
            <w:r>
              <w:rPr>
                <w:spacing w:val="-6"/>
                <w:sz w:val="20"/>
                <w:u w:val="none"/>
              </w:rPr>
              <w:t> </w:t>
            </w:r>
            <w:r>
              <w:rPr>
                <w:sz w:val="20"/>
                <w:u w:val="none"/>
              </w:rPr>
              <w:t>includes</w:t>
            </w:r>
            <w:r>
              <w:rPr>
                <w:spacing w:val="-5"/>
                <w:sz w:val="20"/>
                <w:u w:val="none"/>
              </w:rPr>
              <w:t> </w:t>
            </w:r>
            <w:r>
              <w:rPr>
                <w:sz w:val="20"/>
                <w:u w:val="none"/>
              </w:rPr>
              <w:t>the</w:t>
            </w:r>
            <w:r>
              <w:rPr>
                <w:spacing w:val="-5"/>
                <w:sz w:val="20"/>
                <w:u w:val="none"/>
              </w:rPr>
              <w:t> </w:t>
            </w:r>
            <w:r>
              <w:rPr>
                <w:sz w:val="20"/>
                <w:u w:val="none"/>
              </w:rPr>
              <w:t>State</w:t>
            </w:r>
            <w:r>
              <w:rPr>
                <w:spacing w:val="-5"/>
                <w:sz w:val="20"/>
                <w:u w:val="none"/>
              </w:rPr>
              <w:t> </w:t>
            </w:r>
            <w:r>
              <w:rPr>
                <w:sz w:val="20"/>
                <w:u w:val="none"/>
              </w:rPr>
              <w:t>policy</w:t>
            </w:r>
            <w:r>
              <w:rPr>
                <w:spacing w:val="-5"/>
                <w:sz w:val="20"/>
                <w:u w:val="none"/>
              </w:rPr>
              <w:t> </w:t>
            </w:r>
            <w:r>
              <w:rPr>
                <w:sz w:val="20"/>
                <w:u w:val="none"/>
              </w:rPr>
              <w:t>described</w:t>
            </w:r>
            <w:r>
              <w:rPr>
                <w:spacing w:val="-5"/>
                <w:sz w:val="20"/>
                <w:u w:val="none"/>
              </w:rPr>
              <w:t> </w:t>
            </w:r>
            <w:r>
              <w:rPr>
                <w:sz w:val="20"/>
                <w:u w:val="none"/>
              </w:rPr>
              <w:t>in paragraph (a) of this section, the system must ensure the following:</w:t>
            </w:r>
          </w:p>
          <w:p>
            <w:pPr>
              <w:pStyle w:val="TableParagraph"/>
              <w:numPr>
                <w:ilvl w:val="1"/>
                <w:numId w:val="11"/>
              </w:numPr>
              <w:tabs>
                <w:tab w:pos="1323" w:val="left" w:leader="none"/>
              </w:tabs>
              <w:spacing w:line="240" w:lineRule="auto" w:before="5" w:after="0"/>
              <w:ind w:left="1323" w:right="124" w:hanging="403"/>
              <w:jc w:val="left"/>
              <w:rPr>
                <w:sz w:val="20"/>
              </w:rPr>
            </w:pPr>
            <w:r>
              <w:rPr>
                <w:sz w:val="20"/>
              </w:rPr>
              <w:t>Parents of children with disabilities who are eligible for services under section 619 of the Act and who previously received early intervention services under Part C will be provided</w:t>
            </w:r>
            <w:r>
              <w:rPr>
                <w:spacing w:val="-7"/>
                <w:sz w:val="20"/>
              </w:rPr>
              <w:t> </w:t>
            </w:r>
            <w:r>
              <w:rPr>
                <w:sz w:val="20"/>
              </w:rPr>
              <w:t>annual</w:t>
            </w:r>
            <w:r>
              <w:rPr>
                <w:spacing w:val="-7"/>
                <w:sz w:val="20"/>
              </w:rPr>
              <w:t> </w:t>
            </w:r>
            <w:r>
              <w:rPr>
                <w:sz w:val="20"/>
              </w:rPr>
              <w:t>notice</w:t>
            </w:r>
            <w:r>
              <w:rPr>
                <w:spacing w:val="-7"/>
                <w:sz w:val="20"/>
              </w:rPr>
              <w:t> </w:t>
            </w:r>
            <w:r>
              <w:rPr>
                <w:sz w:val="20"/>
              </w:rPr>
              <w:t>(the</w:t>
            </w:r>
            <w:r>
              <w:rPr>
                <w:spacing w:val="-7"/>
                <w:sz w:val="20"/>
              </w:rPr>
              <w:t> </w:t>
            </w:r>
            <w:r>
              <w:rPr>
                <w:sz w:val="20"/>
              </w:rPr>
              <w:t>initial</w:t>
            </w:r>
            <w:r>
              <w:rPr>
                <w:spacing w:val="-7"/>
                <w:sz w:val="20"/>
              </w:rPr>
              <w:t> </w:t>
            </w:r>
            <w:r>
              <w:rPr>
                <w:sz w:val="20"/>
              </w:rPr>
              <w:t>annual</w:t>
            </w:r>
            <w:r>
              <w:rPr>
                <w:spacing w:val="-7"/>
                <w:sz w:val="20"/>
              </w:rPr>
              <w:t> </w:t>
            </w:r>
            <w:r>
              <w:rPr>
                <w:sz w:val="20"/>
              </w:rPr>
              <w:t>notice must be provided as set forth in</w:t>
            </w:r>
          </w:p>
          <w:p>
            <w:pPr>
              <w:pStyle w:val="TableParagraph"/>
              <w:spacing w:before="2"/>
              <w:ind w:left="1323"/>
              <w:rPr>
                <w:sz w:val="20"/>
              </w:rPr>
            </w:pPr>
            <w:r>
              <w:rPr>
                <w:sz w:val="20"/>
              </w:rPr>
              <w:t>§303.209(f)(2)(ii))</w:t>
            </w:r>
            <w:r>
              <w:rPr>
                <w:spacing w:val="-12"/>
                <w:sz w:val="20"/>
              </w:rPr>
              <w:t> </w:t>
            </w:r>
            <w:r>
              <w:rPr>
                <w:sz w:val="20"/>
              </w:rPr>
              <w:t>that</w:t>
            </w:r>
            <w:r>
              <w:rPr>
                <w:spacing w:val="-11"/>
                <w:sz w:val="20"/>
              </w:rPr>
              <w:t> </w:t>
            </w:r>
            <w:r>
              <w:rPr>
                <w:spacing w:val="-2"/>
                <w:sz w:val="20"/>
              </w:rPr>
              <w:t>contains—</w:t>
            </w:r>
          </w:p>
          <w:p>
            <w:pPr>
              <w:pStyle w:val="TableParagraph"/>
              <w:numPr>
                <w:ilvl w:val="2"/>
                <w:numId w:val="11"/>
              </w:numPr>
              <w:tabs>
                <w:tab w:pos="1624" w:val="left" w:leader="none"/>
                <w:tab w:pos="1626" w:val="left" w:leader="none"/>
              </w:tabs>
              <w:spacing w:line="235" w:lineRule="auto" w:before="4" w:after="0"/>
              <w:ind w:left="1626" w:right="242" w:hanging="300"/>
              <w:jc w:val="left"/>
              <w:rPr>
                <w:sz w:val="20"/>
              </w:rPr>
            </w:pPr>
            <w:r>
              <w:rPr>
                <w:sz w:val="20"/>
              </w:rPr>
              <w:t>A</w:t>
            </w:r>
            <w:r>
              <w:rPr>
                <w:spacing w:val="-14"/>
                <w:sz w:val="20"/>
              </w:rPr>
              <w:t> </w:t>
            </w:r>
            <w:r>
              <w:rPr>
                <w:sz w:val="20"/>
              </w:rPr>
              <w:t>description</w:t>
            </w:r>
            <w:r>
              <w:rPr>
                <w:spacing w:val="-6"/>
                <w:sz w:val="20"/>
              </w:rPr>
              <w:t> </w:t>
            </w:r>
            <w:r>
              <w:rPr>
                <w:sz w:val="20"/>
              </w:rPr>
              <w:t>of</w:t>
            </w:r>
            <w:r>
              <w:rPr>
                <w:spacing w:val="-4"/>
                <w:sz w:val="20"/>
              </w:rPr>
              <w:t> </w:t>
            </w:r>
            <w:r>
              <w:rPr>
                <w:sz w:val="20"/>
              </w:rPr>
              <w:t>the</w:t>
            </w:r>
            <w:r>
              <w:rPr>
                <w:spacing w:val="-5"/>
                <w:sz w:val="20"/>
              </w:rPr>
              <w:t> </w:t>
            </w:r>
            <w:r>
              <w:rPr>
                <w:sz w:val="20"/>
              </w:rPr>
              <w:t>rights</w:t>
            </w:r>
            <w:r>
              <w:rPr>
                <w:spacing w:val="-4"/>
                <w:sz w:val="20"/>
              </w:rPr>
              <w:t> </w:t>
            </w:r>
            <w:r>
              <w:rPr>
                <w:sz w:val="20"/>
              </w:rPr>
              <w:t>of</w:t>
            </w:r>
            <w:r>
              <w:rPr>
                <w:spacing w:val="-5"/>
                <w:sz w:val="20"/>
              </w:rPr>
              <w:t> </w:t>
            </w:r>
            <w:r>
              <w:rPr>
                <w:sz w:val="20"/>
              </w:rPr>
              <w:t>the</w:t>
            </w:r>
            <w:r>
              <w:rPr>
                <w:spacing w:val="-4"/>
                <w:sz w:val="20"/>
              </w:rPr>
              <w:t> </w:t>
            </w:r>
            <w:r>
              <w:rPr>
                <w:sz w:val="20"/>
              </w:rPr>
              <w:t>parents</w:t>
            </w:r>
            <w:r>
              <w:rPr>
                <w:spacing w:val="-5"/>
                <w:sz w:val="20"/>
              </w:rPr>
              <w:t> </w:t>
            </w:r>
            <w:r>
              <w:rPr>
                <w:sz w:val="20"/>
              </w:rPr>
              <w:t>to elect to receive services pursuant to</w:t>
            </w:r>
          </w:p>
          <w:p>
            <w:pPr>
              <w:pStyle w:val="TableParagraph"/>
              <w:spacing w:before="2"/>
              <w:ind w:left="1626"/>
              <w:rPr>
                <w:sz w:val="20"/>
              </w:rPr>
            </w:pPr>
            <w:r>
              <w:rPr>
                <w:sz w:val="20"/>
              </w:rPr>
              <w:t>§303.211</w:t>
            </w:r>
            <w:r>
              <w:rPr>
                <w:spacing w:val="-8"/>
                <w:sz w:val="20"/>
              </w:rPr>
              <w:t> </w:t>
            </w:r>
            <w:r>
              <w:rPr>
                <w:sz w:val="20"/>
              </w:rPr>
              <w:t>or</w:t>
            </w:r>
            <w:r>
              <w:rPr>
                <w:spacing w:val="-6"/>
                <w:sz w:val="20"/>
              </w:rPr>
              <w:t> </w:t>
            </w:r>
            <w:r>
              <w:rPr>
                <w:sz w:val="20"/>
              </w:rPr>
              <w:t>under</w:t>
            </w:r>
            <w:r>
              <w:rPr>
                <w:spacing w:val="-6"/>
                <w:sz w:val="20"/>
              </w:rPr>
              <w:t> </w:t>
            </w:r>
            <w:r>
              <w:rPr>
                <w:sz w:val="20"/>
              </w:rPr>
              <w:t>Part</w:t>
            </w:r>
            <w:r>
              <w:rPr>
                <w:spacing w:val="-6"/>
                <w:sz w:val="20"/>
              </w:rPr>
              <w:t> </w:t>
            </w:r>
            <w:r>
              <w:rPr>
                <w:sz w:val="20"/>
              </w:rPr>
              <w:t>B</w:t>
            </w:r>
            <w:r>
              <w:rPr>
                <w:spacing w:val="-7"/>
                <w:sz w:val="20"/>
              </w:rPr>
              <w:t> </w:t>
            </w:r>
            <w:r>
              <w:rPr>
                <w:sz w:val="20"/>
              </w:rPr>
              <w:t>of</w:t>
            </w:r>
            <w:r>
              <w:rPr>
                <w:spacing w:val="-6"/>
                <w:sz w:val="20"/>
              </w:rPr>
              <w:t> </w:t>
            </w:r>
            <w:r>
              <w:rPr>
                <w:sz w:val="20"/>
              </w:rPr>
              <w:t>the</w:t>
            </w:r>
            <w:r>
              <w:rPr>
                <w:spacing w:val="-14"/>
                <w:sz w:val="20"/>
              </w:rPr>
              <w:t> </w:t>
            </w:r>
            <w:r>
              <w:rPr>
                <w:sz w:val="20"/>
              </w:rPr>
              <w:t>Act;</w:t>
            </w:r>
            <w:r>
              <w:rPr>
                <w:spacing w:val="-5"/>
                <w:sz w:val="20"/>
              </w:rPr>
              <w:t> and</w:t>
            </w:r>
          </w:p>
          <w:p>
            <w:pPr>
              <w:pStyle w:val="TableParagraph"/>
              <w:numPr>
                <w:ilvl w:val="2"/>
                <w:numId w:val="11"/>
              </w:numPr>
              <w:tabs>
                <w:tab w:pos="1623" w:val="left" w:leader="none"/>
                <w:tab w:pos="1626" w:val="left" w:leader="none"/>
              </w:tabs>
              <w:spacing w:line="240" w:lineRule="auto" w:before="0" w:after="0"/>
              <w:ind w:left="1626" w:right="113" w:hanging="300"/>
              <w:jc w:val="left"/>
              <w:rPr>
                <w:sz w:val="20"/>
              </w:rPr>
            </w:pPr>
            <w:r>
              <w:rPr>
                <w:sz w:val="20"/>
              </w:rPr>
              <w:t>An explanation of the differences between services</w:t>
            </w:r>
            <w:r>
              <w:rPr>
                <w:spacing w:val="-11"/>
                <w:sz w:val="20"/>
              </w:rPr>
              <w:t> </w:t>
            </w:r>
            <w:r>
              <w:rPr>
                <w:sz w:val="20"/>
              </w:rPr>
              <w:t>provided</w:t>
            </w:r>
            <w:r>
              <w:rPr>
                <w:spacing w:val="-11"/>
                <w:sz w:val="20"/>
              </w:rPr>
              <w:t> </w:t>
            </w:r>
            <w:r>
              <w:rPr>
                <w:sz w:val="20"/>
              </w:rPr>
              <w:t>pursuant</w:t>
            </w:r>
            <w:r>
              <w:rPr>
                <w:spacing w:val="-11"/>
                <w:sz w:val="20"/>
              </w:rPr>
              <w:t> </w:t>
            </w:r>
            <w:r>
              <w:rPr>
                <w:sz w:val="20"/>
              </w:rPr>
              <w:t>to</w:t>
            </w:r>
            <w:r>
              <w:rPr>
                <w:spacing w:val="-11"/>
                <w:sz w:val="20"/>
              </w:rPr>
              <w:t> </w:t>
            </w:r>
            <w:r>
              <w:rPr>
                <w:sz w:val="20"/>
              </w:rPr>
              <w:t>§303.211</w:t>
            </w:r>
            <w:r>
              <w:rPr>
                <w:spacing w:val="-11"/>
                <w:sz w:val="20"/>
              </w:rPr>
              <w:t> </w:t>
            </w:r>
            <w:r>
              <w:rPr>
                <w:sz w:val="20"/>
              </w:rPr>
              <w:t>and services provided under Part B of the Act, </w:t>
            </w:r>
            <w:r>
              <w:rPr>
                <w:spacing w:val="-2"/>
                <w:sz w:val="20"/>
              </w:rPr>
              <w:t>including—</w:t>
            </w:r>
          </w:p>
          <w:p>
            <w:pPr>
              <w:pStyle w:val="TableParagraph"/>
              <w:numPr>
                <w:ilvl w:val="3"/>
                <w:numId w:val="11"/>
              </w:numPr>
              <w:tabs>
                <w:tab w:pos="1935" w:val="left" w:leader="none"/>
                <w:tab w:pos="2065" w:val="left" w:leader="none"/>
              </w:tabs>
              <w:spacing w:line="240" w:lineRule="auto" w:before="2" w:after="0"/>
              <w:ind w:left="2065" w:right="222" w:hanging="446"/>
              <w:jc w:val="left"/>
              <w:rPr>
                <w:sz w:val="20"/>
              </w:rPr>
            </w:pPr>
            <w:r>
              <w:rPr>
                <w:sz w:val="20"/>
              </w:rPr>
              <w:t>The</w:t>
            </w:r>
            <w:r>
              <w:rPr>
                <w:spacing w:val="-6"/>
                <w:sz w:val="20"/>
              </w:rPr>
              <w:t> </w:t>
            </w:r>
            <w:r>
              <w:rPr>
                <w:sz w:val="20"/>
              </w:rPr>
              <w:t>types</w:t>
            </w:r>
            <w:r>
              <w:rPr>
                <w:spacing w:val="-6"/>
                <w:sz w:val="20"/>
              </w:rPr>
              <w:t> </w:t>
            </w:r>
            <w:r>
              <w:rPr>
                <w:sz w:val="20"/>
              </w:rPr>
              <w:t>of</w:t>
            </w:r>
            <w:r>
              <w:rPr>
                <w:spacing w:val="-6"/>
                <w:sz w:val="20"/>
              </w:rPr>
              <w:t> </w:t>
            </w:r>
            <w:r>
              <w:rPr>
                <w:sz w:val="20"/>
              </w:rPr>
              <w:t>services</w:t>
            </w:r>
            <w:r>
              <w:rPr>
                <w:spacing w:val="-6"/>
                <w:sz w:val="20"/>
              </w:rPr>
              <w:t> </w:t>
            </w:r>
            <w:r>
              <w:rPr>
                <w:sz w:val="20"/>
              </w:rPr>
              <w:t>and</w:t>
            </w:r>
            <w:r>
              <w:rPr>
                <w:spacing w:val="-6"/>
                <w:sz w:val="20"/>
              </w:rPr>
              <w:t> </w:t>
            </w:r>
            <w:r>
              <w:rPr>
                <w:sz w:val="20"/>
              </w:rPr>
              <w:t>the</w:t>
            </w:r>
            <w:r>
              <w:rPr>
                <w:spacing w:val="-7"/>
                <w:sz w:val="20"/>
              </w:rPr>
              <w:t> </w:t>
            </w:r>
            <w:r>
              <w:rPr>
                <w:sz w:val="20"/>
              </w:rPr>
              <w:t>locations at which the services are provided;</w:t>
            </w:r>
          </w:p>
          <w:p>
            <w:pPr>
              <w:pStyle w:val="TableParagraph"/>
              <w:numPr>
                <w:ilvl w:val="3"/>
                <w:numId w:val="11"/>
              </w:numPr>
              <w:tabs>
                <w:tab w:pos="1964" w:val="left" w:leader="none"/>
                <w:tab w:pos="2065" w:val="left" w:leader="none"/>
              </w:tabs>
              <w:spacing w:line="240" w:lineRule="auto" w:before="1" w:after="0"/>
              <w:ind w:left="2065" w:right="283" w:hanging="446"/>
              <w:jc w:val="left"/>
              <w:rPr>
                <w:sz w:val="20"/>
              </w:rPr>
            </w:pPr>
            <w:r>
              <w:rPr>
                <w:sz w:val="20"/>
              </w:rPr>
              <w:t>The</w:t>
            </w:r>
            <w:r>
              <w:rPr>
                <w:spacing w:val="-9"/>
                <w:sz w:val="20"/>
              </w:rPr>
              <w:t> </w:t>
            </w:r>
            <w:r>
              <w:rPr>
                <w:sz w:val="20"/>
              </w:rPr>
              <w:t>procedural</w:t>
            </w:r>
            <w:r>
              <w:rPr>
                <w:spacing w:val="-9"/>
                <w:sz w:val="20"/>
              </w:rPr>
              <w:t> </w:t>
            </w:r>
            <w:r>
              <w:rPr>
                <w:sz w:val="20"/>
              </w:rPr>
              <w:t>safeguards</w:t>
            </w:r>
            <w:r>
              <w:rPr>
                <w:spacing w:val="-9"/>
                <w:sz w:val="20"/>
              </w:rPr>
              <w:t> </w:t>
            </w:r>
            <w:r>
              <w:rPr>
                <w:sz w:val="20"/>
              </w:rPr>
              <w:t>that</w:t>
            </w:r>
            <w:r>
              <w:rPr>
                <w:spacing w:val="-9"/>
                <w:sz w:val="20"/>
              </w:rPr>
              <w:t> </w:t>
            </w:r>
            <w:r>
              <w:rPr>
                <w:sz w:val="20"/>
              </w:rPr>
              <w:t>apply; </w:t>
            </w:r>
            <w:r>
              <w:rPr>
                <w:spacing w:val="-4"/>
                <w:sz w:val="20"/>
              </w:rPr>
              <w:t>and</w:t>
            </w:r>
          </w:p>
          <w:p>
            <w:pPr>
              <w:pStyle w:val="TableParagraph"/>
              <w:numPr>
                <w:ilvl w:val="3"/>
                <w:numId w:val="11"/>
              </w:numPr>
              <w:tabs>
                <w:tab w:pos="1954" w:val="left" w:leader="none"/>
                <w:tab w:pos="2065" w:val="left" w:leader="none"/>
              </w:tabs>
              <w:spacing w:line="237" w:lineRule="auto" w:before="2" w:after="0"/>
              <w:ind w:left="2065" w:right="182" w:hanging="442"/>
              <w:jc w:val="left"/>
              <w:rPr>
                <w:sz w:val="20"/>
              </w:rPr>
            </w:pPr>
            <w:r>
              <w:rPr>
                <w:sz w:val="20"/>
              </w:rPr>
              <w:t>Possible costs (including the costs or fees to be charged to families as described</w:t>
            </w:r>
            <w:r>
              <w:rPr>
                <w:spacing w:val="-9"/>
                <w:sz w:val="20"/>
              </w:rPr>
              <w:t> </w:t>
            </w:r>
            <w:r>
              <w:rPr>
                <w:sz w:val="20"/>
              </w:rPr>
              <w:t>in</w:t>
            </w:r>
            <w:r>
              <w:rPr>
                <w:spacing w:val="-10"/>
                <w:sz w:val="20"/>
              </w:rPr>
              <w:t> </w:t>
            </w:r>
            <w:r>
              <w:rPr>
                <w:sz w:val="20"/>
              </w:rPr>
              <w:t>§§303.520</w:t>
            </w:r>
            <w:r>
              <w:rPr>
                <w:spacing w:val="-9"/>
                <w:sz w:val="20"/>
              </w:rPr>
              <w:t> </w:t>
            </w:r>
            <w:r>
              <w:rPr>
                <w:sz w:val="20"/>
              </w:rPr>
              <w:t>and</w:t>
            </w:r>
            <w:r>
              <w:rPr>
                <w:spacing w:val="-10"/>
                <w:sz w:val="20"/>
              </w:rPr>
              <w:t> </w:t>
            </w:r>
            <w:r>
              <w:rPr>
                <w:sz w:val="20"/>
              </w:rPr>
              <w:t>303.521), if any, to parents; and</w:t>
            </w:r>
          </w:p>
          <w:p>
            <w:pPr>
              <w:pStyle w:val="TableParagraph"/>
              <w:numPr>
                <w:ilvl w:val="0"/>
                <w:numId w:val="12"/>
              </w:numPr>
              <w:tabs>
                <w:tab w:pos="1323" w:val="left" w:leader="none"/>
              </w:tabs>
              <w:spacing w:line="240" w:lineRule="auto" w:before="5" w:after="0"/>
              <w:ind w:left="1323" w:right="137" w:hanging="403"/>
              <w:jc w:val="left"/>
              <w:rPr>
                <w:sz w:val="20"/>
              </w:rPr>
            </w:pPr>
            <w:r>
              <w:rPr>
                <w:sz w:val="20"/>
              </w:rPr>
              <w:t>Consistent</w:t>
            </w:r>
            <w:r>
              <w:rPr>
                <w:spacing w:val="-10"/>
                <w:sz w:val="20"/>
              </w:rPr>
              <w:t> </w:t>
            </w:r>
            <w:r>
              <w:rPr>
                <w:sz w:val="20"/>
              </w:rPr>
              <w:t>with</w:t>
            </w:r>
            <w:r>
              <w:rPr>
                <w:spacing w:val="-10"/>
                <w:sz w:val="20"/>
              </w:rPr>
              <w:t> </w:t>
            </w:r>
            <w:r>
              <w:rPr>
                <w:sz w:val="20"/>
              </w:rPr>
              <w:t>§303.344(d),</w:t>
            </w:r>
            <w:r>
              <w:rPr>
                <w:spacing w:val="-10"/>
                <w:sz w:val="20"/>
              </w:rPr>
              <w:t> </w:t>
            </w:r>
            <w:r>
              <w:rPr>
                <w:sz w:val="20"/>
              </w:rPr>
              <w:t>services</w:t>
            </w:r>
            <w:r>
              <w:rPr>
                <w:spacing w:val="-10"/>
                <w:sz w:val="20"/>
              </w:rPr>
              <w:t> </w:t>
            </w:r>
            <w:r>
              <w:rPr>
                <w:sz w:val="20"/>
              </w:rPr>
              <w:t>provided pursuant to §303.211 will include an educational component that promotes school readiness and incorporates preliteracy, language, and numeracy skills.</w:t>
            </w:r>
          </w:p>
          <w:p>
            <w:pPr>
              <w:pStyle w:val="TableParagraph"/>
              <w:numPr>
                <w:ilvl w:val="0"/>
                <w:numId w:val="12"/>
              </w:numPr>
              <w:tabs>
                <w:tab w:pos="1323" w:val="left" w:leader="none"/>
              </w:tabs>
              <w:spacing w:line="240" w:lineRule="auto" w:before="2" w:after="0"/>
              <w:ind w:left="1323" w:right="201" w:hanging="403"/>
              <w:jc w:val="left"/>
              <w:rPr>
                <w:sz w:val="20"/>
              </w:rPr>
            </w:pPr>
            <w:r>
              <w:rPr>
                <w:sz w:val="20"/>
              </w:rPr>
              <w:t>The</w:t>
            </w:r>
            <w:r>
              <w:rPr>
                <w:spacing w:val="-5"/>
                <w:sz w:val="20"/>
              </w:rPr>
              <w:t> </w:t>
            </w:r>
            <w:r>
              <w:rPr>
                <w:sz w:val="20"/>
              </w:rPr>
              <w:t>State</w:t>
            </w:r>
            <w:r>
              <w:rPr>
                <w:spacing w:val="-5"/>
                <w:sz w:val="20"/>
              </w:rPr>
              <w:t> </w:t>
            </w:r>
            <w:r>
              <w:rPr>
                <w:sz w:val="20"/>
              </w:rPr>
              <w:t>policy</w:t>
            </w:r>
            <w:r>
              <w:rPr>
                <w:spacing w:val="-5"/>
                <w:sz w:val="20"/>
              </w:rPr>
              <w:t> </w:t>
            </w:r>
            <w:r>
              <w:rPr>
                <w:sz w:val="20"/>
              </w:rPr>
              <w:t>ensures</w:t>
            </w:r>
            <w:r>
              <w:rPr>
                <w:spacing w:val="-5"/>
                <w:sz w:val="20"/>
              </w:rPr>
              <w:t> </w:t>
            </w:r>
            <w:r>
              <w:rPr>
                <w:sz w:val="20"/>
              </w:rPr>
              <w:t>that</w:t>
            </w:r>
            <w:r>
              <w:rPr>
                <w:spacing w:val="-5"/>
                <w:sz w:val="20"/>
              </w:rPr>
              <w:t> </w:t>
            </w:r>
            <w:r>
              <w:rPr>
                <w:sz w:val="20"/>
              </w:rPr>
              <w:t>any</w:t>
            </w:r>
            <w:r>
              <w:rPr>
                <w:spacing w:val="-5"/>
                <w:sz w:val="20"/>
              </w:rPr>
              <w:t> </w:t>
            </w:r>
            <w:r>
              <w:rPr>
                <w:sz w:val="20"/>
              </w:rPr>
              <w:t>child</w:t>
            </w:r>
            <w:r>
              <w:rPr>
                <w:spacing w:val="-5"/>
                <w:sz w:val="20"/>
              </w:rPr>
              <w:t> </w:t>
            </w:r>
            <w:r>
              <w:rPr>
                <w:sz w:val="20"/>
              </w:rPr>
              <w:t>served pursuant to this section has the right, at any time, to receive FAPE (as that term is defined at §303.15) under Part B of the</w:t>
            </w:r>
            <w:r>
              <w:rPr>
                <w:spacing w:val="-7"/>
                <w:sz w:val="20"/>
              </w:rPr>
              <w:t> </w:t>
            </w:r>
            <w:r>
              <w:rPr>
                <w:sz w:val="20"/>
              </w:rPr>
              <w:t>Act instead of early</w:t>
            </w:r>
            <w:r>
              <w:rPr>
                <w:spacing w:val="-1"/>
                <w:sz w:val="20"/>
              </w:rPr>
              <w:t> </w:t>
            </w:r>
            <w:r>
              <w:rPr>
                <w:sz w:val="20"/>
              </w:rPr>
              <w:t>intervention</w:t>
            </w:r>
            <w:r>
              <w:rPr>
                <w:spacing w:val="-1"/>
                <w:sz w:val="20"/>
              </w:rPr>
              <w:t> </w:t>
            </w:r>
            <w:r>
              <w:rPr>
                <w:sz w:val="20"/>
              </w:rPr>
              <w:t>services</w:t>
            </w:r>
            <w:r>
              <w:rPr>
                <w:spacing w:val="-1"/>
                <w:sz w:val="20"/>
              </w:rPr>
              <w:t> </w:t>
            </w:r>
            <w:r>
              <w:rPr>
                <w:sz w:val="20"/>
              </w:rPr>
              <w:t>under</w:t>
            </w:r>
            <w:r>
              <w:rPr>
                <w:spacing w:val="-1"/>
                <w:sz w:val="20"/>
              </w:rPr>
              <w:t> </w:t>
            </w:r>
            <w:r>
              <w:rPr>
                <w:sz w:val="20"/>
              </w:rPr>
              <w:t>Part</w:t>
            </w:r>
            <w:r>
              <w:rPr>
                <w:spacing w:val="-1"/>
                <w:sz w:val="20"/>
              </w:rPr>
              <w:t> </w:t>
            </w:r>
            <w:r>
              <w:rPr>
                <w:sz w:val="20"/>
              </w:rPr>
              <w:t>C</w:t>
            </w:r>
            <w:r>
              <w:rPr>
                <w:spacing w:val="-2"/>
                <w:sz w:val="20"/>
              </w:rPr>
              <w:t> </w:t>
            </w:r>
            <w:r>
              <w:rPr>
                <w:sz w:val="20"/>
              </w:rPr>
              <w:t>of</w:t>
            </w:r>
            <w:r>
              <w:rPr>
                <w:spacing w:val="-1"/>
                <w:sz w:val="20"/>
              </w:rPr>
              <w:t> </w:t>
            </w:r>
            <w:r>
              <w:rPr>
                <w:sz w:val="20"/>
              </w:rPr>
              <w:t>the Act under §303.211.</w:t>
            </w:r>
          </w:p>
          <w:p>
            <w:pPr>
              <w:pStyle w:val="TableParagraph"/>
              <w:numPr>
                <w:ilvl w:val="0"/>
                <w:numId w:val="12"/>
              </w:numPr>
              <w:tabs>
                <w:tab w:pos="1323" w:val="left" w:leader="none"/>
              </w:tabs>
              <w:spacing w:line="240" w:lineRule="auto" w:before="0" w:after="0"/>
              <w:ind w:left="1323" w:right="188" w:hanging="403"/>
              <w:jc w:val="left"/>
              <w:rPr>
                <w:sz w:val="20"/>
              </w:rPr>
            </w:pPr>
            <w:r>
              <w:rPr>
                <w:sz w:val="20"/>
              </w:rPr>
              <w:t>The lead agency must continue to provide all early intervention services identified in the toddler</w:t>
            </w:r>
            <w:r>
              <w:rPr>
                <w:spacing w:val="-7"/>
                <w:sz w:val="20"/>
              </w:rPr>
              <w:t> </w:t>
            </w:r>
            <w:r>
              <w:rPr>
                <w:sz w:val="20"/>
              </w:rPr>
              <w:t>with</w:t>
            </w:r>
            <w:r>
              <w:rPr>
                <w:spacing w:val="-7"/>
                <w:sz w:val="20"/>
              </w:rPr>
              <w:t> </w:t>
            </w:r>
            <w:r>
              <w:rPr>
                <w:sz w:val="20"/>
              </w:rPr>
              <w:t>a</w:t>
            </w:r>
            <w:r>
              <w:rPr>
                <w:spacing w:val="-7"/>
                <w:sz w:val="20"/>
              </w:rPr>
              <w:t> </w:t>
            </w:r>
            <w:r>
              <w:rPr>
                <w:sz w:val="20"/>
              </w:rPr>
              <w:t>disability’s</w:t>
            </w:r>
            <w:r>
              <w:rPr>
                <w:spacing w:val="-7"/>
                <w:sz w:val="20"/>
              </w:rPr>
              <w:t> </w:t>
            </w:r>
            <w:r>
              <w:rPr>
                <w:sz w:val="20"/>
              </w:rPr>
              <w:t>IFSP</w:t>
            </w:r>
            <w:r>
              <w:rPr>
                <w:spacing w:val="-11"/>
                <w:sz w:val="20"/>
              </w:rPr>
              <w:t> </w:t>
            </w:r>
            <w:r>
              <w:rPr>
                <w:sz w:val="20"/>
              </w:rPr>
              <w:t>under</w:t>
            </w:r>
            <w:r>
              <w:rPr>
                <w:spacing w:val="-7"/>
                <w:sz w:val="20"/>
              </w:rPr>
              <w:t> </w:t>
            </w:r>
            <w:r>
              <w:rPr>
                <w:sz w:val="20"/>
              </w:rPr>
              <w:t>§303.344 (and consented to by the parent under</w:t>
            </w:r>
          </w:p>
          <w:p>
            <w:pPr>
              <w:pStyle w:val="TableParagraph"/>
              <w:ind w:left="1323" w:right="183"/>
              <w:rPr>
                <w:sz w:val="20"/>
              </w:rPr>
            </w:pPr>
            <w:r>
              <w:rPr>
                <w:sz w:val="20"/>
              </w:rPr>
              <w:t>§303.342(e)) beyond age three until that toddler’s</w:t>
            </w:r>
            <w:r>
              <w:rPr>
                <w:spacing w:val="-9"/>
                <w:sz w:val="20"/>
              </w:rPr>
              <w:t> </w:t>
            </w:r>
            <w:r>
              <w:rPr>
                <w:sz w:val="20"/>
              </w:rPr>
              <w:t>initial</w:t>
            </w:r>
            <w:r>
              <w:rPr>
                <w:spacing w:val="-9"/>
                <w:sz w:val="20"/>
              </w:rPr>
              <w:t> </w:t>
            </w:r>
            <w:r>
              <w:rPr>
                <w:sz w:val="20"/>
              </w:rPr>
              <w:t>eligibility</w:t>
            </w:r>
            <w:r>
              <w:rPr>
                <w:spacing w:val="-9"/>
                <w:sz w:val="20"/>
              </w:rPr>
              <w:t> </w:t>
            </w:r>
            <w:r>
              <w:rPr>
                <w:sz w:val="20"/>
              </w:rPr>
              <w:t>determination</w:t>
            </w:r>
            <w:r>
              <w:rPr>
                <w:spacing w:val="-9"/>
                <w:sz w:val="20"/>
              </w:rPr>
              <w:t> </w:t>
            </w:r>
            <w:r>
              <w:rPr>
                <w:sz w:val="20"/>
              </w:rPr>
              <w:t>under Part B of the Act is made under</w:t>
            </w:r>
          </w:p>
          <w:p>
            <w:pPr>
              <w:pStyle w:val="TableParagraph"/>
              <w:ind w:left="1323"/>
              <w:rPr>
                <w:sz w:val="20"/>
              </w:rPr>
            </w:pPr>
            <w:r>
              <w:rPr>
                <w:sz w:val="20"/>
              </w:rPr>
              <w:t>34</w:t>
            </w:r>
            <w:r>
              <w:rPr>
                <w:spacing w:val="-8"/>
                <w:sz w:val="20"/>
              </w:rPr>
              <w:t> </w:t>
            </w:r>
            <w:r>
              <w:rPr>
                <w:sz w:val="20"/>
              </w:rPr>
              <w:t>CFR</w:t>
            </w:r>
            <w:r>
              <w:rPr>
                <w:spacing w:val="-7"/>
                <w:sz w:val="20"/>
              </w:rPr>
              <w:t> </w:t>
            </w:r>
            <w:r>
              <w:rPr>
                <w:sz w:val="20"/>
              </w:rPr>
              <w:t>§300.306.</w:t>
            </w:r>
            <w:r>
              <w:rPr>
                <w:spacing w:val="-9"/>
                <w:sz w:val="20"/>
              </w:rPr>
              <w:t> </w:t>
            </w:r>
            <w:r>
              <w:rPr>
                <w:sz w:val="20"/>
              </w:rPr>
              <w:t>This</w:t>
            </w:r>
            <w:r>
              <w:rPr>
                <w:spacing w:val="-5"/>
                <w:sz w:val="20"/>
              </w:rPr>
              <w:t> </w:t>
            </w:r>
            <w:r>
              <w:rPr>
                <w:sz w:val="20"/>
              </w:rPr>
              <w:t>provision</w:t>
            </w:r>
            <w:r>
              <w:rPr>
                <w:spacing w:val="-6"/>
                <w:sz w:val="20"/>
              </w:rPr>
              <w:t> </w:t>
            </w:r>
            <w:r>
              <w:rPr>
                <w:sz w:val="20"/>
              </w:rPr>
              <w:t>does</w:t>
            </w:r>
            <w:r>
              <w:rPr>
                <w:spacing w:val="-5"/>
                <w:sz w:val="20"/>
              </w:rPr>
              <w:t> not</w:t>
            </w:r>
          </w:p>
          <w:p>
            <w:pPr>
              <w:pStyle w:val="TableParagraph"/>
              <w:spacing w:line="226" w:lineRule="exact"/>
              <w:ind w:left="1323" w:right="183"/>
              <w:rPr>
                <w:sz w:val="20"/>
              </w:rPr>
            </w:pPr>
            <w:r>
              <w:rPr>
                <w:sz w:val="20"/>
              </w:rPr>
              <w:t>apply</w:t>
            </w:r>
            <w:r>
              <w:rPr>
                <w:spacing w:val="-10"/>
                <w:sz w:val="20"/>
              </w:rPr>
              <w:t> </w:t>
            </w:r>
            <w:r>
              <w:rPr>
                <w:sz w:val="20"/>
              </w:rPr>
              <w:t>if</w:t>
            </w:r>
            <w:r>
              <w:rPr>
                <w:spacing w:val="-7"/>
                <w:sz w:val="20"/>
              </w:rPr>
              <w:t> </w:t>
            </w:r>
            <w:r>
              <w:rPr>
                <w:sz w:val="20"/>
              </w:rPr>
              <w:t>the</w:t>
            </w:r>
            <w:r>
              <w:rPr>
                <w:spacing w:val="-7"/>
                <w:sz w:val="20"/>
              </w:rPr>
              <w:t> </w:t>
            </w:r>
            <w:r>
              <w:rPr>
                <w:sz w:val="20"/>
              </w:rPr>
              <w:t>LEA</w:t>
            </w:r>
            <w:r>
              <w:rPr>
                <w:spacing w:val="-14"/>
                <w:sz w:val="20"/>
              </w:rPr>
              <w:t> </w:t>
            </w:r>
            <w:r>
              <w:rPr>
                <w:sz w:val="20"/>
              </w:rPr>
              <w:t>has</w:t>
            </w:r>
            <w:r>
              <w:rPr>
                <w:spacing w:val="-7"/>
                <w:sz w:val="20"/>
              </w:rPr>
              <w:t> </w:t>
            </w:r>
            <w:r>
              <w:rPr>
                <w:sz w:val="20"/>
              </w:rPr>
              <w:t>requested</w:t>
            </w:r>
            <w:r>
              <w:rPr>
                <w:spacing w:val="-7"/>
                <w:sz w:val="20"/>
              </w:rPr>
              <w:t> </w:t>
            </w:r>
            <w:r>
              <w:rPr>
                <w:sz w:val="20"/>
              </w:rPr>
              <w:t>parental consent for the initial evaluation under</w:t>
            </w:r>
          </w:p>
        </w:tc>
      </w:tr>
    </w:tbl>
    <w:p>
      <w:pPr>
        <w:pStyle w:val="TableParagraph"/>
        <w:spacing w:after="0" w:line="226" w:lineRule="exact"/>
        <w:rPr>
          <w:sz w:val="20"/>
        </w:rPr>
        <w:sectPr>
          <w:type w:val="continuous"/>
          <w:pgSz w:w="12240" w:h="15840"/>
          <w:pgMar w:header="0" w:footer="879" w:top="1420" w:bottom="1235" w:left="720" w:right="720"/>
        </w:sectPr>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237"/>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12210"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20"/>
              </w:rPr>
            </w:pPr>
          </w:p>
        </w:tc>
        <w:tc>
          <w:tcPr>
            <w:tcW w:w="720" w:type="dxa"/>
            <w:tcBorders>
              <w:top w:val="single" w:sz="12" w:space="0" w:color="000000"/>
              <w:bottom w:val="single" w:sz="12" w:space="0" w:color="000000"/>
            </w:tcBorders>
          </w:tcPr>
          <w:p>
            <w:pPr>
              <w:pStyle w:val="TableParagraph"/>
              <w:rPr>
                <w:rFonts w:ascii="Times New Roman"/>
                <w:sz w:val="20"/>
              </w:rPr>
            </w:pPr>
          </w:p>
        </w:tc>
        <w:tc>
          <w:tcPr>
            <w:tcW w:w="725" w:type="dxa"/>
            <w:tcBorders>
              <w:top w:val="single" w:sz="12" w:space="0" w:color="000000"/>
              <w:bottom w:val="single" w:sz="12" w:space="0" w:color="000000"/>
            </w:tcBorders>
          </w:tcPr>
          <w:p>
            <w:pPr>
              <w:pStyle w:val="TableParagraph"/>
              <w:rPr>
                <w:rFonts w:ascii="Times New Roman"/>
                <w:sz w:val="20"/>
              </w:rPr>
            </w:pPr>
          </w:p>
        </w:tc>
        <w:tc>
          <w:tcPr>
            <w:tcW w:w="1551" w:type="dxa"/>
            <w:tcBorders>
              <w:top w:val="single" w:sz="12" w:space="0" w:color="000000"/>
              <w:bottom w:val="single" w:sz="12" w:space="0" w:color="000000"/>
            </w:tcBorders>
          </w:tcPr>
          <w:p>
            <w:pPr>
              <w:pStyle w:val="TableParagraph"/>
              <w:rPr>
                <w:rFonts w:ascii="Times New Roman"/>
                <w:sz w:val="20"/>
              </w:rPr>
            </w:pPr>
          </w:p>
        </w:tc>
        <w:tc>
          <w:tcPr>
            <w:tcW w:w="5643" w:type="dxa"/>
            <w:tcBorders>
              <w:top w:val="single" w:sz="12" w:space="0" w:color="000000"/>
              <w:bottom w:val="single" w:sz="12" w:space="0" w:color="000000"/>
              <w:right w:val="single" w:sz="12" w:space="0" w:color="000000"/>
            </w:tcBorders>
          </w:tcPr>
          <w:p>
            <w:pPr>
              <w:pStyle w:val="TableParagraph"/>
              <w:ind w:left="1323" w:right="183"/>
              <w:rPr>
                <w:sz w:val="20"/>
              </w:rPr>
            </w:pPr>
            <w:r>
              <w:rPr>
                <w:sz w:val="20"/>
              </w:rPr>
              <w:t>§300.300(a)</w:t>
            </w:r>
            <w:r>
              <w:rPr>
                <w:spacing w:val="-7"/>
                <w:sz w:val="20"/>
              </w:rPr>
              <w:t> </w:t>
            </w:r>
            <w:r>
              <w:rPr>
                <w:sz w:val="20"/>
              </w:rPr>
              <w:t>and</w:t>
            </w:r>
            <w:r>
              <w:rPr>
                <w:spacing w:val="-7"/>
                <w:sz w:val="20"/>
              </w:rPr>
              <w:t> </w:t>
            </w:r>
            <w:r>
              <w:rPr>
                <w:sz w:val="20"/>
              </w:rPr>
              <w:t>the</w:t>
            </w:r>
            <w:r>
              <w:rPr>
                <w:spacing w:val="-7"/>
                <w:sz w:val="20"/>
              </w:rPr>
              <w:t> </w:t>
            </w:r>
            <w:r>
              <w:rPr>
                <w:sz w:val="20"/>
              </w:rPr>
              <w:t>parent</w:t>
            </w:r>
            <w:r>
              <w:rPr>
                <w:spacing w:val="-7"/>
                <w:sz w:val="20"/>
              </w:rPr>
              <w:t> </w:t>
            </w:r>
            <w:r>
              <w:rPr>
                <w:sz w:val="20"/>
              </w:rPr>
              <w:t>has</w:t>
            </w:r>
            <w:r>
              <w:rPr>
                <w:spacing w:val="-7"/>
                <w:sz w:val="20"/>
              </w:rPr>
              <w:t> </w:t>
            </w:r>
            <w:r>
              <w:rPr>
                <w:sz w:val="20"/>
              </w:rPr>
              <w:t>not</w:t>
            </w:r>
            <w:r>
              <w:rPr>
                <w:spacing w:val="-7"/>
                <w:sz w:val="20"/>
              </w:rPr>
              <w:t> </w:t>
            </w:r>
            <w:r>
              <w:rPr>
                <w:sz w:val="20"/>
              </w:rPr>
              <w:t>provided that consent.</w:t>
            </w:r>
          </w:p>
          <w:p>
            <w:pPr>
              <w:pStyle w:val="TableParagraph"/>
              <w:ind w:left="1323" w:right="137" w:hanging="403"/>
              <w:rPr>
                <w:sz w:val="20"/>
              </w:rPr>
            </w:pPr>
            <w:r>
              <w:rPr>
                <w:sz w:val="20"/>
              </w:rPr>
              <w:t>(5)</w:t>
            </w:r>
            <w:r>
              <w:rPr>
                <w:spacing w:val="80"/>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must</w:t>
            </w:r>
            <w:r>
              <w:rPr>
                <w:spacing w:val="-5"/>
                <w:sz w:val="20"/>
              </w:rPr>
              <w:t> </w:t>
            </w:r>
            <w:r>
              <w:rPr>
                <w:sz w:val="20"/>
              </w:rPr>
              <w:t>obtain</w:t>
            </w:r>
            <w:r>
              <w:rPr>
                <w:spacing w:val="-6"/>
                <w:sz w:val="20"/>
              </w:rPr>
              <w:t> </w:t>
            </w:r>
            <w:r>
              <w:rPr>
                <w:sz w:val="20"/>
              </w:rPr>
              <w:t>informed</w:t>
            </w:r>
            <w:r>
              <w:rPr>
                <w:spacing w:val="-5"/>
                <w:sz w:val="20"/>
              </w:rPr>
              <w:t> </w:t>
            </w:r>
            <w:r>
              <w:rPr>
                <w:sz w:val="20"/>
              </w:rPr>
              <w:t>consent from</w:t>
            </w:r>
            <w:r>
              <w:rPr>
                <w:spacing w:val="-1"/>
                <w:sz w:val="20"/>
              </w:rPr>
              <w:t> </w:t>
            </w:r>
            <w:r>
              <w:rPr>
                <w:sz w:val="20"/>
              </w:rPr>
              <w:t>the parent of any child with a disability for the continuation of early intervention services pursuant to this section for that child. Consent must be obtained before the child reaches three years of age, where practicable.</w:t>
            </w:r>
          </w:p>
          <w:p>
            <w:pPr>
              <w:pStyle w:val="TableParagraph"/>
              <w:ind w:left="834" w:right="183"/>
              <w:rPr>
                <w:sz w:val="20"/>
              </w:rPr>
            </w:pPr>
            <w:r>
              <w:rPr>
                <w:rFonts w:ascii="Courier New" w:hAnsi="Courier New"/>
                <w:sz w:val="20"/>
              </w:rPr>
              <w:t>(</w:t>
            </w:r>
            <w:r>
              <w:rPr>
                <w:sz w:val="20"/>
              </w:rPr>
              <w:t>6)(i)</w:t>
            </w:r>
            <w:r>
              <w:rPr>
                <w:spacing w:val="-3"/>
                <w:sz w:val="20"/>
              </w:rPr>
              <w:t> </w:t>
            </w:r>
            <w:r>
              <w:rPr>
                <w:sz w:val="20"/>
              </w:rPr>
              <w:t>For</w:t>
            </w:r>
            <w:r>
              <w:rPr>
                <w:spacing w:val="-3"/>
                <w:sz w:val="20"/>
              </w:rPr>
              <w:t> </w:t>
            </w:r>
            <w:r>
              <w:rPr>
                <w:sz w:val="20"/>
              </w:rPr>
              <w:t>toddlers</w:t>
            </w:r>
            <w:r>
              <w:rPr>
                <w:spacing w:val="-3"/>
                <w:sz w:val="20"/>
              </w:rPr>
              <w:t> </w:t>
            </w:r>
            <w:r>
              <w:rPr>
                <w:sz w:val="20"/>
              </w:rPr>
              <w:t>with</w:t>
            </w:r>
            <w:r>
              <w:rPr>
                <w:spacing w:val="-3"/>
                <w:sz w:val="20"/>
              </w:rPr>
              <w:t> </w:t>
            </w:r>
            <w:r>
              <w:rPr>
                <w:sz w:val="20"/>
              </w:rPr>
              <w:t>disabilities</w:t>
            </w:r>
            <w:r>
              <w:rPr>
                <w:spacing w:val="-3"/>
                <w:sz w:val="20"/>
              </w:rPr>
              <w:t> </w:t>
            </w:r>
            <w:r>
              <w:rPr>
                <w:sz w:val="20"/>
              </w:rPr>
              <w:t>under</w:t>
            </w:r>
            <w:r>
              <w:rPr>
                <w:spacing w:val="-3"/>
                <w:sz w:val="20"/>
              </w:rPr>
              <w:t> </w:t>
            </w:r>
            <w:r>
              <w:rPr>
                <w:sz w:val="20"/>
              </w:rPr>
              <w:t>the</w:t>
            </w:r>
            <w:r>
              <w:rPr>
                <w:spacing w:val="-3"/>
                <w:sz w:val="20"/>
              </w:rPr>
              <w:t> </w:t>
            </w:r>
            <w:r>
              <w:rPr>
                <w:sz w:val="20"/>
              </w:rPr>
              <w:t>age</w:t>
            </w:r>
            <w:r>
              <w:rPr>
                <w:spacing w:val="-3"/>
                <w:sz w:val="20"/>
              </w:rPr>
              <w:t> </w:t>
            </w:r>
            <w:r>
              <w:rPr>
                <w:sz w:val="20"/>
              </w:rPr>
              <w:t>of three in a State that offers services under this section,</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ensures</w:t>
            </w:r>
            <w:r>
              <w:rPr>
                <w:spacing w:val="-5"/>
                <w:sz w:val="20"/>
              </w:rPr>
              <w:t> </w:t>
            </w:r>
            <w:r>
              <w:rPr>
                <w:sz w:val="20"/>
              </w:rPr>
              <w:t>that</w:t>
            </w:r>
            <w:r>
              <w:rPr>
                <w:spacing w:val="-5"/>
                <w:sz w:val="20"/>
              </w:rPr>
              <w:t> </w:t>
            </w:r>
            <w:r>
              <w:rPr>
                <w:sz w:val="20"/>
              </w:rPr>
              <w:t>the</w:t>
            </w:r>
            <w:r>
              <w:rPr>
                <w:spacing w:val="-5"/>
                <w:sz w:val="20"/>
              </w:rPr>
              <w:t> </w:t>
            </w:r>
            <w:r>
              <w:rPr>
                <w:sz w:val="20"/>
              </w:rPr>
              <w:t>transition requirements in §303.209(b)(1) and (2), (c)(1) and</w:t>
            </w:r>
          </w:p>
          <w:p>
            <w:pPr>
              <w:pStyle w:val="TableParagraph"/>
              <w:ind w:left="834"/>
              <w:rPr>
                <w:sz w:val="20"/>
              </w:rPr>
            </w:pPr>
            <w:r>
              <w:rPr>
                <w:sz w:val="20"/>
              </w:rPr>
              <w:t>(d)</w:t>
            </w:r>
            <w:r>
              <w:rPr>
                <w:spacing w:val="-5"/>
                <w:sz w:val="20"/>
              </w:rPr>
              <w:t> </w:t>
            </w:r>
            <w:r>
              <w:rPr>
                <w:sz w:val="20"/>
              </w:rPr>
              <w:t>are</w:t>
            </w:r>
            <w:r>
              <w:rPr>
                <w:spacing w:val="-3"/>
                <w:sz w:val="20"/>
              </w:rPr>
              <w:t> </w:t>
            </w:r>
            <w:r>
              <w:rPr>
                <w:spacing w:val="-4"/>
                <w:sz w:val="20"/>
              </w:rPr>
              <w:t>met.</w:t>
            </w:r>
          </w:p>
          <w:p>
            <w:pPr>
              <w:pStyle w:val="TableParagraph"/>
              <w:spacing w:before="1"/>
              <w:ind w:left="834" w:right="97"/>
              <w:rPr>
                <w:sz w:val="20"/>
              </w:rPr>
            </w:pPr>
            <w:r>
              <w:rPr>
                <w:sz w:val="20"/>
              </w:rPr>
              <w:t>(ii) For toddlers with disabilities age three and older</w:t>
            </w:r>
            <w:r>
              <w:rPr>
                <w:spacing w:val="40"/>
                <w:sz w:val="20"/>
              </w:rPr>
              <w:t> </w:t>
            </w:r>
            <w:r>
              <w:rPr>
                <w:sz w:val="20"/>
              </w:rPr>
              <w:t>in a State that offers services under this section, the lead agency ensures a smooth transition from services under this section to preschool,</w:t>
            </w:r>
            <w:r>
              <w:rPr>
                <w:spacing w:val="40"/>
                <w:sz w:val="20"/>
              </w:rPr>
              <w:t> </w:t>
            </w:r>
            <w:r>
              <w:rPr>
                <w:sz w:val="20"/>
              </w:rPr>
              <w:t>kindergarten or elementary school by: (A) Providing the SEA</w:t>
            </w:r>
            <w:r>
              <w:rPr>
                <w:spacing w:val="-11"/>
                <w:sz w:val="20"/>
              </w:rPr>
              <w:t> </w:t>
            </w:r>
            <w:r>
              <w:rPr>
                <w:sz w:val="20"/>
              </w:rPr>
              <w:t>and LEA</w:t>
            </w:r>
            <w:r>
              <w:rPr>
                <w:spacing w:val="-11"/>
                <w:sz w:val="20"/>
              </w:rPr>
              <w:t> </w:t>
            </w:r>
            <w:r>
              <w:rPr>
                <w:sz w:val="20"/>
              </w:rPr>
              <w:t>where the child resides, consistent with</w:t>
            </w:r>
            <w:r>
              <w:rPr>
                <w:spacing w:val="-4"/>
                <w:sz w:val="20"/>
              </w:rPr>
              <w:t> </w:t>
            </w:r>
            <w:r>
              <w:rPr>
                <w:sz w:val="20"/>
              </w:rPr>
              <w:t>any</w:t>
            </w:r>
            <w:r>
              <w:rPr>
                <w:spacing w:val="-4"/>
                <w:sz w:val="20"/>
              </w:rPr>
              <w:t> </w:t>
            </w:r>
            <w:r>
              <w:rPr>
                <w:sz w:val="20"/>
              </w:rPr>
              <w:t>State</w:t>
            </w:r>
            <w:r>
              <w:rPr>
                <w:spacing w:val="-4"/>
                <w:sz w:val="20"/>
              </w:rPr>
              <w:t> </w:t>
            </w:r>
            <w:r>
              <w:rPr>
                <w:sz w:val="20"/>
              </w:rPr>
              <w:t>policy</w:t>
            </w:r>
            <w:r>
              <w:rPr>
                <w:spacing w:val="-4"/>
                <w:sz w:val="20"/>
              </w:rPr>
              <w:t> </w:t>
            </w:r>
            <w:r>
              <w:rPr>
                <w:sz w:val="20"/>
              </w:rPr>
              <w:t>adopted</w:t>
            </w:r>
            <w:r>
              <w:rPr>
                <w:spacing w:val="-4"/>
                <w:sz w:val="20"/>
              </w:rPr>
              <w:t> </w:t>
            </w:r>
            <w:r>
              <w:rPr>
                <w:sz w:val="20"/>
              </w:rPr>
              <w:t>under</w:t>
            </w:r>
            <w:r>
              <w:rPr>
                <w:spacing w:val="-4"/>
                <w:sz w:val="20"/>
              </w:rPr>
              <w:t> </w:t>
            </w:r>
            <w:r>
              <w:rPr>
                <w:sz w:val="20"/>
              </w:rPr>
              <w:t>§303.401(e),</w:t>
            </w:r>
            <w:r>
              <w:rPr>
                <w:spacing w:val="-4"/>
                <w:sz w:val="20"/>
              </w:rPr>
              <w:t> </w:t>
            </w:r>
            <w:r>
              <w:rPr>
                <w:sz w:val="20"/>
              </w:rPr>
              <w:t>the information</w:t>
            </w:r>
            <w:r>
              <w:rPr>
                <w:spacing w:val="-6"/>
                <w:sz w:val="20"/>
              </w:rPr>
              <w:t> </w:t>
            </w:r>
            <w:r>
              <w:rPr>
                <w:sz w:val="20"/>
              </w:rPr>
              <w:t>listed</w:t>
            </w:r>
            <w:r>
              <w:rPr>
                <w:spacing w:val="-6"/>
                <w:sz w:val="20"/>
              </w:rPr>
              <w:t> </w:t>
            </w:r>
            <w:r>
              <w:rPr>
                <w:sz w:val="20"/>
              </w:rPr>
              <w:t>in</w:t>
            </w:r>
            <w:r>
              <w:rPr>
                <w:spacing w:val="-6"/>
                <w:sz w:val="20"/>
              </w:rPr>
              <w:t> </w:t>
            </w:r>
            <w:r>
              <w:rPr>
                <w:sz w:val="20"/>
              </w:rPr>
              <w:t>§303.401(d)(1)</w:t>
            </w:r>
            <w:r>
              <w:rPr>
                <w:spacing w:val="-6"/>
                <w:sz w:val="20"/>
              </w:rPr>
              <w:t> </w:t>
            </w:r>
            <w:r>
              <w:rPr>
                <w:sz w:val="20"/>
              </w:rPr>
              <w:t>not</w:t>
            </w:r>
            <w:r>
              <w:rPr>
                <w:spacing w:val="-6"/>
                <w:sz w:val="20"/>
              </w:rPr>
              <w:t> </w:t>
            </w:r>
            <w:r>
              <w:rPr>
                <w:sz w:val="20"/>
              </w:rPr>
              <w:t>fewer</w:t>
            </w:r>
            <w:r>
              <w:rPr>
                <w:spacing w:val="-6"/>
                <w:sz w:val="20"/>
              </w:rPr>
              <w:t> </w:t>
            </w:r>
            <w:r>
              <w:rPr>
                <w:sz w:val="20"/>
              </w:rPr>
              <w:t>than</w:t>
            </w:r>
            <w:r>
              <w:rPr>
                <w:spacing w:val="-6"/>
                <w:sz w:val="20"/>
              </w:rPr>
              <w:t> </w:t>
            </w:r>
            <w:r>
              <w:rPr>
                <w:sz w:val="20"/>
              </w:rPr>
              <w:t>90 days before the child will no longer be eligible under subsection (a)(2) of this section to receive early intervention services under this section; (B) With the approval of the parents of the child, convening a transition conference, among the lead agency, the parents, and the LEA, not fewer than 90 days—and, at the discretion of all parties, not more than 9 months—before the child will no longer be eligible under subsection (a)(2) of this section to receive, or will no longer receive, early intervention services under this section, to discuss any services that the child may receive under Part B of the Act; and</w:t>
            </w:r>
          </w:p>
          <w:p>
            <w:pPr>
              <w:pStyle w:val="TableParagraph"/>
              <w:ind w:left="834" w:right="183"/>
              <w:rPr>
                <w:sz w:val="20"/>
              </w:rPr>
            </w:pPr>
            <w:r>
              <w:rPr>
                <w:sz w:val="20"/>
              </w:rPr>
              <w:t>(C) Establishing a transition plan in the IFSP not fewer than 90 days—and, at the discretion of all parties, not more than 9 months—before the child will</w:t>
            </w:r>
            <w:r>
              <w:rPr>
                <w:spacing w:val="-5"/>
                <w:sz w:val="20"/>
              </w:rPr>
              <w:t> </w:t>
            </w:r>
            <w:r>
              <w:rPr>
                <w:sz w:val="20"/>
              </w:rPr>
              <w:t>no</w:t>
            </w:r>
            <w:r>
              <w:rPr>
                <w:spacing w:val="-5"/>
                <w:sz w:val="20"/>
              </w:rPr>
              <w:t> </w:t>
            </w:r>
            <w:r>
              <w:rPr>
                <w:sz w:val="20"/>
              </w:rPr>
              <w:t>longer</w:t>
            </w:r>
            <w:r>
              <w:rPr>
                <w:spacing w:val="-5"/>
                <w:sz w:val="20"/>
              </w:rPr>
              <w:t> </w:t>
            </w:r>
            <w:r>
              <w:rPr>
                <w:sz w:val="20"/>
              </w:rPr>
              <w:t>be</w:t>
            </w:r>
            <w:r>
              <w:rPr>
                <w:spacing w:val="-5"/>
                <w:sz w:val="20"/>
              </w:rPr>
              <w:t> </w:t>
            </w:r>
            <w:r>
              <w:rPr>
                <w:sz w:val="20"/>
              </w:rPr>
              <w:t>eligible</w:t>
            </w:r>
            <w:r>
              <w:rPr>
                <w:spacing w:val="-5"/>
                <w:sz w:val="20"/>
              </w:rPr>
              <w:t> </w:t>
            </w:r>
            <w:r>
              <w:rPr>
                <w:sz w:val="20"/>
              </w:rPr>
              <w:t>under</w:t>
            </w:r>
            <w:r>
              <w:rPr>
                <w:spacing w:val="-5"/>
                <w:sz w:val="20"/>
              </w:rPr>
              <w:t> </w:t>
            </w:r>
            <w:r>
              <w:rPr>
                <w:sz w:val="20"/>
              </w:rPr>
              <w:t>subsection</w:t>
            </w:r>
            <w:r>
              <w:rPr>
                <w:spacing w:val="-5"/>
                <w:sz w:val="20"/>
              </w:rPr>
              <w:t> </w:t>
            </w:r>
            <w:r>
              <w:rPr>
                <w:sz w:val="20"/>
              </w:rPr>
              <w:t>(a)(2)</w:t>
            </w:r>
            <w:r>
              <w:rPr>
                <w:spacing w:val="-5"/>
                <w:sz w:val="20"/>
              </w:rPr>
              <w:t> </w:t>
            </w:r>
            <w:r>
              <w:rPr>
                <w:sz w:val="20"/>
              </w:rPr>
              <w:t>of this</w:t>
            </w:r>
            <w:r>
              <w:rPr>
                <w:spacing w:val="-2"/>
                <w:sz w:val="20"/>
              </w:rPr>
              <w:t> </w:t>
            </w:r>
            <w:r>
              <w:rPr>
                <w:sz w:val="20"/>
              </w:rPr>
              <w:t>section</w:t>
            </w:r>
            <w:r>
              <w:rPr>
                <w:spacing w:val="-2"/>
                <w:sz w:val="20"/>
              </w:rPr>
              <w:t> </w:t>
            </w:r>
            <w:r>
              <w:rPr>
                <w:sz w:val="20"/>
              </w:rPr>
              <w:t>to</w:t>
            </w:r>
            <w:r>
              <w:rPr>
                <w:spacing w:val="-2"/>
                <w:sz w:val="20"/>
              </w:rPr>
              <w:t> </w:t>
            </w:r>
            <w:r>
              <w:rPr>
                <w:sz w:val="20"/>
              </w:rPr>
              <w:t>receive,</w:t>
            </w:r>
            <w:r>
              <w:rPr>
                <w:spacing w:val="-2"/>
                <w:sz w:val="20"/>
              </w:rPr>
              <w:t> </w:t>
            </w:r>
            <w:r>
              <w:rPr>
                <w:sz w:val="20"/>
              </w:rPr>
              <w:t>or</w:t>
            </w:r>
            <w:r>
              <w:rPr>
                <w:spacing w:val="-2"/>
                <w:sz w:val="20"/>
              </w:rPr>
              <w:t> </w:t>
            </w:r>
            <w:r>
              <w:rPr>
                <w:sz w:val="20"/>
              </w:rPr>
              <w:t>no</w:t>
            </w:r>
            <w:r>
              <w:rPr>
                <w:spacing w:val="-2"/>
                <w:sz w:val="20"/>
              </w:rPr>
              <w:t> </w:t>
            </w:r>
            <w:r>
              <w:rPr>
                <w:sz w:val="20"/>
              </w:rPr>
              <w:t>longer</w:t>
            </w:r>
            <w:r>
              <w:rPr>
                <w:spacing w:val="-2"/>
                <w:sz w:val="20"/>
              </w:rPr>
              <w:t> </w:t>
            </w:r>
            <w:r>
              <w:rPr>
                <w:sz w:val="20"/>
              </w:rPr>
              <w:t>receives,</w:t>
            </w:r>
            <w:r>
              <w:rPr>
                <w:spacing w:val="-2"/>
                <w:sz w:val="20"/>
              </w:rPr>
              <w:t> </w:t>
            </w:r>
            <w:r>
              <w:rPr>
                <w:sz w:val="20"/>
              </w:rPr>
              <w:t>early intervention services under this section.</w:t>
            </w:r>
          </w:p>
          <w:p>
            <w:pPr>
              <w:pStyle w:val="TableParagraph"/>
              <w:ind w:left="1323" w:right="105" w:hanging="403"/>
              <w:rPr>
                <w:sz w:val="20"/>
              </w:rPr>
            </w:pPr>
            <w:r>
              <w:rPr>
                <w:sz w:val="20"/>
              </w:rPr>
              <w:t>(7)</w:t>
            </w:r>
            <w:r>
              <w:rPr>
                <w:spacing w:val="80"/>
                <w:w w:val="150"/>
                <w:sz w:val="20"/>
              </w:rPr>
              <w:t> </w:t>
            </w:r>
            <w:r>
              <w:rPr>
                <w:sz w:val="20"/>
              </w:rPr>
              <w:t>In States that adopt the option to make</w:t>
            </w:r>
            <w:r>
              <w:rPr>
                <w:spacing w:val="40"/>
                <w:sz w:val="20"/>
              </w:rPr>
              <w:t> </w:t>
            </w:r>
            <w:r>
              <w:rPr>
                <w:sz w:val="20"/>
              </w:rPr>
              <w:t>services under Part C available to children</w:t>
            </w:r>
            <w:r>
              <w:rPr>
                <w:spacing w:val="40"/>
                <w:sz w:val="20"/>
              </w:rPr>
              <w:t> </w:t>
            </w:r>
            <w:r>
              <w:rPr>
                <w:sz w:val="20"/>
              </w:rPr>
              <w:t>ages three and older pursuant to §303.211, there will be a referral to the Part C system, dependent upon parental consent, of a child under</w:t>
            </w:r>
            <w:r>
              <w:rPr>
                <w:spacing w:val="-6"/>
                <w:sz w:val="20"/>
              </w:rPr>
              <w:t> </w:t>
            </w:r>
            <w:r>
              <w:rPr>
                <w:sz w:val="20"/>
              </w:rPr>
              <w:t>the</w:t>
            </w:r>
            <w:r>
              <w:rPr>
                <w:spacing w:val="-6"/>
                <w:sz w:val="20"/>
              </w:rPr>
              <w:t> </w:t>
            </w:r>
            <w:r>
              <w:rPr>
                <w:sz w:val="20"/>
              </w:rPr>
              <w:t>age</w:t>
            </w:r>
            <w:r>
              <w:rPr>
                <w:spacing w:val="-6"/>
                <w:sz w:val="20"/>
              </w:rPr>
              <w:t> </w:t>
            </w:r>
            <w:r>
              <w:rPr>
                <w:sz w:val="20"/>
              </w:rPr>
              <w:t>of</w:t>
            </w:r>
            <w:r>
              <w:rPr>
                <w:spacing w:val="-6"/>
                <w:sz w:val="20"/>
              </w:rPr>
              <w:t> </w:t>
            </w:r>
            <w:r>
              <w:rPr>
                <w:sz w:val="20"/>
              </w:rPr>
              <w:t>three</w:t>
            </w:r>
            <w:r>
              <w:rPr>
                <w:spacing w:val="-6"/>
                <w:sz w:val="20"/>
              </w:rPr>
              <w:t> </w:t>
            </w:r>
            <w:r>
              <w:rPr>
                <w:sz w:val="20"/>
              </w:rPr>
              <w:t>who</w:t>
            </w:r>
            <w:r>
              <w:rPr>
                <w:spacing w:val="-6"/>
                <w:sz w:val="20"/>
              </w:rPr>
              <w:t> </w:t>
            </w:r>
            <w:r>
              <w:rPr>
                <w:sz w:val="20"/>
              </w:rPr>
              <w:t>directly</w:t>
            </w:r>
            <w:r>
              <w:rPr>
                <w:spacing w:val="-6"/>
                <w:sz w:val="20"/>
              </w:rPr>
              <w:t> </w:t>
            </w:r>
            <w:r>
              <w:rPr>
                <w:sz w:val="20"/>
              </w:rPr>
              <w:t>experiences a substantiated case of trauma due to</w:t>
            </w:r>
            <w:r>
              <w:rPr>
                <w:spacing w:val="40"/>
                <w:sz w:val="20"/>
              </w:rPr>
              <w:t> </w:t>
            </w:r>
            <w:r>
              <w:rPr>
                <w:sz w:val="20"/>
              </w:rPr>
              <w:t>exposure to family violence, as defined in section 320 of the Family Violence Prevention and Services Act, 42 U.S.C. 10401, et seq.</w:t>
            </w:r>
          </w:p>
          <w:p>
            <w:pPr>
              <w:pStyle w:val="TableParagraph"/>
              <w:spacing w:line="237" w:lineRule="auto" w:before="2"/>
              <w:ind w:left="920" w:right="149" w:hanging="403"/>
              <w:rPr>
                <w:sz w:val="20"/>
              </w:rPr>
            </w:pPr>
            <w:r>
              <w:rPr>
                <w:sz w:val="20"/>
              </w:rPr>
              <w:t>(c)</w:t>
            </w:r>
            <w:r>
              <w:rPr>
                <w:spacing w:val="80"/>
                <w:sz w:val="20"/>
              </w:rPr>
              <w:t> </w:t>
            </w:r>
            <w:r>
              <w:rPr>
                <w:sz w:val="20"/>
                <w:u w:val="single"/>
              </w:rPr>
              <w:t>Reporting requirement</w:t>
            </w:r>
            <w:r>
              <w:rPr>
                <w:sz w:val="20"/>
                <w:u w:val="none"/>
              </w:rPr>
              <w:t>. If a State includes in its application</w:t>
            </w:r>
            <w:r>
              <w:rPr>
                <w:spacing w:val="-9"/>
                <w:sz w:val="20"/>
                <w:u w:val="none"/>
              </w:rPr>
              <w:t> </w:t>
            </w:r>
            <w:r>
              <w:rPr>
                <w:sz w:val="20"/>
                <w:u w:val="none"/>
              </w:rPr>
              <w:t>a</w:t>
            </w:r>
            <w:r>
              <w:rPr>
                <w:spacing w:val="-9"/>
                <w:sz w:val="20"/>
                <w:u w:val="none"/>
              </w:rPr>
              <w:t> </w:t>
            </w:r>
            <w:r>
              <w:rPr>
                <w:sz w:val="20"/>
                <w:u w:val="none"/>
              </w:rPr>
              <w:t>State</w:t>
            </w:r>
            <w:r>
              <w:rPr>
                <w:spacing w:val="-9"/>
                <w:sz w:val="20"/>
                <w:u w:val="none"/>
              </w:rPr>
              <w:t> </w:t>
            </w:r>
            <w:r>
              <w:rPr>
                <w:sz w:val="20"/>
                <w:u w:val="none"/>
              </w:rPr>
              <w:t>policy</w:t>
            </w:r>
            <w:r>
              <w:rPr>
                <w:spacing w:val="-9"/>
                <w:sz w:val="20"/>
                <w:u w:val="none"/>
              </w:rPr>
              <w:t> </w:t>
            </w:r>
            <w:r>
              <w:rPr>
                <w:sz w:val="20"/>
                <w:u w:val="none"/>
              </w:rPr>
              <w:t>described</w:t>
            </w:r>
            <w:r>
              <w:rPr>
                <w:spacing w:val="-9"/>
                <w:sz w:val="20"/>
                <w:u w:val="none"/>
              </w:rPr>
              <w:t> </w:t>
            </w:r>
            <w:r>
              <w:rPr>
                <w:sz w:val="20"/>
                <w:u w:val="none"/>
              </w:rPr>
              <w:t>in</w:t>
            </w:r>
            <w:r>
              <w:rPr>
                <w:spacing w:val="-10"/>
                <w:sz w:val="20"/>
                <w:u w:val="none"/>
              </w:rPr>
              <w:t> </w:t>
            </w:r>
            <w:r>
              <w:rPr>
                <w:sz w:val="20"/>
                <w:u w:val="none"/>
              </w:rPr>
              <w:t>§303.211(a), the State must submit to the Secretary, in the</w:t>
            </w:r>
          </w:p>
          <w:p>
            <w:pPr>
              <w:pStyle w:val="TableParagraph"/>
              <w:spacing w:line="215" w:lineRule="exact" w:before="2"/>
              <w:ind w:left="920"/>
              <w:rPr>
                <w:sz w:val="20"/>
              </w:rPr>
            </w:pPr>
            <w:r>
              <w:rPr>
                <w:sz w:val="20"/>
              </w:rPr>
              <w:t>State’s</w:t>
            </w:r>
            <w:r>
              <w:rPr>
                <w:spacing w:val="-7"/>
                <w:sz w:val="20"/>
              </w:rPr>
              <w:t> </w:t>
            </w:r>
            <w:r>
              <w:rPr>
                <w:sz w:val="20"/>
              </w:rPr>
              <w:t>report</w:t>
            </w:r>
            <w:r>
              <w:rPr>
                <w:spacing w:val="-7"/>
                <w:sz w:val="20"/>
              </w:rPr>
              <w:t> </w:t>
            </w:r>
            <w:r>
              <w:rPr>
                <w:sz w:val="20"/>
              </w:rPr>
              <w:t>under</w:t>
            </w:r>
            <w:r>
              <w:rPr>
                <w:spacing w:val="-7"/>
                <w:sz w:val="20"/>
              </w:rPr>
              <w:t> </w:t>
            </w:r>
            <w:r>
              <w:rPr>
                <w:sz w:val="20"/>
              </w:rPr>
              <w:t>§303.124,</w:t>
            </w:r>
            <w:r>
              <w:rPr>
                <w:spacing w:val="-7"/>
                <w:sz w:val="20"/>
              </w:rPr>
              <w:t> </w:t>
            </w:r>
            <w:r>
              <w:rPr>
                <w:sz w:val="20"/>
              </w:rPr>
              <w:t>the</w:t>
            </w:r>
            <w:r>
              <w:rPr>
                <w:spacing w:val="-7"/>
                <w:sz w:val="20"/>
              </w:rPr>
              <w:t> </w:t>
            </w:r>
            <w:r>
              <w:rPr>
                <w:sz w:val="20"/>
              </w:rPr>
              <w:t>number</w:t>
            </w:r>
            <w:r>
              <w:rPr>
                <w:spacing w:val="-6"/>
                <w:sz w:val="20"/>
              </w:rPr>
              <w:t> </w:t>
            </w:r>
            <w:r>
              <w:rPr>
                <w:spacing w:val="-5"/>
                <w:sz w:val="20"/>
              </w:rPr>
              <w:t>and</w:t>
            </w:r>
          </w:p>
        </w:tc>
      </w:tr>
    </w:tbl>
    <w:p>
      <w:pPr>
        <w:pStyle w:val="TableParagraph"/>
        <w:spacing w:after="0" w:line="215" w:lineRule="exact"/>
        <w:rPr>
          <w:sz w:val="20"/>
        </w:rPr>
        <w:sectPr>
          <w:type w:val="continuous"/>
          <w:pgSz w:w="12240" w:h="15840"/>
          <w:pgMar w:header="0" w:footer="879" w:top="1420" w:bottom="1446" w:left="720" w:right="720"/>
        </w:sectPr>
      </w:pPr>
    </w:p>
    <w:tbl>
      <w:tblPr>
        <w:tblW w:w="0" w:type="auto"/>
        <w:jc w:val="left"/>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2"/>
        <w:gridCol w:w="720"/>
        <w:gridCol w:w="725"/>
        <w:gridCol w:w="1551"/>
        <w:gridCol w:w="5643"/>
      </w:tblGrid>
      <w:tr>
        <w:trPr>
          <w:trHeight w:val="459" w:hRule="atLeast"/>
        </w:trPr>
        <w:tc>
          <w:tcPr>
            <w:tcW w:w="722" w:type="dxa"/>
            <w:tcBorders>
              <w:left w:val="single" w:sz="12" w:space="0" w:color="000000"/>
              <w:bottom w:val="single" w:sz="12" w:space="0" w:color="000000"/>
            </w:tcBorders>
            <w:shd w:val="clear" w:color="auto" w:fill="F2F2F2"/>
          </w:tcPr>
          <w:p>
            <w:pPr>
              <w:pStyle w:val="TableParagraph"/>
              <w:spacing w:line="230" w:lineRule="exact"/>
              <w:ind w:left="285" w:right="130" w:hanging="134"/>
              <w:rPr>
                <w:b/>
                <w:sz w:val="20"/>
              </w:rPr>
            </w:pPr>
            <w:r>
              <w:rPr>
                <w:b/>
                <w:spacing w:val="-6"/>
                <w:sz w:val="20"/>
              </w:rPr>
              <w:t>Yes: </w:t>
            </w:r>
            <w:r>
              <w:rPr>
                <w:b/>
                <w:spacing w:val="-10"/>
                <w:sz w:val="20"/>
              </w:rPr>
              <w:t>N</w:t>
            </w:r>
          </w:p>
        </w:tc>
        <w:tc>
          <w:tcPr>
            <w:tcW w:w="720" w:type="dxa"/>
            <w:tcBorders>
              <w:bottom w:val="single" w:sz="12" w:space="0" w:color="000000"/>
            </w:tcBorders>
            <w:shd w:val="clear" w:color="auto" w:fill="F2F2F2"/>
          </w:tcPr>
          <w:p>
            <w:pPr>
              <w:pStyle w:val="TableParagraph"/>
              <w:spacing w:line="230" w:lineRule="exact"/>
              <w:ind w:left="296" w:right="124" w:hanging="134"/>
              <w:rPr>
                <w:b/>
                <w:sz w:val="20"/>
              </w:rPr>
            </w:pPr>
            <w:r>
              <w:rPr>
                <w:b/>
                <w:spacing w:val="-6"/>
                <w:sz w:val="20"/>
              </w:rPr>
              <w:t>Yes: </w:t>
            </w:r>
            <w:r>
              <w:rPr>
                <w:b/>
                <w:spacing w:val="-10"/>
                <w:sz w:val="20"/>
              </w:rPr>
              <w:t>R</w:t>
            </w:r>
          </w:p>
        </w:tc>
        <w:tc>
          <w:tcPr>
            <w:tcW w:w="725" w:type="dxa"/>
            <w:tcBorders>
              <w:bottom w:val="single" w:sz="12" w:space="0" w:color="000000"/>
            </w:tcBorders>
            <w:shd w:val="clear" w:color="auto" w:fill="F2F2F2"/>
          </w:tcPr>
          <w:p>
            <w:pPr>
              <w:pStyle w:val="TableParagraph"/>
              <w:spacing w:line="230" w:lineRule="exact"/>
              <w:ind w:left="229" w:right="129" w:hanging="67"/>
              <w:rPr>
                <w:b/>
                <w:sz w:val="20"/>
              </w:rPr>
            </w:pPr>
            <w:r>
              <w:rPr>
                <w:b/>
                <w:spacing w:val="-6"/>
                <w:sz w:val="20"/>
              </w:rPr>
              <w:t>Yes: OF</w:t>
            </w:r>
          </w:p>
        </w:tc>
        <w:tc>
          <w:tcPr>
            <w:tcW w:w="1551" w:type="dxa"/>
            <w:tcBorders>
              <w:bottom w:val="single" w:sz="12" w:space="0" w:color="000000"/>
            </w:tcBorders>
            <w:shd w:val="clear" w:color="auto" w:fill="F2F2F2"/>
          </w:tcPr>
          <w:p>
            <w:pPr>
              <w:pStyle w:val="TableParagraph"/>
              <w:spacing w:line="210" w:lineRule="exact" w:before="229"/>
              <w:ind w:left="29"/>
              <w:jc w:val="center"/>
              <w:rPr>
                <w:b/>
                <w:sz w:val="20"/>
              </w:rPr>
            </w:pPr>
            <w:r>
              <w:rPr>
                <w:b/>
                <w:spacing w:val="-5"/>
                <w:sz w:val="20"/>
              </w:rPr>
              <w:t>No</w:t>
            </w:r>
          </w:p>
        </w:tc>
        <w:tc>
          <w:tcPr>
            <w:tcW w:w="5643" w:type="dxa"/>
            <w:tcBorders>
              <w:bottom w:val="single" w:sz="12" w:space="0" w:color="000000"/>
              <w:right w:val="single" w:sz="12" w:space="0" w:color="000000"/>
            </w:tcBorders>
            <w:shd w:val="clear" w:color="auto" w:fill="F2F2F2"/>
          </w:tcPr>
          <w:p>
            <w:pPr>
              <w:pStyle w:val="TableParagraph"/>
              <w:spacing w:line="210" w:lineRule="exact" w:before="229"/>
              <w:ind w:left="237"/>
              <w:rPr>
                <w:b/>
                <w:sz w:val="20"/>
              </w:rPr>
            </w:pPr>
            <w:r>
              <w:rPr>
                <w:b/>
                <w:sz w:val="20"/>
              </w:rPr>
              <w:t>State</w:t>
            </w:r>
            <w:r>
              <w:rPr>
                <w:b/>
                <w:spacing w:val="-10"/>
                <w:sz w:val="20"/>
              </w:rPr>
              <w:t> </w:t>
            </w:r>
            <w:r>
              <w:rPr>
                <w:b/>
                <w:sz w:val="20"/>
              </w:rPr>
              <w:t>Policies,</w:t>
            </w:r>
            <w:r>
              <w:rPr>
                <w:b/>
                <w:spacing w:val="-10"/>
                <w:sz w:val="20"/>
              </w:rPr>
              <w:t> </w:t>
            </w:r>
            <w:r>
              <w:rPr>
                <w:b/>
                <w:sz w:val="20"/>
              </w:rPr>
              <w:t>Procedures,</w:t>
            </w:r>
            <w:r>
              <w:rPr>
                <w:b/>
                <w:spacing w:val="-9"/>
                <w:sz w:val="20"/>
              </w:rPr>
              <w:t> </w:t>
            </w:r>
            <w:r>
              <w:rPr>
                <w:b/>
                <w:sz w:val="20"/>
              </w:rPr>
              <w:t>Methods,</w:t>
            </w:r>
            <w:r>
              <w:rPr>
                <w:b/>
                <w:spacing w:val="-10"/>
                <w:sz w:val="20"/>
              </w:rPr>
              <w:t> </w:t>
            </w:r>
            <w:r>
              <w:rPr>
                <w:b/>
                <w:sz w:val="20"/>
              </w:rPr>
              <w:t>and</w:t>
            </w:r>
            <w:r>
              <w:rPr>
                <w:b/>
                <w:spacing w:val="-9"/>
                <w:sz w:val="20"/>
              </w:rPr>
              <w:t> </w:t>
            </w:r>
            <w:r>
              <w:rPr>
                <w:b/>
                <w:spacing w:val="-2"/>
                <w:sz w:val="20"/>
              </w:rPr>
              <w:t>Descriptions</w:t>
            </w:r>
          </w:p>
        </w:tc>
      </w:tr>
      <w:tr>
        <w:trPr>
          <w:trHeight w:val="7952" w:hRule="atLeast"/>
        </w:trPr>
        <w:tc>
          <w:tcPr>
            <w:tcW w:w="722" w:type="dxa"/>
            <w:tcBorders>
              <w:top w:val="single" w:sz="12" w:space="0" w:color="000000"/>
              <w:left w:val="single" w:sz="12" w:space="0" w:color="000000"/>
              <w:bottom w:val="single" w:sz="12" w:space="0" w:color="000000"/>
            </w:tcBorders>
          </w:tcPr>
          <w:p>
            <w:pPr>
              <w:pStyle w:val="TableParagraph"/>
              <w:rPr>
                <w:rFonts w:ascii="Times New Roman"/>
                <w:sz w:val="18"/>
              </w:rPr>
            </w:pPr>
          </w:p>
        </w:tc>
        <w:tc>
          <w:tcPr>
            <w:tcW w:w="720" w:type="dxa"/>
            <w:tcBorders>
              <w:top w:val="single" w:sz="12" w:space="0" w:color="000000"/>
              <w:bottom w:val="single" w:sz="12" w:space="0" w:color="000000"/>
            </w:tcBorders>
          </w:tcPr>
          <w:p>
            <w:pPr>
              <w:pStyle w:val="TableParagraph"/>
              <w:rPr>
                <w:rFonts w:ascii="Times New Roman"/>
                <w:sz w:val="18"/>
              </w:rPr>
            </w:pPr>
          </w:p>
        </w:tc>
        <w:tc>
          <w:tcPr>
            <w:tcW w:w="725" w:type="dxa"/>
            <w:tcBorders>
              <w:top w:val="single" w:sz="12" w:space="0" w:color="000000"/>
              <w:bottom w:val="single" w:sz="12" w:space="0" w:color="000000"/>
            </w:tcBorders>
          </w:tcPr>
          <w:p>
            <w:pPr>
              <w:pStyle w:val="TableParagraph"/>
              <w:rPr>
                <w:rFonts w:ascii="Times New Roman"/>
                <w:sz w:val="18"/>
              </w:rPr>
            </w:pPr>
          </w:p>
        </w:tc>
        <w:tc>
          <w:tcPr>
            <w:tcW w:w="1551" w:type="dxa"/>
            <w:tcBorders>
              <w:top w:val="single" w:sz="12" w:space="0" w:color="000000"/>
              <w:bottom w:val="single" w:sz="12" w:space="0" w:color="000000"/>
            </w:tcBorders>
          </w:tcPr>
          <w:p>
            <w:pPr>
              <w:pStyle w:val="TableParagraph"/>
              <w:rPr>
                <w:rFonts w:ascii="Times New Roman"/>
                <w:sz w:val="18"/>
              </w:rPr>
            </w:pPr>
          </w:p>
        </w:tc>
        <w:tc>
          <w:tcPr>
            <w:tcW w:w="5643" w:type="dxa"/>
            <w:tcBorders>
              <w:top w:val="single" w:sz="12" w:space="0" w:color="000000"/>
              <w:bottom w:val="single" w:sz="12" w:space="0" w:color="000000"/>
              <w:right w:val="single" w:sz="12" w:space="0" w:color="000000"/>
            </w:tcBorders>
          </w:tcPr>
          <w:p>
            <w:pPr>
              <w:pStyle w:val="TableParagraph"/>
              <w:ind w:left="920" w:right="92"/>
              <w:rPr>
                <w:sz w:val="20"/>
              </w:rPr>
            </w:pPr>
            <w:r>
              <w:rPr>
                <w:sz w:val="20"/>
              </w:rPr>
              <w:t>percentage of children with disabilities who are eligible</w:t>
            </w:r>
            <w:r>
              <w:rPr>
                <w:spacing w:val="-5"/>
                <w:sz w:val="20"/>
              </w:rPr>
              <w:t> </w:t>
            </w:r>
            <w:r>
              <w:rPr>
                <w:sz w:val="20"/>
              </w:rPr>
              <w:t>for</w:t>
            </w:r>
            <w:r>
              <w:rPr>
                <w:spacing w:val="-5"/>
                <w:sz w:val="20"/>
              </w:rPr>
              <w:t> </w:t>
            </w:r>
            <w:r>
              <w:rPr>
                <w:sz w:val="20"/>
              </w:rPr>
              <w:t>services</w:t>
            </w:r>
            <w:r>
              <w:rPr>
                <w:spacing w:val="-5"/>
                <w:sz w:val="20"/>
              </w:rPr>
              <w:t> </w:t>
            </w:r>
            <w:r>
              <w:rPr>
                <w:sz w:val="20"/>
              </w:rPr>
              <w:t>under</w:t>
            </w:r>
            <w:r>
              <w:rPr>
                <w:spacing w:val="-5"/>
                <w:sz w:val="20"/>
              </w:rPr>
              <w:t> </w:t>
            </w:r>
            <w:r>
              <w:rPr>
                <w:sz w:val="20"/>
              </w:rPr>
              <w:t>section</w:t>
            </w:r>
            <w:r>
              <w:rPr>
                <w:spacing w:val="-5"/>
                <w:sz w:val="20"/>
              </w:rPr>
              <w:t> </w:t>
            </w:r>
            <w:r>
              <w:rPr>
                <w:sz w:val="20"/>
              </w:rPr>
              <w:t>619</w:t>
            </w:r>
            <w:r>
              <w:rPr>
                <w:spacing w:val="-5"/>
                <w:sz w:val="20"/>
              </w:rPr>
              <w:t> </w:t>
            </w:r>
            <w:r>
              <w:rPr>
                <w:sz w:val="20"/>
              </w:rPr>
              <w:t>of</w:t>
            </w:r>
            <w:r>
              <w:rPr>
                <w:spacing w:val="-5"/>
                <w:sz w:val="20"/>
              </w:rPr>
              <w:t> </w:t>
            </w:r>
            <w:r>
              <w:rPr>
                <w:sz w:val="20"/>
              </w:rPr>
              <w:t>the</w:t>
            </w:r>
            <w:r>
              <w:rPr>
                <w:spacing w:val="-14"/>
                <w:sz w:val="20"/>
              </w:rPr>
              <w:t> </w:t>
            </w:r>
            <w:r>
              <w:rPr>
                <w:sz w:val="20"/>
              </w:rPr>
              <w:t>Act</w:t>
            </w:r>
            <w:r>
              <w:rPr>
                <w:spacing w:val="-5"/>
                <w:sz w:val="20"/>
              </w:rPr>
              <w:t> </w:t>
            </w:r>
            <w:r>
              <w:rPr>
                <w:sz w:val="20"/>
              </w:rPr>
              <w:t>but whose parents choose for their children to continue to receive early intervention services under</w:t>
            </w:r>
          </w:p>
          <w:p>
            <w:pPr>
              <w:pStyle w:val="TableParagraph"/>
              <w:ind w:left="920"/>
              <w:rPr>
                <w:sz w:val="20"/>
              </w:rPr>
            </w:pPr>
            <w:r>
              <w:rPr>
                <w:spacing w:val="-2"/>
                <w:sz w:val="20"/>
              </w:rPr>
              <w:t>§303.211.</w:t>
            </w:r>
          </w:p>
          <w:p>
            <w:pPr>
              <w:pStyle w:val="TableParagraph"/>
              <w:numPr>
                <w:ilvl w:val="0"/>
                <w:numId w:val="13"/>
              </w:numPr>
              <w:tabs>
                <w:tab w:pos="919" w:val="left" w:leader="none"/>
              </w:tabs>
              <w:spacing w:line="240" w:lineRule="auto" w:before="1" w:after="0"/>
              <w:ind w:left="919" w:right="0" w:hanging="402"/>
              <w:jc w:val="left"/>
              <w:rPr>
                <w:sz w:val="20"/>
              </w:rPr>
            </w:pPr>
            <w:r>
              <w:rPr>
                <w:sz w:val="20"/>
                <w:u w:val="single"/>
              </w:rPr>
              <w:t>Available</w:t>
            </w:r>
            <w:r>
              <w:rPr>
                <w:spacing w:val="-8"/>
                <w:sz w:val="20"/>
                <w:u w:val="single"/>
              </w:rPr>
              <w:t> </w:t>
            </w:r>
            <w:r>
              <w:rPr>
                <w:sz w:val="20"/>
                <w:u w:val="single"/>
              </w:rPr>
              <w:t>funds</w:t>
            </w:r>
            <w:r>
              <w:rPr>
                <w:sz w:val="20"/>
                <w:u w:val="none"/>
              </w:rPr>
              <w:t>.</w:t>
            </w:r>
            <w:r>
              <w:rPr>
                <w:spacing w:val="-11"/>
                <w:sz w:val="20"/>
                <w:u w:val="none"/>
              </w:rPr>
              <w:t> </w:t>
            </w:r>
            <w:r>
              <w:rPr>
                <w:sz w:val="20"/>
                <w:u w:val="none"/>
              </w:rPr>
              <w:t>The</w:t>
            </w:r>
            <w:r>
              <w:rPr>
                <w:spacing w:val="-7"/>
                <w:sz w:val="20"/>
                <w:u w:val="none"/>
              </w:rPr>
              <w:t> </w:t>
            </w:r>
            <w:r>
              <w:rPr>
                <w:sz w:val="20"/>
                <w:u w:val="none"/>
              </w:rPr>
              <w:t>State</w:t>
            </w:r>
            <w:r>
              <w:rPr>
                <w:spacing w:val="-8"/>
                <w:sz w:val="20"/>
                <w:u w:val="none"/>
              </w:rPr>
              <w:t> </w:t>
            </w:r>
            <w:r>
              <w:rPr>
                <w:sz w:val="20"/>
                <w:u w:val="none"/>
              </w:rPr>
              <w:t>policy</w:t>
            </w:r>
            <w:r>
              <w:rPr>
                <w:spacing w:val="-7"/>
                <w:sz w:val="20"/>
                <w:u w:val="none"/>
              </w:rPr>
              <w:t> </w:t>
            </w:r>
            <w:r>
              <w:rPr>
                <w:sz w:val="20"/>
                <w:u w:val="none"/>
              </w:rPr>
              <w:t>described</w:t>
            </w:r>
            <w:r>
              <w:rPr>
                <w:spacing w:val="-8"/>
                <w:sz w:val="20"/>
                <w:u w:val="none"/>
              </w:rPr>
              <w:t> </w:t>
            </w:r>
            <w:r>
              <w:rPr>
                <w:spacing w:val="-5"/>
                <w:sz w:val="20"/>
                <w:u w:val="none"/>
              </w:rPr>
              <w:t>in</w:t>
            </w:r>
          </w:p>
          <w:p>
            <w:pPr>
              <w:pStyle w:val="TableParagraph"/>
              <w:spacing w:line="237" w:lineRule="auto" w:before="2"/>
              <w:ind w:left="920" w:right="172"/>
              <w:jc w:val="both"/>
              <w:rPr>
                <w:sz w:val="20"/>
              </w:rPr>
            </w:pPr>
            <w:r>
              <w:rPr>
                <w:sz w:val="20"/>
              </w:rPr>
              <w:t>§303.211(a)</w:t>
            </w:r>
            <w:r>
              <w:rPr>
                <w:spacing w:val="-8"/>
                <w:sz w:val="20"/>
              </w:rPr>
              <w:t> </w:t>
            </w:r>
            <w:r>
              <w:rPr>
                <w:sz w:val="20"/>
              </w:rPr>
              <w:t>must</w:t>
            </w:r>
            <w:r>
              <w:rPr>
                <w:spacing w:val="-8"/>
                <w:sz w:val="20"/>
              </w:rPr>
              <w:t> </w:t>
            </w:r>
            <w:r>
              <w:rPr>
                <w:sz w:val="20"/>
              </w:rPr>
              <w:t>describe</w:t>
            </w:r>
            <w:r>
              <w:rPr>
                <w:spacing w:val="-8"/>
                <w:sz w:val="20"/>
              </w:rPr>
              <w:t> </w:t>
            </w:r>
            <w:r>
              <w:rPr>
                <w:sz w:val="20"/>
              </w:rPr>
              <w:t>the</w:t>
            </w:r>
            <w:r>
              <w:rPr>
                <w:spacing w:val="-8"/>
                <w:sz w:val="20"/>
              </w:rPr>
              <w:t> </w:t>
            </w:r>
            <w:r>
              <w:rPr>
                <w:sz w:val="20"/>
              </w:rPr>
              <w:t>funds—including</w:t>
            </w:r>
            <w:r>
              <w:rPr>
                <w:spacing w:val="-8"/>
                <w:sz w:val="20"/>
              </w:rPr>
              <w:t> </w:t>
            </w:r>
            <w:r>
              <w:rPr>
                <w:sz w:val="20"/>
              </w:rPr>
              <w:t>an identification</w:t>
            </w:r>
            <w:r>
              <w:rPr>
                <w:spacing w:val="-7"/>
                <w:sz w:val="20"/>
              </w:rPr>
              <w:t> </w:t>
            </w:r>
            <w:r>
              <w:rPr>
                <w:sz w:val="20"/>
              </w:rPr>
              <w:t>as</w:t>
            </w:r>
            <w:r>
              <w:rPr>
                <w:spacing w:val="-7"/>
                <w:sz w:val="20"/>
              </w:rPr>
              <w:t> </w:t>
            </w:r>
            <w:r>
              <w:rPr>
                <w:sz w:val="20"/>
              </w:rPr>
              <w:t>Federal,</w:t>
            </w:r>
            <w:r>
              <w:rPr>
                <w:spacing w:val="-7"/>
                <w:sz w:val="20"/>
              </w:rPr>
              <w:t> </w:t>
            </w:r>
            <w:r>
              <w:rPr>
                <w:sz w:val="20"/>
              </w:rPr>
              <w:t>State,</w:t>
            </w:r>
            <w:r>
              <w:rPr>
                <w:spacing w:val="-7"/>
                <w:sz w:val="20"/>
              </w:rPr>
              <w:t> </w:t>
            </w:r>
            <w:r>
              <w:rPr>
                <w:sz w:val="20"/>
              </w:rPr>
              <w:t>or</w:t>
            </w:r>
            <w:r>
              <w:rPr>
                <w:spacing w:val="-7"/>
                <w:sz w:val="20"/>
              </w:rPr>
              <w:t> </w:t>
            </w:r>
            <w:r>
              <w:rPr>
                <w:sz w:val="20"/>
              </w:rPr>
              <w:t>local</w:t>
            </w:r>
            <w:r>
              <w:rPr>
                <w:spacing w:val="-7"/>
                <w:sz w:val="20"/>
              </w:rPr>
              <w:t> </w:t>
            </w:r>
            <w:r>
              <w:rPr>
                <w:sz w:val="20"/>
              </w:rPr>
              <w:t>funds—that will be used to ensure that the option described in</w:t>
            </w:r>
          </w:p>
          <w:p>
            <w:pPr>
              <w:pStyle w:val="TableParagraph"/>
              <w:spacing w:before="1"/>
              <w:ind w:left="920" w:right="183"/>
              <w:rPr>
                <w:sz w:val="20"/>
              </w:rPr>
            </w:pPr>
            <w:r>
              <w:rPr>
                <w:sz w:val="20"/>
              </w:rPr>
              <w:t>§303.211(a)</w:t>
            </w:r>
            <w:r>
              <w:rPr>
                <w:spacing w:val="-9"/>
                <w:sz w:val="20"/>
              </w:rPr>
              <w:t> </w:t>
            </w:r>
            <w:r>
              <w:rPr>
                <w:sz w:val="20"/>
              </w:rPr>
              <w:t>is</w:t>
            </w:r>
            <w:r>
              <w:rPr>
                <w:spacing w:val="-9"/>
                <w:sz w:val="20"/>
              </w:rPr>
              <w:t> </w:t>
            </w:r>
            <w:r>
              <w:rPr>
                <w:sz w:val="20"/>
              </w:rPr>
              <w:t>available</w:t>
            </w:r>
            <w:r>
              <w:rPr>
                <w:spacing w:val="-9"/>
                <w:sz w:val="20"/>
              </w:rPr>
              <w:t> </w:t>
            </w:r>
            <w:r>
              <w:rPr>
                <w:sz w:val="20"/>
              </w:rPr>
              <w:t>to</w:t>
            </w:r>
            <w:r>
              <w:rPr>
                <w:spacing w:val="-9"/>
                <w:sz w:val="20"/>
              </w:rPr>
              <w:t> </w:t>
            </w:r>
            <w:r>
              <w:rPr>
                <w:sz w:val="20"/>
              </w:rPr>
              <w:t>eligible</w:t>
            </w:r>
            <w:r>
              <w:rPr>
                <w:spacing w:val="-9"/>
                <w:sz w:val="20"/>
              </w:rPr>
              <w:t> </w:t>
            </w:r>
            <w:r>
              <w:rPr>
                <w:sz w:val="20"/>
              </w:rPr>
              <w:t>children</w:t>
            </w:r>
            <w:r>
              <w:rPr>
                <w:spacing w:val="-9"/>
                <w:sz w:val="20"/>
              </w:rPr>
              <w:t> </w:t>
            </w:r>
            <w:r>
              <w:rPr>
                <w:sz w:val="20"/>
              </w:rPr>
              <w:t>and families who provide the consent described in</w:t>
            </w:r>
          </w:p>
          <w:p>
            <w:pPr>
              <w:pStyle w:val="TableParagraph"/>
              <w:spacing w:before="1"/>
              <w:ind w:left="920" w:right="137"/>
              <w:rPr>
                <w:sz w:val="20"/>
              </w:rPr>
            </w:pPr>
            <w:r>
              <w:rPr>
                <w:sz w:val="20"/>
              </w:rPr>
              <w:t>§303.211(b)(5),</w:t>
            </w:r>
            <w:r>
              <w:rPr>
                <w:spacing w:val="-10"/>
                <w:sz w:val="20"/>
              </w:rPr>
              <w:t> </w:t>
            </w:r>
            <w:r>
              <w:rPr>
                <w:sz w:val="20"/>
              </w:rPr>
              <w:t>including</w:t>
            </w:r>
            <w:r>
              <w:rPr>
                <w:spacing w:val="-10"/>
                <w:sz w:val="20"/>
              </w:rPr>
              <w:t> </w:t>
            </w:r>
            <w:r>
              <w:rPr>
                <w:sz w:val="20"/>
              </w:rPr>
              <w:t>fees,</w:t>
            </w:r>
            <w:r>
              <w:rPr>
                <w:spacing w:val="-10"/>
                <w:sz w:val="20"/>
              </w:rPr>
              <w:t> </w:t>
            </w:r>
            <w:r>
              <w:rPr>
                <w:sz w:val="20"/>
              </w:rPr>
              <w:t>if</w:t>
            </w:r>
            <w:r>
              <w:rPr>
                <w:spacing w:val="-10"/>
                <w:sz w:val="20"/>
              </w:rPr>
              <w:t> </w:t>
            </w:r>
            <w:r>
              <w:rPr>
                <w:sz w:val="20"/>
              </w:rPr>
              <w:t>any,</w:t>
            </w:r>
            <w:r>
              <w:rPr>
                <w:spacing w:val="-10"/>
                <w:sz w:val="20"/>
              </w:rPr>
              <w:t> </w:t>
            </w:r>
            <w:r>
              <w:rPr>
                <w:sz w:val="20"/>
              </w:rPr>
              <w:t>to</w:t>
            </w:r>
            <w:r>
              <w:rPr>
                <w:spacing w:val="-10"/>
                <w:sz w:val="20"/>
              </w:rPr>
              <w:t> </w:t>
            </w:r>
            <w:r>
              <w:rPr>
                <w:sz w:val="20"/>
              </w:rPr>
              <w:t>be</w:t>
            </w:r>
            <w:r>
              <w:rPr>
                <w:spacing w:val="-10"/>
                <w:sz w:val="20"/>
              </w:rPr>
              <w:t> </w:t>
            </w:r>
            <w:r>
              <w:rPr>
                <w:sz w:val="20"/>
              </w:rPr>
              <w:t>charged to</w:t>
            </w:r>
            <w:r>
              <w:rPr>
                <w:spacing w:val="-6"/>
                <w:sz w:val="20"/>
              </w:rPr>
              <w:t> </w:t>
            </w:r>
            <w:r>
              <w:rPr>
                <w:sz w:val="20"/>
              </w:rPr>
              <w:t>families</w:t>
            </w:r>
            <w:r>
              <w:rPr>
                <w:spacing w:val="-5"/>
                <w:sz w:val="20"/>
              </w:rPr>
              <w:t> </w:t>
            </w:r>
            <w:r>
              <w:rPr>
                <w:sz w:val="20"/>
              </w:rPr>
              <w:t>as</w:t>
            </w:r>
            <w:r>
              <w:rPr>
                <w:spacing w:val="-5"/>
                <w:sz w:val="20"/>
              </w:rPr>
              <w:t> </w:t>
            </w:r>
            <w:r>
              <w:rPr>
                <w:sz w:val="20"/>
              </w:rPr>
              <w:t>described</w:t>
            </w:r>
            <w:r>
              <w:rPr>
                <w:spacing w:val="-5"/>
                <w:sz w:val="20"/>
              </w:rPr>
              <w:t> </w:t>
            </w:r>
            <w:r>
              <w:rPr>
                <w:sz w:val="20"/>
              </w:rPr>
              <w:t>in</w:t>
            </w:r>
            <w:r>
              <w:rPr>
                <w:spacing w:val="-5"/>
                <w:sz w:val="20"/>
              </w:rPr>
              <w:t> </w:t>
            </w:r>
            <w:r>
              <w:rPr>
                <w:sz w:val="20"/>
              </w:rPr>
              <w:t>§§303.520</w:t>
            </w:r>
            <w:r>
              <w:rPr>
                <w:spacing w:val="-5"/>
                <w:sz w:val="20"/>
              </w:rPr>
              <w:t> </w:t>
            </w:r>
            <w:r>
              <w:rPr>
                <w:sz w:val="20"/>
              </w:rPr>
              <w:t>and</w:t>
            </w:r>
            <w:r>
              <w:rPr>
                <w:spacing w:val="-5"/>
                <w:sz w:val="20"/>
              </w:rPr>
              <w:t> </w:t>
            </w:r>
            <w:r>
              <w:rPr>
                <w:spacing w:val="-2"/>
                <w:sz w:val="20"/>
              </w:rPr>
              <w:t>303.521.</w:t>
            </w:r>
          </w:p>
          <w:p>
            <w:pPr>
              <w:pStyle w:val="TableParagraph"/>
              <w:numPr>
                <w:ilvl w:val="0"/>
                <w:numId w:val="13"/>
              </w:numPr>
              <w:tabs>
                <w:tab w:pos="919" w:val="left" w:leader="none"/>
              </w:tabs>
              <w:spacing w:line="240" w:lineRule="auto" w:before="1" w:after="0"/>
              <w:ind w:left="919" w:right="0" w:hanging="402"/>
              <w:jc w:val="left"/>
              <w:rPr>
                <w:sz w:val="20"/>
              </w:rPr>
            </w:pPr>
            <w:r>
              <w:rPr>
                <w:sz w:val="20"/>
                <w:u w:val="single"/>
              </w:rPr>
              <w:t>Rules</w:t>
            </w:r>
            <w:r>
              <w:rPr>
                <w:spacing w:val="-4"/>
                <w:sz w:val="20"/>
                <w:u w:val="single"/>
              </w:rPr>
              <w:t> </w:t>
            </w:r>
            <w:r>
              <w:rPr>
                <w:sz w:val="20"/>
                <w:u w:val="single"/>
              </w:rPr>
              <w:t>of</w:t>
            </w:r>
            <w:r>
              <w:rPr>
                <w:spacing w:val="-4"/>
                <w:sz w:val="20"/>
                <w:u w:val="single"/>
              </w:rPr>
              <w:t> </w:t>
            </w:r>
            <w:r>
              <w:rPr>
                <w:spacing w:val="-2"/>
                <w:sz w:val="20"/>
                <w:u w:val="single"/>
              </w:rPr>
              <w:t>construction</w:t>
            </w:r>
            <w:r>
              <w:rPr>
                <w:spacing w:val="-2"/>
                <w:sz w:val="20"/>
                <w:u w:val="none"/>
              </w:rPr>
              <w:t>.</w:t>
            </w:r>
          </w:p>
          <w:p>
            <w:pPr>
              <w:pStyle w:val="TableParagraph"/>
              <w:numPr>
                <w:ilvl w:val="1"/>
                <w:numId w:val="13"/>
              </w:numPr>
              <w:tabs>
                <w:tab w:pos="1238" w:val="left" w:leader="none"/>
              </w:tabs>
              <w:spacing w:line="240" w:lineRule="auto" w:before="1" w:after="0"/>
              <w:ind w:left="1238" w:right="165" w:hanging="403"/>
              <w:jc w:val="left"/>
              <w:rPr>
                <w:sz w:val="20"/>
              </w:rPr>
            </w:pPr>
            <w:r>
              <w:rPr>
                <w:sz w:val="20"/>
              </w:rPr>
              <w:t>If a statewide system includes a State policy described in §303.211(a), a State that provides services in accordance with this section to a child</w:t>
            </w:r>
            <w:r>
              <w:rPr>
                <w:spacing w:val="-2"/>
                <w:sz w:val="20"/>
              </w:rPr>
              <w:t> </w:t>
            </w:r>
            <w:r>
              <w:rPr>
                <w:sz w:val="20"/>
              </w:rPr>
              <w:t>with</w:t>
            </w:r>
            <w:r>
              <w:rPr>
                <w:spacing w:val="-2"/>
                <w:sz w:val="20"/>
              </w:rPr>
              <w:t> </w:t>
            </w:r>
            <w:r>
              <w:rPr>
                <w:sz w:val="20"/>
              </w:rPr>
              <w:t>a</w:t>
            </w:r>
            <w:r>
              <w:rPr>
                <w:spacing w:val="-2"/>
                <w:sz w:val="20"/>
              </w:rPr>
              <w:t> </w:t>
            </w:r>
            <w:r>
              <w:rPr>
                <w:sz w:val="20"/>
              </w:rPr>
              <w:t>disability</w:t>
            </w:r>
            <w:r>
              <w:rPr>
                <w:spacing w:val="-2"/>
                <w:sz w:val="20"/>
              </w:rPr>
              <w:t> </w:t>
            </w:r>
            <w:r>
              <w:rPr>
                <w:sz w:val="20"/>
              </w:rPr>
              <w:t>who</w:t>
            </w:r>
            <w:r>
              <w:rPr>
                <w:spacing w:val="-2"/>
                <w:sz w:val="20"/>
              </w:rPr>
              <w:t> </w:t>
            </w:r>
            <w:r>
              <w:rPr>
                <w:sz w:val="20"/>
              </w:rPr>
              <w:t>is</w:t>
            </w:r>
            <w:r>
              <w:rPr>
                <w:spacing w:val="-2"/>
                <w:sz w:val="20"/>
              </w:rPr>
              <w:t> </w:t>
            </w:r>
            <w:r>
              <w:rPr>
                <w:sz w:val="20"/>
              </w:rPr>
              <w:t>eligible</w:t>
            </w:r>
            <w:r>
              <w:rPr>
                <w:spacing w:val="-2"/>
                <w:sz w:val="20"/>
              </w:rPr>
              <w:t> </w:t>
            </w:r>
            <w:r>
              <w:rPr>
                <w:sz w:val="20"/>
              </w:rPr>
              <w:t>for</w:t>
            </w:r>
            <w:r>
              <w:rPr>
                <w:spacing w:val="-2"/>
                <w:sz w:val="20"/>
              </w:rPr>
              <w:t> </w:t>
            </w:r>
            <w:r>
              <w:rPr>
                <w:sz w:val="20"/>
              </w:rPr>
              <w:t>services under</w:t>
            </w:r>
            <w:r>
              <w:rPr>
                <w:spacing w:val="-5"/>
                <w:sz w:val="20"/>
              </w:rPr>
              <w:t> </w:t>
            </w:r>
            <w:r>
              <w:rPr>
                <w:sz w:val="20"/>
              </w:rPr>
              <w:t>section</w:t>
            </w:r>
            <w:r>
              <w:rPr>
                <w:spacing w:val="-5"/>
                <w:sz w:val="20"/>
              </w:rPr>
              <w:t> </w:t>
            </w:r>
            <w:r>
              <w:rPr>
                <w:sz w:val="20"/>
              </w:rPr>
              <w:t>619</w:t>
            </w:r>
            <w:r>
              <w:rPr>
                <w:spacing w:val="-5"/>
                <w:sz w:val="20"/>
              </w:rPr>
              <w:t> </w:t>
            </w:r>
            <w:r>
              <w:rPr>
                <w:sz w:val="20"/>
              </w:rPr>
              <w:t>of</w:t>
            </w:r>
            <w:r>
              <w:rPr>
                <w:spacing w:val="-5"/>
                <w:sz w:val="20"/>
              </w:rPr>
              <w:t> </w:t>
            </w:r>
            <w:r>
              <w:rPr>
                <w:sz w:val="20"/>
              </w:rPr>
              <w:t>the</w:t>
            </w:r>
            <w:r>
              <w:rPr>
                <w:spacing w:val="-14"/>
                <w:sz w:val="20"/>
              </w:rPr>
              <w:t> </w:t>
            </w:r>
            <w:r>
              <w:rPr>
                <w:sz w:val="20"/>
              </w:rPr>
              <w:t>Act</w:t>
            </w:r>
            <w:r>
              <w:rPr>
                <w:spacing w:val="-5"/>
                <w:sz w:val="20"/>
              </w:rPr>
              <w:t> </w:t>
            </w:r>
            <w:r>
              <w:rPr>
                <w:sz w:val="20"/>
              </w:rPr>
              <w:t>will</w:t>
            </w:r>
            <w:r>
              <w:rPr>
                <w:spacing w:val="-5"/>
                <w:sz w:val="20"/>
              </w:rPr>
              <w:t> </w:t>
            </w:r>
            <w:r>
              <w:rPr>
                <w:sz w:val="20"/>
              </w:rPr>
              <w:t>not</w:t>
            </w:r>
            <w:r>
              <w:rPr>
                <w:spacing w:val="-5"/>
                <w:sz w:val="20"/>
              </w:rPr>
              <w:t> </w:t>
            </w:r>
            <w:r>
              <w:rPr>
                <w:sz w:val="20"/>
              </w:rPr>
              <w:t>be</w:t>
            </w:r>
            <w:r>
              <w:rPr>
                <w:spacing w:val="-5"/>
                <w:sz w:val="20"/>
              </w:rPr>
              <w:t> </w:t>
            </w:r>
            <w:r>
              <w:rPr>
                <w:sz w:val="20"/>
              </w:rPr>
              <w:t>required to provide the child FAPE under Part B of the Act for the period of time in which the child is receiving services under §303.211.</w:t>
            </w:r>
          </w:p>
          <w:p>
            <w:pPr>
              <w:pStyle w:val="TableParagraph"/>
              <w:numPr>
                <w:ilvl w:val="1"/>
                <w:numId w:val="13"/>
              </w:numPr>
              <w:tabs>
                <w:tab w:pos="1323" w:val="left" w:leader="none"/>
              </w:tabs>
              <w:spacing w:line="240" w:lineRule="auto" w:before="0" w:after="0"/>
              <w:ind w:left="1323" w:right="125" w:hanging="403"/>
              <w:jc w:val="left"/>
              <w:rPr>
                <w:sz w:val="20"/>
              </w:rPr>
            </w:pPr>
            <w:r>
              <w:rPr>
                <w:sz w:val="20"/>
              </w:rPr>
              <w:t>Nothing in this section may be construed to require a provider of services under Part C to provide</w:t>
            </w:r>
            <w:r>
              <w:rPr>
                <w:spacing w:val="-6"/>
                <w:sz w:val="20"/>
              </w:rPr>
              <w:t> </w:t>
            </w:r>
            <w:r>
              <w:rPr>
                <w:sz w:val="20"/>
              </w:rPr>
              <w:t>a</w:t>
            </w:r>
            <w:r>
              <w:rPr>
                <w:spacing w:val="-6"/>
                <w:sz w:val="20"/>
              </w:rPr>
              <w:t> </w:t>
            </w:r>
            <w:r>
              <w:rPr>
                <w:sz w:val="20"/>
              </w:rPr>
              <w:t>child</w:t>
            </w:r>
            <w:r>
              <w:rPr>
                <w:spacing w:val="-6"/>
                <w:sz w:val="20"/>
              </w:rPr>
              <w:t> </w:t>
            </w:r>
            <w:r>
              <w:rPr>
                <w:sz w:val="20"/>
              </w:rPr>
              <w:t>served</w:t>
            </w:r>
            <w:r>
              <w:rPr>
                <w:spacing w:val="-6"/>
                <w:sz w:val="20"/>
              </w:rPr>
              <w:t> </w:t>
            </w:r>
            <w:r>
              <w:rPr>
                <w:sz w:val="20"/>
              </w:rPr>
              <w:t>under</w:t>
            </w:r>
            <w:r>
              <w:rPr>
                <w:spacing w:val="-6"/>
                <w:sz w:val="20"/>
              </w:rPr>
              <w:t> </w:t>
            </w:r>
            <w:r>
              <w:rPr>
                <w:sz w:val="20"/>
              </w:rPr>
              <w:t>Part</w:t>
            </w:r>
            <w:r>
              <w:rPr>
                <w:spacing w:val="-6"/>
                <w:sz w:val="20"/>
              </w:rPr>
              <w:t> </w:t>
            </w:r>
            <w:r>
              <w:rPr>
                <w:sz w:val="20"/>
              </w:rPr>
              <w:t>C</w:t>
            </w:r>
            <w:r>
              <w:rPr>
                <w:spacing w:val="-7"/>
                <w:sz w:val="20"/>
              </w:rPr>
              <w:t> </w:t>
            </w:r>
            <w:r>
              <w:rPr>
                <w:sz w:val="20"/>
              </w:rPr>
              <w:t>with</w:t>
            </w:r>
            <w:r>
              <w:rPr>
                <w:spacing w:val="-6"/>
                <w:sz w:val="20"/>
              </w:rPr>
              <w:t> </w:t>
            </w:r>
            <w:r>
              <w:rPr>
                <w:sz w:val="20"/>
              </w:rPr>
              <w:t>FAPE.</w:t>
            </w:r>
          </w:p>
          <w:p>
            <w:pPr>
              <w:pStyle w:val="TableParagraph"/>
              <w:spacing w:before="119"/>
              <w:ind w:left="523"/>
              <w:rPr>
                <w:sz w:val="20"/>
              </w:rPr>
            </w:pPr>
            <w:r>
              <w:rPr>
                <w:sz w:val="20"/>
              </w:rPr>
              <w:t>(34</w:t>
            </w:r>
            <w:r>
              <w:rPr>
                <w:spacing w:val="-4"/>
                <w:sz w:val="20"/>
              </w:rPr>
              <w:t> </w:t>
            </w:r>
            <w:r>
              <w:rPr>
                <w:sz w:val="20"/>
              </w:rPr>
              <w:t>CFR</w:t>
            </w:r>
            <w:r>
              <w:rPr>
                <w:spacing w:val="-4"/>
                <w:sz w:val="20"/>
              </w:rPr>
              <w:t> </w:t>
            </w:r>
            <w:r>
              <w:rPr>
                <w:spacing w:val="-2"/>
                <w:sz w:val="20"/>
              </w:rPr>
              <w:t>§303.211)</w:t>
            </w:r>
          </w:p>
          <w:p>
            <w:pPr>
              <w:pStyle w:val="TableParagraph"/>
              <w:spacing w:before="121"/>
              <w:ind w:left="507" w:right="149" w:firstLine="16"/>
              <w:rPr>
                <w:b/>
                <w:i/>
                <w:sz w:val="20"/>
              </w:rPr>
            </w:pPr>
            <w:r>
              <w:rPr>
                <w:b/>
                <w:i/>
                <w:sz w:val="20"/>
              </w:rPr>
              <w:t>The policies and procedures listed in 13 are</w:t>
            </w:r>
            <w:r>
              <w:rPr>
                <w:b/>
                <w:i/>
                <w:sz w:val="20"/>
              </w:rPr>
              <w:t> </w:t>
            </w:r>
            <w:r>
              <w:rPr>
                <w:b/>
                <w:i/>
                <w:sz w:val="20"/>
                <w:u w:val="single"/>
              </w:rPr>
              <w:t>optional</w:t>
            </w:r>
            <w:r>
              <w:rPr>
                <w:b/>
                <w:i/>
                <w:sz w:val="20"/>
                <w:u w:val="none"/>
              </w:rPr>
              <w:t>.</w:t>
            </w:r>
            <w:r>
              <w:rPr>
                <w:b/>
                <w:i/>
                <w:spacing w:val="-4"/>
                <w:sz w:val="20"/>
                <w:u w:val="none"/>
              </w:rPr>
              <w:t> </w:t>
            </w:r>
            <w:r>
              <w:rPr>
                <w:b/>
                <w:i/>
                <w:sz w:val="20"/>
                <w:u w:val="none"/>
              </w:rPr>
              <w:t>Enter</w:t>
            </w:r>
            <w:r>
              <w:rPr>
                <w:b/>
                <w:i/>
                <w:spacing w:val="-4"/>
                <w:sz w:val="20"/>
                <w:u w:val="none"/>
              </w:rPr>
              <w:t> </w:t>
            </w:r>
            <w:r>
              <w:rPr>
                <w:b/>
                <w:i/>
                <w:sz w:val="20"/>
                <w:u w:val="none"/>
              </w:rPr>
              <w:t>'NA'</w:t>
            </w:r>
            <w:r>
              <w:rPr>
                <w:b/>
                <w:i/>
                <w:spacing w:val="-4"/>
                <w:sz w:val="20"/>
                <w:u w:val="none"/>
              </w:rPr>
              <w:t> </w:t>
            </w:r>
            <w:r>
              <w:rPr>
                <w:b/>
                <w:i/>
                <w:sz w:val="20"/>
                <w:u w:val="none"/>
              </w:rPr>
              <w:t>in</w:t>
            </w:r>
            <w:r>
              <w:rPr>
                <w:b/>
                <w:i/>
                <w:spacing w:val="-5"/>
                <w:sz w:val="20"/>
                <w:u w:val="none"/>
              </w:rPr>
              <w:t> </w:t>
            </w:r>
            <w:r>
              <w:rPr>
                <w:b/>
                <w:i/>
                <w:sz w:val="20"/>
                <w:u w:val="none"/>
              </w:rPr>
              <w:t>the</w:t>
            </w:r>
            <w:r>
              <w:rPr>
                <w:b/>
                <w:i/>
                <w:spacing w:val="-4"/>
                <w:sz w:val="20"/>
                <w:u w:val="none"/>
              </w:rPr>
              <w:t> </w:t>
            </w:r>
            <w:r>
              <w:rPr>
                <w:b/>
                <w:i/>
                <w:sz w:val="20"/>
                <w:u w:val="none"/>
              </w:rPr>
              <w:t>cells</w:t>
            </w:r>
            <w:r>
              <w:rPr>
                <w:b/>
                <w:i/>
                <w:spacing w:val="-4"/>
                <w:sz w:val="20"/>
                <w:u w:val="none"/>
              </w:rPr>
              <w:t> </w:t>
            </w:r>
            <w:r>
              <w:rPr>
                <w:b/>
                <w:i/>
                <w:sz w:val="20"/>
                <w:u w:val="none"/>
              </w:rPr>
              <w:t>to</w:t>
            </w:r>
            <w:r>
              <w:rPr>
                <w:b/>
                <w:i/>
                <w:spacing w:val="-5"/>
                <w:sz w:val="20"/>
                <w:u w:val="none"/>
              </w:rPr>
              <w:t> </w:t>
            </w:r>
            <w:r>
              <w:rPr>
                <w:b/>
                <w:i/>
                <w:sz w:val="20"/>
                <w:u w:val="none"/>
              </w:rPr>
              <w:t>the</w:t>
            </w:r>
            <w:r>
              <w:rPr>
                <w:b/>
                <w:i/>
                <w:spacing w:val="-4"/>
                <w:sz w:val="20"/>
                <w:u w:val="none"/>
              </w:rPr>
              <w:t> </w:t>
            </w:r>
            <w:r>
              <w:rPr>
                <w:b/>
                <w:i/>
                <w:sz w:val="20"/>
                <w:u w:val="none"/>
              </w:rPr>
              <w:t>left</w:t>
            </w:r>
            <w:r>
              <w:rPr>
                <w:b/>
                <w:i/>
                <w:spacing w:val="-4"/>
                <w:sz w:val="20"/>
                <w:u w:val="none"/>
              </w:rPr>
              <w:t> </w:t>
            </w:r>
            <w:r>
              <w:rPr>
                <w:b/>
                <w:i/>
                <w:sz w:val="20"/>
                <w:u w:val="none"/>
              </w:rPr>
              <w:t>if</w:t>
            </w:r>
            <w:r>
              <w:rPr>
                <w:b/>
                <w:i/>
                <w:spacing w:val="-4"/>
                <w:sz w:val="20"/>
                <w:u w:val="none"/>
              </w:rPr>
              <w:t> </w:t>
            </w:r>
            <w:r>
              <w:rPr>
                <w:b/>
                <w:i/>
                <w:sz w:val="20"/>
                <w:u w:val="none"/>
              </w:rPr>
              <w:t>the</w:t>
            </w:r>
            <w:r>
              <w:rPr>
                <w:b/>
                <w:i/>
                <w:spacing w:val="-4"/>
                <w:sz w:val="20"/>
                <w:u w:val="none"/>
              </w:rPr>
              <w:t> </w:t>
            </w:r>
            <w:r>
              <w:rPr>
                <w:b/>
                <w:i/>
                <w:sz w:val="20"/>
                <w:u w:val="none"/>
              </w:rPr>
              <w:t>State has elected not to develop and implement a policy under 34 CFR §303.211 to make Part C services to children beyond age three; otherwise check the appropriate</w:t>
            </w:r>
            <w:r>
              <w:rPr>
                <w:b/>
                <w:i/>
                <w:spacing w:val="-1"/>
                <w:sz w:val="20"/>
                <w:u w:val="none"/>
              </w:rPr>
              <w:t> </w:t>
            </w:r>
            <w:r>
              <w:rPr>
                <w:b/>
                <w:i/>
                <w:sz w:val="20"/>
                <w:u w:val="none"/>
              </w:rPr>
              <w:t>response</w:t>
            </w:r>
            <w:r>
              <w:rPr>
                <w:b/>
                <w:i/>
                <w:spacing w:val="-1"/>
                <w:sz w:val="20"/>
                <w:u w:val="none"/>
              </w:rPr>
              <w:t> </w:t>
            </w:r>
            <w:r>
              <w:rPr>
                <w:b/>
                <w:i/>
                <w:sz w:val="20"/>
                <w:u w:val="none"/>
              </w:rPr>
              <w:t>under</w:t>
            </w:r>
            <w:r>
              <w:rPr>
                <w:b/>
                <w:i/>
                <w:spacing w:val="-1"/>
                <w:sz w:val="20"/>
                <w:u w:val="none"/>
              </w:rPr>
              <w:t> </w:t>
            </w:r>
            <w:r>
              <w:rPr>
                <w:b/>
                <w:i/>
                <w:sz w:val="20"/>
                <w:u w:val="none"/>
              </w:rPr>
              <w:t>the</w:t>
            </w:r>
            <w:r>
              <w:rPr>
                <w:b/>
                <w:i/>
                <w:spacing w:val="-1"/>
                <w:sz w:val="20"/>
                <w:u w:val="none"/>
              </w:rPr>
              <w:t> </w:t>
            </w:r>
            <w:r>
              <w:rPr>
                <w:b/>
                <w:i/>
                <w:sz w:val="20"/>
                <w:u w:val="none"/>
              </w:rPr>
              <w:t>'Yes'</w:t>
            </w:r>
            <w:r>
              <w:rPr>
                <w:b/>
                <w:i/>
                <w:spacing w:val="-1"/>
                <w:sz w:val="20"/>
                <w:u w:val="none"/>
              </w:rPr>
              <w:t> </w:t>
            </w:r>
            <w:r>
              <w:rPr>
                <w:b/>
                <w:i/>
                <w:sz w:val="20"/>
                <w:u w:val="none"/>
              </w:rPr>
              <w:t>column</w:t>
            </w:r>
            <w:r>
              <w:rPr>
                <w:b/>
                <w:i/>
                <w:spacing w:val="-2"/>
                <w:sz w:val="20"/>
                <w:u w:val="none"/>
              </w:rPr>
              <w:t> </w:t>
            </w:r>
            <w:r>
              <w:rPr>
                <w:b/>
                <w:i/>
                <w:sz w:val="20"/>
                <w:u w:val="none"/>
              </w:rPr>
              <w:t>and,</w:t>
            </w:r>
            <w:r>
              <w:rPr>
                <w:b/>
                <w:i/>
                <w:spacing w:val="-1"/>
                <w:sz w:val="20"/>
                <w:u w:val="none"/>
              </w:rPr>
              <w:t> </w:t>
            </w:r>
            <w:r>
              <w:rPr>
                <w:b/>
                <w:i/>
                <w:sz w:val="20"/>
                <w:u w:val="none"/>
              </w:rPr>
              <w:t>if checking ‘N’ or ‘R’, attach policies and procedures.</w:t>
            </w:r>
          </w:p>
        </w:tc>
      </w:tr>
    </w:tbl>
    <w:p>
      <w:pPr>
        <w:pStyle w:val="TableParagraph"/>
        <w:spacing w:after="0"/>
        <w:rPr>
          <w:b/>
          <w:i/>
          <w:sz w:val="20"/>
        </w:rPr>
        <w:sectPr>
          <w:type w:val="continuous"/>
          <w:pgSz w:w="12240" w:h="15840"/>
          <w:pgMar w:header="0" w:footer="879" w:top="1420" w:bottom="1060" w:left="720" w:right="720"/>
        </w:sectPr>
      </w:pPr>
    </w:p>
    <w:p>
      <w:pPr>
        <w:pStyle w:val="Heading1"/>
        <w:numPr>
          <w:ilvl w:val="0"/>
          <w:numId w:val="2"/>
        </w:numPr>
        <w:tabs>
          <w:tab w:pos="1123" w:val="left" w:leader="none"/>
        </w:tabs>
        <w:spacing w:line="240" w:lineRule="auto" w:before="65" w:after="0"/>
        <w:ind w:left="1123" w:right="0" w:hanging="399"/>
        <w:jc w:val="left"/>
      </w:pPr>
      <w:r>
        <w:rPr/>
        <w:t>Assurances</w:t>
      </w:r>
      <w:r>
        <w:rPr>
          <w:spacing w:val="-8"/>
        </w:rPr>
        <w:t> </w:t>
      </w:r>
      <w:r>
        <w:rPr/>
        <w:t>and</w:t>
      </w:r>
      <w:r>
        <w:rPr>
          <w:spacing w:val="-7"/>
        </w:rPr>
        <w:t> </w:t>
      </w:r>
      <w:r>
        <w:rPr/>
        <w:t>Optional</w:t>
      </w:r>
      <w:r>
        <w:rPr>
          <w:spacing w:val="-14"/>
        </w:rPr>
        <w:t> </w:t>
      </w:r>
      <w:r>
        <w:rPr>
          <w:spacing w:val="-2"/>
        </w:rPr>
        <w:t>Assurance</w:t>
      </w:r>
    </w:p>
    <w:p>
      <w:pPr>
        <w:pStyle w:val="BodyText"/>
        <w:spacing w:line="254" w:lineRule="auto" w:before="241"/>
        <w:ind w:left="724" w:right="344"/>
      </w:pPr>
      <w:r>
        <w:rPr/>
        <w:t>The</w:t>
      </w:r>
      <w:r>
        <w:rPr>
          <w:spacing w:val="-2"/>
        </w:rPr>
        <w:t> </w:t>
      </w:r>
      <w:r>
        <w:rPr/>
        <w:t>State</w:t>
      </w:r>
      <w:r>
        <w:rPr>
          <w:spacing w:val="-2"/>
        </w:rPr>
        <w:t> </w:t>
      </w:r>
      <w:r>
        <w:rPr/>
        <w:t>makes</w:t>
      </w:r>
      <w:r>
        <w:rPr>
          <w:spacing w:val="-2"/>
        </w:rPr>
        <w:t> </w:t>
      </w:r>
      <w:r>
        <w:rPr/>
        <w:t>the</w:t>
      </w:r>
      <w:r>
        <w:rPr>
          <w:spacing w:val="-2"/>
        </w:rPr>
        <w:t> </w:t>
      </w:r>
      <w:r>
        <w:rPr/>
        <w:t>following</w:t>
      </w:r>
      <w:r>
        <w:rPr>
          <w:spacing w:val="-3"/>
        </w:rPr>
        <w:t> </w:t>
      </w:r>
      <w:r>
        <w:rPr/>
        <w:t>assurances</w:t>
      </w:r>
      <w:r>
        <w:rPr>
          <w:spacing w:val="-2"/>
        </w:rPr>
        <w:t> </w:t>
      </w:r>
      <w:r>
        <w:rPr/>
        <w:t>and</w:t>
      </w:r>
      <w:r>
        <w:rPr>
          <w:spacing w:val="-2"/>
        </w:rPr>
        <w:t> </w:t>
      </w:r>
      <w:r>
        <w:rPr/>
        <w:t>provisions</w:t>
      </w:r>
      <w:r>
        <w:rPr>
          <w:spacing w:val="-2"/>
        </w:rPr>
        <w:t> </w:t>
      </w:r>
      <w:r>
        <w:rPr/>
        <w:t>as</w:t>
      </w:r>
      <w:r>
        <w:rPr>
          <w:spacing w:val="-2"/>
        </w:rPr>
        <w:t> </w:t>
      </w:r>
      <w:r>
        <w:rPr/>
        <w:t>required</w:t>
      </w:r>
      <w:r>
        <w:rPr>
          <w:spacing w:val="-3"/>
        </w:rPr>
        <w:t> </w:t>
      </w:r>
      <w:r>
        <w:rPr/>
        <w:t>by</w:t>
      </w:r>
      <w:r>
        <w:rPr>
          <w:spacing w:val="-2"/>
        </w:rPr>
        <w:t> </w:t>
      </w:r>
      <w:r>
        <w:rPr/>
        <w:t>Part</w:t>
      </w:r>
      <w:r>
        <w:rPr>
          <w:spacing w:val="-2"/>
        </w:rPr>
        <w:t> </w:t>
      </w:r>
      <w:r>
        <w:rPr/>
        <w:t>C</w:t>
      </w:r>
      <w:r>
        <w:rPr>
          <w:spacing w:val="-3"/>
        </w:rPr>
        <w:t> </w:t>
      </w:r>
      <w:r>
        <w:rPr/>
        <w:t>of</w:t>
      </w:r>
      <w:r>
        <w:rPr>
          <w:spacing w:val="-2"/>
        </w:rPr>
        <w:t> </w:t>
      </w:r>
      <w:r>
        <w:rPr/>
        <w:t>the</w:t>
      </w:r>
      <w:r>
        <w:rPr>
          <w:spacing w:val="-2"/>
        </w:rPr>
        <w:t> </w:t>
      </w:r>
      <w:r>
        <w:rPr/>
        <w:t>Individuals</w:t>
      </w:r>
      <w:r>
        <w:rPr>
          <w:spacing w:val="-2"/>
        </w:rPr>
        <w:t> </w:t>
      </w:r>
      <w:r>
        <w:rPr/>
        <w:t>with Disabilities Education</w:t>
      </w:r>
      <w:r>
        <w:rPr>
          <w:spacing w:val="-5"/>
        </w:rPr>
        <w:t> </w:t>
      </w:r>
      <w:r>
        <w:rPr/>
        <w:t>Act.</w:t>
      </w:r>
      <w:r>
        <w:rPr>
          <w:spacing w:val="40"/>
        </w:rPr>
        <w:t> </w:t>
      </w:r>
      <w:r>
        <w:rPr/>
        <w:t>(20 U.S.C. 1431 et. seq.; 34 CFR §</w:t>
      </w:r>
      <w:r>
        <w:rPr>
          <w:rFonts w:ascii="Trebuchet MS" w:hAnsi="Trebuchet MS"/>
        </w:rPr>
        <w:t>§</w:t>
      </w:r>
      <w:r>
        <w:rPr/>
        <w:t>303.101-126; 303.220; 303.227)</w:t>
      </w:r>
    </w:p>
    <w:p>
      <w:pPr>
        <w:pStyle w:val="BodyText"/>
        <w:spacing w:before="7"/>
        <w:rPr>
          <w:sz w:val="19"/>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38"/>
        <w:gridCol w:w="1440"/>
        <w:gridCol w:w="6482"/>
      </w:tblGrid>
      <w:tr>
        <w:trPr>
          <w:trHeight w:val="410" w:hRule="atLeast"/>
        </w:trPr>
        <w:tc>
          <w:tcPr>
            <w:tcW w:w="1438" w:type="dxa"/>
            <w:tcBorders>
              <w:bottom w:val="nil"/>
              <w:right w:val="single" w:sz="6" w:space="0" w:color="000000"/>
            </w:tcBorders>
            <w:shd w:val="clear" w:color="auto" w:fill="F2F2F2"/>
          </w:tcPr>
          <w:p>
            <w:pPr>
              <w:pStyle w:val="TableParagraph"/>
              <w:spacing w:before="119"/>
              <w:ind w:left="153" w:right="134"/>
              <w:jc w:val="center"/>
              <w:rPr>
                <w:b/>
                <w:sz w:val="20"/>
              </w:rPr>
            </w:pPr>
            <w:r>
              <w:rPr>
                <w:b/>
                <w:spacing w:val="-5"/>
                <w:sz w:val="20"/>
              </w:rPr>
              <w:t>Yes</w:t>
            </w:r>
          </w:p>
        </w:tc>
        <w:tc>
          <w:tcPr>
            <w:tcW w:w="1440" w:type="dxa"/>
            <w:tcBorders>
              <w:left w:val="single" w:sz="6" w:space="0" w:color="000000"/>
              <w:bottom w:val="nil"/>
              <w:right w:val="single" w:sz="6" w:space="0" w:color="000000"/>
            </w:tcBorders>
            <w:shd w:val="clear" w:color="auto" w:fill="F2F2F2"/>
          </w:tcPr>
          <w:p>
            <w:pPr>
              <w:pStyle w:val="TableParagraph"/>
              <w:spacing w:before="119"/>
              <w:ind w:left="116" w:right="79"/>
              <w:jc w:val="center"/>
              <w:rPr>
                <w:b/>
                <w:sz w:val="20"/>
              </w:rPr>
            </w:pPr>
            <w:r>
              <w:rPr>
                <w:b/>
                <w:spacing w:val="-5"/>
                <w:sz w:val="20"/>
              </w:rPr>
              <w:t>No</w:t>
            </w:r>
          </w:p>
        </w:tc>
        <w:tc>
          <w:tcPr>
            <w:tcW w:w="6482" w:type="dxa"/>
            <w:tcBorders>
              <w:left w:val="single" w:sz="6" w:space="0" w:color="000000"/>
              <w:bottom w:val="nil"/>
            </w:tcBorders>
            <w:shd w:val="clear" w:color="auto" w:fill="F2F2F2"/>
          </w:tcPr>
          <w:p>
            <w:pPr>
              <w:pStyle w:val="TableParagraph"/>
              <w:spacing w:before="119"/>
              <w:ind w:left="44" w:right="1"/>
              <w:jc w:val="center"/>
              <w:rPr>
                <w:b/>
                <w:sz w:val="20"/>
              </w:rPr>
            </w:pPr>
            <w:r>
              <w:rPr>
                <w:b/>
                <w:spacing w:val="-2"/>
                <w:sz w:val="20"/>
              </w:rPr>
              <w:t>Subpart</w:t>
            </w:r>
            <w:r>
              <w:rPr>
                <w:b/>
                <w:spacing w:val="4"/>
                <w:sz w:val="20"/>
              </w:rPr>
              <w:t> </w:t>
            </w:r>
            <w:r>
              <w:rPr>
                <w:b/>
                <w:spacing w:val="-2"/>
                <w:sz w:val="20"/>
              </w:rPr>
              <w:t>B—Assurances</w:t>
            </w:r>
          </w:p>
        </w:tc>
      </w:tr>
      <w:tr>
        <w:trPr>
          <w:trHeight w:val="1778" w:hRule="atLeast"/>
        </w:trPr>
        <w:tc>
          <w:tcPr>
            <w:tcW w:w="1438" w:type="dxa"/>
            <w:tcBorders>
              <w:top w:val="nil"/>
              <w:bottom w:val="nil"/>
              <w:right w:val="single" w:sz="6" w:space="0" w:color="000000"/>
            </w:tcBorders>
            <w:shd w:val="clear" w:color="auto" w:fill="F2F2F2"/>
          </w:tcPr>
          <w:p>
            <w:pPr>
              <w:pStyle w:val="TableParagraph"/>
              <w:spacing w:before="58"/>
              <w:ind w:left="153" w:right="133"/>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6" w:space="0" w:color="000000"/>
              <w:bottom w:val="nil"/>
              <w:right w:val="single" w:sz="6" w:space="0" w:color="000000"/>
            </w:tcBorders>
            <w:shd w:val="clear" w:color="auto" w:fill="F2F2F2"/>
          </w:tcPr>
          <w:p>
            <w:pPr>
              <w:pStyle w:val="TableParagraph"/>
              <w:spacing w:before="58"/>
              <w:ind w:left="116" w:right="78"/>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35" w:right="95" w:hanging="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2" w:type="dxa"/>
            <w:tcBorders>
              <w:top w:val="nil"/>
              <w:left w:val="single" w:sz="6" w:space="0" w:color="000000"/>
              <w:bottom w:val="nil"/>
            </w:tcBorders>
            <w:shd w:val="clear" w:color="auto" w:fill="F2F2F2"/>
          </w:tcPr>
          <w:p>
            <w:pPr>
              <w:pStyle w:val="TableParagraph"/>
              <w:spacing w:before="67"/>
              <w:ind w:left="44"/>
              <w:jc w:val="center"/>
              <w:rPr>
                <w:sz w:val="16"/>
              </w:rPr>
            </w:pPr>
            <w:r>
              <w:rPr>
                <w:sz w:val="16"/>
              </w:rPr>
              <w:t>(20</w:t>
            </w:r>
            <w:r>
              <w:rPr>
                <w:spacing w:val="-5"/>
                <w:sz w:val="16"/>
              </w:rPr>
              <w:t> </w:t>
            </w:r>
            <w:r>
              <w:rPr>
                <w:sz w:val="16"/>
              </w:rPr>
              <w:t>U.S.C.</w:t>
            </w:r>
            <w:r>
              <w:rPr>
                <w:spacing w:val="-4"/>
                <w:sz w:val="16"/>
              </w:rPr>
              <w:t> </w:t>
            </w:r>
            <w:r>
              <w:rPr>
                <w:sz w:val="16"/>
              </w:rPr>
              <w:t>1434;</w:t>
            </w:r>
            <w:r>
              <w:rPr>
                <w:spacing w:val="-5"/>
                <w:sz w:val="16"/>
              </w:rPr>
              <w:t> </w:t>
            </w:r>
            <w:r>
              <w:rPr>
                <w:sz w:val="16"/>
              </w:rPr>
              <w:t>1435;</w:t>
            </w:r>
            <w:r>
              <w:rPr>
                <w:spacing w:val="-4"/>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4"/>
                <w:sz w:val="16"/>
              </w:rPr>
              <w:t> </w:t>
            </w:r>
            <w:r>
              <w:rPr>
                <w:sz w:val="16"/>
              </w:rPr>
              <w:t>303.220;</w:t>
            </w:r>
            <w:r>
              <w:rPr>
                <w:spacing w:val="-5"/>
                <w:sz w:val="16"/>
              </w:rPr>
              <w:t> </w:t>
            </w:r>
            <w:r>
              <w:rPr>
                <w:spacing w:val="-2"/>
                <w:sz w:val="16"/>
              </w:rPr>
              <w:t>303.227)</w:t>
            </w:r>
          </w:p>
        </w:tc>
      </w:tr>
      <w:tr>
        <w:trPr>
          <w:trHeight w:val="728" w:hRule="atLeast"/>
        </w:trPr>
        <w:tc>
          <w:tcPr>
            <w:tcW w:w="1438" w:type="dxa"/>
            <w:tcBorders>
              <w:top w:val="nil"/>
              <w:right w:val="single" w:sz="6" w:space="0" w:color="000000"/>
            </w:tcBorders>
            <w:shd w:val="clear" w:color="auto" w:fill="F2F2F2"/>
          </w:tcPr>
          <w:p>
            <w:pPr>
              <w:pStyle w:val="TableParagraph"/>
              <w:rPr>
                <w:rFonts w:ascii="Times New Roman"/>
                <w:sz w:val="18"/>
              </w:rPr>
            </w:pPr>
          </w:p>
        </w:tc>
        <w:tc>
          <w:tcPr>
            <w:tcW w:w="1440" w:type="dxa"/>
            <w:tcBorders>
              <w:top w:val="nil"/>
              <w:left w:val="single" w:sz="6" w:space="0" w:color="000000"/>
              <w:right w:val="single" w:sz="6" w:space="0" w:color="000000"/>
            </w:tcBorders>
            <w:shd w:val="clear" w:color="auto" w:fill="F2F2F2"/>
          </w:tcPr>
          <w:p>
            <w:pPr>
              <w:pStyle w:val="TableParagraph"/>
              <w:spacing w:before="56"/>
              <w:ind w:left="371" w:hanging="227"/>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2" w:type="dxa"/>
            <w:tcBorders>
              <w:top w:val="nil"/>
              <w:left w:val="single" w:sz="6" w:space="0" w:color="000000"/>
            </w:tcBorders>
            <w:shd w:val="clear" w:color="auto" w:fill="F2F2F2"/>
          </w:tcPr>
          <w:p>
            <w:pPr>
              <w:pStyle w:val="TableParagraph"/>
              <w:rPr>
                <w:rFonts w:ascii="Times New Roman"/>
                <w:sz w:val="18"/>
              </w:rPr>
            </w:pPr>
          </w:p>
        </w:tc>
      </w:tr>
      <w:tr>
        <w:trPr>
          <w:trHeight w:val="3013" w:hRule="atLeast"/>
        </w:trPr>
        <w:tc>
          <w:tcPr>
            <w:tcW w:w="1438" w:type="dxa"/>
            <w:tcBorders>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ind w:left="153" w:right="134"/>
              <w:jc w:val="center"/>
              <w:rPr>
                <w:sz w:val="20"/>
              </w:rPr>
            </w:pPr>
            <w:r>
              <w:rPr>
                <w:spacing w:val="-10"/>
                <w:sz w:val="20"/>
              </w:rPr>
              <w:t>X</w:t>
            </w: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82" w:type="dxa"/>
            <w:tcBorders>
              <w:left w:val="single" w:sz="6" w:space="0" w:color="000000"/>
              <w:bottom w:val="single" w:sz="6" w:space="0" w:color="000000"/>
            </w:tcBorders>
          </w:tcPr>
          <w:p>
            <w:pPr>
              <w:pStyle w:val="TableParagraph"/>
              <w:numPr>
                <w:ilvl w:val="0"/>
                <w:numId w:val="14"/>
              </w:numPr>
              <w:tabs>
                <w:tab w:pos="508" w:val="left" w:leader="none"/>
              </w:tabs>
              <w:spacing w:line="237" w:lineRule="auto" w:before="125" w:after="0"/>
              <w:ind w:left="508" w:right="77" w:hanging="389"/>
              <w:jc w:val="left"/>
              <w:rPr>
                <w:sz w:val="20"/>
              </w:rPr>
            </w:pPr>
            <w:r>
              <w:rPr>
                <w:sz w:val="20"/>
              </w:rPr>
              <w:t>The State has adopted a policy that appropriate early intervention services,</w:t>
            </w:r>
            <w:r>
              <w:rPr>
                <w:spacing w:val="-4"/>
                <w:sz w:val="20"/>
              </w:rPr>
              <w:t> </w:t>
            </w:r>
            <w:r>
              <w:rPr>
                <w:sz w:val="20"/>
              </w:rPr>
              <w:t>as</w:t>
            </w:r>
            <w:r>
              <w:rPr>
                <w:spacing w:val="-4"/>
                <w:sz w:val="20"/>
              </w:rPr>
              <w:t> </w:t>
            </w:r>
            <w:r>
              <w:rPr>
                <w:sz w:val="20"/>
              </w:rPr>
              <w:t>defined</w:t>
            </w:r>
            <w:r>
              <w:rPr>
                <w:spacing w:val="-4"/>
                <w:sz w:val="20"/>
              </w:rPr>
              <w:t> </w:t>
            </w:r>
            <w:r>
              <w:rPr>
                <w:sz w:val="20"/>
              </w:rPr>
              <w:t>in</w:t>
            </w:r>
            <w:r>
              <w:rPr>
                <w:spacing w:val="-4"/>
                <w:sz w:val="20"/>
              </w:rPr>
              <w:t> </w:t>
            </w:r>
            <w:r>
              <w:rPr>
                <w:sz w:val="20"/>
              </w:rPr>
              <w:t>34</w:t>
            </w:r>
            <w:r>
              <w:rPr>
                <w:spacing w:val="-4"/>
                <w:sz w:val="20"/>
              </w:rPr>
              <w:t> </w:t>
            </w:r>
            <w:r>
              <w:rPr>
                <w:sz w:val="20"/>
              </w:rPr>
              <w:t>CFR</w:t>
            </w:r>
            <w:r>
              <w:rPr>
                <w:spacing w:val="-5"/>
                <w:sz w:val="20"/>
              </w:rPr>
              <w:t> </w:t>
            </w:r>
            <w:r>
              <w:rPr>
                <w:sz w:val="20"/>
              </w:rPr>
              <w:t>§303.13,</w:t>
            </w:r>
            <w:r>
              <w:rPr>
                <w:spacing w:val="-4"/>
                <w:sz w:val="20"/>
              </w:rPr>
              <w:t> </w:t>
            </w:r>
            <w:r>
              <w:rPr>
                <w:sz w:val="20"/>
              </w:rPr>
              <w:t>are</w:t>
            </w:r>
            <w:r>
              <w:rPr>
                <w:spacing w:val="-4"/>
                <w:sz w:val="20"/>
              </w:rPr>
              <w:t> </w:t>
            </w:r>
            <w:r>
              <w:rPr>
                <w:sz w:val="20"/>
              </w:rPr>
              <w:t>available</w:t>
            </w:r>
            <w:r>
              <w:rPr>
                <w:spacing w:val="-4"/>
                <w:sz w:val="20"/>
              </w:rPr>
              <w:t> </w:t>
            </w:r>
            <w:r>
              <w:rPr>
                <w:sz w:val="20"/>
              </w:rPr>
              <w:t>to</w:t>
            </w:r>
            <w:r>
              <w:rPr>
                <w:spacing w:val="-4"/>
                <w:sz w:val="20"/>
              </w:rPr>
              <w:t> </w:t>
            </w:r>
            <w:r>
              <w:rPr>
                <w:sz w:val="20"/>
              </w:rPr>
              <w:t>all</w:t>
            </w:r>
            <w:r>
              <w:rPr>
                <w:spacing w:val="-4"/>
                <w:sz w:val="20"/>
              </w:rPr>
              <w:t> </w:t>
            </w:r>
            <w:r>
              <w:rPr>
                <w:sz w:val="20"/>
              </w:rPr>
              <w:t>infants and toddlers with disabilities in the State and their families, </w:t>
            </w:r>
            <w:r>
              <w:rPr>
                <w:spacing w:val="-2"/>
                <w:sz w:val="20"/>
              </w:rPr>
              <w:t>including—</w:t>
            </w:r>
          </w:p>
          <w:p>
            <w:pPr>
              <w:pStyle w:val="TableParagraph"/>
              <w:numPr>
                <w:ilvl w:val="1"/>
                <w:numId w:val="14"/>
              </w:numPr>
              <w:tabs>
                <w:tab w:pos="1011" w:val="left" w:leader="none"/>
              </w:tabs>
              <w:spacing w:line="240" w:lineRule="auto" w:before="125" w:after="0"/>
              <w:ind w:left="1011" w:right="89" w:hanging="500"/>
              <w:jc w:val="left"/>
              <w:rPr>
                <w:sz w:val="20"/>
              </w:rPr>
            </w:pPr>
            <w:r>
              <w:rPr>
                <w:sz w:val="20"/>
              </w:rPr>
              <w:t>Indian infants and toddlers with disabilities and their families residing</w:t>
            </w:r>
            <w:r>
              <w:rPr>
                <w:spacing w:val="-5"/>
                <w:sz w:val="20"/>
              </w:rPr>
              <w:t> </w:t>
            </w:r>
            <w:r>
              <w:rPr>
                <w:sz w:val="20"/>
              </w:rPr>
              <w:t>on</w:t>
            </w:r>
            <w:r>
              <w:rPr>
                <w:spacing w:val="-5"/>
                <w:sz w:val="20"/>
              </w:rPr>
              <w:t> </w:t>
            </w:r>
            <w:r>
              <w:rPr>
                <w:sz w:val="20"/>
              </w:rPr>
              <w:t>a</w:t>
            </w:r>
            <w:r>
              <w:rPr>
                <w:spacing w:val="-5"/>
                <w:sz w:val="20"/>
              </w:rPr>
              <w:t> </w:t>
            </w:r>
            <w:r>
              <w:rPr>
                <w:sz w:val="20"/>
              </w:rPr>
              <w:t>reservation</w:t>
            </w:r>
            <w:r>
              <w:rPr>
                <w:spacing w:val="-5"/>
                <w:sz w:val="20"/>
              </w:rPr>
              <w:t> </w:t>
            </w:r>
            <w:r>
              <w:rPr>
                <w:sz w:val="20"/>
              </w:rPr>
              <w:t>geographically</w:t>
            </w:r>
            <w:r>
              <w:rPr>
                <w:spacing w:val="-5"/>
                <w:sz w:val="20"/>
              </w:rPr>
              <w:t> </w:t>
            </w:r>
            <w:r>
              <w:rPr>
                <w:sz w:val="20"/>
              </w:rPr>
              <w:t>located</w:t>
            </w:r>
            <w:r>
              <w:rPr>
                <w:spacing w:val="-5"/>
                <w:sz w:val="20"/>
              </w:rPr>
              <w:t> </w:t>
            </w:r>
            <w:r>
              <w:rPr>
                <w:sz w:val="20"/>
              </w:rPr>
              <w:t>in</w:t>
            </w:r>
            <w:r>
              <w:rPr>
                <w:spacing w:val="-5"/>
                <w:sz w:val="20"/>
              </w:rPr>
              <w:t> </w:t>
            </w:r>
            <w:r>
              <w:rPr>
                <w:sz w:val="20"/>
              </w:rPr>
              <w:t>the</w:t>
            </w:r>
            <w:r>
              <w:rPr>
                <w:spacing w:val="-5"/>
                <w:sz w:val="20"/>
              </w:rPr>
              <w:t> </w:t>
            </w:r>
            <w:r>
              <w:rPr>
                <w:sz w:val="20"/>
              </w:rPr>
              <w:t>State;</w:t>
            </w:r>
          </w:p>
          <w:p>
            <w:pPr>
              <w:pStyle w:val="TableParagraph"/>
              <w:numPr>
                <w:ilvl w:val="1"/>
                <w:numId w:val="14"/>
              </w:numPr>
              <w:tabs>
                <w:tab w:pos="1011" w:val="left" w:leader="none"/>
              </w:tabs>
              <w:spacing w:line="240" w:lineRule="auto" w:before="0" w:after="0"/>
              <w:ind w:left="1011" w:right="621" w:hanging="500"/>
              <w:jc w:val="left"/>
              <w:rPr>
                <w:sz w:val="20"/>
              </w:rPr>
            </w:pPr>
            <w:r>
              <w:rPr>
                <w:sz w:val="20"/>
              </w:rPr>
              <w:t>Infants</w:t>
            </w:r>
            <w:r>
              <w:rPr>
                <w:spacing w:val="-6"/>
                <w:sz w:val="20"/>
              </w:rPr>
              <w:t> </w:t>
            </w:r>
            <w:r>
              <w:rPr>
                <w:sz w:val="20"/>
              </w:rPr>
              <w:t>and</w:t>
            </w:r>
            <w:r>
              <w:rPr>
                <w:spacing w:val="-6"/>
                <w:sz w:val="20"/>
              </w:rPr>
              <w:t> </w:t>
            </w:r>
            <w:r>
              <w:rPr>
                <w:sz w:val="20"/>
              </w:rPr>
              <w:t>toddlers</w:t>
            </w:r>
            <w:r>
              <w:rPr>
                <w:spacing w:val="-6"/>
                <w:sz w:val="20"/>
              </w:rPr>
              <w:t> </w:t>
            </w:r>
            <w:r>
              <w:rPr>
                <w:sz w:val="20"/>
              </w:rPr>
              <w:t>with</w:t>
            </w:r>
            <w:r>
              <w:rPr>
                <w:spacing w:val="-6"/>
                <w:sz w:val="20"/>
              </w:rPr>
              <w:t> </w:t>
            </w:r>
            <w:r>
              <w:rPr>
                <w:sz w:val="20"/>
              </w:rPr>
              <w:t>disabilities</w:t>
            </w:r>
            <w:r>
              <w:rPr>
                <w:spacing w:val="-6"/>
                <w:sz w:val="20"/>
              </w:rPr>
              <w:t> </w:t>
            </w:r>
            <w:r>
              <w:rPr>
                <w:sz w:val="20"/>
              </w:rPr>
              <w:t>who</w:t>
            </w:r>
            <w:r>
              <w:rPr>
                <w:spacing w:val="-6"/>
                <w:sz w:val="20"/>
              </w:rPr>
              <w:t> </w:t>
            </w:r>
            <w:r>
              <w:rPr>
                <w:sz w:val="20"/>
              </w:rPr>
              <w:t>are</w:t>
            </w:r>
            <w:r>
              <w:rPr>
                <w:spacing w:val="-6"/>
                <w:sz w:val="20"/>
              </w:rPr>
              <w:t> </w:t>
            </w:r>
            <w:r>
              <w:rPr>
                <w:sz w:val="20"/>
              </w:rPr>
              <w:t>homeless children and their families; and</w:t>
            </w:r>
          </w:p>
          <w:p>
            <w:pPr>
              <w:pStyle w:val="TableParagraph"/>
              <w:numPr>
                <w:ilvl w:val="1"/>
                <w:numId w:val="14"/>
              </w:numPr>
              <w:tabs>
                <w:tab w:pos="1012" w:val="left" w:leader="none"/>
              </w:tabs>
              <w:spacing w:line="240" w:lineRule="auto" w:before="1" w:after="0"/>
              <w:ind w:left="1012" w:right="386" w:hanging="504"/>
              <w:jc w:val="left"/>
              <w:rPr>
                <w:sz w:val="20"/>
              </w:rPr>
            </w:pPr>
            <w:r>
              <w:rPr>
                <w:sz w:val="20"/>
              </w:rPr>
              <w:t>Infants</w:t>
            </w:r>
            <w:r>
              <w:rPr>
                <w:spacing w:val="-5"/>
                <w:sz w:val="20"/>
              </w:rPr>
              <w:t> </w:t>
            </w:r>
            <w:r>
              <w:rPr>
                <w:sz w:val="20"/>
              </w:rPr>
              <w:t>and</w:t>
            </w:r>
            <w:r>
              <w:rPr>
                <w:spacing w:val="-5"/>
                <w:sz w:val="20"/>
              </w:rPr>
              <w:t> </w:t>
            </w:r>
            <w:r>
              <w:rPr>
                <w:sz w:val="20"/>
              </w:rPr>
              <w:t>toddlers</w:t>
            </w:r>
            <w:r>
              <w:rPr>
                <w:spacing w:val="-5"/>
                <w:sz w:val="20"/>
              </w:rPr>
              <w:t> </w:t>
            </w:r>
            <w:r>
              <w:rPr>
                <w:sz w:val="20"/>
              </w:rPr>
              <w:t>with</w:t>
            </w:r>
            <w:r>
              <w:rPr>
                <w:spacing w:val="-5"/>
                <w:sz w:val="20"/>
              </w:rPr>
              <w:t> </w:t>
            </w:r>
            <w:r>
              <w:rPr>
                <w:sz w:val="20"/>
              </w:rPr>
              <w:t>disabilities</w:t>
            </w:r>
            <w:r>
              <w:rPr>
                <w:spacing w:val="-5"/>
                <w:sz w:val="20"/>
              </w:rPr>
              <w:t> </w:t>
            </w:r>
            <w:r>
              <w:rPr>
                <w:sz w:val="20"/>
              </w:rPr>
              <w:t>who</w:t>
            </w:r>
            <w:r>
              <w:rPr>
                <w:spacing w:val="-5"/>
                <w:sz w:val="20"/>
              </w:rPr>
              <w:t> </w:t>
            </w:r>
            <w:r>
              <w:rPr>
                <w:sz w:val="20"/>
              </w:rPr>
              <w:t>are</w:t>
            </w:r>
            <w:r>
              <w:rPr>
                <w:spacing w:val="-5"/>
                <w:sz w:val="20"/>
              </w:rPr>
              <w:t> </w:t>
            </w:r>
            <w:r>
              <w:rPr>
                <w:sz w:val="20"/>
              </w:rPr>
              <w:t>wards</w:t>
            </w:r>
            <w:r>
              <w:rPr>
                <w:spacing w:val="-5"/>
                <w:sz w:val="20"/>
              </w:rPr>
              <w:t> </w:t>
            </w:r>
            <w:r>
              <w:rPr>
                <w:sz w:val="20"/>
              </w:rPr>
              <w:t>of</w:t>
            </w:r>
            <w:r>
              <w:rPr>
                <w:spacing w:val="-5"/>
                <w:sz w:val="20"/>
              </w:rPr>
              <w:t> </w:t>
            </w:r>
            <w:r>
              <w:rPr>
                <w:sz w:val="20"/>
              </w:rPr>
              <w:t>the </w:t>
            </w:r>
            <w:r>
              <w:rPr>
                <w:spacing w:val="-2"/>
                <w:sz w:val="20"/>
              </w:rPr>
              <w:t>State.</w:t>
            </w:r>
          </w:p>
          <w:p>
            <w:pPr>
              <w:pStyle w:val="TableParagraph"/>
              <w:spacing w:before="121"/>
              <w:ind w:left="508"/>
              <w:rPr>
                <w:sz w:val="20"/>
              </w:rPr>
            </w:pPr>
            <w:r>
              <w:rPr>
                <w:sz w:val="20"/>
              </w:rPr>
              <w:t>(34</w:t>
            </w:r>
            <w:r>
              <w:rPr>
                <w:spacing w:val="-4"/>
                <w:sz w:val="20"/>
              </w:rPr>
              <w:t> </w:t>
            </w:r>
            <w:r>
              <w:rPr>
                <w:sz w:val="20"/>
              </w:rPr>
              <w:t>CFR</w:t>
            </w:r>
            <w:r>
              <w:rPr>
                <w:spacing w:val="-4"/>
                <w:sz w:val="20"/>
              </w:rPr>
              <w:t> </w:t>
            </w:r>
            <w:r>
              <w:rPr>
                <w:spacing w:val="-2"/>
                <w:sz w:val="20"/>
              </w:rPr>
              <w:t>§303.101(a))</w:t>
            </w:r>
          </w:p>
        </w:tc>
      </w:tr>
      <w:tr>
        <w:trPr>
          <w:trHeight w:val="1386"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spacing w:before="120"/>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tabs>
                <w:tab w:pos="511" w:val="left" w:leader="none"/>
              </w:tabs>
              <w:spacing w:line="237" w:lineRule="auto" w:before="121"/>
              <w:ind w:left="511" w:right="134" w:hanging="392"/>
              <w:rPr>
                <w:sz w:val="20"/>
              </w:rPr>
            </w:pPr>
            <w:r>
              <w:rPr>
                <w:spacing w:val="-6"/>
                <w:sz w:val="20"/>
              </w:rPr>
              <w:t>2.</w:t>
            </w:r>
            <w:r>
              <w:rPr>
                <w:sz w:val="20"/>
              </w:rPr>
              <w:tab/>
              <w:t>The State has in effect a statewide system of early intervention services that meets the requirements of section 635 of the Act, including</w:t>
            </w:r>
            <w:r>
              <w:rPr>
                <w:spacing w:val="-5"/>
                <w:sz w:val="20"/>
              </w:rPr>
              <w:t> </w:t>
            </w:r>
            <w:r>
              <w:rPr>
                <w:sz w:val="20"/>
              </w:rPr>
              <w:t>policies</w:t>
            </w:r>
            <w:r>
              <w:rPr>
                <w:spacing w:val="-5"/>
                <w:sz w:val="20"/>
              </w:rPr>
              <w:t> </w:t>
            </w:r>
            <w:r>
              <w:rPr>
                <w:sz w:val="20"/>
              </w:rPr>
              <w:t>and</w:t>
            </w:r>
            <w:r>
              <w:rPr>
                <w:spacing w:val="-5"/>
                <w:sz w:val="20"/>
              </w:rPr>
              <w:t> </w:t>
            </w:r>
            <w:r>
              <w:rPr>
                <w:sz w:val="20"/>
              </w:rPr>
              <w:t>procedures</w:t>
            </w:r>
            <w:r>
              <w:rPr>
                <w:spacing w:val="-5"/>
                <w:sz w:val="20"/>
              </w:rPr>
              <w:t> </w:t>
            </w:r>
            <w:r>
              <w:rPr>
                <w:sz w:val="20"/>
              </w:rPr>
              <w:t>that</w:t>
            </w:r>
            <w:r>
              <w:rPr>
                <w:spacing w:val="-5"/>
                <w:sz w:val="20"/>
              </w:rPr>
              <w:t> </w:t>
            </w:r>
            <w:r>
              <w:rPr>
                <w:sz w:val="20"/>
              </w:rPr>
              <w:t>address,</w:t>
            </w:r>
            <w:r>
              <w:rPr>
                <w:spacing w:val="-5"/>
                <w:sz w:val="20"/>
              </w:rPr>
              <w:t> </w:t>
            </w:r>
            <w:r>
              <w:rPr>
                <w:sz w:val="20"/>
              </w:rPr>
              <w:t>at</w:t>
            </w:r>
            <w:r>
              <w:rPr>
                <w:spacing w:val="-5"/>
                <w:sz w:val="20"/>
              </w:rPr>
              <w:t> </w:t>
            </w:r>
            <w:r>
              <w:rPr>
                <w:sz w:val="20"/>
              </w:rPr>
              <w:t>a</w:t>
            </w:r>
            <w:r>
              <w:rPr>
                <w:spacing w:val="-5"/>
                <w:sz w:val="20"/>
              </w:rPr>
              <w:t> </w:t>
            </w:r>
            <w:r>
              <w:rPr>
                <w:sz w:val="20"/>
              </w:rPr>
              <w:t>minimum,</w:t>
            </w:r>
            <w:r>
              <w:rPr>
                <w:spacing w:val="-5"/>
                <w:sz w:val="20"/>
              </w:rPr>
              <w:t> </w:t>
            </w:r>
            <w:r>
              <w:rPr>
                <w:sz w:val="20"/>
              </w:rPr>
              <w:t>the components required in 34 CFR §§303.111 through 303.126.</w:t>
            </w:r>
          </w:p>
          <w:p>
            <w:pPr>
              <w:pStyle w:val="TableParagraph"/>
              <w:spacing w:before="4"/>
              <w:ind w:left="511"/>
              <w:rPr>
                <w:sz w:val="20"/>
              </w:rPr>
            </w:pPr>
            <w:r>
              <w:rPr>
                <w:sz w:val="20"/>
              </w:rPr>
              <w:t>(34</w:t>
            </w:r>
            <w:r>
              <w:rPr>
                <w:spacing w:val="-4"/>
                <w:sz w:val="20"/>
              </w:rPr>
              <w:t> </w:t>
            </w:r>
            <w:r>
              <w:rPr>
                <w:sz w:val="20"/>
              </w:rPr>
              <w:t>CFR</w:t>
            </w:r>
            <w:r>
              <w:rPr>
                <w:spacing w:val="-4"/>
                <w:sz w:val="20"/>
              </w:rPr>
              <w:t> </w:t>
            </w:r>
            <w:r>
              <w:rPr>
                <w:spacing w:val="-2"/>
                <w:sz w:val="20"/>
              </w:rPr>
              <w:t>§303.101(a))</w:t>
            </w:r>
          </w:p>
        </w:tc>
      </w:tr>
      <w:tr>
        <w:trPr>
          <w:trHeight w:val="930" w:hRule="atLeast"/>
        </w:trPr>
        <w:tc>
          <w:tcPr>
            <w:tcW w:w="1438" w:type="dxa"/>
            <w:tcBorders>
              <w:top w:val="single" w:sz="6" w:space="0" w:color="000000"/>
              <w:bottom w:val="single" w:sz="6" w:space="0" w:color="000000"/>
              <w:right w:val="single" w:sz="6" w:space="0" w:color="000000"/>
            </w:tcBorders>
          </w:tcPr>
          <w:p>
            <w:pPr>
              <w:pStyle w:val="TableParagraph"/>
              <w:spacing w:before="119"/>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spacing w:before="119"/>
              <w:ind w:left="508" w:right="245" w:hanging="389"/>
              <w:jc w:val="both"/>
              <w:rPr>
                <w:sz w:val="20"/>
              </w:rPr>
            </w:pPr>
            <w:r>
              <w:rPr>
                <w:sz w:val="20"/>
              </w:rPr>
              <w:t>3.</w:t>
            </w:r>
            <w:r>
              <w:rPr>
                <w:spacing w:val="80"/>
                <w:sz w:val="20"/>
              </w:rPr>
              <w:t> </w:t>
            </w:r>
            <w:r>
              <w:rPr>
                <w:sz w:val="20"/>
              </w:rPr>
              <w:t>The</w:t>
            </w:r>
            <w:r>
              <w:rPr>
                <w:spacing w:val="-1"/>
                <w:sz w:val="20"/>
              </w:rPr>
              <w:t> </w:t>
            </w:r>
            <w:r>
              <w:rPr>
                <w:sz w:val="20"/>
              </w:rPr>
              <w:t>State</w:t>
            </w:r>
            <w:r>
              <w:rPr>
                <w:spacing w:val="-1"/>
                <w:sz w:val="20"/>
              </w:rPr>
              <w:t> </w:t>
            </w:r>
            <w:r>
              <w:rPr>
                <w:sz w:val="20"/>
              </w:rPr>
              <w:t>ensures</w:t>
            </w:r>
            <w:r>
              <w:rPr>
                <w:spacing w:val="-1"/>
                <w:sz w:val="20"/>
              </w:rPr>
              <w:t> </w:t>
            </w:r>
            <w:r>
              <w:rPr>
                <w:sz w:val="20"/>
              </w:rPr>
              <w:t>that</w:t>
            </w:r>
            <w:r>
              <w:rPr>
                <w:spacing w:val="-1"/>
                <w:sz w:val="20"/>
              </w:rPr>
              <w:t> </w:t>
            </w:r>
            <w:r>
              <w:rPr>
                <w:sz w:val="20"/>
              </w:rPr>
              <w:t>any</w:t>
            </w:r>
            <w:r>
              <w:rPr>
                <w:spacing w:val="-1"/>
                <w:sz w:val="20"/>
              </w:rPr>
              <w:t> </w:t>
            </w:r>
            <w:r>
              <w:rPr>
                <w:sz w:val="20"/>
              </w:rPr>
              <w:t>State</w:t>
            </w:r>
            <w:r>
              <w:rPr>
                <w:spacing w:val="-1"/>
                <w:sz w:val="20"/>
              </w:rPr>
              <w:t> </w:t>
            </w:r>
            <w:r>
              <w:rPr>
                <w:sz w:val="20"/>
              </w:rPr>
              <w:t>rules,</w:t>
            </w:r>
            <w:r>
              <w:rPr>
                <w:spacing w:val="-1"/>
                <w:sz w:val="20"/>
              </w:rPr>
              <w:t> </w:t>
            </w:r>
            <w:r>
              <w:rPr>
                <w:sz w:val="20"/>
              </w:rPr>
              <w:t>regulations,</w:t>
            </w:r>
            <w:r>
              <w:rPr>
                <w:spacing w:val="-1"/>
                <w:sz w:val="20"/>
              </w:rPr>
              <w:t> </w:t>
            </w:r>
            <w:r>
              <w:rPr>
                <w:sz w:val="20"/>
              </w:rPr>
              <w:t>policies</w:t>
            </w:r>
            <w:r>
              <w:rPr>
                <w:spacing w:val="-1"/>
                <w:sz w:val="20"/>
              </w:rPr>
              <w:t> </w:t>
            </w:r>
            <w:r>
              <w:rPr>
                <w:sz w:val="20"/>
              </w:rPr>
              <w:t>and procedures</w:t>
            </w:r>
            <w:r>
              <w:rPr>
                <w:spacing w:val="-4"/>
                <w:sz w:val="20"/>
              </w:rPr>
              <w:t> </w:t>
            </w:r>
            <w:r>
              <w:rPr>
                <w:sz w:val="20"/>
              </w:rPr>
              <w:t>relating</w:t>
            </w:r>
            <w:r>
              <w:rPr>
                <w:spacing w:val="-4"/>
                <w:sz w:val="20"/>
              </w:rPr>
              <w:t> </w:t>
            </w:r>
            <w:r>
              <w:rPr>
                <w:sz w:val="20"/>
              </w:rPr>
              <w:t>to</w:t>
            </w:r>
            <w:r>
              <w:rPr>
                <w:spacing w:val="-4"/>
                <w:sz w:val="20"/>
              </w:rPr>
              <w:t> </w:t>
            </w:r>
            <w:r>
              <w:rPr>
                <w:sz w:val="20"/>
              </w:rPr>
              <w:t>34</w:t>
            </w:r>
            <w:r>
              <w:rPr>
                <w:spacing w:val="-4"/>
                <w:sz w:val="20"/>
              </w:rPr>
              <w:t> </w:t>
            </w:r>
            <w:r>
              <w:rPr>
                <w:sz w:val="20"/>
              </w:rPr>
              <w:t>CFR</w:t>
            </w:r>
            <w:r>
              <w:rPr>
                <w:spacing w:val="-5"/>
                <w:sz w:val="20"/>
              </w:rPr>
              <w:t> </w:t>
            </w:r>
            <w:r>
              <w:rPr>
                <w:sz w:val="20"/>
              </w:rPr>
              <w:t>Part</w:t>
            </w:r>
            <w:r>
              <w:rPr>
                <w:spacing w:val="-4"/>
                <w:sz w:val="20"/>
              </w:rPr>
              <w:t> </w:t>
            </w:r>
            <w:r>
              <w:rPr>
                <w:sz w:val="20"/>
              </w:rPr>
              <w:t>303</w:t>
            </w:r>
            <w:r>
              <w:rPr>
                <w:spacing w:val="-3"/>
                <w:sz w:val="20"/>
              </w:rPr>
              <w:t> </w:t>
            </w:r>
            <w:r>
              <w:rPr>
                <w:sz w:val="20"/>
              </w:rPr>
              <w:t>conform</w:t>
            </w:r>
            <w:r>
              <w:rPr>
                <w:spacing w:val="-5"/>
                <w:sz w:val="20"/>
              </w:rPr>
              <w:t> </w:t>
            </w:r>
            <w:r>
              <w:rPr>
                <w:sz w:val="20"/>
              </w:rPr>
              <w:t>to</w:t>
            </w:r>
            <w:r>
              <w:rPr>
                <w:spacing w:val="-4"/>
                <w:sz w:val="20"/>
              </w:rPr>
              <w:t> </w:t>
            </w:r>
            <w:r>
              <w:rPr>
                <w:sz w:val="20"/>
              </w:rPr>
              <w:t>the</w:t>
            </w:r>
            <w:r>
              <w:rPr>
                <w:spacing w:val="-4"/>
                <w:sz w:val="20"/>
              </w:rPr>
              <w:t> </w:t>
            </w:r>
            <w:r>
              <w:rPr>
                <w:sz w:val="20"/>
              </w:rPr>
              <w:t>purposes and requirements of 34 CFR Part 303.</w:t>
            </w:r>
            <w:r>
              <w:rPr>
                <w:spacing w:val="40"/>
                <w:sz w:val="20"/>
              </w:rPr>
              <w:t> </w:t>
            </w:r>
            <w:r>
              <w:rPr>
                <w:sz w:val="20"/>
              </w:rPr>
              <w:t>(34 CFR §303.102)</w:t>
            </w:r>
          </w:p>
        </w:tc>
      </w:tr>
      <w:tr>
        <w:trPr>
          <w:trHeight w:val="930" w:hRule="atLeast"/>
        </w:trPr>
        <w:tc>
          <w:tcPr>
            <w:tcW w:w="1438" w:type="dxa"/>
            <w:tcBorders>
              <w:top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tabs>
                <w:tab w:pos="508" w:val="left" w:leader="none"/>
              </w:tabs>
              <w:spacing w:before="119"/>
              <w:ind w:left="508" w:right="201" w:hanging="389"/>
              <w:rPr>
                <w:sz w:val="20"/>
              </w:rPr>
            </w:pPr>
            <w:r>
              <w:rPr>
                <w:spacing w:val="-6"/>
                <w:sz w:val="20"/>
              </w:rPr>
              <w:t>4.</w:t>
            </w:r>
            <w:r>
              <w:rPr>
                <w:sz w:val="20"/>
              </w:rPr>
              <w:tab/>
              <w:t>Each</w:t>
            </w:r>
            <w:r>
              <w:rPr>
                <w:spacing w:val="-4"/>
                <w:sz w:val="20"/>
              </w:rPr>
              <w:t> </w:t>
            </w:r>
            <w:r>
              <w:rPr>
                <w:sz w:val="20"/>
              </w:rPr>
              <w:t>statewide</w:t>
            </w:r>
            <w:r>
              <w:rPr>
                <w:spacing w:val="-4"/>
                <w:sz w:val="20"/>
              </w:rPr>
              <w:t> </w:t>
            </w:r>
            <w:r>
              <w:rPr>
                <w:sz w:val="20"/>
              </w:rPr>
              <w:t>system</w:t>
            </w:r>
            <w:r>
              <w:rPr>
                <w:spacing w:val="-5"/>
                <w:sz w:val="20"/>
              </w:rPr>
              <w:t> </w:t>
            </w:r>
            <w:r>
              <w:rPr>
                <w:sz w:val="20"/>
              </w:rPr>
              <w:t>(system)</w:t>
            </w:r>
            <w:r>
              <w:rPr>
                <w:spacing w:val="-4"/>
                <w:sz w:val="20"/>
              </w:rPr>
              <w:t> </w:t>
            </w:r>
            <w:r>
              <w:rPr>
                <w:sz w:val="20"/>
              </w:rPr>
              <w:t>must</w:t>
            </w:r>
            <w:r>
              <w:rPr>
                <w:spacing w:val="-4"/>
                <w:sz w:val="20"/>
              </w:rPr>
              <w:t> </w:t>
            </w:r>
            <w:r>
              <w:rPr>
                <w:sz w:val="20"/>
              </w:rPr>
              <w:t>include,</w:t>
            </w:r>
            <w:r>
              <w:rPr>
                <w:spacing w:val="-4"/>
                <w:sz w:val="20"/>
              </w:rPr>
              <w:t> </w:t>
            </w:r>
            <w:r>
              <w:rPr>
                <w:sz w:val="20"/>
              </w:rPr>
              <w:t>at</w:t>
            </w:r>
            <w:r>
              <w:rPr>
                <w:spacing w:val="-4"/>
                <w:sz w:val="20"/>
              </w:rPr>
              <w:t> </w:t>
            </w:r>
            <w:r>
              <w:rPr>
                <w:sz w:val="20"/>
              </w:rPr>
              <w:t>a</w:t>
            </w:r>
            <w:r>
              <w:rPr>
                <w:spacing w:val="-4"/>
                <w:sz w:val="20"/>
              </w:rPr>
              <w:t> </w:t>
            </w:r>
            <w:r>
              <w:rPr>
                <w:sz w:val="20"/>
              </w:rPr>
              <w:t>minimum,</w:t>
            </w:r>
            <w:r>
              <w:rPr>
                <w:spacing w:val="-4"/>
                <w:sz w:val="20"/>
              </w:rPr>
              <w:t> </w:t>
            </w:r>
            <w:r>
              <w:rPr>
                <w:sz w:val="20"/>
              </w:rPr>
              <w:t>the components described in §§303.111 through 303.126.</w:t>
            </w:r>
          </w:p>
          <w:p>
            <w:pPr>
              <w:pStyle w:val="TableParagraph"/>
              <w:spacing w:before="1"/>
              <w:ind w:left="508"/>
              <w:rPr>
                <w:sz w:val="20"/>
              </w:rPr>
            </w:pPr>
            <w:r>
              <w:rPr>
                <w:sz w:val="20"/>
              </w:rPr>
              <w:t>(34</w:t>
            </w:r>
            <w:r>
              <w:rPr>
                <w:spacing w:val="-4"/>
                <w:sz w:val="20"/>
              </w:rPr>
              <w:t> </w:t>
            </w:r>
            <w:r>
              <w:rPr>
                <w:sz w:val="20"/>
              </w:rPr>
              <w:t>CFR</w:t>
            </w:r>
            <w:r>
              <w:rPr>
                <w:spacing w:val="-4"/>
                <w:sz w:val="20"/>
              </w:rPr>
              <w:t> </w:t>
            </w:r>
            <w:r>
              <w:rPr>
                <w:spacing w:val="-2"/>
                <w:sz w:val="20"/>
              </w:rPr>
              <w:t>§303.110)</w:t>
            </w:r>
          </w:p>
        </w:tc>
      </w:tr>
      <w:tr>
        <w:trPr>
          <w:trHeight w:val="1971" w:hRule="atLeast"/>
        </w:trPr>
        <w:tc>
          <w:tcPr>
            <w:tcW w:w="1438"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spacing w:before="178"/>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82" w:type="dxa"/>
            <w:tcBorders>
              <w:top w:val="single" w:sz="6" w:space="0" w:color="000000"/>
              <w:left w:val="single" w:sz="6" w:space="0" w:color="000000"/>
            </w:tcBorders>
          </w:tcPr>
          <w:p>
            <w:pPr>
              <w:pStyle w:val="TableParagraph"/>
              <w:numPr>
                <w:ilvl w:val="0"/>
                <w:numId w:val="15"/>
              </w:numPr>
              <w:tabs>
                <w:tab w:pos="508" w:val="left" w:leader="none"/>
              </w:tabs>
              <w:spacing w:line="240" w:lineRule="auto" w:before="119" w:after="0"/>
              <w:ind w:left="508" w:right="112" w:hanging="389"/>
              <w:jc w:val="left"/>
              <w:rPr>
                <w:sz w:val="20"/>
              </w:rPr>
            </w:pPr>
            <w:r>
              <w:rPr>
                <w:sz w:val="20"/>
              </w:rPr>
              <w:t>The</w:t>
            </w:r>
            <w:r>
              <w:rPr>
                <w:spacing w:val="-4"/>
                <w:sz w:val="20"/>
              </w:rPr>
              <w:t> </w:t>
            </w:r>
            <w:r>
              <w:rPr>
                <w:sz w:val="20"/>
              </w:rPr>
              <w:t>State</w:t>
            </w:r>
            <w:r>
              <w:rPr>
                <w:spacing w:val="-4"/>
                <w:sz w:val="20"/>
              </w:rPr>
              <w:t> </w:t>
            </w:r>
            <w:r>
              <w:rPr>
                <w:sz w:val="20"/>
              </w:rPr>
              <w:t>has</w:t>
            </w:r>
            <w:r>
              <w:rPr>
                <w:spacing w:val="-4"/>
                <w:sz w:val="20"/>
              </w:rPr>
              <w:t> </w:t>
            </w:r>
            <w:r>
              <w:rPr>
                <w:sz w:val="20"/>
              </w:rPr>
              <w:t>a</w:t>
            </w:r>
            <w:r>
              <w:rPr>
                <w:spacing w:val="-4"/>
                <w:sz w:val="20"/>
              </w:rPr>
              <w:t> </w:t>
            </w:r>
            <w:r>
              <w:rPr>
                <w:sz w:val="20"/>
              </w:rPr>
              <w:t>policy</w:t>
            </w:r>
            <w:r>
              <w:rPr>
                <w:spacing w:val="-4"/>
                <w:sz w:val="20"/>
              </w:rPr>
              <w:t> </w:t>
            </w:r>
            <w:r>
              <w:rPr>
                <w:sz w:val="20"/>
              </w:rPr>
              <w:t>in</w:t>
            </w:r>
            <w:r>
              <w:rPr>
                <w:spacing w:val="-4"/>
                <w:sz w:val="20"/>
              </w:rPr>
              <w:t> </w:t>
            </w:r>
            <w:r>
              <w:rPr>
                <w:sz w:val="20"/>
              </w:rPr>
              <w:t>effect</w:t>
            </w:r>
            <w:r>
              <w:rPr>
                <w:spacing w:val="-4"/>
                <w:sz w:val="20"/>
              </w:rPr>
              <w:t> </w:t>
            </w:r>
            <w:r>
              <w:rPr>
                <w:sz w:val="20"/>
              </w:rPr>
              <w:t>that</w:t>
            </w:r>
            <w:r>
              <w:rPr>
                <w:spacing w:val="-4"/>
                <w:sz w:val="20"/>
              </w:rPr>
              <w:t> </w:t>
            </w:r>
            <w:r>
              <w:rPr>
                <w:sz w:val="20"/>
              </w:rPr>
              <w:t>ensures</w:t>
            </w:r>
            <w:r>
              <w:rPr>
                <w:spacing w:val="-4"/>
                <w:sz w:val="20"/>
              </w:rPr>
              <w:t> </w:t>
            </w:r>
            <w:r>
              <w:rPr>
                <w:sz w:val="20"/>
              </w:rPr>
              <w:t>that</w:t>
            </w:r>
            <w:r>
              <w:rPr>
                <w:spacing w:val="-4"/>
                <w:sz w:val="20"/>
              </w:rPr>
              <w:t> </w:t>
            </w:r>
            <w:r>
              <w:rPr>
                <w:sz w:val="20"/>
              </w:rPr>
              <w:t>appropriate</w:t>
            </w:r>
            <w:r>
              <w:rPr>
                <w:spacing w:val="-4"/>
                <w:sz w:val="20"/>
              </w:rPr>
              <w:t> </w:t>
            </w:r>
            <w:r>
              <w:rPr>
                <w:sz w:val="20"/>
              </w:rPr>
              <w:t>early intervention services are based on scientifically based research, to the extent practicable, and are available to all infants and toddlers with disabilities and their families, including—</w:t>
            </w:r>
          </w:p>
          <w:p>
            <w:pPr>
              <w:pStyle w:val="TableParagraph"/>
              <w:numPr>
                <w:ilvl w:val="1"/>
                <w:numId w:val="15"/>
              </w:numPr>
              <w:tabs>
                <w:tab w:pos="1011" w:val="left" w:leader="none"/>
              </w:tabs>
              <w:spacing w:line="240" w:lineRule="auto" w:before="122" w:after="0"/>
              <w:ind w:left="1011" w:right="89" w:hanging="500"/>
              <w:jc w:val="both"/>
              <w:rPr>
                <w:sz w:val="20"/>
              </w:rPr>
            </w:pPr>
            <w:r>
              <w:rPr>
                <w:sz w:val="20"/>
              </w:rPr>
              <w:t>Indian infants and toddlers with disabilities and their families residing</w:t>
            </w:r>
            <w:r>
              <w:rPr>
                <w:spacing w:val="-5"/>
                <w:sz w:val="20"/>
              </w:rPr>
              <w:t> </w:t>
            </w:r>
            <w:r>
              <w:rPr>
                <w:sz w:val="20"/>
              </w:rPr>
              <w:t>on</w:t>
            </w:r>
            <w:r>
              <w:rPr>
                <w:spacing w:val="-5"/>
                <w:sz w:val="20"/>
              </w:rPr>
              <w:t> </w:t>
            </w:r>
            <w:r>
              <w:rPr>
                <w:sz w:val="20"/>
              </w:rPr>
              <w:t>a</w:t>
            </w:r>
            <w:r>
              <w:rPr>
                <w:spacing w:val="-5"/>
                <w:sz w:val="20"/>
              </w:rPr>
              <w:t> </w:t>
            </w:r>
            <w:r>
              <w:rPr>
                <w:sz w:val="20"/>
              </w:rPr>
              <w:t>reservation</w:t>
            </w:r>
            <w:r>
              <w:rPr>
                <w:spacing w:val="-5"/>
                <w:sz w:val="20"/>
              </w:rPr>
              <w:t> </w:t>
            </w:r>
            <w:r>
              <w:rPr>
                <w:sz w:val="20"/>
              </w:rPr>
              <w:t>geographically</w:t>
            </w:r>
            <w:r>
              <w:rPr>
                <w:spacing w:val="-5"/>
                <w:sz w:val="20"/>
              </w:rPr>
              <w:t> </w:t>
            </w:r>
            <w:r>
              <w:rPr>
                <w:sz w:val="20"/>
              </w:rPr>
              <w:t>located</w:t>
            </w:r>
            <w:r>
              <w:rPr>
                <w:spacing w:val="-5"/>
                <w:sz w:val="20"/>
              </w:rPr>
              <w:t> </w:t>
            </w:r>
            <w:r>
              <w:rPr>
                <w:sz w:val="20"/>
              </w:rPr>
              <w:t>in</w:t>
            </w:r>
            <w:r>
              <w:rPr>
                <w:spacing w:val="-5"/>
                <w:sz w:val="20"/>
              </w:rPr>
              <w:t> </w:t>
            </w:r>
            <w:r>
              <w:rPr>
                <w:sz w:val="20"/>
              </w:rPr>
              <w:t>the</w:t>
            </w:r>
            <w:r>
              <w:rPr>
                <w:spacing w:val="-5"/>
                <w:sz w:val="20"/>
              </w:rPr>
              <w:t> </w:t>
            </w:r>
            <w:r>
              <w:rPr>
                <w:sz w:val="20"/>
              </w:rPr>
              <w:t>State; </w:t>
            </w:r>
            <w:r>
              <w:rPr>
                <w:spacing w:val="-4"/>
                <w:sz w:val="20"/>
              </w:rPr>
              <w:t>and</w:t>
            </w:r>
          </w:p>
        </w:tc>
      </w:tr>
    </w:tbl>
    <w:p>
      <w:pPr>
        <w:pStyle w:val="TableParagraph"/>
        <w:spacing w:after="0" w:line="240" w:lineRule="auto"/>
        <w:jc w:val="both"/>
        <w:rPr>
          <w:sz w:val="20"/>
        </w:rPr>
        <w:sectPr>
          <w:pgSz w:w="12240" w:h="15840"/>
          <w:pgMar w:header="0" w:footer="879" w:top="138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38"/>
        <w:gridCol w:w="1440"/>
        <w:gridCol w:w="6482"/>
      </w:tblGrid>
      <w:tr>
        <w:trPr>
          <w:trHeight w:val="410" w:hRule="atLeast"/>
        </w:trPr>
        <w:tc>
          <w:tcPr>
            <w:tcW w:w="1438" w:type="dxa"/>
            <w:tcBorders>
              <w:bottom w:val="nil"/>
              <w:right w:val="single" w:sz="6" w:space="0" w:color="000000"/>
            </w:tcBorders>
            <w:shd w:val="clear" w:color="auto" w:fill="F2F2F2"/>
          </w:tcPr>
          <w:p>
            <w:pPr>
              <w:pStyle w:val="TableParagraph"/>
              <w:spacing w:before="119"/>
              <w:ind w:left="153" w:right="134"/>
              <w:jc w:val="center"/>
              <w:rPr>
                <w:b/>
                <w:sz w:val="20"/>
              </w:rPr>
            </w:pPr>
            <w:r>
              <w:rPr>
                <w:b/>
                <w:spacing w:val="-5"/>
                <w:sz w:val="20"/>
              </w:rPr>
              <w:t>Yes</w:t>
            </w:r>
          </w:p>
        </w:tc>
        <w:tc>
          <w:tcPr>
            <w:tcW w:w="1440" w:type="dxa"/>
            <w:tcBorders>
              <w:left w:val="single" w:sz="6" w:space="0" w:color="000000"/>
              <w:bottom w:val="nil"/>
              <w:right w:val="single" w:sz="6" w:space="0" w:color="000000"/>
            </w:tcBorders>
            <w:shd w:val="clear" w:color="auto" w:fill="F2F2F2"/>
          </w:tcPr>
          <w:p>
            <w:pPr>
              <w:pStyle w:val="TableParagraph"/>
              <w:spacing w:before="119"/>
              <w:ind w:left="116" w:right="79"/>
              <w:jc w:val="center"/>
              <w:rPr>
                <w:b/>
                <w:sz w:val="20"/>
              </w:rPr>
            </w:pPr>
            <w:r>
              <w:rPr>
                <w:b/>
                <w:spacing w:val="-5"/>
                <w:sz w:val="20"/>
              </w:rPr>
              <w:t>No</w:t>
            </w:r>
          </w:p>
        </w:tc>
        <w:tc>
          <w:tcPr>
            <w:tcW w:w="6482" w:type="dxa"/>
            <w:tcBorders>
              <w:left w:val="single" w:sz="6" w:space="0" w:color="000000"/>
              <w:bottom w:val="nil"/>
            </w:tcBorders>
            <w:shd w:val="clear" w:color="auto" w:fill="F2F2F2"/>
          </w:tcPr>
          <w:p>
            <w:pPr>
              <w:pStyle w:val="TableParagraph"/>
              <w:spacing w:before="119"/>
              <w:ind w:left="44" w:right="1"/>
              <w:jc w:val="center"/>
              <w:rPr>
                <w:b/>
                <w:sz w:val="20"/>
              </w:rPr>
            </w:pPr>
            <w:r>
              <w:rPr>
                <w:b/>
                <w:spacing w:val="-2"/>
                <w:sz w:val="20"/>
              </w:rPr>
              <w:t>Subpart</w:t>
            </w:r>
            <w:r>
              <w:rPr>
                <w:b/>
                <w:spacing w:val="4"/>
                <w:sz w:val="20"/>
              </w:rPr>
              <w:t> </w:t>
            </w:r>
            <w:r>
              <w:rPr>
                <w:b/>
                <w:spacing w:val="-2"/>
                <w:sz w:val="20"/>
              </w:rPr>
              <w:t>B—Assurances</w:t>
            </w:r>
          </w:p>
        </w:tc>
      </w:tr>
      <w:tr>
        <w:trPr>
          <w:trHeight w:val="1778" w:hRule="atLeast"/>
        </w:trPr>
        <w:tc>
          <w:tcPr>
            <w:tcW w:w="1438" w:type="dxa"/>
            <w:tcBorders>
              <w:top w:val="nil"/>
              <w:bottom w:val="nil"/>
              <w:right w:val="single" w:sz="6" w:space="0" w:color="000000"/>
            </w:tcBorders>
            <w:shd w:val="clear" w:color="auto" w:fill="F2F2F2"/>
          </w:tcPr>
          <w:p>
            <w:pPr>
              <w:pStyle w:val="TableParagraph"/>
              <w:spacing w:before="58"/>
              <w:ind w:left="153" w:right="133"/>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6" w:space="0" w:color="000000"/>
              <w:bottom w:val="nil"/>
              <w:right w:val="single" w:sz="6" w:space="0" w:color="000000"/>
            </w:tcBorders>
            <w:shd w:val="clear" w:color="auto" w:fill="F2F2F2"/>
          </w:tcPr>
          <w:p>
            <w:pPr>
              <w:pStyle w:val="TableParagraph"/>
              <w:spacing w:before="58"/>
              <w:ind w:left="116" w:right="78"/>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35" w:right="95" w:hanging="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2" w:type="dxa"/>
            <w:tcBorders>
              <w:top w:val="nil"/>
              <w:left w:val="single" w:sz="6" w:space="0" w:color="000000"/>
              <w:bottom w:val="nil"/>
            </w:tcBorders>
            <w:shd w:val="clear" w:color="auto" w:fill="F2F2F2"/>
          </w:tcPr>
          <w:p>
            <w:pPr>
              <w:pStyle w:val="TableParagraph"/>
              <w:spacing w:before="67"/>
              <w:ind w:left="44"/>
              <w:jc w:val="center"/>
              <w:rPr>
                <w:sz w:val="16"/>
              </w:rPr>
            </w:pPr>
            <w:r>
              <w:rPr>
                <w:sz w:val="16"/>
              </w:rPr>
              <w:t>(20</w:t>
            </w:r>
            <w:r>
              <w:rPr>
                <w:spacing w:val="-5"/>
                <w:sz w:val="16"/>
              </w:rPr>
              <w:t> </w:t>
            </w:r>
            <w:r>
              <w:rPr>
                <w:sz w:val="16"/>
              </w:rPr>
              <w:t>U.S.C.</w:t>
            </w:r>
            <w:r>
              <w:rPr>
                <w:spacing w:val="-4"/>
                <w:sz w:val="16"/>
              </w:rPr>
              <w:t> </w:t>
            </w:r>
            <w:r>
              <w:rPr>
                <w:sz w:val="16"/>
              </w:rPr>
              <w:t>1434;</w:t>
            </w:r>
            <w:r>
              <w:rPr>
                <w:spacing w:val="-5"/>
                <w:sz w:val="16"/>
              </w:rPr>
              <w:t> </w:t>
            </w:r>
            <w:r>
              <w:rPr>
                <w:sz w:val="16"/>
              </w:rPr>
              <w:t>1435;</w:t>
            </w:r>
            <w:r>
              <w:rPr>
                <w:spacing w:val="-4"/>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4"/>
                <w:sz w:val="16"/>
              </w:rPr>
              <w:t> </w:t>
            </w:r>
            <w:r>
              <w:rPr>
                <w:sz w:val="16"/>
              </w:rPr>
              <w:t>303.220;</w:t>
            </w:r>
            <w:r>
              <w:rPr>
                <w:spacing w:val="-5"/>
                <w:sz w:val="16"/>
              </w:rPr>
              <w:t> </w:t>
            </w:r>
            <w:r>
              <w:rPr>
                <w:spacing w:val="-2"/>
                <w:sz w:val="16"/>
              </w:rPr>
              <w:t>303.227)</w:t>
            </w:r>
          </w:p>
        </w:tc>
      </w:tr>
      <w:tr>
        <w:trPr>
          <w:trHeight w:val="728" w:hRule="atLeast"/>
        </w:trPr>
        <w:tc>
          <w:tcPr>
            <w:tcW w:w="1438" w:type="dxa"/>
            <w:tcBorders>
              <w:top w:val="nil"/>
              <w:right w:val="single" w:sz="6" w:space="0" w:color="000000"/>
            </w:tcBorders>
            <w:shd w:val="clear" w:color="auto" w:fill="F2F2F2"/>
          </w:tcPr>
          <w:p>
            <w:pPr>
              <w:pStyle w:val="TableParagraph"/>
              <w:rPr>
                <w:rFonts w:ascii="Times New Roman"/>
                <w:sz w:val="18"/>
              </w:rPr>
            </w:pPr>
          </w:p>
        </w:tc>
        <w:tc>
          <w:tcPr>
            <w:tcW w:w="1440" w:type="dxa"/>
            <w:tcBorders>
              <w:top w:val="nil"/>
              <w:left w:val="single" w:sz="6" w:space="0" w:color="000000"/>
              <w:right w:val="single" w:sz="6" w:space="0" w:color="000000"/>
            </w:tcBorders>
            <w:shd w:val="clear" w:color="auto" w:fill="F2F2F2"/>
          </w:tcPr>
          <w:p>
            <w:pPr>
              <w:pStyle w:val="TableParagraph"/>
              <w:spacing w:before="56"/>
              <w:ind w:left="371" w:hanging="227"/>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2" w:type="dxa"/>
            <w:tcBorders>
              <w:top w:val="nil"/>
              <w:left w:val="single" w:sz="6" w:space="0" w:color="000000"/>
            </w:tcBorders>
            <w:shd w:val="clear" w:color="auto" w:fill="F2F2F2"/>
          </w:tcPr>
          <w:p>
            <w:pPr>
              <w:pStyle w:val="TableParagraph"/>
              <w:rPr>
                <w:rFonts w:ascii="Times New Roman"/>
                <w:sz w:val="18"/>
              </w:rPr>
            </w:pPr>
          </w:p>
        </w:tc>
      </w:tr>
      <w:tr>
        <w:trPr>
          <w:trHeight w:val="579" w:hRule="atLeast"/>
        </w:trPr>
        <w:tc>
          <w:tcPr>
            <w:tcW w:w="1438"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82" w:type="dxa"/>
            <w:tcBorders>
              <w:left w:val="single" w:sz="6" w:space="0" w:color="000000"/>
              <w:bottom w:val="single" w:sz="6" w:space="0" w:color="000000"/>
            </w:tcBorders>
          </w:tcPr>
          <w:p>
            <w:pPr>
              <w:pStyle w:val="TableParagraph"/>
              <w:tabs>
                <w:tab w:pos="1011" w:val="left" w:leader="none"/>
              </w:tabs>
              <w:ind w:left="1011" w:right="620" w:hanging="500"/>
              <w:rPr>
                <w:sz w:val="20"/>
              </w:rPr>
            </w:pPr>
            <w:r>
              <w:rPr>
                <w:spacing w:val="-4"/>
                <w:sz w:val="20"/>
              </w:rPr>
              <w:t>(b)</w:t>
            </w:r>
            <w:r>
              <w:rPr>
                <w:sz w:val="20"/>
              </w:rPr>
              <w:tab/>
              <w:t>Infants</w:t>
            </w:r>
            <w:r>
              <w:rPr>
                <w:spacing w:val="-6"/>
                <w:sz w:val="20"/>
              </w:rPr>
              <w:t> </w:t>
            </w:r>
            <w:r>
              <w:rPr>
                <w:sz w:val="20"/>
              </w:rPr>
              <w:t>and</w:t>
            </w:r>
            <w:r>
              <w:rPr>
                <w:spacing w:val="-6"/>
                <w:sz w:val="20"/>
              </w:rPr>
              <w:t> </w:t>
            </w:r>
            <w:r>
              <w:rPr>
                <w:sz w:val="20"/>
              </w:rPr>
              <w:t>toddlers</w:t>
            </w:r>
            <w:r>
              <w:rPr>
                <w:spacing w:val="-6"/>
                <w:sz w:val="20"/>
              </w:rPr>
              <w:t> </w:t>
            </w:r>
            <w:r>
              <w:rPr>
                <w:sz w:val="20"/>
              </w:rPr>
              <w:t>with</w:t>
            </w:r>
            <w:r>
              <w:rPr>
                <w:spacing w:val="-6"/>
                <w:sz w:val="20"/>
              </w:rPr>
              <w:t> </w:t>
            </w:r>
            <w:r>
              <w:rPr>
                <w:sz w:val="20"/>
              </w:rPr>
              <w:t>disabilities</w:t>
            </w:r>
            <w:r>
              <w:rPr>
                <w:spacing w:val="-6"/>
                <w:sz w:val="20"/>
              </w:rPr>
              <w:t> </w:t>
            </w:r>
            <w:r>
              <w:rPr>
                <w:sz w:val="20"/>
              </w:rPr>
              <w:t>who</w:t>
            </w:r>
            <w:r>
              <w:rPr>
                <w:spacing w:val="-6"/>
                <w:sz w:val="20"/>
              </w:rPr>
              <w:t> </w:t>
            </w:r>
            <w:r>
              <w:rPr>
                <w:sz w:val="20"/>
              </w:rPr>
              <w:t>are</w:t>
            </w:r>
            <w:r>
              <w:rPr>
                <w:spacing w:val="-6"/>
                <w:sz w:val="20"/>
              </w:rPr>
              <w:t> </w:t>
            </w:r>
            <w:r>
              <w:rPr>
                <w:sz w:val="20"/>
              </w:rPr>
              <w:t>homeless children and their families.</w:t>
            </w:r>
            <w:r>
              <w:rPr>
                <w:spacing w:val="40"/>
                <w:sz w:val="20"/>
              </w:rPr>
              <w:t> </w:t>
            </w:r>
            <w:r>
              <w:rPr>
                <w:sz w:val="20"/>
              </w:rPr>
              <w:t>(34 CFR §303.112)</w:t>
            </w:r>
          </w:p>
        </w:tc>
      </w:tr>
      <w:tr>
        <w:trPr>
          <w:trHeight w:val="3009"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numPr>
                <w:ilvl w:val="0"/>
                <w:numId w:val="16"/>
              </w:numPr>
              <w:tabs>
                <w:tab w:pos="511" w:val="left" w:leader="none"/>
              </w:tabs>
              <w:spacing w:line="240" w:lineRule="auto" w:before="119" w:after="0"/>
              <w:ind w:left="511" w:right="0" w:hanging="392"/>
              <w:jc w:val="left"/>
              <w:rPr>
                <w:sz w:val="20"/>
              </w:rPr>
            </w:pPr>
            <w:r>
              <w:rPr>
                <w:sz w:val="20"/>
              </w:rPr>
              <w:t>(a)</w:t>
            </w:r>
            <w:r>
              <w:rPr>
                <w:spacing w:val="-13"/>
                <w:sz w:val="20"/>
              </w:rPr>
              <w:t> </w:t>
            </w:r>
            <w:r>
              <w:rPr>
                <w:sz w:val="20"/>
              </w:rPr>
              <w:t>The</w:t>
            </w:r>
            <w:r>
              <w:rPr>
                <w:spacing w:val="-6"/>
                <w:sz w:val="20"/>
              </w:rPr>
              <w:t> </w:t>
            </w:r>
            <w:r>
              <w:rPr>
                <w:sz w:val="20"/>
              </w:rPr>
              <w:t>Statewide</w:t>
            </w:r>
            <w:r>
              <w:rPr>
                <w:spacing w:val="-7"/>
                <w:sz w:val="20"/>
              </w:rPr>
              <w:t> </w:t>
            </w:r>
            <w:r>
              <w:rPr>
                <w:sz w:val="20"/>
              </w:rPr>
              <w:t>system</w:t>
            </w:r>
            <w:r>
              <w:rPr>
                <w:spacing w:val="-7"/>
                <w:sz w:val="20"/>
              </w:rPr>
              <w:t> </w:t>
            </w:r>
            <w:r>
              <w:rPr>
                <w:sz w:val="20"/>
              </w:rPr>
              <w:t>ensures</w:t>
            </w:r>
            <w:r>
              <w:rPr>
                <w:spacing w:val="-6"/>
                <w:sz w:val="20"/>
              </w:rPr>
              <w:t> </w:t>
            </w:r>
            <w:r>
              <w:rPr>
                <w:sz w:val="20"/>
              </w:rPr>
              <w:t>the</w:t>
            </w:r>
            <w:r>
              <w:rPr>
                <w:spacing w:val="-7"/>
                <w:sz w:val="20"/>
              </w:rPr>
              <w:t> </w:t>
            </w:r>
            <w:r>
              <w:rPr>
                <w:sz w:val="20"/>
              </w:rPr>
              <w:t>performance</w:t>
            </w:r>
            <w:r>
              <w:rPr>
                <w:spacing w:val="-6"/>
                <w:sz w:val="20"/>
              </w:rPr>
              <w:t> </w:t>
            </w:r>
            <w:r>
              <w:rPr>
                <w:spacing w:val="-5"/>
                <w:sz w:val="20"/>
              </w:rPr>
              <w:t>of—</w:t>
            </w:r>
          </w:p>
          <w:p>
            <w:pPr>
              <w:pStyle w:val="TableParagraph"/>
              <w:numPr>
                <w:ilvl w:val="1"/>
                <w:numId w:val="16"/>
              </w:numPr>
              <w:tabs>
                <w:tab w:pos="1487" w:val="left" w:leader="none"/>
              </w:tabs>
              <w:spacing w:line="240" w:lineRule="auto" w:before="120" w:after="0"/>
              <w:ind w:left="1487" w:right="104" w:hanging="504"/>
              <w:jc w:val="both"/>
              <w:rPr>
                <w:sz w:val="20"/>
              </w:rPr>
            </w:pPr>
            <w:r>
              <w:rPr>
                <w:sz w:val="20"/>
              </w:rPr>
              <w:t>A</w:t>
            </w:r>
            <w:r>
              <w:rPr>
                <w:spacing w:val="-14"/>
                <w:sz w:val="20"/>
              </w:rPr>
              <w:t> </w:t>
            </w:r>
            <w:r>
              <w:rPr>
                <w:sz w:val="20"/>
              </w:rPr>
              <w:t>timely,</w:t>
            </w:r>
            <w:r>
              <w:rPr>
                <w:spacing w:val="-14"/>
                <w:sz w:val="20"/>
              </w:rPr>
              <w:t> </w:t>
            </w:r>
            <w:r>
              <w:rPr>
                <w:sz w:val="20"/>
              </w:rPr>
              <w:t>comprehensive,</w:t>
            </w:r>
            <w:r>
              <w:rPr>
                <w:spacing w:val="-14"/>
                <w:sz w:val="20"/>
              </w:rPr>
              <w:t> </w:t>
            </w:r>
            <w:r>
              <w:rPr>
                <w:sz w:val="20"/>
              </w:rPr>
              <w:t>multidisciplinary</w:t>
            </w:r>
            <w:r>
              <w:rPr>
                <w:spacing w:val="-11"/>
                <w:sz w:val="20"/>
              </w:rPr>
              <w:t> </w:t>
            </w:r>
            <w:r>
              <w:rPr>
                <w:sz w:val="20"/>
              </w:rPr>
              <w:t>evaluation</w:t>
            </w:r>
            <w:r>
              <w:rPr>
                <w:spacing w:val="-11"/>
                <w:sz w:val="20"/>
              </w:rPr>
              <w:t> </w:t>
            </w:r>
            <w:r>
              <w:rPr>
                <w:sz w:val="20"/>
              </w:rPr>
              <w:t>of the</w:t>
            </w:r>
            <w:r>
              <w:rPr>
                <w:spacing w:val="-4"/>
                <w:sz w:val="20"/>
              </w:rPr>
              <w:t> </w:t>
            </w:r>
            <w:r>
              <w:rPr>
                <w:sz w:val="20"/>
              </w:rPr>
              <w:t>functioning</w:t>
            </w:r>
            <w:r>
              <w:rPr>
                <w:spacing w:val="-4"/>
                <w:sz w:val="20"/>
              </w:rPr>
              <w:t> </w:t>
            </w:r>
            <w:r>
              <w:rPr>
                <w:sz w:val="20"/>
              </w:rPr>
              <w:t>of</w:t>
            </w:r>
            <w:r>
              <w:rPr>
                <w:spacing w:val="-4"/>
                <w:sz w:val="20"/>
              </w:rPr>
              <w:t> </w:t>
            </w:r>
            <w:r>
              <w:rPr>
                <w:sz w:val="20"/>
              </w:rPr>
              <w:t>each</w:t>
            </w:r>
            <w:r>
              <w:rPr>
                <w:spacing w:val="-4"/>
                <w:sz w:val="20"/>
              </w:rPr>
              <w:t> </w:t>
            </w:r>
            <w:r>
              <w:rPr>
                <w:sz w:val="20"/>
              </w:rPr>
              <w:t>infant</w:t>
            </w:r>
            <w:r>
              <w:rPr>
                <w:spacing w:val="-4"/>
                <w:sz w:val="20"/>
              </w:rPr>
              <w:t> </w:t>
            </w:r>
            <w:r>
              <w:rPr>
                <w:sz w:val="20"/>
              </w:rPr>
              <w:t>or</w:t>
            </w:r>
            <w:r>
              <w:rPr>
                <w:spacing w:val="-4"/>
                <w:sz w:val="20"/>
              </w:rPr>
              <w:t> </w:t>
            </w:r>
            <w:r>
              <w:rPr>
                <w:sz w:val="20"/>
              </w:rPr>
              <w:t>toddler</w:t>
            </w:r>
            <w:r>
              <w:rPr>
                <w:spacing w:val="-4"/>
                <w:sz w:val="20"/>
              </w:rPr>
              <w:t> </w:t>
            </w:r>
            <w:r>
              <w:rPr>
                <w:sz w:val="20"/>
              </w:rPr>
              <w:t>with</w:t>
            </w:r>
            <w:r>
              <w:rPr>
                <w:spacing w:val="-4"/>
                <w:sz w:val="20"/>
              </w:rPr>
              <w:t> </w:t>
            </w:r>
            <w:r>
              <w:rPr>
                <w:sz w:val="20"/>
              </w:rPr>
              <w:t>a</w:t>
            </w:r>
            <w:r>
              <w:rPr>
                <w:spacing w:val="-4"/>
                <w:sz w:val="20"/>
              </w:rPr>
              <w:t> </w:t>
            </w:r>
            <w:r>
              <w:rPr>
                <w:sz w:val="20"/>
              </w:rPr>
              <w:t>disability in the State; and</w:t>
            </w:r>
          </w:p>
          <w:p>
            <w:pPr>
              <w:pStyle w:val="TableParagraph"/>
              <w:numPr>
                <w:ilvl w:val="1"/>
                <w:numId w:val="16"/>
              </w:numPr>
              <w:tabs>
                <w:tab w:pos="1487" w:val="left" w:leader="none"/>
              </w:tabs>
              <w:spacing w:line="240" w:lineRule="auto" w:before="2" w:after="0"/>
              <w:ind w:left="1487" w:right="234" w:hanging="504"/>
              <w:jc w:val="left"/>
              <w:rPr>
                <w:sz w:val="20"/>
              </w:rPr>
            </w:pPr>
            <w:r>
              <w:rPr>
                <w:sz w:val="20"/>
              </w:rPr>
              <w:t>A family-directed identification of the needs of the family</w:t>
            </w:r>
            <w:r>
              <w:rPr>
                <w:spacing w:val="-5"/>
                <w:sz w:val="20"/>
              </w:rPr>
              <w:t> </w:t>
            </w:r>
            <w:r>
              <w:rPr>
                <w:sz w:val="20"/>
              </w:rPr>
              <w:t>of</w:t>
            </w:r>
            <w:r>
              <w:rPr>
                <w:spacing w:val="-5"/>
                <w:sz w:val="20"/>
              </w:rPr>
              <w:t> </w:t>
            </w:r>
            <w:r>
              <w:rPr>
                <w:sz w:val="20"/>
              </w:rPr>
              <w:t>the</w:t>
            </w:r>
            <w:r>
              <w:rPr>
                <w:spacing w:val="-5"/>
                <w:sz w:val="20"/>
              </w:rPr>
              <w:t> </w:t>
            </w:r>
            <w:r>
              <w:rPr>
                <w:sz w:val="20"/>
              </w:rPr>
              <w:t>infant</w:t>
            </w:r>
            <w:r>
              <w:rPr>
                <w:spacing w:val="-5"/>
                <w:sz w:val="20"/>
              </w:rPr>
              <w:t> </w:t>
            </w:r>
            <w:r>
              <w:rPr>
                <w:sz w:val="20"/>
              </w:rPr>
              <w:t>or</w:t>
            </w:r>
            <w:r>
              <w:rPr>
                <w:spacing w:val="-5"/>
                <w:sz w:val="20"/>
              </w:rPr>
              <w:t> </w:t>
            </w:r>
            <w:r>
              <w:rPr>
                <w:sz w:val="20"/>
              </w:rPr>
              <w:t>toddler</w:t>
            </w:r>
            <w:r>
              <w:rPr>
                <w:spacing w:val="-5"/>
                <w:sz w:val="20"/>
              </w:rPr>
              <w:t> </w:t>
            </w:r>
            <w:r>
              <w:rPr>
                <w:sz w:val="20"/>
              </w:rPr>
              <w:t>to</w:t>
            </w:r>
            <w:r>
              <w:rPr>
                <w:spacing w:val="-5"/>
                <w:sz w:val="20"/>
              </w:rPr>
              <w:t> </w:t>
            </w:r>
            <w:r>
              <w:rPr>
                <w:sz w:val="20"/>
              </w:rPr>
              <w:t>assist</w:t>
            </w:r>
            <w:r>
              <w:rPr>
                <w:spacing w:val="-5"/>
                <w:sz w:val="20"/>
              </w:rPr>
              <w:t> </w:t>
            </w:r>
            <w:r>
              <w:rPr>
                <w:sz w:val="20"/>
              </w:rPr>
              <w:t>appropriately</w:t>
            </w:r>
            <w:r>
              <w:rPr>
                <w:spacing w:val="-5"/>
                <w:sz w:val="20"/>
              </w:rPr>
              <w:t> </w:t>
            </w:r>
            <w:r>
              <w:rPr>
                <w:sz w:val="20"/>
              </w:rPr>
              <w:t>in the development of the infant or toddler.</w:t>
            </w:r>
          </w:p>
          <w:p>
            <w:pPr>
              <w:pStyle w:val="TableParagraph"/>
              <w:spacing w:before="1"/>
              <w:ind w:left="1011" w:right="187" w:hanging="500"/>
              <w:jc w:val="both"/>
              <w:rPr>
                <w:sz w:val="20"/>
              </w:rPr>
            </w:pPr>
            <w:r>
              <w:rPr>
                <w:sz w:val="20"/>
              </w:rPr>
              <w:t>(b)</w:t>
            </w:r>
            <w:r>
              <w:rPr>
                <w:spacing w:val="80"/>
                <w:sz w:val="20"/>
              </w:rPr>
              <w:t> </w:t>
            </w:r>
            <w:r>
              <w:rPr>
                <w:sz w:val="20"/>
              </w:rPr>
              <w:t>The</w:t>
            </w:r>
            <w:r>
              <w:rPr>
                <w:spacing w:val="-1"/>
                <w:sz w:val="20"/>
              </w:rPr>
              <w:t> </w:t>
            </w:r>
            <w:r>
              <w:rPr>
                <w:sz w:val="20"/>
              </w:rPr>
              <w:t>evaluation</w:t>
            </w:r>
            <w:r>
              <w:rPr>
                <w:spacing w:val="-1"/>
                <w:sz w:val="20"/>
              </w:rPr>
              <w:t> </w:t>
            </w:r>
            <w:r>
              <w:rPr>
                <w:sz w:val="20"/>
              </w:rPr>
              <w:t>and</w:t>
            </w:r>
            <w:r>
              <w:rPr>
                <w:spacing w:val="-1"/>
                <w:sz w:val="20"/>
              </w:rPr>
              <w:t> </w:t>
            </w:r>
            <w:r>
              <w:rPr>
                <w:sz w:val="20"/>
              </w:rPr>
              <w:t>family-directed</w:t>
            </w:r>
            <w:r>
              <w:rPr>
                <w:spacing w:val="-1"/>
                <w:sz w:val="20"/>
              </w:rPr>
              <w:t> </w:t>
            </w:r>
            <w:r>
              <w:rPr>
                <w:sz w:val="20"/>
              </w:rPr>
              <w:t>identification</w:t>
            </w:r>
            <w:r>
              <w:rPr>
                <w:spacing w:val="-1"/>
                <w:sz w:val="20"/>
              </w:rPr>
              <w:t> </w:t>
            </w:r>
            <w:r>
              <w:rPr>
                <w:sz w:val="20"/>
              </w:rPr>
              <w:t>required</w:t>
            </w:r>
            <w:r>
              <w:rPr>
                <w:spacing w:val="-1"/>
                <w:sz w:val="20"/>
              </w:rPr>
              <w:t> </w:t>
            </w:r>
            <w:r>
              <w:rPr>
                <w:sz w:val="20"/>
              </w:rPr>
              <w:t>in paragraph</w:t>
            </w:r>
            <w:r>
              <w:rPr>
                <w:spacing w:val="-5"/>
                <w:sz w:val="20"/>
              </w:rPr>
              <w:t> </w:t>
            </w:r>
            <w:r>
              <w:rPr>
                <w:sz w:val="20"/>
              </w:rPr>
              <w:t>(a)</w:t>
            </w:r>
            <w:r>
              <w:rPr>
                <w:spacing w:val="-5"/>
                <w:sz w:val="20"/>
              </w:rPr>
              <w:t> </w:t>
            </w:r>
            <w:r>
              <w:rPr>
                <w:sz w:val="20"/>
              </w:rPr>
              <w:t>of</w:t>
            </w:r>
            <w:r>
              <w:rPr>
                <w:spacing w:val="-5"/>
                <w:sz w:val="20"/>
              </w:rPr>
              <w:t> </w:t>
            </w:r>
            <w:r>
              <w:rPr>
                <w:sz w:val="20"/>
              </w:rPr>
              <w:t>this</w:t>
            </w:r>
            <w:r>
              <w:rPr>
                <w:spacing w:val="-5"/>
                <w:sz w:val="20"/>
              </w:rPr>
              <w:t> </w:t>
            </w:r>
            <w:r>
              <w:rPr>
                <w:sz w:val="20"/>
              </w:rPr>
              <w:t>section</w:t>
            </w:r>
            <w:r>
              <w:rPr>
                <w:spacing w:val="-5"/>
                <w:sz w:val="20"/>
              </w:rPr>
              <w:t> </w:t>
            </w:r>
            <w:r>
              <w:rPr>
                <w:sz w:val="20"/>
              </w:rPr>
              <w:t>must</w:t>
            </w:r>
            <w:r>
              <w:rPr>
                <w:spacing w:val="-5"/>
                <w:sz w:val="20"/>
              </w:rPr>
              <w:t> </w:t>
            </w:r>
            <w:r>
              <w:rPr>
                <w:sz w:val="20"/>
              </w:rPr>
              <w:t>meet</w:t>
            </w:r>
            <w:r>
              <w:rPr>
                <w:spacing w:val="-5"/>
                <w:sz w:val="20"/>
              </w:rPr>
              <w:t> </w:t>
            </w:r>
            <w:r>
              <w:rPr>
                <w:sz w:val="20"/>
              </w:rPr>
              <w:t>the</w:t>
            </w:r>
            <w:r>
              <w:rPr>
                <w:spacing w:val="-5"/>
                <w:sz w:val="20"/>
              </w:rPr>
              <w:t> </w:t>
            </w:r>
            <w:r>
              <w:rPr>
                <w:sz w:val="20"/>
              </w:rPr>
              <w:t>requirements</w:t>
            </w:r>
            <w:r>
              <w:rPr>
                <w:spacing w:val="-5"/>
                <w:sz w:val="20"/>
              </w:rPr>
              <w:t> </w:t>
            </w:r>
            <w:r>
              <w:rPr>
                <w:sz w:val="20"/>
              </w:rPr>
              <w:t>of 34 CFR §303.321.</w:t>
            </w:r>
          </w:p>
          <w:p>
            <w:pPr>
              <w:pStyle w:val="TableParagraph"/>
              <w:spacing w:before="116"/>
              <w:ind w:left="511"/>
              <w:rPr>
                <w:sz w:val="20"/>
              </w:rPr>
            </w:pPr>
            <w:r>
              <w:rPr>
                <w:sz w:val="20"/>
              </w:rPr>
              <w:t>(34</w:t>
            </w:r>
            <w:r>
              <w:rPr>
                <w:spacing w:val="-4"/>
                <w:sz w:val="20"/>
              </w:rPr>
              <w:t> </w:t>
            </w:r>
            <w:r>
              <w:rPr>
                <w:sz w:val="20"/>
              </w:rPr>
              <w:t>CFR</w:t>
            </w:r>
            <w:r>
              <w:rPr>
                <w:spacing w:val="-4"/>
                <w:sz w:val="20"/>
              </w:rPr>
              <w:t> </w:t>
            </w:r>
            <w:r>
              <w:rPr>
                <w:spacing w:val="-2"/>
                <w:sz w:val="20"/>
              </w:rPr>
              <w:t>§303.113)</w:t>
            </w:r>
          </w:p>
        </w:tc>
      </w:tr>
      <w:tr>
        <w:trPr>
          <w:trHeight w:val="1621"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spacing w:before="5"/>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tabs>
                <w:tab w:pos="508" w:val="left" w:leader="none"/>
              </w:tabs>
              <w:spacing w:before="119"/>
              <w:ind w:left="508" w:right="124" w:hanging="389"/>
              <w:rPr>
                <w:sz w:val="20"/>
              </w:rPr>
            </w:pPr>
            <w:r>
              <w:rPr>
                <w:spacing w:val="-6"/>
                <w:sz w:val="20"/>
              </w:rPr>
              <w:t>7.</w:t>
            </w:r>
            <w:r>
              <w:rPr>
                <w:sz w:val="20"/>
              </w:rPr>
              <w:tab/>
              <w:t>The</w:t>
            </w:r>
            <w:r>
              <w:rPr>
                <w:spacing w:val="-3"/>
                <w:sz w:val="20"/>
              </w:rPr>
              <w:t> </w:t>
            </w:r>
            <w:r>
              <w:rPr>
                <w:sz w:val="20"/>
              </w:rPr>
              <w:t>Statewide</w:t>
            </w:r>
            <w:r>
              <w:rPr>
                <w:spacing w:val="-3"/>
                <w:sz w:val="20"/>
              </w:rPr>
              <w:t> </w:t>
            </w:r>
            <w:r>
              <w:rPr>
                <w:sz w:val="20"/>
              </w:rPr>
              <w:t>system</w:t>
            </w:r>
            <w:r>
              <w:rPr>
                <w:spacing w:val="-4"/>
                <w:sz w:val="20"/>
              </w:rPr>
              <w:t> </w:t>
            </w:r>
            <w:r>
              <w:rPr>
                <w:sz w:val="20"/>
              </w:rPr>
              <w:t>ensures</w:t>
            </w:r>
            <w:r>
              <w:rPr>
                <w:spacing w:val="-3"/>
                <w:sz w:val="20"/>
              </w:rPr>
              <w:t> </w:t>
            </w:r>
            <w:r>
              <w:rPr>
                <w:sz w:val="20"/>
              </w:rPr>
              <w:t>that,</w:t>
            </w:r>
            <w:r>
              <w:rPr>
                <w:spacing w:val="-3"/>
                <w:sz w:val="20"/>
              </w:rPr>
              <w:t> </w:t>
            </w:r>
            <w:r>
              <w:rPr>
                <w:sz w:val="20"/>
              </w:rPr>
              <w:t>for</w:t>
            </w:r>
            <w:r>
              <w:rPr>
                <w:spacing w:val="-3"/>
                <w:sz w:val="20"/>
              </w:rPr>
              <w:t> </w:t>
            </w:r>
            <w:r>
              <w:rPr>
                <w:sz w:val="20"/>
              </w:rPr>
              <w:t>each</w:t>
            </w:r>
            <w:r>
              <w:rPr>
                <w:spacing w:val="-3"/>
                <w:sz w:val="20"/>
              </w:rPr>
              <w:t> </w:t>
            </w:r>
            <w:r>
              <w:rPr>
                <w:sz w:val="20"/>
              </w:rPr>
              <w:t>infant</w:t>
            </w:r>
            <w:r>
              <w:rPr>
                <w:spacing w:val="-3"/>
                <w:sz w:val="20"/>
              </w:rPr>
              <w:t> </w:t>
            </w:r>
            <w:r>
              <w:rPr>
                <w:sz w:val="20"/>
              </w:rPr>
              <w:t>or</w:t>
            </w:r>
            <w:r>
              <w:rPr>
                <w:spacing w:val="-3"/>
                <w:sz w:val="20"/>
              </w:rPr>
              <w:t> </w:t>
            </w:r>
            <w:r>
              <w:rPr>
                <w:sz w:val="20"/>
              </w:rPr>
              <w:t>toddler</w:t>
            </w:r>
            <w:r>
              <w:rPr>
                <w:spacing w:val="-3"/>
                <w:sz w:val="20"/>
              </w:rPr>
              <w:t> </w:t>
            </w:r>
            <w:r>
              <w:rPr>
                <w:sz w:val="20"/>
              </w:rPr>
              <w:t>with a disability and his or her family in the State, an IFSP, as defined in</w:t>
            </w:r>
            <w:r>
              <w:rPr>
                <w:spacing w:val="-4"/>
                <w:sz w:val="20"/>
              </w:rPr>
              <w:t> </w:t>
            </w:r>
            <w:r>
              <w:rPr>
                <w:sz w:val="20"/>
              </w:rPr>
              <w:t>34</w:t>
            </w:r>
            <w:r>
              <w:rPr>
                <w:spacing w:val="-4"/>
                <w:sz w:val="20"/>
              </w:rPr>
              <w:t> </w:t>
            </w:r>
            <w:r>
              <w:rPr>
                <w:sz w:val="20"/>
              </w:rPr>
              <w:t>CFR</w:t>
            </w:r>
            <w:r>
              <w:rPr>
                <w:spacing w:val="-5"/>
                <w:sz w:val="20"/>
              </w:rPr>
              <w:t> </w:t>
            </w:r>
            <w:r>
              <w:rPr>
                <w:sz w:val="20"/>
              </w:rPr>
              <w:t>§303.20,</w:t>
            </w:r>
            <w:r>
              <w:rPr>
                <w:spacing w:val="-4"/>
                <w:sz w:val="20"/>
              </w:rPr>
              <w:t> </w:t>
            </w:r>
            <w:r>
              <w:rPr>
                <w:sz w:val="20"/>
              </w:rPr>
              <w:t>is</w:t>
            </w:r>
            <w:r>
              <w:rPr>
                <w:spacing w:val="-4"/>
                <w:sz w:val="20"/>
              </w:rPr>
              <w:t> </w:t>
            </w:r>
            <w:r>
              <w:rPr>
                <w:sz w:val="20"/>
              </w:rPr>
              <w:t>developed</w:t>
            </w:r>
            <w:r>
              <w:rPr>
                <w:spacing w:val="-4"/>
                <w:sz w:val="20"/>
              </w:rPr>
              <w:t> </w:t>
            </w:r>
            <w:r>
              <w:rPr>
                <w:sz w:val="20"/>
              </w:rPr>
              <w:t>and</w:t>
            </w:r>
            <w:r>
              <w:rPr>
                <w:spacing w:val="-4"/>
                <w:sz w:val="20"/>
              </w:rPr>
              <w:t> </w:t>
            </w:r>
            <w:r>
              <w:rPr>
                <w:sz w:val="20"/>
              </w:rPr>
              <w:t>implemented</w:t>
            </w:r>
            <w:r>
              <w:rPr>
                <w:spacing w:val="-4"/>
                <w:sz w:val="20"/>
              </w:rPr>
              <w:t> </w:t>
            </w:r>
            <w:r>
              <w:rPr>
                <w:sz w:val="20"/>
              </w:rPr>
              <w:t>that</w:t>
            </w:r>
            <w:r>
              <w:rPr>
                <w:spacing w:val="-4"/>
                <w:sz w:val="20"/>
              </w:rPr>
              <w:t> </w:t>
            </w:r>
            <w:r>
              <w:rPr>
                <w:sz w:val="20"/>
              </w:rPr>
              <w:t>meets</w:t>
            </w:r>
            <w:r>
              <w:rPr>
                <w:spacing w:val="-4"/>
                <w:sz w:val="20"/>
              </w:rPr>
              <w:t> </w:t>
            </w:r>
            <w:r>
              <w:rPr>
                <w:sz w:val="20"/>
              </w:rPr>
              <w:t>the requirements of 34 CFR §§303.340 through 303.345 and that includes service coordination services, as defined in</w:t>
            </w:r>
          </w:p>
          <w:p>
            <w:pPr>
              <w:pStyle w:val="TableParagraph"/>
              <w:spacing w:before="2"/>
              <w:ind w:left="508"/>
              <w:rPr>
                <w:sz w:val="20"/>
              </w:rPr>
            </w:pPr>
            <w:r>
              <w:rPr>
                <w:sz w:val="20"/>
              </w:rPr>
              <w:t>34</w:t>
            </w:r>
            <w:r>
              <w:rPr>
                <w:spacing w:val="-4"/>
                <w:sz w:val="20"/>
              </w:rPr>
              <w:t> </w:t>
            </w:r>
            <w:r>
              <w:rPr>
                <w:sz w:val="20"/>
              </w:rPr>
              <w:t>CFR</w:t>
            </w:r>
            <w:r>
              <w:rPr>
                <w:spacing w:val="-5"/>
                <w:sz w:val="20"/>
              </w:rPr>
              <w:t> </w:t>
            </w:r>
            <w:r>
              <w:rPr>
                <w:sz w:val="20"/>
              </w:rPr>
              <w:t>§303.34.</w:t>
            </w:r>
            <w:r>
              <w:rPr>
                <w:spacing w:val="49"/>
                <w:sz w:val="20"/>
              </w:rPr>
              <w:t> </w:t>
            </w:r>
            <w:r>
              <w:rPr>
                <w:sz w:val="20"/>
              </w:rPr>
              <w:t>(34</w:t>
            </w:r>
            <w:r>
              <w:rPr>
                <w:spacing w:val="-4"/>
                <w:sz w:val="20"/>
              </w:rPr>
              <w:t> </w:t>
            </w:r>
            <w:r>
              <w:rPr>
                <w:sz w:val="20"/>
              </w:rPr>
              <w:t>CFR</w:t>
            </w:r>
            <w:r>
              <w:rPr>
                <w:spacing w:val="-4"/>
                <w:sz w:val="20"/>
              </w:rPr>
              <w:t> </w:t>
            </w:r>
            <w:r>
              <w:rPr>
                <w:spacing w:val="-2"/>
                <w:sz w:val="20"/>
              </w:rPr>
              <w:t>§303.114)</w:t>
            </w:r>
          </w:p>
        </w:tc>
      </w:tr>
      <w:tr>
        <w:trPr>
          <w:trHeight w:val="930" w:hRule="atLeast"/>
        </w:trPr>
        <w:tc>
          <w:tcPr>
            <w:tcW w:w="1438" w:type="dxa"/>
            <w:tcBorders>
              <w:top w:val="single" w:sz="6" w:space="0" w:color="000000"/>
              <w:bottom w:val="single" w:sz="6" w:space="0" w:color="000000"/>
              <w:right w:val="single" w:sz="6" w:space="0" w:color="000000"/>
            </w:tcBorders>
          </w:tcPr>
          <w:p>
            <w:pPr>
              <w:pStyle w:val="TableParagraph"/>
              <w:spacing w:before="119"/>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tabs>
                <w:tab w:pos="508" w:val="left" w:leader="none"/>
              </w:tabs>
              <w:spacing w:before="119"/>
              <w:ind w:left="508" w:right="77" w:hanging="389"/>
              <w:rPr>
                <w:sz w:val="20"/>
              </w:rPr>
            </w:pPr>
            <w:r>
              <w:rPr>
                <w:spacing w:val="-6"/>
                <w:sz w:val="20"/>
              </w:rPr>
              <w:t>8.</w:t>
            </w:r>
            <w:r>
              <w:rPr>
                <w:sz w:val="20"/>
              </w:rPr>
              <w:tab/>
              <w:t>The</w:t>
            </w:r>
            <w:r>
              <w:rPr>
                <w:spacing w:val="-5"/>
                <w:sz w:val="20"/>
              </w:rPr>
              <w:t> </w:t>
            </w:r>
            <w:r>
              <w:rPr>
                <w:sz w:val="20"/>
              </w:rPr>
              <w:t>Statewide</w:t>
            </w:r>
            <w:r>
              <w:rPr>
                <w:spacing w:val="-5"/>
                <w:sz w:val="20"/>
              </w:rPr>
              <w:t> </w:t>
            </w:r>
            <w:r>
              <w:rPr>
                <w:sz w:val="20"/>
              </w:rPr>
              <w:t>system</w:t>
            </w:r>
            <w:r>
              <w:rPr>
                <w:spacing w:val="-6"/>
                <w:sz w:val="20"/>
              </w:rPr>
              <w:t> </w:t>
            </w:r>
            <w:r>
              <w:rPr>
                <w:sz w:val="20"/>
              </w:rPr>
              <w:t>includes</w:t>
            </w:r>
            <w:r>
              <w:rPr>
                <w:spacing w:val="-5"/>
                <w:sz w:val="20"/>
              </w:rPr>
              <w:t> </w:t>
            </w:r>
            <w:r>
              <w:rPr>
                <w:sz w:val="20"/>
              </w:rPr>
              <w:t>a</w:t>
            </w:r>
            <w:r>
              <w:rPr>
                <w:spacing w:val="-5"/>
                <w:sz w:val="20"/>
              </w:rPr>
              <w:t> </w:t>
            </w:r>
            <w:r>
              <w:rPr>
                <w:sz w:val="20"/>
              </w:rPr>
              <w:t>comprehensive</w:t>
            </w:r>
            <w:r>
              <w:rPr>
                <w:spacing w:val="-5"/>
                <w:sz w:val="20"/>
              </w:rPr>
              <w:t> </w:t>
            </w:r>
            <w:r>
              <w:rPr>
                <w:sz w:val="20"/>
              </w:rPr>
              <w:t>child</w:t>
            </w:r>
            <w:r>
              <w:rPr>
                <w:spacing w:val="-5"/>
                <w:sz w:val="20"/>
              </w:rPr>
              <w:t> </w:t>
            </w:r>
            <w:r>
              <w:rPr>
                <w:sz w:val="20"/>
              </w:rPr>
              <w:t>find</w:t>
            </w:r>
            <w:r>
              <w:rPr>
                <w:spacing w:val="-5"/>
                <w:sz w:val="20"/>
              </w:rPr>
              <w:t> </w:t>
            </w:r>
            <w:r>
              <w:rPr>
                <w:sz w:val="20"/>
              </w:rPr>
              <w:t>system that meets the requirements in 34 CFR §§303.302 and 303.303. (34 CFR §303.115)</w:t>
            </w:r>
          </w:p>
        </w:tc>
      </w:tr>
      <w:tr>
        <w:trPr>
          <w:trHeight w:val="2087"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numPr>
                <w:ilvl w:val="0"/>
                <w:numId w:val="17"/>
              </w:numPr>
              <w:tabs>
                <w:tab w:pos="508" w:val="left" w:leader="none"/>
              </w:tabs>
              <w:spacing w:line="240" w:lineRule="auto" w:before="119" w:after="0"/>
              <w:ind w:left="508" w:right="0" w:hanging="389"/>
              <w:jc w:val="left"/>
              <w:rPr>
                <w:sz w:val="20"/>
              </w:rPr>
            </w:pPr>
            <w:r>
              <w:rPr>
                <w:spacing w:val="-2"/>
                <w:sz w:val="20"/>
              </w:rPr>
              <w:t>The</w:t>
            </w:r>
            <w:r>
              <w:rPr>
                <w:spacing w:val="-11"/>
                <w:sz w:val="20"/>
              </w:rPr>
              <w:t> </w:t>
            </w:r>
            <w:r>
              <w:rPr>
                <w:spacing w:val="-2"/>
                <w:sz w:val="20"/>
              </w:rPr>
              <w:t>Statewide</w:t>
            </w:r>
            <w:r>
              <w:rPr>
                <w:spacing w:val="-9"/>
                <w:sz w:val="20"/>
              </w:rPr>
              <w:t> </w:t>
            </w:r>
            <w:r>
              <w:rPr>
                <w:spacing w:val="-2"/>
                <w:sz w:val="20"/>
              </w:rPr>
              <w:t>system</w:t>
            </w:r>
            <w:r>
              <w:rPr>
                <w:spacing w:val="-9"/>
                <w:sz w:val="20"/>
              </w:rPr>
              <w:t> </w:t>
            </w:r>
            <w:r>
              <w:rPr>
                <w:spacing w:val="-2"/>
                <w:sz w:val="20"/>
              </w:rPr>
              <w:t>includes</w:t>
            </w:r>
            <w:r>
              <w:rPr>
                <w:spacing w:val="-8"/>
                <w:sz w:val="20"/>
              </w:rPr>
              <w:t> </w:t>
            </w:r>
            <w:r>
              <w:rPr>
                <w:spacing w:val="-2"/>
                <w:sz w:val="20"/>
              </w:rPr>
              <w:t>a</w:t>
            </w:r>
            <w:r>
              <w:rPr>
                <w:spacing w:val="-9"/>
                <w:sz w:val="20"/>
              </w:rPr>
              <w:t> </w:t>
            </w:r>
            <w:r>
              <w:rPr>
                <w:spacing w:val="-2"/>
                <w:sz w:val="20"/>
              </w:rPr>
              <w:t>public</w:t>
            </w:r>
            <w:r>
              <w:rPr>
                <w:spacing w:val="-9"/>
                <w:sz w:val="20"/>
              </w:rPr>
              <w:t> </w:t>
            </w:r>
            <w:r>
              <w:rPr>
                <w:spacing w:val="-2"/>
                <w:sz w:val="20"/>
              </w:rPr>
              <w:t>awareness</w:t>
            </w:r>
            <w:r>
              <w:rPr>
                <w:spacing w:val="-8"/>
                <w:sz w:val="20"/>
              </w:rPr>
              <w:t> </w:t>
            </w:r>
            <w:r>
              <w:rPr>
                <w:spacing w:val="-2"/>
                <w:sz w:val="20"/>
              </w:rPr>
              <w:t>program</w:t>
            </w:r>
            <w:r>
              <w:rPr>
                <w:spacing w:val="-9"/>
                <w:sz w:val="20"/>
              </w:rPr>
              <w:t> </w:t>
            </w:r>
            <w:r>
              <w:rPr>
                <w:spacing w:val="-2"/>
                <w:sz w:val="20"/>
              </w:rPr>
              <w:t>that—</w:t>
            </w:r>
          </w:p>
          <w:p>
            <w:pPr>
              <w:pStyle w:val="TableParagraph"/>
              <w:numPr>
                <w:ilvl w:val="1"/>
                <w:numId w:val="17"/>
              </w:numPr>
              <w:tabs>
                <w:tab w:pos="1011" w:val="left" w:leader="none"/>
              </w:tabs>
              <w:spacing w:line="240" w:lineRule="auto" w:before="120" w:after="0"/>
              <w:ind w:left="1011" w:right="396" w:hanging="500"/>
              <w:jc w:val="left"/>
              <w:rPr>
                <w:sz w:val="20"/>
              </w:rPr>
            </w:pPr>
            <w:r>
              <w:rPr>
                <w:sz w:val="20"/>
              </w:rPr>
              <w:t>Focuses</w:t>
            </w:r>
            <w:r>
              <w:rPr>
                <w:spacing w:val="-5"/>
                <w:sz w:val="20"/>
              </w:rPr>
              <w:t> </w:t>
            </w:r>
            <w:r>
              <w:rPr>
                <w:sz w:val="20"/>
              </w:rPr>
              <w:t>on</w:t>
            </w:r>
            <w:r>
              <w:rPr>
                <w:spacing w:val="-5"/>
                <w:sz w:val="20"/>
              </w:rPr>
              <w:t> </w:t>
            </w:r>
            <w:r>
              <w:rPr>
                <w:sz w:val="20"/>
              </w:rPr>
              <w:t>the</w:t>
            </w:r>
            <w:r>
              <w:rPr>
                <w:spacing w:val="-5"/>
                <w:sz w:val="20"/>
              </w:rPr>
              <w:t> </w:t>
            </w:r>
            <w:r>
              <w:rPr>
                <w:sz w:val="20"/>
              </w:rPr>
              <w:t>early</w:t>
            </w:r>
            <w:r>
              <w:rPr>
                <w:spacing w:val="-5"/>
                <w:sz w:val="20"/>
              </w:rPr>
              <w:t> </w:t>
            </w:r>
            <w:r>
              <w:rPr>
                <w:sz w:val="20"/>
              </w:rPr>
              <w:t>identification</w:t>
            </w:r>
            <w:r>
              <w:rPr>
                <w:spacing w:val="-5"/>
                <w:sz w:val="20"/>
              </w:rPr>
              <w:t> </w:t>
            </w:r>
            <w:r>
              <w:rPr>
                <w:sz w:val="20"/>
              </w:rPr>
              <w:t>of</w:t>
            </w:r>
            <w:r>
              <w:rPr>
                <w:spacing w:val="-5"/>
                <w:sz w:val="20"/>
              </w:rPr>
              <w:t> </w:t>
            </w:r>
            <w:r>
              <w:rPr>
                <w:sz w:val="20"/>
              </w:rPr>
              <w:t>infants</w:t>
            </w:r>
            <w:r>
              <w:rPr>
                <w:spacing w:val="-5"/>
                <w:sz w:val="20"/>
              </w:rPr>
              <w:t> </w:t>
            </w:r>
            <w:r>
              <w:rPr>
                <w:sz w:val="20"/>
              </w:rPr>
              <w:t>and</w:t>
            </w:r>
            <w:r>
              <w:rPr>
                <w:spacing w:val="-5"/>
                <w:sz w:val="20"/>
              </w:rPr>
              <w:t> </w:t>
            </w:r>
            <w:r>
              <w:rPr>
                <w:sz w:val="20"/>
              </w:rPr>
              <w:t>toddlers with disabilities; and</w:t>
            </w:r>
          </w:p>
          <w:p>
            <w:pPr>
              <w:pStyle w:val="TableParagraph"/>
              <w:numPr>
                <w:ilvl w:val="1"/>
                <w:numId w:val="17"/>
              </w:numPr>
              <w:tabs>
                <w:tab w:pos="1012" w:val="left" w:leader="none"/>
              </w:tabs>
              <w:spacing w:line="240" w:lineRule="auto" w:before="1" w:after="0"/>
              <w:ind w:left="1012" w:right="652" w:hanging="504"/>
              <w:jc w:val="left"/>
              <w:rPr>
                <w:sz w:val="20"/>
              </w:rPr>
            </w:pPr>
            <w:r>
              <w:rPr>
                <w:sz w:val="20"/>
              </w:rPr>
              <w:t>Provides</w:t>
            </w:r>
            <w:r>
              <w:rPr>
                <w:spacing w:val="-6"/>
                <w:sz w:val="20"/>
              </w:rPr>
              <w:t> </w:t>
            </w:r>
            <w:r>
              <w:rPr>
                <w:sz w:val="20"/>
              </w:rPr>
              <w:t>information</w:t>
            </w:r>
            <w:r>
              <w:rPr>
                <w:spacing w:val="-6"/>
                <w:sz w:val="20"/>
              </w:rPr>
              <w:t> </w:t>
            </w:r>
            <w:r>
              <w:rPr>
                <w:sz w:val="20"/>
              </w:rPr>
              <w:t>to</w:t>
            </w:r>
            <w:r>
              <w:rPr>
                <w:spacing w:val="-6"/>
                <w:sz w:val="20"/>
              </w:rPr>
              <w:t> </w:t>
            </w:r>
            <w:r>
              <w:rPr>
                <w:sz w:val="20"/>
              </w:rPr>
              <w:t>parents</w:t>
            </w:r>
            <w:r>
              <w:rPr>
                <w:spacing w:val="-6"/>
                <w:sz w:val="20"/>
              </w:rPr>
              <w:t> </w:t>
            </w:r>
            <w:r>
              <w:rPr>
                <w:sz w:val="20"/>
              </w:rPr>
              <w:t>of</w:t>
            </w:r>
            <w:r>
              <w:rPr>
                <w:spacing w:val="-6"/>
                <w:sz w:val="20"/>
              </w:rPr>
              <w:t> </w:t>
            </w:r>
            <w:r>
              <w:rPr>
                <w:sz w:val="20"/>
              </w:rPr>
              <w:t>infants</w:t>
            </w:r>
            <w:r>
              <w:rPr>
                <w:spacing w:val="-6"/>
                <w:sz w:val="20"/>
              </w:rPr>
              <w:t> </w:t>
            </w:r>
            <w:r>
              <w:rPr>
                <w:sz w:val="20"/>
              </w:rPr>
              <w:t>and</w:t>
            </w:r>
            <w:r>
              <w:rPr>
                <w:spacing w:val="-6"/>
                <w:sz w:val="20"/>
              </w:rPr>
              <w:t> </w:t>
            </w:r>
            <w:r>
              <w:rPr>
                <w:sz w:val="20"/>
              </w:rPr>
              <w:t>toddlers through primary referral sources in accordance with</w:t>
            </w:r>
            <w:r>
              <w:rPr>
                <w:spacing w:val="40"/>
                <w:sz w:val="20"/>
              </w:rPr>
              <w:t> </w:t>
            </w:r>
            <w:r>
              <w:rPr>
                <w:sz w:val="20"/>
              </w:rPr>
              <w:t>34 CFR §303.301.</w:t>
            </w:r>
          </w:p>
          <w:p>
            <w:pPr>
              <w:pStyle w:val="TableParagraph"/>
              <w:spacing w:before="117"/>
              <w:ind w:left="508"/>
              <w:rPr>
                <w:sz w:val="20"/>
              </w:rPr>
            </w:pPr>
            <w:r>
              <w:rPr>
                <w:sz w:val="20"/>
              </w:rPr>
              <w:t>(34</w:t>
            </w:r>
            <w:r>
              <w:rPr>
                <w:spacing w:val="-4"/>
                <w:sz w:val="20"/>
              </w:rPr>
              <w:t> </w:t>
            </w:r>
            <w:r>
              <w:rPr>
                <w:sz w:val="20"/>
              </w:rPr>
              <w:t>CFR</w:t>
            </w:r>
            <w:r>
              <w:rPr>
                <w:spacing w:val="-4"/>
                <w:sz w:val="20"/>
              </w:rPr>
              <w:t> </w:t>
            </w:r>
            <w:r>
              <w:rPr>
                <w:spacing w:val="-2"/>
                <w:sz w:val="20"/>
              </w:rPr>
              <w:t>§303.116)</w:t>
            </w:r>
          </w:p>
        </w:tc>
      </w:tr>
      <w:tr>
        <w:trPr>
          <w:trHeight w:val="1621" w:hRule="atLeast"/>
        </w:trPr>
        <w:tc>
          <w:tcPr>
            <w:tcW w:w="1438"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spacing w:before="5"/>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tcBorders>
          </w:tcPr>
          <w:p>
            <w:pPr>
              <w:pStyle w:val="TableParagraph"/>
              <w:numPr>
                <w:ilvl w:val="0"/>
                <w:numId w:val="18"/>
              </w:numPr>
              <w:tabs>
                <w:tab w:pos="508" w:val="left" w:leader="none"/>
              </w:tabs>
              <w:spacing w:line="240" w:lineRule="auto" w:before="119" w:after="0"/>
              <w:ind w:left="508" w:right="82" w:hanging="389"/>
              <w:jc w:val="left"/>
              <w:rPr>
                <w:sz w:val="20"/>
              </w:rPr>
            </w:pPr>
            <w:r>
              <w:rPr>
                <w:sz w:val="20"/>
              </w:rPr>
              <w:t>The Statewide system includes a central directory that is accessible to the general public (i.e., through the lead agency’s Web</w:t>
            </w:r>
            <w:r>
              <w:rPr>
                <w:spacing w:val="-5"/>
                <w:sz w:val="20"/>
              </w:rPr>
              <w:t> </w:t>
            </w:r>
            <w:r>
              <w:rPr>
                <w:sz w:val="20"/>
              </w:rPr>
              <w:t>site</w:t>
            </w:r>
            <w:r>
              <w:rPr>
                <w:spacing w:val="-5"/>
                <w:sz w:val="20"/>
              </w:rPr>
              <w:t> </w:t>
            </w:r>
            <w:r>
              <w:rPr>
                <w:sz w:val="20"/>
              </w:rPr>
              <w:t>and</w:t>
            </w:r>
            <w:r>
              <w:rPr>
                <w:spacing w:val="-5"/>
                <w:sz w:val="20"/>
              </w:rPr>
              <w:t> </w:t>
            </w:r>
            <w:r>
              <w:rPr>
                <w:sz w:val="20"/>
              </w:rPr>
              <w:t>other</w:t>
            </w:r>
            <w:r>
              <w:rPr>
                <w:spacing w:val="-5"/>
                <w:sz w:val="20"/>
              </w:rPr>
              <w:t> </w:t>
            </w:r>
            <w:r>
              <w:rPr>
                <w:sz w:val="20"/>
              </w:rPr>
              <w:t>appropriate</w:t>
            </w:r>
            <w:r>
              <w:rPr>
                <w:spacing w:val="-5"/>
                <w:sz w:val="20"/>
              </w:rPr>
              <w:t> </w:t>
            </w:r>
            <w:r>
              <w:rPr>
                <w:sz w:val="20"/>
              </w:rPr>
              <w:t>means)</w:t>
            </w:r>
            <w:r>
              <w:rPr>
                <w:spacing w:val="-5"/>
                <w:sz w:val="20"/>
              </w:rPr>
              <w:t> </w:t>
            </w:r>
            <w:r>
              <w:rPr>
                <w:sz w:val="20"/>
              </w:rPr>
              <w:t>and</w:t>
            </w:r>
            <w:r>
              <w:rPr>
                <w:spacing w:val="-5"/>
                <w:sz w:val="20"/>
              </w:rPr>
              <w:t> </w:t>
            </w:r>
            <w:r>
              <w:rPr>
                <w:sz w:val="20"/>
              </w:rPr>
              <w:t>includes</w:t>
            </w:r>
            <w:r>
              <w:rPr>
                <w:spacing w:val="-5"/>
                <w:sz w:val="20"/>
              </w:rPr>
              <w:t> </w:t>
            </w:r>
            <w:r>
              <w:rPr>
                <w:sz w:val="20"/>
              </w:rPr>
              <w:t>accurate,</w:t>
            </w:r>
            <w:r>
              <w:rPr>
                <w:spacing w:val="-5"/>
                <w:sz w:val="20"/>
              </w:rPr>
              <w:t> </w:t>
            </w:r>
            <w:r>
              <w:rPr>
                <w:sz w:val="20"/>
              </w:rPr>
              <w:t>up- to-date information about:</w:t>
            </w:r>
          </w:p>
          <w:p>
            <w:pPr>
              <w:pStyle w:val="TableParagraph"/>
              <w:numPr>
                <w:ilvl w:val="1"/>
                <w:numId w:val="18"/>
              </w:numPr>
              <w:tabs>
                <w:tab w:pos="1011" w:val="left" w:leader="none"/>
              </w:tabs>
              <w:spacing w:line="230" w:lineRule="atLeast" w:before="102" w:after="0"/>
              <w:ind w:left="1011" w:right="443" w:hanging="500"/>
              <w:jc w:val="left"/>
              <w:rPr>
                <w:sz w:val="20"/>
              </w:rPr>
            </w:pPr>
            <w:r>
              <w:rPr>
                <w:sz w:val="20"/>
              </w:rPr>
              <w:t>Public</w:t>
            </w:r>
            <w:r>
              <w:rPr>
                <w:spacing w:val="-7"/>
                <w:sz w:val="20"/>
              </w:rPr>
              <w:t> </w:t>
            </w:r>
            <w:r>
              <w:rPr>
                <w:sz w:val="20"/>
              </w:rPr>
              <w:t>and</w:t>
            </w:r>
            <w:r>
              <w:rPr>
                <w:spacing w:val="-7"/>
                <w:sz w:val="20"/>
              </w:rPr>
              <w:t> </w:t>
            </w:r>
            <w:r>
              <w:rPr>
                <w:sz w:val="20"/>
              </w:rPr>
              <w:t>private</w:t>
            </w:r>
            <w:r>
              <w:rPr>
                <w:spacing w:val="-7"/>
                <w:sz w:val="20"/>
              </w:rPr>
              <w:t> </w:t>
            </w:r>
            <w:r>
              <w:rPr>
                <w:sz w:val="20"/>
              </w:rPr>
              <w:t>early</w:t>
            </w:r>
            <w:r>
              <w:rPr>
                <w:spacing w:val="-7"/>
                <w:sz w:val="20"/>
              </w:rPr>
              <w:t> </w:t>
            </w:r>
            <w:r>
              <w:rPr>
                <w:sz w:val="20"/>
              </w:rPr>
              <w:t>intervention</w:t>
            </w:r>
            <w:r>
              <w:rPr>
                <w:spacing w:val="-7"/>
                <w:sz w:val="20"/>
              </w:rPr>
              <w:t> </w:t>
            </w:r>
            <w:r>
              <w:rPr>
                <w:sz w:val="20"/>
              </w:rPr>
              <w:t>services,</w:t>
            </w:r>
            <w:r>
              <w:rPr>
                <w:spacing w:val="-7"/>
                <w:sz w:val="20"/>
              </w:rPr>
              <w:t> </w:t>
            </w:r>
            <w:r>
              <w:rPr>
                <w:sz w:val="20"/>
              </w:rPr>
              <w:t>resources, and experts available in the State;</w:t>
            </w:r>
          </w:p>
        </w:tc>
      </w:tr>
    </w:tbl>
    <w:p>
      <w:pPr>
        <w:pStyle w:val="TableParagraph"/>
        <w:spacing w:after="0" w:line="230" w:lineRule="atLeast"/>
        <w:jc w:val="left"/>
        <w:rPr>
          <w:sz w:val="20"/>
        </w:rPr>
        <w:sectPr>
          <w:pgSz w:w="12240" w:h="15840"/>
          <w:pgMar w:header="0" w:footer="879" w:top="142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38"/>
        <w:gridCol w:w="1440"/>
        <w:gridCol w:w="6482"/>
      </w:tblGrid>
      <w:tr>
        <w:trPr>
          <w:trHeight w:val="410" w:hRule="atLeast"/>
        </w:trPr>
        <w:tc>
          <w:tcPr>
            <w:tcW w:w="1438" w:type="dxa"/>
            <w:tcBorders>
              <w:bottom w:val="nil"/>
              <w:right w:val="single" w:sz="6" w:space="0" w:color="000000"/>
            </w:tcBorders>
            <w:shd w:val="clear" w:color="auto" w:fill="F2F2F2"/>
          </w:tcPr>
          <w:p>
            <w:pPr>
              <w:pStyle w:val="TableParagraph"/>
              <w:spacing w:before="119"/>
              <w:ind w:left="153" w:right="134"/>
              <w:jc w:val="center"/>
              <w:rPr>
                <w:b/>
                <w:sz w:val="20"/>
              </w:rPr>
            </w:pPr>
            <w:r>
              <w:rPr>
                <w:b/>
                <w:spacing w:val="-5"/>
                <w:sz w:val="20"/>
              </w:rPr>
              <w:t>Yes</w:t>
            </w:r>
          </w:p>
        </w:tc>
        <w:tc>
          <w:tcPr>
            <w:tcW w:w="1440" w:type="dxa"/>
            <w:tcBorders>
              <w:left w:val="single" w:sz="6" w:space="0" w:color="000000"/>
              <w:bottom w:val="nil"/>
              <w:right w:val="single" w:sz="6" w:space="0" w:color="000000"/>
            </w:tcBorders>
            <w:shd w:val="clear" w:color="auto" w:fill="F2F2F2"/>
          </w:tcPr>
          <w:p>
            <w:pPr>
              <w:pStyle w:val="TableParagraph"/>
              <w:spacing w:before="119"/>
              <w:ind w:left="116" w:right="79"/>
              <w:jc w:val="center"/>
              <w:rPr>
                <w:b/>
                <w:sz w:val="20"/>
              </w:rPr>
            </w:pPr>
            <w:r>
              <w:rPr>
                <w:b/>
                <w:spacing w:val="-5"/>
                <w:sz w:val="20"/>
              </w:rPr>
              <w:t>No</w:t>
            </w:r>
          </w:p>
        </w:tc>
        <w:tc>
          <w:tcPr>
            <w:tcW w:w="6482" w:type="dxa"/>
            <w:tcBorders>
              <w:left w:val="single" w:sz="6" w:space="0" w:color="000000"/>
              <w:bottom w:val="nil"/>
            </w:tcBorders>
            <w:shd w:val="clear" w:color="auto" w:fill="F2F2F2"/>
          </w:tcPr>
          <w:p>
            <w:pPr>
              <w:pStyle w:val="TableParagraph"/>
              <w:spacing w:before="119"/>
              <w:ind w:left="44" w:right="1"/>
              <w:jc w:val="center"/>
              <w:rPr>
                <w:b/>
                <w:sz w:val="20"/>
              </w:rPr>
            </w:pPr>
            <w:r>
              <w:rPr>
                <w:b/>
                <w:spacing w:val="-2"/>
                <w:sz w:val="20"/>
              </w:rPr>
              <w:t>Subpart</w:t>
            </w:r>
            <w:r>
              <w:rPr>
                <w:b/>
                <w:spacing w:val="4"/>
                <w:sz w:val="20"/>
              </w:rPr>
              <w:t> </w:t>
            </w:r>
            <w:r>
              <w:rPr>
                <w:b/>
                <w:spacing w:val="-2"/>
                <w:sz w:val="20"/>
              </w:rPr>
              <w:t>B—Assurances</w:t>
            </w:r>
          </w:p>
        </w:tc>
      </w:tr>
      <w:tr>
        <w:trPr>
          <w:trHeight w:val="1778" w:hRule="atLeast"/>
        </w:trPr>
        <w:tc>
          <w:tcPr>
            <w:tcW w:w="1438" w:type="dxa"/>
            <w:tcBorders>
              <w:top w:val="nil"/>
              <w:bottom w:val="nil"/>
              <w:right w:val="single" w:sz="6" w:space="0" w:color="000000"/>
            </w:tcBorders>
            <w:shd w:val="clear" w:color="auto" w:fill="F2F2F2"/>
          </w:tcPr>
          <w:p>
            <w:pPr>
              <w:pStyle w:val="TableParagraph"/>
              <w:spacing w:before="58"/>
              <w:ind w:left="153" w:right="133"/>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6" w:space="0" w:color="000000"/>
              <w:bottom w:val="nil"/>
              <w:right w:val="single" w:sz="6" w:space="0" w:color="000000"/>
            </w:tcBorders>
            <w:shd w:val="clear" w:color="auto" w:fill="F2F2F2"/>
          </w:tcPr>
          <w:p>
            <w:pPr>
              <w:pStyle w:val="TableParagraph"/>
              <w:spacing w:before="58"/>
              <w:ind w:left="116" w:right="78"/>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35" w:right="95" w:hanging="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2" w:type="dxa"/>
            <w:tcBorders>
              <w:top w:val="nil"/>
              <w:left w:val="single" w:sz="6" w:space="0" w:color="000000"/>
              <w:bottom w:val="nil"/>
            </w:tcBorders>
            <w:shd w:val="clear" w:color="auto" w:fill="F2F2F2"/>
          </w:tcPr>
          <w:p>
            <w:pPr>
              <w:pStyle w:val="TableParagraph"/>
              <w:spacing w:before="67"/>
              <w:ind w:left="44"/>
              <w:jc w:val="center"/>
              <w:rPr>
                <w:sz w:val="16"/>
              </w:rPr>
            </w:pPr>
            <w:r>
              <w:rPr>
                <w:sz w:val="16"/>
              </w:rPr>
              <w:t>(20</w:t>
            </w:r>
            <w:r>
              <w:rPr>
                <w:spacing w:val="-5"/>
                <w:sz w:val="16"/>
              </w:rPr>
              <w:t> </w:t>
            </w:r>
            <w:r>
              <w:rPr>
                <w:sz w:val="16"/>
              </w:rPr>
              <w:t>U.S.C.</w:t>
            </w:r>
            <w:r>
              <w:rPr>
                <w:spacing w:val="-4"/>
                <w:sz w:val="16"/>
              </w:rPr>
              <w:t> </w:t>
            </w:r>
            <w:r>
              <w:rPr>
                <w:sz w:val="16"/>
              </w:rPr>
              <w:t>1434;</w:t>
            </w:r>
            <w:r>
              <w:rPr>
                <w:spacing w:val="-5"/>
                <w:sz w:val="16"/>
              </w:rPr>
              <w:t> </w:t>
            </w:r>
            <w:r>
              <w:rPr>
                <w:sz w:val="16"/>
              </w:rPr>
              <w:t>1435;</w:t>
            </w:r>
            <w:r>
              <w:rPr>
                <w:spacing w:val="-4"/>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4"/>
                <w:sz w:val="16"/>
              </w:rPr>
              <w:t> </w:t>
            </w:r>
            <w:r>
              <w:rPr>
                <w:sz w:val="16"/>
              </w:rPr>
              <w:t>303.220;</w:t>
            </w:r>
            <w:r>
              <w:rPr>
                <w:spacing w:val="-5"/>
                <w:sz w:val="16"/>
              </w:rPr>
              <w:t> </w:t>
            </w:r>
            <w:r>
              <w:rPr>
                <w:spacing w:val="-2"/>
                <w:sz w:val="16"/>
              </w:rPr>
              <w:t>303.227)</w:t>
            </w:r>
          </w:p>
        </w:tc>
      </w:tr>
      <w:tr>
        <w:trPr>
          <w:trHeight w:val="728" w:hRule="atLeast"/>
        </w:trPr>
        <w:tc>
          <w:tcPr>
            <w:tcW w:w="1438" w:type="dxa"/>
            <w:tcBorders>
              <w:top w:val="nil"/>
              <w:right w:val="single" w:sz="6" w:space="0" w:color="000000"/>
            </w:tcBorders>
            <w:shd w:val="clear" w:color="auto" w:fill="F2F2F2"/>
          </w:tcPr>
          <w:p>
            <w:pPr>
              <w:pStyle w:val="TableParagraph"/>
              <w:rPr>
                <w:rFonts w:ascii="Times New Roman"/>
                <w:sz w:val="18"/>
              </w:rPr>
            </w:pPr>
          </w:p>
        </w:tc>
        <w:tc>
          <w:tcPr>
            <w:tcW w:w="1440" w:type="dxa"/>
            <w:tcBorders>
              <w:top w:val="nil"/>
              <w:left w:val="single" w:sz="6" w:space="0" w:color="000000"/>
              <w:right w:val="single" w:sz="6" w:space="0" w:color="000000"/>
            </w:tcBorders>
            <w:shd w:val="clear" w:color="auto" w:fill="F2F2F2"/>
          </w:tcPr>
          <w:p>
            <w:pPr>
              <w:pStyle w:val="TableParagraph"/>
              <w:spacing w:before="56"/>
              <w:ind w:left="371" w:hanging="227"/>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2" w:type="dxa"/>
            <w:tcBorders>
              <w:top w:val="nil"/>
              <w:left w:val="single" w:sz="6" w:space="0" w:color="000000"/>
            </w:tcBorders>
            <w:shd w:val="clear" w:color="auto" w:fill="F2F2F2"/>
          </w:tcPr>
          <w:p>
            <w:pPr>
              <w:pStyle w:val="TableParagraph"/>
              <w:rPr>
                <w:rFonts w:ascii="Times New Roman"/>
                <w:sz w:val="18"/>
              </w:rPr>
            </w:pPr>
          </w:p>
        </w:tc>
      </w:tr>
      <w:tr>
        <w:trPr>
          <w:trHeight w:val="1962" w:hRule="atLeast"/>
        </w:trPr>
        <w:tc>
          <w:tcPr>
            <w:tcW w:w="1438"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left w:val="single" w:sz="6" w:space="0" w:color="000000"/>
              <w:bottom w:val="single" w:sz="6" w:space="0" w:color="000000"/>
            </w:tcBorders>
          </w:tcPr>
          <w:p>
            <w:pPr>
              <w:pStyle w:val="TableParagraph"/>
              <w:numPr>
                <w:ilvl w:val="0"/>
                <w:numId w:val="19"/>
              </w:numPr>
              <w:tabs>
                <w:tab w:pos="1011" w:val="left" w:leader="none"/>
              </w:tabs>
              <w:spacing w:line="240" w:lineRule="auto" w:before="0" w:after="0"/>
              <w:ind w:left="1011" w:right="75" w:hanging="500"/>
              <w:jc w:val="left"/>
              <w:rPr>
                <w:sz w:val="20"/>
              </w:rPr>
            </w:pPr>
            <w:r>
              <w:rPr>
                <w:sz w:val="20"/>
              </w:rPr>
              <w:t>Professional and other groups (including parent support and training and information centers, such as those funded</w:t>
            </w:r>
            <w:r>
              <w:rPr>
                <w:spacing w:val="40"/>
                <w:sz w:val="20"/>
              </w:rPr>
              <w:t> </w:t>
            </w:r>
            <w:r>
              <w:rPr>
                <w:sz w:val="20"/>
              </w:rPr>
              <w:t>under</w:t>
            </w:r>
            <w:r>
              <w:rPr>
                <w:spacing w:val="-5"/>
                <w:sz w:val="20"/>
              </w:rPr>
              <w:t> </w:t>
            </w:r>
            <w:r>
              <w:rPr>
                <w:sz w:val="20"/>
              </w:rPr>
              <w:t>the</w:t>
            </w:r>
            <w:r>
              <w:rPr>
                <w:spacing w:val="-14"/>
                <w:sz w:val="20"/>
              </w:rPr>
              <w:t> </w:t>
            </w:r>
            <w:r>
              <w:rPr>
                <w:sz w:val="20"/>
              </w:rPr>
              <w:t>Act)</w:t>
            </w:r>
            <w:r>
              <w:rPr>
                <w:spacing w:val="-5"/>
                <w:sz w:val="20"/>
              </w:rPr>
              <w:t> </w:t>
            </w:r>
            <w:r>
              <w:rPr>
                <w:sz w:val="20"/>
              </w:rPr>
              <w:t>that</w:t>
            </w:r>
            <w:r>
              <w:rPr>
                <w:spacing w:val="-5"/>
                <w:sz w:val="20"/>
              </w:rPr>
              <w:t> </w:t>
            </w:r>
            <w:r>
              <w:rPr>
                <w:sz w:val="20"/>
              </w:rPr>
              <w:t>provide</w:t>
            </w:r>
            <w:r>
              <w:rPr>
                <w:spacing w:val="-5"/>
                <w:sz w:val="20"/>
              </w:rPr>
              <w:t> </w:t>
            </w:r>
            <w:r>
              <w:rPr>
                <w:sz w:val="20"/>
              </w:rPr>
              <w:t>assistance</w:t>
            </w:r>
            <w:r>
              <w:rPr>
                <w:spacing w:val="-5"/>
                <w:sz w:val="20"/>
              </w:rPr>
              <w:t> </w:t>
            </w:r>
            <w:r>
              <w:rPr>
                <w:sz w:val="20"/>
              </w:rPr>
              <w:t>to</w:t>
            </w:r>
            <w:r>
              <w:rPr>
                <w:spacing w:val="-5"/>
                <w:sz w:val="20"/>
              </w:rPr>
              <w:t> </w:t>
            </w:r>
            <w:r>
              <w:rPr>
                <w:sz w:val="20"/>
              </w:rPr>
              <w:t>infants</w:t>
            </w:r>
            <w:r>
              <w:rPr>
                <w:spacing w:val="-5"/>
                <w:sz w:val="20"/>
              </w:rPr>
              <w:t> </w:t>
            </w:r>
            <w:r>
              <w:rPr>
                <w:sz w:val="20"/>
              </w:rPr>
              <w:t>and</w:t>
            </w:r>
            <w:r>
              <w:rPr>
                <w:spacing w:val="-5"/>
                <w:sz w:val="20"/>
              </w:rPr>
              <w:t> </w:t>
            </w:r>
            <w:r>
              <w:rPr>
                <w:sz w:val="20"/>
              </w:rPr>
              <w:t>toddlers with disabilities eligible under Part C of the</w:t>
            </w:r>
            <w:r>
              <w:rPr>
                <w:spacing w:val="-1"/>
                <w:sz w:val="20"/>
              </w:rPr>
              <w:t> </w:t>
            </w:r>
            <w:r>
              <w:rPr>
                <w:sz w:val="20"/>
              </w:rPr>
              <w:t>Act and their families; and</w:t>
            </w:r>
          </w:p>
          <w:p>
            <w:pPr>
              <w:pStyle w:val="TableParagraph"/>
              <w:numPr>
                <w:ilvl w:val="0"/>
                <w:numId w:val="19"/>
              </w:numPr>
              <w:tabs>
                <w:tab w:pos="1012" w:val="left" w:leader="none"/>
              </w:tabs>
              <w:spacing w:line="240" w:lineRule="auto" w:before="1" w:after="0"/>
              <w:ind w:left="1012" w:right="386" w:hanging="504"/>
              <w:jc w:val="left"/>
              <w:rPr>
                <w:sz w:val="20"/>
              </w:rPr>
            </w:pPr>
            <w:r>
              <w:rPr>
                <w:sz w:val="20"/>
              </w:rPr>
              <w:t>Research</w:t>
            </w:r>
            <w:r>
              <w:rPr>
                <w:spacing w:val="-7"/>
                <w:sz w:val="20"/>
              </w:rPr>
              <w:t> </w:t>
            </w:r>
            <w:r>
              <w:rPr>
                <w:sz w:val="20"/>
              </w:rPr>
              <w:t>and</w:t>
            </w:r>
            <w:r>
              <w:rPr>
                <w:spacing w:val="-7"/>
                <w:sz w:val="20"/>
              </w:rPr>
              <w:t> </w:t>
            </w:r>
            <w:r>
              <w:rPr>
                <w:sz w:val="20"/>
              </w:rPr>
              <w:t>demonstration</w:t>
            </w:r>
            <w:r>
              <w:rPr>
                <w:spacing w:val="-7"/>
                <w:sz w:val="20"/>
              </w:rPr>
              <w:t> </w:t>
            </w:r>
            <w:r>
              <w:rPr>
                <w:sz w:val="20"/>
              </w:rPr>
              <w:t>projects</w:t>
            </w:r>
            <w:r>
              <w:rPr>
                <w:spacing w:val="-7"/>
                <w:sz w:val="20"/>
              </w:rPr>
              <w:t> </w:t>
            </w:r>
            <w:r>
              <w:rPr>
                <w:sz w:val="20"/>
              </w:rPr>
              <w:t>being</w:t>
            </w:r>
            <w:r>
              <w:rPr>
                <w:spacing w:val="-7"/>
                <w:sz w:val="20"/>
              </w:rPr>
              <w:t> </w:t>
            </w:r>
            <w:r>
              <w:rPr>
                <w:sz w:val="20"/>
              </w:rPr>
              <w:t>conducted</w:t>
            </w:r>
            <w:r>
              <w:rPr>
                <w:spacing w:val="-7"/>
                <w:sz w:val="20"/>
              </w:rPr>
              <w:t> </w:t>
            </w:r>
            <w:r>
              <w:rPr>
                <w:sz w:val="20"/>
              </w:rPr>
              <w:t>in the State relating to infants and toddlers with disabilities.</w:t>
            </w:r>
          </w:p>
          <w:p>
            <w:pPr>
              <w:pStyle w:val="TableParagraph"/>
              <w:spacing w:line="210" w:lineRule="exact" w:before="121"/>
              <w:ind w:left="508"/>
              <w:rPr>
                <w:sz w:val="20"/>
              </w:rPr>
            </w:pPr>
            <w:r>
              <w:rPr>
                <w:sz w:val="20"/>
              </w:rPr>
              <w:t>(34</w:t>
            </w:r>
            <w:r>
              <w:rPr>
                <w:spacing w:val="-4"/>
                <w:sz w:val="20"/>
              </w:rPr>
              <w:t> </w:t>
            </w:r>
            <w:r>
              <w:rPr>
                <w:sz w:val="20"/>
              </w:rPr>
              <w:t>CFR</w:t>
            </w:r>
            <w:r>
              <w:rPr>
                <w:spacing w:val="-4"/>
                <w:sz w:val="20"/>
              </w:rPr>
              <w:t> </w:t>
            </w:r>
            <w:r>
              <w:rPr>
                <w:spacing w:val="-2"/>
                <w:sz w:val="20"/>
              </w:rPr>
              <w:t>§303.117)</w:t>
            </w:r>
          </w:p>
        </w:tc>
      </w:tr>
      <w:tr>
        <w:trPr>
          <w:trHeight w:val="7957" w:hRule="atLeast"/>
        </w:trPr>
        <w:tc>
          <w:tcPr>
            <w:tcW w:w="1438"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3"/>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tcBorders>
          </w:tcPr>
          <w:p>
            <w:pPr>
              <w:pStyle w:val="TableParagraph"/>
              <w:numPr>
                <w:ilvl w:val="0"/>
                <w:numId w:val="20"/>
              </w:numPr>
              <w:tabs>
                <w:tab w:pos="508" w:val="left" w:leader="none"/>
              </w:tabs>
              <w:spacing w:line="240" w:lineRule="auto" w:before="119" w:after="0"/>
              <w:ind w:left="508" w:right="135" w:hanging="389"/>
              <w:jc w:val="left"/>
              <w:rPr>
                <w:sz w:val="20"/>
              </w:rPr>
            </w:pPr>
            <w:r>
              <w:rPr>
                <w:sz w:val="20"/>
              </w:rPr>
              <w:t>The Statewide system includes a comprehensive system of personnel development, including the training of paraprofessionals</w:t>
            </w:r>
            <w:r>
              <w:rPr>
                <w:spacing w:val="-5"/>
                <w:sz w:val="20"/>
              </w:rPr>
              <w:t> </w:t>
            </w:r>
            <w:r>
              <w:rPr>
                <w:sz w:val="20"/>
              </w:rPr>
              <w:t>and</w:t>
            </w:r>
            <w:r>
              <w:rPr>
                <w:spacing w:val="-5"/>
                <w:sz w:val="20"/>
              </w:rPr>
              <w:t> </w:t>
            </w:r>
            <w:r>
              <w:rPr>
                <w:sz w:val="20"/>
              </w:rPr>
              <w:t>the</w:t>
            </w:r>
            <w:r>
              <w:rPr>
                <w:spacing w:val="-5"/>
                <w:sz w:val="20"/>
              </w:rPr>
              <w:t> </w:t>
            </w:r>
            <w:r>
              <w:rPr>
                <w:sz w:val="20"/>
              </w:rPr>
              <w:t>training</w:t>
            </w:r>
            <w:r>
              <w:rPr>
                <w:spacing w:val="-5"/>
                <w:sz w:val="20"/>
              </w:rPr>
              <w:t> </w:t>
            </w:r>
            <w:r>
              <w:rPr>
                <w:sz w:val="20"/>
              </w:rPr>
              <w:t>of</w:t>
            </w:r>
            <w:r>
              <w:rPr>
                <w:spacing w:val="-5"/>
                <w:sz w:val="20"/>
              </w:rPr>
              <w:t> </w:t>
            </w:r>
            <w:r>
              <w:rPr>
                <w:sz w:val="20"/>
              </w:rPr>
              <w:t>primary</w:t>
            </w:r>
            <w:r>
              <w:rPr>
                <w:spacing w:val="-5"/>
                <w:sz w:val="20"/>
              </w:rPr>
              <w:t> </w:t>
            </w:r>
            <w:r>
              <w:rPr>
                <w:sz w:val="20"/>
              </w:rPr>
              <w:t>referral</w:t>
            </w:r>
            <w:r>
              <w:rPr>
                <w:spacing w:val="-5"/>
                <w:sz w:val="20"/>
              </w:rPr>
              <w:t> </w:t>
            </w:r>
            <w:r>
              <w:rPr>
                <w:sz w:val="20"/>
              </w:rPr>
              <w:t>sources</w:t>
            </w:r>
            <w:r>
              <w:rPr>
                <w:spacing w:val="-5"/>
                <w:sz w:val="20"/>
              </w:rPr>
              <w:t> </w:t>
            </w:r>
            <w:r>
              <w:rPr>
                <w:sz w:val="20"/>
              </w:rPr>
              <w:t>with respect to the basic components of early intervention services available in the State.</w:t>
            </w:r>
            <w:r>
              <w:rPr>
                <w:spacing w:val="40"/>
                <w:sz w:val="20"/>
              </w:rPr>
              <w:t> </w:t>
            </w:r>
            <w:r>
              <w:rPr>
                <w:sz w:val="20"/>
              </w:rPr>
              <w:t>The State’s comprehensive system of personnel development—</w:t>
            </w:r>
          </w:p>
          <w:p>
            <w:pPr>
              <w:pStyle w:val="TableParagraph"/>
              <w:numPr>
                <w:ilvl w:val="1"/>
                <w:numId w:val="20"/>
              </w:numPr>
              <w:tabs>
                <w:tab w:pos="1011" w:val="left" w:leader="none"/>
              </w:tabs>
              <w:spacing w:line="240" w:lineRule="auto" w:before="118" w:after="0"/>
              <w:ind w:left="1011" w:right="0" w:hanging="500"/>
              <w:jc w:val="left"/>
              <w:rPr>
                <w:sz w:val="20"/>
              </w:rPr>
            </w:pPr>
            <w:r>
              <w:rPr>
                <w:spacing w:val="-2"/>
                <w:sz w:val="20"/>
              </w:rPr>
              <w:t>Includes—</w:t>
            </w:r>
          </w:p>
          <w:p>
            <w:pPr>
              <w:pStyle w:val="TableParagraph"/>
              <w:numPr>
                <w:ilvl w:val="2"/>
                <w:numId w:val="20"/>
              </w:numPr>
              <w:tabs>
                <w:tab w:pos="1611" w:val="left" w:leader="none"/>
              </w:tabs>
              <w:spacing w:line="240" w:lineRule="auto" w:before="120" w:after="0"/>
              <w:ind w:left="1611" w:right="117" w:hanging="600"/>
              <w:jc w:val="left"/>
              <w:rPr>
                <w:sz w:val="20"/>
              </w:rPr>
            </w:pPr>
            <w:r>
              <w:rPr>
                <w:sz w:val="20"/>
              </w:rPr>
              <w:t>Training</w:t>
            </w:r>
            <w:r>
              <w:rPr>
                <w:spacing w:val="-9"/>
                <w:sz w:val="20"/>
              </w:rPr>
              <w:t> </w:t>
            </w:r>
            <w:r>
              <w:rPr>
                <w:sz w:val="20"/>
              </w:rPr>
              <w:t>personnel</w:t>
            </w:r>
            <w:r>
              <w:rPr>
                <w:spacing w:val="-9"/>
                <w:sz w:val="20"/>
              </w:rPr>
              <w:t> </w:t>
            </w:r>
            <w:r>
              <w:rPr>
                <w:sz w:val="20"/>
              </w:rPr>
              <w:t>to</w:t>
            </w:r>
            <w:r>
              <w:rPr>
                <w:spacing w:val="-9"/>
                <w:sz w:val="20"/>
              </w:rPr>
              <w:t> </w:t>
            </w:r>
            <w:r>
              <w:rPr>
                <w:sz w:val="20"/>
              </w:rPr>
              <w:t>implement</w:t>
            </w:r>
            <w:r>
              <w:rPr>
                <w:spacing w:val="-9"/>
                <w:sz w:val="20"/>
              </w:rPr>
              <w:t> </w:t>
            </w:r>
            <w:r>
              <w:rPr>
                <w:sz w:val="20"/>
              </w:rPr>
              <w:t>innovative</w:t>
            </w:r>
            <w:r>
              <w:rPr>
                <w:spacing w:val="-9"/>
                <w:sz w:val="20"/>
              </w:rPr>
              <w:t> </w:t>
            </w:r>
            <w:r>
              <w:rPr>
                <w:sz w:val="20"/>
              </w:rPr>
              <w:t>strategies and activities for the recruitment and retention of EIS </w:t>
            </w:r>
            <w:r>
              <w:rPr>
                <w:spacing w:val="-2"/>
                <w:sz w:val="20"/>
              </w:rPr>
              <w:t>providers;</w:t>
            </w:r>
          </w:p>
          <w:p>
            <w:pPr>
              <w:pStyle w:val="TableParagraph"/>
              <w:numPr>
                <w:ilvl w:val="2"/>
                <w:numId w:val="20"/>
              </w:numPr>
              <w:tabs>
                <w:tab w:pos="1611" w:val="left" w:leader="none"/>
              </w:tabs>
              <w:spacing w:line="240" w:lineRule="auto" w:before="1" w:after="0"/>
              <w:ind w:left="1611" w:right="286" w:hanging="600"/>
              <w:jc w:val="left"/>
              <w:rPr>
                <w:sz w:val="20"/>
              </w:rPr>
            </w:pPr>
            <w:r>
              <w:rPr>
                <w:sz w:val="20"/>
              </w:rPr>
              <w:t>Promoting</w:t>
            </w:r>
            <w:r>
              <w:rPr>
                <w:spacing w:val="-5"/>
                <w:sz w:val="20"/>
              </w:rPr>
              <w:t> </w:t>
            </w:r>
            <w:r>
              <w:rPr>
                <w:sz w:val="20"/>
              </w:rPr>
              <w:t>the</w:t>
            </w:r>
            <w:r>
              <w:rPr>
                <w:spacing w:val="-5"/>
                <w:sz w:val="20"/>
              </w:rPr>
              <w:t> </w:t>
            </w:r>
            <w:r>
              <w:rPr>
                <w:sz w:val="20"/>
              </w:rPr>
              <w:t>preparation</w:t>
            </w:r>
            <w:r>
              <w:rPr>
                <w:spacing w:val="-5"/>
                <w:sz w:val="20"/>
              </w:rPr>
              <w:t> </w:t>
            </w:r>
            <w:r>
              <w:rPr>
                <w:sz w:val="20"/>
              </w:rPr>
              <w:t>of</w:t>
            </w:r>
            <w:r>
              <w:rPr>
                <w:spacing w:val="-5"/>
                <w:sz w:val="20"/>
              </w:rPr>
              <w:t> </w:t>
            </w:r>
            <w:r>
              <w:rPr>
                <w:sz w:val="20"/>
              </w:rPr>
              <w:t>EIS</w:t>
            </w:r>
            <w:r>
              <w:rPr>
                <w:spacing w:val="-6"/>
                <w:sz w:val="20"/>
              </w:rPr>
              <w:t> </w:t>
            </w:r>
            <w:r>
              <w:rPr>
                <w:sz w:val="20"/>
              </w:rPr>
              <w:t>providers</w:t>
            </w:r>
            <w:r>
              <w:rPr>
                <w:spacing w:val="-5"/>
                <w:sz w:val="20"/>
              </w:rPr>
              <w:t> </w:t>
            </w:r>
            <w:r>
              <w:rPr>
                <w:sz w:val="20"/>
              </w:rPr>
              <w:t>who</w:t>
            </w:r>
            <w:r>
              <w:rPr>
                <w:spacing w:val="-5"/>
                <w:sz w:val="20"/>
              </w:rPr>
              <w:t> </w:t>
            </w:r>
            <w:r>
              <w:rPr>
                <w:sz w:val="20"/>
              </w:rPr>
              <w:t>are fully and appropriately qualified to provide early intervention services under Part C; and</w:t>
            </w:r>
          </w:p>
          <w:p>
            <w:pPr>
              <w:pStyle w:val="TableParagraph"/>
              <w:numPr>
                <w:ilvl w:val="2"/>
                <w:numId w:val="20"/>
              </w:numPr>
              <w:tabs>
                <w:tab w:pos="1611" w:val="left" w:leader="none"/>
              </w:tabs>
              <w:spacing w:line="240" w:lineRule="auto" w:before="2" w:after="0"/>
              <w:ind w:left="1611" w:right="102" w:hanging="600"/>
              <w:jc w:val="left"/>
              <w:rPr>
                <w:sz w:val="20"/>
              </w:rPr>
            </w:pPr>
            <w:r>
              <w:rPr>
                <w:sz w:val="20"/>
              </w:rPr>
              <w:t>Training</w:t>
            </w:r>
            <w:r>
              <w:rPr>
                <w:spacing w:val="-14"/>
                <w:sz w:val="20"/>
              </w:rPr>
              <w:t> </w:t>
            </w:r>
            <w:r>
              <w:rPr>
                <w:sz w:val="20"/>
              </w:rPr>
              <w:t>personnel</w:t>
            </w:r>
            <w:r>
              <w:rPr>
                <w:spacing w:val="-14"/>
                <w:sz w:val="20"/>
              </w:rPr>
              <w:t> </w:t>
            </w:r>
            <w:r>
              <w:rPr>
                <w:sz w:val="20"/>
              </w:rPr>
              <w:t>to</w:t>
            </w:r>
            <w:r>
              <w:rPr>
                <w:spacing w:val="-14"/>
                <w:sz w:val="20"/>
              </w:rPr>
              <w:t> </w:t>
            </w:r>
            <w:r>
              <w:rPr>
                <w:sz w:val="20"/>
              </w:rPr>
              <w:t>coordinate</w:t>
            </w:r>
            <w:r>
              <w:rPr>
                <w:spacing w:val="-14"/>
                <w:sz w:val="20"/>
              </w:rPr>
              <w:t> </w:t>
            </w:r>
            <w:r>
              <w:rPr>
                <w:sz w:val="20"/>
              </w:rPr>
              <w:t>transition</w:t>
            </w:r>
            <w:r>
              <w:rPr>
                <w:spacing w:val="-14"/>
                <w:sz w:val="20"/>
              </w:rPr>
              <w:t> </w:t>
            </w:r>
            <w:r>
              <w:rPr>
                <w:sz w:val="20"/>
              </w:rPr>
              <w:t>services</w:t>
            </w:r>
            <w:r>
              <w:rPr>
                <w:spacing w:val="-14"/>
                <w:sz w:val="20"/>
              </w:rPr>
              <w:t> </w:t>
            </w:r>
            <w:r>
              <w:rPr>
                <w:sz w:val="20"/>
              </w:rPr>
              <w:t>for infants and toddlers with disabilities who are transitioning from an early intervention services program under Part C of the</w:t>
            </w:r>
            <w:r>
              <w:rPr>
                <w:spacing w:val="-7"/>
                <w:sz w:val="20"/>
              </w:rPr>
              <w:t> </w:t>
            </w:r>
            <w:r>
              <w:rPr>
                <w:sz w:val="20"/>
              </w:rPr>
              <w:t>Act to a preschool program under section 619 of the</w:t>
            </w:r>
            <w:r>
              <w:rPr>
                <w:spacing w:val="-7"/>
                <w:sz w:val="20"/>
              </w:rPr>
              <w:t> </w:t>
            </w:r>
            <w:r>
              <w:rPr>
                <w:sz w:val="20"/>
              </w:rPr>
              <w:t>Act, Head Start, </w:t>
            </w:r>
            <w:r>
              <w:rPr>
                <w:spacing w:val="-2"/>
                <w:sz w:val="20"/>
              </w:rPr>
              <w:t>Early</w:t>
            </w:r>
            <w:r>
              <w:rPr>
                <w:spacing w:val="-8"/>
                <w:sz w:val="20"/>
              </w:rPr>
              <w:t> </w:t>
            </w:r>
            <w:r>
              <w:rPr>
                <w:spacing w:val="-2"/>
                <w:sz w:val="20"/>
              </w:rPr>
              <w:t>Head</w:t>
            </w:r>
            <w:r>
              <w:rPr>
                <w:spacing w:val="-8"/>
                <w:sz w:val="20"/>
              </w:rPr>
              <w:t> </w:t>
            </w:r>
            <w:r>
              <w:rPr>
                <w:spacing w:val="-2"/>
                <w:sz w:val="20"/>
              </w:rPr>
              <w:t>Start,</w:t>
            </w:r>
            <w:r>
              <w:rPr>
                <w:spacing w:val="-8"/>
                <w:sz w:val="20"/>
              </w:rPr>
              <w:t> </w:t>
            </w:r>
            <w:r>
              <w:rPr>
                <w:spacing w:val="-2"/>
                <w:sz w:val="20"/>
              </w:rPr>
              <w:t>an</w:t>
            </w:r>
            <w:r>
              <w:rPr>
                <w:spacing w:val="-8"/>
                <w:sz w:val="20"/>
              </w:rPr>
              <w:t> </w:t>
            </w:r>
            <w:r>
              <w:rPr>
                <w:spacing w:val="-2"/>
                <w:sz w:val="20"/>
              </w:rPr>
              <w:t>elementary</w:t>
            </w:r>
            <w:r>
              <w:rPr>
                <w:spacing w:val="-8"/>
                <w:sz w:val="20"/>
              </w:rPr>
              <w:t> </w:t>
            </w:r>
            <w:r>
              <w:rPr>
                <w:spacing w:val="-2"/>
                <w:sz w:val="20"/>
              </w:rPr>
              <w:t>school</w:t>
            </w:r>
            <w:r>
              <w:rPr>
                <w:spacing w:val="-8"/>
                <w:sz w:val="20"/>
              </w:rPr>
              <w:t> </w:t>
            </w:r>
            <w:r>
              <w:rPr>
                <w:spacing w:val="-2"/>
                <w:sz w:val="20"/>
              </w:rPr>
              <w:t>program</w:t>
            </w:r>
            <w:r>
              <w:rPr>
                <w:spacing w:val="-9"/>
                <w:sz w:val="20"/>
              </w:rPr>
              <w:t> </w:t>
            </w:r>
            <w:r>
              <w:rPr>
                <w:spacing w:val="-2"/>
                <w:sz w:val="20"/>
              </w:rPr>
              <w:t>under </w:t>
            </w:r>
            <w:r>
              <w:rPr>
                <w:sz w:val="20"/>
              </w:rPr>
              <w:t>Part B of the</w:t>
            </w:r>
            <w:r>
              <w:rPr>
                <w:spacing w:val="-7"/>
                <w:sz w:val="20"/>
              </w:rPr>
              <w:t> </w:t>
            </w:r>
            <w:r>
              <w:rPr>
                <w:sz w:val="20"/>
              </w:rPr>
              <w:t>Act, or another appropriate program.</w:t>
            </w:r>
          </w:p>
          <w:p>
            <w:pPr>
              <w:pStyle w:val="TableParagraph"/>
              <w:numPr>
                <w:ilvl w:val="1"/>
                <w:numId w:val="20"/>
              </w:numPr>
              <w:tabs>
                <w:tab w:pos="1011" w:val="left" w:leader="none"/>
              </w:tabs>
              <w:spacing w:line="240" w:lineRule="auto" w:before="118" w:after="0"/>
              <w:ind w:left="1011" w:right="0" w:hanging="500"/>
              <w:jc w:val="left"/>
              <w:rPr>
                <w:sz w:val="20"/>
              </w:rPr>
            </w:pPr>
            <w:r>
              <w:rPr>
                <w:sz w:val="20"/>
              </w:rPr>
              <w:t>May</w:t>
            </w:r>
            <w:r>
              <w:rPr>
                <w:spacing w:val="-4"/>
                <w:sz w:val="20"/>
              </w:rPr>
              <w:t> </w:t>
            </w:r>
            <w:r>
              <w:rPr>
                <w:spacing w:val="-2"/>
                <w:sz w:val="20"/>
              </w:rPr>
              <w:t>include—</w:t>
            </w:r>
          </w:p>
          <w:p>
            <w:pPr>
              <w:pStyle w:val="TableParagraph"/>
              <w:numPr>
                <w:ilvl w:val="2"/>
                <w:numId w:val="20"/>
              </w:numPr>
              <w:tabs>
                <w:tab w:pos="1611" w:val="left" w:leader="none"/>
              </w:tabs>
              <w:spacing w:line="240" w:lineRule="auto" w:before="120" w:after="0"/>
              <w:ind w:left="1611" w:right="0" w:hanging="600"/>
              <w:jc w:val="left"/>
              <w:rPr>
                <w:sz w:val="20"/>
              </w:rPr>
            </w:pPr>
            <w:r>
              <w:rPr>
                <w:spacing w:val="-2"/>
                <w:sz w:val="20"/>
              </w:rPr>
              <w:t>Training</w:t>
            </w:r>
            <w:r>
              <w:rPr>
                <w:spacing w:val="-11"/>
                <w:sz w:val="20"/>
              </w:rPr>
              <w:t> </w:t>
            </w:r>
            <w:r>
              <w:rPr>
                <w:spacing w:val="-2"/>
                <w:sz w:val="20"/>
              </w:rPr>
              <w:t>personnel</w:t>
            </w:r>
            <w:r>
              <w:rPr>
                <w:spacing w:val="-9"/>
                <w:sz w:val="20"/>
              </w:rPr>
              <w:t> </w:t>
            </w:r>
            <w:r>
              <w:rPr>
                <w:spacing w:val="-2"/>
                <w:sz w:val="20"/>
              </w:rPr>
              <w:t>to</w:t>
            </w:r>
            <w:r>
              <w:rPr>
                <w:spacing w:val="-9"/>
                <w:sz w:val="20"/>
              </w:rPr>
              <w:t> </w:t>
            </w:r>
            <w:r>
              <w:rPr>
                <w:spacing w:val="-2"/>
                <w:sz w:val="20"/>
              </w:rPr>
              <w:t>work</w:t>
            </w:r>
            <w:r>
              <w:rPr>
                <w:spacing w:val="-8"/>
                <w:sz w:val="20"/>
              </w:rPr>
              <w:t> </w:t>
            </w:r>
            <w:r>
              <w:rPr>
                <w:spacing w:val="-2"/>
                <w:sz w:val="20"/>
              </w:rPr>
              <w:t>in</w:t>
            </w:r>
            <w:r>
              <w:rPr>
                <w:spacing w:val="-9"/>
                <w:sz w:val="20"/>
              </w:rPr>
              <w:t> </w:t>
            </w:r>
            <w:r>
              <w:rPr>
                <w:spacing w:val="-2"/>
                <w:sz w:val="20"/>
              </w:rPr>
              <w:t>rural</w:t>
            </w:r>
            <w:r>
              <w:rPr>
                <w:spacing w:val="-9"/>
                <w:sz w:val="20"/>
              </w:rPr>
              <w:t> </w:t>
            </w:r>
            <w:r>
              <w:rPr>
                <w:spacing w:val="-2"/>
                <w:sz w:val="20"/>
              </w:rPr>
              <w:t>and</w:t>
            </w:r>
            <w:r>
              <w:rPr>
                <w:spacing w:val="-9"/>
                <w:sz w:val="20"/>
              </w:rPr>
              <w:t> </w:t>
            </w:r>
            <w:r>
              <w:rPr>
                <w:spacing w:val="-2"/>
                <w:sz w:val="20"/>
              </w:rPr>
              <w:t>inner-city</w:t>
            </w:r>
            <w:r>
              <w:rPr>
                <w:spacing w:val="-8"/>
                <w:sz w:val="20"/>
              </w:rPr>
              <w:t> </w:t>
            </w:r>
            <w:r>
              <w:rPr>
                <w:spacing w:val="-2"/>
                <w:sz w:val="20"/>
              </w:rPr>
              <w:t>areas;</w:t>
            </w:r>
          </w:p>
          <w:p>
            <w:pPr>
              <w:pStyle w:val="TableParagraph"/>
              <w:numPr>
                <w:ilvl w:val="2"/>
                <w:numId w:val="20"/>
              </w:numPr>
              <w:tabs>
                <w:tab w:pos="1617" w:val="left" w:leader="none"/>
              </w:tabs>
              <w:spacing w:line="240" w:lineRule="auto" w:before="1" w:after="0"/>
              <w:ind w:left="1617" w:right="765" w:hanging="605"/>
              <w:jc w:val="left"/>
              <w:rPr>
                <w:sz w:val="20"/>
              </w:rPr>
            </w:pPr>
            <w:r>
              <w:rPr>
                <w:sz w:val="20"/>
              </w:rPr>
              <w:t>Training</w:t>
            </w:r>
            <w:r>
              <w:rPr>
                <w:spacing w:val="-8"/>
                <w:sz w:val="20"/>
              </w:rPr>
              <w:t> </w:t>
            </w:r>
            <w:r>
              <w:rPr>
                <w:sz w:val="20"/>
              </w:rPr>
              <w:t>personnel</w:t>
            </w:r>
            <w:r>
              <w:rPr>
                <w:spacing w:val="-8"/>
                <w:sz w:val="20"/>
              </w:rPr>
              <w:t> </w:t>
            </w:r>
            <w:r>
              <w:rPr>
                <w:sz w:val="20"/>
              </w:rPr>
              <w:t>in</w:t>
            </w:r>
            <w:r>
              <w:rPr>
                <w:spacing w:val="-8"/>
                <w:sz w:val="20"/>
              </w:rPr>
              <w:t> </w:t>
            </w:r>
            <w:r>
              <w:rPr>
                <w:sz w:val="20"/>
              </w:rPr>
              <w:t>the</w:t>
            </w:r>
            <w:r>
              <w:rPr>
                <w:spacing w:val="-8"/>
                <w:sz w:val="20"/>
              </w:rPr>
              <w:t> </w:t>
            </w:r>
            <w:r>
              <w:rPr>
                <w:sz w:val="20"/>
              </w:rPr>
              <w:t>emotional</w:t>
            </w:r>
            <w:r>
              <w:rPr>
                <w:spacing w:val="-8"/>
                <w:sz w:val="20"/>
              </w:rPr>
              <w:t> </w:t>
            </w:r>
            <w:r>
              <w:rPr>
                <w:sz w:val="20"/>
              </w:rPr>
              <w:t>and</w:t>
            </w:r>
            <w:r>
              <w:rPr>
                <w:spacing w:val="-8"/>
                <w:sz w:val="20"/>
              </w:rPr>
              <w:t> </w:t>
            </w:r>
            <w:r>
              <w:rPr>
                <w:sz w:val="20"/>
              </w:rPr>
              <w:t>social development of young children;</w:t>
            </w:r>
          </w:p>
          <w:p>
            <w:pPr>
              <w:pStyle w:val="TableParagraph"/>
              <w:numPr>
                <w:ilvl w:val="2"/>
                <w:numId w:val="20"/>
              </w:numPr>
              <w:tabs>
                <w:tab w:pos="1617" w:val="left" w:leader="none"/>
              </w:tabs>
              <w:spacing w:line="237" w:lineRule="auto" w:before="2" w:after="0"/>
              <w:ind w:left="1617" w:right="165" w:hanging="605"/>
              <w:jc w:val="left"/>
              <w:rPr>
                <w:sz w:val="20"/>
              </w:rPr>
            </w:pPr>
            <w:r>
              <w:rPr>
                <w:sz w:val="20"/>
              </w:rPr>
              <w:t>Training</w:t>
            </w:r>
            <w:r>
              <w:rPr>
                <w:spacing w:val="-8"/>
                <w:sz w:val="20"/>
              </w:rPr>
              <w:t> </w:t>
            </w:r>
            <w:r>
              <w:rPr>
                <w:sz w:val="20"/>
              </w:rPr>
              <w:t>personnel</w:t>
            </w:r>
            <w:r>
              <w:rPr>
                <w:spacing w:val="-8"/>
                <w:sz w:val="20"/>
              </w:rPr>
              <w:t> </w:t>
            </w:r>
            <w:r>
              <w:rPr>
                <w:sz w:val="20"/>
              </w:rPr>
              <w:t>to</w:t>
            </w:r>
            <w:r>
              <w:rPr>
                <w:spacing w:val="-8"/>
                <w:sz w:val="20"/>
              </w:rPr>
              <w:t> </w:t>
            </w:r>
            <w:r>
              <w:rPr>
                <w:sz w:val="20"/>
              </w:rPr>
              <w:t>support</w:t>
            </w:r>
            <w:r>
              <w:rPr>
                <w:spacing w:val="-8"/>
                <w:sz w:val="20"/>
              </w:rPr>
              <w:t> </w:t>
            </w:r>
            <w:r>
              <w:rPr>
                <w:sz w:val="20"/>
              </w:rPr>
              <w:t>families</w:t>
            </w:r>
            <w:r>
              <w:rPr>
                <w:spacing w:val="-8"/>
                <w:sz w:val="20"/>
              </w:rPr>
              <w:t> </w:t>
            </w:r>
            <w:r>
              <w:rPr>
                <w:sz w:val="20"/>
              </w:rPr>
              <w:t>in</w:t>
            </w:r>
            <w:r>
              <w:rPr>
                <w:spacing w:val="-8"/>
                <w:sz w:val="20"/>
              </w:rPr>
              <w:t> </w:t>
            </w:r>
            <w:r>
              <w:rPr>
                <w:sz w:val="20"/>
              </w:rPr>
              <w:t>participating fully in the development and implementation of the child’s IFSP; and</w:t>
            </w:r>
          </w:p>
          <w:p>
            <w:pPr>
              <w:pStyle w:val="TableParagraph"/>
              <w:numPr>
                <w:ilvl w:val="2"/>
                <w:numId w:val="20"/>
              </w:numPr>
              <w:tabs>
                <w:tab w:pos="1571" w:val="left" w:leader="none"/>
              </w:tabs>
              <w:spacing w:line="230" w:lineRule="atLeast" w:before="0" w:after="0"/>
              <w:ind w:left="1571" w:right="137" w:hanging="558"/>
              <w:jc w:val="left"/>
              <w:rPr>
                <w:sz w:val="20"/>
              </w:rPr>
            </w:pPr>
            <w:r>
              <w:rPr>
                <w:sz w:val="20"/>
              </w:rPr>
              <w:t>Training personnel who provide services under this part using standards that are consistent with early learning personnel development standards funded under the State</w:t>
            </w:r>
            <w:r>
              <w:rPr>
                <w:spacing w:val="-4"/>
                <w:sz w:val="20"/>
              </w:rPr>
              <w:t> </w:t>
            </w:r>
            <w:r>
              <w:rPr>
                <w:sz w:val="20"/>
              </w:rPr>
              <w:t>Advisory Council on Early Childhood Education</w:t>
            </w:r>
            <w:r>
              <w:rPr>
                <w:spacing w:val="-6"/>
                <w:sz w:val="20"/>
              </w:rPr>
              <w:t> </w:t>
            </w:r>
            <w:r>
              <w:rPr>
                <w:sz w:val="20"/>
              </w:rPr>
              <w:t>and</w:t>
            </w:r>
            <w:r>
              <w:rPr>
                <w:spacing w:val="-6"/>
                <w:sz w:val="20"/>
              </w:rPr>
              <w:t> </w:t>
            </w:r>
            <w:r>
              <w:rPr>
                <w:sz w:val="20"/>
              </w:rPr>
              <w:t>Care</w:t>
            </w:r>
            <w:r>
              <w:rPr>
                <w:spacing w:val="-6"/>
                <w:sz w:val="20"/>
              </w:rPr>
              <w:t> </w:t>
            </w:r>
            <w:r>
              <w:rPr>
                <w:sz w:val="20"/>
              </w:rPr>
              <w:t>established</w:t>
            </w:r>
            <w:r>
              <w:rPr>
                <w:spacing w:val="-6"/>
                <w:sz w:val="20"/>
              </w:rPr>
              <w:t> </w:t>
            </w:r>
            <w:r>
              <w:rPr>
                <w:sz w:val="20"/>
              </w:rPr>
              <w:t>under</w:t>
            </w:r>
            <w:r>
              <w:rPr>
                <w:spacing w:val="-6"/>
                <w:sz w:val="20"/>
              </w:rPr>
              <w:t> </w:t>
            </w:r>
            <w:r>
              <w:rPr>
                <w:sz w:val="20"/>
              </w:rPr>
              <w:t>the</w:t>
            </w:r>
            <w:r>
              <w:rPr>
                <w:spacing w:val="-6"/>
                <w:sz w:val="20"/>
              </w:rPr>
              <w:t> </w:t>
            </w:r>
            <w:r>
              <w:rPr>
                <w:sz w:val="20"/>
              </w:rPr>
              <w:t>Head</w:t>
            </w:r>
            <w:r>
              <w:rPr>
                <w:spacing w:val="-6"/>
                <w:sz w:val="20"/>
              </w:rPr>
              <w:t> </w:t>
            </w:r>
            <w:r>
              <w:rPr>
                <w:sz w:val="20"/>
              </w:rPr>
              <w:t>Start</w:t>
            </w:r>
          </w:p>
        </w:tc>
      </w:tr>
    </w:tbl>
    <w:p>
      <w:pPr>
        <w:pStyle w:val="TableParagraph"/>
        <w:spacing w:after="0" w:line="230" w:lineRule="atLeast"/>
        <w:jc w:val="left"/>
        <w:rPr>
          <w:sz w:val="20"/>
        </w:rPr>
        <w:sectPr>
          <w:pgSz w:w="12240" w:h="15840"/>
          <w:pgMar w:header="0" w:footer="879" w:top="142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38"/>
        <w:gridCol w:w="1440"/>
        <w:gridCol w:w="6482"/>
      </w:tblGrid>
      <w:tr>
        <w:trPr>
          <w:trHeight w:val="410" w:hRule="atLeast"/>
        </w:trPr>
        <w:tc>
          <w:tcPr>
            <w:tcW w:w="1438" w:type="dxa"/>
            <w:tcBorders>
              <w:bottom w:val="nil"/>
              <w:right w:val="single" w:sz="6" w:space="0" w:color="000000"/>
            </w:tcBorders>
            <w:shd w:val="clear" w:color="auto" w:fill="F2F2F2"/>
          </w:tcPr>
          <w:p>
            <w:pPr>
              <w:pStyle w:val="TableParagraph"/>
              <w:spacing w:before="119"/>
              <w:ind w:left="153" w:right="134"/>
              <w:jc w:val="center"/>
              <w:rPr>
                <w:b/>
                <w:sz w:val="20"/>
              </w:rPr>
            </w:pPr>
            <w:r>
              <w:rPr>
                <w:b/>
                <w:spacing w:val="-5"/>
                <w:sz w:val="20"/>
              </w:rPr>
              <w:t>Yes</w:t>
            </w:r>
          </w:p>
        </w:tc>
        <w:tc>
          <w:tcPr>
            <w:tcW w:w="1440" w:type="dxa"/>
            <w:tcBorders>
              <w:left w:val="single" w:sz="6" w:space="0" w:color="000000"/>
              <w:bottom w:val="nil"/>
              <w:right w:val="single" w:sz="6" w:space="0" w:color="000000"/>
            </w:tcBorders>
            <w:shd w:val="clear" w:color="auto" w:fill="F2F2F2"/>
          </w:tcPr>
          <w:p>
            <w:pPr>
              <w:pStyle w:val="TableParagraph"/>
              <w:spacing w:before="119"/>
              <w:ind w:left="116" w:right="79"/>
              <w:jc w:val="center"/>
              <w:rPr>
                <w:b/>
                <w:sz w:val="20"/>
              </w:rPr>
            </w:pPr>
            <w:r>
              <w:rPr>
                <w:b/>
                <w:spacing w:val="-5"/>
                <w:sz w:val="20"/>
              </w:rPr>
              <w:t>No</w:t>
            </w:r>
          </w:p>
        </w:tc>
        <w:tc>
          <w:tcPr>
            <w:tcW w:w="6482" w:type="dxa"/>
            <w:tcBorders>
              <w:left w:val="single" w:sz="6" w:space="0" w:color="000000"/>
              <w:bottom w:val="nil"/>
            </w:tcBorders>
            <w:shd w:val="clear" w:color="auto" w:fill="F2F2F2"/>
          </w:tcPr>
          <w:p>
            <w:pPr>
              <w:pStyle w:val="TableParagraph"/>
              <w:spacing w:before="119"/>
              <w:ind w:left="44" w:right="1"/>
              <w:jc w:val="center"/>
              <w:rPr>
                <w:b/>
                <w:sz w:val="20"/>
              </w:rPr>
            </w:pPr>
            <w:r>
              <w:rPr>
                <w:b/>
                <w:spacing w:val="-2"/>
                <w:sz w:val="20"/>
              </w:rPr>
              <w:t>Subpart</w:t>
            </w:r>
            <w:r>
              <w:rPr>
                <w:b/>
                <w:spacing w:val="4"/>
                <w:sz w:val="20"/>
              </w:rPr>
              <w:t> </w:t>
            </w:r>
            <w:r>
              <w:rPr>
                <w:b/>
                <w:spacing w:val="-2"/>
                <w:sz w:val="20"/>
              </w:rPr>
              <w:t>B—Assurances</w:t>
            </w:r>
          </w:p>
        </w:tc>
      </w:tr>
      <w:tr>
        <w:trPr>
          <w:trHeight w:val="1778" w:hRule="atLeast"/>
        </w:trPr>
        <w:tc>
          <w:tcPr>
            <w:tcW w:w="1438" w:type="dxa"/>
            <w:tcBorders>
              <w:top w:val="nil"/>
              <w:bottom w:val="nil"/>
              <w:right w:val="single" w:sz="6" w:space="0" w:color="000000"/>
            </w:tcBorders>
            <w:shd w:val="clear" w:color="auto" w:fill="F2F2F2"/>
          </w:tcPr>
          <w:p>
            <w:pPr>
              <w:pStyle w:val="TableParagraph"/>
              <w:spacing w:before="58"/>
              <w:ind w:left="153" w:right="133"/>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6" w:space="0" w:color="000000"/>
              <w:bottom w:val="nil"/>
              <w:right w:val="single" w:sz="6" w:space="0" w:color="000000"/>
            </w:tcBorders>
            <w:shd w:val="clear" w:color="auto" w:fill="F2F2F2"/>
          </w:tcPr>
          <w:p>
            <w:pPr>
              <w:pStyle w:val="TableParagraph"/>
              <w:spacing w:before="58"/>
              <w:ind w:left="116" w:right="78"/>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35" w:right="95" w:hanging="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2" w:type="dxa"/>
            <w:tcBorders>
              <w:top w:val="nil"/>
              <w:left w:val="single" w:sz="6" w:space="0" w:color="000000"/>
              <w:bottom w:val="nil"/>
            </w:tcBorders>
            <w:shd w:val="clear" w:color="auto" w:fill="F2F2F2"/>
          </w:tcPr>
          <w:p>
            <w:pPr>
              <w:pStyle w:val="TableParagraph"/>
              <w:spacing w:before="67"/>
              <w:ind w:left="413"/>
              <w:rPr>
                <w:sz w:val="16"/>
              </w:rPr>
            </w:pPr>
            <w:r>
              <w:rPr>
                <w:sz w:val="16"/>
              </w:rPr>
              <w:t>(20</w:t>
            </w:r>
            <w:r>
              <w:rPr>
                <w:spacing w:val="-5"/>
                <w:sz w:val="16"/>
              </w:rPr>
              <w:t> </w:t>
            </w:r>
            <w:r>
              <w:rPr>
                <w:sz w:val="16"/>
              </w:rPr>
              <w:t>U.S.C.</w:t>
            </w:r>
            <w:r>
              <w:rPr>
                <w:spacing w:val="-4"/>
                <w:sz w:val="16"/>
              </w:rPr>
              <w:t> </w:t>
            </w:r>
            <w:r>
              <w:rPr>
                <w:sz w:val="16"/>
              </w:rPr>
              <w:t>1434;</w:t>
            </w:r>
            <w:r>
              <w:rPr>
                <w:spacing w:val="-5"/>
                <w:sz w:val="16"/>
              </w:rPr>
              <w:t> </w:t>
            </w:r>
            <w:r>
              <w:rPr>
                <w:sz w:val="16"/>
              </w:rPr>
              <w:t>1435;</w:t>
            </w:r>
            <w:r>
              <w:rPr>
                <w:spacing w:val="-4"/>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4"/>
                <w:sz w:val="16"/>
              </w:rPr>
              <w:t> </w:t>
            </w:r>
            <w:r>
              <w:rPr>
                <w:sz w:val="16"/>
              </w:rPr>
              <w:t>303.220;</w:t>
            </w:r>
            <w:r>
              <w:rPr>
                <w:spacing w:val="-5"/>
                <w:sz w:val="16"/>
              </w:rPr>
              <w:t> </w:t>
            </w:r>
            <w:r>
              <w:rPr>
                <w:spacing w:val="-2"/>
                <w:sz w:val="16"/>
              </w:rPr>
              <w:t>303.227)</w:t>
            </w:r>
          </w:p>
        </w:tc>
      </w:tr>
      <w:tr>
        <w:trPr>
          <w:trHeight w:val="728" w:hRule="atLeast"/>
        </w:trPr>
        <w:tc>
          <w:tcPr>
            <w:tcW w:w="1438" w:type="dxa"/>
            <w:tcBorders>
              <w:top w:val="nil"/>
              <w:right w:val="single" w:sz="6" w:space="0" w:color="000000"/>
            </w:tcBorders>
            <w:shd w:val="clear" w:color="auto" w:fill="F2F2F2"/>
          </w:tcPr>
          <w:p>
            <w:pPr>
              <w:pStyle w:val="TableParagraph"/>
              <w:rPr>
                <w:rFonts w:ascii="Times New Roman"/>
                <w:sz w:val="18"/>
              </w:rPr>
            </w:pPr>
          </w:p>
        </w:tc>
        <w:tc>
          <w:tcPr>
            <w:tcW w:w="1440" w:type="dxa"/>
            <w:tcBorders>
              <w:top w:val="nil"/>
              <w:left w:val="single" w:sz="6" w:space="0" w:color="000000"/>
              <w:right w:val="single" w:sz="6" w:space="0" w:color="000000"/>
            </w:tcBorders>
            <w:shd w:val="clear" w:color="auto" w:fill="F2F2F2"/>
          </w:tcPr>
          <w:p>
            <w:pPr>
              <w:pStyle w:val="TableParagraph"/>
              <w:spacing w:before="56"/>
              <w:ind w:left="371" w:hanging="227"/>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2" w:type="dxa"/>
            <w:tcBorders>
              <w:top w:val="nil"/>
              <w:left w:val="single" w:sz="6" w:space="0" w:color="000000"/>
            </w:tcBorders>
            <w:shd w:val="clear" w:color="auto" w:fill="F2F2F2"/>
          </w:tcPr>
          <w:p>
            <w:pPr>
              <w:pStyle w:val="TableParagraph"/>
              <w:rPr>
                <w:rFonts w:ascii="Times New Roman"/>
                <w:sz w:val="18"/>
              </w:rPr>
            </w:pPr>
          </w:p>
        </w:tc>
      </w:tr>
      <w:tr>
        <w:trPr>
          <w:trHeight w:val="229" w:hRule="atLeast"/>
        </w:trPr>
        <w:tc>
          <w:tcPr>
            <w:tcW w:w="1438" w:type="dxa"/>
            <w:tcBorders>
              <w:bottom w:val="single" w:sz="6" w:space="0" w:color="000000"/>
              <w:right w:val="single" w:sz="6" w:space="0" w:color="000000"/>
            </w:tcBorders>
          </w:tcPr>
          <w:p>
            <w:pPr>
              <w:pStyle w:val="TableParagraph"/>
              <w:rPr>
                <w:rFonts w:ascii="Times New Roman"/>
                <w:sz w:val="16"/>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6"/>
              </w:rPr>
            </w:pPr>
          </w:p>
        </w:tc>
        <w:tc>
          <w:tcPr>
            <w:tcW w:w="6482" w:type="dxa"/>
            <w:tcBorders>
              <w:left w:val="single" w:sz="6" w:space="0" w:color="000000"/>
              <w:bottom w:val="single" w:sz="6" w:space="0" w:color="000000"/>
            </w:tcBorders>
          </w:tcPr>
          <w:p>
            <w:pPr>
              <w:pStyle w:val="TableParagraph"/>
              <w:spacing w:line="210" w:lineRule="exact"/>
              <w:ind w:left="1571"/>
              <w:rPr>
                <w:sz w:val="20"/>
              </w:rPr>
            </w:pPr>
            <w:r>
              <w:rPr>
                <w:sz w:val="20"/>
              </w:rPr>
              <w:t>Act,</w:t>
            </w:r>
            <w:r>
              <w:rPr>
                <w:spacing w:val="-6"/>
                <w:sz w:val="20"/>
              </w:rPr>
              <w:t> </w:t>
            </w:r>
            <w:r>
              <w:rPr>
                <w:sz w:val="20"/>
              </w:rPr>
              <w:t>if</w:t>
            </w:r>
            <w:r>
              <w:rPr>
                <w:spacing w:val="-5"/>
                <w:sz w:val="20"/>
              </w:rPr>
              <w:t> </w:t>
            </w:r>
            <w:r>
              <w:rPr>
                <w:sz w:val="20"/>
              </w:rPr>
              <w:t>applicable.</w:t>
            </w:r>
            <w:r>
              <w:rPr>
                <w:spacing w:val="-5"/>
                <w:sz w:val="20"/>
              </w:rPr>
              <w:t> </w:t>
            </w:r>
            <w:r>
              <w:rPr>
                <w:b/>
                <w:sz w:val="20"/>
              </w:rPr>
              <w:t>(</w:t>
            </w:r>
            <w:r>
              <w:rPr>
                <w:sz w:val="20"/>
              </w:rPr>
              <w:t>34</w:t>
            </w:r>
            <w:r>
              <w:rPr>
                <w:spacing w:val="-5"/>
                <w:sz w:val="20"/>
              </w:rPr>
              <w:t> </w:t>
            </w:r>
            <w:r>
              <w:rPr>
                <w:sz w:val="20"/>
              </w:rPr>
              <w:t>CFR</w:t>
            </w:r>
            <w:r>
              <w:rPr>
                <w:spacing w:val="-5"/>
                <w:sz w:val="20"/>
              </w:rPr>
              <w:t> </w:t>
            </w:r>
            <w:r>
              <w:rPr>
                <w:spacing w:val="-2"/>
                <w:sz w:val="20"/>
              </w:rPr>
              <w:t>§303.118)</w:t>
            </w:r>
          </w:p>
        </w:tc>
      </w:tr>
      <w:tr>
        <w:trPr>
          <w:trHeight w:val="3690"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2"/>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spacing w:before="119"/>
              <w:ind w:left="508" w:right="97" w:hanging="389"/>
              <w:rPr>
                <w:sz w:val="20"/>
              </w:rPr>
            </w:pPr>
            <w:r>
              <w:rPr>
                <w:sz w:val="20"/>
              </w:rPr>
              <w:t>12.</w:t>
            </w:r>
            <w:r>
              <w:rPr>
                <w:spacing w:val="40"/>
                <w:sz w:val="20"/>
              </w:rPr>
              <w:t> </w:t>
            </w:r>
            <w:r>
              <w:rPr>
                <w:sz w:val="20"/>
              </w:rPr>
              <w:t>The</w:t>
            </w:r>
            <w:r>
              <w:rPr>
                <w:spacing w:val="-4"/>
                <w:sz w:val="20"/>
              </w:rPr>
              <w:t> </w:t>
            </w:r>
            <w:r>
              <w:rPr>
                <w:sz w:val="20"/>
              </w:rPr>
              <w:t>Statewide</w:t>
            </w:r>
            <w:r>
              <w:rPr>
                <w:spacing w:val="-4"/>
                <w:sz w:val="20"/>
              </w:rPr>
              <w:t> </w:t>
            </w:r>
            <w:r>
              <w:rPr>
                <w:sz w:val="20"/>
              </w:rPr>
              <w:t>system</w:t>
            </w:r>
            <w:r>
              <w:rPr>
                <w:spacing w:val="-5"/>
                <w:sz w:val="20"/>
              </w:rPr>
              <w:t> </w:t>
            </w:r>
            <w:r>
              <w:rPr>
                <w:sz w:val="20"/>
              </w:rPr>
              <w:t>includes</w:t>
            </w:r>
            <w:r>
              <w:rPr>
                <w:spacing w:val="-4"/>
                <w:sz w:val="20"/>
              </w:rPr>
              <w:t> </w:t>
            </w:r>
            <w:r>
              <w:rPr>
                <w:sz w:val="20"/>
              </w:rPr>
              <w:t>policies</w:t>
            </w:r>
            <w:r>
              <w:rPr>
                <w:spacing w:val="-4"/>
                <w:sz w:val="20"/>
              </w:rPr>
              <w:t> </w:t>
            </w:r>
            <w:r>
              <w:rPr>
                <w:sz w:val="20"/>
              </w:rPr>
              <w:t>and</w:t>
            </w:r>
            <w:r>
              <w:rPr>
                <w:spacing w:val="-4"/>
                <w:sz w:val="20"/>
              </w:rPr>
              <w:t> </w:t>
            </w:r>
            <w:r>
              <w:rPr>
                <w:sz w:val="20"/>
              </w:rPr>
              <w:t>procedures</w:t>
            </w:r>
            <w:r>
              <w:rPr>
                <w:spacing w:val="-4"/>
                <w:sz w:val="20"/>
              </w:rPr>
              <w:t> </w:t>
            </w:r>
            <w:r>
              <w:rPr>
                <w:sz w:val="20"/>
              </w:rPr>
              <w:t>relating</w:t>
            </w:r>
            <w:r>
              <w:rPr>
                <w:spacing w:val="-4"/>
                <w:sz w:val="20"/>
              </w:rPr>
              <w:t> </w:t>
            </w:r>
            <w:r>
              <w:rPr>
                <w:sz w:val="20"/>
              </w:rPr>
              <w:t>to the establishment and maintenance of qualification standards to ensure that personnel necessary to carry out the purposes of Part C are appropriately and adequately prepared and trained.</w:t>
            </w:r>
            <w:r>
              <w:rPr>
                <w:spacing w:val="40"/>
                <w:sz w:val="20"/>
              </w:rPr>
              <w:t> </w:t>
            </w:r>
            <w:r>
              <w:rPr>
                <w:sz w:val="20"/>
              </w:rPr>
              <w:t>These policies and procedures provide for the establishment and maintenance of qualification standards that are consistent with</w:t>
            </w:r>
            <w:r>
              <w:rPr>
                <w:spacing w:val="40"/>
                <w:sz w:val="20"/>
              </w:rPr>
              <w:t> </w:t>
            </w:r>
            <w:r>
              <w:rPr>
                <w:sz w:val="20"/>
              </w:rPr>
              <w:t>any State-approved or State-recognized certification, licensing, registration, or other comparable requirements that apply to the profession, discipline, or area in which personnel are providing early intervention services.</w:t>
            </w:r>
            <w:r>
              <w:rPr>
                <w:spacing w:val="40"/>
                <w:sz w:val="20"/>
              </w:rPr>
              <w:t> </w:t>
            </w:r>
            <w:r>
              <w:rPr>
                <w:sz w:val="20"/>
              </w:rPr>
              <w:t>Nothing in Part C of the</w:t>
            </w:r>
            <w:r>
              <w:rPr>
                <w:spacing w:val="-3"/>
                <w:sz w:val="20"/>
              </w:rPr>
              <w:t> </w:t>
            </w:r>
            <w:r>
              <w:rPr>
                <w:sz w:val="20"/>
              </w:rPr>
              <w:t>Act may be construed to prohibit the use of paraprofessionals and assistants who are appropriately trained and supervised in accordance with State law, regulation, or written policy, to assist in the provision of early intervention services under Part C of the</w:t>
            </w:r>
            <w:r>
              <w:rPr>
                <w:spacing w:val="-1"/>
                <w:sz w:val="20"/>
              </w:rPr>
              <w:t> </w:t>
            </w:r>
            <w:r>
              <w:rPr>
                <w:sz w:val="20"/>
              </w:rPr>
              <w:t>Act to infants and toddlers with disabilities.</w:t>
            </w:r>
            <w:r>
              <w:rPr>
                <w:spacing w:val="40"/>
                <w:sz w:val="20"/>
              </w:rPr>
              <w:t> </w:t>
            </w:r>
            <w:r>
              <w:rPr>
                <w:sz w:val="20"/>
              </w:rPr>
              <w:t>(34 CFR §303.119(a)–(c))</w:t>
            </w:r>
          </w:p>
        </w:tc>
      </w:tr>
      <w:tr>
        <w:trPr>
          <w:trHeight w:val="5989" w:hRule="atLeast"/>
        </w:trPr>
        <w:tc>
          <w:tcPr>
            <w:tcW w:w="1438"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9"/>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tcBorders>
          </w:tcPr>
          <w:p>
            <w:pPr>
              <w:pStyle w:val="TableParagraph"/>
              <w:numPr>
                <w:ilvl w:val="0"/>
                <w:numId w:val="21"/>
              </w:numPr>
              <w:tabs>
                <w:tab w:pos="508" w:val="left" w:leader="none"/>
              </w:tabs>
              <w:spacing w:line="240" w:lineRule="auto" w:before="119" w:after="0"/>
              <w:ind w:left="508" w:right="268" w:hanging="389"/>
              <w:jc w:val="left"/>
              <w:rPr>
                <w:sz w:val="20"/>
              </w:rPr>
            </w:pPr>
            <w:r>
              <w:rPr>
                <w:sz w:val="20"/>
              </w:rPr>
              <w:t>The</w:t>
            </w:r>
            <w:r>
              <w:rPr>
                <w:spacing w:val="-4"/>
                <w:sz w:val="20"/>
              </w:rPr>
              <w:t> </w:t>
            </w:r>
            <w:r>
              <w:rPr>
                <w:sz w:val="20"/>
              </w:rPr>
              <w:t>Statewide</w:t>
            </w:r>
            <w:r>
              <w:rPr>
                <w:spacing w:val="-4"/>
                <w:sz w:val="20"/>
              </w:rPr>
              <w:t> </w:t>
            </w:r>
            <w:r>
              <w:rPr>
                <w:sz w:val="20"/>
              </w:rPr>
              <w:t>system</w:t>
            </w:r>
            <w:r>
              <w:rPr>
                <w:spacing w:val="-5"/>
                <w:sz w:val="20"/>
              </w:rPr>
              <w:t> </w:t>
            </w:r>
            <w:r>
              <w:rPr>
                <w:sz w:val="20"/>
              </w:rPr>
              <w:t>includes</w:t>
            </w:r>
            <w:r>
              <w:rPr>
                <w:spacing w:val="-4"/>
                <w:sz w:val="20"/>
              </w:rPr>
              <w:t> </w:t>
            </w:r>
            <w:r>
              <w:rPr>
                <w:sz w:val="20"/>
              </w:rPr>
              <w:t>a</w:t>
            </w:r>
            <w:r>
              <w:rPr>
                <w:spacing w:val="-4"/>
                <w:sz w:val="20"/>
              </w:rPr>
              <w:t> </w:t>
            </w:r>
            <w:r>
              <w:rPr>
                <w:sz w:val="20"/>
              </w:rPr>
              <w:t>single</w:t>
            </w:r>
            <w:r>
              <w:rPr>
                <w:spacing w:val="-4"/>
                <w:sz w:val="20"/>
              </w:rPr>
              <w:t> </w:t>
            </w:r>
            <w:r>
              <w:rPr>
                <w:sz w:val="20"/>
              </w:rPr>
              <w:t>line</w:t>
            </w:r>
            <w:r>
              <w:rPr>
                <w:spacing w:val="-4"/>
                <w:sz w:val="20"/>
              </w:rPr>
              <w:t> </w:t>
            </w:r>
            <w:r>
              <w:rPr>
                <w:sz w:val="20"/>
              </w:rPr>
              <w:t>of</w:t>
            </w:r>
            <w:r>
              <w:rPr>
                <w:spacing w:val="-5"/>
                <w:sz w:val="20"/>
              </w:rPr>
              <w:t> </w:t>
            </w:r>
            <w:r>
              <w:rPr>
                <w:sz w:val="20"/>
              </w:rPr>
              <w:t>responsibility</w:t>
            </w:r>
            <w:r>
              <w:rPr>
                <w:spacing w:val="-4"/>
                <w:sz w:val="20"/>
              </w:rPr>
              <w:t> </w:t>
            </w:r>
            <w:r>
              <w:rPr>
                <w:sz w:val="20"/>
              </w:rPr>
              <w:t>in</w:t>
            </w:r>
            <w:r>
              <w:rPr>
                <w:spacing w:val="-4"/>
                <w:sz w:val="20"/>
              </w:rPr>
              <w:t> </w:t>
            </w:r>
            <w:r>
              <w:rPr>
                <w:sz w:val="20"/>
              </w:rPr>
              <w:t>a lead agency designated or established by the Governor that is responsible for the following—</w:t>
            </w:r>
          </w:p>
          <w:p>
            <w:pPr>
              <w:pStyle w:val="TableParagraph"/>
              <w:numPr>
                <w:ilvl w:val="1"/>
                <w:numId w:val="21"/>
              </w:numPr>
              <w:tabs>
                <w:tab w:pos="819" w:val="left" w:leader="none"/>
                <w:tab w:pos="1091" w:val="left" w:leader="none"/>
              </w:tabs>
              <w:spacing w:line="240" w:lineRule="auto" w:before="1" w:after="0"/>
              <w:ind w:left="1091" w:right="417" w:hanging="583"/>
              <w:jc w:val="left"/>
              <w:rPr>
                <w:sz w:val="20"/>
              </w:rPr>
            </w:pPr>
            <w:r>
              <w:rPr>
                <w:sz w:val="20"/>
              </w:rPr>
              <w:t>(1)</w:t>
            </w:r>
            <w:r>
              <w:rPr>
                <w:spacing w:val="-31"/>
                <w:sz w:val="20"/>
              </w:rPr>
              <w:t> </w:t>
            </w:r>
            <w:r>
              <w:rPr>
                <w:sz w:val="20"/>
              </w:rPr>
              <w:t>The</w:t>
            </w:r>
            <w:r>
              <w:rPr>
                <w:spacing w:val="-8"/>
                <w:sz w:val="20"/>
              </w:rPr>
              <w:t> </w:t>
            </w:r>
            <w:r>
              <w:rPr>
                <w:sz w:val="20"/>
              </w:rPr>
              <w:t>general</w:t>
            </w:r>
            <w:r>
              <w:rPr>
                <w:spacing w:val="-6"/>
                <w:sz w:val="20"/>
              </w:rPr>
              <w:t> </w:t>
            </w:r>
            <w:r>
              <w:rPr>
                <w:sz w:val="20"/>
              </w:rPr>
              <w:t>administration</w:t>
            </w:r>
            <w:r>
              <w:rPr>
                <w:spacing w:val="-6"/>
                <w:sz w:val="20"/>
              </w:rPr>
              <w:t> </w:t>
            </w:r>
            <w:r>
              <w:rPr>
                <w:sz w:val="20"/>
              </w:rPr>
              <w:t>and</w:t>
            </w:r>
            <w:r>
              <w:rPr>
                <w:spacing w:val="-6"/>
                <w:sz w:val="20"/>
              </w:rPr>
              <w:t> </w:t>
            </w:r>
            <w:r>
              <w:rPr>
                <w:sz w:val="20"/>
              </w:rPr>
              <w:t>supervision</w:t>
            </w:r>
            <w:r>
              <w:rPr>
                <w:spacing w:val="-6"/>
                <w:sz w:val="20"/>
              </w:rPr>
              <w:t> </w:t>
            </w:r>
            <w:r>
              <w:rPr>
                <w:sz w:val="20"/>
              </w:rPr>
              <w:t>of</w:t>
            </w:r>
            <w:r>
              <w:rPr>
                <w:spacing w:val="-6"/>
                <w:sz w:val="20"/>
              </w:rPr>
              <w:t> </w:t>
            </w:r>
            <w:r>
              <w:rPr>
                <w:sz w:val="20"/>
              </w:rPr>
              <w:t>programs and activities administered by agencies, institutions, organizations, and EIS providers receiving assistance under Part C of the Act; and</w:t>
            </w:r>
          </w:p>
          <w:p>
            <w:pPr>
              <w:pStyle w:val="TableParagraph"/>
              <w:numPr>
                <w:ilvl w:val="2"/>
                <w:numId w:val="21"/>
              </w:numPr>
              <w:tabs>
                <w:tab w:pos="1089" w:val="left" w:leader="none"/>
                <w:tab w:pos="1091" w:val="left" w:leader="none"/>
              </w:tabs>
              <w:spacing w:line="240" w:lineRule="auto" w:before="2" w:after="0"/>
              <w:ind w:left="1091" w:right="83" w:hanging="270"/>
              <w:jc w:val="left"/>
              <w:rPr>
                <w:sz w:val="20"/>
              </w:rPr>
            </w:pPr>
            <w:r>
              <w:rPr>
                <w:sz w:val="20"/>
              </w:rPr>
              <w:t>The</w:t>
            </w:r>
            <w:r>
              <w:rPr>
                <w:spacing w:val="-4"/>
                <w:sz w:val="20"/>
              </w:rPr>
              <w:t> </w:t>
            </w:r>
            <w:r>
              <w:rPr>
                <w:sz w:val="20"/>
              </w:rPr>
              <w:t>monitoring</w:t>
            </w:r>
            <w:r>
              <w:rPr>
                <w:spacing w:val="-4"/>
                <w:sz w:val="20"/>
              </w:rPr>
              <w:t> </w:t>
            </w:r>
            <w:r>
              <w:rPr>
                <w:sz w:val="20"/>
              </w:rPr>
              <w:t>of</w:t>
            </w:r>
            <w:r>
              <w:rPr>
                <w:spacing w:val="-4"/>
                <w:sz w:val="20"/>
              </w:rPr>
              <w:t> </w:t>
            </w:r>
            <w:r>
              <w:rPr>
                <w:sz w:val="20"/>
              </w:rPr>
              <w:t>programs</w:t>
            </w:r>
            <w:r>
              <w:rPr>
                <w:spacing w:val="-4"/>
                <w:sz w:val="20"/>
              </w:rPr>
              <w:t> </w:t>
            </w:r>
            <w:r>
              <w:rPr>
                <w:sz w:val="20"/>
              </w:rPr>
              <w:t>and</w:t>
            </w:r>
            <w:r>
              <w:rPr>
                <w:spacing w:val="-4"/>
                <w:sz w:val="20"/>
              </w:rPr>
              <w:t> </w:t>
            </w:r>
            <w:r>
              <w:rPr>
                <w:sz w:val="20"/>
              </w:rPr>
              <w:t>activities</w:t>
            </w:r>
            <w:r>
              <w:rPr>
                <w:spacing w:val="-4"/>
                <w:sz w:val="20"/>
              </w:rPr>
              <w:t> </w:t>
            </w:r>
            <w:r>
              <w:rPr>
                <w:sz w:val="20"/>
              </w:rPr>
              <w:t>used</w:t>
            </w:r>
            <w:r>
              <w:rPr>
                <w:spacing w:val="-4"/>
                <w:sz w:val="20"/>
              </w:rPr>
              <w:t> </w:t>
            </w:r>
            <w:r>
              <w:rPr>
                <w:sz w:val="20"/>
              </w:rPr>
              <w:t>by</w:t>
            </w:r>
            <w:r>
              <w:rPr>
                <w:spacing w:val="-4"/>
                <w:sz w:val="20"/>
              </w:rPr>
              <w:t> </w:t>
            </w:r>
            <w:r>
              <w:rPr>
                <w:sz w:val="20"/>
              </w:rPr>
              <w:t>the</w:t>
            </w:r>
            <w:r>
              <w:rPr>
                <w:spacing w:val="-4"/>
                <w:sz w:val="20"/>
              </w:rPr>
              <w:t> </w:t>
            </w:r>
            <w:r>
              <w:rPr>
                <w:sz w:val="20"/>
              </w:rPr>
              <w:t>State to carry out Part C of the</w:t>
            </w:r>
            <w:r>
              <w:rPr>
                <w:spacing w:val="-6"/>
                <w:sz w:val="20"/>
              </w:rPr>
              <w:t> </w:t>
            </w:r>
            <w:r>
              <w:rPr>
                <w:sz w:val="20"/>
              </w:rPr>
              <w:t>Act (whether or not the programs or activities are administered by agencies, institutions, organizations, and EIS providers that are receiving assistance</w:t>
            </w:r>
            <w:r>
              <w:rPr>
                <w:spacing w:val="-4"/>
                <w:sz w:val="20"/>
              </w:rPr>
              <w:t> </w:t>
            </w:r>
            <w:r>
              <w:rPr>
                <w:sz w:val="20"/>
              </w:rPr>
              <w:t>under</w:t>
            </w:r>
            <w:r>
              <w:rPr>
                <w:spacing w:val="-4"/>
                <w:sz w:val="20"/>
              </w:rPr>
              <w:t> </w:t>
            </w:r>
            <w:r>
              <w:rPr>
                <w:sz w:val="20"/>
              </w:rPr>
              <w:t>Part</w:t>
            </w:r>
            <w:r>
              <w:rPr>
                <w:spacing w:val="-4"/>
                <w:sz w:val="20"/>
              </w:rPr>
              <w:t> </w:t>
            </w:r>
            <w:r>
              <w:rPr>
                <w:sz w:val="20"/>
              </w:rPr>
              <w:t>C</w:t>
            </w:r>
            <w:r>
              <w:rPr>
                <w:spacing w:val="-5"/>
                <w:sz w:val="20"/>
              </w:rPr>
              <w:t> </w:t>
            </w:r>
            <w:r>
              <w:rPr>
                <w:sz w:val="20"/>
              </w:rPr>
              <w:t>of</w:t>
            </w:r>
            <w:r>
              <w:rPr>
                <w:spacing w:val="-4"/>
                <w:sz w:val="20"/>
              </w:rPr>
              <w:t> </w:t>
            </w:r>
            <w:r>
              <w:rPr>
                <w:sz w:val="20"/>
              </w:rPr>
              <w:t>the</w:t>
            </w:r>
            <w:r>
              <w:rPr>
                <w:spacing w:val="-14"/>
                <w:sz w:val="20"/>
              </w:rPr>
              <w:t> </w:t>
            </w:r>
            <w:r>
              <w:rPr>
                <w:sz w:val="20"/>
              </w:rPr>
              <w:t>Act),</w:t>
            </w:r>
            <w:r>
              <w:rPr>
                <w:spacing w:val="-4"/>
                <w:sz w:val="20"/>
              </w:rPr>
              <w:t> </w:t>
            </w:r>
            <w:r>
              <w:rPr>
                <w:sz w:val="20"/>
              </w:rPr>
              <w:t>to</w:t>
            </w:r>
            <w:r>
              <w:rPr>
                <w:spacing w:val="-4"/>
                <w:sz w:val="20"/>
              </w:rPr>
              <w:t> </w:t>
            </w:r>
            <w:r>
              <w:rPr>
                <w:sz w:val="20"/>
              </w:rPr>
              <w:t>ensure</w:t>
            </w:r>
            <w:r>
              <w:rPr>
                <w:spacing w:val="-4"/>
                <w:sz w:val="20"/>
              </w:rPr>
              <w:t> </w:t>
            </w:r>
            <w:r>
              <w:rPr>
                <w:sz w:val="20"/>
              </w:rPr>
              <w:t>that</w:t>
            </w:r>
            <w:r>
              <w:rPr>
                <w:spacing w:val="-4"/>
                <w:sz w:val="20"/>
              </w:rPr>
              <w:t> </w:t>
            </w:r>
            <w:r>
              <w:rPr>
                <w:sz w:val="20"/>
              </w:rPr>
              <w:t>the</w:t>
            </w:r>
            <w:r>
              <w:rPr>
                <w:spacing w:val="-4"/>
                <w:sz w:val="20"/>
              </w:rPr>
              <w:t> </w:t>
            </w:r>
            <w:r>
              <w:rPr>
                <w:sz w:val="20"/>
              </w:rPr>
              <w:t>State complies with Part C of the Act, including—</w:t>
            </w:r>
          </w:p>
          <w:p>
            <w:pPr>
              <w:pStyle w:val="TableParagraph"/>
              <w:numPr>
                <w:ilvl w:val="3"/>
                <w:numId w:val="21"/>
              </w:numPr>
              <w:tabs>
                <w:tab w:pos="1539" w:val="left" w:leader="none"/>
                <w:tab w:pos="1541" w:val="left" w:leader="none"/>
              </w:tabs>
              <w:spacing w:line="240" w:lineRule="auto" w:before="118" w:after="0"/>
              <w:ind w:left="1541" w:right="202" w:hanging="360"/>
              <w:jc w:val="left"/>
              <w:rPr>
                <w:sz w:val="20"/>
              </w:rPr>
            </w:pPr>
            <w:r>
              <w:rPr>
                <w:sz w:val="20"/>
              </w:rPr>
              <w:t>Monitoring agencies, institutions, organizations, and EIS</w:t>
            </w:r>
            <w:r>
              <w:rPr>
                <w:spacing w:val="-5"/>
                <w:sz w:val="20"/>
              </w:rPr>
              <w:t> </w:t>
            </w:r>
            <w:r>
              <w:rPr>
                <w:sz w:val="20"/>
              </w:rPr>
              <w:t>providers</w:t>
            </w:r>
            <w:r>
              <w:rPr>
                <w:spacing w:val="-4"/>
                <w:sz w:val="20"/>
              </w:rPr>
              <w:t> </w:t>
            </w:r>
            <w:r>
              <w:rPr>
                <w:sz w:val="20"/>
              </w:rPr>
              <w:t>used</w:t>
            </w:r>
            <w:r>
              <w:rPr>
                <w:spacing w:val="-4"/>
                <w:sz w:val="20"/>
              </w:rPr>
              <w:t> </w:t>
            </w:r>
            <w:r>
              <w:rPr>
                <w:sz w:val="20"/>
              </w:rPr>
              <w:t>by</w:t>
            </w:r>
            <w:r>
              <w:rPr>
                <w:spacing w:val="-4"/>
                <w:sz w:val="20"/>
              </w:rPr>
              <w:t> </w:t>
            </w:r>
            <w:r>
              <w:rPr>
                <w:sz w:val="20"/>
              </w:rPr>
              <w:t>the</w:t>
            </w:r>
            <w:r>
              <w:rPr>
                <w:spacing w:val="-4"/>
                <w:sz w:val="20"/>
              </w:rPr>
              <w:t> </w:t>
            </w:r>
            <w:r>
              <w:rPr>
                <w:sz w:val="20"/>
              </w:rPr>
              <w:t>State</w:t>
            </w:r>
            <w:r>
              <w:rPr>
                <w:spacing w:val="-4"/>
                <w:sz w:val="20"/>
              </w:rPr>
              <w:t> </w:t>
            </w:r>
            <w:r>
              <w:rPr>
                <w:sz w:val="20"/>
              </w:rPr>
              <w:t>to</w:t>
            </w:r>
            <w:r>
              <w:rPr>
                <w:spacing w:val="-4"/>
                <w:sz w:val="20"/>
              </w:rPr>
              <w:t> </w:t>
            </w:r>
            <w:r>
              <w:rPr>
                <w:sz w:val="20"/>
              </w:rPr>
              <w:t>carry</w:t>
            </w:r>
            <w:r>
              <w:rPr>
                <w:spacing w:val="-4"/>
                <w:sz w:val="20"/>
              </w:rPr>
              <w:t> </w:t>
            </w:r>
            <w:r>
              <w:rPr>
                <w:sz w:val="20"/>
              </w:rPr>
              <w:t>out</w:t>
            </w:r>
            <w:r>
              <w:rPr>
                <w:spacing w:val="-4"/>
                <w:sz w:val="20"/>
              </w:rPr>
              <w:t> </w:t>
            </w:r>
            <w:r>
              <w:rPr>
                <w:sz w:val="20"/>
              </w:rPr>
              <w:t>Part</w:t>
            </w:r>
            <w:r>
              <w:rPr>
                <w:spacing w:val="-4"/>
                <w:sz w:val="20"/>
              </w:rPr>
              <w:t> </w:t>
            </w:r>
            <w:r>
              <w:rPr>
                <w:sz w:val="20"/>
              </w:rPr>
              <w:t>C</w:t>
            </w:r>
            <w:r>
              <w:rPr>
                <w:spacing w:val="-5"/>
                <w:sz w:val="20"/>
              </w:rPr>
              <w:t> </w:t>
            </w:r>
            <w:r>
              <w:rPr>
                <w:sz w:val="20"/>
              </w:rPr>
              <w:t>of the</w:t>
            </w:r>
            <w:r>
              <w:rPr>
                <w:spacing w:val="-11"/>
                <w:sz w:val="20"/>
              </w:rPr>
              <w:t> </w:t>
            </w:r>
            <w:r>
              <w:rPr>
                <w:sz w:val="20"/>
              </w:rPr>
              <w:t>Act;</w:t>
            </w:r>
          </w:p>
          <w:p>
            <w:pPr>
              <w:pStyle w:val="TableParagraph"/>
              <w:numPr>
                <w:ilvl w:val="3"/>
                <w:numId w:val="21"/>
              </w:numPr>
              <w:tabs>
                <w:tab w:pos="1538" w:val="left" w:leader="none"/>
                <w:tab w:pos="1541" w:val="left" w:leader="none"/>
              </w:tabs>
              <w:spacing w:line="240" w:lineRule="auto" w:before="1" w:after="0"/>
              <w:ind w:left="1541" w:right="134" w:hanging="360"/>
              <w:jc w:val="left"/>
              <w:rPr>
                <w:sz w:val="20"/>
              </w:rPr>
            </w:pPr>
            <w:r>
              <w:rPr>
                <w:sz w:val="20"/>
              </w:rPr>
              <w:t>Enforcing</w:t>
            </w:r>
            <w:r>
              <w:rPr>
                <w:spacing w:val="-6"/>
                <w:sz w:val="20"/>
              </w:rPr>
              <w:t> </w:t>
            </w:r>
            <w:r>
              <w:rPr>
                <w:sz w:val="20"/>
              </w:rPr>
              <w:t>any</w:t>
            </w:r>
            <w:r>
              <w:rPr>
                <w:spacing w:val="-6"/>
                <w:sz w:val="20"/>
              </w:rPr>
              <w:t> </w:t>
            </w:r>
            <w:r>
              <w:rPr>
                <w:sz w:val="20"/>
              </w:rPr>
              <w:t>obligations</w:t>
            </w:r>
            <w:r>
              <w:rPr>
                <w:spacing w:val="-6"/>
                <w:sz w:val="20"/>
              </w:rPr>
              <w:t> </w:t>
            </w:r>
            <w:r>
              <w:rPr>
                <w:sz w:val="20"/>
              </w:rPr>
              <w:t>imposed</w:t>
            </w:r>
            <w:r>
              <w:rPr>
                <w:spacing w:val="-6"/>
                <w:sz w:val="20"/>
              </w:rPr>
              <w:t> </w:t>
            </w:r>
            <w:r>
              <w:rPr>
                <w:sz w:val="20"/>
              </w:rPr>
              <w:t>on</w:t>
            </w:r>
            <w:r>
              <w:rPr>
                <w:spacing w:val="-6"/>
                <w:sz w:val="20"/>
              </w:rPr>
              <w:t> </w:t>
            </w:r>
            <w:r>
              <w:rPr>
                <w:sz w:val="20"/>
              </w:rPr>
              <w:t>those</w:t>
            </w:r>
            <w:r>
              <w:rPr>
                <w:spacing w:val="-6"/>
                <w:sz w:val="20"/>
              </w:rPr>
              <w:t> </w:t>
            </w:r>
            <w:r>
              <w:rPr>
                <w:sz w:val="20"/>
              </w:rPr>
              <w:t>agencies, institutions, organizations, and EIS providers under Part C of the Act and 34 CFR Part 303;</w:t>
            </w:r>
          </w:p>
          <w:p>
            <w:pPr>
              <w:pStyle w:val="TableParagraph"/>
              <w:numPr>
                <w:ilvl w:val="3"/>
                <w:numId w:val="21"/>
              </w:numPr>
              <w:tabs>
                <w:tab w:pos="1537" w:val="left" w:leader="none"/>
                <w:tab w:pos="1541" w:val="left" w:leader="none"/>
              </w:tabs>
              <w:spacing w:line="240" w:lineRule="auto" w:before="0" w:after="0"/>
              <w:ind w:left="1541" w:right="250" w:hanging="360"/>
              <w:jc w:val="left"/>
              <w:rPr>
                <w:sz w:val="20"/>
              </w:rPr>
            </w:pPr>
            <w:r>
              <w:rPr>
                <w:sz w:val="20"/>
              </w:rPr>
              <w:t>Providing</w:t>
            </w:r>
            <w:r>
              <w:rPr>
                <w:spacing w:val="-8"/>
                <w:sz w:val="20"/>
              </w:rPr>
              <w:t> </w:t>
            </w:r>
            <w:r>
              <w:rPr>
                <w:sz w:val="20"/>
              </w:rPr>
              <w:t>technical</w:t>
            </w:r>
            <w:r>
              <w:rPr>
                <w:spacing w:val="-8"/>
                <w:sz w:val="20"/>
              </w:rPr>
              <w:t> </w:t>
            </w:r>
            <w:r>
              <w:rPr>
                <w:sz w:val="20"/>
              </w:rPr>
              <w:t>assistance,</w:t>
            </w:r>
            <w:r>
              <w:rPr>
                <w:spacing w:val="-8"/>
                <w:sz w:val="20"/>
              </w:rPr>
              <w:t> </w:t>
            </w:r>
            <w:r>
              <w:rPr>
                <w:sz w:val="20"/>
              </w:rPr>
              <w:t>if</w:t>
            </w:r>
            <w:r>
              <w:rPr>
                <w:spacing w:val="-8"/>
                <w:sz w:val="20"/>
              </w:rPr>
              <w:t> </w:t>
            </w:r>
            <w:r>
              <w:rPr>
                <w:sz w:val="20"/>
              </w:rPr>
              <w:t>necessary,</w:t>
            </w:r>
            <w:r>
              <w:rPr>
                <w:spacing w:val="-8"/>
                <w:sz w:val="20"/>
              </w:rPr>
              <w:t> </w:t>
            </w:r>
            <w:r>
              <w:rPr>
                <w:sz w:val="20"/>
              </w:rPr>
              <w:t>to</w:t>
            </w:r>
            <w:r>
              <w:rPr>
                <w:spacing w:val="-8"/>
                <w:sz w:val="20"/>
              </w:rPr>
              <w:t> </w:t>
            </w:r>
            <w:r>
              <w:rPr>
                <w:sz w:val="20"/>
              </w:rPr>
              <w:t>those agencies, institutions, organizations and EIS </w:t>
            </w:r>
            <w:r>
              <w:rPr>
                <w:spacing w:val="-2"/>
                <w:sz w:val="20"/>
              </w:rPr>
              <w:t>providers;</w:t>
            </w:r>
          </w:p>
          <w:p>
            <w:pPr>
              <w:pStyle w:val="TableParagraph"/>
              <w:numPr>
                <w:ilvl w:val="3"/>
                <w:numId w:val="21"/>
              </w:numPr>
              <w:tabs>
                <w:tab w:pos="1539" w:val="left" w:leader="none"/>
                <w:tab w:pos="1541" w:val="left" w:leader="none"/>
              </w:tabs>
              <w:spacing w:line="230" w:lineRule="atLeast" w:before="0" w:after="0"/>
              <w:ind w:left="1541" w:right="239" w:hanging="360"/>
              <w:jc w:val="left"/>
              <w:rPr>
                <w:sz w:val="20"/>
              </w:rPr>
            </w:pPr>
            <w:r>
              <w:rPr>
                <w:sz w:val="20"/>
              </w:rPr>
              <w:t>Correcting any noncompliance identified through monitoring as soon as possible and in no case later than</w:t>
            </w:r>
            <w:r>
              <w:rPr>
                <w:spacing w:val="-6"/>
                <w:sz w:val="20"/>
              </w:rPr>
              <w:t> </w:t>
            </w:r>
            <w:r>
              <w:rPr>
                <w:sz w:val="20"/>
              </w:rPr>
              <w:t>one</w:t>
            </w:r>
            <w:r>
              <w:rPr>
                <w:spacing w:val="-6"/>
                <w:sz w:val="20"/>
              </w:rPr>
              <w:t> </w:t>
            </w:r>
            <w:r>
              <w:rPr>
                <w:sz w:val="20"/>
              </w:rPr>
              <w:t>year</w:t>
            </w:r>
            <w:r>
              <w:rPr>
                <w:spacing w:val="-6"/>
                <w:sz w:val="20"/>
              </w:rPr>
              <w:t> </w:t>
            </w:r>
            <w:r>
              <w:rPr>
                <w:sz w:val="20"/>
              </w:rPr>
              <w:t>after</w:t>
            </w:r>
            <w:r>
              <w:rPr>
                <w:spacing w:val="-6"/>
                <w:sz w:val="20"/>
              </w:rPr>
              <w:t> </w:t>
            </w:r>
            <w:r>
              <w:rPr>
                <w:sz w:val="20"/>
              </w:rPr>
              <w:t>the</w:t>
            </w:r>
            <w:r>
              <w:rPr>
                <w:spacing w:val="-6"/>
                <w:sz w:val="20"/>
              </w:rPr>
              <w:t> </w:t>
            </w:r>
            <w:r>
              <w:rPr>
                <w:sz w:val="20"/>
              </w:rPr>
              <w:t>lead</w:t>
            </w:r>
            <w:r>
              <w:rPr>
                <w:spacing w:val="-6"/>
                <w:sz w:val="20"/>
              </w:rPr>
              <w:t> </w:t>
            </w:r>
            <w:r>
              <w:rPr>
                <w:sz w:val="20"/>
              </w:rPr>
              <w:t>agency’s</w:t>
            </w:r>
            <w:r>
              <w:rPr>
                <w:spacing w:val="-6"/>
                <w:sz w:val="20"/>
              </w:rPr>
              <w:t> </w:t>
            </w:r>
            <w:r>
              <w:rPr>
                <w:sz w:val="20"/>
              </w:rPr>
              <w:t>identification</w:t>
            </w:r>
            <w:r>
              <w:rPr>
                <w:spacing w:val="-6"/>
                <w:sz w:val="20"/>
              </w:rPr>
              <w:t> </w:t>
            </w:r>
            <w:r>
              <w:rPr>
                <w:sz w:val="20"/>
              </w:rPr>
              <w:t>of</w:t>
            </w:r>
          </w:p>
        </w:tc>
      </w:tr>
    </w:tbl>
    <w:p>
      <w:pPr>
        <w:pStyle w:val="TableParagraph"/>
        <w:spacing w:after="0" w:line="230" w:lineRule="atLeast"/>
        <w:jc w:val="left"/>
        <w:rPr>
          <w:sz w:val="20"/>
        </w:rPr>
        <w:sectPr>
          <w:pgSz w:w="12240" w:h="15840"/>
          <w:pgMar w:header="0" w:footer="879" w:top="142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38"/>
        <w:gridCol w:w="1440"/>
        <w:gridCol w:w="6482"/>
      </w:tblGrid>
      <w:tr>
        <w:trPr>
          <w:trHeight w:val="410" w:hRule="atLeast"/>
        </w:trPr>
        <w:tc>
          <w:tcPr>
            <w:tcW w:w="1438" w:type="dxa"/>
            <w:tcBorders>
              <w:bottom w:val="nil"/>
              <w:right w:val="single" w:sz="6" w:space="0" w:color="000000"/>
            </w:tcBorders>
            <w:shd w:val="clear" w:color="auto" w:fill="F2F2F2"/>
          </w:tcPr>
          <w:p>
            <w:pPr>
              <w:pStyle w:val="TableParagraph"/>
              <w:spacing w:before="119"/>
              <w:ind w:left="153" w:right="134"/>
              <w:jc w:val="center"/>
              <w:rPr>
                <w:b/>
                <w:sz w:val="20"/>
              </w:rPr>
            </w:pPr>
            <w:r>
              <w:rPr>
                <w:b/>
                <w:spacing w:val="-5"/>
                <w:sz w:val="20"/>
              </w:rPr>
              <w:t>Yes</w:t>
            </w:r>
          </w:p>
        </w:tc>
        <w:tc>
          <w:tcPr>
            <w:tcW w:w="1440" w:type="dxa"/>
            <w:tcBorders>
              <w:left w:val="single" w:sz="6" w:space="0" w:color="000000"/>
              <w:bottom w:val="nil"/>
              <w:right w:val="single" w:sz="6" w:space="0" w:color="000000"/>
            </w:tcBorders>
            <w:shd w:val="clear" w:color="auto" w:fill="F2F2F2"/>
          </w:tcPr>
          <w:p>
            <w:pPr>
              <w:pStyle w:val="TableParagraph"/>
              <w:spacing w:before="119"/>
              <w:ind w:left="116" w:right="79"/>
              <w:jc w:val="center"/>
              <w:rPr>
                <w:b/>
                <w:sz w:val="20"/>
              </w:rPr>
            </w:pPr>
            <w:r>
              <w:rPr>
                <w:b/>
                <w:spacing w:val="-5"/>
                <w:sz w:val="20"/>
              </w:rPr>
              <w:t>No</w:t>
            </w:r>
          </w:p>
        </w:tc>
        <w:tc>
          <w:tcPr>
            <w:tcW w:w="6482" w:type="dxa"/>
            <w:tcBorders>
              <w:left w:val="single" w:sz="6" w:space="0" w:color="000000"/>
              <w:bottom w:val="nil"/>
            </w:tcBorders>
            <w:shd w:val="clear" w:color="auto" w:fill="F2F2F2"/>
          </w:tcPr>
          <w:p>
            <w:pPr>
              <w:pStyle w:val="TableParagraph"/>
              <w:spacing w:before="119"/>
              <w:ind w:left="44" w:right="1"/>
              <w:jc w:val="center"/>
              <w:rPr>
                <w:b/>
                <w:sz w:val="20"/>
              </w:rPr>
            </w:pPr>
            <w:r>
              <w:rPr>
                <w:b/>
                <w:spacing w:val="-2"/>
                <w:sz w:val="20"/>
              </w:rPr>
              <w:t>Subpart</w:t>
            </w:r>
            <w:r>
              <w:rPr>
                <w:b/>
                <w:spacing w:val="4"/>
                <w:sz w:val="20"/>
              </w:rPr>
              <w:t> </w:t>
            </w:r>
            <w:r>
              <w:rPr>
                <w:b/>
                <w:spacing w:val="-2"/>
                <w:sz w:val="20"/>
              </w:rPr>
              <w:t>B—Assurances</w:t>
            </w:r>
          </w:p>
        </w:tc>
      </w:tr>
      <w:tr>
        <w:trPr>
          <w:trHeight w:val="1778" w:hRule="atLeast"/>
        </w:trPr>
        <w:tc>
          <w:tcPr>
            <w:tcW w:w="1438" w:type="dxa"/>
            <w:tcBorders>
              <w:top w:val="nil"/>
              <w:bottom w:val="nil"/>
              <w:right w:val="single" w:sz="6" w:space="0" w:color="000000"/>
            </w:tcBorders>
            <w:shd w:val="clear" w:color="auto" w:fill="F2F2F2"/>
          </w:tcPr>
          <w:p>
            <w:pPr>
              <w:pStyle w:val="TableParagraph"/>
              <w:spacing w:before="58"/>
              <w:ind w:left="153" w:right="133"/>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6" w:space="0" w:color="000000"/>
              <w:bottom w:val="nil"/>
              <w:right w:val="single" w:sz="6" w:space="0" w:color="000000"/>
            </w:tcBorders>
            <w:shd w:val="clear" w:color="auto" w:fill="F2F2F2"/>
          </w:tcPr>
          <w:p>
            <w:pPr>
              <w:pStyle w:val="TableParagraph"/>
              <w:spacing w:before="58"/>
              <w:ind w:left="116" w:right="78"/>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35" w:right="95" w:hanging="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2" w:type="dxa"/>
            <w:tcBorders>
              <w:top w:val="nil"/>
              <w:left w:val="single" w:sz="6" w:space="0" w:color="000000"/>
              <w:bottom w:val="nil"/>
            </w:tcBorders>
            <w:shd w:val="clear" w:color="auto" w:fill="F2F2F2"/>
          </w:tcPr>
          <w:p>
            <w:pPr>
              <w:pStyle w:val="TableParagraph"/>
              <w:spacing w:before="67"/>
              <w:ind w:left="44"/>
              <w:jc w:val="center"/>
              <w:rPr>
                <w:sz w:val="16"/>
              </w:rPr>
            </w:pPr>
            <w:r>
              <w:rPr>
                <w:sz w:val="16"/>
              </w:rPr>
              <w:t>(20</w:t>
            </w:r>
            <w:r>
              <w:rPr>
                <w:spacing w:val="-5"/>
                <w:sz w:val="16"/>
              </w:rPr>
              <w:t> </w:t>
            </w:r>
            <w:r>
              <w:rPr>
                <w:sz w:val="16"/>
              </w:rPr>
              <w:t>U.S.C.</w:t>
            </w:r>
            <w:r>
              <w:rPr>
                <w:spacing w:val="-4"/>
                <w:sz w:val="16"/>
              </w:rPr>
              <w:t> </w:t>
            </w:r>
            <w:r>
              <w:rPr>
                <w:sz w:val="16"/>
              </w:rPr>
              <w:t>1434;</w:t>
            </w:r>
            <w:r>
              <w:rPr>
                <w:spacing w:val="-5"/>
                <w:sz w:val="16"/>
              </w:rPr>
              <w:t> </w:t>
            </w:r>
            <w:r>
              <w:rPr>
                <w:sz w:val="16"/>
              </w:rPr>
              <w:t>1435;</w:t>
            </w:r>
            <w:r>
              <w:rPr>
                <w:spacing w:val="-4"/>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4"/>
                <w:sz w:val="16"/>
              </w:rPr>
              <w:t> </w:t>
            </w:r>
            <w:r>
              <w:rPr>
                <w:sz w:val="16"/>
              </w:rPr>
              <w:t>303.220;</w:t>
            </w:r>
            <w:r>
              <w:rPr>
                <w:spacing w:val="-5"/>
                <w:sz w:val="16"/>
              </w:rPr>
              <w:t> </w:t>
            </w:r>
            <w:r>
              <w:rPr>
                <w:spacing w:val="-2"/>
                <w:sz w:val="16"/>
              </w:rPr>
              <w:t>303.227)</w:t>
            </w:r>
          </w:p>
        </w:tc>
      </w:tr>
      <w:tr>
        <w:trPr>
          <w:trHeight w:val="728" w:hRule="atLeast"/>
        </w:trPr>
        <w:tc>
          <w:tcPr>
            <w:tcW w:w="1438" w:type="dxa"/>
            <w:tcBorders>
              <w:top w:val="nil"/>
              <w:right w:val="single" w:sz="6" w:space="0" w:color="000000"/>
            </w:tcBorders>
            <w:shd w:val="clear" w:color="auto" w:fill="F2F2F2"/>
          </w:tcPr>
          <w:p>
            <w:pPr>
              <w:pStyle w:val="TableParagraph"/>
              <w:rPr>
                <w:rFonts w:ascii="Times New Roman"/>
                <w:sz w:val="18"/>
              </w:rPr>
            </w:pPr>
          </w:p>
        </w:tc>
        <w:tc>
          <w:tcPr>
            <w:tcW w:w="1440" w:type="dxa"/>
            <w:tcBorders>
              <w:top w:val="nil"/>
              <w:left w:val="single" w:sz="6" w:space="0" w:color="000000"/>
              <w:right w:val="single" w:sz="6" w:space="0" w:color="000000"/>
            </w:tcBorders>
            <w:shd w:val="clear" w:color="auto" w:fill="F2F2F2"/>
          </w:tcPr>
          <w:p>
            <w:pPr>
              <w:pStyle w:val="TableParagraph"/>
              <w:spacing w:before="56"/>
              <w:ind w:left="371" w:hanging="227"/>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2" w:type="dxa"/>
            <w:tcBorders>
              <w:top w:val="nil"/>
              <w:left w:val="single" w:sz="6" w:space="0" w:color="000000"/>
            </w:tcBorders>
            <w:shd w:val="clear" w:color="auto" w:fill="F2F2F2"/>
          </w:tcPr>
          <w:p>
            <w:pPr>
              <w:pStyle w:val="TableParagraph"/>
              <w:rPr>
                <w:rFonts w:ascii="Times New Roman"/>
                <w:sz w:val="18"/>
              </w:rPr>
            </w:pPr>
          </w:p>
        </w:tc>
      </w:tr>
      <w:tr>
        <w:trPr>
          <w:trHeight w:val="6450" w:hRule="atLeast"/>
        </w:trPr>
        <w:tc>
          <w:tcPr>
            <w:tcW w:w="1438"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left w:val="single" w:sz="6" w:space="0" w:color="000000"/>
              <w:bottom w:val="single" w:sz="6" w:space="0" w:color="000000"/>
            </w:tcBorders>
          </w:tcPr>
          <w:p>
            <w:pPr>
              <w:pStyle w:val="TableParagraph"/>
              <w:spacing w:line="229" w:lineRule="exact"/>
              <w:ind w:left="1541"/>
              <w:rPr>
                <w:sz w:val="20"/>
              </w:rPr>
            </w:pPr>
            <w:r>
              <w:rPr>
                <w:sz w:val="20"/>
              </w:rPr>
              <w:t>the</w:t>
            </w:r>
            <w:r>
              <w:rPr>
                <w:spacing w:val="-9"/>
                <w:sz w:val="20"/>
              </w:rPr>
              <w:t> </w:t>
            </w:r>
            <w:r>
              <w:rPr>
                <w:sz w:val="20"/>
              </w:rPr>
              <w:t>noncompliance;</w:t>
            </w:r>
            <w:r>
              <w:rPr>
                <w:spacing w:val="-9"/>
                <w:sz w:val="20"/>
              </w:rPr>
              <w:t> </w:t>
            </w:r>
            <w:r>
              <w:rPr>
                <w:spacing w:val="-5"/>
                <w:sz w:val="20"/>
              </w:rPr>
              <w:t>and</w:t>
            </w:r>
          </w:p>
          <w:p>
            <w:pPr>
              <w:pStyle w:val="TableParagraph"/>
              <w:ind w:left="1541" w:right="134" w:hanging="360"/>
              <w:rPr>
                <w:sz w:val="20"/>
              </w:rPr>
            </w:pPr>
            <w:r>
              <w:rPr>
                <w:sz w:val="20"/>
              </w:rPr>
              <w:t>(v)</w:t>
            </w:r>
            <w:r>
              <w:rPr>
                <w:spacing w:val="40"/>
                <w:sz w:val="20"/>
              </w:rPr>
              <w:t> </w:t>
            </w:r>
            <w:r>
              <w:rPr>
                <w:sz w:val="20"/>
              </w:rPr>
              <w:t>Conducting</w:t>
            </w:r>
            <w:r>
              <w:rPr>
                <w:spacing w:val="-1"/>
                <w:sz w:val="20"/>
              </w:rPr>
              <w:t> </w:t>
            </w:r>
            <w:r>
              <w:rPr>
                <w:sz w:val="20"/>
              </w:rPr>
              <w:t>the</w:t>
            </w:r>
            <w:r>
              <w:rPr>
                <w:spacing w:val="-1"/>
                <w:sz w:val="20"/>
              </w:rPr>
              <w:t> </w:t>
            </w:r>
            <w:r>
              <w:rPr>
                <w:sz w:val="20"/>
              </w:rPr>
              <w:t>activities</w:t>
            </w:r>
            <w:r>
              <w:rPr>
                <w:spacing w:val="-1"/>
                <w:sz w:val="20"/>
              </w:rPr>
              <w:t> </w:t>
            </w:r>
            <w:r>
              <w:rPr>
                <w:sz w:val="20"/>
              </w:rPr>
              <w:t>in</w:t>
            </w:r>
            <w:r>
              <w:rPr>
                <w:spacing w:val="-1"/>
                <w:sz w:val="20"/>
              </w:rPr>
              <w:t> </w:t>
            </w:r>
            <w:r>
              <w:rPr>
                <w:sz w:val="20"/>
              </w:rPr>
              <w:t>paragraphs</w:t>
            </w:r>
            <w:r>
              <w:rPr>
                <w:spacing w:val="-1"/>
                <w:sz w:val="20"/>
              </w:rPr>
              <w:t> </w:t>
            </w:r>
            <w:r>
              <w:rPr>
                <w:sz w:val="20"/>
              </w:rPr>
              <w:t>(a)(2)(i) through</w:t>
            </w:r>
            <w:r>
              <w:rPr>
                <w:spacing w:val="-9"/>
                <w:sz w:val="20"/>
              </w:rPr>
              <w:t> </w:t>
            </w:r>
            <w:r>
              <w:rPr>
                <w:sz w:val="20"/>
              </w:rPr>
              <w:t>(a)(2)(iv)</w:t>
            </w:r>
            <w:r>
              <w:rPr>
                <w:spacing w:val="-7"/>
                <w:sz w:val="20"/>
              </w:rPr>
              <w:t> </w:t>
            </w:r>
            <w:r>
              <w:rPr>
                <w:sz w:val="20"/>
              </w:rPr>
              <w:t>of</w:t>
            </w:r>
            <w:r>
              <w:rPr>
                <w:spacing w:val="-7"/>
                <w:sz w:val="20"/>
              </w:rPr>
              <w:t> </w:t>
            </w:r>
            <w:r>
              <w:rPr>
                <w:sz w:val="20"/>
              </w:rPr>
              <w:t>this</w:t>
            </w:r>
            <w:r>
              <w:rPr>
                <w:spacing w:val="-7"/>
                <w:sz w:val="20"/>
              </w:rPr>
              <w:t> </w:t>
            </w:r>
            <w:r>
              <w:rPr>
                <w:sz w:val="20"/>
              </w:rPr>
              <w:t>section,</w:t>
            </w:r>
            <w:r>
              <w:rPr>
                <w:spacing w:val="-7"/>
                <w:sz w:val="20"/>
              </w:rPr>
              <w:t> </w:t>
            </w:r>
            <w:r>
              <w:rPr>
                <w:sz w:val="20"/>
              </w:rPr>
              <w:t>consistent</w:t>
            </w:r>
            <w:r>
              <w:rPr>
                <w:spacing w:val="-6"/>
                <w:sz w:val="20"/>
              </w:rPr>
              <w:t> </w:t>
            </w:r>
            <w:r>
              <w:rPr>
                <w:spacing w:val="-4"/>
                <w:sz w:val="20"/>
              </w:rPr>
              <w:t>with</w:t>
            </w:r>
          </w:p>
          <w:p>
            <w:pPr>
              <w:pStyle w:val="TableParagraph"/>
              <w:spacing w:before="1"/>
              <w:ind w:left="1541"/>
              <w:rPr>
                <w:sz w:val="20"/>
              </w:rPr>
            </w:pPr>
            <w:r>
              <w:rPr>
                <w:sz w:val="20"/>
              </w:rPr>
              <w:t>34 CFR §§303.700 through 303.707, and any other activities</w:t>
            </w:r>
            <w:r>
              <w:rPr>
                <w:spacing w:val="-6"/>
                <w:sz w:val="20"/>
              </w:rPr>
              <w:t> </w:t>
            </w:r>
            <w:r>
              <w:rPr>
                <w:sz w:val="20"/>
              </w:rPr>
              <w:t>required</w:t>
            </w:r>
            <w:r>
              <w:rPr>
                <w:spacing w:val="-6"/>
                <w:sz w:val="20"/>
              </w:rPr>
              <w:t> </w:t>
            </w:r>
            <w:r>
              <w:rPr>
                <w:sz w:val="20"/>
              </w:rPr>
              <w:t>by</w:t>
            </w:r>
            <w:r>
              <w:rPr>
                <w:spacing w:val="-6"/>
                <w:sz w:val="20"/>
              </w:rPr>
              <w:t> </w:t>
            </w:r>
            <w:r>
              <w:rPr>
                <w:sz w:val="20"/>
              </w:rPr>
              <w:t>the</w:t>
            </w:r>
            <w:r>
              <w:rPr>
                <w:spacing w:val="-6"/>
                <w:sz w:val="20"/>
              </w:rPr>
              <w:t> </w:t>
            </w:r>
            <w:r>
              <w:rPr>
                <w:sz w:val="20"/>
              </w:rPr>
              <w:t>State</w:t>
            </w:r>
            <w:r>
              <w:rPr>
                <w:spacing w:val="-6"/>
                <w:sz w:val="20"/>
              </w:rPr>
              <w:t> </w:t>
            </w:r>
            <w:r>
              <w:rPr>
                <w:sz w:val="20"/>
              </w:rPr>
              <w:t>under</w:t>
            </w:r>
            <w:r>
              <w:rPr>
                <w:spacing w:val="-6"/>
                <w:sz w:val="20"/>
              </w:rPr>
              <w:t> </w:t>
            </w:r>
            <w:r>
              <w:rPr>
                <w:sz w:val="20"/>
              </w:rPr>
              <w:t>those</w:t>
            </w:r>
            <w:r>
              <w:rPr>
                <w:spacing w:val="-6"/>
                <w:sz w:val="20"/>
              </w:rPr>
              <w:t> </w:t>
            </w:r>
            <w:r>
              <w:rPr>
                <w:sz w:val="20"/>
              </w:rPr>
              <w:t>sections.</w:t>
            </w:r>
          </w:p>
          <w:p>
            <w:pPr>
              <w:pStyle w:val="TableParagraph"/>
              <w:numPr>
                <w:ilvl w:val="0"/>
                <w:numId w:val="22"/>
              </w:numPr>
              <w:tabs>
                <w:tab w:pos="819" w:val="left" w:leader="none"/>
                <w:tab w:pos="821" w:val="left" w:leader="none"/>
              </w:tabs>
              <w:spacing w:line="240" w:lineRule="auto" w:before="1" w:after="0"/>
              <w:ind w:left="821" w:right="123" w:hanging="313"/>
              <w:jc w:val="left"/>
              <w:rPr>
                <w:sz w:val="20"/>
              </w:rPr>
            </w:pPr>
            <w:r>
              <w:rPr>
                <w:sz w:val="20"/>
              </w:rPr>
              <w:t>The identification and coordination of all available resources for early intervention services within the State, including those from</w:t>
            </w:r>
            <w:r>
              <w:rPr>
                <w:spacing w:val="-6"/>
                <w:sz w:val="20"/>
              </w:rPr>
              <w:t> </w:t>
            </w:r>
            <w:r>
              <w:rPr>
                <w:sz w:val="20"/>
              </w:rPr>
              <w:t>Federal,</w:t>
            </w:r>
            <w:r>
              <w:rPr>
                <w:spacing w:val="-5"/>
                <w:sz w:val="20"/>
              </w:rPr>
              <w:t> </w:t>
            </w:r>
            <w:r>
              <w:rPr>
                <w:sz w:val="20"/>
              </w:rPr>
              <w:t>State,</w:t>
            </w:r>
            <w:r>
              <w:rPr>
                <w:spacing w:val="-5"/>
                <w:sz w:val="20"/>
              </w:rPr>
              <w:t> </w:t>
            </w:r>
            <w:r>
              <w:rPr>
                <w:sz w:val="20"/>
              </w:rPr>
              <w:t>local,</w:t>
            </w:r>
            <w:r>
              <w:rPr>
                <w:spacing w:val="-5"/>
                <w:sz w:val="20"/>
              </w:rPr>
              <w:t> </w:t>
            </w:r>
            <w:r>
              <w:rPr>
                <w:sz w:val="20"/>
              </w:rPr>
              <w:t>and</w:t>
            </w:r>
            <w:r>
              <w:rPr>
                <w:spacing w:val="-5"/>
                <w:sz w:val="20"/>
              </w:rPr>
              <w:t> </w:t>
            </w:r>
            <w:r>
              <w:rPr>
                <w:sz w:val="20"/>
              </w:rPr>
              <w:t>private</w:t>
            </w:r>
            <w:r>
              <w:rPr>
                <w:spacing w:val="-5"/>
                <w:sz w:val="20"/>
              </w:rPr>
              <w:t> </w:t>
            </w:r>
            <w:r>
              <w:rPr>
                <w:sz w:val="20"/>
              </w:rPr>
              <w:t>sources,</w:t>
            </w:r>
            <w:r>
              <w:rPr>
                <w:spacing w:val="-5"/>
                <w:sz w:val="20"/>
              </w:rPr>
              <w:t> </w:t>
            </w:r>
            <w:r>
              <w:rPr>
                <w:sz w:val="20"/>
              </w:rPr>
              <w:t>consistent</w:t>
            </w:r>
            <w:r>
              <w:rPr>
                <w:spacing w:val="-5"/>
                <w:sz w:val="20"/>
              </w:rPr>
              <w:t> </w:t>
            </w:r>
            <w:r>
              <w:rPr>
                <w:sz w:val="20"/>
              </w:rPr>
              <w:t>with subpart F of 34 CFR Part 303.</w:t>
            </w:r>
          </w:p>
          <w:p>
            <w:pPr>
              <w:pStyle w:val="TableParagraph"/>
              <w:numPr>
                <w:ilvl w:val="0"/>
                <w:numId w:val="22"/>
              </w:numPr>
              <w:tabs>
                <w:tab w:pos="819" w:val="left" w:leader="none"/>
                <w:tab w:pos="821" w:val="left" w:leader="none"/>
              </w:tabs>
              <w:spacing w:line="240" w:lineRule="auto" w:before="0" w:after="0"/>
              <w:ind w:left="821" w:right="278" w:hanging="313"/>
              <w:jc w:val="left"/>
              <w:rPr>
                <w:sz w:val="20"/>
              </w:rPr>
            </w:pPr>
            <w:r>
              <w:rPr>
                <w:sz w:val="20"/>
              </w:rPr>
              <w:t>The</w:t>
            </w:r>
            <w:r>
              <w:rPr>
                <w:spacing w:val="-6"/>
                <w:sz w:val="20"/>
              </w:rPr>
              <w:t> </w:t>
            </w:r>
            <w:r>
              <w:rPr>
                <w:sz w:val="20"/>
              </w:rPr>
              <w:t>assignment</w:t>
            </w:r>
            <w:r>
              <w:rPr>
                <w:spacing w:val="-6"/>
                <w:sz w:val="20"/>
              </w:rPr>
              <w:t> </w:t>
            </w:r>
            <w:r>
              <w:rPr>
                <w:sz w:val="20"/>
              </w:rPr>
              <w:t>of</w:t>
            </w:r>
            <w:r>
              <w:rPr>
                <w:spacing w:val="-6"/>
                <w:sz w:val="20"/>
              </w:rPr>
              <w:t> </w:t>
            </w:r>
            <w:r>
              <w:rPr>
                <w:sz w:val="20"/>
              </w:rPr>
              <w:t>financial</w:t>
            </w:r>
            <w:r>
              <w:rPr>
                <w:spacing w:val="-6"/>
                <w:sz w:val="20"/>
              </w:rPr>
              <w:t> </w:t>
            </w:r>
            <w:r>
              <w:rPr>
                <w:sz w:val="20"/>
              </w:rPr>
              <w:t>responsibility</w:t>
            </w:r>
            <w:r>
              <w:rPr>
                <w:spacing w:val="-6"/>
                <w:sz w:val="20"/>
              </w:rPr>
              <w:t> </w:t>
            </w:r>
            <w:r>
              <w:rPr>
                <w:sz w:val="20"/>
              </w:rPr>
              <w:t>in</w:t>
            </w:r>
            <w:r>
              <w:rPr>
                <w:spacing w:val="-6"/>
                <w:sz w:val="20"/>
              </w:rPr>
              <w:t> </w:t>
            </w:r>
            <w:r>
              <w:rPr>
                <w:sz w:val="20"/>
              </w:rPr>
              <w:t>accordance</w:t>
            </w:r>
            <w:r>
              <w:rPr>
                <w:spacing w:val="-6"/>
                <w:sz w:val="20"/>
              </w:rPr>
              <w:t> </w:t>
            </w:r>
            <w:r>
              <w:rPr>
                <w:sz w:val="20"/>
              </w:rPr>
              <w:t>with subpart F of 34 CFR Part 303.</w:t>
            </w:r>
          </w:p>
          <w:p>
            <w:pPr>
              <w:pStyle w:val="TableParagraph"/>
              <w:numPr>
                <w:ilvl w:val="0"/>
                <w:numId w:val="22"/>
              </w:numPr>
              <w:tabs>
                <w:tab w:pos="819" w:val="left" w:leader="none"/>
                <w:tab w:pos="821" w:val="left" w:leader="none"/>
              </w:tabs>
              <w:spacing w:line="240" w:lineRule="auto" w:before="0" w:after="0"/>
              <w:ind w:left="821" w:right="117" w:hanging="313"/>
              <w:jc w:val="left"/>
              <w:rPr>
                <w:sz w:val="20"/>
              </w:rPr>
            </w:pPr>
            <w:r>
              <w:rPr>
                <w:spacing w:val="-2"/>
                <w:sz w:val="20"/>
              </w:rPr>
              <w:t>The</w:t>
            </w:r>
            <w:r>
              <w:rPr>
                <w:spacing w:val="-8"/>
                <w:sz w:val="20"/>
              </w:rPr>
              <w:t> </w:t>
            </w:r>
            <w:r>
              <w:rPr>
                <w:spacing w:val="-2"/>
                <w:sz w:val="20"/>
              </w:rPr>
              <w:t>development</w:t>
            </w:r>
            <w:r>
              <w:rPr>
                <w:spacing w:val="-8"/>
                <w:sz w:val="20"/>
              </w:rPr>
              <w:t> </w:t>
            </w:r>
            <w:r>
              <w:rPr>
                <w:spacing w:val="-2"/>
                <w:sz w:val="20"/>
              </w:rPr>
              <w:t>of</w:t>
            </w:r>
            <w:r>
              <w:rPr>
                <w:spacing w:val="-8"/>
                <w:sz w:val="20"/>
              </w:rPr>
              <w:t> </w:t>
            </w:r>
            <w:r>
              <w:rPr>
                <w:spacing w:val="-2"/>
                <w:sz w:val="20"/>
              </w:rPr>
              <w:t>procedures</w:t>
            </w:r>
            <w:r>
              <w:rPr>
                <w:spacing w:val="-8"/>
                <w:sz w:val="20"/>
              </w:rPr>
              <w:t> </w:t>
            </w:r>
            <w:r>
              <w:rPr>
                <w:spacing w:val="-2"/>
                <w:sz w:val="20"/>
              </w:rPr>
              <w:t>in</w:t>
            </w:r>
            <w:r>
              <w:rPr>
                <w:spacing w:val="-8"/>
                <w:sz w:val="20"/>
              </w:rPr>
              <w:t> </w:t>
            </w:r>
            <w:r>
              <w:rPr>
                <w:spacing w:val="-2"/>
                <w:sz w:val="20"/>
              </w:rPr>
              <w:t>accordance</w:t>
            </w:r>
            <w:r>
              <w:rPr>
                <w:spacing w:val="-8"/>
                <w:sz w:val="20"/>
              </w:rPr>
              <w:t> </w:t>
            </w:r>
            <w:r>
              <w:rPr>
                <w:spacing w:val="-2"/>
                <w:sz w:val="20"/>
              </w:rPr>
              <w:t>with</w:t>
            </w:r>
            <w:r>
              <w:rPr>
                <w:spacing w:val="-8"/>
                <w:sz w:val="20"/>
              </w:rPr>
              <w:t> </w:t>
            </w:r>
            <w:r>
              <w:rPr>
                <w:spacing w:val="-2"/>
                <w:sz w:val="20"/>
              </w:rPr>
              <w:t>subpart</w:t>
            </w:r>
            <w:r>
              <w:rPr>
                <w:spacing w:val="-8"/>
                <w:sz w:val="20"/>
              </w:rPr>
              <w:t> </w:t>
            </w:r>
            <w:r>
              <w:rPr>
                <w:spacing w:val="-2"/>
                <w:sz w:val="20"/>
              </w:rPr>
              <w:t>F</w:t>
            </w:r>
            <w:r>
              <w:rPr>
                <w:spacing w:val="-8"/>
                <w:sz w:val="20"/>
              </w:rPr>
              <w:t> </w:t>
            </w:r>
            <w:r>
              <w:rPr>
                <w:spacing w:val="-2"/>
                <w:sz w:val="20"/>
              </w:rPr>
              <w:t>of </w:t>
            </w:r>
            <w:r>
              <w:rPr>
                <w:sz w:val="20"/>
              </w:rPr>
              <w:t>34</w:t>
            </w:r>
            <w:r>
              <w:rPr>
                <w:spacing w:val="-10"/>
                <w:sz w:val="20"/>
              </w:rPr>
              <w:t> </w:t>
            </w:r>
            <w:r>
              <w:rPr>
                <w:sz w:val="20"/>
              </w:rPr>
              <w:t>CFR</w:t>
            </w:r>
            <w:r>
              <w:rPr>
                <w:spacing w:val="-11"/>
                <w:sz w:val="20"/>
              </w:rPr>
              <w:t> </w:t>
            </w:r>
            <w:r>
              <w:rPr>
                <w:sz w:val="20"/>
              </w:rPr>
              <w:t>Part</w:t>
            </w:r>
            <w:r>
              <w:rPr>
                <w:spacing w:val="-10"/>
                <w:sz w:val="20"/>
              </w:rPr>
              <w:t> </w:t>
            </w:r>
            <w:r>
              <w:rPr>
                <w:sz w:val="20"/>
              </w:rPr>
              <w:t>303</w:t>
            </w:r>
            <w:r>
              <w:rPr>
                <w:spacing w:val="-10"/>
                <w:sz w:val="20"/>
              </w:rPr>
              <w:t> </w:t>
            </w:r>
            <w:r>
              <w:rPr>
                <w:sz w:val="20"/>
              </w:rPr>
              <w:t>to</w:t>
            </w:r>
            <w:r>
              <w:rPr>
                <w:spacing w:val="-10"/>
                <w:sz w:val="20"/>
              </w:rPr>
              <w:t> </w:t>
            </w:r>
            <w:r>
              <w:rPr>
                <w:sz w:val="20"/>
              </w:rPr>
              <w:t>ensure</w:t>
            </w:r>
            <w:r>
              <w:rPr>
                <w:spacing w:val="-10"/>
                <w:sz w:val="20"/>
              </w:rPr>
              <w:t> </w:t>
            </w:r>
            <w:r>
              <w:rPr>
                <w:sz w:val="20"/>
              </w:rPr>
              <w:t>that</w:t>
            </w:r>
            <w:r>
              <w:rPr>
                <w:spacing w:val="-10"/>
                <w:sz w:val="20"/>
              </w:rPr>
              <w:t> </w:t>
            </w:r>
            <w:r>
              <w:rPr>
                <w:sz w:val="20"/>
              </w:rPr>
              <w:t>early</w:t>
            </w:r>
            <w:r>
              <w:rPr>
                <w:spacing w:val="-10"/>
                <w:sz w:val="20"/>
              </w:rPr>
              <w:t> </w:t>
            </w:r>
            <w:r>
              <w:rPr>
                <w:sz w:val="20"/>
              </w:rPr>
              <w:t>intervention</w:t>
            </w:r>
            <w:r>
              <w:rPr>
                <w:spacing w:val="-10"/>
                <w:sz w:val="20"/>
              </w:rPr>
              <w:t> </w:t>
            </w:r>
            <w:r>
              <w:rPr>
                <w:sz w:val="20"/>
              </w:rPr>
              <w:t>services</w:t>
            </w:r>
            <w:r>
              <w:rPr>
                <w:spacing w:val="-10"/>
                <w:sz w:val="20"/>
              </w:rPr>
              <w:t> </w:t>
            </w:r>
            <w:r>
              <w:rPr>
                <w:sz w:val="20"/>
              </w:rPr>
              <w:t>are </w:t>
            </w:r>
            <w:r>
              <w:rPr>
                <w:spacing w:val="-4"/>
                <w:sz w:val="20"/>
              </w:rPr>
              <w:t>provided to infants and toddlers with disabilities and their families under</w:t>
            </w:r>
            <w:r>
              <w:rPr>
                <w:spacing w:val="-8"/>
                <w:sz w:val="20"/>
              </w:rPr>
              <w:t> </w:t>
            </w:r>
            <w:r>
              <w:rPr>
                <w:spacing w:val="-4"/>
                <w:sz w:val="20"/>
              </w:rPr>
              <w:t>Part</w:t>
            </w:r>
            <w:r>
              <w:rPr>
                <w:spacing w:val="-8"/>
                <w:sz w:val="20"/>
              </w:rPr>
              <w:t> </w:t>
            </w:r>
            <w:r>
              <w:rPr>
                <w:spacing w:val="-4"/>
                <w:sz w:val="20"/>
              </w:rPr>
              <w:t>C</w:t>
            </w:r>
            <w:r>
              <w:rPr>
                <w:spacing w:val="-9"/>
                <w:sz w:val="20"/>
              </w:rPr>
              <w:t> </w:t>
            </w:r>
            <w:r>
              <w:rPr>
                <w:spacing w:val="-4"/>
                <w:sz w:val="20"/>
              </w:rPr>
              <w:t>of</w:t>
            </w:r>
            <w:r>
              <w:rPr>
                <w:spacing w:val="-8"/>
                <w:sz w:val="20"/>
              </w:rPr>
              <w:t> </w:t>
            </w:r>
            <w:r>
              <w:rPr>
                <w:spacing w:val="-4"/>
                <w:sz w:val="20"/>
              </w:rPr>
              <w:t>the</w:t>
            </w:r>
            <w:r>
              <w:rPr>
                <w:spacing w:val="-20"/>
                <w:sz w:val="20"/>
              </w:rPr>
              <w:t> </w:t>
            </w:r>
            <w:r>
              <w:rPr>
                <w:spacing w:val="-4"/>
                <w:sz w:val="20"/>
              </w:rPr>
              <w:t>Act</w:t>
            </w:r>
            <w:r>
              <w:rPr>
                <w:spacing w:val="-8"/>
                <w:sz w:val="20"/>
              </w:rPr>
              <w:t> </w:t>
            </w:r>
            <w:r>
              <w:rPr>
                <w:spacing w:val="-4"/>
                <w:sz w:val="20"/>
              </w:rPr>
              <w:t>in</w:t>
            </w:r>
            <w:r>
              <w:rPr>
                <w:spacing w:val="-8"/>
                <w:sz w:val="20"/>
              </w:rPr>
              <w:t> </w:t>
            </w:r>
            <w:r>
              <w:rPr>
                <w:spacing w:val="-4"/>
                <w:sz w:val="20"/>
              </w:rPr>
              <w:t>a</w:t>
            </w:r>
            <w:r>
              <w:rPr>
                <w:spacing w:val="-8"/>
                <w:sz w:val="20"/>
              </w:rPr>
              <w:t> </w:t>
            </w:r>
            <w:r>
              <w:rPr>
                <w:spacing w:val="-4"/>
                <w:sz w:val="20"/>
              </w:rPr>
              <w:t>timely</w:t>
            </w:r>
            <w:r>
              <w:rPr>
                <w:spacing w:val="-8"/>
                <w:sz w:val="20"/>
              </w:rPr>
              <w:t> </w:t>
            </w:r>
            <w:r>
              <w:rPr>
                <w:spacing w:val="-4"/>
                <w:sz w:val="20"/>
              </w:rPr>
              <w:t>manner,</w:t>
            </w:r>
            <w:r>
              <w:rPr>
                <w:spacing w:val="-8"/>
                <w:sz w:val="20"/>
              </w:rPr>
              <w:t> </w:t>
            </w:r>
            <w:r>
              <w:rPr>
                <w:spacing w:val="-4"/>
                <w:sz w:val="20"/>
              </w:rPr>
              <w:t>pending</w:t>
            </w:r>
            <w:r>
              <w:rPr>
                <w:spacing w:val="-8"/>
                <w:sz w:val="20"/>
              </w:rPr>
              <w:t> </w:t>
            </w:r>
            <w:r>
              <w:rPr>
                <w:spacing w:val="-4"/>
                <w:sz w:val="20"/>
              </w:rPr>
              <w:t>the</w:t>
            </w:r>
            <w:r>
              <w:rPr>
                <w:spacing w:val="-8"/>
                <w:sz w:val="20"/>
              </w:rPr>
              <w:t> </w:t>
            </w:r>
            <w:r>
              <w:rPr>
                <w:spacing w:val="-4"/>
                <w:sz w:val="20"/>
              </w:rPr>
              <w:t>resolution </w:t>
            </w:r>
            <w:r>
              <w:rPr>
                <w:sz w:val="20"/>
              </w:rPr>
              <w:t>of</w:t>
            </w:r>
            <w:r>
              <w:rPr>
                <w:spacing w:val="-10"/>
                <w:sz w:val="20"/>
              </w:rPr>
              <w:t> </w:t>
            </w:r>
            <w:r>
              <w:rPr>
                <w:sz w:val="20"/>
              </w:rPr>
              <w:t>any</w:t>
            </w:r>
            <w:r>
              <w:rPr>
                <w:spacing w:val="-10"/>
                <w:sz w:val="20"/>
              </w:rPr>
              <w:t> </w:t>
            </w:r>
            <w:r>
              <w:rPr>
                <w:sz w:val="20"/>
              </w:rPr>
              <w:t>disputes</w:t>
            </w:r>
            <w:r>
              <w:rPr>
                <w:spacing w:val="-10"/>
                <w:sz w:val="20"/>
              </w:rPr>
              <w:t> </w:t>
            </w:r>
            <w:r>
              <w:rPr>
                <w:sz w:val="20"/>
              </w:rPr>
              <w:t>among</w:t>
            </w:r>
            <w:r>
              <w:rPr>
                <w:spacing w:val="-10"/>
                <w:sz w:val="20"/>
              </w:rPr>
              <w:t> </w:t>
            </w:r>
            <w:r>
              <w:rPr>
                <w:sz w:val="20"/>
              </w:rPr>
              <w:t>public</w:t>
            </w:r>
            <w:r>
              <w:rPr>
                <w:spacing w:val="-10"/>
                <w:sz w:val="20"/>
              </w:rPr>
              <w:t> </w:t>
            </w:r>
            <w:r>
              <w:rPr>
                <w:sz w:val="20"/>
              </w:rPr>
              <w:t>agencies</w:t>
            </w:r>
            <w:r>
              <w:rPr>
                <w:spacing w:val="-10"/>
                <w:sz w:val="20"/>
              </w:rPr>
              <w:t> </w:t>
            </w:r>
            <w:r>
              <w:rPr>
                <w:sz w:val="20"/>
              </w:rPr>
              <w:t>or</w:t>
            </w:r>
            <w:r>
              <w:rPr>
                <w:spacing w:val="-10"/>
                <w:sz w:val="20"/>
              </w:rPr>
              <w:t> </w:t>
            </w:r>
            <w:r>
              <w:rPr>
                <w:sz w:val="20"/>
              </w:rPr>
              <w:t>EIS</w:t>
            </w:r>
            <w:r>
              <w:rPr>
                <w:spacing w:val="-11"/>
                <w:sz w:val="20"/>
              </w:rPr>
              <w:t> </w:t>
            </w:r>
            <w:r>
              <w:rPr>
                <w:sz w:val="20"/>
              </w:rPr>
              <w:t>providers.</w:t>
            </w:r>
          </w:p>
          <w:p>
            <w:pPr>
              <w:pStyle w:val="TableParagraph"/>
              <w:numPr>
                <w:ilvl w:val="0"/>
                <w:numId w:val="22"/>
              </w:numPr>
              <w:tabs>
                <w:tab w:pos="819" w:val="left" w:leader="none"/>
                <w:tab w:pos="821" w:val="left" w:leader="none"/>
              </w:tabs>
              <w:spacing w:line="240" w:lineRule="auto" w:before="0" w:after="0"/>
              <w:ind w:left="821" w:right="1143" w:hanging="313"/>
              <w:jc w:val="left"/>
              <w:rPr>
                <w:sz w:val="20"/>
              </w:rPr>
            </w:pPr>
            <w:r>
              <w:rPr>
                <w:sz w:val="20"/>
              </w:rPr>
              <w:t>The</w:t>
            </w:r>
            <w:r>
              <w:rPr>
                <w:spacing w:val="-5"/>
                <w:sz w:val="20"/>
              </w:rPr>
              <w:t> </w:t>
            </w:r>
            <w:r>
              <w:rPr>
                <w:sz w:val="20"/>
              </w:rPr>
              <w:t>resolution</w:t>
            </w:r>
            <w:r>
              <w:rPr>
                <w:spacing w:val="-5"/>
                <w:sz w:val="20"/>
              </w:rPr>
              <w:t> </w:t>
            </w:r>
            <w:r>
              <w:rPr>
                <w:sz w:val="20"/>
              </w:rPr>
              <w:t>of</w:t>
            </w:r>
            <w:r>
              <w:rPr>
                <w:spacing w:val="-5"/>
                <w:sz w:val="20"/>
              </w:rPr>
              <w:t> </w:t>
            </w:r>
            <w:r>
              <w:rPr>
                <w:sz w:val="20"/>
              </w:rPr>
              <w:t>intra-</w:t>
            </w:r>
            <w:r>
              <w:rPr>
                <w:spacing w:val="-5"/>
                <w:sz w:val="20"/>
              </w:rPr>
              <w:t> </w:t>
            </w:r>
            <w:r>
              <w:rPr>
                <w:sz w:val="20"/>
              </w:rPr>
              <w:t>and</w:t>
            </w:r>
            <w:r>
              <w:rPr>
                <w:spacing w:val="-5"/>
                <w:sz w:val="20"/>
              </w:rPr>
              <w:t> </w:t>
            </w:r>
            <w:r>
              <w:rPr>
                <w:sz w:val="20"/>
              </w:rPr>
              <w:t>interagency</w:t>
            </w:r>
            <w:r>
              <w:rPr>
                <w:spacing w:val="-5"/>
                <w:sz w:val="20"/>
              </w:rPr>
              <w:t> </w:t>
            </w:r>
            <w:r>
              <w:rPr>
                <w:sz w:val="20"/>
              </w:rPr>
              <w:t>disputes</w:t>
            </w:r>
            <w:r>
              <w:rPr>
                <w:spacing w:val="-5"/>
                <w:sz w:val="20"/>
              </w:rPr>
              <w:t> </w:t>
            </w:r>
            <w:r>
              <w:rPr>
                <w:sz w:val="20"/>
              </w:rPr>
              <w:t>in accordance with subpart F of 34 CFR Part 303.</w:t>
            </w:r>
          </w:p>
          <w:p>
            <w:pPr>
              <w:pStyle w:val="TableParagraph"/>
              <w:numPr>
                <w:ilvl w:val="0"/>
                <w:numId w:val="22"/>
              </w:numPr>
              <w:tabs>
                <w:tab w:pos="819" w:val="left" w:leader="none"/>
                <w:tab w:pos="821" w:val="left" w:leader="none"/>
              </w:tabs>
              <w:spacing w:line="240" w:lineRule="auto" w:before="0" w:after="0"/>
              <w:ind w:left="821" w:right="89" w:hanging="313"/>
              <w:jc w:val="left"/>
              <w:rPr>
                <w:sz w:val="20"/>
              </w:rPr>
            </w:pPr>
            <w:r>
              <w:rPr>
                <w:sz w:val="20"/>
              </w:rPr>
              <w:t>The entry into formal interagency agreements or other written methods</w:t>
            </w:r>
            <w:r>
              <w:rPr>
                <w:spacing w:val="-3"/>
                <w:sz w:val="20"/>
              </w:rPr>
              <w:t> </w:t>
            </w:r>
            <w:r>
              <w:rPr>
                <w:sz w:val="20"/>
              </w:rPr>
              <w:t>of</w:t>
            </w:r>
            <w:r>
              <w:rPr>
                <w:spacing w:val="-3"/>
                <w:sz w:val="20"/>
              </w:rPr>
              <w:t> </w:t>
            </w:r>
            <w:r>
              <w:rPr>
                <w:sz w:val="20"/>
              </w:rPr>
              <w:t>establishing</w:t>
            </w:r>
            <w:r>
              <w:rPr>
                <w:spacing w:val="-3"/>
                <w:sz w:val="20"/>
              </w:rPr>
              <w:t> </w:t>
            </w:r>
            <w:r>
              <w:rPr>
                <w:sz w:val="20"/>
              </w:rPr>
              <w:t>financial</w:t>
            </w:r>
            <w:r>
              <w:rPr>
                <w:spacing w:val="-3"/>
                <w:sz w:val="20"/>
              </w:rPr>
              <w:t> </w:t>
            </w:r>
            <w:r>
              <w:rPr>
                <w:sz w:val="20"/>
              </w:rPr>
              <w:t>responsibility,</w:t>
            </w:r>
            <w:r>
              <w:rPr>
                <w:spacing w:val="-3"/>
                <w:sz w:val="20"/>
              </w:rPr>
              <w:t> </w:t>
            </w:r>
            <w:r>
              <w:rPr>
                <w:sz w:val="20"/>
              </w:rPr>
              <w:t>consistent</w:t>
            </w:r>
            <w:r>
              <w:rPr>
                <w:spacing w:val="-3"/>
                <w:sz w:val="20"/>
              </w:rPr>
              <w:t> </w:t>
            </w:r>
            <w:r>
              <w:rPr>
                <w:sz w:val="20"/>
              </w:rPr>
              <w:t>with 34 CFR §303.511, that define the financial responsibility of each agency for paying for early intervention services (consistent with State law) and procedures for resolving disputes and that include all additional components necessary to</w:t>
            </w:r>
            <w:r>
              <w:rPr>
                <w:spacing w:val="-5"/>
                <w:sz w:val="20"/>
              </w:rPr>
              <w:t> </w:t>
            </w:r>
            <w:r>
              <w:rPr>
                <w:sz w:val="20"/>
              </w:rPr>
              <w:t>ensure</w:t>
            </w:r>
            <w:r>
              <w:rPr>
                <w:spacing w:val="-5"/>
                <w:sz w:val="20"/>
              </w:rPr>
              <w:t> </w:t>
            </w:r>
            <w:r>
              <w:rPr>
                <w:sz w:val="20"/>
              </w:rPr>
              <w:t>meaningful</w:t>
            </w:r>
            <w:r>
              <w:rPr>
                <w:spacing w:val="-5"/>
                <w:sz w:val="20"/>
              </w:rPr>
              <w:t> </w:t>
            </w:r>
            <w:r>
              <w:rPr>
                <w:sz w:val="20"/>
              </w:rPr>
              <w:t>cooperation</w:t>
            </w:r>
            <w:r>
              <w:rPr>
                <w:spacing w:val="-5"/>
                <w:sz w:val="20"/>
              </w:rPr>
              <w:t> </w:t>
            </w:r>
            <w:r>
              <w:rPr>
                <w:sz w:val="20"/>
              </w:rPr>
              <w:t>and</w:t>
            </w:r>
            <w:r>
              <w:rPr>
                <w:spacing w:val="-5"/>
                <w:sz w:val="20"/>
              </w:rPr>
              <w:t> </w:t>
            </w:r>
            <w:r>
              <w:rPr>
                <w:sz w:val="20"/>
              </w:rPr>
              <w:t>coordination</w:t>
            </w:r>
            <w:r>
              <w:rPr>
                <w:spacing w:val="-5"/>
                <w:sz w:val="20"/>
              </w:rPr>
              <w:t> </w:t>
            </w:r>
            <w:r>
              <w:rPr>
                <w:sz w:val="20"/>
              </w:rPr>
              <w:t>as</w:t>
            </w:r>
            <w:r>
              <w:rPr>
                <w:spacing w:val="-5"/>
                <w:sz w:val="20"/>
              </w:rPr>
              <w:t> </w:t>
            </w:r>
            <w:r>
              <w:rPr>
                <w:sz w:val="20"/>
              </w:rPr>
              <w:t>set</w:t>
            </w:r>
            <w:r>
              <w:rPr>
                <w:spacing w:val="-5"/>
                <w:sz w:val="20"/>
              </w:rPr>
              <w:t> </w:t>
            </w:r>
            <w:r>
              <w:rPr>
                <w:sz w:val="20"/>
              </w:rPr>
              <w:t>forth in subpart F of 34 CFR Part 303.</w:t>
            </w:r>
          </w:p>
          <w:p>
            <w:pPr>
              <w:pStyle w:val="TableParagraph"/>
              <w:spacing w:before="119"/>
              <w:ind w:left="511"/>
              <w:rPr>
                <w:sz w:val="20"/>
              </w:rPr>
            </w:pPr>
            <w:r>
              <w:rPr>
                <w:sz w:val="20"/>
              </w:rPr>
              <w:t>(34</w:t>
            </w:r>
            <w:r>
              <w:rPr>
                <w:spacing w:val="-4"/>
                <w:sz w:val="20"/>
              </w:rPr>
              <w:t> </w:t>
            </w:r>
            <w:r>
              <w:rPr>
                <w:sz w:val="20"/>
              </w:rPr>
              <w:t>CFR</w:t>
            </w:r>
            <w:r>
              <w:rPr>
                <w:spacing w:val="-4"/>
                <w:sz w:val="20"/>
              </w:rPr>
              <w:t> </w:t>
            </w:r>
            <w:r>
              <w:rPr>
                <w:spacing w:val="-2"/>
                <w:sz w:val="20"/>
              </w:rPr>
              <w:t>§303.120)</w:t>
            </w:r>
          </w:p>
        </w:tc>
      </w:tr>
      <w:tr>
        <w:trPr>
          <w:trHeight w:val="3469" w:hRule="atLeast"/>
        </w:trPr>
        <w:tc>
          <w:tcPr>
            <w:tcW w:w="1438"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spacing w:before="1"/>
              <w:ind w:left="153" w:right="134"/>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82" w:type="dxa"/>
            <w:tcBorders>
              <w:top w:val="single" w:sz="6" w:space="0" w:color="000000"/>
              <w:left w:val="single" w:sz="6" w:space="0" w:color="000000"/>
            </w:tcBorders>
          </w:tcPr>
          <w:p>
            <w:pPr>
              <w:pStyle w:val="TableParagraph"/>
              <w:numPr>
                <w:ilvl w:val="0"/>
                <w:numId w:val="23"/>
              </w:numPr>
              <w:tabs>
                <w:tab w:pos="508" w:val="left" w:leader="none"/>
              </w:tabs>
              <w:spacing w:line="240" w:lineRule="auto" w:before="119" w:after="0"/>
              <w:ind w:left="508" w:right="125" w:hanging="389"/>
              <w:jc w:val="left"/>
              <w:rPr>
                <w:sz w:val="20"/>
              </w:rPr>
            </w:pPr>
            <w:r>
              <w:rPr>
                <w:sz w:val="20"/>
              </w:rPr>
              <w:t>The Statewide system includes a policy pertaining to the contracting</w:t>
            </w:r>
            <w:r>
              <w:rPr>
                <w:spacing w:val="-4"/>
                <w:sz w:val="20"/>
              </w:rPr>
              <w:t> </w:t>
            </w:r>
            <w:r>
              <w:rPr>
                <w:sz w:val="20"/>
              </w:rPr>
              <w:t>or</w:t>
            </w:r>
            <w:r>
              <w:rPr>
                <w:spacing w:val="-4"/>
                <w:sz w:val="20"/>
              </w:rPr>
              <w:t> </w:t>
            </w:r>
            <w:r>
              <w:rPr>
                <w:sz w:val="20"/>
              </w:rPr>
              <w:t>making</w:t>
            </w:r>
            <w:r>
              <w:rPr>
                <w:spacing w:val="-4"/>
                <w:sz w:val="20"/>
              </w:rPr>
              <w:t> </w:t>
            </w:r>
            <w:r>
              <w:rPr>
                <w:sz w:val="20"/>
              </w:rPr>
              <w:t>of</w:t>
            </w:r>
            <w:r>
              <w:rPr>
                <w:spacing w:val="-4"/>
                <w:sz w:val="20"/>
              </w:rPr>
              <w:t> </w:t>
            </w:r>
            <w:r>
              <w:rPr>
                <w:sz w:val="20"/>
              </w:rPr>
              <w:t>other</w:t>
            </w:r>
            <w:r>
              <w:rPr>
                <w:spacing w:val="-4"/>
                <w:sz w:val="20"/>
              </w:rPr>
              <w:t> </w:t>
            </w:r>
            <w:r>
              <w:rPr>
                <w:sz w:val="20"/>
              </w:rPr>
              <w:t>arrangements</w:t>
            </w:r>
            <w:r>
              <w:rPr>
                <w:spacing w:val="-4"/>
                <w:sz w:val="20"/>
              </w:rPr>
              <w:t> </w:t>
            </w:r>
            <w:r>
              <w:rPr>
                <w:sz w:val="20"/>
              </w:rPr>
              <w:t>with</w:t>
            </w:r>
            <w:r>
              <w:rPr>
                <w:spacing w:val="-4"/>
                <w:sz w:val="20"/>
              </w:rPr>
              <w:t> </w:t>
            </w:r>
            <w:r>
              <w:rPr>
                <w:sz w:val="20"/>
              </w:rPr>
              <w:t>public</w:t>
            </w:r>
            <w:r>
              <w:rPr>
                <w:spacing w:val="-4"/>
                <w:sz w:val="20"/>
              </w:rPr>
              <w:t> </w:t>
            </w:r>
            <w:r>
              <w:rPr>
                <w:sz w:val="20"/>
              </w:rPr>
              <w:t>or</w:t>
            </w:r>
            <w:r>
              <w:rPr>
                <w:spacing w:val="-4"/>
                <w:sz w:val="20"/>
              </w:rPr>
              <w:t> </w:t>
            </w:r>
            <w:r>
              <w:rPr>
                <w:sz w:val="20"/>
              </w:rPr>
              <w:t>private individuals or agency service providers to provide early intervention</w:t>
            </w:r>
            <w:r>
              <w:rPr>
                <w:spacing w:val="-5"/>
                <w:sz w:val="20"/>
              </w:rPr>
              <w:t> </w:t>
            </w:r>
            <w:r>
              <w:rPr>
                <w:sz w:val="20"/>
              </w:rPr>
              <w:t>services</w:t>
            </w:r>
            <w:r>
              <w:rPr>
                <w:spacing w:val="-5"/>
                <w:sz w:val="20"/>
              </w:rPr>
              <w:t> </w:t>
            </w:r>
            <w:r>
              <w:rPr>
                <w:sz w:val="20"/>
              </w:rPr>
              <w:t>in</w:t>
            </w:r>
            <w:r>
              <w:rPr>
                <w:spacing w:val="-5"/>
                <w:sz w:val="20"/>
              </w:rPr>
              <w:t> </w:t>
            </w:r>
            <w:r>
              <w:rPr>
                <w:sz w:val="20"/>
              </w:rPr>
              <w:t>the</w:t>
            </w:r>
            <w:r>
              <w:rPr>
                <w:spacing w:val="-5"/>
                <w:sz w:val="20"/>
              </w:rPr>
              <w:t> </w:t>
            </w:r>
            <w:r>
              <w:rPr>
                <w:sz w:val="20"/>
              </w:rPr>
              <w:t>State,</w:t>
            </w:r>
            <w:r>
              <w:rPr>
                <w:spacing w:val="-5"/>
                <w:sz w:val="20"/>
              </w:rPr>
              <w:t> </w:t>
            </w:r>
            <w:r>
              <w:rPr>
                <w:sz w:val="20"/>
              </w:rPr>
              <w:t>consistent</w:t>
            </w:r>
            <w:r>
              <w:rPr>
                <w:spacing w:val="-5"/>
                <w:sz w:val="20"/>
              </w:rPr>
              <w:t> </w:t>
            </w:r>
            <w:r>
              <w:rPr>
                <w:sz w:val="20"/>
              </w:rPr>
              <w:t>with</w:t>
            </w:r>
            <w:r>
              <w:rPr>
                <w:spacing w:val="-5"/>
                <w:sz w:val="20"/>
              </w:rPr>
              <w:t> </w:t>
            </w:r>
            <w:r>
              <w:rPr>
                <w:sz w:val="20"/>
              </w:rPr>
              <w:t>the</w:t>
            </w:r>
            <w:r>
              <w:rPr>
                <w:spacing w:val="-5"/>
                <w:sz w:val="20"/>
              </w:rPr>
              <w:t> </w:t>
            </w:r>
            <w:r>
              <w:rPr>
                <w:sz w:val="20"/>
              </w:rPr>
              <w:t>provisions</w:t>
            </w:r>
            <w:r>
              <w:rPr>
                <w:spacing w:val="-5"/>
                <w:sz w:val="20"/>
              </w:rPr>
              <w:t> </w:t>
            </w:r>
            <w:r>
              <w:rPr>
                <w:sz w:val="20"/>
              </w:rPr>
              <w:t>of Part C of the</w:t>
            </w:r>
            <w:r>
              <w:rPr>
                <w:spacing w:val="-5"/>
                <w:sz w:val="20"/>
              </w:rPr>
              <w:t> </w:t>
            </w:r>
            <w:r>
              <w:rPr>
                <w:sz w:val="20"/>
              </w:rPr>
              <w:t>Act and 34 CFR Part 303, including the contents of the application, and the conditions of the contract or other arrangements.</w:t>
            </w:r>
            <w:r>
              <w:rPr>
                <w:spacing w:val="40"/>
                <w:sz w:val="20"/>
              </w:rPr>
              <w:t> </w:t>
            </w:r>
            <w:r>
              <w:rPr>
                <w:sz w:val="20"/>
              </w:rPr>
              <w:t>The policy —</w:t>
            </w:r>
          </w:p>
          <w:p>
            <w:pPr>
              <w:pStyle w:val="TableParagraph"/>
              <w:numPr>
                <w:ilvl w:val="1"/>
                <w:numId w:val="23"/>
              </w:numPr>
              <w:tabs>
                <w:tab w:pos="1011" w:val="left" w:leader="none"/>
              </w:tabs>
              <w:spacing w:line="240" w:lineRule="auto" w:before="118" w:after="0"/>
              <w:ind w:left="1011" w:right="399" w:hanging="500"/>
              <w:jc w:val="left"/>
              <w:rPr>
                <w:sz w:val="20"/>
              </w:rPr>
            </w:pPr>
            <w:r>
              <w:rPr>
                <w:sz w:val="20"/>
              </w:rPr>
              <w:t>Includes</w:t>
            </w:r>
            <w:r>
              <w:rPr>
                <w:spacing w:val="-6"/>
                <w:sz w:val="20"/>
              </w:rPr>
              <w:t> </w:t>
            </w:r>
            <w:r>
              <w:rPr>
                <w:sz w:val="20"/>
              </w:rPr>
              <w:t>a</w:t>
            </w:r>
            <w:r>
              <w:rPr>
                <w:spacing w:val="-6"/>
                <w:sz w:val="20"/>
              </w:rPr>
              <w:t> </w:t>
            </w:r>
            <w:r>
              <w:rPr>
                <w:sz w:val="20"/>
              </w:rPr>
              <w:t>requirement</w:t>
            </w:r>
            <w:r>
              <w:rPr>
                <w:spacing w:val="-6"/>
                <w:sz w:val="20"/>
              </w:rPr>
              <w:t> </w:t>
            </w:r>
            <w:r>
              <w:rPr>
                <w:sz w:val="20"/>
              </w:rPr>
              <w:t>that</w:t>
            </w:r>
            <w:r>
              <w:rPr>
                <w:spacing w:val="-6"/>
                <w:sz w:val="20"/>
              </w:rPr>
              <w:t> </w:t>
            </w:r>
            <w:r>
              <w:rPr>
                <w:sz w:val="20"/>
              </w:rPr>
              <w:t>all</w:t>
            </w:r>
            <w:r>
              <w:rPr>
                <w:spacing w:val="-6"/>
                <w:sz w:val="20"/>
              </w:rPr>
              <w:t> </w:t>
            </w:r>
            <w:r>
              <w:rPr>
                <w:sz w:val="20"/>
              </w:rPr>
              <w:t>early</w:t>
            </w:r>
            <w:r>
              <w:rPr>
                <w:spacing w:val="-6"/>
                <w:sz w:val="20"/>
              </w:rPr>
              <w:t> </w:t>
            </w:r>
            <w:r>
              <w:rPr>
                <w:sz w:val="20"/>
              </w:rPr>
              <w:t>intervention</w:t>
            </w:r>
            <w:r>
              <w:rPr>
                <w:spacing w:val="-6"/>
                <w:sz w:val="20"/>
              </w:rPr>
              <w:t> </w:t>
            </w:r>
            <w:r>
              <w:rPr>
                <w:sz w:val="20"/>
              </w:rPr>
              <w:t>services must meet State standards and be consistent with the provisions of Part C; and</w:t>
            </w:r>
          </w:p>
          <w:p>
            <w:pPr>
              <w:pStyle w:val="TableParagraph"/>
              <w:numPr>
                <w:ilvl w:val="1"/>
                <w:numId w:val="23"/>
              </w:numPr>
              <w:tabs>
                <w:tab w:pos="1012" w:val="left" w:leader="none"/>
              </w:tabs>
              <w:spacing w:line="240" w:lineRule="auto" w:before="1" w:after="0"/>
              <w:ind w:left="1012" w:right="776" w:hanging="504"/>
              <w:jc w:val="left"/>
              <w:rPr>
                <w:sz w:val="20"/>
              </w:rPr>
            </w:pPr>
            <w:r>
              <w:rPr>
                <w:sz w:val="20"/>
              </w:rPr>
              <w:t>Is</w:t>
            </w:r>
            <w:r>
              <w:rPr>
                <w:spacing w:val="-7"/>
                <w:sz w:val="20"/>
              </w:rPr>
              <w:t> </w:t>
            </w:r>
            <w:r>
              <w:rPr>
                <w:sz w:val="20"/>
              </w:rPr>
              <w:t>consistent</w:t>
            </w:r>
            <w:r>
              <w:rPr>
                <w:spacing w:val="-7"/>
                <w:sz w:val="20"/>
              </w:rPr>
              <w:t> </w:t>
            </w:r>
            <w:r>
              <w:rPr>
                <w:sz w:val="20"/>
              </w:rPr>
              <w:t>with</w:t>
            </w:r>
            <w:r>
              <w:rPr>
                <w:spacing w:val="-7"/>
                <w:sz w:val="20"/>
              </w:rPr>
              <w:t> </w:t>
            </w:r>
            <w:r>
              <w:rPr>
                <w:sz w:val="20"/>
              </w:rPr>
              <w:t>the</w:t>
            </w:r>
            <w:r>
              <w:rPr>
                <w:spacing w:val="-7"/>
                <w:sz w:val="20"/>
              </w:rPr>
              <w:t> </w:t>
            </w:r>
            <w:r>
              <w:rPr>
                <w:sz w:val="20"/>
              </w:rPr>
              <w:t>Education</w:t>
            </w:r>
            <w:r>
              <w:rPr>
                <w:spacing w:val="-7"/>
                <w:sz w:val="20"/>
              </w:rPr>
              <w:t> </w:t>
            </w:r>
            <w:r>
              <w:rPr>
                <w:sz w:val="20"/>
              </w:rPr>
              <w:t>Department</w:t>
            </w:r>
            <w:r>
              <w:rPr>
                <w:spacing w:val="-7"/>
                <w:sz w:val="20"/>
              </w:rPr>
              <w:t> </w:t>
            </w:r>
            <w:r>
              <w:rPr>
                <w:sz w:val="20"/>
              </w:rPr>
              <w:t>General Administrative Regulations in 34 CFR Part 80.</w:t>
            </w:r>
          </w:p>
          <w:p>
            <w:pPr>
              <w:pStyle w:val="TableParagraph"/>
              <w:spacing w:before="121"/>
              <w:ind w:left="508"/>
              <w:rPr>
                <w:sz w:val="20"/>
              </w:rPr>
            </w:pPr>
            <w:r>
              <w:rPr>
                <w:sz w:val="20"/>
              </w:rPr>
              <w:t>(34</w:t>
            </w:r>
            <w:r>
              <w:rPr>
                <w:spacing w:val="-4"/>
                <w:sz w:val="20"/>
              </w:rPr>
              <w:t> </w:t>
            </w:r>
            <w:r>
              <w:rPr>
                <w:sz w:val="20"/>
              </w:rPr>
              <w:t>CFR</w:t>
            </w:r>
            <w:r>
              <w:rPr>
                <w:spacing w:val="-4"/>
                <w:sz w:val="20"/>
              </w:rPr>
              <w:t> </w:t>
            </w:r>
            <w:r>
              <w:rPr>
                <w:spacing w:val="-2"/>
                <w:sz w:val="20"/>
              </w:rPr>
              <w:t>§303.121)</w:t>
            </w:r>
          </w:p>
        </w:tc>
      </w:tr>
    </w:tbl>
    <w:p>
      <w:pPr>
        <w:pStyle w:val="TableParagraph"/>
        <w:spacing w:after="0"/>
        <w:rPr>
          <w:sz w:val="20"/>
        </w:rPr>
        <w:sectPr>
          <w:pgSz w:w="12240" w:h="15840"/>
          <w:pgMar w:header="0" w:footer="879" w:top="142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38"/>
        <w:gridCol w:w="1440"/>
        <w:gridCol w:w="6482"/>
      </w:tblGrid>
      <w:tr>
        <w:trPr>
          <w:trHeight w:val="410" w:hRule="atLeast"/>
        </w:trPr>
        <w:tc>
          <w:tcPr>
            <w:tcW w:w="1438" w:type="dxa"/>
            <w:tcBorders>
              <w:bottom w:val="nil"/>
              <w:right w:val="single" w:sz="6" w:space="0" w:color="000000"/>
            </w:tcBorders>
            <w:shd w:val="clear" w:color="auto" w:fill="F2F2F2"/>
          </w:tcPr>
          <w:p>
            <w:pPr>
              <w:pStyle w:val="TableParagraph"/>
              <w:spacing w:before="119"/>
              <w:ind w:left="153" w:right="134"/>
              <w:jc w:val="center"/>
              <w:rPr>
                <w:b/>
                <w:sz w:val="20"/>
              </w:rPr>
            </w:pPr>
            <w:r>
              <w:rPr>
                <w:b/>
                <w:spacing w:val="-5"/>
                <w:sz w:val="20"/>
              </w:rPr>
              <w:t>Yes</w:t>
            </w:r>
          </w:p>
        </w:tc>
        <w:tc>
          <w:tcPr>
            <w:tcW w:w="1440" w:type="dxa"/>
            <w:tcBorders>
              <w:left w:val="single" w:sz="6" w:space="0" w:color="000000"/>
              <w:bottom w:val="nil"/>
              <w:right w:val="single" w:sz="6" w:space="0" w:color="000000"/>
            </w:tcBorders>
            <w:shd w:val="clear" w:color="auto" w:fill="F2F2F2"/>
          </w:tcPr>
          <w:p>
            <w:pPr>
              <w:pStyle w:val="TableParagraph"/>
              <w:spacing w:before="119"/>
              <w:ind w:left="116" w:right="79"/>
              <w:jc w:val="center"/>
              <w:rPr>
                <w:b/>
                <w:sz w:val="20"/>
              </w:rPr>
            </w:pPr>
            <w:r>
              <w:rPr>
                <w:b/>
                <w:spacing w:val="-5"/>
                <w:sz w:val="20"/>
              </w:rPr>
              <w:t>No</w:t>
            </w:r>
          </w:p>
        </w:tc>
        <w:tc>
          <w:tcPr>
            <w:tcW w:w="6482" w:type="dxa"/>
            <w:tcBorders>
              <w:left w:val="single" w:sz="6" w:space="0" w:color="000000"/>
              <w:bottom w:val="nil"/>
            </w:tcBorders>
            <w:shd w:val="clear" w:color="auto" w:fill="F2F2F2"/>
          </w:tcPr>
          <w:p>
            <w:pPr>
              <w:pStyle w:val="TableParagraph"/>
              <w:spacing w:before="119"/>
              <w:ind w:left="44" w:right="1"/>
              <w:jc w:val="center"/>
              <w:rPr>
                <w:b/>
                <w:sz w:val="20"/>
              </w:rPr>
            </w:pPr>
            <w:r>
              <w:rPr>
                <w:b/>
                <w:spacing w:val="-2"/>
                <w:sz w:val="20"/>
              </w:rPr>
              <w:t>Subpart</w:t>
            </w:r>
            <w:r>
              <w:rPr>
                <w:b/>
                <w:spacing w:val="4"/>
                <w:sz w:val="20"/>
              </w:rPr>
              <w:t> </w:t>
            </w:r>
            <w:r>
              <w:rPr>
                <w:b/>
                <w:spacing w:val="-2"/>
                <w:sz w:val="20"/>
              </w:rPr>
              <w:t>B—Assurances</w:t>
            </w:r>
          </w:p>
        </w:tc>
      </w:tr>
      <w:tr>
        <w:trPr>
          <w:trHeight w:val="1778" w:hRule="atLeast"/>
        </w:trPr>
        <w:tc>
          <w:tcPr>
            <w:tcW w:w="1438" w:type="dxa"/>
            <w:tcBorders>
              <w:top w:val="nil"/>
              <w:bottom w:val="nil"/>
              <w:right w:val="single" w:sz="6" w:space="0" w:color="000000"/>
            </w:tcBorders>
            <w:shd w:val="clear" w:color="auto" w:fill="F2F2F2"/>
          </w:tcPr>
          <w:p>
            <w:pPr>
              <w:pStyle w:val="TableParagraph"/>
              <w:spacing w:before="58"/>
              <w:ind w:left="153" w:right="133"/>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6" w:space="0" w:color="000000"/>
              <w:bottom w:val="nil"/>
              <w:right w:val="single" w:sz="6" w:space="0" w:color="000000"/>
            </w:tcBorders>
            <w:shd w:val="clear" w:color="auto" w:fill="F2F2F2"/>
          </w:tcPr>
          <w:p>
            <w:pPr>
              <w:pStyle w:val="TableParagraph"/>
              <w:spacing w:before="58"/>
              <w:ind w:left="116" w:right="78"/>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35" w:right="95" w:hanging="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2" w:type="dxa"/>
            <w:tcBorders>
              <w:top w:val="nil"/>
              <w:left w:val="single" w:sz="6" w:space="0" w:color="000000"/>
              <w:bottom w:val="nil"/>
            </w:tcBorders>
            <w:shd w:val="clear" w:color="auto" w:fill="F2F2F2"/>
          </w:tcPr>
          <w:p>
            <w:pPr>
              <w:pStyle w:val="TableParagraph"/>
              <w:spacing w:before="67"/>
              <w:ind w:left="44"/>
              <w:jc w:val="center"/>
              <w:rPr>
                <w:sz w:val="16"/>
              </w:rPr>
            </w:pPr>
            <w:r>
              <w:rPr>
                <w:sz w:val="16"/>
              </w:rPr>
              <w:t>(20</w:t>
            </w:r>
            <w:r>
              <w:rPr>
                <w:spacing w:val="-5"/>
                <w:sz w:val="16"/>
              </w:rPr>
              <w:t> </w:t>
            </w:r>
            <w:r>
              <w:rPr>
                <w:sz w:val="16"/>
              </w:rPr>
              <w:t>U.S.C.</w:t>
            </w:r>
            <w:r>
              <w:rPr>
                <w:spacing w:val="-4"/>
                <w:sz w:val="16"/>
              </w:rPr>
              <w:t> </w:t>
            </w:r>
            <w:r>
              <w:rPr>
                <w:sz w:val="16"/>
              </w:rPr>
              <w:t>1434;</w:t>
            </w:r>
            <w:r>
              <w:rPr>
                <w:spacing w:val="-5"/>
                <w:sz w:val="16"/>
              </w:rPr>
              <w:t> </w:t>
            </w:r>
            <w:r>
              <w:rPr>
                <w:sz w:val="16"/>
              </w:rPr>
              <w:t>1435;</w:t>
            </w:r>
            <w:r>
              <w:rPr>
                <w:spacing w:val="-4"/>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4"/>
                <w:sz w:val="16"/>
              </w:rPr>
              <w:t> </w:t>
            </w:r>
            <w:r>
              <w:rPr>
                <w:sz w:val="16"/>
              </w:rPr>
              <w:t>303.220;</w:t>
            </w:r>
            <w:r>
              <w:rPr>
                <w:spacing w:val="-5"/>
                <w:sz w:val="16"/>
              </w:rPr>
              <w:t> </w:t>
            </w:r>
            <w:r>
              <w:rPr>
                <w:spacing w:val="-2"/>
                <w:sz w:val="16"/>
              </w:rPr>
              <w:t>303.227)</w:t>
            </w:r>
          </w:p>
        </w:tc>
      </w:tr>
      <w:tr>
        <w:trPr>
          <w:trHeight w:val="728" w:hRule="atLeast"/>
        </w:trPr>
        <w:tc>
          <w:tcPr>
            <w:tcW w:w="1438" w:type="dxa"/>
            <w:tcBorders>
              <w:top w:val="nil"/>
              <w:right w:val="single" w:sz="6" w:space="0" w:color="000000"/>
            </w:tcBorders>
            <w:shd w:val="clear" w:color="auto" w:fill="F2F2F2"/>
          </w:tcPr>
          <w:p>
            <w:pPr>
              <w:pStyle w:val="TableParagraph"/>
              <w:rPr>
                <w:rFonts w:ascii="Times New Roman"/>
                <w:sz w:val="18"/>
              </w:rPr>
            </w:pPr>
          </w:p>
        </w:tc>
        <w:tc>
          <w:tcPr>
            <w:tcW w:w="1440" w:type="dxa"/>
            <w:tcBorders>
              <w:top w:val="nil"/>
              <w:left w:val="single" w:sz="6" w:space="0" w:color="000000"/>
              <w:right w:val="single" w:sz="6" w:space="0" w:color="000000"/>
            </w:tcBorders>
            <w:shd w:val="clear" w:color="auto" w:fill="F2F2F2"/>
          </w:tcPr>
          <w:p>
            <w:pPr>
              <w:pStyle w:val="TableParagraph"/>
              <w:spacing w:before="56"/>
              <w:ind w:left="371" w:hanging="227"/>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2" w:type="dxa"/>
            <w:tcBorders>
              <w:top w:val="nil"/>
              <w:left w:val="single" w:sz="6" w:space="0" w:color="000000"/>
            </w:tcBorders>
            <w:shd w:val="clear" w:color="auto" w:fill="F2F2F2"/>
          </w:tcPr>
          <w:p>
            <w:pPr>
              <w:pStyle w:val="TableParagraph"/>
              <w:rPr>
                <w:rFonts w:ascii="Times New Roman"/>
                <w:sz w:val="18"/>
              </w:rPr>
            </w:pPr>
          </w:p>
        </w:tc>
      </w:tr>
      <w:tr>
        <w:trPr>
          <w:trHeight w:val="915" w:hRule="atLeast"/>
        </w:trPr>
        <w:tc>
          <w:tcPr>
            <w:tcW w:w="1438" w:type="dxa"/>
            <w:tcBorders>
              <w:bottom w:val="single" w:sz="6" w:space="0" w:color="000000"/>
              <w:right w:val="single" w:sz="6" w:space="0" w:color="000000"/>
            </w:tcBorders>
          </w:tcPr>
          <w:p>
            <w:pPr>
              <w:pStyle w:val="TableParagraph"/>
              <w:spacing w:before="105"/>
              <w:rPr>
                <w:sz w:val="20"/>
              </w:rPr>
            </w:pPr>
          </w:p>
          <w:p>
            <w:pPr>
              <w:pStyle w:val="TableParagraph"/>
              <w:ind w:left="153" w:right="134"/>
              <w:jc w:val="center"/>
              <w:rPr>
                <w:sz w:val="20"/>
              </w:rPr>
            </w:pPr>
            <w:r>
              <w:rPr>
                <w:spacing w:val="-10"/>
                <w:sz w:val="20"/>
              </w:rPr>
              <w:t>X</w:t>
            </w: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82" w:type="dxa"/>
            <w:tcBorders>
              <w:left w:val="single" w:sz="6" w:space="0" w:color="000000"/>
              <w:bottom w:val="single" w:sz="6" w:space="0" w:color="000000"/>
            </w:tcBorders>
          </w:tcPr>
          <w:p>
            <w:pPr>
              <w:pStyle w:val="TableParagraph"/>
              <w:spacing w:before="104"/>
              <w:ind w:left="508" w:hanging="389"/>
              <w:rPr>
                <w:sz w:val="20"/>
              </w:rPr>
            </w:pPr>
            <w:r>
              <w:rPr>
                <w:sz w:val="20"/>
              </w:rPr>
              <w:t>15.</w:t>
            </w:r>
            <w:r>
              <w:rPr>
                <w:spacing w:val="40"/>
                <w:sz w:val="20"/>
              </w:rPr>
              <w:t> </w:t>
            </w:r>
            <w:r>
              <w:rPr>
                <w:sz w:val="20"/>
              </w:rPr>
              <w:t>The</w:t>
            </w:r>
            <w:r>
              <w:rPr>
                <w:spacing w:val="-1"/>
                <w:sz w:val="20"/>
              </w:rPr>
              <w:t> </w:t>
            </w:r>
            <w:r>
              <w:rPr>
                <w:sz w:val="20"/>
              </w:rPr>
              <w:t>Statewide</w:t>
            </w:r>
            <w:r>
              <w:rPr>
                <w:spacing w:val="-1"/>
                <w:sz w:val="20"/>
              </w:rPr>
              <w:t> </w:t>
            </w:r>
            <w:r>
              <w:rPr>
                <w:sz w:val="20"/>
              </w:rPr>
              <w:t>system</w:t>
            </w:r>
            <w:r>
              <w:rPr>
                <w:spacing w:val="-2"/>
                <w:sz w:val="20"/>
              </w:rPr>
              <w:t> </w:t>
            </w:r>
            <w:r>
              <w:rPr>
                <w:sz w:val="20"/>
              </w:rPr>
              <w:t>includes</w:t>
            </w:r>
            <w:r>
              <w:rPr>
                <w:spacing w:val="-1"/>
                <w:sz w:val="20"/>
              </w:rPr>
              <w:t> </w:t>
            </w:r>
            <w:r>
              <w:rPr>
                <w:sz w:val="20"/>
              </w:rPr>
              <w:t>procedures</w:t>
            </w:r>
            <w:r>
              <w:rPr>
                <w:spacing w:val="-1"/>
                <w:sz w:val="20"/>
              </w:rPr>
              <w:t> </w:t>
            </w:r>
            <w:r>
              <w:rPr>
                <w:sz w:val="20"/>
              </w:rPr>
              <w:t>for</w:t>
            </w:r>
            <w:r>
              <w:rPr>
                <w:spacing w:val="-1"/>
                <w:sz w:val="20"/>
              </w:rPr>
              <w:t> </w:t>
            </w:r>
            <w:r>
              <w:rPr>
                <w:sz w:val="20"/>
              </w:rPr>
              <w:t>securing</w:t>
            </w:r>
            <w:r>
              <w:rPr>
                <w:spacing w:val="-1"/>
                <w:sz w:val="20"/>
              </w:rPr>
              <w:t> </w:t>
            </w:r>
            <w:r>
              <w:rPr>
                <w:sz w:val="20"/>
              </w:rPr>
              <w:t>the</w:t>
            </w:r>
            <w:r>
              <w:rPr>
                <w:spacing w:val="-1"/>
                <w:sz w:val="20"/>
              </w:rPr>
              <w:t> </w:t>
            </w:r>
            <w:r>
              <w:rPr>
                <w:sz w:val="20"/>
              </w:rPr>
              <w:t>timely reimbursement of funds used under Part C of the</w:t>
            </w:r>
            <w:r>
              <w:rPr>
                <w:spacing w:val="-9"/>
                <w:sz w:val="20"/>
              </w:rPr>
              <w:t> </w:t>
            </w:r>
            <w:r>
              <w:rPr>
                <w:sz w:val="20"/>
              </w:rPr>
              <w:t>Act, in</w:t>
            </w:r>
            <w:r>
              <w:rPr>
                <w:sz w:val="20"/>
              </w:rPr>
              <w:t> accordance</w:t>
            </w:r>
            <w:r>
              <w:rPr>
                <w:spacing w:val="-14"/>
                <w:sz w:val="20"/>
              </w:rPr>
              <w:t> </w:t>
            </w:r>
            <w:r>
              <w:rPr>
                <w:sz w:val="20"/>
              </w:rPr>
              <w:t>with</w:t>
            </w:r>
            <w:r>
              <w:rPr>
                <w:spacing w:val="-14"/>
                <w:sz w:val="20"/>
              </w:rPr>
              <w:t> </w:t>
            </w:r>
            <w:r>
              <w:rPr>
                <w:sz w:val="20"/>
              </w:rPr>
              <w:t>subpart</w:t>
            </w:r>
            <w:r>
              <w:rPr>
                <w:spacing w:val="-14"/>
                <w:sz w:val="20"/>
              </w:rPr>
              <w:t> </w:t>
            </w:r>
            <w:r>
              <w:rPr>
                <w:sz w:val="20"/>
              </w:rPr>
              <w:t>F</w:t>
            </w:r>
            <w:r>
              <w:rPr>
                <w:spacing w:val="-14"/>
                <w:sz w:val="20"/>
              </w:rPr>
              <w:t> </w:t>
            </w:r>
            <w:r>
              <w:rPr>
                <w:sz w:val="20"/>
              </w:rPr>
              <w:t>of</w:t>
            </w:r>
            <w:r>
              <w:rPr>
                <w:spacing w:val="-14"/>
                <w:sz w:val="20"/>
              </w:rPr>
              <w:t> </w:t>
            </w:r>
            <w:r>
              <w:rPr>
                <w:sz w:val="20"/>
              </w:rPr>
              <w:t>34</w:t>
            </w:r>
            <w:r>
              <w:rPr>
                <w:spacing w:val="-14"/>
                <w:sz w:val="20"/>
              </w:rPr>
              <w:t> </w:t>
            </w:r>
            <w:r>
              <w:rPr>
                <w:sz w:val="20"/>
              </w:rPr>
              <w:t>CFR</w:t>
            </w:r>
            <w:r>
              <w:rPr>
                <w:spacing w:val="-14"/>
                <w:sz w:val="20"/>
              </w:rPr>
              <w:t> </w:t>
            </w:r>
            <w:r>
              <w:rPr>
                <w:sz w:val="20"/>
              </w:rPr>
              <w:t>Part</w:t>
            </w:r>
            <w:r>
              <w:rPr>
                <w:spacing w:val="-14"/>
                <w:sz w:val="20"/>
              </w:rPr>
              <w:t> </w:t>
            </w:r>
            <w:r>
              <w:rPr>
                <w:sz w:val="20"/>
              </w:rPr>
              <w:t>303.</w:t>
            </w:r>
            <w:r>
              <w:rPr>
                <w:spacing w:val="29"/>
                <w:sz w:val="20"/>
              </w:rPr>
              <w:t> </w:t>
            </w:r>
            <w:r>
              <w:rPr>
                <w:sz w:val="20"/>
              </w:rPr>
              <w:t>(34</w:t>
            </w:r>
            <w:r>
              <w:rPr>
                <w:spacing w:val="-14"/>
                <w:sz w:val="20"/>
              </w:rPr>
              <w:t> </w:t>
            </w:r>
            <w:r>
              <w:rPr>
                <w:sz w:val="20"/>
              </w:rPr>
              <w:t>CFR</w:t>
            </w:r>
            <w:r>
              <w:rPr>
                <w:spacing w:val="-14"/>
                <w:sz w:val="20"/>
              </w:rPr>
              <w:t> </w:t>
            </w:r>
            <w:r>
              <w:rPr>
                <w:sz w:val="20"/>
              </w:rPr>
              <w:t>§303.122)</w:t>
            </w:r>
          </w:p>
        </w:tc>
      </w:tr>
      <w:tr>
        <w:trPr>
          <w:trHeight w:val="930" w:hRule="atLeast"/>
        </w:trPr>
        <w:tc>
          <w:tcPr>
            <w:tcW w:w="1438" w:type="dxa"/>
            <w:tcBorders>
              <w:top w:val="single" w:sz="6" w:space="0" w:color="000000"/>
              <w:bottom w:val="single" w:sz="6" w:space="0" w:color="000000"/>
              <w:right w:val="single" w:sz="6" w:space="0" w:color="000000"/>
            </w:tcBorders>
          </w:tcPr>
          <w:p>
            <w:pPr>
              <w:pStyle w:val="TableParagraph"/>
              <w:spacing w:before="119"/>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spacing w:before="119"/>
              <w:ind w:left="508" w:right="374" w:hanging="389"/>
              <w:rPr>
                <w:sz w:val="20"/>
              </w:rPr>
            </w:pPr>
            <w:r>
              <w:rPr>
                <w:sz w:val="20"/>
              </w:rPr>
              <w:t>16.</w:t>
            </w:r>
            <w:r>
              <w:rPr>
                <w:spacing w:val="18"/>
                <w:sz w:val="20"/>
              </w:rPr>
              <w:t> </w:t>
            </w:r>
            <w:r>
              <w:rPr>
                <w:sz w:val="20"/>
              </w:rPr>
              <w:t>The</w:t>
            </w:r>
            <w:r>
              <w:rPr>
                <w:spacing w:val="-14"/>
                <w:sz w:val="20"/>
              </w:rPr>
              <w:t> </w:t>
            </w:r>
            <w:r>
              <w:rPr>
                <w:sz w:val="20"/>
              </w:rPr>
              <w:t>Statewide</w:t>
            </w:r>
            <w:r>
              <w:rPr>
                <w:spacing w:val="-14"/>
                <w:sz w:val="20"/>
              </w:rPr>
              <w:t> </w:t>
            </w:r>
            <w:r>
              <w:rPr>
                <w:sz w:val="20"/>
              </w:rPr>
              <w:t>system</w:t>
            </w:r>
            <w:r>
              <w:rPr>
                <w:spacing w:val="-14"/>
                <w:sz w:val="20"/>
              </w:rPr>
              <w:t> </w:t>
            </w:r>
            <w:r>
              <w:rPr>
                <w:sz w:val="20"/>
              </w:rPr>
              <w:t>includes</w:t>
            </w:r>
            <w:r>
              <w:rPr>
                <w:spacing w:val="-14"/>
                <w:sz w:val="20"/>
              </w:rPr>
              <w:t> </w:t>
            </w:r>
            <w:r>
              <w:rPr>
                <w:sz w:val="20"/>
              </w:rPr>
              <w:t>procedural</w:t>
            </w:r>
            <w:r>
              <w:rPr>
                <w:spacing w:val="-14"/>
                <w:sz w:val="20"/>
              </w:rPr>
              <w:t> </w:t>
            </w:r>
            <w:r>
              <w:rPr>
                <w:sz w:val="20"/>
              </w:rPr>
              <w:t>safeguards</w:t>
            </w:r>
            <w:r>
              <w:rPr>
                <w:spacing w:val="-14"/>
                <w:sz w:val="20"/>
              </w:rPr>
              <w:t> </w:t>
            </w:r>
            <w:r>
              <w:rPr>
                <w:sz w:val="20"/>
              </w:rPr>
              <w:t>that</w:t>
            </w:r>
            <w:r>
              <w:rPr>
                <w:spacing w:val="-13"/>
                <w:sz w:val="20"/>
              </w:rPr>
              <w:t> </w:t>
            </w:r>
            <w:r>
              <w:rPr>
                <w:sz w:val="20"/>
              </w:rPr>
              <w:t>meet the requirements of subpart E of 34 CFR Part 303.</w:t>
            </w:r>
          </w:p>
          <w:p>
            <w:pPr>
              <w:pStyle w:val="TableParagraph"/>
              <w:spacing w:before="1"/>
              <w:ind w:left="508"/>
              <w:rPr>
                <w:sz w:val="20"/>
              </w:rPr>
            </w:pPr>
            <w:r>
              <w:rPr>
                <w:sz w:val="20"/>
              </w:rPr>
              <w:t>(34</w:t>
            </w:r>
            <w:r>
              <w:rPr>
                <w:spacing w:val="-12"/>
                <w:sz w:val="20"/>
              </w:rPr>
              <w:t> </w:t>
            </w:r>
            <w:r>
              <w:rPr>
                <w:sz w:val="20"/>
              </w:rPr>
              <w:t>CFR</w:t>
            </w:r>
            <w:r>
              <w:rPr>
                <w:spacing w:val="-12"/>
                <w:sz w:val="20"/>
              </w:rPr>
              <w:t> </w:t>
            </w:r>
            <w:r>
              <w:rPr>
                <w:spacing w:val="-2"/>
                <w:sz w:val="20"/>
              </w:rPr>
              <w:t>§303.123)</w:t>
            </w:r>
          </w:p>
        </w:tc>
      </w:tr>
      <w:tr>
        <w:trPr>
          <w:trHeight w:val="2768"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1"/>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spacing w:before="119"/>
              <w:ind w:left="508" w:right="124" w:hanging="389"/>
              <w:rPr>
                <w:sz w:val="20"/>
              </w:rPr>
            </w:pPr>
            <w:r>
              <w:rPr>
                <w:sz w:val="20"/>
              </w:rPr>
              <w:t>17.</w:t>
            </w:r>
            <w:r>
              <w:rPr>
                <w:spacing w:val="40"/>
                <w:sz w:val="20"/>
              </w:rPr>
              <w:t> </w:t>
            </w:r>
            <w:r>
              <w:rPr>
                <w:sz w:val="20"/>
              </w:rPr>
              <w:t>The Statewide system includes a system for compiling and reporting</w:t>
            </w:r>
            <w:r>
              <w:rPr>
                <w:spacing w:val="-1"/>
                <w:sz w:val="20"/>
              </w:rPr>
              <w:t> </w:t>
            </w:r>
            <w:r>
              <w:rPr>
                <w:sz w:val="20"/>
              </w:rPr>
              <w:t>timely</w:t>
            </w:r>
            <w:r>
              <w:rPr>
                <w:spacing w:val="-1"/>
                <w:sz w:val="20"/>
              </w:rPr>
              <w:t> </w:t>
            </w:r>
            <w:r>
              <w:rPr>
                <w:sz w:val="20"/>
              </w:rPr>
              <w:t>and</w:t>
            </w:r>
            <w:r>
              <w:rPr>
                <w:spacing w:val="-1"/>
                <w:sz w:val="20"/>
              </w:rPr>
              <w:t> </w:t>
            </w:r>
            <w:r>
              <w:rPr>
                <w:sz w:val="20"/>
              </w:rPr>
              <w:t>accurate</w:t>
            </w:r>
            <w:r>
              <w:rPr>
                <w:spacing w:val="-1"/>
                <w:sz w:val="20"/>
              </w:rPr>
              <w:t> </w:t>
            </w:r>
            <w:r>
              <w:rPr>
                <w:sz w:val="20"/>
              </w:rPr>
              <w:t>data</w:t>
            </w:r>
            <w:r>
              <w:rPr>
                <w:spacing w:val="-1"/>
                <w:sz w:val="20"/>
              </w:rPr>
              <w:t> </w:t>
            </w:r>
            <w:r>
              <w:rPr>
                <w:sz w:val="20"/>
              </w:rPr>
              <w:t>that</w:t>
            </w:r>
            <w:r>
              <w:rPr>
                <w:spacing w:val="-1"/>
                <w:sz w:val="20"/>
              </w:rPr>
              <w:t> </w:t>
            </w:r>
            <w:r>
              <w:rPr>
                <w:sz w:val="20"/>
              </w:rPr>
              <w:t>meets</w:t>
            </w:r>
            <w:r>
              <w:rPr>
                <w:spacing w:val="-1"/>
                <w:sz w:val="20"/>
              </w:rPr>
              <w:t> </w:t>
            </w:r>
            <w:r>
              <w:rPr>
                <w:sz w:val="20"/>
              </w:rPr>
              <w:t>the</w:t>
            </w:r>
            <w:r>
              <w:rPr>
                <w:spacing w:val="-1"/>
                <w:sz w:val="20"/>
              </w:rPr>
              <w:t> </w:t>
            </w:r>
            <w:r>
              <w:rPr>
                <w:sz w:val="20"/>
              </w:rPr>
              <w:t>requirements</w:t>
            </w:r>
            <w:r>
              <w:rPr>
                <w:spacing w:val="-1"/>
                <w:sz w:val="20"/>
              </w:rPr>
              <w:t> </w:t>
            </w:r>
            <w:r>
              <w:rPr>
                <w:sz w:val="20"/>
              </w:rPr>
              <w:t>of 34 CFR §§303.700 through 303.702 and 303.720 through 303.724 and the following requirements.</w:t>
            </w:r>
            <w:r>
              <w:rPr>
                <w:spacing w:val="40"/>
                <w:sz w:val="20"/>
              </w:rPr>
              <w:t> </w:t>
            </w:r>
            <w:r>
              <w:rPr>
                <w:sz w:val="20"/>
              </w:rPr>
              <w:t>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w:t>
            </w:r>
            <w:r>
              <w:rPr>
                <w:spacing w:val="-4"/>
                <w:sz w:val="20"/>
              </w:rPr>
              <w:t> </w:t>
            </w:r>
            <w:r>
              <w:rPr>
                <w:sz w:val="20"/>
              </w:rPr>
              <w:t>and</w:t>
            </w:r>
            <w:r>
              <w:rPr>
                <w:spacing w:val="-4"/>
                <w:sz w:val="20"/>
              </w:rPr>
              <w:t> </w:t>
            </w:r>
            <w:r>
              <w:rPr>
                <w:sz w:val="20"/>
              </w:rPr>
              <w:t>618</w:t>
            </w:r>
            <w:r>
              <w:rPr>
                <w:spacing w:val="-4"/>
                <w:sz w:val="20"/>
              </w:rPr>
              <w:t> </w:t>
            </w:r>
            <w:r>
              <w:rPr>
                <w:sz w:val="20"/>
              </w:rPr>
              <w:t>of</w:t>
            </w:r>
            <w:r>
              <w:rPr>
                <w:spacing w:val="-4"/>
                <w:sz w:val="20"/>
              </w:rPr>
              <w:t> </w:t>
            </w:r>
            <w:r>
              <w:rPr>
                <w:sz w:val="20"/>
              </w:rPr>
              <w:t>the</w:t>
            </w:r>
            <w:r>
              <w:rPr>
                <w:spacing w:val="-4"/>
                <w:sz w:val="20"/>
              </w:rPr>
              <w:t> </w:t>
            </w:r>
            <w:r>
              <w:rPr>
                <w:sz w:val="20"/>
              </w:rPr>
              <w:t>IDEA</w:t>
            </w:r>
            <w:r>
              <w:rPr>
                <w:spacing w:val="-14"/>
                <w:sz w:val="20"/>
              </w:rPr>
              <w:t> </w:t>
            </w:r>
            <w:r>
              <w:rPr>
                <w:sz w:val="20"/>
              </w:rPr>
              <w:t>and</w:t>
            </w:r>
            <w:r>
              <w:rPr>
                <w:spacing w:val="-4"/>
                <w:sz w:val="20"/>
              </w:rPr>
              <w:t> </w:t>
            </w:r>
            <w:r>
              <w:rPr>
                <w:sz w:val="20"/>
              </w:rPr>
              <w:t>34</w:t>
            </w:r>
            <w:r>
              <w:rPr>
                <w:spacing w:val="-4"/>
                <w:sz w:val="20"/>
              </w:rPr>
              <w:t> </w:t>
            </w:r>
            <w:r>
              <w:rPr>
                <w:sz w:val="20"/>
              </w:rPr>
              <w:t>CFR</w:t>
            </w:r>
            <w:r>
              <w:rPr>
                <w:spacing w:val="-5"/>
                <w:sz w:val="20"/>
              </w:rPr>
              <w:t> </w:t>
            </w:r>
            <w:r>
              <w:rPr>
                <w:sz w:val="20"/>
              </w:rPr>
              <w:t>§§303.700</w:t>
            </w:r>
            <w:r>
              <w:rPr>
                <w:spacing w:val="-4"/>
                <w:sz w:val="20"/>
              </w:rPr>
              <w:t> </w:t>
            </w:r>
            <w:r>
              <w:rPr>
                <w:sz w:val="20"/>
              </w:rPr>
              <w:t>through</w:t>
            </w:r>
            <w:r>
              <w:rPr>
                <w:spacing w:val="-4"/>
                <w:sz w:val="20"/>
              </w:rPr>
              <w:t> </w:t>
            </w:r>
            <w:r>
              <w:rPr>
                <w:sz w:val="20"/>
              </w:rPr>
              <w:t>303.707</w:t>
            </w:r>
          </w:p>
          <w:p>
            <w:pPr>
              <w:pStyle w:val="TableParagraph"/>
              <w:spacing w:line="229" w:lineRule="exact"/>
              <w:ind w:left="508"/>
              <w:rPr>
                <w:sz w:val="20"/>
              </w:rPr>
            </w:pPr>
            <w:r>
              <w:rPr>
                <w:sz w:val="20"/>
              </w:rPr>
              <w:t>and</w:t>
            </w:r>
            <w:r>
              <w:rPr>
                <w:spacing w:val="-5"/>
                <w:sz w:val="20"/>
              </w:rPr>
              <w:t> </w:t>
            </w:r>
            <w:r>
              <w:rPr>
                <w:sz w:val="20"/>
              </w:rPr>
              <w:t>303.720</w:t>
            </w:r>
            <w:r>
              <w:rPr>
                <w:spacing w:val="-5"/>
                <w:sz w:val="20"/>
              </w:rPr>
              <w:t> </w:t>
            </w:r>
            <w:r>
              <w:rPr>
                <w:sz w:val="20"/>
              </w:rPr>
              <w:t>through</w:t>
            </w:r>
            <w:r>
              <w:rPr>
                <w:spacing w:val="-5"/>
                <w:sz w:val="20"/>
              </w:rPr>
              <w:t> </w:t>
            </w:r>
            <w:r>
              <w:rPr>
                <w:sz w:val="20"/>
              </w:rPr>
              <w:t>303.724.</w:t>
            </w:r>
            <w:r>
              <w:rPr>
                <w:spacing w:val="47"/>
                <w:sz w:val="20"/>
              </w:rPr>
              <w:t> </w:t>
            </w:r>
            <w:r>
              <w:rPr>
                <w:sz w:val="20"/>
              </w:rPr>
              <w:t>(34</w:t>
            </w:r>
            <w:r>
              <w:rPr>
                <w:spacing w:val="-6"/>
                <w:sz w:val="20"/>
              </w:rPr>
              <w:t> </w:t>
            </w:r>
            <w:r>
              <w:rPr>
                <w:sz w:val="20"/>
              </w:rPr>
              <w:t>CFR</w:t>
            </w:r>
            <w:r>
              <w:rPr>
                <w:spacing w:val="-5"/>
                <w:sz w:val="20"/>
              </w:rPr>
              <w:t> </w:t>
            </w:r>
            <w:r>
              <w:rPr>
                <w:spacing w:val="-2"/>
                <w:sz w:val="20"/>
              </w:rPr>
              <w:t>§303.124)</w:t>
            </w:r>
          </w:p>
        </w:tc>
      </w:tr>
      <w:tr>
        <w:trPr>
          <w:trHeight w:val="930" w:hRule="atLeast"/>
        </w:trPr>
        <w:tc>
          <w:tcPr>
            <w:tcW w:w="1438" w:type="dxa"/>
            <w:tcBorders>
              <w:top w:val="single" w:sz="6" w:space="0" w:color="000000"/>
              <w:bottom w:val="single" w:sz="6" w:space="0" w:color="000000"/>
              <w:right w:val="single" w:sz="6" w:space="0" w:color="000000"/>
            </w:tcBorders>
          </w:tcPr>
          <w:p>
            <w:pPr>
              <w:pStyle w:val="TableParagraph"/>
              <w:spacing w:before="119"/>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spacing w:before="119"/>
              <w:ind w:left="508" w:right="210" w:hanging="389"/>
              <w:jc w:val="both"/>
              <w:rPr>
                <w:sz w:val="20"/>
              </w:rPr>
            </w:pPr>
            <w:r>
              <w:rPr>
                <w:sz w:val="20"/>
              </w:rPr>
              <w:t>18.</w:t>
            </w:r>
            <w:r>
              <w:rPr>
                <w:spacing w:val="40"/>
                <w:sz w:val="20"/>
              </w:rPr>
              <w:t> </w:t>
            </w:r>
            <w:r>
              <w:rPr>
                <w:sz w:val="20"/>
              </w:rPr>
              <w:t>The</w:t>
            </w:r>
            <w:r>
              <w:rPr>
                <w:spacing w:val="-4"/>
                <w:sz w:val="20"/>
              </w:rPr>
              <w:t> </w:t>
            </w:r>
            <w:r>
              <w:rPr>
                <w:sz w:val="20"/>
              </w:rPr>
              <w:t>Statewide</w:t>
            </w:r>
            <w:r>
              <w:rPr>
                <w:spacing w:val="-4"/>
                <w:sz w:val="20"/>
              </w:rPr>
              <w:t> </w:t>
            </w:r>
            <w:r>
              <w:rPr>
                <w:sz w:val="20"/>
              </w:rPr>
              <w:t>system</w:t>
            </w:r>
            <w:r>
              <w:rPr>
                <w:spacing w:val="-5"/>
                <w:sz w:val="20"/>
              </w:rPr>
              <w:t> </w:t>
            </w:r>
            <w:r>
              <w:rPr>
                <w:sz w:val="20"/>
              </w:rPr>
              <w:t>includes</w:t>
            </w:r>
            <w:r>
              <w:rPr>
                <w:spacing w:val="-4"/>
                <w:sz w:val="20"/>
              </w:rPr>
              <w:t> </w:t>
            </w:r>
            <w:r>
              <w:rPr>
                <w:sz w:val="20"/>
              </w:rPr>
              <w:t>a</w:t>
            </w:r>
            <w:r>
              <w:rPr>
                <w:spacing w:val="-4"/>
                <w:sz w:val="20"/>
              </w:rPr>
              <w:t> </w:t>
            </w:r>
            <w:r>
              <w:rPr>
                <w:sz w:val="20"/>
              </w:rPr>
              <w:t>State</w:t>
            </w:r>
            <w:r>
              <w:rPr>
                <w:spacing w:val="-4"/>
                <w:sz w:val="20"/>
              </w:rPr>
              <w:t> </w:t>
            </w:r>
            <w:r>
              <w:rPr>
                <w:sz w:val="20"/>
              </w:rPr>
              <w:t>Interagency</w:t>
            </w:r>
            <w:r>
              <w:rPr>
                <w:spacing w:val="-4"/>
                <w:sz w:val="20"/>
              </w:rPr>
              <w:t> </w:t>
            </w:r>
            <w:r>
              <w:rPr>
                <w:sz w:val="20"/>
              </w:rPr>
              <w:t>Coordinating Council</w:t>
            </w:r>
            <w:r>
              <w:rPr>
                <w:spacing w:val="-3"/>
                <w:sz w:val="20"/>
              </w:rPr>
              <w:t> </w:t>
            </w:r>
            <w:r>
              <w:rPr>
                <w:sz w:val="20"/>
              </w:rPr>
              <w:t>(Council)</w:t>
            </w:r>
            <w:r>
              <w:rPr>
                <w:spacing w:val="-3"/>
                <w:sz w:val="20"/>
              </w:rPr>
              <w:t> </w:t>
            </w:r>
            <w:r>
              <w:rPr>
                <w:sz w:val="20"/>
              </w:rPr>
              <w:t>that</w:t>
            </w:r>
            <w:r>
              <w:rPr>
                <w:spacing w:val="-3"/>
                <w:sz w:val="20"/>
              </w:rPr>
              <w:t> </w:t>
            </w:r>
            <w:r>
              <w:rPr>
                <w:sz w:val="20"/>
              </w:rPr>
              <w:t>meets</w:t>
            </w:r>
            <w:r>
              <w:rPr>
                <w:spacing w:val="-3"/>
                <w:sz w:val="20"/>
              </w:rPr>
              <w:t> </w:t>
            </w:r>
            <w:r>
              <w:rPr>
                <w:sz w:val="20"/>
              </w:rPr>
              <w:t>the</w:t>
            </w:r>
            <w:r>
              <w:rPr>
                <w:spacing w:val="-3"/>
                <w:sz w:val="20"/>
              </w:rPr>
              <w:t> </w:t>
            </w:r>
            <w:r>
              <w:rPr>
                <w:sz w:val="20"/>
              </w:rPr>
              <w:t>requirements</w:t>
            </w:r>
            <w:r>
              <w:rPr>
                <w:spacing w:val="-3"/>
                <w:sz w:val="20"/>
              </w:rPr>
              <w:t> </w:t>
            </w:r>
            <w:r>
              <w:rPr>
                <w:sz w:val="20"/>
              </w:rPr>
              <w:t>of</w:t>
            </w:r>
            <w:r>
              <w:rPr>
                <w:spacing w:val="-3"/>
                <w:sz w:val="20"/>
              </w:rPr>
              <w:t> </w:t>
            </w:r>
            <w:r>
              <w:rPr>
                <w:sz w:val="20"/>
              </w:rPr>
              <w:t>subpart</w:t>
            </w:r>
            <w:r>
              <w:rPr>
                <w:spacing w:val="-3"/>
                <w:sz w:val="20"/>
              </w:rPr>
              <w:t> </w:t>
            </w:r>
            <w:r>
              <w:rPr>
                <w:sz w:val="20"/>
              </w:rPr>
              <w:t>G</w:t>
            </w:r>
            <w:r>
              <w:rPr>
                <w:spacing w:val="-4"/>
                <w:sz w:val="20"/>
              </w:rPr>
              <w:t> </w:t>
            </w:r>
            <w:r>
              <w:rPr>
                <w:sz w:val="20"/>
              </w:rPr>
              <w:t>of</w:t>
            </w:r>
            <w:r>
              <w:rPr>
                <w:spacing w:val="-3"/>
                <w:sz w:val="20"/>
              </w:rPr>
              <w:t> </w:t>
            </w:r>
            <w:r>
              <w:rPr>
                <w:sz w:val="20"/>
              </w:rPr>
              <w:t>34 CFR Part 303. (34 CFR §303.125)</w:t>
            </w:r>
          </w:p>
        </w:tc>
      </w:tr>
      <w:tr>
        <w:trPr>
          <w:trHeight w:val="2999"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numPr>
                <w:ilvl w:val="0"/>
                <w:numId w:val="24"/>
              </w:numPr>
              <w:tabs>
                <w:tab w:pos="508" w:val="left" w:leader="none"/>
              </w:tabs>
              <w:spacing w:line="240" w:lineRule="auto" w:before="119" w:after="0"/>
              <w:ind w:left="508" w:right="79" w:hanging="389"/>
              <w:jc w:val="left"/>
              <w:rPr>
                <w:sz w:val="20"/>
              </w:rPr>
            </w:pPr>
            <w:r>
              <w:rPr>
                <w:sz w:val="20"/>
              </w:rPr>
              <w:t>The</w:t>
            </w:r>
            <w:r>
              <w:rPr>
                <w:spacing w:val="-5"/>
                <w:sz w:val="20"/>
              </w:rPr>
              <w:t> </w:t>
            </w:r>
            <w:r>
              <w:rPr>
                <w:sz w:val="20"/>
              </w:rPr>
              <w:t>Statewide</w:t>
            </w:r>
            <w:r>
              <w:rPr>
                <w:spacing w:val="-5"/>
                <w:sz w:val="20"/>
              </w:rPr>
              <w:t> </w:t>
            </w:r>
            <w:r>
              <w:rPr>
                <w:sz w:val="20"/>
              </w:rPr>
              <w:t>system</w:t>
            </w:r>
            <w:r>
              <w:rPr>
                <w:spacing w:val="-6"/>
                <w:sz w:val="20"/>
              </w:rPr>
              <w:t> </w:t>
            </w:r>
            <w:r>
              <w:rPr>
                <w:sz w:val="20"/>
              </w:rPr>
              <w:t>includes</w:t>
            </w:r>
            <w:r>
              <w:rPr>
                <w:spacing w:val="-6"/>
                <w:sz w:val="20"/>
              </w:rPr>
              <w:t> </w:t>
            </w:r>
            <w:r>
              <w:rPr>
                <w:sz w:val="20"/>
              </w:rPr>
              <w:t>policies</w:t>
            </w:r>
            <w:r>
              <w:rPr>
                <w:spacing w:val="-5"/>
                <w:sz w:val="20"/>
              </w:rPr>
              <w:t> </w:t>
            </w:r>
            <w:r>
              <w:rPr>
                <w:sz w:val="20"/>
              </w:rPr>
              <w:t>and</w:t>
            </w:r>
            <w:r>
              <w:rPr>
                <w:spacing w:val="-5"/>
                <w:sz w:val="20"/>
              </w:rPr>
              <w:t> </w:t>
            </w:r>
            <w:r>
              <w:rPr>
                <w:sz w:val="20"/>
              </w:rPr>
              <w:t>procedures</w:t>
            </w:r>
            <w:r>
              <w:rPr>
                <w:spacing w:val="-5"/>
                <w:sz w:val="20"/>
              </w:rPr>
              <w:t> </w:t>
            </w:r>
            <w:r>
              <w:rPr>
                <w:sz w:val="20"/>
              </w:rPr>
              <w:t>to</w:t>
            </w:r>
            <w:r>
              <w:rPr>
                <w:spacing w:val="-5"/>
                <w:sz w:val="20"/>
              </w:rPr>
              <w:t> </w:t>
            </w:r>
            <w:r>
              <w:rPr>
                <w:sz w:val="20"/>
              </w:rPr>
              <w:t>ensure, consistent with 34 CFR §§303.13(a)(8) (early intervention services), 303.26 (natural environments), and 303.344(d)(1)(ii) (content of an IFSP), that early intervention services for infants and toddlers with disabilities are provided—</w:t>
            </w:r>
          </w:p>
          <w:p>
            <w:pPr>
              <w:pStyle w:val="TableParagraph"/>
              <w:numPr>
                <w:ilvl w:val="1"/>
                <w:numId w:val="24"/>
              </w:numPr>
              <w:tabs>
                <w:tab w:pos="1011" w:val="left" w:leader="none"/>
              </w:tabs>
              <w:spacing w:line="240" w:lineRule="auto" w:before="117" w:after="0"/>
              <w:ind w:left="1011" w:right="1375" w:hanging="500"/>
              <w:jc w:val="left"/>
              <w:rPr>
                <w:sz w:val="20"/>
              </w:rPr>
            </w:pPr>
            <w:r>
              <w:rPr>
                <w:sz w:val="20"/>
              </w:rPr>
              <w:t>To</w:t>
            </w:r>
            <w:r>
              <w:rPr>
                <w:spacing w:val="-10"/>
                <w:sz w:val="20"/>
              </w:rPr>
              <w:t> </w:t>
            </w:r>
            <w:r>
              <w:rPr>
                <w:sz w:val="20"/>
              </w:rPr>
              <w:t>the</w:t>
            </w:r>
            <w:r>
              <w:rPr>
                <w:spacing w:val="-10"/>
                <w:sz w:val="20"/>
              </w:rPr>
              <w:t> </w:t>
            </w:r>
            <w:r>
              <w:rPr>
                <w:sz w:val="20"/>
              </w:rPr>
              <w:t>maximum</w:t>
            </w:r>
            <w:r>
              <w:rPr>
                <w:spacing w:val="-11"/>
                <w:sz w:val="20"/>
              </w:rPr>
              <w:t> </w:t>
            </w:r>
            <w:r>
              <w:rPr>
                <w:sz w:val="20"/>
              </w:rPr>
              <w:t>extent</w:t>
            </w:r>
            <w:r>
              <w:rPr>
                <w:spacing w:val="-10"/>
                <w:sz w:val="20"/>
              </w:rPr>
              <w:t> </w:t>
            </w:r>
            <w:r>
              <w:rPr>
                <w:sz w:val="20"/>
              </w:rPr>
              <w:t>appropriate,</w:t>
            </w:r>
            <w:r>
              <w:rPr>
                <w:spacing w:val="-10"/>
                <w:sz w:val="20"/>
              </w:rPr>
              <w:t> </w:t>
            </w:r>
            <w:r>
              <w:rPr>
                <w:sz w:val="20"/>
              </w:rPr>
              <w:t>in</w:t>
            </w:r>
            <w:r>
              <w:rPr>
                <w:spacing w:val="-10"/>
                <w:sz w:val="20"/>
              </w:rPr>
              <w:t> </w:t>
            </w:r>
            <w:r>
              <w:rPr>
                <w:sz w:val="20"/>
              </w:rPr>
              <w:t>natural environments; and</w:t>
            </w:r>
          </w:p>
          <w:p>
            <w:pPr>
              <w:pStyle w:val="TableParagraph"/>
              <w:numPr>
                <w:ilvl w:val="1"/>
                <w:numId w:val="24"/>
              </w:numPr>
              <w:tabs>
                <w:tab w:pos="1012" w:val="left" w:leader="none"/>
              </w:tabs>
              <w:spacing w:line="240" w:lineRule="auto" w:before="1" w:after="0"/>
              <w:ind w:left="1012" w:right="197" w:hanging="504"/>
              <w:jc w:val="left"/>
              <w:rPr>
                <w:sz w:val="20"/>
              </w:rPr>
            </w:pPr>
            <w:r>
              <w:rPr>
                <w:sz w:val="20"/>
              </w:rPr>
              <w:t>In</w:t>
            </w:r>
            <w:r>
              <w:rPr>
                <w:spacing w:val="-5"/>
                <w:sz w:val="20"/>
              </w:rPr>
              <w:t> </w:t>
            </w:r>
            <w:r>
              <w:rPr>
                <w:sz w:val="20"/>
              </w:rPr>
              <w:t>settings</w:t>
            </w:r>
            <w:r>
              <w:rPr>
                <w:spacing w:val="-5"/>
                <w:sz w:val="20"/>
              </w:rPr>
              <w:t> </w:t>
            </w:r>
            <w:r>
              <w:rPr>
                <w:sz w:val="20"/>
              </w:rPr>
              <w:t>other</w:t>
            </w:r>
            <w:r>
              <w:rPr>
                <w:spacing w:val="-5"/>
                <w:sz w:val="20"/>
              </w:rPr>
              <w:t> </w:t>
            </w:r>
            <w:r>
              <w:rPr>
                <w:sz w:val="20"/>
              </w:rPr>
              <w:t>than</w:t>
            </w:r>
            <w:r>
              <w:rPr>
                <w:spacing w:val="-5"/>
                <w:sz w:val="20"/>
              </w:rPr>
              <w:t> </w:t>
            </w:r>
            <w:r>
              <w:rPr>
                <w:sz w:val="20"/>
              </w:rPr>
              <w:t>the</w:t>
            </w:r>
            <w:r>
              <w:rPr>
                <w:spacing w:val="-5"/>
                <w:sz w:val="20"/>
              </w:rPr>
              <w:t> </w:t>
            </w:r>
            <w:r>
              <w:rPr>
                <w:sz w:val="20"/>
              </w:rPr>
              <w:t>natural</w:t>
            </w:r>
            <w:r>
              <w:rPr>
                <w:spacing w:val="-4"/>
                <w:sz w:val="20"/>
              </w:rPr>
              <w:t> </w:t>
            </w:r>
            <w:r>
              <w:rPr>
                <w:sz w:val="20"/>
              </w:rPr>
              <w:t>environment</w:t>
            </w:r>
            <w:r>
              <w:rPr>
                <w:spacing w:val="-5"/>
                <w:sz w:val="20"/>
              </w:rPr>
              <w:t> </w:t>
            </w:r>
            <w:r>
              <w:rPr>
                <w:sz w:val="20"/>
              </w:rPr>
              <w:t>that</w:t>
            </w:r>
            <w:r>
              <w:rPr>
                <w:spacing w:val="-5"/>
                <w:sz w:val="20"/>
              </w:rPr>
              <w:t> </w:t>
            </w:r>
            <w:r>
              <w:rPr>
                <w:sz w:val="20"/>
              </w:rPr>
              <w:t>are</w:t>
            </w:r>
            <w:r>
              <w:rPr>
                <w:spacing w:val="-5"/>
                <w:sz w:val="20"/>
              </w:rPr>
              <w:t> </w:t>
            </w:r>
            <w:r>
              <w:rPr>
                <w:sz w:val="20"/>
              </w:rPr>
              <w:t>most appropriate, as determined by the parent and the IFSP Team, only when early intervention services cannot be achieved satisfactorily in a natural environment.</w:t>
            </w:r>
          </w:p>
          <w:p>
            <w:pPr>
              <w:pStyle w:val="TableParagraph"/>
              <w:spacing w:line="210" w:lineRule="exact" w:before="2"/>
              <w:ind w:left="508"/>
              <w:rPr>
                <w:sz w:val="20"/>
              </w:rPr>
            </w:pPr>
            <w:r>
              <w:rPr>
                <w:sz w:val="20"/>
              </w:rPr>
              <w:t>(34</w:t>
            </w:r>
            <w:r>
              <w:rPr>
                <w:spacing w:val="-4"/>
                <w:sz w:val="20"/>
              </w:rPr>
              <w:t> </w:t>
            </w:r>
            <w:r>
              <w:rPr>
                <w:sz w:val="20"/>
              </w:rPr>
              <w:t>CFR</w:t>
            </w:r>
            <w:r>
              <w:rPr>
                <w:spacing w:val="-4"/>
                <w:sz w:val="20"/>
              </w:rPr>
              <w:t> </w:t>
            </w:r>
            <w:r>
              <w:rPr>
                <w:spacing w:val="-2"/>
                <w:sz w:val="20"/>
              </w:rPr>
              <w:t>§303.126)</w:t>
            </w:r>
          </w:p>
        </w:tc>
      </w:tr>
      <w:tr>
        <w:trPr>
          <w:trHeight w:val="1160" w:hRule="atLeast"/>
        </w:trPr>
        <w:tc>
          <w:tcPr>
            <w:tcW w:w="1438" w:type="dxa"/>
            <w:tcBorders>
              <w:top w:val="single" w:sz="6" w:space="0" w:color="000000"/>
              <w:right w:val="single" w:sz="6" w:space="0" w:color="000000"/>
            </w:tcBorders>
          </w:tcPr>
          <w:p>
            <w:pPr>
              <w:pStyle w:val="TableParagraph"/>
              <w:rPr>
                <w:sz w:val="20"/>
              </w:rPr>
            </w:pPr>
          </w:p>
          <w:p>
            <w:pPr>
              <w:pStyle w:val="TableParagraph"/>
              <w:spacing w:before="4"/>
              <w:rPr>
                <w:sz w:val="20"/>
              </w:rPr>
            </w:pPr>
          </w:p>
          <w:p>
            <w:pPr>
              <w:pStyle w:val="TableParagraph"/>
              <w:spacing w:before="1"/>
              <w:ind w:left="153" w:right="134"/>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82" w:type="dxa"/>
            <w:tcBorders>
              <w:top w:val="single" w:sz="6" w:space="0" w:color="000000"/>
              <w:left w:val="single" w:sz="6" w:space="0" w:color="000000"/>
            </w:tcBorders>
          </w:tcPr>
          <w:p>
            <w:pPr>
              <w:pStyle w:val="TableParagraph"/>
              <w:spacing w:before="119"/>
              <w:ind w:left="508" w:right="134" w:hanging="389"/>
              <w:rPr>
                <w:sz w:val="20"/>
              </w:rPr>
            </w:pPr>
            <w:r>
              <w:rPr>
                <w:sz w:val="20"/>
              </w:rPr>
              <w:t>20.</w:t>
            </w:r>
            <w:r>
              <w:rPr>
                <w:spacing w:val="40"/>
                <w:sz w:val="20"/>
              </w:rPr>
              <w:t> </w:t>
            </w:r>
            <w:r>
              <w:rPr>
                <w:sz w:val="20"/>
              </w:rPr>
              <w:t>The</w:t>
            </w:r>
            <w:r>
              <w:rPr>
                <w:spacing w:val="-4"/>
                <w:sz w:val="20"/>
              </w:rPr>
              <w:t> </w:t>
            </w:r>
            <w:r>
              <w:rPr>
                <w:sz w:val="20"/>
              </w:rPr>
              <w:t>Statewide</w:t>
            </w:r>
            <w:r>
              <w:rPr>
                <w:spacing w:val="-4"/>
                <w:sz w:val="20"/>
              </w:rPr>
              <w:t> </w:t>
            </w:r>
            <w:r>
              <w:rPr>
                <w:sz w:val="20"/>
              </w:rPr>
              <w:t>system</w:t>
            </w:r>
            <w:r>
              <w:rPr>
                <w:spacing w:val="-5"/>
                <w:sz w:val="20"/>
              </w:rPr>
              <w:t> </w:t>
            </w:r>
            <w:r>
              <w:rPr>
                <w:sz w:val="20"/>
              </w:rPr>
              <w:t>ensures</w:t>
            </w:r>
            <w:r>
              <w:rPr>
                <w:spacing w:val="-4"/>
                <w:sz w:val="20"/>
              </w:rPr>
              <w:t> </w:t>
            </w:r>
            <w:r>
              <w:rPr>
                <w:sz w:val="20"/>
              </w:rPr>
              <w:t>that</w:t>
            </w:r>
            <w:r>
              <w:rPr>
                <w:spacing w:val="-5"/>
                <w:sz w:val="20"/>
              </w:rPr>
              <w:t> </w:t>
            </w:r>
            <w:r>
              <w:rPr>
                <w:sz w:val="20"/>
              </w:rPr>
              <w:t>Federal</w:t>
            </w:r>
            <w:r>
              <w:rPr>
                <w:spacing w:val="-4"/>
                <w:sz w:val="20"/>
              </w:rPr>
              <w:t> </w:t>
            </w:r>
            <w:r>
              <w:rPr>
                <w:sz w:val="20"/>
              </w:rPr>
              <w:t>funds</w:t>
            </w:r>
            <w:r>
              <w:rPr>
                <w:spacing w:val="-4"/>
                <w:sz w:val="20"/>
              </w:rPr>
              <w:t> </w:t>
            </w:r>
            <w:r>
              <w:rPr>
                <w:sz w:val="20"/>
              </w:rPr>
              <w:t>made</w:t>
            </w:r>
            <w:r>
              <w:rPr>
                <w:spacing w:val="-4"/>
                <w:sz w:val="20"/>
              </w:rPr>
              <w:t> </w:t>
            </w:r>
            <w:r>
              <w:rPr>
                <w:sz w:val="20"/>
              </w:rPr>
              <w:t>available to the State under section 643 of the</w:t>
            </w:r>
            <w:r>
              <w:rPr>
                <w:spacing w:val="-3"/>
                <w:sz w:val="20"/>
              </w:rPr>
              <w:t> </w:t>
            </w:r>
            <w:r>
              <w:rPr>
                <w:sz w:val="20"/>
              </w:rPr>
              <w:t>Act will be expended in accordance with the provisions of 34 CFR Part 303, including</w:t>
            </w:r>
          </w:p>
          <w:p>
            <w:pPr>
              <w:pStyle w:val="TableParagraph"/>
              <w:spacing w:before="1"/>
              <w:ind w:left="508"/>
              <w:rPr>
                <w:sz w:val="20"/>
              </w:rPr>
            </w:pPr>
            <w:r>
              <w:rPr>
                <w:sz w:val="20"/>
              </w:rPr>
              <w:t>§§303.500</w:t>
            </w:r>
            <w:r>
              <w:rPr>
                <w:spacing w:val="-5"/>
                <w:sz w:val="20"/>
              </w:rPr>
              <w:t> </w:t>
            </w:r>
            <w:r>
              <w:rPr>
                <w:sz w:val="20"/>
              </w:rPr>
              <w:t>and</w:t>
            </w:r>
            <w:r>
              <w:rPr>
                <w:spacing w:val="-6"/>
                <w:sz w:val="20"/>
              </w:rPr>
              <w:t> </w:t>
            </w:r>
            <w:r>
              <w:rPr>
                <w:sz w:val="20"/>
              </w:rPr>
              <w:t>303.501.</w:t>
            </w:r>
            <w:r>
              <w:rPr>
                <w:spacing w:val="47"/>
                <w:sz w:val="20"/>
              </w:rPr>
              <w:t> </w:t>
            </w:r>
            <w:r>
              <w:rPr>
                <w:sz w:val="20"/>
              </w:rPr>
              <w:t>(34</w:t>
            </w:r>
            <w:r>
              <w:rPr>
                <w:spacing w:val="-5"/>
                <w:sz w:val="20"/>
              </w:rPr>
              <w:t> </w:t>
            </w:r>
            <w:r>
              <w:rPr>
                <w:sz w:val="20"/>
              </w:rPr>
              <w:t>CFR</w:t>
            </w:r>
            <w:r>
              <w:rPr>
                <w:spacing w:val="-5"/>
                <w:sz w:val="20"/>
              </w:rPr>
              <w:t> </w:t>
            </w:r>
            <w:r>
              <w:rPr>
                <w:spacing w:val="-2"/>
                <w:sz w:val="20"/>
              </w:rPr>
              <w:t>§303.221)</w:t>
            </w:r>
          </w:p>
        </w:tc>
      </w:tr>
    </w:tbl>
    <w:p>
      <w:pPr>
        <w:pStyle w:val="TableParagraph"/>
        <w:spacing w:after="0"/>
        <w:rPr>
          <w:sz w:val="20"/>
        </w:rPr>
        <w:sectPr>
          <w:pgSz w:w="12240" w:h="15840"/>
          <w:pgMar w:header="0" w:footer="879" w:top="142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38"/>
        <w:gridCol w:w="1440"/>
        <w:gridCol w:w="6482"/>
      </w:tblGrid>
      <w:tr>
        <w:trPr>
          <w:trHeight w:val="410" w:hRule="atLeast"/>
        </w:trPr>
        <w:tc>
          <w:tcPr>
            <w:tcW w:w="1438" w:type="dxa"/>
            <w:tcBorders>
              <w:bottom w:val="nil"/>
              <w:right w:val="single" w:sz="6" w:space="0" w:color="000000"/>
            </w:tcBorders>
            <w:shd w:val="clear" w:color="auto" w:fill="F2F2F2"/>
          </w:tcPr>
          <w:p>
            <w:pPr>
              <w:pStyle w:val="TableParagraph"/>
              <w:spacing w:before="119"/>
              <w:ind w:left="153" w:right="134"/>
              <w:jc w:val="center"/>
              <w:rPr>
                <w:b/>
                <w:sz w:val="20"/>
              </w:rPr>
            </w:pPr>
            <w:r>
              <w:rPr>
                <w:b/>
                <w:spacing w:val="-5"/>
                <w:sz w:val="20"/>
              </w:rPr>
              <w:t>Yes</w:t>
            </w:r>
          </w:p>
        </w:tc>
        <w:tc>
          <w:tcPr>
            <w:tcW w:w="1440" w:type="dxa"/>
            <w:tcBorders>
              <w:left w:val="single" w:sz="6" w:space="0" w:color="000000"/>
              <w:bottom w:val="nil"/>
              <w:right w:val="single" w:sz="6" w:space="0" w:color="000000"/>
            </w:tcBorders>
            <w:shd w:val="clear" w:color="auto" w:fill="F2F2F2"/>
          </w:tcPr>
          <w:p>
            <w:pPr>
              <w:pStyle w:val="TableParagraph"/>
              <w:spacing w:before="119"/>
              <w:ind w:left="116" w:right="79"/>
              <w:jc w:val="center"/>
              <w:rPr>
                <w:b/>
                <w:sz w:val="20"/>
              </w:rPr>
            </w:pPr>
            <w:r>
              <w:rPr>
                <w:b/>
                <w:spacing w:val="-5"/>
                <w:sz w:val="20"/>
              </w:rPr>
              <w:t>No</w:t>
            </w:r>
          </w:p>
        </w:tc>
        <w:tc>
          <w:tcPr>
            <w:tcW w:w="6482" w:type="dxa"/>
            <w:tcBorders>
              <w:left w:val="single" w:sz="6" w:space="0" w:color="000000"/>
              <w:bottom w:val="nil"/>
            </w:tcBorders>
            <w:shd w:val="clear" w:color="auto" w:fill="F2F2F2"/>
          </w:tcPr>
          <w:p>
            <w:pPr>
              <w:pStyle w:val="TableParagraph"/>
              <w:spacing w:before="119"/>
              <w:ind w:left="44" w:right="1"/>
              <w:jc w:val="center"/>
              <w:rPr>
                <w:b/>
                <w:sz w:val="20"/>
              </w:rPr>
            </w:pPr>
            <w:r>
              <w:rPr>
                <w:b/>
                <w:spacing w:val="-2"/>
                <w:sz w:val="20"/>
              </w:rPr>
              <w:t>Subpart</w:t>
            </w:r>
            <w:r>
              <w:rPr>
                <w:b/>
                <w:spacing w:val="4"/>
                <w:sz w:val="20"/>
              </w:rPr>
              <w:t> </w:t>
            </w:r>
            <w:r>
              <w:rPr>
                <w:b/>
                <w:spacing w:val="-2"/>
                <w:sz w:val="20"/>
              </w:rPr>
              <w:t>B—Assurances</w:t>
            </w:r>
          </w:p>
        </w:tc>
      </w:tr>
      <w:tr>
        <w:trPr>
          <w:trHeight w:val="1778" w:hRule="atLeast"/>
        </w:trPr>
        <w:tc>
          <w:tcPr>
            <w:tcW w:w="1438" w:type="dxa"/>
            <w:tcBorders>
              <w:top w:val="nil"/>
              <w:bottom w:val="nil"/>
              <w:right w:val="single" w:sz="6" w:space="0" w:color="000000"/>
            </w:tcBorders>
            <w:shd w:val="clear" w:color="auto" w:fill="F2F2F2"/>
          </w:tcPr>
          <w:p>
            <w:pPr>
              <w:pStyle w:val="TableParagraph"/>
              <w:spacing w:before="58"/>
              <w:ind w:left="153" w:right="133"/>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6" w:space="0" w:color="000000"/>
              <w:bottom w:val="nil"/>
              <w:right w:val="single" w:sz="6" w:space="0" w:color="000000"/>
            </w:tcBorders>
            <w:shd w:val="clear" w:color="auto" w:fill="F2F2F2"/>
          </w:tcPr>
          <w:p>
            <w:pPr>
              <w:pStyle w:val="TableParagraph"/>
              <w:spacing w:before="58"/>
              <w:ind w:left="116" w:right="78"/>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35" w:right="95" w:hanging="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2" w:type="dxa"/>
            <w:tcBorders>
              <w:top w:val="nil"/>
              <w:left w:val="single" w:sz="6" w:space="0" w:color="000000"/>
              <w:bottom w:val="nil"/>
            </w:tcBorders>
            <w:shd w:val="clear" w:color="auto" w:fill="F2F2F2"/>
          </w:tcPr>
          <w:p>
            <w:pPr>
              <w:pStyle w:val="TableParagraph"/>
              <w:spacing w:before="67"/>
              <w:ind w:left="44"/>
              <w:jc w:val="center"/>
              <w:rPr>
                <w:sz w:val="16"/>
              </w:rPr>
            </w:pPr>
            <w:r>
              <w:rPr>
                <w:sz w:val="16"/>
              </w:rPr>
              <w:t>(20</w:t>
            </w:r>
            <w:r>
              <w:rPr>
                <w:spacing w:val="-5"/>
                <w:sz w:val="16"/>
              </w:rPr>
              <w:t> </w:t>
            </w:r>
            <w:r>
              <w:rPr>
                <w:sz w:val="16"/>
              </w:rPr>
              <w:t>U.S.C.</w:t>
            </w:r>
            <w:r>
              <w:rPr>
                <w:spacing w:val="-4"/>
                <w:sz w:val="16"/>
              </w:rPr>
              <w:t> </w:t>
            </w:r>
            <w:r>
              <w:rPr>
                <w:sz w:val="16"/>
              </w:rPr>
              <w:t>1434;</w:t>
            </w:r>
            <w:r>
              <w:rPr>
                <w:spacing w:val="-5"/>
                <w:sz w:val="16"/>
              </w:rPr>
              <w:t> </w:t>
            </w:r>
            <w:r>
              <w:rPr>
                <w:sz w:val="16"/>
              </w:rPr>
              <w:t>1435;</w:t>
            </w:r>
            <w:r>
              <w:rPr>
                <w:spacing w:val="-4"/>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4"/>
                <w:sz w:val="16"/>
              </w:rPr>
              <w:t> </w:t>
            </w:r>
            <w:r>
              <w:rPr>
                <w:sz w:val="16"/>
              </w:rPr>
              <w:t>303.220;</w:t>
            </w:r>
            <w:r>
              <w:rPr>
                <w:spacing w:val="-5"/>
                <w:sz w:val="16"/>
              </w:rPr>
              <w:t> </w:t>
            </w:r>
            <w:r>
              <w:rPr>
                <w:spacing w:val="-2"/>
                <w:sz w:val="16"/>
              </w:rPr>
              <w:t>303.227)</w:t>
            </w:r>
          </w:p>
        </w:tc>
      </w:tr>
      <w:tr>
        <w:trPr>
          <w:trHeight w:val="728" w:hRule="atLeast"/>
        </w:trPr>
        <w:tc>
          <w:tcPr>
            <w:tcW w:w="1438" w:type="dxa"/>
            <w:tcBorders>
              <w:top w:val="nil"/>
              <w:right w:val="single" w:sz="6" w:space="0" w:color="000000"/>
            </w:tcBorders>
            <w:shd w:val="clear" w:color="auto" w:fill="F2F2F2"/>
          </w:tcPr>
          <w:p>
            <w:pPr>
              <w:pStyle w:val="TableParagraph"/>
              <w:rPr>
                <w:rFonts w:ascii="Times New Roman"/>
                <w:sz w:val="18"/>
              </w:rPr>
            </w:pPr>
          </w:p>
        </w:tc>
        <w:tc>
          <w:tcPr>
            <w:tcW w:w="1440" w:type="dxa"/>
            <w:tcBorders>
              <w:top w:val="nil"/>
              <w:left w:val="single" w:sz="6" w:space="0" w:color="000000"/>
              <w:right w:val="single" w:sz="6" w:space="0" w:color="000000"/>
            </w:tcBorders>
            <w:shd w:val="clear" w:color="auto" w:fill="F2F2F2"/>
          </w:tcPr>
          <w:p>
            <w:pPr>
              <w:pStyle w:val="TableParagraph"/>
              <w:spacing w:before="56"/>
              <w:ind w:left="371" w:hanging="227"/>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2" w:type="dxa"/>
            <w:tcBorders>
              <w:top w:val="nil"/>
              <w:left w:val="single" w:sz="6" w:space="0" w:color="000000"/>
            </w:tcBorders>
            <w:shd w:val="clear" w:color="auto" w:fill="F2F2F2"/>
          </w:tcPr>
          <w:p>
            <w:pPr>
              <w:pStyle w:val="TableParagraph"/>
              <w:rPr>
                <w:rFonts w:ascii="Times New Roman"/>
                <w:sz w:val="18"/>
              </w:rPr>
            </w:pPr>
          </w:p>
        </w:tc>
      </w:tr>
      <w:tr>
        <w:trPr>
          <w:trHeight w:val="915" w:hRule="atLeast"/>
        </w:trPr>
        <w:tc>
          <w:tcPr>
            <w:tcW w:w="1438" w:type="dxa"/>
            <w:tcBorders>
              <w:bottom w:val="single" w:sz="6" w:space="0" w:color="000000"/>
              <w:right w:val="single" w:sz="6" w:space="0" w:color="000000"/>
            </w:tcBorders>
          </w:tcPr>
          <w:p>
            <w:pPr>
              <w:pStyle w:val="TableParagraph"/>
              <w:spacing w:before="105"/>
              <w:rPr>
                <w:sz w:val="20"/>
              </w:rPr>
            </w:pPr>
          </w:p>
          <w:p>
            <w:pPr>
              <w:pStyle w:val="TableParagraph"/>
              <w:ind w:left="153" w:right="134"/>
              <w:jc w:val="center"/>
              <w:rPr>
                <w:sz w:val="20"/>
              </w:rPr>
            </w:pPr>
            <w:r>
              <w:rPr>
                <w:spacing w:val="-10"/>
                <w:sz w:val="20"/>
              </w:rPr>
              <w:t>X</w:t>
            </w:r>
          </w:p>
        </w:tc>
        <w:tc>
          <w:tcPr>
            <w:tcW w:w="1440" w:type="dxa"/>
            <w:tcBorders>
              <w:left w:val="single" w:sz="6" w:space="0" w:color="000000"/>
              <w:bottom w:val="single" w:sz="6" w:space="0" w:color="000000"/>
              <w:right w:val="single" w:sz="6" w:space="0" w:color="000000"/>
            </w:tcBorders>
          </w:tcPr>
          <w:p>
            <w:pPr>
              <w:pStyle w:val="TableParagraph"/>
              <w:rPr>
                <w:rFonts w:ascii="Times New Roman"/>
                <w:sz w:val="18"/>
              </w:rPr>
            </w:pPr>
          </w:p>
        </w:tc>
        <w:tc>
          <w:tcPr>
            <w:tcW w:w="6482" w:type="dxa"/>
            <w:tcBorders>
              <w:left w:val="single" w:sz="6" w:space="0" w:color="000000"/>
              <w:bottom w:val="single" w:sz="6" w:space="0" w:color="000000"/>
            </w:tcBorders>
          </w:tcPr>
          <w:p>
            <w:pPr>
              <w:pStyle w:val="TableParagraph"/>
              <w:spacing w:before="104"/>
              <w:ind w:left="119"/>
              <w:rPr>
                <w:sz w:val="20"/>
              </w:rPr>
            </w:pPr>
            <w:r>
              <w:rPr>
                <w:sz w:val="20"/>
              </w:rPr>
              <w:t>21.</w:t>
            </w:r>
            <w:r>
              <w:rPr>
                <w:spacing w:val="42"/>
                <w:sz w:val="20"/>
              </w:rPr>
              <w:t> </w:t>
            </w:r>
            <w:r>
              <w:rPr>
                <w:sz w:val="20"/>
              </w:rPr>
              <w:t>The</w:t>
            </w:r>
            <w:r>
              <w:rPr>
                <w:spacing w:val="-6"/>
                <w:sz w:val="20"/>
              </w:rPr>
              <w:t> </w:t>
            </w:r>
            <w:r>
              <w:rPr>
                <w:sz w:val="20"/>
              </w:rPr>
              <w:t>Statewide</w:t>
            </w:r>
            <w:r>
              <w:rPr>
                <w:spacing w:val="-5"/>
                <w:sz w:val="20"/>
              </w:rPr>
              <w:t> </w:t>
            </w:r>
            <w:r>
              <w:rPr>
                <w:sz w:val="20"/>
              </w:rPr>
              <w:t>system</w:t>
            </w:r>
            <w:r>
              <w:rPr>
                <w:spacing w:val="-7"/>
                <w:sz w:val="20"/>
              </w:rPr>
              <w:t> </w:t>
            </w:r>
            <w:r>
              <w:rPr>
                <w:sz w:val="20"/>
              </w:rPr>
              <w:t>will</w:t>
            </w:r>
            <w:r>
              <w:rPr>
                <w:spacing w:val="-6"/>
                <w:sz w:val="20"/>
              </w:rPr>
              <w:t> </w:t>
            </w:r>
            <w:r>
              <w:rPr>
                <w:sz w:val="20"/>
              </w:rPr>
              <w:t>comply</w:t>
            </w:r>
            <w:r>
              <w:rPr>
                <w:spacing w:val="-5"/>
                <w:sz w:val="20"/>
              </w:rPr>
              <w:t> </w:t>
            </w:r>
            <w:r>
              <w:rPr>
                <w:sz w:val="20"/>
              </w:rPr>
              <w:t>with</w:t>
            </w:r>
            <w:r>
              <w:rPr>
                <w:spacing w:val="-6"/>
                <w:sz w:val="20"/>
              </w:rPr>
              <w:t> </w:t>
            </w:r>
            <w:r>
              <w:rPr>
                <w:sz w:val="20"/>
              </w:rPr>
              <w:t>the</w:t>
            </w:r>
            <w:r>
              <w:rPr>
                <w:spacing w:val="-7"/>
                <w:sz w:val="20"/>
              </w:rPr>
              <w:t> </w:t>
            </w:r>
            <w:r>
              <w:rPr>
                <w:sz w:val="20"/>
              </w:rPr>
              <w:t>requirements</w:t>
            </w:r>
            <w:r>
              <w:rPr>
                <w:spacing w:val="-5"/>
                <w:sz w:val="20"/>
              </w:rPr>
              <w:t> in</w:t>
            </w:r>
          </w:p>
          <w:p>
            <w:pPr>
              <w:pStyle w:val="TableParagraph"/>
              <w:spacing w:before="1"/>
              <w:ind w:left="508" w:right="1469"/>
              <w:rPr>
                <w:sz w:val="20"/>
              </w:rPr>
            </w:pPr>
            <w:r>
              <w:rPr>
                <w:sz w:val="20"/>
              </w:rPr>
              <w:t>§§303.510</w:t>
            </w:r>
            <w:r>
              <w:rPr>
                <w:spacing w:val="-7"/>
                <w:sz w:val="20"/>
              </w:rPr>
              <w:t> </w:t>
            </w:r>
            <w:r>
              <w:rPr>
                <w:sz w:val="20"/>
              </w:rPr>
              <w:t>and</w:t>
            </w:r>
            <w:r>
              <w:rPr>
                <w:spacing w:val="-7"/>
                <w:sz w:val="20"/>
              </w:rPr>
              <w:t> </w:t>
            </w:r>
            <w:r>
              <w:rPr>
                <w:sz w:val="20"/>
              </w:rPr>
              <w:t>303.511</w:t>
            </w:r>
            <w:r>
              <w:rPr>
                <w:spacing w:val="-7"/>
                <w:sz w:val="20"/>
              </w:rPr>
              <w:t> </w:t>
            </w:r>
            <w:r>
              <w:rPr>
                <w:sz w:val="20"/>
              </w:rPr>
              <w:t>in</w:t>
            </w:r>
            <w:r>
              <w:rPr>
                <w:spacing w:val="-7"/>
                <w:sz w:val="20"/>
              </w:rPr>
              <w:t> </w:t>
            </w:r>
            <w:r>
              <w:rPr>
                <w:sz w:val="20"/>
              </w:rPr>
              <w:t>subpart</w:t>
            </w:r>
            <w:r>
              <w:rPr>
                <w:spacing w:val="-7"/>
                <w:sz w:val="20"/>
              </w:rPr>
              <w:t> </w:t>
            </w:r>
            <w:r>
              <w:rPr>
                <w:sz w:val="20"/>
              </w:rPr>
              <w:t>F</w:t>
            </w:r>
            <w:r>
              <w:rPr>
                <w:spacing w:val="-8"/>
                <w:sz w:val="20"/>
              </w:rPr>
              <w:t> </w:t>
            </w:r>
            <w:r>
              <w:rPr>
                <w:sz w:val="20"/>
              </w:rPr>
              <w:t>of</w:t>
            </w:r>
            <w:r>
              <w:rPr>
                <w:spacing w:val="-7"/>
                <w:sz w:val="20"/>
              </w:rPr>
              <w:t> </w:t>
            </w:r>
            <w:r>
              <w:rPr>
                <w:sz w:val="20"/>
              </w:rPr>
              <w:t>this</w:t>
            </w:r>
            <w:r>
              <w:rPr>
                <w:spacing w:val="-7"/>
                <w:sz w:val="20"/>
              </w:rPr>
              <w:t> </w:t>
            </w:r>
            <w:r>
              <w:rPr>
                <w:sz w:val="20"/>
              </w:rPr>
              <w:t>part. (34 CFR §303.222)</w:t>
            </w:r>
          </w:p>
        </w:tc>
      </w:tr>
      <w:tr>
        <w:trPr>
          <w:trHeight w:val="2087"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0"/>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numPr>
                <w:ilvl w:val="0"/>
                <w:numId w:val="25"/>
              </w:numPr>
              <w:tabs>
                <w:tab w:pos="507" w:val="left" w:leader="none"/>
              </w:tabs>
              <w:spacing w:line="240" w:lineRule="auto" w:before="119" w:after="0"/>
              <w:ind w:left="507" w:right="0" w:hanging="388"/>
              <w:jc w:val="left"/>
              <w:rPr>
                <w:sz w:val="20"/>
              </w:rPr>
            </w:pPr>
            <w:r>
              <w:rPr>
                <w:sz w:val="20"/>
              </w:rPr>
              <w:t>The</w:t>
            </w:r>
            <w:r>
              <w:rPr>
                <w:spacing w:val="-7"/>
                <w:sz w:val="20"/>
              </w:rPr>
              <w:t> </w:t>
            </w:r>
            <w:r>
              <w:rPr>
                <w:sz w:val="20"/>
              </w:rPr>
              <w:t>Statewide</w:t>
            </w:r>
            <w:r>
              <w:rPr>
                <w:spacing w:val="-7"/>
                <w:sz w:val="20"/>
              </w:rPr>
              <w:t> </w:t>
            </w:r>
            <w:r>
              <w:rPr>
                <w:sz w:val="20"/>
              </w:rPr>
              <w:t>system</w:t>
            </w:r>
            <w:r>
              <w:rPr>
                <w:spacing w:val="-8"/>
                <w:sz w:val="20"/>
              </w:rPr>
              <w:t> </w:t>
            </w:r>
            <w:r>
              <w:rPr>
                <w:sz w:val="20"/>
              </w:rPr>
              <w:t>ensures</w:t>
            </w:r>
            <w:r>
              <w:rPr>
                <w:spacing w:val="-6"/>
                <w:sz w:val="20"/>
              </w:rPr>
              <w:t> </w:t>
            </w:r>
            <w:r>
              <w:rPr>
                <w:spacing w:val="-2"/>
                <w:sz w:val="20"/>
              </w:rPr>
              <w:t>that—</w:t>
            </w:r>
          </w:p>
          <w:p>
            <w:pPr>
              <w:pStyle w:val="TableParagraph"/>
              <w:numPr>
                <w:ilvl w:val="1"/>
                <w:numId w:val="25"/>
              </w:numPr>
              <w:tabs>
                <w:tab w:pos="911" w:val="left" w:leader="none"/>
              </w:tabs>
              <w:spacing w:line="240" w:lineRule="auto" w:before="120" w:after="0"/>
              <w:ind w:left="911" w:right="275" w:hanging="400"/>
              <w:jc w:val="left"/>
              <w:rPr>
                <w:sz w:val="20"/>
              </w:rPr>
            </w:pPr>
            <w:r>
              <w:rPr>
                <w:sz w:val="20"/>
              </w:rPr>
              <w:t>The control of funds provided under 34 CFR Part 303, and title</w:t>
            </w:r>
            <w:r>
              <w:rPr>
                <w:spacing w:val="-4"/>
                <w:sz w:val="20"/>
              </w:rPr>
              <w:t> </w:t>
            </w:r>
            <w:r>
              <w:rPr>
                <w:sz w:val="20"/>
              </w:rPr>
              <w:t>to</w:t>
            </w:r>
            <w:r>
              <w:rPr>
                <w:spacing w:val="-4"/>
                <w:sz w:val="20"/>
              </w:rPr>
              <w:t> </w:t>
            </w:r>
            <w:r>
              <w:rPr>
                <w:sz w:val="20"/>
              </w:rPr>
              <w:t>property</w:t>
            </w:r>
            <w:r>
              <w:rPr>
                <w:spacing w:val="-4"/>
                <w:sz w:val="20"/>
              </w:rPr>
              <w:t> </w:t>
            </w:r>
            <w:r>
              <w:rPr>
                <w:sz w:val="20"/>
              </w:rPr>
              <w:t>acquired</w:t>
            </w:r>
            <w:r>
              <w:rPr>
                <w:spacing w:val="-4"/>
                <w:sz w:val="20"/>
              </w:rPr>
              <w:t> </w:t>
            </w:r>
            <w:r>
              <w:rPr>
                <w:sz w:val="20"/>
              </w:rPr>
              <w:t>with</w:t>
            </w:r>
            <w:r>
              <w:rPr>
                <w:spacing w:val="-4"/>
                <w:sz w:val="20"/>
              </w:rPr>
              <w:t> </w:t>
            </w:r>
            <w:r>
              <w:rPr>
                <w:sz w:val="20"/>
              </w:rPr>
              <w:t>those</w:t>
            </w:r>
            <w:r>
              <w:rPr>
                <w:spacing w:val="-4"/>
                <w:sz w:val="20"/>
              </w:rPr>
              <w:t> </w:t>
            </w:r>
            <w:r>
              <w:rPr>
                <w:sz w:val="20"/>
              </w:rPr>
              <w:t>funds,</w:t>
            </w:r>
            <w:r>
              <w:rPr>
                <w:spacing w:val="-4"/>
                <w:sz w:val="20"/>
              </w:rPr>
              <w:t> </w:t>
            </w:r>
            <w:r>
              <w:rPr>
                <w:sz w:val="20"/>
              </w:rPr>
              <w:t>will</w:t>
            </w:r>
            <w:r>
              <w:rPr>
                <w:spacing w:val="-4"/>
                <w:sz w:val="20"/>
              </w:rPr>
              <w:t> </w:t>
            </w:r>
            <w:r>
              <w:rPr>
                <w:sz w:val="20"/>
              </w:rPr>
              <w:t>be</w:t>
            </w:r>
            <w:r>
              <w:rPr>
                <w:spacing w:val="-4"/>
                <w:sz w:val="20"/>
              </w:rPr>
              <w:t> </w:t>
            </w:r>
            <w:r>
              <w:rPr>
                <w:sz w:val="20"/>
              </w:rPr>
              <w:t>in</w:t>
            </w:r>
            <w:r>
              <w:rPr>
                <w:spacing w:val="-4"/>
                <w:sz w:val="20"/>
              </w:rPr>
              <w:t> </w:t>
            </w:r>
            <w:r>
              <w:rPr>
                <w:sz w:val="20"/>
              </w:rPr>
              <w:t>a</w:t>
            </w:r>
            <w:r>
              <w:rPr>
                <w:spacing w:val="-3"/>
                <w:sz w:val="20"/>
              </w:rPr>
              <w:t> </w:t>
            </w:r>
            <w:r>
              <w:rPr>
                <w:sz w:val="20"/>
              </w:rPr>
              <w:t>public agency for the uses and purposes provided in 34 CFR Part 303; and</w:t>
            </w:r>
          </w:p>
          <w:p>
            <w:pPr>
              <w:pStyle w:val="TableParagraph"/>
              <w:numPr>
                <w:ilvl w:val="1"/>
                <w:numId w:val="25"/>
              </w:numPr>
              <w:tabs>
                <w:tab w:pos="910" w:val="left" w:leader="none"/>
              </w:tabs>
              <w:spacing w:line="240" w:lineRule="auto" w:before="2" w:after="0"/>
              <w:ind w:left="910" w:right="0" w:hanging="402"/>
              <w:jc w:val="left"/>
              <w:rPr>
                <w:sz w:val="20"/>
              </w:rPr>
            </w:pPr>
            <w:r>
              <w:rPr>
                <w:sz w:val="20"/>
              </w:rPr>
              <w:t>A</w:t>
            </w:r>
            <w:r>
              <w:rPr>
                <w:spacing w:val="-14"/>
                <w:sz w:val="20"/>
              </w:rPr>
              <w:t> </w:t>
            </w:r>
            <w:r>
              <w:rPr>
                <w:sz w:val="20"/>
              </w:rPr>
              <w:t>public</w:t>
            </w:r>
            <w:r>
              <w:rPr>
                <w:spacing w:val="-8"/>
                <w:sz w:val="20"/>
              </w:rPr>
              <w:t> </w:t>
            </w:r>
            <w:r>
              <w:rPr>
                <w:sz w:val="20"/>
              </w:rPr>
              <w:t>agency</w:t>
            </w:r>
            <w:r>
              <w:rPr>
                <w:spacing w:val="-5"/>
                <w:sz w:val="20"/>
              </w:rPr>
              <w:t> </w:t>
            </w:r>
            <w:r>
              <w:rPr>
                <w:sz w:val="20"/>
              </w:rPr>
              <w:t>will</w:t>
            </w:r>
            <w:r>
              <w:rPr>
                <w:spacing w:val="-5"/>
                <w:sz w:val="20"/>
              </w:rPr>
              <w:t> </w:t>
            </w:r>
            <w:r>
              <w:rPr>
                <w:sz w:val="20"/>
              </w:rPr>
              <w:t>administer</w:t>
            </w:r>
            <w:r>
              <w:rPr>
                <w:spacing w:val="-5"/>
                <w:sz w:val="20"/>
              </w:rPr>
              <w:t> </w:t>
            </w:r>
            <w:r>
              <w:rPr>
                <w:sz w:val="20"/>
              </w:rPr>
              <w:t>the</w:t>
            </w:r>
            <w:r>
              <w:rPr>
                <w:spacing w:val="-5"/>
                <w:sz w:val="20"/>
              </w:rPr>
              <w:t> </w:t>
            </w:r>
            <w:r>
              <w:rPr>
                <w:sz w:val="20"/>
              </w:rPr>
              <w:t>funds</w:t>
            </w:r>
            <w:r>
              <w:rPr>
                <w:spacing w:val="-5"/>
                <w:sz w:val="20"/>
              </w:rPr>
              <w:t> </w:t>
            </w:r>
            <w:r>
              <w:rPr>
                <w:sz w:val="20"/>
              </w:rPr>
              <w:t>and</w:t>
            </w:r>
            <w:r>
              <w:rPr>
                <w:spacing w:val="-5"/>
                <w:sz w:val="20"/>
              </w:rPr>
              <w:t> </w:t>
            </w:r>
            <w:r>
              <w:rPr>
                <w:spacing w:val="-2"/>
                <w:sz w:val="20"/>
              </w:rPr>
              <w:t>property.</w:t>
            </w:r>
          </w:p>
          <w:p>
            <w:pPr>
              <w:pStyle w:val="TableParagraph"/>
              <w:spacing w:before="121"/>
              <w:ind w:left="511"/>
              <w:rPr>
                <w:sz w:val="20"/>
              </w:rPr>
            </w:pPr>
            <w:r>
              <w:rPr>
                <w:sz w:val="20"/>
              </w:rPr>
              <w:t>(34</w:t>
            </w:r>
            <w:r>
              <w:rPr>
                <w:spacing w:val="-4"/>
                <w:sz w:val="20"/>
              </w:rPr>
              <w:t> </w:t>
            </w:r>
            <w:r>
              <w:rPr>
                <w:sz w:val="20"/>
              </w:rPr>
              <w:t>CFR</w:t>
            </w:r>
            <w:r>
              <w:rPr>
                <w:spacing w:val="-4"/>
                <w:sz w:val="20"/>
              </w:rPr>
              <w:t> </w:t>
            </w:r>
            <w:r>
              <w:rPr>
                <w:spacing w:val="-2"/>
                <w:sz w:val="20"/>
              </w:rPr>
              <w:t>§303.223)</w:t>
            </w:r>
          </w:p>
        </w:tc>
      </w:tr>
      <w:tr>
        <w:trPr>
          <w:trHeight w:val="2553"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numPr>
                <w:ilvl w:val="0"/>
                <w:numId w:val="26"/>
              </w:numPr>
              <w:tabs>
                <w:tab w:pos="507" w:val="left" w:leader="none"/>
              </w:tabs>
              <w:spacing w:line="240" w:lineRule="auto" w:before="124" w:after="0"/>
              <w:ind w:left="507" w:right="0" w:hanging="388"/>
              <w:jc w:val="left"/>
              <w:rPr>
                <w:sz w:val="20"/>
              </w:rPr>
            </w:pPr>
            <w:r>
              <w:rPr>
                <w:sz w:val="20"/>
              </w:rPr>
              <w:t>The</w:t>
            </w:r>
            <w:r>
              <w:rPr>
                <w:spacing w:val="-8"/>
                <w:sz w:val="20"/>
              </w:rPr>
              <w:t> </w:t>
            </w:r>
            <w:r>
              <w:rPr>
                <w:sz w:val="20"/>
              </w:rPr>
              <w:t>Statewide</w:t>
            </w:r>
            <w:r>
              <w:rPr>
                <w:spacing w:val="-6"/>
                <w:sz w:val="20"/>
              </w:rPr>
              <w:t> </w:t>
            </w:r>
            <w:r>
              <w:rPr>
                <w:sz w:val="20"/>
              </w:rPr>
              <w:t>system</w:t>
            </w:r>
            <w:r>
              <w:rPr>
                <w:spacing w:val="-6"/>
                <w:sz w:val="20"/>
              </w:rPr>
              <w:t> </w:t>
            </w:r>
            <w:r>
              <w:rPr>
                <w:sz w:val="20"/>
              </w:rPr>
              <w:t>ensures</w:t>
            </w:r>
            <w:r>
              <w:rPr>
                <w:spacing w:val="-5"/>
                <w:sz w:val="20"/>
              </w:rPr>
              <w:t> </w:t>
            </w:r>
            <w:r>
              <w:rPr>
                <w:sz w:val="20"/>
              </w:rPr>
              <w:t>that</w:t>
            </w:r>
            <w:r>
              <w:rPr>
                <w:spacing w:val="-6"/>
                <w:sz w:val="20"/>
              </w:rPr>
              <w:t> </w:t>
            </w:r>
            <w:r>
              <w:rPr>
                <w:sz w:val="20"/>
              </w:rPr>
              <w:t>it</w:t>
            </w:r>
            <w:r>
              <w:rPr>
                <w:spacing w:val="-5"/>
                <w:sz w:val="20"/>
              </w:rPr>
              <w:t> </w:t>
            </w:r>
            <w:r>
              <w:rPr>
                <w:spacing w:val="-4"/>
                <w:sz w:val="20"/>
              </w:rPr>
              <w:t>will—</w:t>
            </w:r>
          </w:p>
          <w:p>
            <w:pPr>
              <w:pStyle w:val="TableParagraph"/>
              <w:numPr>
                <w:ilvl w:val="1"/>
                <w:numId w:val="26"/>
              </w:numPr>
              <w:tabs>
                <w:tab w:pos="911" w:val="left" w:leader="none"/>
              </w:tabs>
              <w:spacing w:line="240" w:lineRule="auto" w:before="115" w:after="0"/>
              <w:ind w:left="911" w:right="254" w:hanging="403"/>
              <w:jc w:val="left"/>
              <w:rPr>
                <w:sz w:val="20"/>
              </w:rPr>
            </w:pPr>
            <w:r>
              <w:rPr>
                <w:sz w:val="20"/>
              </w:rPr>
              <w:t>Make</w:t>
            </w:r>
            <w:r>
              <w:rPr>
                <w:spacing w:val="-5"/>
                <w:sz w:val="20"/>
              </w:rPr>
              <w:t> </w:t>
            </w:r>
            <w:r>
              <w:rPr>
                <w:sz w:val="20"/>
              </w:rPr>
              <w:t>reports</w:t>
            </w:r>
            <w:r>
              <w:rPr>
                <w:spacing w:val="-5"/>
                <w:sz w:val="20"/>
              </w:rPr>
              <w:t> </w:t>
            </w:r>
            <w:r>
              <w:rPr>
                <w:sz w:val="20"/>
              </w:rPr>
              <w:t>in</w:t>
            </w:r>
            <w:r>
              <w:rPr>
                <w:spacing w:val="-5"/>
                <w:sz w:val="20"/>
              </w:rPr>
              <w:t> </w:t>
            </w:r>
            <w:r>
              <w:rPr>
                <w:sz w:val="20"/>
              </w:rPr>
              <w:t>the</w:t>
            </w:r>
            <w:r>
              <w:rPr>
                <w:spacing w:val="-5"/>
                <w:sz w:val="20"/>
              </w:rPr>
              <w:t> </w:t>
            </w:r>
            <w:r>
              <w:rPr>
                <w:sz w:val="20"/>
              </w:rPr>
              <w:t>form</w:t>
            </w:r>
            <w:r>
              <w:rPr>
                <w:spacing w:val="-6"/>
                <w:sz w:val="20"/>
              </w:rPr>
              <w:t> </w:t>
            </w:r>
            <w:r>
              <w:rPr>
                <w:sz w:val="20"/>
              </w:rPr>
              <w:t>and</w:t>
            </w:r>
            <w:r>
              <w:rPr>
                <w:spacing w:val="-5"/>
                <w:sz w:val="20"/>
              </w:rPr>
              <w:t> </w:t>
            </w:r>
            <w:r>
              <w:rPr>
                <w:sz w:val="20"/>
              </w:rPr>
              <w:t>containing</w:t>
            </w:r>
            <w:r>
              <w:rPr>
                <w:spacing w:val="-5"/>
                <w:sz w:val="20"/>
              </w:rPr>
              <w:t> </w:t>
            </w:r>
            <w:r>
              <w:rPr>
                <w:sz w:val="20"/>
              </w:rPr>
              <w:t>the</w:t>
            </w:r>
            <w:r>
              <w:rPr>
                <w:spacing w:val="-4"/>
                <w:sz w:val="20"/>
              </w:rPr>
              <w:t> </w:t>
            </w:r>
            <w:r>
              <w:rPr>
                <w:sz w:val="20"/>
              </w:rPr>
              <w:t>information</w:t>
            </w:r>
            <w:r>
              <w:rPr>
                <w:spacing w:val="-5"/>
                <w:sz w:val="20"/>
              </w:rPr>
              <w:t> </w:t>
            </w:r>
            <w:r>
              <w:rPr>
                <w:sz w:val="20"/>
              </w:rPr>
              <w:t>that the Secretary may require; and</w:t>
            </w:r>
          </w:p>
          <w:p>
            <w:pPr>
              <w:pStyle w:val="TableParagraph"/>
              <w:numPr>
                <w:ilvl w:val="1"/>
                <w:numId w:val="26"/>
              </w:numPr>
              <w:tabs>
                <w:tab w:pos="911" w:val="left" w:leader="none"/>
              </w:tabs>
              <w:spacing w:line="240" w:lineRule="auto" w:before="1" w:after="0"/>
              <w:ind w:left="911" w:right="209" w:hanging="403"/>
              <w:jc w:val="left"/>
              <w:rPr>
                <w:sz w:val="20"/>
              </w:rPr>
            </w:pPr>
            <w:r>
              <w:rPr>
                <w:sz w:val="20"/>
              </w:rPr>
              <w:t>Keep records and afford access to those records as the Secretary</w:t>
            </w:r>
            <w:r>
              <w:rPr>
                <w:spacing w:val="-5"/>
                <w:sz w:val="20"/>
              </w:rPr>
              <w:t> </w:t>
            </w:r>
            <w:r>
              <w:rPr>
                <w:sz w:val="20"/>
              </w:rPr>
              <w:t>may</w:t>
            </w:r>
            <w:r>
              <w:rPr>
                <w:spacing w:val="-5"/>
                <w:sz w:val="20"/>
              </w:rPr>
              <w:t> </w:t>
            </w:r>
            <w:r>
              <w:rPr>
                <w:sz w:val="20"/>
              </w:rPr>
              <w:t>find</w:t>
            </w:r>
            <w:r>
              <w:rPr>
                <w:spacing w:val="-5"/>
                <w:sz w:val="20"/>
              </w:rPr>
              <w:t> </w:t>
            </w:r>
            <w:r>
              <w:rPr>
                <w:sz w:val="20"/>
              </w:rPr>
              <w:t>necessary</w:t>
            </w:r>
            <w:r>
              <w:rPr>
                <w:spacing w:val="-5"/>
                <w:sz w:val="20"/>
              </w:rPr>
              <w:t> </w:t>
            </w:r>
            <w:r>
              <w:rPr>
                <w:sz w:val="20"/>
              </w:rPr>
              <w:t>to</w:t>
            </w:r>
            <w:r>
              <w:rPr>
                <w:spacing w:val="-5"/>
                <w:sz w:val="20"/>
              </w:rPr>
              <w:t> </w:t>
            </w:r>
            <w:r>
              <w:rPr>
                <w:sz w:val="20"/>
              </w:rPr>
              <w:t>ensure</w:t>
            </w:r>
            <w:r>
              <w:rPr>
                <w:spacing w:val="-5"/>
                <w:sz w:val="20"/>
              </w:rPr>
              <w:t> </w:t>
            </w:r>
            <w:r>
              <w:rPr>
                <w:sz w:val="20"/>
              </w:rPr>
              <w:t>compliance</w:t>
            </w:r>
            <w:r>
              <w:rPr>
                <w:spacing w:val="-5"/>
                <w:sz w:val="20"/>
              </w:rPr>
              <w:t> </w:t>
            </w:r>
            <w:r>
              <w:rPr>
                <w:sz w:val="20"/>
              </w:rPr>
              <w:t>with</w:t>
            </w:r>
            <w:r>
              <w:rPr>
                <w:spacing w:val="-5"/>
                <w:sz w:val="20"/>
              </w:rPr>
              <w:t> </w:t>
            </w:r>
            <w:r>
              <w:rPr>
                <w:sz w:val="20"/>
              </w:rPr>
              <w:t>the requirements of 34 CFR Part 303, the correctness and verification of reports, and the proper disbursement of funds provided under 34 CFR Part 303.</w:t>
            </w:r>
          </w:p>
          <w:p>
            <w:pPr>
              <w:pStyle w:val="TableParagraph"/>
              <w:spacing w:before="122"/>
              <w:ind w:left="511"/>
              <w:rPr>
                <w:sz w:val="20"/>
              </w:rPr>
            </w:pPr>
            <w:r>
              <w:rPr>
                <w:sz w:val="20"/>
              </w:rPr>
              <w:t>(34</w:t>
            </w:r>
            <w:r>
              <w:rPr>
                <w:spacing w:val="-4"/>
                <w:sz w:val="20"/>
              </w:rPr>
              <w:t> </w:t>
            </w:r>
            <w:r>
              <w:rPr>
                <w:sz w:val="20"/>
              </w:rPr>
              <w:t>CFR</w:t>
            </w:r>
            <w:r>
              <w:rPr>
                <w:spacing w:val="-4"/>
                <w:sz w:val="20"/>
              </w:rPr>
              <w:t> </w:t>
            </w:r>
            <w:r>
              <w:rPr>
                <w:spacing w:val="-2"/>
                <w:sz w:val="20"/>
              </w:rPr>
              <w:t>§303.224)</w:t>
            </w:r>
          </w:p>
        </w:tc>
      </w:tr>
      <w:tr>
        <w:trPr>
          <w:trHeight w:val="4151" w:hRule="atLeast"/>
        </w:trPr>
        <w:tc>
          <w:tcPr>
            <w:tcW w:w="1438"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7"/>
              <w:rPr>
                <w:sz w:val="20"/>
              </w:rPr>
            </w:pPr>
          </w:p>
          <w:p>
            <w:pPr>
              <w:pStyle w:val="TableParagraph"/>
              <w:spacing w:before="1"/>
              <w:ind w:left="153" w:right="134"/>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tcBorders>
          </w:tcPr>
          <w:p>
            <w:pPr>
              <w:pStyle w:val="TableParagraph"/>
              <w:numPr>
                <w:ilvl w:val="0"/>
                <w:numId w:val="27"/>
              </w:numPr>
              <w:tabs>
                <w:tab w:pos="507" w:val="left" w:leader="none"/>
              </w:tabs>
              <w:spacing w:line="240" w:lineRule="auto" w:before="119" w:after="0"/>
              <w:ind w:left="507" w:right="0" w:hanging="388"/>
              <w:jc w:val="left"/>
              <w:rPr>
                <w:sz w:val="20"/>
              </w:rPr>
            </w:pPr>
            <w:r>
              <w:rPr>
                <w:sz w:val="20"/>
              </w:rPr>
              <w:t>The</w:t>
            </w:r>
            <w:r>
              <w:rPr>
                <w:spacing w:val="-7"/>
                <w:sz w:val="20"/>
              </w:rPr>
              <w:t> </w:t>
            </w:r>
            <w:r>
              <w:rPr>
                <w:sz w:val="20"/>
              </w:rPr>
              <w:t>Statewide</w:t>
            </w:r>
            <w:r>
              <w:rPr>
                <w:spacing w:val="-6"/>
                <w:sz w:val="20"/>
              </w:rPr>
              <w:t> </w:t>
            </w:r>
            <w:r>
              <w:rPr>
                <w:sz w:val="20"/>
              </w:rPr>
              <w:t>system</w:t>
            </w:r>
            <w:r>
              <w:rPr>
                <w:spacing w:val="-7"/>
                <w:sz w:val="20"/>
              </w:rPr>
              <w:t> </w:t>
            </w:r>
            <w:r>
              <w:rPr>
                <w:sz w:val="20"/>
              </w:rPr>
              <w:t>ensures</w:t>
            </w:r>
            <w:r>
              <w:rPr>
                <w:spacing w:val="-6"/>
                <w:sz w:val="20"/>
              </w:rPr>
              <w:t> </w:t>
            </w:r>
            <w:r>
              <w:rPr>
                <w:sz w:val="20"/>
              </w:rPr>
              <w:t>that</w:t>
            </w:r>
            <w:r>
              <w:rPr>
                <w:spacing w:val="-7"/>
                <w:sz w:val="20"/>
              </w:rPr>
              <w:t> </w:t>
            </w:r>
            <w:r>
              <w:rPr>
                <w:spacing w:val="-10"/>
                <w:sz w:val="20"/>
              </w:rPr>
              <w:t>–</w:t>
            </w:r>
          </w:p>
          <w:p>
            <w:pPr>
              <w:pStyle w:val="TableParagraph"/>
              <w:numPr>
                <w:ilvl w:val="1"/>
                <w:numId w:val="27"/>
              </w:numPr>
              <w:tabs>
                <w:tab w:pos="821" w:val="left" w:leader="none"/>
                <w:tab w:pos="845" w:val="left" w:leader="none"/>
              </w:tabs>
              <w:spacing w:line="240" w:lineRule="auto" w:before="120" w:after="0"/>
              <w:ind w:left="821" w:right="231" w:hanging="330"/>
              <w:jc w:val="left"/>
              <w:rPr>
                <w:sz w:val="20"/>
              </w:rPr>
            </w:pPr>
            <w:r>
              <w:rPr>
                <w:sz w:val="20"/>
              </w:rPr>
              <w:t>Federal</w:t>
            </w:r>
            <w:r>
              <w:rPr>
                <w:spacing w:val="17"/>
                <w:sz w:val="20"/>
              </w:rPr>
              <w:t> </w:t>
            </w:r>
            <w:r>
              <w:rPr>
                <w:sz w:val="20"/>
              </w:rPr>
              <w:t>funds</w:t>
            </w:r>
            <w:r>
              <w:rPr>
                <w:spacing w:val="-4"/>
                <w:sz w:val="20"/>
              </w:rPr>
              <w:t> </w:t>
            </w:r>
            <w:r>
              <w:rPr>
                <w:sz w:val="20"/>
              </w:rPr>
              <w:t>made</w:t>
            </w:r>
            <w:r>
              <w:rPr>
                <w:spacing w:val="-4"/>
                <w:sz w:val="20"/>
              </w:rPr>
              <w:t> </w:t>
            </w:r>
            <w:r>
              <w:rPr>
                <w:sz w:val="20"/>
              </w:rPr>
              <w:t>available</w:t>
            </w:r>
            <w:r>
              <w:rPr>
                <w:spacing w:val="-4"/>
                <w:sz w:val="20"/>
              </w:rPr>
              <w:t> </w:t>
            </w:r>
            <w:r>
              <w:rPr>
                <w:sz w:val="20"/>
              </w:rPr>
              <w:t>under</w:t>
            </w:r>
            <w:r>
              <w:rPr>
                <w:spacing w:val="-4"/>
                <w:sz w:val="20"/>
              </w:rPr>
              <w:t> </w:t>
            </w:r>
            <w:r>
              <w:rPr>
                <w:sz w:val="20"/>
              </w:rPr>
              <w:t>section</w:t>
            </w:r>
            <w:r>
              <w:rPr>
                <w:spacing w:val="-4"/>
                <w:sz w:val="20"/>
              </w:rPr>
              <w:t> </w:t>
            </w:r>
            <w:r>
              <w:rPr>
                <w:sz w:val="20"/>
              </w:rPr>
              <w:t>643</w:t>
            </w:r>
            <w:r>
              <w:rPr>
                <w:spacing w:val="-4"/>
                <w:sz w:val="20"/>
              </w:rPr>
              <w:t> </w:t>
            </w:r>
            <w:r>
              <w:rPr>
                <w:sz w:val="20"/>
              </w:rPr>
              <w:t>of</w:t>
            </w:r>
            <w:r>
              <w:rPr>
                <w:spacing w:val="-4"/>
                <w:sz w:val="20"/>
              </w:rPr>
              <w:t> </w:t>
            </w:r>
            <w:r>
              <w:rPr>
                <w:sz w:val="20"/>
              </w:rPr>
              <w:t>the</w:t>
            </w:r>
            <w:r>
              <w:rPr>
                <w:spacing w:val="-14"/>
                <w:sz w:val="20"/>
              </w:rPr>
              <w:t> </w:t>
            </w:r>
            <w:r>
              <w:rPr>
                <w:sz w:val="20"/>
              </w:rPr>
              <w:t>Act</w:t>
            </w:r>
            <w:r>
              <w:rPr>
                <w:spacing w:val="-4"/>
                <w:sz w:val="20"/>
              </w:rPr>
              <w:t> </w:t>
            </w:r>
            <w:r>
              <w:rPr>
                <w:sz w:val="20"/>
              </w:rPr>
              <w:t>to the State –</w:t>
            </w:r>
          </w:p>
          <w:p>
            <w:pPr>
              <w:pStyle w:val="TableParagraph"/>
              <w:numPr>
                <w:ilvl w:val="2"/>
                <w:numId w:val="27"/>
              </w:numPr>
              <w:tabs>
                <w:tab w:pos="1193" w:val="left" w:leader="none"/>
              </w:tabs>
              <w:spacing w:line="240" w:lineRule="auto" w:before="1" w:after="0"/>
              <w:ind w:left="1193" w:right="0" w:hanging="354"/>
              <w:jc w:val="left"/>
              <w:rPr>
                <w:sz w:val="20"/>
              </w:rPr>
            </w:pPr>
            <w:r>
              <w:rPr>
                <w:sz w:val="20"/>
              </w:rPr>
              <w:t>Will</w:t>
            </w:r>
            <w:r>
              <w:rPr>
                <w:spacing w:val="-8"/>
                <w:sz w:val="20"/>
              </w:rPr>
              <w:t> </w:t>
            </w:r>
            <w:r>
              <w:rPr>
                <w:sz w:val="20"/>
              </w:rPr>
              <w:t>not</w:t>
            </w:r>
            <w:r>
              <w:rPr>
                <w:spacing w:val="-6"/>
                <w:sz w:val="20"/>
              </w:rPr>
              <w:t> </w:t>
            </w:r>
            <w:r>
              <w:rPr>
                <w:sz w:val="20"/>
              </w:rPr>
              <w:t>be</w:t>
            </w:r>
            <w:r>
              <w:rPr>
                <w:spacing w:val="-5"/>
                <w:sz w:val="20"/>
              </w:rPr>
              <w:t> </w:t>
            </w:r>
            <w:r>
              <w:rPr>
                <w:sz w:val="20"/>
              </w:rPr>
              <w:t>commingled</w:t>
            </w:r>
            <w:r>
              <w:rPr>
                <w:spacing w:val="-6"/>
                <w:sz w:val="20"/>
              </w:rPr>
              <w:t> </w:t>
            </w:r>
            <w:r>
              <w:rPr>
                <w:sz w:val="20"/>
              </w:rPr>
              <w:t>with</w:t>
            </w:r>
            <w:r>
              <w:rPr>
                <w:spacing w:val="-5"/>
                <w:sz w:val="20"/>
              </w:rPr>
              <w:t> </w:t>
            </w:r>
            <w:r>
              <w:rPr>
                <w:sz w:val="20"/>
              </w:rPr>
              <w:t>State</w:t>
            </w:r>
            <w:r>
              <w:rPr>
                <w:spacing w:val="-6"/>
                <w:sz w:val="20"/>
              </w:rPr>
              <w:t> </w:t>
            </w:r>
            <w:r>
              <w:rPr>
                <w:sz w:val="20"/>
              </w:rPr>
              <w:t>funds;</w:t>
            </w:r>
            <w:r>
              <w:rPr>
                <w:spacing w:val="-5"/>
                <w:sz w:val="20"/>
              </w:rPr>
              <w:t> and</w:t>
            </w:r>
          </w:p>
          <w:p>
            <w:pPr>
              <w:pStyle w:val="TableParagraph"/>
              <w:numPr>
                <w:ilvl w:val="2"/>
                <w:numId w:val="27"/>
              </w:numPr>
              <w:tabs>
                <w:tab w:pos="1181" w:val="left" w:leader="none"/>
                <w:tab w:pos="1193" w:val="left" w:leader="none"/>
              </w:tabs>
              <w:spacing w:line="237" w:lineRule="auto" w:before="3" w:after="0"/>
              <w:ind w:left="1181" w:right="394" w:hanging="342"/>
              <w:jc w:val="left"/>
              <w:rPr>
                <w:sz w:val="20"/>
              </w:rPr>
            </w:pPr>
            <w:r>
              <w:rPr>
                <w:sz w:val="20"/>
              </w:rPr>
              <w:t>Will</w:t>
            </w:r>
            <w:r>
              <w:rPr>
                <w:sz w:val="20"/>
              </w:rPr>
              <w:t> be</w:t>
            </w:r>
            <w:r>
              <w:rPr>
                <w:spacing w:val="-4"/>
                <w:sz w:val="20"/>
              </w:rPr>
              <w:t> </w:t>
            </w:r>
            <w:r>
              <w:rPr>
                <w:sz w:val="20"/>
              </w:rPr>
              <w:t>used</w:t>
            </w:r>
            <w:r>
              <w:rPr>
                <w:spacing w:val="-4"/>
                <w:sz w:val="20"/>
              </w:rPr>
              <w:t> </w:t>
            </w:r>
            <w:r>
              <w:rPr>
                <w:sz w:val="20"/>
              </w:rPr>
              <w:t>so</w:t>
            </w:r>
            <w:r>
              <w:rPr>
                <w:spacing w:val="-4"/>
                <w:sz w:val="20"/>
              </w:rPr>
              <w:t> </w:t>
            </w:r>
            <w:r>
              <w:rPr>
                <w:sz w:val="20"/>
              </w:rPr>
              <w:t>as</w:t>
            </w:r>
            <w:r>
              <w:rPr>
                <w:spacing w:val="-4"/>
                <w:sz w:val="20"/>
              </w:rPr>
              <w:t> </w:t>
            </w:r>
            <w:r>
              <w:rPr>
                <w:sz w:val="20"/>
              </w:rPr>
              <w:t>to</w:t>
            </w:r>
            <w:r>
              <w:rPr>
                <w:spacing w:val="-4"/>
                <w:sz w:val="20"/>
              </w:rPr>
              <w:t> </w:t>
            </w:r>
            <w:r>
              <w:rPr>
                <w:sz w:val="20"/>
              </w:rPr>
              <w:t>supplement</w:t>
            </w:r>
            <w:r>
              <w:rPr>
                <w:spacing w:val="-4"/>
                <w:sz w:val="20"/>
              </w:rPr>
              <w:t> </w:t>
            </w:r>
            <w:r>
              <w:rPr>
                <w:sz w:val="20"/>
              </w:rPr>
              <w:t>the</w:t>
            </w:r>
            <w:r>
              <w:rPr>
                <w:spacing w:val="-4"/>
                <w:sz w:val="20"/>
              </w:rPr>
              <w:t> </w:t>
            </w:r>
            <w:r>
              <w:rPr>
                <w:sz w:val="20"/>
              </w:rPr>
              <w:t>level</w:t>
            </w:r>
            <w:r>
              <w:rPr>
                <w:spacing w:val="-4"/>
                <w:sz w:val="20"/>
              </w:rPr>
              <w:t> </w:t>
            </w:r>
            <w:r>
              <w:rPr>
                <w:sz w:val="20"/>
              </w:rPr>
              <w:t>of</w:t>
            </w:r>
            <w:r>
              <w:rPr>
                <w:spacing w:val="-4"/>
                <w:sz w:val="20"/>
              </w:rPr>
              <w:t> </w:t>
            </w:r>
            <w:r>
              <w:rPr>
                <w:sz w:val="20"/>
              </w:rPr>
              <w:t>State</w:t>
            </w:r>
            <w:r>
              <w:rPr>
                <w:spacing w:val="-4"/>
                <w:sz w:val="20"/>
              </w:rPr>
              <w:t> </w:t>
            </w:r>
            <w:r>
              <w:rPr>
                <w:sz w:val="20"/>
              </w:rPr>
              <w:t>and local funds expended for infants and toddlers with disabilities</w:t>
            </w:r>
            <w:r>
              <w:rPr>
                <w:spacing w:val="-5"/>
                <w:sz w:val="20"/>
              </w:rPr>
              <w:t> </w:t>
            </w:r>
            <w:r>
              <w:rPr>
                <w:sz w:val="20"/>
              </w:rPr>
              <w:t>and</w:t>
            </w:r>
            <w:r>
              <w:rPr>
                <w:spacing w:val="-5"/>
                <w:sz w:val="20"/>
              </w:rPr>
              <w:t> </w:t>
            </w:r>
            <w:r>
              <w:rPr>
                <w:sz w:val="20"/>
              </w:rPr>
              <w:t>their</w:t>
            </w:r>
            <w:r>
              <w:rPr>
                <w:spacing w:val="-5"/>
                <w:sz w:val="20"/>
              </w:rPr>
              <w:t> </w:t>
            </w:r>
            <w:r>
              <w:rPr>
                <w:sz w:val="20"/>
              </w:rPr>
              <w:t>families</w:t>
            </w:r>
            <w:r>
              <w:rPr>
                <w:spacing w:val="-5"/>
                <w:sz w:val="20"/>
              </w:rPr>
              <w:t> </w:t>
            </w:r>
            <w:r>
              <w:rPr>
                <w:sz w:val="20"/>
              </w:rPr>
              <w:t>and</w:t>
            </w:r>
            <w:r>
              <w:rPr>
                <w:spacing w:val="-5"/>
                <w:sz w:val="20"/>
              </w:rPr>
              <w:t> </w:t>
            </w:r>
            <w:r>
              <w:rPr>
                <w:sz w:val="20"/>
              </w:rPr>
              <w:t>in</w:t>
            </w:r>
            <w:r>
              <w:rPr>
                <w:spacing w:val="-5"/>
                <w:sz w:val="20"/>
              </w:rPr>
              <w:t> </w:t>
            </w:r>
            <w:r>
              <w:rPr>
                <w:sz w:val="20"/>
              </w:rPr>
              <w:t>no</w:t>
            </w:r>
            <w:r>
              <w:rPr>
                <w:spacing w:val="-5"/>
                <w:sz w:val="20"/>
              </w:rPr>
              <w:t> </w:t>
            </w:r>
            <w:r>
              <w:rPr>
                <w:sz w:val="20"/>
              </w:rPr>
              <w:t>case</w:t>
            </w:r>
            <w:r>
              <w:rPr>
                <w:spacing w:val="-5"/>
                <w:sz w:val="20"/>
              </w:rPr>
              <w:t> </w:t>
            </w:r>
            <w:r>
              <w:rPr>
                <w:sz w:val="20"/>
              </w:rPr>
              <w:t>to</w:t>
            </w:r>
            <w:r>
              <w:rPr>
                <w:spacing w:val="-5"/>
                <w:sz w:val="20"/>
              </w:rPr>
              <w:t> </w:t>
            </w:r>
            <w:r>
              <w:rPr>
                <w:sz w:val="20"/>
              </w:rPr>
              <w:t>supplant those State and local funds.</w:t>
            </w:r>
          </w:p>
          <w:p>
            <w:pPr>
              <w:pStyle w:val="TableParagraph"/>
              <w:numPr>
                <w:ilvl w:val="1"/>
                <w:numId w:val="27"/>
              </w:numPr>
              <w:tabs>
                <w:tab w:pos="841" w:val="left" w:leader="none"/>
                <w:tab w:pos="911" w:val="left" w:leader="none"/>
              </w:tabs>
              <w:spacing w:line="240" w:lineRule="auto" w:before="4" w:after="0"/>
              <w:ind w:left="911" w:right="154" w:hanging="420"/>
              <w:jc w:val="left"/>
              <w:rPr>
                <w:sz w:val="20"/>
              </w:rPr>
            </w:pPr>
            <w:r>
              <w:rPr>
                <w:sz w:val="20"/>
              </w:rPr>
              <w:t>To meet the requirement in paragraph (a) of this section, the total amount of State and local funds budgeted for expenditures in the current fiscal year for early intervention services</w:t>
            </w:r>
            <w:r>
              <w:rPr>
                <w:spacing w:val="-1"/>
                <w:sz w:val="20"/>
              </w:rPr>
              <w:t> </w:t>
            </w:r>
            <w:r>
              <w:rPr>
                <w:sz w:val="20"/>
              </w:rPr>
              <w:t>for</w:t>
            </w:r>
            <w:r>
              <w:rPr>
                <w:spacing w:val="-1"/>
                <w:sz w:val="20"/>
              </w:rPr>
              <w:t> </w:t>
            </w:r>
            <w:r>
              <w:rPr>
                <w:sz w:val="20"/>
              </w:rPr>
              <w:t>children</w:t>
            </w:r>
            <w:r>
              <w:rPr>
                <w:spacing w:val="-1"/>
                <w:sz w:val="20"/>
              </w:rPr>
              <w:t> </w:t>
            </w:r>
            <w:r>
              <w:rPr>
                <w:sz w:val="20"/>
              </w:rPr>
              <w:t>eligible</w:t>
            </w:r>
            <w:r>
              <w:rPr>
                <w:spacing w:val="-1"/>
                <w:sz w:val="20"/>
              </w:rPr>
              <w:t> </w:t>
            </w:r>
            <w:r>
              <w:rPr>
                <w:sz w:val="20"/>
              </w:rPr>
              <w:t>under</w:t>
            </w:r>
            <w:r>
              <w:rPr>
                <w:spacing w:val="-1"/>
                <w:sz w:val="20"/>
              </w:rPr>
              <w:t> </w:t>
            </w:r>
            <w:r>
              <w:rPr>
                <w:sz w:val="20"/>
              </w:rPr>
              <w:t>this</w:t>
            </w:r>
            <w:r>
              <w:rPr>
                <w:spacing w:val="-1"/>
                <w:sz w:val="20"/>
              </w:rPr>
              <w:t> </w:t>
            </w:r>
            <w:r>
              <w:rPr>
                <w:sz w:val="20"/>
              </w:rPr>
              <w:t>part</w:t>
            </w:r>
            <w:r>
              <w:rPr>
                <w:spacing w:val="-1"/>
                <w:sz w:val="20"/>
              </w:rPr>
              <w:t> </w:t>
            </w:r>
            <w:r>
              <w:rPr>
                <w:sz w:val="20"/>
              </w:rPr>
              <w:t>and</w:t>
            </w:r>
            <w:r>
              <w:rPr>
                <w:spacing w:val="-1"/>
                <w:sz w:val="20"/>
              </w:rPr>
              <w:t> </w:t>
            </w:r>
            <w:r>
              <w:rPr>
                <w:sz w:val="20"/>
              </w:rPr>
              <w:t>their</w:t>
            </w:r>
            <w:r>
              <w:rPr>
                <w:spacing w:val="-1"/>
                <w:sz w:val="20"/>
              </w:rPr>
              <w:t> </w:t>
            </w:r>
            <w:r>
              <w:rPr>
                <w:sz w:val="20"/>
              </w:rPr>
              <w:t>families must be at least equal to the total amount of State and local funds actually expended for early intervention services for these</w:t>
            </w:r>
            <w:r>
              <w:rPr>
                <w:spacing w:val="-5"/>
                <w:sz w:val="20"/>
              </w:rPr>
              <w:t> </w:t>
            </w:r>
            <w:r>
              <w:rPr>
                <w:sz w:val="20"/>
              </w:rPr>
              <w:t>children</w:t>
            </w:r>
            <w:r>
              <w:rPr>
                <w:spacing w:val="-5"/>
                <w:sz w:val="20"/>
              </w:rPr>
              <w:t> </w:t>
            </w:r>
            <w:r>
              <w:rPr>
                <w:sz w:val="20"/>
              </w:rPr>
              <w:t>and</w:t>
            </w:r>
            <w:r>
              <w:rPr>
                <w:spacing w:val="-5"/>
                <w:sz w:val="20"/>
              </w:rPr>
              <w:t> </w:t>
            </w:r>
            <w:r>
              <w:rPr>
                <w:sz w:val="20"/>
              </w:rPr>
              <w:t>their</w:t>
            </w:r>
            <w:r>
              <w:rPr>
                <w:spacing w:val="-5"/>
                <w:sz w:val="20"/>
              </w:rPr>
              <w:t> </w:t>
            </w:r>
            <w:r>
              <w:rPr>
                <w:sz w:val="20"/>
              </w:rPr>
              <w:t>families</w:t>
            </w:r>
            <w:r>
              <w:rPr>
                <w:spacing w:val="-5"/>
                <w:sz w:val="20"/>
              </w:rPr>
              <w:t> </w:t>
            </w:r>
            <w:r>
              <w:rPr>
                <w:sz w:val="20"/>
              </w:rPr>
              <w:t>in</w:t>
            </w:r>
            <w:r>
              <w:rPr>
                <w:spacing w:val="-5"/>
                <w:sz w:val="20"/>
              </w:rPr>
              <w:t> </w:t>
            </w:r>
            <w:r>
              <w:rPr>
                <w:sz w:val="20"/>
              </w:rPr>
              <w:t>the</w:t>
            </w:r>
            <w:r>
              <w:rPr>
                <w:spacing w:val="-5"/>
                <w:sz w:val="20"/>
              </w:rPr>
              <w:t> </w:t>
            </w:r>
            <w:r>
              <w:rPr>
                <w:sz w:val="20"/>
              </w:rPr>
              <w:t>most</w:t>
            </w:r>
            <w:r>
              <w:rPr>
                <w:spacing w:val="-5"/>
                <w:sz w:val="20"/>
              </w:rPr>
              <w:t> </w:t>
            </w:r>
            <w:r>
              <w:rPr>
                <w:sz w:val="20"/>
              </w:rPr>
              <w:t>recent</w:t>
            </w:r>
            <w:r>
              <w:rPr>
                <w:spacing w:val="-5"/>
                <w:sz w:val="20"/>
              </w:rPr>
              <w:t> </w:t>
            </w:r>
            <w:r>
              <w:rPr>
                <w:sz w:val="20"/>
              </w:rPr>
              <w:t>preceding</w:t>
            </w:r>
          </w:p>
          <w:p>
            <w:pPr>
              <w:pStyle w:val="TableParagraph"/>
              <w:spacing w:line="226" w:lineRule="exact"/>
              <w:ind w:left="911"/>
              <w:rPr>
                <w:sz w:val="20"/>
              </w:rPr>
            </w:pPr>
            <w:r>
              <w:rPr>
                <w:sz w:val="20"/>
              </w:rPr>
              <w:t>fiscal</w:t>
            </w:r>
            <w:r>
              <w:rPr>
                <w:spacing w:val="-5"/>
                <w:sz w:val="20"/>
              </w:rPr>
              <w:t> </w:t>
            </w:r>
            <w:r>
              <w:rPr>
                <w:sz w:val="20"/>
              </w:rPr>
              <w:t>year</w:t>
            </w:r>
            <w:r>
              <w:rPr>
                <w:spacing w:val="-5"/>
                <w:sz w:val="20"/>
              </w:rPr>
              <w:t> </w:t>
            </w:r>
            <w:r>
              <w:rPr>
                <w:sz w:val="20"/>
              </w:rPr>
              <w:t>for</w:t>
            </w:r>
            <w:r>
              <w:rPr>
                <w:spacing w:val="-5"/>
                <w:sz w:val="20"/>
              </w:rPr>
              <w:t> </w:t>
            </w:r>
            <w:r>
              <w:rPr>
                <w:sz w:val="20"/>
              </w:rPr>
              <w:t>which</w:t>
            </w:r>
            <w:r>
              <w:rPr>
                <w:spacing w:val="-5"/>
                <w:sz w:val="20"/>
              </w:rPr>
              <w:t> </w:t>
            </w:r>
            <w:r>
              <w:rPr>
                <w:sz w:val="20"/>
              </w:rPr>
              <w:t>the</w:t>
            </w:r>
            <w:r>
              <w:rPr>
                <w:spacing w:val="-5"/>
                <w:sz w:val="20"/>
              </w:rPr>
              <w:t> </w:t>
            </w:r>
            <w:r>
              <w:rPr>
                <w:sz w:val="20"/>
              </w:rPr>
              <w:t>information</w:t>
            </w:r>
            <w:r>
              <w:rPr>
                <w:spacing w:val="-5"/>
                <w:sz w:val="20"/>
              </w:rPr>
              <w:t> </w:t>
            </w:r>
            <w:r>
              <w:rPr>
                <w:sz w:val="20"/>
              </w:rPr>
              <w:t>is</w:t>
            </w:r>
            <w:r>
              <w:rPr>
                <w:spacing w:val="-5"/>
                <w:sz w:val="20"/>
              </w:rPr>
              <w:t> </w:t>
            </w:r>
            <w:r>
              <w:rPr>
                <w:sz w:val="20"/>
              </w:rPr>
              <w:t>available.</w:t>
            </w:r>
            <w:r>
              <w:rPr>
                <w:spacing w:val="37"/>
                <w:sz w:val="20"/>
              </w:rPr>
              <w:t> </w:t>
            </w:r>
            <w:r>
              <w:rPr>
                <w:sz w:val="20"/>
              </w:rPr>
              <w:t>Allowance may be made for—</w:t>
            </w:r>
          </w:p>
        </w:tc>
      </w:tr>
    </w:tbl>
    <w:p>
      <w:pPr>
        <w:pStyle w:val="TableParagraph"/>
        <w:spacing w:after="0" w:line="226" w:lineRule="exact"/>
        <w:rPr>
          <w:sz w:val="20"/>
        </w:rPr>
        <w:sectPr>
          <w:pgSz w:w="12240" w:h="15840"/>
          <w:pgMar w:header="0" w:footer="879" w:top="142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38"/>
        <w:gridCol w:w="1440"/>
        <w:gridCol w:w="6482"/>
      </w:tblGrid>
      <w:tr>
        <w:trPr>
          <w:trHeight w:val="410" w:hRule="atLeast"/>
        </w:trPr>
        <w:tc>
          <w:tcPr>
            <w:tcW w:w="1438" w:type="dxa"/>
            <w:tcBorders>
              <w:bottom w:val="nil"/>
              <w:right w:val="single" w:sz="6" w:space="0" w:color="000000"/>
            </w:tcBorders>
            <w:shd w:val="clear" w:color="auto" w:fill="F2F2F2"/>
          </w:tcPr>
          <w:p>
            <w:pPr>
              <w:pStyle w:val="TableParagraph"/>
              <w:spacing w:before="119"/>
              <w:ind w:left="153" w:right="134"/>
              <w:jc w:val="center"/>
              <w:rPr>
                <w:b/>
                <w:sz w:val="20"/>
              </w:rPr>
            </w:pPr>
            <w:r>
              <w:rPr>
                <w:b/>
                <w:spacing w:val="-5"/>
                <w:sz w:val="20"/>
              </w:rPr>
              <w:t>Yes</w:t>
            </w:r>
          </w:p>
        </w:tc>
        <w:tc>
          <w:tcPr>
            <w:tcW w:w="1440" w:type="dxa"/>
            <w:tcBorders>
              <w:left w:val="single" w:sz="6" w:space="0" w:color="000000"/>
              <w:bottom w:val="nil"/>
              <w:right w:val="single" w:sz="6" w:space="0" w:color="000000"/>
            </w:tcBorders>
            <w:shd w:val="clear" w:color="auto" w:fill="F2F2F2"/>
          </w:tcPr>
          <w:p>
            <w:pPr>
              <w:pStyle w:val="TableParagraph"/>
              <w:spacing w:before="119"/>
              <w:ind w:left="116" w:right="79"/>
              <w:jc w:val="center"/>
              <w:rPr>
                <w:b/>
                <w:sz w:val="20"/>
              </w:rPr>
            </w:pPr>
            <w:r>
              <w:rPr>
                <w:b/>
                <w:spacing w:val="-5"/>
                <w:sz w:val="20"/>
              </w:rPr>
              <w:t>No</w:t>
            </w:r>
          </w:p>
        </w:tc>
        <w:tc>
          <w:tcPr>
            <w:tcW w:w="6482" w:type="dxa"/>
            <w:tcBorders>
              <w:left w:val="single" w:sz="6" w:space="0" w:color="000000"/>
              <w:bottom w:val="nil"/>
            </w:tcBorders>
            <w:shd w:val="clear" w:color="auto" w:fill="F2F2F2"/>
          </w:tcPr>
          <w:p>
            <w:pPr>
              <w:pStyle w:val="TableParagraph"/>
              <w:spacing w:before="119"/>
              <w:ind w:left="44" w:right="1"/>
              <w:jc w:val="center"/>
              <w:rPr>
                <w:b/>
                <w:sz w:val="20"/>
              </w:rPr>
            </w:pPr>
            <w:r>
              <w:rPr>
                <w:b/>
                <w:spacing w:val="-2"/>
                <w:sz w:val="20"/>
              </w:rPr>
              <w:t>Subpart</w:t>
            </w:r>
            <w:r>
              <w:rPr>
                <w:b/>
                <w:spacing w:val="4"/>
                <w:sz w:val="20"/>
              </w:rPr>
              <w:t> </w:t>
            </w:r>
            <w:r>
              <w:rPr>
                <w:b/>
                <w:spacing w:val="-2"/>
                <w:sz w:val="20"/>
              </w:rPr>
              <w:t>B—Assurances</w:t>
            </w:r>
          </w:p>
        </w:tc>
      </w:tr>
      <w:tr>
        <w:trPr>
          <w:trHeight w:val="1778" w:hRule="atLeast"/>
        </w:trPr>
        <w:tc>
          <w:tcPr>
            <w:tcW w:w="1438" w:type="dxa"/>
            <w:tcBorders>
              <w:top w:val="nil"/>
              <w:bottom w:val="nil"/>
              <w:right w:val="single" w:sz="6" w:space="0" w:color="000000"/>
            </w:tcBorders>
            <w:shd w:val="clear" w:color="auto" w:fill="F2F2F2"/>
          </w:tcPr>
          <w:p>
            <w:pPr>
              <w:pStyle w:val="TableParagraph"/>
              <w:spacing w:before="58"/>
              <w:ind w:left="153" w:right="133"/>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6" w:space="0" w:color="000000"/>
              <w:bottom w:val="nil"/>
              <w:right w:val="single" w:sz="6" w:space="0" w:color="000000"/>
            </w:tcBorders>
            <w:shd w:val="clear" w:color="auto" w:fill="F2F2F2"/>
          </w:tcPr>
          <w:p>
            <w:pPr>
              <w:pStyle w:val="TableParagraph"/>
              <w:spacing w:before="58"/>
              <w:ind w:left="116" w:right="78"/>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35" w:right="95" w:hanging="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2" w:type="dxa"/>
            <w:tcBorders>
              <w:top w:val="nil"/>
              <w:left w:val="single" w:sz="6" w:space="0" w:color="000000"/>
              <w:bottom w:val="nil"/>
            </w:tcBorders>
            <w:shd w:val="clear" w:color="auto" w:fill="F2F2F2"/>
          </w:tcPr>
          <w:p>
            <w:pPr>
              <w:pStyle w:val="TableParagraph"/>
              <w:spacing w:before="67"/>
              <w:ind w:left="44"/>
              <w:jc w:val="center"/>
              <w:rPr>
                <w:sz w:val="16"/>
              </w:rPr>
            </w:pPr>
            <w:r>
              <w:rPr>
                <w:sz w:val="16"/>
              </w:rPr>
              <w:t>(20</w:t>
            </w:r>
            <w:r>
              <w:rPr>
                <w:spacing w:val="-5"/>
                <w:sz w:val="16"/>
              </w:rPr>
              <w:t> </w:t>
            </w:r>
            <w:r>
              <w:rPr>
                <w:sz w:val="16"/>
              </w:rPr>
              <w:t>U.S.C.</w:t>
            </w:r>
            <w:r>
              <w:rPr>
                <w:spacing w:val="-4"/>
                <w:sz w:val="16"/>
              </w:rPr>
              <w:t> </w:t>
            </w:r>
            <w:r>
              <w:rPr>
                <w:sz w:val="16"/>
              </w:rPr>
              <w:t>1434;</w:t>
            </w:r>
            <w:r>
              <w:rPr>
                <w:spacing w:val="-5"/>
                <w:sz w:val="16"/>
              </w:rPr>
              <w:t> </w:t>
            </w:r>
            <w:r>
              <w:rPr>
                <w:sz w:val="16"/>
              </w:rPr>
              <w:t>1435;</w:t>
            </w:r>
            <w:r>
              <w:rPr>
                <w:spacing w:val="-4"/>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4"/>
                <w:sz w:val="16"/>
              </w:rPr>
              <w:t> </w:t>
            </w:r>
            <w:r>
              <w:rPr>
                <w:sz w:val="16"/>
              </w:rPr>
              <w:t>303.220;</w:t>
            </w:r>
            <w:r>
              <w:rPr>
                <w:spacing w:val="-5"/>
                <w:sz w:val="16"/>
              </w:rPr>
              <w:t> </w:t>
            </w:r>
            <w:r>
              <w:rPr>
                <w:spacing w:val="-2"/>
                <w:sz w:val="16"/>
              </w:rPr>
              <w:t>303.227)</w:t>
            </w:r>
          </w:p>
        </w:tc>
      </w:tr>
      <w:tr>
        <w:trPr>
          <w:trHeight w:val="728" w:hRule="atLeast"/>
        </w:trPr>
        <w:tc>
          <w:tcPr>
            <w:tcW w:w="1438" w:type="dxa"/>
            <w:tcBorders>
              <w:top w:val="nil"/>
              <w:right w:val="single" w:sz="6" w:space="0" w:color="000000"/>
            </w:tcBorders>
            <w:shd w:val="clear" w:color="auto" w:fill="F2F2F2"/>
          </w:tcPr>
          <w:p>
            <w:pPr>
              <w:pStyle w:val="TableParagraph"/>
              <w:rPr>
                <w:rFonts w:ascii="Times New Roman"/>
                <w:sz w:val="18"/>
              </w:rPr>
            </w:pPr>
          </w:p>
        </w:tc>
        <w:tc>
          <w:tcPr>
            <w:tcW w:w="1440" w:type="dxa"/>
            <w:tcBorders>
              <w:top w:val="nil"/>
              <w:left w:val="single" w:sz="6" w:space="0" w:color="000000"/>
              <w:right w:val="single" w:sz="6" w:space="0" w:color="000000"/>
            </w:tcBorders>
            <w:shd w:val="clear" w:color="auto" w:fill="F2F2F2"/>
          </w:tcPr>
          <w:p>
            <w:pPr>
              <w:pStyle w:val="TableParagraph"/>
              <w:spacing w:before="56"/>
              <w:ind w:left="371" w:hanging="227"/>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2" w:type="dxa"/>
            <w:tcBorders>
              <w:top w:val="nil"/>
              <w:left w:val="single" w:sz="6" w:space="0" w:color="000000"/>
            </w:tcBorders>
            <w:shd w:val="clear" w:color="auto" w:fill="F2F2F2"/>
          </w:tcPr>
          <w:p>
            <w:pPr>
              <w:pStyle w:val="TableParagraph"/>
              <w:rPr>
                <w:rFonts w:ascii="Times New Roman"/>
                <w:sz w:val="18"/>
              </w:rPr>
            </w:pPr>
          </w:p>
        </w:tc>
      </w:tr>
      <w:tr>
        <w:trPr>
          <w:trHeight w:val="5759" w:hRule="atLeast"/>
        </w:trPr>
        <w:tc>
          <w:tcPr>
            <w:tcW w:w="1438" w:type="dxa"/>
            <w:tcBorders>
              <w:bottom w:val="single" w:sz="6" w:space="0" w:color="000000"/>
              <w:right w:val="single" w:sz="6" w:space="0" w:color="000000"/>
            </w:tcBorders>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left w:val="single" w:sz="6" w:space="0" w:color="000000"/>
              <w:bottom w:val="single" w:sz="6" w:space="0" w:color="000000"/>
            </w:tcBorders>
          </w:tcPr>
          <w:p>
            <w:pPr>
              <w:pStyle w:val="TableParagraph"/>
              <w:numPr>
                <w:ilvl w:val="0"/>
                <w:numId w:val="28"/>
              </w:numPr>
              <w:tabs>
                <w:tab w:pos="1181" w:val="left" w:leader="none"/>
              </w:tabs>
              <w:spacing w:line="240" w:lineRule="auto" w:before="0" w:after="0"/>
              <w:ind w:left="1181" w:right="206" w:hanging="342"/>
              <w:jc w:val="left"/>
              <w:rPr>
                <w:sz w:val="20"/>
              </w:rPr>
            </w:pPr>
            <w:r>
              <w:rPr>
                <w:sz w:val="20"/>
              </w:rPr>
              <w:t>A</w:t>
            </w:r>
            <w:r>
              <w:rPr>
                <w:spacing w:val="-14"/>
                <w:sz w:val="20"/>
              </w:rPr>
              <w:t> </w:t>
            </w:r>
            <w:r>
              <w:rPr>
                <w:sz w:val="20"/>
              </w:rPr>
              <w:t>decrease</w:t>
            </w:r>
            <w:r>
              <w:rPr>
                <w:spacing w:val="-5"/>
                <w:sz w:val="20"/>
              </w:rPr>
              <w:t> </w:t>
            </w:r>
            <w:r>
              <w:rPr>
                <w:sz w:val="20"/>
              </w:rPr>
              <w:t>in</w:t>
            </w:r>
            <w:r>
              <w:rPr>
                <w:spacing w:val="-4"/>
                <w:sz w:val="20"/>
              </w:rPr>
              <w:t> </w:t>
            </w:r>
            <w:r>
              <w:rPr>
                <w:sz w:val="20"/>
              </w:rPr>
              <w:t>the</w:t>
            </w:r>
            <w:r>
              <w:rPr>
                <w:spacing w:val="-4"/>
                <w:sz w:val="20"/>
              </w:rPr>
              <w:t> </w:t>
            </w:r>
            <w:r>
              <w:rPr>
                <w:sz w:val="20"/>
              </w:rPr>
              <w:t>number</w:t>
            </w:r>
            <w:r>
              <w:rPr>
                <w:spacing w:val="-4"/>
                <w:sz w:val="20"/>
              </w:rPr>
              <w:t> </w:t>
            </w:r>
            <w:r>
              <w:rPr>
                <w:sz w:val="20"/>
              </w:rPr>
              <w:t>of</w:t>
            </w:r>
            <w:r>
              <w:rPr>
                <w:spacing w:val="-4"/>
                <w:sz w:val="20"/>
              </w:rPr>
              <w:t> </w:t>
            </w:r>
            <w:r>
              <w:rPr>
                <w:sz w:val="20"/>
              </w:rPr>
              <w:t>infants</w:t>
            </w:r>
            <w:r>
              <w:rPr>
                <w:spacing w:val="-4"/>
                <w:sz w:val="20"/>
              </w:rPr>
              <w:t> </w:t>
            </w:r>
            <w:r>
              <w:rPr>
                <w:sz w:val="20"/>
              </w:rPr>
              <w:t>and</w:t>
            </w:r>
            <w:r>
              <w:rPr>
                <w:spacing w:val="-4"/>
                <w:sz w:val="20"/>
              </w:rPr>
              <w:t> </w:t>
            </w:r>
            <w:r>
              <w:rPr>
                <w:sz w:val="20"/>
              </w:rPr>
              <w:t>toddlers</w:t>
            </w:r>
            <w:r>
              <w:rPr>
                <w:spacing w:val="-4"/>
                <w:sz w:val="20"/>
              </w:rPr>
              <w:t> </w:t>
            </w:r>
            <w:r>
              <w:rPr>
                <w:sz w:val="20"/>
              </w:rPr>
              <w:t>who</w:t>
            </w:r>
            <w:r>
              <w:rPr>
                <w:spacing w:val="-4"/>
                <w:sz w:val="20"/>
              </w:rPr>
              <w:t> </w:t>
            </w:r>
            <w:r>
              <w:rPr>
                <w:sz w:val="20"/>
              </w:rPr>
              <w:t>are eligible to receive early intervention services under this part; and</w:t>
            </w:r>
          </w:p>
          <w:p>
            <w:pPr>
              <w:pStyle w:val="TableParagraph"/>
              <w:numPr>
                <w:ilvl w:val="0"/>
                <w:numId w:val="28"/>
              </w:numPr>
              <w:tabs>
                <w:tab w:pos="1137" w:val="left" w:leader="none"/>
                <w:tab w:pos="1181" w:val="left" w:leader="none"/>
              </w:tabs>
              <w:spacing w:line="240" w:lineRule="auto" w:before="0" w:after="0"/>
              <w:ind w:left="1181" w:right="147" w:hanging="342"/>
              <w:jc w:val="left"/>
              <w:rPr>
                <w:sz w:val="20"/>
              </w:rPr>
            </w:pPr>
            <w:r>
              <w:rPr>
                <w:sz w:val="20"/>
              </w:rPr>
              <w:t>Unusually</w:t>
            </w:r>
            <w:r>
              <w:rPr>
                <w:spacing w:val="-5"/>
                <w:sz w:val="20"/>
              </w:rPr>
              <w:t> </w:t>
            </w:r>
            <w:r>
              <w:rPr>
                <w:sz w:val="20"/>
              </w:rPr>
              <w:t>large</w:t>
            </w:r>
            <w:r>
              <w:rPr>
                <w:spacing w:val="-5"/>
                <w:sz w:val="20"/>
              </w:rPr>
              <w:t> </w:t>
            </w:r>
            <w:r>
              <w:rPr>
                <w:sz w:val="20"/>
              </w:rPr>
              <w:t>amounts</w:t>
            </w:r>
            <w:r>
              <w:rPr>
                <w:spacing w:val="-5"/>
                <w:sz w:val="20"/>
              </w:rPr>
              <w:t> </w:t>
            </w:r>
            <w:r>
              <w:rPr>
                <w:sz w:val="20"/>
              </w:rPr>
              <w:t>of</w:t>
            </w:r>
            <w:r>
              <w:rPr>
                <w:spacing w:val="-4"/>
                <w:sz w:val="20"/>
              </w:rPr>
              <w:t> </w:t>
            </w:r>
            <w:r>
              <w:rPr>
                <w:sz w:val="20"/>
              </w:rPr>
              <w:t>funds</w:t>
            </w:r>
            <w:r>
              <w:rPr>
                <w:spacing w:val="-5"/>
                <w:sz w:val="20"/>
              </w:rPr>
              <w:t> </w:t>
            </w:r>
            <w:r>
              <w:rPr>
                <w:sz w:val="20"/>
              </w:rPr>
              <w:t>expended</w:t>
            </w:r>
            <w:r>
              <w:rPr>
                <w:spacing w:val="-5"/>
                <w:sz w:val="20"/>
              </w:rPr>
              <w:t> </w:t>
            </w:r>
            <w:r>
              <w:rPr>
                <w:sz w:val="20"/>
              </w:rPr>
              <w:t>for</w:t>
            </w:r>
            <w:r>
              <w:rPr>
                <w:spacing w:val="-5"/>
                <w:sz w:val="20"/>
              </w:rPr>
              <w:t> </w:t>
            </w:r>
            <w:r>
              <w:rPr>
                <w:sz w:val="20"/>
              </w:rPr>
              <w:t>such</w:t>
            </w:r>
            <w:r>
              <w:rPr>
                <w:spacing w:val="-5"/>
                <w:sz w:val="20"/>
              </w:rPr>
              <w:t> </w:t>
            </w:r>
            <w:r>
              <w:rPr>
                <w:sz w:val="20"/>
              </w:rPr>
              <w:t>long- term purposes as the acquisition of equipment and the construction of facilities.</w:t>
            </w:r>
          </w:p>
          <w:p>
            <w:pPr>
              <w:pStyle w:val="TableParagraph"/>
              <w:numPr>
                <w:ilvl w:val="0"/>
                <w:numId w:val="29"/>
              </w:numPr>
              <w:tabs>
                <w:tab w:pos="834" w:val="left" w:leader="none"/>
              </w:tabs>
              <w:spacing w:line="240" w:lineRule="auto" w:before="1" w:after="0"/>
              <w:ind w:left="834" w:right="0" w:hanging="343"/>
              <w:jc w:val="left"/>
              <w:rPr>
                <w:sz w:val="20"/>
              </w:rPr>
            </w:pPr>
            <w:r>
              <w:rPr>
                <w:sz w:val="20"/>
              </w:rPr>
              <w:t>Requirement</w:t>
            </w:r>
            <w:r>
              <w:rPr>
                <w:spacing w:val="-10"/>
                <w:sz w:val="20"/>
              </w:rPr>
              <w:t> </w:t>
            </w:r>
            <w:r>
              <w:rPr>
                <w:sz w:val="20"/>
              </w:rPr>
              <w:t>regarding</w:t>
            </w:r>
            <w:r>
              <w:rPr>
                <w:spacing w:val="-10"/>
                <w:sz w:val="20"/>
              </w:rPr>
              <w:t> </w:t>
            </w:r>
            <w:r>
              <w:rPr>
                <w:sz w:val="20"/>
              </w:rPr>
              <w:t>indirect</w:t>
            </w:r>
            <w:r>
              <w:rPr>
                <w:spacing w:val="-10"/>
                <w:sz w:val="20"/>
              </w:rPr>
              <w:t> </w:t>
            </w:r>
            <w:r>
              <w:rPr>
                <w:spacing w:val="-2"/>
                <w:sz w:val="20"/>
              </w:rPr>
              <w:t>costs.</w:t>
            </w:r>
          </w:p>
          <w:p>
            <w:pPr>
              <w:pStyle w:val="TableParagraph"/>
              <w:numPr>
                <w:ilvl w:val="1"/>
                <w:numId w:val="29"/>
              </w:numPr>
              <w:tabs>
                <w:tab w:pos="1175" w:val="left" w:leader="none"/>
                <w:tab w:pos="1181" w:val="left" w:leader="none"/>
              </w:tabs>
              <w:spacing w:line="237" w:lineRule="auto" w:before="3" w:after="0"/>
              <w:ind w:left="1181" w:right="205" w:hanging="360"/>
              <w:jc w:val="left"/>
              <w:rPr>
                <w:sz w:val="20"/>
              </w:rPr>
            </w:pPr>
            <w:r>
              <w:rPr>
                <w:sz w:val="20"/>
              </w:rPr>
              <w:t>Except as provided in paragraph (c)(2) of this section, a lead</w:t>
            </w:r>
            <w:r>
              <w:rPr>
                <w:spacing w:val="-5"/>
                <w:sz w:val="20"/>
              </w:rPr>
              <w:t> </w:t>
            </w:r>
            <w:r>
              <w:rPr>
                <w:sz w:val="20"/>
              </w:rPr>
              <w:t>agency</w:t>
            </w:r>
            <w:r>
              <w:rPr>
                <w:spacing w:val="-5"/>
                <w:sz w:val="20"/>
              </w:rPr>
              <w:t> </w:t>
            </w:r>
            <w:r>
              <w:rPr>
                <w:sz w:val="20"/>
              </w:rPr>
              <w:t>under</w:t>
            </w:r>
            <w:r>
              <w:rPr>
                <w:spacing w:val="-5"/>
                <w:sz w:val="20"/>
              </w:rPr>
              <w:t> </w:t>
            </w:r>
            <w:r>
              <w:rPr>
                <w:sz w:val="20"/>
              </w:rPr>
              <w:t>this</w:t>
            </w:r>
            <w:r>
              <w:rPr>
                <w:spacing w:val="-5"/>
                <w:sz w:val="20"/>
              </w:rPr>
              <w:t> </w:t>
            </w:r>
            <w:r>
              <w:rPr>
                <w:sz w:val="20"/>
              </w:rPr>
              <w:t>part</w:t>
            </w:r>
            <w:r>
              <w:rPr>
                <w:spacing w:val="-4"/>
                <w:sz w:val="20"/>
              </w:rPr>
              <w:t> </w:t>
            </w:r>
            <w:r>
              <w:rPr>
                <w:sz w:val="20"/>
              </w:rPr>
              <w:t>may</w:t>
            </w:r>
            <w:r>
              <w:rPr>
                <w:spacing w:val="-5"/>
                <w:sz w:val="20"/>
              </w:rPr>
              <w:t> </w:t>
            </w:r>
            <w:r>
              <w:rPr>
                <w:sz w:val="20"/>
              </w:rPr>
              <w:t>not</w:t>
            </w:r>
            <w:r>
              <w:rPr>
                <w:spacing w:val="-5"/>
                <w:sz w:val="20"/>
              </w:rPr>
              <w:t> </w:t>
            </w:r>
            <w:r>
              <w:rPr>
                <w:sz w:val="20"/>
              </w:rPr>
              <w:t>charge</w:t>
            </w:r>
            <w:r>
              <w:rPr>
                <w:spacing w:val="-5"/>
                <w:sz w:val="20"/>
              </w:rPr>
              <w:t> </w:t>
            </w:r>
            <w:r>
              <w:rPr>
                <w:sz w:val="20"/>
              </w:rPr>
              <w:t>indirect</w:t>
            </w:r>
            <w:r>
              <w:rPr>
                <w:spacing w:val="-5"/>
                <w:sz w:val="20"/>
              </w:rPr>
              <w:t> </w:t>
            </w:r>
            <w:r>
              <w:rPr>
                <w:sz w:val="20"/>
              </w:rPr>
              <w:t>costs to its Part C grant.</w:t>
            </w:r>
          </w:p>
          <w:p>
            <w:pPr>
              <w:pStyle w:val="TableParagraph"/>
              <w:numPr>
                <w:ilvl w:val="1"/>
                <w:numId w:val="29"/>
              </w:numPr>
              <w:tabs>
                <w:tab w:pos="1181" w:val="left" w:leader="none"/>
                <w:tab w:pos="1193" w:val="left" w:leader="none"/>
              </w:tabs>
              <w:spacing w:line="240" w:lineRule="auto" w:before="1" w:after="0"/>
              <w:ind w:left="1181" w:right="221" w:hanging="342"/>
              <w:jc w:val="left"/>
              <w:rPr>
                <w:sz w:val="20"/>
              </w:rPr>
            </w:pPr>
            <w:r>
              <w:rPr>
                <w:sz w:val="20"/>
              </w:rPr>
              <w:t>If</w:t>
            </w:r>
            <w:r>
              <w:rPr>
                <w:sz w:val="20"/>
              </w:rPr>
              <w:t> approved by the lead agency’s cognizant Federal agency</w:t>
            </w:r>
            <w:r>
              <w:rPr>
                <w:spacing w:val="-6"/>
                <w:sz w:val="20"/>
              </w:rPr>
              <w:t> </w:t>
            </w:r>
            <w:r>
              <w:rPr>
                <w:sz w:val="20"/>
              </w:rPr>
              <w:t>or</w:t>
            </w:r>
            <w:r>
              <w:rPr>
                <w:spacing w:val="-6"/>
                <w:sz w:val="20"/>
              </w:rPr>
              <w:t> </w:t>
            </w:r>
            <w:r>
              <w:rPr>
                <w:sz w:val="20"/>
              </w:rPr>
              <w:t>by</w:t>
            </w:r>
            <w:r>
              <w:rPr>
                <w:spacing w:val="-6"/>
                <w:sz w:val="20"/>
              </w:rPr>
              <w:t> </w:t>
            </w:r>
            <w:r>
              <w:rPr>
                <w:sz w:val="20"/>
              </w:rPr>
              <w:t>the</w:t>
            </w:r>
            <w:r>
              <w:rPr>
                <w:spacing w:val="-6"/>
                <w:sz w:val="20"/>
              </w:rPr>
              <w:t> </w:t>
            </w:r>
            <w:r>
              <w:rPr>
                <w:sz w:val="20"/>
              </w:rPr>
              <w:t>Secretary,</w:t>
            </w:r>
            <w:r>
              <w:rPr>
                <w:spacing w:val="-6"/>
                <w:sz w:val="20"/>
              </w:rPr>
              <w:t> </w:t>
            </w:r>
            <w:r>
              <w:rPr>
                <w:sz w:val="20"/>
              </w:rPr>
              <w:t>the</w:t>
            </w:r>
            <w:r>
              <w:rPr>
                <w:spacing w:val="-6"/>
                <w:sz w:val="20"/>
              </w:rPr>
              <w:t> </w:t>
            </w:r>
            <w:r>
              <w:rPr>
                <w:sz w:val="20"/>
              </w:rPr>
              <w:t>lead</w:t>
            </w:r>
            <w:r>
              <w:rPr>
                <w:spacing w:val="-6"/>
                <w:sz w:val="20"/>
              </w:rPr>
              <w:t> </w:t>
            </w:r>
            <w:r>
              <w:rPr>
                <w:sz w:val="20"/>
              </w:rPr>
              <w:t>agency</w:t>
            </w:r>
            <w:r>
              <w:rPr>
                <w:spacing w:val="-6"/>
                <w:sz w:val="20"/>
              </w:rPr>
              <w:t> </w:t>
            </w:r>
            <w:r>
              <w:rPr>
                <w:sz w:val="20"/>
              </w:rPr>
              <w:t>must</w:t>
            </w:r>
            <w:r>
              <w:rPr>
                <w:spacing w:val="-6"/>
                <w:sz w:val="20"/>
              </w:rPr>
              <w:t> </w:t>
            </w:r>
            <w:r>
              <w:rPr>
                <w:sz w:val="20"/>
              </w:rPr>
              <w:t>charge indirect costs through either—</w:t>
            </w:r>
          </w:p>
          <w:p>
            <w:pPr>
              <w:pStyle w:val="TableParagraph"/>
              <w:numPr>
                <w:ilvl w:val="2"/>
                <w:numId w:val="29"/>
              </w:numPr>
              <w:tabs>
                <w:tab w:pos="1487" w:val="left" w:leader="none"/>
                <w:tab w:pos="1541" w:val="left" w:leader="none"/>
              </w:tabs>
              <w:spacing w:line="240" w:lineRule="auto" w:before="1" w:after="0"/>
              <w:ind w:left="1541" w:right="437" w:hanging="330"/>
              <w:jc w:val="left"/>
              <w:rPr>
                <w:sz w:val="20"/>
              </w:rPr>
            </w:pPr>
            <w:r>
              <w:rPr>
                <w:sz w:val="20"/>
              </w:rPr>
              <w:t>A restricted indirect cost rate that meets the requirements</w:t>
            </w:r>
            <w:r>
              <w:rPr>
                <w:spacing w:val="-6"/>
                <w:sz w:val="20"/>
              </w:rPr>
              <w:t> </w:t>
            </w:r>
            <w:r>
              <w:rPr>
                <w:sz w:val="20"/>
              </w:rPr>
              <w:t>in</w:t>
            </w:r>
            <w:r>
              <w:rPr>
                <w:spacing w:val="-6"/>
                <w:sz w:val="20"/>
              </w:rPr>
              <w:t> </w:t>
            </w:r>
            <w:r>
              <w:rPr>
                <w:sz w:val="20"/>
              </w:rPr>
              <w:t>34</w:t>
            </w:r>
            <w:r>
              <w:rPr>
                <w:spacing w:val="-6"/>
                <w:sz w:val="20"/>
              </w:rPr>
              <w:t> </w:t>
            </w:r>
            <w:r>
              <w:rPr>
                <w:sz w:val="20"/>
              </w:rPr>
              <w:t>CFR</w:t>
            </w:r>
            <w:r>
              <w:rPr>
                <w:spacing w:val="-7"/>
                <w:sz w:val="20"/>
              </w:rPr>
              <w:t> </w:t>
            </w:r>
            <w:r>
              <w:rPr>
                <w:sz w:val="20"/>
              </w:rPr>
              <w:t>76.560</w:t>
            </w:r>
            <w:r>
              <w:rPr>
                <w:spacing w:val="-6"/>
                <w:sz w:val="20"/>
              </w:rPr>
              <w:t> </w:t>
            </w:r>
            <w:r>
              <w:rPr>
                <w:sz w:val="20"/>
              </w:rPr>
              <w:t>through</w:t>
            </w:r>
            <w:r>
              <w:rPr>
                <w:spacing w:val="-6"/>
                <w:sz w:val="20"/>
              </w:rPr>
              <w:t> </w:t>
            </w:r>
            <w:r>
              <w:rPr>
                <w:sz w:val="20"/>
              </w:rPr>
              <w:t>76.569;</w:t>
            </w:r>
            <w:r>
              <w:rPr>
                <w:spacing w:val="-6"/>
                <w:sz w:val="20"/>
              </w:rPr>
              <w:t> </w:t>
            </w:r>
            <w:r>
              <w:rPr>
                <w:sz w:val="20"/>
              </w:rPr>
              <w:t>or</w:t>
            </w:r>
          </w:p>
          <w:p>
            <w:pPr>
              <w:pStyle w:val="TableParagraph"/>
              <w:numPr>
                <w:ilvl w:val="2"/>
                <w:numId w:val="29"/>
              </w:numPr>
              <w:tabs>
                <w:tab w:pos="1530" w:val="left" w:leader="none"/>
                <w:tab w:pos="1541" w:val="left" w:leader="none"/>
              </w:tabs>
              <w:spacing w:line="240" w:lineRule="auto" w:before="1" w:after="0"/>
              <w:ind w:left="1541" w:right="242" w:hanging="330"/>
              <w:jc w:val="left"/>
              <w:rPr>
                <w:sz w:val="20"/>
              </w:rPr>
            </w:pPr>
            <w:r>
              <w:rPr>
                <w:sz w:val="20"/>
              </w:rPr>
              <w:t>A</w:t>
            </w:r>
            <w:r>
              <w:rPr>
                <w:spacing w:val="-14"/>
                <w:sz w:val="20"/>
              </w:rPr>
              <w:t> </w:t>
            </w:r>
            <w:r>
              <w:rPr>
                <w:sz w:val="20"/>
              </w:rPr>
              <w:t>cost</w:t>
            </w:r>
            <w:r>
              <w:rPr>
                <w:spacing w:val="-7"/>
                <w:sz w:val="20"/>
              </w:rPr>
              <w:t> </w:t>
            </w:r>
            <w:r>
              <w:rPr>
                <w:sz w:val="20"/>
              </w:rPr>
              <w:t>allocation</w:t>
            </w:r>
            <w:r>
              <w:rPr>
                <w:spacing w:val="-5"/>
                <w:sz w:val="20"/>
              </w:rPr>
              <w:t> </w:t>
            </w:r>
            <w:r>
              <w:rPr>
                <w:sz w:val="20"/>
              </w:rPr>
              <w:t>plan</w:t>
            </w:r>
            <w:r>
              <w:rPr>
                <w:spacing w:val="-5"/>
                <w:sz w:val="20"/>
              </w:rPr>
              <w:t> </w:t>
            </w:r>
            <w:r>
              <w:rPr>
                <w:sz w:val="20"/>
              </w:rPr>
              <w:t>that</w:t>
            </w:r>
            <w:r>
              <w:rPr>
                <w:spacing w:val="-5"/>
                <w:sz w:val="20"/>
              </w:rPr>
              <w:t> </w:t>
            </w:r>
            <w:r>
              <w:rPr>
                <w:sz w:val="20"/>
              </w:rPr>
              <w:t>meets</w:t>
            </w:r>
            <w:r>
              <w:rPr>
                <w:spacing w:val="-5"/>
                <w:sz w:val="20"/>
              </w:rPr>
              <w:t> </w:t>
            </w:r>
            <w:r>
              <w:rPr>
                <w:sz w:val="20"/>
              </w:rPr>
              <w:t>the</w:t>
            </w:r>
            <w:r>
              <w:rPr>
                <w:spacing w:val="-5"/>
                <w:sz w:val="20"/>
              </w:rPr>
              <w:t> </w:t>
            </w:r>
            <w:r>
              <w:rPr>
                <w:sz w:val="20"/>
              </w:rPr>
              <w:t>non-supplanting requirements in paragraph (b) of this section and 34 CFR Part 76 of EDGAR.</w:t>
            </w:r>
          </w:p>
          <w:p>
            <w:pPr>
              <w:pStyle w:val="TableParagraph"/>
              <w:numPr>
                <w:ilvl w:val="1"/>
                <w:numId w:val="29"/>
              </w:numPr>
              <w:tabs>
                <w:tab w:pos="1175" w:val="left" w:leader="none"/>
                <w:tab w:pos="1181" w:val="left" w:leader="none"/>
              </w:tabs>
              <w:spacing w:line="240" w:lineRule="auto" w:before="1" w:after="0"/>
              <w:ind w:left="1181" w:right="341" w:hanging="360"/>
              <w:jc w:val="left"/>
              <w:rPr>
                <w:sz w:val="20"/>
              </w:rPr>
            </w:pPr>
            <w:r>
              <w:rPr>
                <w:sz w:val="20"/>
              </w:rPr>
              <w:t>In charging indirect costs under paragraph (c)(2)(i) and (c)(2)(ii)</w:t>
            </w:r>
            <w:r>
              <w:rPr>
                <w:spacing w:val="-5"/>
                <w:sz w:val="20"/>
              </w:rPr>
              <w:t> </w:t>
            </w:r>
            <w:r>
              <w:rPr>
                <w:sz w:val="20"/>
              </w:rPr>
              <w:t>of</w:t>
            </w:r>
            <w:r>
              <w:rPr>
                <w:spacing w:val="-5"/>
                <w:sz w:val="20"/>
              </w:rPr>
              <w:t> </w:t>
            </w:r>
            <w:r>
              <w:rPr>
                <w:sz w:val="20"/>
              </w:rPr>
              <w:t>this</w:t>
            </w:r>
            <w:r>
              <w:rPr>
                <w:spacing w:val="-5"/>
                <w:sz w:val="20"/>
              </w:rPr>
              <w:t> </w:t>
            </w:r>
            <w:r>
              <w:rPr>
                <w:sz w:val="20"/>
              </w:rPr>
              <w:t>section,</w:t>
            </w:r>
            <w:r>
              <w:rPr>
                <w:spacing w:val="-5"/>
                <w:sz w:val="20"/>
              </w:rPr>
              <w:t> </w:t>
            </w:r>
            <w:r>
              <w:rPr>
                <w:sz w:val="20"/>
              </w:rPr>
              <w:t>the</w:t>
            </w:r>
            <w:r>
              <w:rPr>
                <w:spacing w:val="-5"/>
                <w:sz w:val="20"/>
              </w:rPr>
              <w:t> </w:t>
            </w:r>
            <w:r>
              <w:rPr>
                <w:sz w:val="20"/>
              </w:rPr>
              <w:t>lead</w:t>
            </w:r>
            <w:r>
              <w:rPr>
                <w:spacing w:val="-5"/>
                <w:sz w:val="20"/>
              </w:rPr>
              <w:t> </w:t>
            </w:r>
            <w:r>
              <w:rPr>
                <w:sz w:val="20"/>
              </w:rPr>
              <w:t>agency</w:t>
            </w:r>
            <w:r>
              <w:rPr>
                <w:spacing w:val="-5"/>
                <w:sz w:val="20"/>
              </w:rPr>
              <w:t> </w:t>
            </w:r>
            <w:r>
              <w:rPr>
                <w:sz w:val="20"/>
              </w:rPr>
              <w:t>may</w:t>
            </w:r>
            <w:r>
              <w:rPr>
                <w:spacing w:val="-5"/>
                <w:sz w:val="20"/>
              </w:rPr>
              <w:t> </w:t>
            </w:r>
            <w:r>
              <w:rPr>
                <w:sz w:val="20"/>
              </w:rPr>
              <w:t>not</w:t>
            </w:r>
            <w:r>
              <w:rPr>
                <w:spacing w:val="-5"/>
                <w:sz w:val="20"/>
              </w:rPr>
              <w:t> </w:t>
            </w:r>
            <w:r>
              <w:rPr>
                <w:sz w:val="20"/>
              </w:rPr>
              <w:t>charge rent,</w:t>
            </w:r>
            <w:r>
              <w:rPr>
                <w:spacing w:val="-4"/>
                <w:sz w:val="20"/>
              </w:rPr>
              <w:t> </w:t>
            </w:r>
            <w:r>
              <w:rPr>
                <w:sz w:val="20"/>
              </w:rPr>
              <w:t>occupancy,</w:t>
            </w:r>
            <w:r>
              <w:rPr>
                <w:spacing w:val="-4"/>
                <w:sz w:val="20"/>
              </w:rPr>
              <w:t> </w:t>
            </w:r>
            <w:r>
              <w:rPr>
                <w:sz w:val="20"/>
              </w:rPr>
              <w:t>or</w:t>
            </w:r>
            <w:r>
              <w:rPr>
                <w:spacing w:val="-4"/>
                <w:sz w:val="20"/>
              </w:rPr>
              <w:t> </w:t>
            </w:r>
            <w:r>
              <w:rPr>
                <w:sz w:val="20"/>
              </w:rPr>
              <w:t>space</w:t>
            </w:r>
            <w:r>
              <w:rPr>
                <w:spacing w:val="-4"/>
                <w:sz w:val="20"/>
              </w:rPr>
              <w:t> </w:t>
            </w:r>
            <w:r>
              <w:rPr>
                <w:sz w:val="20"/>
              </w:rPr>
              <w:t>maintenance</w:t>
            </w:r>
            <w:r>
              <w:rPr>
                <w:spacing w:val="-4"/>
                <w:sz w:val="20"/>
              </w:rPr>
              <w:t> </w:t>
            </w:r>
            <w:r>
              <w:rPr>
                <w:sz w:val="20"/>
              </w:rPr>
              <w:t>costs</w:t>
            </w:r>
            <w:r>
              <w:rPr>
                <w:spacing w:val="-4"/>
                <w:sz w:val="20"/>
              </w:rPr>
              <w:t> </w:t>
            </w:r>
            <w:r>
              <w:rPr>
                <w:sz w:val="20"/>
              </w:rPr>
              <w:t>directly</w:t>
            </w:r>
            <w:r>
              <w:rPr>
                <w:spacing w:val="-4"/>
                <w:sz w:val="20"/>
              </w:rPr>
              <w:t> </w:t>
            </w:r>
            <w:r>
              <w:rPr>
                <w:sz w:val="20"/>
              </w:rPr>
              <w:t>to the Part C grant, unless those costs are specifically approved in advance by the Secretary.</w:t>
            </w:r>
          </w:p>
          <w:p>
            <w:pPr>
              <w:pStyle w:val="TableParagraph"/>
              <w:spacing w:before="118"/>
              <w:ind w:left="461"/>
              <w:rPr>
                <w:sz w:val="20"/>
              </w:rPr>
            </w:pPr>
            <w:r>
              <w:rPr>
                <w:sz w:val="20"/>
              </w:rPr>
              <w:t>(34</w:t>
            </w:r>
            <w:r>
              <w:rPr>
                <w:spacing w:val="-5"/>
                <w:sz w:val="20"/>
              </w:rPr>
              <w:t> </w:t>
            </w:r>
            <w:r>
              <w:rPr>
                <w:sz w:val="20"/>
              </w:rPr>
              <w:t>CFR</w:t>
            </w:r>
            <w:r>
              <w:rPr>
                <w:spacing w:val="-4"/>
                <w:sz w:val="20"/>
              </w:rPr>
              <w:t> </w:t>
            </w:r>
            <w:r>
              <w:rPr>
                <w:spacing w:val="-2"/>
                <w:sz w:val="20"/>
              </w:rPr>
              <w:t>§303.225)</w:t>
            </w:r>
          </w:p>
        </w:tc>
      </w:tr>
      <w:tr>
        <w:trPr>
          <w:trHeight w:val="1391" w:hRule="atLeast"/>
        </w:trPr>
        <w:tc>
          <w:tcPr>
            <w:tcW w:w="1438" w:type="dxa"/>
            <w:tcBorders>
              <w:top w:val="single" w:sz="6" w:space="0" w:color="000000"/>
              <w:bottom w:val="single" w:sz="6" w:space="0" w:color="000000"/>
              <w:right w:val="single" w:sz="6" w:space="0" w:color="000000"/>
            </w:tcBorders>
          </w:tcPr>
          <w:p>
            <w:pPr>
              <w:pStyle w:val="TableParagraph"/>
              <w:rPr>
                <w:sz w:val="20"/>
              </w:rPr>
            </w:pPr>
          </w:p>
          <w:p>
            <w:pPr>
              <w:pStyle w:val="TableParagraph"/>
              <w:spacing w:before="120"/>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top w:val="single" w:sz="6" w:space="0" w:color="000000"/>
              <w:left w:val="single" w:sz="6" w:space="0" w:color="000000"/>
              <w:bottom w:val="single" w:sz="6" w:space="0" w:color="000000"/>
            </w:tcBorders>
          </w:tcPr>
          <w:p>
            <w:pPr>
              <w:pStyle w:val="TableParagraph"/>
              <w:spacing w:before="119"/>
              <w:ind w:left="508" w:hanging="389"/>
              <w:rPr>
                <w:sz w:val="20"/>
              </w:rPr>
            </w:pPr>
            <w:r>
              <w:rPr>
                <w:sz w:val="20"/>
              </w:rPr>
              <w:t>25.</w:t>
            </w:r>
            <w:r>
              <w:rPr>
                <w:spacing w:val="40"/>
                <w:sz w:val="20"/>
              </w:rPr>
              <w:t> </w:t>
            </w:r>
            <w:r>
              <w:rPr>
                <w:sz w:val="20"/>
              </w:rPr>
              <w:t>The Statewide system ensures that fiscal control and fund accounting</w:t>
            </w:r>
            <w:r>
              <w:rPr>
                <w:spacing w:val="-1"/>
                <w:sz w:val="20"/>
              </w:rPr>
              <w:t> </w:t>
            </w:r>
            <w:r>
              <w:rPr>
                <w:sz w:val="20"/>
              </w:rPr>
              <w:t>procedures</w:t>
            </w:r>
            <w:r>
              <w:rPr>
                <w:spacing w:val="-1"/>
                <w:sz w:val="20"/>
              </w:rPr>
              <w:t> </w:t>
            </w:r>
            <w:r>
              <w:rPr>
                <w:sz w:val="20"/>
              </w:rPr>
              <w:t>will</w:t>
            </w:r>
            <w:r>
              <w:rPr>
                <w:spacing w:val="-1"/>
                <w:sz w:val="20"/>
              </w:rPr>
              <w:t> </w:t>
            </w:r>
            <w:r>
              <w:rPr>
                <w:sz w:val="20"/>
              </w:rPr>
              <w:t>be</w:t>
            </w:r>
            <w:r>
              <w:rPr>
                <w:spacing w:val="-1"/>
                <w:sz w:val="20"/>
              </w:rPr>
              <w:t> </w:t>
            </w:r>
            <w:r>
              <w:rPr>
                <w:sz w:val="20"/>
              </w:rPr>
              <w:t>adopted</w:t>
            </w:r>
            <w:r>
              <w:rPr>
                <w:spacing w:val="-1"/>
                <w:sz w:val="20"/>
              </w:rPr>
              <w:t> </w:t>
            </w:r>
            <w:r>
              <w:rPr>
                <w:sz w:val="20"/>
              </w:rPr>
              <w:t>as</w:t>
            </w:r>
            <w:r>
              <w:rPr>
                <w:spacing w:val="-1"/>
                <w:sz w:val="20"/>
              </w:rPr>
              <w:t> </w:t>
            </w:r>
            <w:r>
              <w:rPr>
                <w:sz w:val="20"/>
              </w:rPr>
              <w:t>necessary</w:t>
            </w:r>
            <w:r>
              <w:rPr>
                <w:spacing w:val="-1"/>
                <w:sz w:val="20"/>
              </w:rPr>
              <w:t> </w:t>
            </w:r>
            <w:r>
              <w:rPr>
                <w:sz w:val="20"/>
              </w:rPr>
              <w:t>to</w:t>
            </w:r>
            <w:r>
              <w:rPr>
                <w:spacing w:val="-1"/>
                <w:sz w:val="20"/>
              </w:rPr>
              <w:t> </w:t>
            </w:r>
            <w:r>
              <w:rPr>
                <w:sz w:val="20"/>
              </w:rPr>
              <w:t>ensure proper</w:t>
            </w:r>
            <w:r>
              <w:rPr>
                <w:spacing w:val="-6"/>
                <w:sz w:val="20"/>
              </w:rPr>
              <w:t> </w:t>
            </w:r>
            <w:r>
              <w:rPr>
                <w:sz w:val="20"/>
              </w:rPr>
              <w:t>disbursement</w:t>
            </w:r>
            <w:r>
              <w:rPr>
                <w:spacing w:val="-6"/>
                <w:sz w:val="20"/>
              </w:rPr>
              <w:t> </w:t>
            </w:r>
            <w:r>
              <w:rPr>
                <w:sz w:val="20"/>
              </w:rPr>
              <w:t>of,</w:t>
            </w:r>
            <w:r>
              <w:rPr>
                <w:spacing w:val="-6"/>
                <w:sz w:val="20"/>
              </w:rPr>
              <w:t> </w:t>
            </w:r>
            <w:r>
              <w:rPr>
                <w:sz w:val="20"/>
              </w:rPr>
              <w:t>and</w:t>
            </w:r>
            <w:r>
              <w:rPr>
                <w:spacing w:val="-6"/>
                <w:sz w:val="20"/>
              </w:rPr>
              <w:t> </w:t>
            </w:r>
            <w:r>
              <w:rPr>
                <w:sz w:val="20"/>
              </w:rPr>
              <w:t>accounting</w:t>
            </w:r>
            <w:r>
              <w:rPr>
                <w:spacing w:val="-6"/>
                <w:sz w:val="20"/>
              </w:rPr>
              <w:t> </w:t>
            </w:r>
            <w:r>
              <w:rPr>
                <w:sz w:val="20"/>
              </w:rPr>
              <w:t>for,</w:t>
            </w:r>
            <w:r>
              <w:rPr>
                <w:spacing w:val="-6"/>
                <w:sz w:val="20"/>
              </w:rPr>
              <w:t> </w:t>
            </w:r>
            <w:r>
              <w:rPr>
                <w:sz w:val="20"/>
              </w:rPr>
              <w:t>Federal</w:t>
            </w:r>
            <w:r>
              <w:rPr>
                <w:spacing w:val="-6"/>
                <w:sz w:val="20"/>
              </w:rPr>
              <w:t> </w:t>
            </w:r>
            <w:r>
              <w:rPr>
                <w:sz w:val="20"/>
              </w:rPr>
              <w:t>funds</w:t>
            </w:r>
            <w:r>
              <w:rPr>
                <w:spacing w:val="-6"/>
                <w:sz w:val="20"/>
              </w:rPr>
              <w:t> </w:t>
            </w:r>
            <w:r>
              <w:rPr>
                <w:sz w:val="20"/>
              </w:rPr>
              <w:t>paid under 34 CFR Part 303.</w:t>
            </w:r>
          </w:p>
          <w:p>
            <w:pPr>
              <w:pStyle w:val="TableParagraph"/>
              <w:spacing w:before="2"/>
              <w:ind w:left="511"/>
              <w:rPr>
                <w:sz w:val="20"/>
              </w:rPr>
            </w:pPr>
            <w:r>
              <w:rPr>
                <w:sz w:val="20"/>
              </w:rPr>
              <w:t>(34</w:t>
            </w:r>
            <w:r>
              <w:rPr>
                <w:spacing w:val="-4"/>
                <w:sz w:val="20"/>
              </w:rPr>
              <w:t> </w:t>
            </w:r>
            <w:r>
              <w:rPr>
                <w:sz w:val="20"/>
              </w:rPr>
              <w:t>CFR</w:t>
            </w:r>
            <w:r>
              <w:rPr>
                <w:spacing w:val="-4"/>
                <w:sz w:val="20"/>
              </w:rPr>
              <w:t> </w:t>
            </w:r>
            <w:r>
              <w:rPr>
                <w:spacing w:val="-2"/>
                <w:sz w:val="20"/>
              </w:rPr>
              <w:t>§303.226)</w:t>
            </w:r>
          </w:p>
        </w:tc>
      </w:tr>
      <w:tr>
        <w:trPr>
          <w:trHeight w:val="2658" w:hRule="atLeast"/>
        </w:trPr>
        <w:tc>
          <w:tcPr>
            <w:tcW w:w="1438" w:type="dxa"/>
            <w:tcBorders>
              <w:top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3"/>
              <w:rPr>
                <w:sz w:val="20"/>
              </w:rPr>
            </w:pPr>
          </w:p>
          <w:p>
            <w:pPr>
              <w:pStyle w:val="TableParagraph"/>
              <w:ind w:left="153" w:right="134"/>
              <w:jc w:val="center"/>
              <w:rPr>
                <w:sz w:val="20"/>
              </w:rPr>
            </w:pPr>
            <w:r>
              <w:rPr>
                <w:spacing w:val="-10"/>
                <w:sz w:val="20"/>
              </w:rPr>
              <w:t>X</w:t>
            </w:r>
          </w:p>
        </w:tc>
        <w:tc>
          <w:tcPr>
            <w:tcW w:w="1440"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6482" w:type="dxa"/>
            <w:tcBorders>
              <w:top w:val="single" w:sz="6" w:space="0" w:color="000000"/>
              <w:left w:val="single" w:sz="6" w:space="0" w:color="000000"/>
            </w:tcBorders>
          </w:tcPr>
          <w:p>
            <w:pPr>
              <w:pStyle w:val="TableParagraph"/>
              <w:numPr>
                <w:ilvl w:val="0"/>
                <w:numId w:val="30"/>
              </w:numPr>
              <w:tabs>
                <w:tab w:pos="508" w:val="left" w:leader="none"/>
              </w:tabs>
              <w:spacing w:line="240" w:lineRule="auto" w:before="119" w:after="0"/>
              <w:ind w:left="508" w:right="186" w:hanging="389"/>
              <w:jc w:val="left"/>
              <w:rPr>
                <w:sz w:val="20"/>
              </w:rPr>
            </w:pPr>
            <w:r>
              <w:rPr>
                <w:sz w:val="20"/>
              </w:rPr>
              <w:t>The</w:t>
            </w:r>
            <w:r>
              <w:rPr>
                <w:spacing w:val="-4"/>
                <w:sz w:val="20"/>
              </w:rPr>
              <w:t> </w:t>
            </w:r>
            <w:r>
              <w:rPr>
                <w:sz w:val="20"/>
              </w:rPr>
              <w:t>State</w:t>
            </w:r>
            <w:r>
              <w:rPr>
                <w:spacing w:val="-4"/>
                <w:sz w:val="20"/>
              </w:rPr>
              <w:t> </w:t>
            </w:r>
            <w:r>
              <w:rPr>
                <w:sz w:val="20"/>
              </w:rPr>
              <w:t>ensures</w:t>
            </w:r>
            <w:r>
              <w:rPr>
                <w:spacing w:val="-4"/>
                <w:sz w:val="20"/>
              </w:rPr>
              <w:t> </w:t>
            </w:r>
            <w:r>
              <w:rPr>
                <w:sz w:val="20"/>
              </w:rPr>
              <w:t>that</w:t>
            </w:r>
            <w:r>
              <w:rPr>
                <w:spacing w:val="-4"/>
                <w:sz w:val="20"/>
              </w:rPr>
              <w:t> </w:t>
            </w:r>
            <w:r>
              <w:rPr>
                <w:sz w:val="20"/>
              </w:rPr>
              <w:t>policies</w:t>
            </w:r>
            <w:r>
              <w:rPr>
                <w:spacing w:val="-4"/>
                <w:sz w:val="20"/>
              </w:rPr>
              <w:t> </w:t>
            </w:r>
            <w:r>
              <w:rPr>
                <w:sz w:val="20"/>
              </w:rPr>
              <w:t>and</w:t>
            </w:r>
            <w:r>
              <w:rPr>
                <w:spacing w:val="-4"/>
                <w:sz w:val="20"/>
              </w:rPr>
              <w:t> </w:t>
            </w:r>
            <w:r>
              <w:rPr>
                <w:sz w:val="20"/>
              </w:rPr>
              <w:t>practices</w:t>
            </w:r>
            <w:r>
              <w:rPr>
                <w:spacing w:val="-4"/>
                <w:sz w:val="20"/>
              </w:rPr>
              <w:t> </w:t>
            </w:r>
            <w:r>
              <w:rPr>
                <w:sz w:val="20"/>
              </w:rPr>
              <w:t>have</w:t>
            </w:r>
            <w:r>
              <w:rPr>
                <w:spacing w:val="-4"/>
                <w:sz w:val="20"/>
              </w:rPr>
              <w:t> </w:t>
            </w:r>
            <w:r>
              <w:rPr>
                <w:sz w:val="20"/>
              </w:rPr>
              <w:t>been</w:t>
            </w:r>
            <w:r>
              <w:rPr>
                <w:spacing w:val="-4"/>
                <w:sz w:val="20"/>
              </w:rPr>
              <w:t> </w:t>
            </w:r>
            <w:r>
              <w:rPr>
                <w:sz w:val="20"/>
              </w:rPr>
              <w:t>adopted to ensure that—</w:t>
            </w:r>
          </w:p>
          <w:p>
            <w:pPr>
              <w:pStyle w:val="TableParagraph"/>
              <w:numPr>
                <w:ilvl w:val="1"/>
                <w:numId w:val="30"/>
              </w:numPr>
              <w:tabs>
                <w:tab w:pos="1011" w:val="left" w:leader="none"/>
              </w:tabs>
              <w:spacing w:line="240" w:lineRule="auto" w:before="1" w:after="0"/>
              <w:ind w:left="1011" w:right="421" w:hanging="500"/>
              <w:jc w:val="left"/>
              <w:rPr>
                <w:sz w:val="20"/>
              </w:rPr>
            </w:pPr>
            <w:r>
              <w:rPr>
                <w:sz w:val="20"/>
              </w:rPr>
              <w:t>Traditionally</w:t>
            </w:r>
            <w:r>
              <w:rPr>
                <w:spacing w:val="-12"/>
                <w:sz w:val="20"/>
              </w:rPr>
              <w:t> </w:t>
            </w:r>
            <w:r>
              <w:rPr>
                <w:sz w:val="20"/>
              </w:rPr>
              <w:t>underserved</w:t>
            </w:r>
            <w:r>
              <w:rPr>
                <w:spacing w:val="-12"/>
                <w:sz w:val="20"/>
              </w:rPr>
              <w:t> </w:t>
            </w:r>
            <w:r>
              <w:rPr>
                <w:sz w:val="20"/>
              </w:rPr>
              <w:t>groups,</w:t>
            </w:r>
            <w:r>
              <w:rPr>
                <w:spacing w:val="-12"/>
                <w:sz w:val="20"/>
              </w:rPr>
              <w:t> </w:t>
            </w:r>
            <w:r>
              <w:rPr>
                <w:sz w:val="20"/>
              </w:rPr>
              <w:t>including</w:t>
            </w:r>
            <w:r>
              <w:rPr>
                <w:spacing w:val="-12"/>
                <w:sz w:val="20"/>
              </w:rPr>
              <w:t> </w:t>
            </w:r>
            <w:r>
              <w:rPr>
                <w:sz w:val="20"/>
              </w:rPr>
              <w:t>minority,</w:t>
            </w:r>
            <w:r>
              <w:rPr>
                <w:spacing w:val="-12"/>
                <w:sz w:val="20"/>
              </w:rPr>
              <w:t> </w:t>
            </w:r>
            <w:r>
              <w:rPr>
                <w:sz w:val="20"/>
              </w:rPr>
              <w:t>low- income, homeless, and rural families and children with disabilities who are wards of the State, are meaningfully involved in the planning and implementation of all the requirements of Part C; and</w:t>
            </w:r>
          </w:p>
          <w:p>
            <w:pPr>
              <w:pStyle w:val="TableParagraph"/>
              <w:numPr>
                <w:ilvl w:val="1"/>
                <w:numId w:val="30"/>
              </w:numPr>
              <w:tabs>
                <w:tab w:pos="1012" w:val="left" w:leader="none"/>
              </w:tabs>
              <w:spacing w:line="240" w:lineRule="auto" w:before="0" w:after="0"/>
              <w:ind w:left="1012" w:right="141" w:hanging="504"/>
              <w:jc w:val="left"/>
              <w:rPr>
                <w:sz w:val="20"/>
              </w:rPr>
            </w:pPr>
            <w:r>
              <w:rPr>
                <w:sz w:val="20"/>
              </w:rPr>
              <w:t>These</w:t>
            </w:r>
            <w:r>
              <w:rPr>
                <w:spacing w:val="-6"/>
                <w:sz w:val="20"/>
              </w:rPr>
              <w:t> </w:t>
            </w:r>
            <w:r>
              <w:rPr>
                <w:sz w:val="20"/>
              </w:rPr>
              <w:t>families</w:t>
            </w:r>
            <w:r>
              <w:rPr>
                <w:spacing w:val="-6"/>
                <w:sz w:val="20"/>
              </w:rPr>
              <w:t> </w:t>
            </w:r>
            <w:r>
              <w:rPr>
                <w:sz w:val="20"/>
              </w:rPr>
              <w:t>have</w:t>
            </w:r>
            <w:r>
              <w:rPr>
                <w:spacing w:val="-6"/>
                <w:sz w:val="20"/>
              </w:rPr>
              <w:t> </w:t>
            </w:r>
            <w:r>
              <w:rPr>
                <w:sz w:val="20"/>
              </w:rPr>
              <w:t>access</w:t>
            </w:r>
            <w:r>
              <w:rPr>
                <w:spacing w:val="-6"/>
                <w:sz w:val="20"/>
              </w:rPr>
              <w:t> </w:t>
            </w:r>
            <w:r>
              <w:rPr>
                <w:sz w:val="20"/>
              </w:rPr>
              <w:t>to</w:t>
            </w:r>
            <w:r>
              <w:rPr>
                <w:spacing w:val="-6"/>
                <w:sz w:val="20"/>
              </w:rPr>
              <w:t> </w:t>
            </w:r>
            <w:r>
              <w:rPr>
                <w:sz w:val="20"/>
              </w:rPr>
              <w:t>culturally</w:t>
            </w:r>
            <w:r>
              <w:rPr>
                <w:spacing w:val="-6"/>
                <w:sz w:val="20"/>
              </w:rPr>
              <w:t> </w:t>
            </w:r>
            <w:r>
              <w:rPr>
                <w:sz w:val="20"/>
              </w:rPr>
              <w:t>competent</w:t>
            </w:r>
            <w:r>
              <w:rPr>
                <w:spacing w:val="-6"/>
                <w:sz w:val="20"/>
              </w:rPr>
              <w:t> </w:t>
            </w:r>
            <w:r>
              <w:rPr>
                <w:sz w:val="20"/>
              </w:rPr>
              <w:t>services within their local geographical areas.</w:t>
            </w:r>
          </w:p>
          <w:p>
            <w:pPr>
              <w:pStyle w:val="TableParagraph"/>
              <w:spacing w:before="118"/>
              <w:ind w:left="508"/>
              <w:rPr>
                <w:sz w:val="20"/>
              </w:rPr>
            </w:pPr>
            <w:r>
              <w:rPr>
                <w:sz w:val="20"/>
              </w:rPr>
              <w:t>(34</w:t>
            </w:r>
            <w:r>
              <w:rPr>
                <w:spacing w:val="-4"/>
                <w:sz w:val="20"/>
              </w:rPr>
              <w:t> </w:t>
            </w:r>
            <w:r>
              <w:rPr>
                <w:sz w:val="20"/>
              </w:rPr>
              <w:t>CFR</w:t>
            </w:r>
            <w:r>
              <w:rPr>
                <w:spacing w:val="-4"/>
                <w:sz w:val="20"/>
              </w:rPr>
              <w:t> </w:t>
            </w:r>
            <w:r>
              <w:rPr>
                <w:spacing w:val="-2"/>
                <w:sz w:val="20"/>
              </w:rPr>
              <w:t>§303.227)</w:t>
            </w:r>
          </w:p>
        </w:tc>
      </w:tr>
    </w:tbl>
    <w:p>
      <w:pPr>
        <w:pStyle w:val="TableParagraph"/>
        <w:spacing w:after="0"/>
        <w:rPr>
          <w:sz w:val="20"/>
        </w:rPr>
        <w:sectPr>
          <w:pgSz w:w="12240" w:h="15840"/>
          <w:pgMar w:header="0" w:footer="879" w:top="142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38"/>
        <w:gridCol w:w="1440"/>
        <w:gridCol w:w="6482"/>
      </w:tblGrid>
      <w:tr>
        <w:trPr>
          <w:trHeight w:val="410" w:hRule="atLeast"/>
        </w:trPr>
        <w:tc>
          <w:tcPr>
            <w:tcW w:w="1438" w:type="dxa"/>
            <w:tcBorders>
              <w:bottom w:val="nil"/>
              <w:right w:val="single" w:sz="6" w:space="0" w:color="000000"/>
            </w:tcBorders>
            <w:shd w:val="clear" w:color="auto" w:fill="F2F2F2"/>
          </w:tcPr>
          <w:p>
            <w:pPr>
              <w:pStyle w:val="TableParagraph"/>
              <w:spacing w:before="119"/>
              <w:ind w:left="153" w:right="134"/>
              <w:jc w:val="center"/>
              <w:rPr>
                <w:b/>
                <w:sz w:val="20"/>
              </w:rPr>
            </w:pPr>
            <w:r>
              <w:rPr>
                <w:b/>
                <w:spacing w:val="-5"/>
                <w:sz w:val="20"/>
              </w:rPr>
              <w:t>Yes</w:t>
            </w:r>
          </w:p>
        </w:tc>
        <w:tc>
          <w:tcPr>
            <w:tcW w:w="1440" w:type="dxa"/>
            <w:tcBorders>
              <w:left w:val="single" w:sz="6" w:space="0" w:color="000000"/>
              <w:bottom w:val="nil"/>
              <w:right w:val="single" w:sz="6" w:space="0" w:color="000000"/>
            </w:tcBorders>
            <w:shd w:val="clear" w:color="auto" w:fill="F2F2F2"/>
          </w:tcPr>
          <w:p>
            <w:pPr>
              <w:pStyle w:val="TableParagraph"/>
              <w:spacing w:before="119"/>
              <w:ind w:left="116" w:right="79"/>
              <w:jc w:val="center"/>
              <w:rPr>
                <w:b/>
                <w:sz w:val="20"/>
              </w:rPr>
            </w:pPr>
            <w:r>
              <w:rPr>
                <w:b/>
                <w:spacing w:val="-5"/>
                <w:sz w:val="20"/>
              </w:rPr>
              <w:t>No</w:t>
            </w:r>
          </w:p>
        </w:tc>
        <w:tc>
          <w:tcPr>
            <w:tcW w:w="6482" w:type="dxa"/>
            <w:tcBorders>
              <w:left w:val="single" w:sz="6" w:space="0" w:color="000000"/>
              <w:bottom w:val="nil"/>
            </w:tcBorders>
            <w:shd w:val="clear" w:color="auto" w:fill="F2F2F2"/>
          </w:tcPr>
          <w:p>
            <w:pPr>
              <w:pStyle w:val="TableParagraph"/>
              <w:spacing w:before="119"/>
              <w:ind w:left="44" w:right="1"/>
              <w:jc w:val="center"/>
              <w:rPr>
                <w:b/>
                <w:sz w:val="20"/>
              </w:rPr>
            </w:pPr>
            <w:r>
              <w:rPr>
                <w:b/>
                <w:spacing w:val="-2"/>
                <w:sz w:val="20"/>
              </w:rPr>
              <w:t>Subpart</w:t>
            </w:r>
            <w:r>
              <w:rPr>
                <w:b/>
                <w:spacing w:val="4"/>
                <w:sz w:val="20"/>
              </w:rPr>
              <w:t> </w:t>
            </w:r>
            <w:r>
              <w:rPr>
                <w:b/>
                <w:spacing w:val="-2"/>
                <w:sz w:val="20"/>
              </w:rPr>
              <w:t>B—Assurances</w:t>
            </w:r>
          </w:p>
        </w:tc>
      </w:tr>
      <w:tr>
        <w:trPr>
          <w:trHeight w:val="1778" w:hRule="atLeast"/>
        </w:trPr>
        <w:tc>
          <w:tcPr>
            <w:tcW w:w="1438" w:type="dxa"/>
            <w:tcBorders>
              <w:top w:val="nil"/>
              <w:bottom w:val="nil"/>
              <w:right w:val="single" w:sz="6" w:space="0" w:color="000000"/>
            </w:tcBorders>
            <w:shd w:val="clear" w:color="auto" w:fill="F2F2F2"/>
          </w:tcPr>
          <w:p>
            <w:pPr>
              <w:pStyle w:val="TableParagraph"/>
              <w:spacing w:before="58"/>
              <w:ind w:left="153" w:right="133"/>
              <w:jc w:val="center"/>
              <w:rPr>
                <w:i/>
                <w:sz w:val="16"/>
              </w:rPr>
            </w:pPr>
            <w:r>
              <w:rPr>
                <w:i/>
                <w:sz w:val="16"/>
              </w:rPr>
              <w:t>(Assurance</w:t>
            </w:r>
            <w:r>
              <w:rPr>
                <w:i/>
                <w:spacing w:val="-12"/>
                <w:sz w:val="16"/>
              </w:rPr>
              <w:t> </w:t>
            </w:r>
            <w:r>
              <w:rPr>
                <w:i/>
                <w:sz w:val="16"/>
              </w:rPr>
              <w:t>is</w:t>
            </w:r>
            <w:r>
              <w:rPr>
                <w:i/>
                <w:sz w:val="16"/>
              </w:rPr>
              <w:t> </w:t>
            </w:r>
            <w:r>
              <w:rPr>
                <w:i/>
                <w:spacing w:val="-2"/>
                <w:sz w:val="16"/>
              </w:rPr>
              <w:t>hereby provided.)</w:t>
            </w:r>
          </w:p>
        </w:tc>
        <w:tc>
          <w:tcPr>
            <w:tcW w:w="1440" w:type="dxa"/>
            <w:tcBorders>
              <w:top w:val="nil"/>
              <w:left w:val="single" w:sz="6" w:space="0" w:color="000000"/>
              <w:bottom w:val="nil"/>
              <w:right w:val="single" w:sz="6" w:space="0" w:color="000000"/>
            </w:tcBorders>
            <w:shd w:val="clear" w:color="auto" w:fill="F2F2F2"/>
          </w:tcPr>
          <w:p>
            <w:pPr>
              <w:pStyle w:val="TableParagraph"/>
              <w:spacing w:before="58"/>
              <w:ind w:left="116" w:right="78"/>
              <w:jc w:val="center"/>
              <w:rPr>
                <w:i/>
                <w:sz w:val="16"/>
              </w:rPr>
            </w:pPr>
            <w:r>
              <w:rPr>
                <w:i/>
                <w:spacing w:val="-2"/>
                <w:sz w:val="16"/>
              </w:rPr>
              <w:t>(Assurance</w:t>
            </w:r>
            <w:r>
              <w:rPr>
                <w:i/>
                <w:spacing w:val="-2"/>
                <w:sz w:val="16"/>
              </w:rPr>
              <w:t> </w:t>
            </w:r>
            <w:r>
              <w:rPr>
                <w:i/>
                <w:sz w:val="16"/>
              </w:rPr>
              <w:t>cannot be </w:t>
            </w:r>
            <w:r>
              <w:rPr>
                <w:i/>
                <w:spacing w:val="-2"/>
                <w:sz w:val="16"/>
              </w:rPr>
              <w:t>ensured.</w:t>
            </w:r>
          </w:p>
          <w:p>
            <w:pPr>
              <w:pStyle w:val="TableParagraph"/>
              <w:ind w:left="135" w:right="95" w:hanging="1"/>
              <w:jc w:val="center"/>
              <w:rPr>
                <w:i/>
                <w:sz w:val="16"/>
              </w:rPr>
            </w:pPr>
            <w:r>
              <w:rPr>
                <w:i/>
                <w:sz w:val="16"/>
              </w:rPr>
              <w:t>Provide date on</w:t>
            </w:r>
            <w:r>
              <w:rPr>
                <w:i/>
                <w:sz w:val="16"/>
              </w:rPr>
              <w:t> which State will </w:t>
            </w:r>
            <w:r>
              <w:rPr>
                <w:i/>
                <w:spacing w:val="-2"/>
                <w:sz w:val="16"/>
              </w:rPr>
              <w:t>complete </w:t>
            </w:r>
            <w:r>
              <w:rPr>
                <w:i/>
                <w:sz w:val="16"/>
              </w:rPr>
              <w:t>changes</w:t>
            </w:r>
            <w:r>
              <w:rPr>
                <w:i/>
                <w:spacing w:val="-12"/>
                <w:sz w:val="16"/>
              </w:rPr>
              <w:t> </w:t>
            </w:r>
            <w:r>
              <w:rPr>
                <w:i/>
                <w:sz w:val="16"/>
              </w:rPr>
              <w:t>in</w:t>
            </w:r>
            <w:r>
              <w:rPr>
                <w:i/>
                <w:spacing w:val="-11"/>
                <w:sz w:val="16"/>
              </w:rPr>
              <w:t> </w:t>
            </w:r>
            <w:r>
              <w:rPr>
                <w:i/>
                <w:sz w:val="16"/>
              </w:rPr>
              <w:t>order to provide </w:t>
            </w:r>
            <w:r>
              <w:rPr>
                <w:i/>
                <w:spacing w:val="-2"/>
                <w:sz w:val="16"/>
              </w:rPr>
              <w:t>assurance.)</w:t>
            </w:r>
          </w:p>
        </w:tc>
        <w:tc>
          <w:tcPr>
            <w:tcW w:w="6482" w:type="dxa"/>
            <w:tcBorders>
              <w:top w:val="nil"/>
              <w:left w:val="single" w:sz="6" w:space="0" w:color="000000"/>
              <w:bottom w:val="nil"/>
            </w:tcBorders>
            <w:shd w:val="clear" w:color="auto" w:fill="F2F2F2"/>
          </w:tcPr>
          <w:p>
            <w:pPr>
              <w:pStyle w:val="TableParagraph"/>
              <w:spacing w:before="67"/>
              <w:ind w:left="44"/>
              <w:jc w:val="center"/>
              <w:rPr>
                <w:sz w:val="16"/>
              </w:rPr>
            </w:pPr>
            <w:r>
              <w:rPr>
                <w:sz w:val="16"/>
              </w:rPr>
              <w:t>(20</w:t>
            </w:r>
            <w:r>
              <w:rPr>
                <w:spacing w:val="-5"/>
                <w:sz w:val="16"/>
              </w:rPr>
              <w:t> </w:t>
            </w:r>
            <w:r>
              <w:rPr>
                <w:sz w:val="16"/>
              </w:rPr>
              <w:t>U.S.C.</w:t>
            </w:r>
            <w:r>
              <w:rPr>
                <w:spacing w:val="-4"/>
                <w:sz w:val="16"/>
              </w:rPr>
              <w:t> </w:t>
            </w:r>
            <w:r>
              <w:rPr>
                <w:sz w:val="16"/>
              </w:rPr>
              <w:t>1434;</w:t>
            </w:r>
            <w:r>
              <w:rPr>
                <w:spacing w:val="-5"/>
                <w:sz w:val="16"/>
              </w:rPr>
              <w:t> </w:t>
            </w:r>
            <w:r>
              <w:rPr>
                <w:sz w:val="16"/>
              </w:rPr>
              <w:t>1435;</w:t>
            </w:r>
            <w:r>
              <w:rPr>
                <w:spacing w:val="-4"/>
                <w:sz w:val="16"/>
              </w:rPr>
              <w:t> </w:t>
            </w:r>
            <w:r>
              <w:rPr>
                <w:sz w:val="16"/>
              </w:rPr>
              <w:t>and</w:t>
            </w:r>
            <w:r>
              <w:rPr>
                <w:spacing w:val="-5"/>
                <w:sz w:val="16"/>
              </w:rPr>
              <w:t> </w:t>
            </w:r>
            <w:r>
              <w:rPr>
                <w:sz w:val="16"/>
              </w:rPr>
              <w:t>1437(b);</w:t>
            </w:r>
            <w:r>
              <w:rPr>
                <w:spacing w:val="-4"/>
                <w:sz w:val="16"/>
              </w:rPr>
              <w:t> </w:t>
            </w:r>
            <w:r>
              <w:rPr>
                <w:sz w:val="16"/>
              </w:rPr>
              <w:t>34</w:t>
            </w:r>
            <w:r>
              <w:rPr>
                <w:spacing w:val="-5"/>
                <w:sz w:val="16"/>
              </w:rPr>
              <w:t> </w:t>
            </w:r>
            <w:r>
              <w:rPr>
                <w:sz w:val="16"/>
              </w:rPr>
              <w:t>CFR</w:t>
            </w:r>
            <w:r>
              <w:rPr>
                <w:spacing w:val="-4"/>
                <w:sz w:val="16"/>
              </w:rPr>
              <w:t> </w:t>
            </w:r>
            <w:r>
              <w:rPr>
                <w:sz w:val="16"/>
              </w:rPr>
              <w:t>§</w:t>
            </w:r>
            <w:r>
              <w:rPr>
                <w:rFonts w:ascii="Trebuchet MS" w:hAnsi="Trebuchet MS"/>
                <w:sz w:val="16"/>
              </w:rPr>
              <w:t>§</w:t>
            </w:r>
            <w:r>
              <w:rPr>
                <w:sz w:val="16"/>
              </w:rPr>
              <w:t>303.101-126;</w:t>
            </w:r>
            <w:r>
              <w:rPr>
                <w:spacing w:val="-4"/>
                <w:sz w:val="16"/>
              </w:rPr>
              <w:t> </w:t>
            </w:r>
            <w:r>
              <w:rPr>
                <w:sz w:val="16"/>
              </w:rPr>
              <w:t>303.220;</w:t>
            </w:r>
            <w:r>
              <w:rPr>
                <w:spacing w:val="-5"/>
                <w:sz w:val="16"/>
              </w:rPr>
              <w:t> </w:t>
            </w:r>
            <w:r>
              <w:rPr>
                <w:spacing w:val="-2"/>
                <w:sz w:val="16"/>
              </w:rPr>
              <w:t>303.227)</w:t>
            </w:r>
          </w:p>
        </w:tc>
      </w:tr>
      <w:tr>
        <w:trPr>
          <w:trHeight w:val="728" w:hRule="atLeast"/>
        </w:trPr>
        <w:tc>
          <w:tcPr>
            <w:tcW w:w="1438" w:type="dxa"/>
            <w:tcBorders>
              <w:top w:val="nil"/>
              <w:right w:val="single" w:sz="6" w:space="0" w:color="000000"/>
            </w:tcBorders>
            <w:shd w:val="clear" w:color="auto" w:fill="F2F2F2"/>
          </w:tcPr>
          <w:p>
            <w:pPr>
              <w:pStyle w:val="TableParagraph"/>
              <w:rPr>
                <w:rFonts w:ascii="Times New Roman"/>
                <w:sz w:val="18"/>
              </w:rPr>
            </w:pPr>
          </w:p>
        </w:tc>
        <w:tc>
          <w:tcPr>
            <w:tcW w:w="1440" w:type="dxa"/>
            <w:tcBorders>
              <w:top w:val="nil"/>
              <w:left w:val="single" w:sz="6" w:space="0" w:color="000000"/>
              <w:right w:val="single" w:sz="6" w:space="0" w:color="000000"/>
            </w:tcBorders>
            <w:shd w:val="clear" w:color="auto" w:fill="F2F2F2"/>
          </w:tcPr>
          <w:p>
            <w:pPr>
              <w:pStyle w:val="TableParagraph"/>
              <w:spacing w:before="56"/>
              <w:ind w:left="371" w:hanging="227"/>
              <w:rPr>
                <w:i/>
                <w:sz w:val="16"/>
              </w:rPr>
            </w:pPr>
            <w:r>
              <w:rPr>
                <w:i/>
                <w:sz w:val="16"/>
              </w:rPr>
              <w:t>Check</w:t>
            </w:r>
            <w:r>
              <w:rPr>
                <w:i/>
                <w:spacing w:val="-12"/>
                <w:sz w:val="16"/>
              </w:rPr>
              <w:t> </w:t>
            </w:r>
            <w:r>
              <w:rPr>
                <w:i/>
                <w:sz w:val="16"/>
              </w:rPr>
              <w:t>and</w:t>
            </w:r>
            <w:r>
              <w:rPr>
                <w:i/>
                <w:spacing w:val="-11"/>
                <w:sz w:val="16"/>
              </w:rPr>
              <w:t> </w:t>
            </w:r>
            <w:r>
              <w:rPr>
                <w:i/>
                <w:sz w:val="16"/>
              </w:rPr>
              <w:t>enter</w:t>
            </w:r>
            <w:r>
              <w:rPr>
                <w:i/>
                <w:sz w:val="16"/>
              </w:rPr>
              <w:t> date(s) as </w:t>
            </w:r>
            <w:r>
              <w:rPr>
                <w:i/>
                <w:spacing w:val="-2"/>
                <w:sz w:val="16"/>
              </w:rPr>
              <w:t>applicable</w:t>
            </w:r>
          </w:p>
        </w:tc>
        <w:tc>
          <w:tcPr>
            <w:tcW w:w="6482" w:type="dxa"/>
            <w:tcBorders>
              <w:top w:val="nil"/>
              <w:left w:val="single" w:sz="6" w:space="0" w:color="000000"/>
            </w:tcBorders>
            <w:shd w:val="clear" w:color="auto" w:fill="F2F2F2"/>
          </w:tcPr>
          <w:p>
            <w:pPr>
              <w:pStyle w:val="TableParagraph"/>
              <w:rPr>
                <w:rFonts w:ascii="Times New Roman"/>
                <w:sz w:val="18"/>
              </w:rPr>
            </w:pPr>
          </w:p>
        </w:tc>
      </w:tr>
      <w:tr>
        <w:trPr>
          <w:trHeight w:val="455" w:hRule="atLeast"/>
        </w:trPr>
        <w:tc>
          <w:tcPr>
            <w:tcW w:w="1438" w:type="dxa"/>
            <w:tcBorders>
              <w:bottom w:val="single" w:sz="6" w:space="0" w:color="000000"/>
              <w:right w:val="single" w:sz="6" w:space="0" w:color="000000"/>
            </w:tcBorders>
            <w:shd w:val="clear" w:color="auto" w:fill="808080"/>
          </w:tcPr>
          <w:p>
            <w:pPr>
              <w:pStyle w:val="TableParagraph"/>
              <w:rPr>
                <w:rFonts w:ascii="Times New Roman"/>
                <w:sz w:val="18"/>
              </w:rPr>
            </w:pPr>
          </w:p>
        </w:tc>
        <w:tc>
          <w:tcPr>
            <w:tcW w:w="1440" w:type="dxa"/>
            <w:tcBorders>
              <w:left w:val="single" w:sz="6" w:space="0" w:color="000000"/>
              <w:bottom w:val="single" w:sz="6" w:space="0" w:color="000000"/>
              <w:right w:val="single" w:sz="6" w:space="0" w:color="000000"/>
            </w:tcBorders>
            <w:shd w:val="clear" w:color="auto" w:fill="808080"/>
          </w:tcPr>
          <w:p>
            <w:pPr>
              <w:pStyle w:val="TableParagraph"/>
              <w:rPr>
                <w:rFonts w:ascii="Times New Roman"/>
                <w:sz w:val="18"/>
              </w:rPr>
            </w:pPr>
          </w:p>
        </w:tc>
        <w:tc>
          <w:tcPr>
            <w:tcW w:w="6482" w:type="dxa"/>
            <w:tcBorders>
              <w:left w:val="single" w:sz="6" w:space="0" w:color="000000"/>
              <w:bottom w:val="single" w:sz="6" w:space="0" w:color="000000"/>
            </w:tcBorders>
          </w:tcPr>
          <w:p>
            <w:pPr>
              <w:pStyle w:val="TableParagraph"/>
              <w:spacing w:before="104"/>
              <w:ind w:left="44"/>
              <w:jc w:val="center"/>
              <w:rPr>
                <w:sz w:val="20"/>
              </w:rPr>
            </w:pPr>
            <w:r>
              <w:rPr>
                <w:sz w:val="20"/>
              </w:rPr>
              <w:t>Assurance</w:t>
            </w:r>
            <w:r>
              <w:rPr>
                <w:spacing w:val="-12"/>
                <w:sz w:val="20"/>
              </w:rPr>
              <w:t> </w:t>
            </w:r>
            <w:r>
              <w:rPr>
                <w:sz w:val="20"/>
              </w:rPr>
              <w:t>Regarding</w:t>
            </w:r>
            <w:r>
              <w:rPr>
                <w:spacing w:val="-10"/>
                <w:sz w:val="20"/>
              </w:rPr>
              <w:t> </w:t>
            </w:r>
            <w:r>
              <w:rPr>
                <w:sz w:val="20"/>
              </w:rPr>
              <w:t>Optional</w:t>
            </w:r>
            <w:r>
              <w:rPr>
                <w:spacing w:val="-9"/>
                <w:sz w:val="20"/>
              </w:rPr>
              <w:t> </w:t>
            </w:r>
            <w:r>
              <w:rPr>
                <w:spacing w:val="-2"/>
                <w:sz w:val="20"/>
              </w:rPr>
              <w:t>Policy</w:t>
            </w:r>
          </w:p>
        </w:tc>
      </w:tr>
      <w:tr>
        <w:trPr>
          <w:trHeight w:val="2893" w:hRule="atLeast"/>
        </w:trPr>
        <w:tc>
          <w:tcPr>
            <w:tcW w:w="1438" w:type="dxa"/>
            <w:tcBorders>
              <w:top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right w:val="single" w:sz="6"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9"/>
              <w:rPr>
                <w:sz w:val="20"/>
              </w:rPr>
            </w:pPr>
          </w:p>
          <w:p>
            <w:pPr>
              <w:pStyle w:val="TableParagraph"/>
              <w:ind w:left="116" w:right="79"/>
              <w:jc w:val="center"/>
              <w:rPr>
                <w:sz w:val="20"/>
              </w:rPr>
            </w:pPr>
            <w:r>
              <w:rPr>
                <w:spacing w:val="-5"/>
                <w:sz w:val="20"/>
              </w:rPr>
              <w:t>NA</w:t>
            </w:r>
          </w:p>
        </w:tc>
        <w:tc>
          <w:tcPr>
            <w:tcW w:w="6482" w:type="dxa"/>
            <w:tcBorders>
              <w:top w:val="single" w:sz="6" w:space="0" w:color="000000"/>
              <w:left w:val="single" w:sz="6" w:space="0" w:color="000000"/>
            </w:tcBorders>
          </w:tcPr>
          <w:p>
            <w:pPr>
              <w:pStyle w:val="TableParagraph"/>
              <w:spacing w:before="119"/>
              <w:ind w:left="611" w:right="134"/>
              <w:rPr>
                <w:i/>
                <w:sz w:val="20"/>
              </w:rPr>
            </w:pPr>
            <w:r>
              <w:rPr>
                <w:i/>
                <w:sz w:val="20"/>
              </w:rPr>
              <w:t>Enter</w:t>
            </w:r>
            <w:r>
              <w:rPr>
                <w:i/>
                <w:spacing w:val="-4"/>
                <w:sz w:val="20"/>
              </w:rPr>
              <w:t> </w:t>
            </w:r>
            <w:r>
              <w:rPr>
                <w:i/>
                <w:sz w:val="20"/>
              </w:rPr>
              <w:t>'NA’</w:t>
            </w:r>
            <w:r>
              <w:rPr>
                <w:i/>
                <w:spacing w:val="-14"/>
                <w:sz w:val="20"/>
              </w:rPr>
              <w:t> </w:t>
            </w:r>
            <w:r>
              <w:rPr>
                <w:i/>
                <w:sz w:val="20"/>
              </w:rPr>
              <w:t>in</w:t>
            </w:r>
            <w:r>
              <w:rPr>
                <w:i/>
                <w:spacing w:val="-4"/>
                <w:sz w:val="20"/>
              </w:rPr>
              <w:t> </w:t>
            </w:r>
            <w:r>
              <w:rPr>
                <w:i/>
                <w:sz w:val="20"/>
              </w:rPr>
              <w:t>the</w:t>
            </w:r>
            <w:r>
              <w:rPr>
                <w:i/>
                <w:spacing w:val="-4"/>
                <w:sz w:val="20"/>
              </w:rPr>
              <w:t> </w:t>
            </w:r>
            <w:r>
              <w:rPr>
                <w:i/>
                <w:sz w:val="20"/>
              </w:rPr>
              <w:t>cell</w:t>
            </w:r>
            <w:r>
              <w:rPr>
                <w:i/>
                <w:spacing w:val="-4"/>
                <w:sz w:val="20"/>
              </w:rPr>
              <w:t> </w:t>
            </w:r>
            <w:r>
              <w:rPr>
                <w:i/>
                <w:sz w:val="20"/>
              </w:rPr>
              <w:t>to</w:t>
            </w:r>
            <w:r>
              <w:rPr>
                <w:i/>
                <w:spacing w:val="-4"/>
                <w:sz w:val="20"/>
              </w:rPr>
              <w:t> </w:t>
            </w:r>
            <w:r>
              <w:rPr>
                <w:i/>
                <w:sz w:val="20"/>
              </w:rPr>
              <w:t>the</w:t>
            </w:r>
            <w:r>
              <w:rPr>
                <w:i/>
                <w:spacing w:val="-4"/>
                <w:sz w:val="20"/>
              </w:rPr>
              <w:t> </w:t>
            </w:r>
            <w:r>
              <w:rPr>
                <w:i/>
                <w:sz w:val="20"/>
              </w:rPr>
              <w:t>left</w:t>
            </w:r>
            <w:r>
              <w:rPr>
                <w:i/>
                <w:spacing w:val="-4"/>
                <w:sz w:val="20"/>
              </w:rPr>
              <w:t> </w:t>
            </w:r>
            <w:r>
              <w:rPr>
                <w:i/>
                <w:sz w:val="20"/>
              </w:rPr>
              <w:t>if</w:t>
            </w:r>
            <w:r>
              <w:rPr>
                <w:i/>
                <w:spacing w:val="-4"/>
                <w:sz w:val="20"/>
              </w:rPr>
              <w:t> </w:t>
            </w:r>
            <w:r>
              <w:rPr>
                <w:i/>
                <w:sz w:val="20"/>
              </w:rPr>
              <w:t>this</w:t>
            </w:r>
            <w:r>
              <w:rPr>
                <w:i/>
                <w:spacing w:val="-4"/>
                <w:sz w:val="20"/>
              </w:rPr>
              <w:t> </w:t>
            </w:r>
            <w:r>
              <w:rPr>
                <w:i/>
                <w:sz w:val="20"/>
              </w:rPr>
              <w:t>assurance</w:t>
            </w:r>
            <w:r>
              <w:rPr>
                <w:i/>
                <w:spacing w:val="-4"/>
                <w:sz w:val="20"/>
              </w:rPr>
              <w:t> </w:t>
            </w:r>
            <w:r>
              <w:rPr>
                <w:i/>
                <w:sz w:val="20"/>
              </w:rPr>
              <w:t>is</w:t>
            </w:r>
            <w:r>
              <w:rPr>
                <w:i/>
                <w:spacing w:val="-4"/>
                <w:sz w:val="20"/>
              </w:rPr>
              <w:t> </w:t>
            </w:r>
            <w:r>
              <w:rPr>
                <w:i/>
                <w:sz w:val="20"/>
              </w:rPr>
              <w:t>not</w:t>
            </w:r>
            <w:r>
              <w:rPr>
                <w:i/>
                <w:spacing w:val="-4"/>
                <w:sz w:val="20"/>
              </w:rPr>
              <w:t> </w:t>
            </w:r>
            <w:r>
              <w:rPr>
                <w:i/>
                <w:sz w:val="20"/>
              </w:rPr>
              <w:t>applicable</w:t>
            </w:r>
            <w:r>
              <w:rPr>
                <w:i/>
                <w:sz w:val="20"/>
              </w:rPr>
              <w:t> to your State.</w:t>
            </w:r>
          </w:p>
          <w:p>
            <w:pPr>
              <w:pStyle w:val="TableParagraph"/>
              <w:spacing w:before="121"/>
              <w:ind w:left="508" w:right="105" w:hanging="389"/>
              <w:rPr>
                <w:sz w:val="20"/>
              </w:rPr>
            </w:pPr>
            <w:r>
              <w:rPr>
                <w:sz w:val="20"/>
              </w:rPr>
              <w:t>27</w:t>
            </w:r>
            <w:r>
              <w:rPr>
                <w:color w:val="FF0000"/>
                <w:sz w:val="20"/>
              </w:rPr>
              <w:t>.</w:t>
            </w:r>
            <w:r>
              <w:rPr>
                <w:color w:val="FF0000"/>
                <w:spacing w:val="40"/>
                <w:sz w:val="20"/>
              </w:rPr>
              <w:t> </w:t>
            </w:r>
            <w:r>
              <w:rPr>
                <w:sz w:val="20"/>
              </w:rPr>
              <w:t>A</w:t>
            </w:r>
            <w:r>
              <w:rPr>
                <w:spacing w:val="-11"/>
                <w:sz w:val="20"/>
              </w:rPr>
              <w:t> </w:t>
            </w:r>
            <w:r>
              <w:rPr>
                <w:sz w:val="20"/>
              </w:rPr>
              <w:t>State may adopt and has adopted a policy that includes making ongoing good-faith efforts to recruit and hire appropriately and adequately trained personnel to provide early intervention</w:t>
            </w:r>
            <w:r>
              <w:rPr>
                <w:spacing w:val="40"/>
                <w:sz w:val="20"/>
              </w:rPr>
              <w:t> </w:t>
            </w:r>
            <w:r>
              <w:rPr>
                <w:sz w:val="20"/>
              </w:rPr>
              <w:t>services to infants and toddlers with disabilities, including, in a geographic area of the State where there is a shortage of such personnel,</w:t>
            </w:r>
            <w:r>
              <w:rPr>
                <w:spacing w:val="-5"/>
                <w:sz w:val="20"/>
              </w:rPr>
              <w:t> </w:t>
            </w:r>
            <w:r>
              <w:rPr>
                <w:sz w:val="20"/>
              </w:rPr>
              <w:t>the</w:t>
            </w:r>
            <w:r>
              <w:rPr>
                <w:spacing w:val="-5"/>
                <w:sz w:val="20"/>
              </w:rPr>
              <w:t> </w:t>
            </w:r>
            <w:r>
              <w:rPr>
                <w:sz w:val="20"/>
              </w:rPr>
              <w:t>most</w:t>
            </w:r>
            <w:r>
              <w:rPr>
                <w:spacing w:val="-5"/>
                <w:sz w:val="20"/>
              </w:rPr>
              <w:t> </w:t>
            </w:r>
            <w:r>
              <w:rPr>
                <w:sz w:val="20"/>
              </w:rPr>
              <w:t>qualified</w:t>
            </w:r>
            <w:r>
              <w:rPr>
                <w:spacing w:val="-5"/>
                <w:sz w:val="20"/>
              </w:rPr>
              <w:t> </w:t>
            </w:r>
            <w:r>
              <w:rPr>
                <w:sz w:val="20"/>
              </w:rPr>
              <w:t>individuals</w:t>
            </w:r>
            <w:r>
              <w:rPr>
                <w:spacing w:val="-5"/>
                <w:sz w:val="20"/>
              </w:rPr>
              <w:t> </w:t>
            </w:r>
            <w:r>
              <w:rPr>
                <w:sz w:val="20"/>
              </w:rPr>
              <w:t>available</w:t>
            </w:r>
            <w:r>
              <w:rPr>
                <w:spacing w:val="-5"/>
                <w:sz w:val="20"/>
              </w:rPr>
              <w:t> </w:t>
            </w:r>
            <w:r>
              <w:rPr>
                <w:sz w:val="20"/>
              </w:rPr>
              <w:t>who</w:t>
            </w:r>
            <w:r>
              <w:rPr>
                <w:spacing w:val="-5"/>
                <w:sz w:val="20"/>
              </w:rPr>
              <w:t> </w:t>
            </w:r>
            <w:r>
              <w:rPr>
                <w:sz w:val="20"/>
              </w:rPr>
              <w:t>are</w:t>
            </w:r>
            <w:r>
              <w:rPr>
                <w:spacing w:val="-5"/>
                <w:sz w:val="20"/>
              </w:rPr>
              <w:t> </w:t>
            </w:r>
            <w:r>
              <w:rPr>
                <w:sz w:val="20"/>
              </w:rPr>
              <w:t>making satisfactory progress toward completing applicable course work necessary to meet the standards described in paragraphs (a) and</w:t>
            </w:r>
          </w:p>
          <w:p>
            <w:pPr>
              <w:pStyle w:val="TableParagraph"/>
              <w:spacing w:line="229" w:lineRule="exact"/>
              <w:ind w:left="508"/>
              <w:rPr>
                <w:sz w:val="20"/>
              </w:rPr>
            </w:pPr>
            <w:r>
              <w:rPr>
                <w:sz w:val="20"/>
              </w:rPr>
              <w:t>(b)</w:t>
            </w:r>
            <w:r>
              <w:rPr>
                <w:spacing w:val="-4"/>
                <w:sz w:val="20"/>
              </w:rPr>
              <w:t> </w:t>
            </w:r>
            <w:r>
              <w:rPr>
                <w:sz w:val="20"/>
              </w:rPr>
              <w:t>of</w:t>
            </w:r>
            <w:r>
              <w:rPr>
                <w:spacing w:val="-3"/>
                <w:sz w:val="20"/>
              </w:rPr>
              <w:t> </w:t>
            </w:r>
            <w:r>
              <w:rPr>
                <w:sz w:val="20"/>
              </w:rPr>
              <w:t>this</w:t>
            </w:r>
            <w:r>
              <w:rPr>
                <w:spacing w:val="-4"/>
                <w:sz w:val="20"/>
              </w:rPr>
              <w:t> </w:t>
            </w:r>
            <w:r>
              <w:rPr>
                <w:sz w:val="20"/>
              </w:rPr>
              <w:t>section.</w:t>
            </w:r>
            <w:r>
              <w:rPr>
                <w:spacing w:val="49"/>
                <w:sz w:val="20"/>
              </w:rPr>
              <w:t> </w:t>
            </w:r>
            <w:r>
              <w:rPr>
                <w:sz w:val="20"/>
              </w:rPr>
              <w:t>(34</w:t>
            </w:r>
            <w:r>
              <w:rPr>
                <w:spacing w:val="-3"/>
                <w:sz w:val="20"/>
              </w:rPr>
              <w:t> </w:t>
            </w:r>
            <w:r>
              <w:rPr>
                <w:sz w:val="20"/>
              </w:rPr>
              <w:t>CFR</w:t>
            </w:r>
            <w:r>
              <w:rPr>
                <w:spacing w:val="-4"/>
                <w:sz w:val="20"/>
              </w:rPr>
              <w:t> </w:t>
            </w:r>
            <w:r>
              <w:rPr>
                <w:spacing w:val="-2"/>
                <w:sz w:val="20"/>
              </w:rPr>
              <w:t>§303.119(d))</w:t>
            </w:r>
          </w:p>
        </w:tc>
      </w:tr>
    </w:tbl>
    <w:p>
      <w:pPr>
        <w:pStyle w:val="TableParagraph"/>
        <w:spacing w:after="0" w:line="229" w:lineRule="exact"/>
        <w:rPr>
          <w:sz w:val="20"/>
        </w:rPr>
        <w:sectPr>
          <w:pgSz w:w="12240" w:h="15840"/>
          <w:pgMar w:header="0" w:footer="879" w:top="1420" w:bottom="1060" w:left="720" w:right="720"/>
        </w:sectPr>
      </w:pPr>
    </w:p>
    <w:p>
      <w:pPr>
        <w:pStyle w:val="Heading2"/>
        <w:numPr>
          <w:ilvl w:val="0"/>
          <w:numId w:val="2"/>
        </w:numPr>
        <w:tabs>
          <w:tab w:pos="1444" w:val="left" w:leader="none"/>
        </w:tabs>
        <w:spacing w:line="240" w:lineRule="auto" w:before="84" w:after="0"/>
        <w:ind w:left="1444" w:right="0" w:hanging="720"/>
        <w:jc w:val="left"/>
      </w:pPr>
      <w:r>
        <w:rPr>
          <w:spacing w:val="-2"/>
        </w:rPr>
        <w:t>Certifications</w:t>
      </w:r>
    </w:p>
    <w:p>
      <w:pPr>
        <w:pStyle w:val="BodyText"/>
        <w:spacing w:before="10"/>
        <w:rPr>
          <w:b/>
        </w:rPr>
      </w:pPr>
    </w:p>
    <w:p>
      <w:pPr>
        <w:pStyle w:val="BodyText"/>
        <w:spacing w:before="1"/>
        <w:ind w:left="724"/>
      </w:pPr>
      <w:r>
        <w:rPr/>
        <w:t>The</w:t>
      </w:r>
      <w:r>
        <w:rPr>
          <w:spacing w:val="-10"/>
        </w:rPr>
        <w:t> </w:t>
      </w:r>
      <w:r>
        <w:rPr/>
        <w:t>State</w:t>
      </w:r>
      <w:r>
        <w:rPr>
          <w:spacing w:val="-6"/>
        </w:rPr>
        <w:t> </w:t>
      </w:r>
      <w:r>
        <w:rPr/>
        <w:t>Lead</w:t>
      </w:r>
      <w:r>
        <w:rPr>
          <w:spacing w:val="-13"/>
        </w:rPr>
        <w:t> </w:t>
      </w:r>
      <w:r>
        <w:rPr/>
        <w:t>Agency</w:t>
      </w:r>
      <w:r>
        <w:rPr>
          <w:spacing w:val="-6"/>
        </w:rPr>
        <w:t> </w:t>
      </w:r>
      <w:r>
        <w:rPr/>
        <w:t>is</w:t>
      </w:r>
      <w:r>
        <w:rPr>
          <w:spacing w:val="-6"/>
        </w:rPr>
        <w:t> </w:t>
      </w:r>
      <w:r>
        <w:rPr/>
        <w:t>providing</w:t>
      </w:r>
      <w:r>
        <w:rPr>
          <w:spacing w:val="-5"/>
        </w:rPr>
        <w:t> </w:t>
      </w:r>
      <w:r>
        <w:rPr/>
        <w:t>the</w:t>
      </w:r>
      <w:r>
        <w:rPr>
          <w:spacing w:val="-6"/>
        </w:rPr>
        <w:t> </w:t>
      </w:r>
      <w:r>
        <w:rPr/>
        <w:t>following</w:t>
      </w:r>
      <w:r>
        <w:rPr>
          <w:spacing w:val="-5"/>
        </w:rPr>
        <w:t> </w:t>
      </w:r>
      <w:r>
        <w:rPr>
          <w:spacing w:val="-2"/>
        </w:rPr>
        <w:t>certifications:</w:t>
      </w:r>
    </w:p>
    <w:p>
      <w:pPr>
        <w:pStyle w:val="BodyText"/>
        <w:spacing w:before="1"/>
      </w:pPr>
    </w:p>
    <w:tbl>
      <w:tblPr>
        <w:tblW w:w="0" w:type="auto"/>
        <w:jc w:val="left"/>
        <w:tblInd w:w="7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150"/>
        <w:gridCol w:w="8182"/>
      </w:tblGrid>
      <w:tr>
        <w:trPr>
          <w:trHeight w:val="469" w:hRule="atLeast"/>
        </w:trPr>
        <w:tc>
          <w:tcPr>
            <w:tcW w:w="1150" w:type="dxa"/>
            <w:tcBorders>
              <w:right w:val="single" w:sz="6" w:space="0" w:color="000000"/>
            </w:tcBorders>
          </w:tcPr>
          <w:p>
            <w:pPr>
              <w:pStyle w:val="TableParagraph"/>
              <w:spacing w:before="119"/>
              <w:ind w:left="26"/>
              <w:jc w:val="center"/>
              <w:rPr>
                <w:b/>
                <w:sz w:val="20"/>
              </w:rPr>
            </w:pPr>
            <w:r>
              <w:rPr>
                <w:b/>
                <w:spacing w:val="-5"/>
                <w:sz w:val="20"/>
              </w:rPr>
              <w:t>Yes</w:t>
            </w:r>
          </w:p>
        </w:tc>
        <w:tc>
          <w:tcPr>
            <w:tcW w:w="8182" w:type="dxa"/>
            <w:tcBorders>
              <w:left w:val="single" w:sz="6" w:space="0" w:color="000000"/>
            </w:tcBorders>
            <w:shd w:val="clear" w:color="auto" w:fill="BFBFBF"/>
          </w:tcPr>
          <w:p>
            <w:pPr>
              <w:pStyle w:val="TableParagraph"/>
              <w:rPr>
                <w:rFonts w:ascii="Times New Roman"/>
                <w:sz w:val="18"/>
              </w:rPr>
            </w:pPr>
          </w:p>
        </w:tc>
      </w:tr>
      <w:tr>
        <w:trPr>
          <w:trHeight w:val="2888" w:hRule="atLeast"/>
        </w:trPr>
        <w:tc>
          <w:tcPr>
            <w:tcW w:w="1150" w:type="dxa"/>
            <w:tcBorders>
              <w:bottom w:val="single" w:sz="6" w:space="0" w:color="000000"/>
              <w:right w:val="single" w:sz="6" w:space="0" w:color="000000"/>
            </w:tcBorders>
          </w:tcPr>
          <w:p>
            <w:pPr>
              <w:pStyle w:val="TableParagraph"/>
              <w:spacing w:before="119"/>
              <w:ind w:left="109"/>
              <w:rPr>
                <w:sz w:val="20"/>
              </w:rPr>
            </w:pPr>
            <w:r>
              <w:rPr>
                <w:spacing w:val="-10"/>
                <w:sz w:val="20"/>
              </w:rPr>
              <w:t>X</w:t>
            </w:r>
          </w:p>
        </w:tc>
        <w:tc>
          <w:tcPr>
            <w:tcW w:w="8182" w:type="dxa"/>
            <w:tcBorders>
              <w:left w:val="single" w:sz="6" w:space="0" w:color="000000"/>
              <w:bottom w:val="single" w:sz="6" w:space="0" w:color="000000"/>
            </w:tcBorders>
          </w:tcPr>
          <w:p>
            <w:pPr>
              <w:pStyle w:val="TableParagraph"/>
              <w:tabs>
                <w:tab w:pos="606" w:val="left" w:leader="none"/>
              </w:tabs>
              <w:spacing w:before="119"/>
              <w:ind w:left="606" w:right="357" w:hanging="492"/>
              <w:rPr>
                <w:sz w:val="20"/>
              </w:rPr>
            </w:pPr>
            <w:r>
              <w:rPr>
                <w:spacing w:val="-6"/>
                <w:sz w:val="20"/>
              </w:rPr>
              <w:t>1.</w:t>
            </w:r>
            <w:r>
              <w:rPr>
                <w:sz w:val="20"/>
              </w:rPr>
              <w:tab/>
              <w:t>The</w:t>
            </w:r>
            <w:r>
              <w:rPr>
                <w:spacing w:val="-4"/>
                <w:sz w:val="20"/>
              </w:rPr>
              <w:t> </w:t>
            </w:r>
            <w:r>
              <w:rPr>
                <w:sz w:val="20"/>
              </w:rPr>
              <w:t>State</w:t>
            </w:r>
            <w:r>
              <w:rPr>
                <w:spacing w:val="-4"/>
                <w:sz w:val="20"/>
              </w:rPr>
              <w:t> </w:t>
            </w:r>
            <w:r>
              <w:rPr>
                <w:sz w:val="20"/>
              </w:rPr>
              <w:t>certifies</w:t>
            </w:r>
            <w:r>
              <w:rPr>
                <w:spacing w:val="-4"/>
                <w:sz w:val="20"/>
              </w:rPr>
              <w:t> </w:t>
            </w:r>
            <w:r>
              <w:rPr>
                <w:sz w:val="20"/>
              </w:rPr>
              <w:t>that</w:t>
            </w:r>
            <w:r>
              <w:rPr>
                <w:spacing w:val="-4"/>
                <w:sz w:val="20"/>
              </w:rPr>
              <w:t> </w:t>
            </w:r>
            <w:r>
              <w:rPr>
                <w:sz w:val="20"/>
              </w:rPr>
              <w:t>ED</w:t>
            </w:r>
            <w:r>
              <w:rPr>
                <w:spacing w:val="-5"/>
                <w:sz w:val="20"/>
              </w:rPr>
              <w:t> </w:t>
            </w:r>
            <w:r>
              <w:rPr>
                <w:sz w:val="20"/>
              </w:rPr>
              <w:t>Form</w:t>
            </w:r>
            <w:r>
              <w:rPr>
                <w:spacing w:val="-5"/>
                <w:sz w:val="20"/>
              </w:rPr>
              <w:t> </w:t>
            </w:r>
            <w:r>
              <w:rPr>
                <w:sz w:val="20"/>
              </w:rPr>
              <w:t>80-0013,</w:t>
            </w:r>
            <w:r>
              <w:rPr>
                <w:spacing w:val="-4"/>
                <w:sz w:val="20"/>
              </w:rPr>
              <w:t> </w:t>
            </w:r>
            <w:r>
              <w:rPr>
                <w:i/>
                <w:sz w:val="20"/>
              </w:rPr>
              <w:t>Certification</w:t>
            </w:r>
            <w:r>
              <w:rPr>
                <w:i/>
                <w:spacing w:val="-4"/>
                <w:sz w:val="20"/>
              </w:rPr>
              <w:t> </w:t>
            </w:r>
            <w:r>
              <w:rPr>
                <w:i/>
                <w:sz w:val="20"/>
              </w:rPr>
              <w:t>Regarding</w:t>
            </w:r>
            <w:r>
              <w:rPr>
                <w:i/>
                <w:spacing w:val="-4"/>
                <w:sz w:val="20"/>
              </w:rPr>
              <w:t> </w:t>
            </w:r>
            <w:r>
              <w:rPr>
                <w:i/>
                <w:sz w:val="20"/>
              </w:rPr>
              <w:t>Lobbying</w:t>
            </w:r>
            <w:r>
              <w:rPr>
                <w:sz w:val="20"/>
              </w:rPr>
              <w:t>,</w:t>
            </w:r>
            <w:r>
              <w:rPr>
                <w:spacing w:val="-4"/>
                <w:sz w:val="20"/>
              </w:rPr>
              <w:t> </w:t>
            </w:r>
            <w:r>
              <w:rPr>
                <w:sz w:val="20"/>
              </w:rPr>
              <w:t>is</w:t>
            </w:r>
            <w:r>
              <w:rPr>
                <w:spacing w:val="-4"/>
                <w:sz w:val="20"/>
              </w:rPr>
              <w:t> </w:t>
            </w:r>
            <w:r>
              <w:rPr>
                <w:sz w:val="20"/>
              </w:rPr>
              <w:t>on file with the Secretary of Education.</w:t>
            </w:r>
          </w:p>
          <w:p>
            <w:pPr>
              <w:pStyle w:val="TableParagraph"/>
              <w:spacing w:before="121"/>
              <w:ind w:left="606" w:right="357"/>
              <w:rPr>
                <w:sz w:val="20"/>
              </w:rPr>
            </w:pPr>
            <w:r>
              <w:rPr>
                <w:sz w:val="20"/>
              </w:rPr>
              <w:t>With respect to the </w:t>
            </w:r>
            <w:r>
              <w:rPr>
                <w:i/>
                <w:sz w:val="20"/>
              </w:rPr>
              <w:t>Certification Regarding Lobbying </w:t>
            </w:r>
            <w:r>
              <w:rPr>
                <w:sz w:val="20"/>
              </w:rPr>
              <w:t>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w:t>
            </w:r>
            <w:r>
              <w:rPr>
                <w:spacing w:val="-4"/>
                <w:sz w:val="20"/>
              </w:rPr>
              <w:t> </w:t>
            </w:r>
            <w:r>
              <w:rPr>
                <w:sz w:val="20"/>
              </w:rPr>
              <w:t>this</w:t>
            </w:r>
            <w:r>
              <w:rPr>
                <w:spacing w:val="-4"/>
                <w:sz w:val="20"/>
              </w:rPr>
              <w:t> </w:t>
            </w:r>
            <w:r>
              <w:rPr>
                <w:sz w:val="20"/>
              </w:rPr>
              <w:t>program;</w:t>
            </w:r>
            <w:r>
              <w:rPr>
                <w:spacing w:val="-4"/>
                <w:sz w:val="20"/>
              </w:rPr>
              <w:t> </w:t>
            </w:r>
            <w:r>
              <w:rPr>
                <w:sz w:val="20"/>
              </w:rPr>
              <w:t>that</w:t>
            </w:r>
            <w:r>
              <w:rPr>
                <w:spacing w:val="-4"/>
                <w:sz w:val="20"/>
              </w:rPr>
              <w:t> </w:t>
            </w:r>
            <w:r>
              <w:rPr>
                <w:sz w:val="20"/>
              </w:rPr>
              <w:t>the</w:t>
            </w:r>
            <w:r>
              <w:rPr>
                <w:spacing w:val="-4"/>
                <w:sz w:val="20"/>
              </w:rPr>
              <w:t> </w:t>
            </w:r>
            <w:r>
              <w:rPr>
                <w:sz w:val="20"/>
              </w:rPr>
              <w:t>State</w:t>
            </w:r>
            <w:r>
              <w:rPr>
                <w:spacing w:val="-4"/>
                <w:sz w:val="20"/>
              </w:rPr>
              <w:t> </w:t>
            </w:r>
            <w:r>
              <w:rPr>
                <w:sz w:val="20"/>
              </w:rPr>
              <w:t>shall</w:t>
            </w:r>
            <w:r>
              <w:rPr>
                <w:spacing w:val="-4"/>
                <w:sz w:val="20"/>
              </w:rPr>
              <w:t> </w:t>
            </w:r>
            <w:r>
              <w:rPr>
                <w:sz w:val="20"/>
              </w:rPr>
              <w:t>complete</w:t>
            </w:r>
            <w:r>
              <w:rPr>
                <w:spacing w:val="-4"/>
                <w:sz w:val="20"/>
              </w:rPr>
              <w:t> </w:t>
            </w:r>
            <w:r>
              <w:rPr>
                <w:sz w:val="20"/>
              </w:rPr>
              <w:t>and</w:t>
            </w:r>
            <w:r>
              <w:rPr>
                <w:spacing w:val="-4"/>
                <w:sz w:val="20"/>
              </w:rPr>
              <w:t> </w:t>
            </w:r>
            <w:r>
              <w:rPr>
                <w:sz w:val="20"/>
              </w:rPr>
              <w:t>submit</w:t>
            </w:r>
            <w:r>
              <w:rPr>
                <w:spacing w:val="-4"/>
                <w:sz w:val="20"/>
              </w:rPr>
              <w:t> </w:t>
            </w:r>
            <w:r>
              <w:rPr>
                <w:sz w:val="20"/>
              </w:rPr>
              <w:t>Standard</w:t>
            </w:r>
            <w:r>
              <w:rPr>
                <w:spacing w:val="-4"/>
                <w:sz w:val="20"/>
              </w:rPr>
              <w:t> </w:t>
            </w:r>
            <w:r>
              <w:rPr>
                <w:sz w:val="20"/>
              </w:rPr>
              <w:t>Form-LLL, "Disclosure</w:t>
            </w:r>
            <w:r>
              <w:rPr>
                <w:spacing w:val="-1"/>
                <w:sz w:val="20"/>
              </w:rPr>
              <w:t> </w:t>
            </w:r>
            <w:r>
              <w:rPr>
                <w:sz w:val="20"/>
              </w:rPr>
              <w:t>Form</w:t>
            </w:r>
            <w:r>
              <w:rPr>
                <w:spacing w:val="-2"/>
                <w:sz w:val="20"/>
              </w:rPr>
              <w:t> </w:t>
            </w:r>
            <w:r>
              <w:rPr>
                <w:sz w:val="20"/>
              </w:rPr>
              <w:t>to</w:t>
            </w:r>
            <w:r>
              <w:rPr>
                <w:spacing w:val="-1"/>
                <w:sz w:val="20"/>
              </w:rPr>
              <w:t> </w:t>
            </w:r>
            <w:r>
              <w:rPr>
                <w:sz w:val="20"/>
              </w:rPr>
              <w:t>Report</w:t>
            </w:r>
            <w:r>
              <w:rPr>
                <w:spacing w:val="-1"/>
                <w:sz w:val="20"/>
              </w:rPr>
              <w:t> </w:t>
            </w:r>
            <w:r>
              <w:rPr>
                <w:sz w:val="20"/>
              </w:rPr>
              <w:t>Lobbying,"</w:t>
            </w:r>
            <w:r>
              <w:rPr>
                <w:spacing w:val="-1"/>
                <w:sz w:val="20"/>
              </w:rPr>
              <w:t> </w:t>
            </w:r>
            <w:r>
              <w:rPr>
                <w:sz w:val="20"/>
              </w:rPr>
              <w:t>when</w:t>
            </w:r>
            <w:r>
              <w:rPr>
                <w:spacing w:val="-1"/>
                <w:sz w:val="20"/>
              </w:rPr>
              <w:t> </w:t>
            </w:r>
            <w:r>
              <w:rPr>
                <w:sz w:val="20"/>
              </w:rPr>
              <w:t>required</w:t>
            </w:r>
            <w:r>
              <w:rPr>
                <w:spacing w:val="-1"/>
                <w:sz w:val="20"/>
              </w:rPr>
              <w:t> </w:t>
            </w:r>
            <w:r>
              <w:rPr>
                <w:sz w:val="20"/>
              </w:rPr>
              <w:t>(34</w:t>
            </w:r>
            <w:r>
              <w:rPr>
                <w:spacing w:val="-1"/>
                <w:sz w:val="20"/>
              </w:rPr>
              <w:t> </w:t>
            </w:r>
            <w:r>
              <w:rPr>
                <w:sz w:val="20"/>
              </w:rPr>
              <w:t>CFR</w:t>
            </w:r>
            <w:r>
              <w:rPr>
                <w:spacing w:val="-2"/>
                <w:sz w:val="20"/>
              </w:rPr>
              <w:t> </w:t>
            </w:r>
            <w:r>
              <w:rPr>
                <w:sz w:val="20"/>
              </w:rPr>
              <w:t>Part</w:t>
            </w:r>
            <w:r>
              <w:rPr>
                <w:spacing w:val="-1"/>
                <w:sz w:val="20"/>
              </w:rPr>
              <w:t> </w:t>
            </w:r>
            <w:r>
              <w:rPr>
                <w:sz w:val="20"/>
              </w:rPr>
              <w:t>82,</w:t>
            </w:r>
            <w:r>
              <w:rPr>
                <w:spacing w:val="-12"/>
                <w:sz w:val="20"/>
              </w:rPr>
              <w:t> </w:t>
            </w:r>
            <w:r>
              <w:rPr>
                <w:sz w:val="20"/>
              </w:rPr>
              <w:t>Appendix B); and that the State</w:t>
            </w:r>
            <w:r>
              <w:rPr>
                <w:spacing w:val="-6"/>
                <w:sz w:val="20"/>
              </w:rPr>
              <w:t> </w:t>
            </w:r>
            <w:r>
              <w:rPr>
                <w:sz w:val="20"/>
              </w:rPr>
              <w:t>Agency shall require the full certification, as set forth in 34 CFR Part 82,</w:t>
            </w:r>
            <w:r>
              <w:rPr>
                <w:spacing w:val="-6"/>
                <w:sz w:val="20"/>
              </w:rPr>
              <w:t> </w:t>
            </w:r>
            <w:r>
              <w:rPr>
                <w:sz w:val="20"/>
              </w:rPr>
              <w:t>Appendix</w:t>
            </w:r>
            <w:r>
              <w:rPr>
                <w:spacing w:val="-6"/>
                <w:sz w:val="20"/>
              </w:rPr>
              <w:t> </w:t>
            </w:r>
            <w:r>
              <w:rPr>
                <w:sz w:val="20"/>
              </w:rPr>
              <w:t>A, in the award documents for all sub awards at all tiers.</w:t>
            </w:r>
          </w:p>
        </w:tc>
      </w:tr>
      <w:tr>
        <w:trPr>
          <w:trHeight w:val="1391" w:hRule="atLeast"/>
        </w:trPr>
        <w:tc>
          <w:tcPr>
            <w:tcW w:w="1150" w:type="dxa"/>
            <w:tcBorders>
              <w:top w:val="single" w:sz="6" w:space="0" w:color="000000"/>
              <w:bottom w:val="single" w:sz="6" w:space="0" w:color="000000"/>
              <w:right w:val="single" w:sz="6" w:space="0" w:color="000000"/>
            </w:tcBorders>
          </w:tcPr>
          <w:p>
            <w:pPr>
              <w:pStyle w:val="TableParagraph"/>
              <w:spacing w:before="119"/>
              <w:ind w:left="109"/>
              <w:rPr>
                <w:sz w:val="20"/>
              </w:rPr>
            </w:pPr>
            <w:r>
              <w:rPr>
                <w:spacing w:val="-10"/>
                <w:sz w:val="20"/>
              </w:rPr>
              <w:t>X</w:t>
            </w:r>
          </w:p>
        </w:tc>
        <w:tc>
          <w:tcPr>
            <w:tcW w:w="8182" w:type="dxa"/>
            <w:tcBorders>
              <w:top w:val="single" w:sz="6" w:space="0" w:color="000000"/>
              <w:left w:val="single" w:sz="6" w:space="0" w:color="000000"/>
              <w:bottom w:val="single" w:sz="6" w:space="0" w:color="000000"/>
            </w:tcBorders>
          </w:tcPr>
          <w:p>
            <w:pPr>
              <w:pStyle w:val="TableParagraph"/>
              <w:tabs>
                <w:tab w:pos="604" w:val="left" w:leader="none"/>
              </w:tabs>
              <w:spacing w:before="119"/>
              <w:ind w:left="604" w:right="149" w:hanging="490"/>
              <w:rPr>
                <w:sz w:val="20"/>
              </w:rPr>
            </w:pPr>
            <w:r>
              <w:rPr>
                <w:spacing w:val="-6"/>
                <w:sz w:val="20"/>
              </w:rPr>
              <w:t>2.</w:t>
            </w:r>
            <w:r>
              <w:rPr>
                <w:sz w:val="20"/>
              </w:rPr>
              <w:tab/>
              <w:t>The State certifies that it has met the certifications in the Education Department General</w:t>
            </w:r>
            <w:r>
              <w:rPr>
                <w:spacing w:val="-2"/>
                <w:sz w:val="20"/>
              </w:rPr>
              <w:t> </w:t>
            </w:r>
            <w:r>
              <w:rPr>
                <w:sz w:val="20"/>
              </w:rPr>
              <w:t>Administrative Regulations (EDGAR) at 34 CFR §80.11 relating to State eligibility, authority and approval to submit and carry out the provisions of its State application,</w:t>
            </w:r>
            <w:r>
              <w:rPr>
                <w:spacing w:val="-3"/>
                <w:sz w:val="20"/>
              </w:rPr>
              <w:t> </w:t>
            </w:r>
            <w:r>
              <w:rPr>
                <w:sz w:val="20"/>
              </w:rPr>
              <w:t>and</w:t>
            </w:r>
            <w:r>
              <w:rPr>
                <w:spacing w:val="-3"/>
                <w:sz w:val="20"/>
              </w:rPr>
              <w:t> </w:t>
            </w:r>
            <w:r>
              <w:rPr>
                <w:sz w:val="20"/>
              </w:rPr>
              <w:t>consistency</w:t>
            </w:r>
            <w:r>
              <w:rPr>
                <w:spacing w:val="-3"/>
                <w:sz w:val="20"/>
              </w:rPr>
              <w:t> </w:t>
            </w:r>
            <w:r>
              <w:rPr>
                <w:sz w:val="20"/>
              </w:rPr>
              <w:t>of</w:t>
            </w:r>
            <w:r>
              <w:rPr>
                <w:spacing w:val="-3"/>
                <w:sz w:val="20"/>
              </w:rPr>
              <w:t> </w:t>
            </w:r>
            <w:r>
              <w:rPr>
                <w:sz w:val="20"/>
              </w:rPr>
              <w:t>that</w:t>
            </w:r>
            <w:r>
              <w:rPr>
                <w:spacing w:val="-3"/>
                <w:sz w:val="20"/>
              </w:rPr>
              <w:t> </w:t>
            </w:r>
            <w:r>
              <w:rPr>
                <w:sz w:val="20"/>
              </w:rPr>
              <w:t>application</w:t>
            </w:r>
            <w:r>
              <w:rPr>
                <w:spacing w:val="-3"/>
                <w:sz w:val="20"/>
              </w:rPr>
              <w:t> </w:t>
            </w:r>
            <w:r>
              <w:rPr>
                <w:sz w:val="20"/>
              </w:rPr>
              <w:t>with</w:t>
            </w:r>
            <w:r>
              <w:rPr>
                <w:spacing w:val="-3"/>
                <w:sz w:val="20"/>
              </w:rPr>
              <w:t> </w:t>
            </w:r>
            <w:r>
              <w:rPr>
                <w:sz w:val="20"/>
              </w:rPr>
              <w:t>State</w:t>
            </w:r>
            <w:r>
              <w:rPr>
                <w:spacing w:val="-3"/>
                <w:sz w:val="20"/>
              </w:rPr>
              <w:t> </w:t>
            </w:r>
            <w:r>
              <w:rPr>
                <w:sz w:val="20"/>
              </w:rPr>
              <w:t>law</w:t>
            </w:r>
            <w:r>
              <w:rPr>
                <w:spacing w:val="-4"/>
                <w:sz w:val="20"/>
              </w:rPr>
              <w:t> </w:t>
            </w:r>
            <w:r>
              <w:rPr>
                <w:sz w:val="20"/>
              </w:rPr>
              <w:t>are</w:t>
            </w:r>
            <w:r>
              <w:rPr>
                <w:spacing w:val="-3"/>
                <w:sz w:val="20"/>
              </w:rPr>
              <w:t> </w:t>
            </w:r>
            <w:r>
              <w:rPr>
                <w:sz w:val="20"/>
              </w:rPr>
              <w:t>in</w:t>
            </w:r>
            <w:r>
              <w:rPr>
                <w:spacing w:val="-3"/>
                <w:sz w:val="20"/>
              </w:rPr>
              <w:t> </w:t>
            </w:r>
            <w:r>
              <w:rPr>
                <w:sz w:val="20"/>
              </w:rPr>
              <w:t>place</w:t>
            </w:r>
            <w:r>
              <w:rPr>
                <w:spacing w:val="-3"/>
                <w:sz w:val="20"/>
              </w:rPr>
              <w:t> </w:t>
            </w:r>
            <w:r>
              <w:rPr>
                <w:sz w:val="20"/>
              </w:rPr>
              <w:t>within</w:t>
            </w:r>
            <w:r>
              <w:rPr>
                <w:spacing w:val="-3"/>
                <w:sz w:val="20"/>
              </w:rPr>
              <w:t> </w:t>
            </w:r>
            <w:r>
              <w:rPr>
                <w:sz w:val="20"/>
              </w:rPr>
              <w:t>the </w:t>
            </w:r>
            <w:r>
              <w:rPr>
                <w:spacing w:val="-2"/>
                <w:sz w:val="20"/>
              </w:rPr>
              <w:t>State.</w:t>
            </w:r>
          </w:p>
        </w:tc>
      </w:tr>
      <w:tr>
        <w:trPr>
          <w:trHeight w:val="1621" w:hRule="atLeast"/>
        </w:trPr>
        <w:tc>
          <w:tcPr>
            <w:tcW w:w="1150" w:type="dxa"/>
            <w:tcBorders>
              <w:top w:val="single" w:sz="6" w:space="0" w:color="000000"/>
              <w:right w:val="single" w:sz="6" w:space="0" w:color="000000"/>
            </w:tcBorders>
          </w:tcPr>
          <w:p>
            <w:pPr>
              <w:pStyle w:val="TableParagraph"/>
              <w:spacing w:before="119"/>
              <w:ind w:left="109"/>
              <w:rPr>
                <w:sz w:val="20"/>
              </w:rPr>
            </w:pPr>
            <w:r>
              <w:rPr>
                <w:spacing w:val="-10"/>
                <w:sz w:val="20"/>
              </w:rPr>
              <w:t>X</w:t>
            </w:r>
          </w:p>
        </w:tc>
        <w:tc>
          <w:tcPr>
            <w:tcW w:w="8182" w:type="dxa"/>
            <w:tcBorders>
              <w:top w:val="single" w:sz="6" w:space="0" w:color="000000"/>
              <w:left w:val="single" w:sz="6" w:space="0" w:color="000000"/>
            </w:tcBorders>
          </w:tcPr>
          <w:p>
            <w:pPr>
              <w:pStyle w:val="TableParagraph"/>
              <w:tabs>
                <w:tab w:pos="604" w:val="left" w:leader="none"/>
              </w:tabs>
              <w:spacing w:before="119"/>
              <w:ind w:left="604" w:right="117" w:hanging="490"/>
              <w:rPr>
                <w:sz w:val="20"/>
              </w:rPr>
            </w:pPr>
            <w:r>
              <w:rPr>
                <w:spacing w:val="-6"/>
                <w:sz w:val="20"/>
              </w:rPr>
              <w:t>3.</w:t>
            </w:r>
            <w:r>
              <w:rPr>
                <w:sz w:val="20"/>
              </w:rPr>
              <w:tab/>
              <w:t>The State certifies that the arrangements to establish financial responsibility for the provision</w:t>
            </w:r>
            <w:r>
              <w:rPr>
                <w:spacing w:val="-5"/>
                <w:sz w:val="20"/>
              </w:rPr>
              <w:t> </w:t>
            </w:r>
            <w:r>
              <w:rPr>
                <w:sz w:val="20"/>
              </w:rPr>
              <w:t>of</w:t>
            </w:r>
            <w:r>
              <w:rPr>
                <w:spacing w:val="-5"/>
                <w:sz w:val="20"/>
              </w:rPr>
              <w:t> </w:t>
            </w:r>
            <w:r>
              <w:rPr>
                <w:sz w:val="20"/>
              </w:rPr>
              <w:t>Part</w:t>
            </w:r>
            <w:r>
              <w:rPr>
                <w:spacing w:val="-5"/>
                <w:sz w:val="20"/>
              </w:rPr>
              <w:t> </w:t>
            </w:r>
            <w:r>
              <w:rPr>
                <w:sz w:val="20"/>
              </w:rPr>
              <w:t>C</w:t>
            </w:r>
            <w:r>
              <w:rPr>
                <w:spacing w:val="-6"/>
                <w:sz w:val="20"/>
              </w:rPr>
              <w:t> </w:t>
            </w:r>
            <w:r>
              <w:rPr>
                <w:sz w:val="20"/>
              </w:rPr>
              <w:t>services</w:t>
            </w:r>
            <w:r>
              <w:rPr>
                <w:spacing w:val="-5"/>
                <w:sz w:val="20"/>
              </w:rPr>
              <w:t> </w:t>
            </w:r>
            <w:r>
              <w:rPr>
                <w:sz w:val="20"/>
              </w:rPr>
              <w:t>among</w:t>
            </w:r>
            <w:r>
              <w:rPr>
                <w:spacing w:val="-5"/>
                <w:sz w:val="20"/>
              </w:rPr>
              <w:t> </w:t>
            </w:r>
            <w:r>
              <w:rPr>
                <w:sz w:val="20"/>
              </w:rPr>
              <w:t>appropriate</w:t>
            </w:r>
            <w:r>
              <w:rPr>
                <w:spacing w:val="-5"/>
                <w:sz w:val="20"/>
              </w:rPr>
              <w:t> </w:t>
            </w:r>
            <w:r>
              <w:rPr>
                <w:sz w:val="20"/>
              </w:rPr>
              <w:t>public</w:t>
            </w:r>
            <w:r>
              <w:rPr>
                <w:spacing w:val="-5"/>
                <w:sz w:val="20"/>
              </w:rPr>
              <w:t> </w:t>
            </w:r>
            <w:r>
              <w:rPr>
                <w:sz w:val="20"/>
              </w:rPr>
              <w:t>agencies</w:t>
            </w:r>
            <w:r>
              <w:rPr>
                <w:spacing w:val="-5"/>
                <w:sz w:val="20"/>
              </w:rPr>
              <w:t> </w:t>
            </w:r>
            <w:r>
              <w:rPr>
                <w:sz w:val="20"/>
              </w:rPr>
              <w:t>under</w:t>
            </w:r>
            <w:r>
              <w:rPr>
                <w:spacing w:val="-5"/>
                <w:sz w:val="20"/>
              </w:rPr>
              <w:t> </w:t>
            </w:r>
            <w:r>
              <w:rPr>
                <w:sz w:val="20"/>
              </w:rPr>
              <w:t>§303.511</w:t>
            </w:r>
            <w:r>
              <w:rPr>
                <w:spacing w:val="-5"/>
                <w:sz w:val="20"/>
              </w:rPr>
              <w:t> </w:t>
            </w:r>
            <w:r>
              <w:rPr>
                <w:sz w:val="20"/>
              </w:rPr>
              <w:t>and the lead agency’s contracts with EIS providers regarding financial responsibility for the provision of Part C services meet the requirements in §§303.500 through</w:t>
            </w:r>
          </w:p>
          <w:p>
            <w:pPr>
              <w:pStyle w:val="TableParagraph"/>
              <w:spacing w:before="2"/>
              <w:ind w:left="604" w:right="969"/>
              <w:rPr>
                <w:sz w:val="20"/>
              </w:rPr>
            </w:pPr>
            <w:r>
              <w:rPr>
                <w:sz w:val="20"/>
              </w:rPr>
              <w:t>303.521</w:t>
            </w:r>
            <w:r>
              <w:rPr>
                <w:spacing w:val="-3"/>
                <w:sz w:val="20"/>
              </w:rPr>
              <w:t> </w:t>
            </w:r>
            <w:r>
              <w:rPr>
                <w:sz w:val="20"/>
              </w:rPr>
              <w:t>and</w:t>
            </w:r>
            <w:r>
              <w:rPr>
                <w:spacing w:val="-4"/>
                <w:sz w:val="20"/>
              </w:rPr>
              <w:t> </w:t>
            </w:r>
            <w:r>
              <w:rPr>
                <w:sz w:val="20"/>
              </w:rPr>
              <w:t>are</w:t>
            </w:r>
            <w:r>
              <w:rPr>
                <w:spacing w:val="-3"/>
                <w:sz w:val="20"/>
              </w:rPr>
              <w:t> </w:t>
            </w:r>
            <w:r>
              <w:rPr>
                <w:sz w:val="20"/>
              </w:rPr>
              <w:t>current</w:t>
            </w:r>
            <w:r>
              <w:rPr>
                <w:spacing w:val="-4"/>
                <w:sz w:val="20"/>
              </w:rPr>
              <w:t> </w:t>
            </w:r>
            <w:r>
              <w:rPr>
                <w:sz w:val="20"/>
              </w:rPr>
              <w:t>as</w:t>
            </w:r>
            <w:r>
              <w:rPr>
                <w:spacing w:val="-3"/>
                <w:sz w:val="20"/>
              </w:rPr>
              <w:t> </w:t>
            </w:r>
            <w:r>
              <w:rPr>
                <w:sz w:val="20"/>
              </w:rPr>
              <w:t>of</w:t>
            </w:r>
            <w:r>
              <w:rPr>
                <w:spacing w:val="-4"/>
                <w:sz w:val="20"/>
              </w:rPr>
              <w:t> </w:t>
            </w:r>
            <w:r>
              <w:rPr>
                <w:sz w:val="20"/>
              </w:rPr>
              <w:t>the</w:t>
            </w:r>
            <w:r>
              <w:rPr>
                <w:spacing w:val="-3"/>
                <w:sz w:val="20"/>
              </w:rPr>
              <w:t> </w:t>
            </w:r>
            <w:r>
              <w:rPr>
                <w:sz w:val="20"/>
              </w:rPr>
              <w:t>date</w:t>
            </w:r>
            <w:r>
              <w:rPr>
                <w:spacing w:val="-4"/>
                <w:sz w:val="20"/>
              </w:rPr>
              <w:t> </w:t>
            </w:r>
            <w:r>
              <w:rPr>
                <w:sz w:val="20"/>
              </w:rPr>
              <w:t>of</w:t>
            </w:r>
            <w:r>
              <w:rPr>
                <w:spacing w:val="-3"/>
                <w:sz w:val="20"/>
              </w:rPr>
              <w:t> </w:t>
            </w:r>
            <w:r>
              <w:rPr>
                <w:sz w:val="20"/>
              </w:rPr>
              <w:t>submission</w:t>
            </w:r>
            <w:r>
              <w:rPr>
                <w:spacing w:val="-4"/>
                <w:sz w:val="20"/>
              </w:rPr>
              <w:t> </w:t>
            </w:r>
            <w:r>
              <w:rPr>
                <w:sz w:val="20"/>
              </w:rPr>
              <w:t>of</w:t>
            </w:r>
            <w:r>
              <w:rPr>
                <w:spacing w:val="-3"/>
                <w:sz w:val="20"/>
              </w:rPr>
              <w:t> </w:t>
            </w:r>
            <w:r>
              <w:rPr>
                <w:sz w:val="20"/>
              </w:rPr>
              <w:t>the</w:t>
            </w:r>
            <w:r>
              <w:rPr>
                <w:spacing w:val="-4"/>
                <w:sz w:val="20"/>
              </w:rPr>
              <w:t> </w:t>
            </w:r>
            <w:r>
              <w:rPr>
                <w:sz w:val="20"/>
              </w:rPr>
              <w:t>certification. (34 CFR §303.202)</w:t>
            </w:r>
          </w:p>
        </w:tc>
      </w:tr>
    </w:tbl>
    <w:p>
      <w:pPr>
        <w:pStyle w:val="TableParagraph"/>
        <w:spacing w:after="0"/>
        <w:rPr>
          <w:sz w:val="20"/>
        </w:rPr>
        <w:sectPr>
          <w:pgSz w:w="12240" w:h="15840"/>
          <w:pgMar w:header="0" w:footer="879" w:top="1360" w:bottom="1060" w:left="720" w:right="720"/>
        </w:sectPr>
      </w:pPr>
    </w:p>
    <w:p>
      <w:pPr>
        <w:pStyle w:val="BodyText"/>
        <w:spacing w:before="9"/>
        <w:rPr>
          <w:sz w:val="2"/>
        </w:rPr>
      </w:pPr>
    </w:p>
    <w:p>
      <w:pPr>
        <w:pStyle w:val="BodyText"/>
        <w:spacing w:line="20" w:lineRule="exact"/>
        <w:ind w:left="-47"/>
        <w:rPr>
          <w:sz w:val="2"/>
        </w:rPr>
      </w:pPr>
      <w:r>
        <w:rPr>
          <w:sz w:val="2"/>
        </w:rPr>
        <mc:AlternateContent>
          <mc:Choice Requires="wps">
            <w:drawing>
              <wp:inline distT="0" distB="0" distL="0" distR="0">
                <wp:extent cx="6383655" cy="48895"/>
                <wp:effectExtent l="28575" t="0" r="17145" b="8254"/>
                <wp:docPr id="10" name="Group 10"/>
                <wp:cNvGraphicFramePr>
                  <a:graphicFrameLocks/>
                </wp:cNvGraphicFramePr>
                <a:graphic>
                  <a:graphicData uri="http://schemas.microsoft.com/office/word/2010/wordprocessingGroup">
                    <wpg:wgp>
                      <wpg:cNvPr id="10" name="Group 10"/>
                      <wpg:cNvGrpSpPr/>
                      <wpg:grpSpPr>
                        <a:xfrm>
                          <a:off x="0" y="0"/>
                          <a:ext cx="6383655" cy="48895"/>
                          <a:chExt cx="6383655" cy="48895"/>
                        </a:xfrm>
                      </wpg:grpSpPr>
                      <wps:wsp>
                        <wps:cNvPr id="11" name="Graphic 11"/>
                        <wps:cNvSpPr/>
                        <wps:spPr>
                          <a:xfrm>
                            <a:off x="0" y="24413"/>
                            <a:ext cx="6383655" cy="1270"/>
                          </a:xfrm>
                          <a:custGeom>
                            <a:avLst/>
                            <a:gdLst/>
                            <a:ahLst/>
                            <a:cxnLst/>
                            <a:rect l="l" t="t" r="r" b="b"/>
                            <a:pathLst>
                              <a:path w="6383655" h="0">
                                <a:moveTo>
                                  <a:pt x="0" y="0"/>
                                </a:moveTo>
                                <a:lnTo>
                                  <a:pt x="6383368" y="0"/>
                                </a:lnTo>
                              </a:path>
                            </a:pathLst>
                          </a:custGeom>
                          <a:ln w="4882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2.65pt;height:3.85pt;mso-position-horizontal-relative:char;mso-position-vertical-relative:line" id="docshapegroup8" coordorigin="0,0" coordsize="10053,77">
                <v:line style="position:absolute" from="0,38" to="10053,38" stroked="true" strokeweight="3.844654pt" strokecolor="#000000">
                  <v:stroke dashstyle="solid"/>
                </v:line>
              </v:group>
            </w:pict>
          </mc:Fallback>
        </mc:AlternateContent>
      </w:r>
      <w:r>
        <w:rPr>
          <w:sz w:val="2"/>
        </w:rPr>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73"/>
        <w:rPr>
          <w:sz w:val="18"/>
        </w:rPr>
      </w:pPr>
    </w:p>
    <w:p>
      <w:pPr>
        <w:pStyle w:val="ListParagraph"/>
        <w:numPr>
          <w:ilvl w:val="0"/>
          <w:numId w:val="2"/>
        </w:numPr>
        <w:tabs>
          <w:tab w:pos="1628" w:val="left" w:leader="none"/>
        </w:tabs>
        <w:spacing w:line="240" w:lineRule="auto" w:before="0" w:after="0"/>
        <w:ind w:left="1628" w:right="0" w:hanging="362"/>
        <w:jc w:val="left"/>
        <w:rPr>
          <w:b/>
          <w:color w:val="2D2331"/>
          <w:sz w:val="18"/>
        </w:rPr>
      </w:pPr>
      <w:bookmarkStart w:name="220427 MA-C Grants-Part-C-FFY-2022-Appli" w:id="3"/>
      <w:bookmarkEnd w:id="3"/>
      <w:r>
        <w:rPr/>
      </w:r>
      <w:r>
        <w:rPr>
          <w:b/>
          <w:color w:val="2D2331"/>
          <w:spacing w:val="-2"/>
          <w:w w:val="105"/>
          <w:sz w:val="18"/>
        </w:rPr>
        <w:t>Statement</w:t>
      </w:r>
    </w:p>
    <w:p>
      <w:pPr>
        <w:pStyle w:val="BodyText"/>
        <w:spacing w:before="4"/>
        <w:rPr>
          <w:b/>
          <w:sz w:val="18"/>
        </w:rPr>
      </w:pPr>
    </w:p>
    <w:p>
      <w:pPr>
        <w:spacing w:line="249" w:lineRule="auto" w:before="0"/>
        <w:ind w:left="1259" w:right="1284" w:firstLine="0"/>
        <w:jc w:val="left"/>
        <w:rPr>
          <w:sz w:val="17"/>
        </w:rPr>
      </w:pPr>
      <w:r>
        <w:rPr>
          <w:color w:val="676467"/>
          <w:sz w:val="17"/>
        </w:rPr>
        <w:t>I</w:t>
      </w:r>
      <w:r>
        <w:rPr>
          <w:color w:val="676467"/>
          <w:spacing w:val="38"/>
          <w:sz w:val="17"/>
        </w:rPr>
        <w:t> </w:t>
      </w:r>
      <w:r>
        <w:rPr>
          <w:color w:val="676467"/>
          <w:sz w:val="17"/>
        </w:rPr>
        <w:t>certify</w:t>
      </w:r>
      <w:r>
        <w:rPr>
          <w:color w:val="676467"/>
          <w:spacing w:val="40"/>
          <w:sz w:val="17"/>
        </w:rPr>
        <w:t> </w:t>
      </w:r>
      <w:r>
        <w:rPr>
          <w:color w:val="676467"/>
          <w:sz w:val="17"/>
        </w:rPr>
        <w:t>that</w:t>
      </w:r>
      <w:r>
        <w:rPr>
          <w:color w:val="676467"/>
          <w:spacing w:val="40"/>
          <w:sz w:val="17"/>
        </w:rPr>
        <w:t> </w:t>
      </w:r>
      <w:r>
        <w:rPr>
          <w:color w:val="676467"/>
          <w:sz w:val="17"/>
        </w:rPr>
        <w:t>the</w:t>
      </w:r>
      <w:r>
        <w:rPr>
          <w:color w:val="676467"/>
          <w:spacing w:val="34"/>
          <w:sz w:val="17"/>
        </w:rPr>
        <w:t> </w:t>
      </w:r>
      <w:r>
        <w:rPr>
          <w:color w:val="676467"/>
          <w:sz w:val="17"/>
        </w:rPr>
        <w:t>S</w:t>
      </w:r>
      <w:r>
        <w:rPr>
          <w:color w:val="3D343F"/>
          <w:sz w:val="17"/>
        </w:rPr>
        <w:t>t</w:t>
      </w:r>
      <w:r>
        <w:rPr>
          <w:color w:val="676467"/>
          <w:sz w:val="17"/>
        </w:rPr>
        <w:t>ate</w:t>
      </w:r>
      <w:r>
        <w:rPr>
          <w:color w:val="676467"/>
          <w:spacing w:val="40"/>
          <w:sz w:val="17"/>
        </w:rPr>
        <w:t> </w:t>
      </w:r>
      <w:r>
        <w:rPr>
          <w:color w:val="676467"/>
          <w:sz w:val="17"/>
        </w:rPr>
        <w:t>of</w:t>
      </w:r>
      <w:r>
        <w:rPr>
          <w:color w:val="676467"/>
          <w:spacing w:val="30"/>
          <w:sz w:val="17"/>
        </w:rPr>
        <w:t> </w:t>
      </w:r>
      <w:r>
        <w:rPr>
          <w:color w:val="676467"/>
          <w:sz w:val="17"/>
        </w:rPr>
        <w:t>Massachusetts</w:t>
      </w:r>
      <w:r>
        <w:rPr>
          <w:color w:val="676467"/>
          <w:spacing w:val="40"/>
          <w:sz w:val="17"/>
        </w:rPr>
        <w:t> </w:t>
      </w:r>
      <w:r>
        <w:rPr>
          <w:color w:val="676467"/>
          <w:sz w:val="17"/>
        </w:rPr>
        <w:t>has</w:t>
      </w:r>
      <w:r>
        <w:rPr>
          <w:color w:val="676467"/>
          <w:spacing w:val="37"/>
          <w:sz w:val="17"/>
        </w:rPr>
        <w:t> </w:t>
      </w:r>
      <w:r>
        <w:rPr>
          <w:color w:val="676467"/>
          <w:sz w:val="17"/>
        </w:rPr>
        <w:t>provided</w:t>
      </w:r>
      <w:r>
        <w:rPr>
          <w:color w:val="676467"/>
          <w:spacing w:val="40"/>
          <w:sz w:val="17"/>
        </w:rPr>
        <w:t> </w:t>
      </w:r>
      <w:r>
        <w:rPr>
          <w:color w:val="676467"/>
          <w:sz w:val="17"/>
        </w:rPr>
        <w:t>the</w:t>
      </w:r>
      <w:r>
        <w:rPr>
          <w:color w:val="676467"/>
          <w:spacing w:val="35"/>
          <w:sz w:val="17"/>
        </w:rPr>
        <w:t> </w:t>
      </w:r>
      <w:r>
        <w:rPr>
          <w:color w:val="676467"/>
          <w:sz w:val="17"/>
        </w:rPr>
        <w:t>policies</w:t>
      </w:r>
      <w:r>
        <w:rPr>
          <w:color w:val="9E9EA0"/>
          <w:sz w:val="17"/>
        </w:rPr>
        <w:t>, </w:t>
      </w:r>
      <w:r>
        <w:rPr>
          <w:color w:val="676467"/>
          <w:sz w:val="17"/>
        </w:rPr>
        <w:t>procedures</w:t>
      </w:r>
      <w:r>
        <w:rPr>
          <w:color w:val="9E9EA0"/>
          <w:sz w:val="17"/>
        </w:rPr>
        <w:t>, </w:t>
      </w:r>
      <w:r>
        <w:rPr>
          <w:color w:val="676467"/>
          <w:sz w:val="17"/>
        </w:rPr>
        <w:t>methods</w:t>
      </w:r>
      <w:r>
        <w:rPr>
          <w:color w:val="C4C1C1"/>
          <w:sz w:val="17"/>
        </w:rPr>
        <w:t>,</w:t>
      </w:r>
      <w:r>
        <w:rPr>
          <w:color w:val="C4C1C1"/>
          <w:spacing w:val="14"/>
          <w:sz w:val="17"/>
        </w:rPr>
        <w:t> </w:t>
      </w:r>
      <w:r>
        <w:rPr>
          <w:color w:val="676467"/>
          <w:sz w:val="17"/>
        </w:rPr>
        <w:t>desc</w:t>
      </w:r>
      <w:r>
        <w:rPr>
          <w:color w:val="878587"/>
          <w:sz w:val="17"/>
        </w:rPr>
        <w:t>ri</w:t>
      </w:r>
      <w:r>
        <w:rPr>
          <w:color w:val="676467"/>
          <w:sz w:val="17"/>
        </w:rPr>
        <w:t>ptions</w:t>
      </w:r>
      <w:r>
        <w:rPr>
          <w:color w:val="9E9EA0"/>
          <w:sz w:val="17"/>
        </w:rPr>
        <w:t>, </w:t>
      </w:r>
      <w:r>
        <w:rPr>
          <w:color w:val="676467"/>
          <w:sz w:val="17"/>
        </w:rPr>
        <w:t>and assurances checked as </w:t>
      </w:r>
      <w:r>
        <w:rPr>
          <w:color w:val="9E9EA0"/>
          <w:sz w:val="17"/>
        </w:rPr>
        <w:t>'</w:t>
      </w:r>
      <w:r>
        <w:rPr>
          <w:color w:val="676467"/>
          <w:sz w:val="17"/>
        </w:rPr>
        <w:t>yes</w:t>
      </w:r>
      <w:r>
        <w:rPr>
          <w:color w:val="9E9EA0"/>
          <w:sz w:val="17"/>
        </w:rPr>
        <w:t>'</w:t>
      </w:r>
      <w:r>
        <w:rPr>
          <w:color w:val="9E9EA0"/>
          <w:spacing w:val="-7"/>
          <w:sz w:val="17"/>
        </w:rPr>
        <w:t> </w:t>
      </w:r>
      <w:r>
        <w:rPr>
          <w:color w:val="676467"/>
          <w:sz w:val="13"/>
        </w:rPr>
        <w:t>in</w:t>
      </w:r>
      <w:r>
        <w:rPr>
          <w:color w:val="676467"/>
          <w:spacing w:val="40"/>
          <w:sz w:val="13"/>
        </w:rPr>
        <w:t> </w:t>
      </w:r>
      <w:r>
        <w:rPr>
          <w:color w:val="676467"/>
          <w:sz w:val="17"/>
        </w:rPr>
        <w:t>Sections II A</w:t>
      </w:r>
      <w:r>
        <w:rPr>
          <w:color w:val="676467"/>
          <w:spacing w:val="-4"/>
          <w:sz w:val="17"/>
        </w:rPr>
        <w:t> </w:t>
      </w:r>
      <w:r>
        <w:rPr>
          <w:color w:val="676467"/>
          <w:sz w:val="17"/>
        </w:rPr>
        <w:t>and</w:t>
      </w:r>
      <w:r>
        <w:rPr>
          <w:color w:val="676467"/>
          <w:spacing w:val="-3"/>
          <w:sz w:val="17"/>
        </w:rPr>
        <w:t> </w:t>
      </w:r>
      <w:r>
        <w:rPr>
          <w:color w:val="544D4F"/>
          <w:sz w:val="17"/>
        </w:rPr>
        <w:t>11.8 </w:t>
      </w:r>
      <w:r>
        <w:rPr>
          <w:color w:val="676467"/>
          <w:sz w:val="17"/>
        </w:rPr>
        <w:t>and the</w:t>
      </w:r>
      <w:r>
        <w:rPr>
          <w:color w:val="676467"/>
          <w:spacing w:val="-1"/>
          <w:sz w:val="17"/>
        </w:rPr>
        <w:t> </w:t>
      </w:r>
      <w:r>
        <w:rPr>
          <w:color w:val="676467"/>
          <w:sz w:val="17"/>
        </w:rPr>
        <w:t>cert1ficat</w:t>
      </w:r>
      <w:r>
        <w:rPr>
          <w:color w:val="878587"/>
          <w:sz w:val="17"/>
        </w:rPr>
        <w:t>1</w:t>
      </w:r>
      <w:r>
        <w:rPr>
          <w:color w:val="676467"/>
          <w:sz w:val="17"/>
        </w:rPr>
        <w:t>ons </w:t>
      </w:r>
      <w:r>
        <w:rPr>
          <w:color w:val="777577"/>
          <w:sz w:val="17"/>
        </w:rPr>
        <w:t>required </w:t>
      </w:r>
      <w:r>
        <w:rPr>
          <w:color w:val="777577"/>
          <w:sz w:val="13"/>
        </w:rPr>
        <w:t>in</w:t>
      </w:r>
      <w:r>
        <w:rPr>
          <w:color w:val="777577"/>
          <w:spacing w:val="40"/>
          <w:sz w:val="13"/>
        </w:rPr>
        <w:t> </w:t>
      </w:r>
      <w:r>
        <w:rPr>
          <w:color w:val="676467"/>
          <w:sz w:val="17"/>
        </w:rPr>
        <w:t>Sect</w:t>
      </w:r>
      <w:r>
        <w:rPr>
          <w:color w:val="878587"/>
          <w:sz w:val="17"/>
        </w:rPr>
        <w:t>i</w:t>
      </w:r>
      <w:r>
        <w:rPr>
          <w:color w:val="676467"/>
          <w:sz w:val="17"/>
        </w:rPr>
        <w:t>on</w:t>
      </w:r>
      <w:r>
        <w:rPr>
          <w:color w:val="676467"/>
          <w:spacing w:val="-3"/>
          <w:sz w:val="17"/>
        </w:rPr>
        <w:t> </w:t>
      </w:r>
      <w:r>
        <w:rPr>
          <w:color w:val="777577"/>
          <w:sz w:val="17"/>
        </w:rPr>
        <w:t>I1.C of </w:t>
      </w:r>
      <w:r>
        <w:rPr>
          <w:color w:val="676467"/>
          <w:sz w:val="17"/>
        </w:rPr>
        <w:t>th</w:t>
      </w:r>
      <w:r>
        <w:rPr>
          <w:color w:val="878587"/>
          <w:sz w:val="17"/>
        </w:rPr>
        <w:t>i</w:t>
      </w:r>
      <w:r>
        <w:rPr>
          <w:color w:val="676467"/>
          <w:sz w:val="17"/>
        </w:rPr>
        <w:t>s application</w:t>
      </w:r>
      <w:r>
        <w:rPr>
          <w:color w:val="9E9EA0"/>
          <w:sz w:val="17"/>
        </w:rPr>
        <w:t>. </w:t>
      </w:r>
      <w:r>
        <w:rPr>
          <w:color w:val="676467"/>
          <w:sz w:val="17"/>
        </w:rPr>
        <w:t>These provisions</w:t>
      </w:r>
      <w:r>
        <w:rPr>
          <w:color w:val="676467"/>
          <w:spacing w:val="40"/>
          <w:sz w:val="17"/>
        </w:rPr>
        <w:t> </w:t>
      </w:r>
      <w:r>
        <w:rPr>
          <w:color w:val="676467"/>
          <w:sz w:val="17"/>
        </w:rPr>
        <w:t>meet</w:t>
      </w:r>
      <w:r>
        <w:rPr>
          <w:color w:val="676467"/>
          <w:spacing w:val="39"/>
          <w:sz w:val="17"/>
        </w:rPr>
        <w:t> </w:t>
      </w:r>
      <w:r>
        <w:rPr>
          <w:color w:val="676467"/>
          <w:sz w:val="17"/>
        </w:rPr>
        <w:t>the requirements</w:t>
      </w:r>
      <w:r>
        <w:rPr>
          <w:color w:val="676467"/>
          <w:spacing w:val="40"/>
          <w:sz w:val="17"/>
        </w:rPr>
        <w:t> </w:t>
      </w:r>
      <w:r>
        <w:rPr>
          <w:color w:val="676467"/>
          <w:sz w:val="17"/>
        </w:rPr>
        <w:t>of Part C of</w:t>
      </w:r>
      <w:r>
        <w:rPr>
          <w:color w:val="676467"/>
          <w:spacing w:val="40"/>
          <w:sz w:val="17"/>
        </w:rPr>
        <w:t> </w:t>
      </w:r>
      <w:r>
        <w:rPr>
          <w:color w:val="676467"/>
          <w:sz w:val="17"/>
        </w:rPr>
        <w:t>the Ind</w:t>
      </w:r>
      <w:r>
        <w:rPr>
          <w:color w:val="878587"/>
          <w:sz w:val="17"/>
        </w:rPr>
        <w:t>i</w:t>
      </w:r>
      <w:r>
        <w:rPr>
          <w:color w:val="676467"/>
          <w:sz w:val="17"/>
        </w:rPr>
        <w:t>v</w:t>
      </w:r>
      <w:r>
        <w:rPr>
          <w:color w:val="878587"/>
          <w:sz w:val="17"/>
        </w:rPr>
        <w:t>i</w:t>
      </w:r>
      <w:r>
        <w:rPr>
          <w:color w:val="676467"/>
          <w:sz w:val="17"/>
        </w:rPr>
        <w:t>dua</w:t>
      </w:r>
      <w:r>
        <w:rPr>
          <w:color w:val="878587"/>
          <w:sz w:val="17"/>
        </w:rPr>
        <w:t>ls </w:t>
      </w:r>
      <w:r>
        <w:rPr>
          <w:color w:val="777577"/>
          <w:sz w:val="17"/>
        </w:rPr>
        <w:t>with </w:t>
      </w:r>
      <w:r>
        <w:rPr>
          <w:color w:val="676467"/>
          <w:sz w:val="17"/>
        </w:rPr>
        <w:t>D</w:t>
      </w:r>
      <w:r>
        <w:rPr>
          <w:color w:val="878587"/>
          <w:sz w:val="17"/>
        </w:rPr>
        <w:t>i</w:t>
      </w:r>
      <w:r>
        <w:rPr>
          <w:color w:val="676467"/>
          <w:sz w:val="17"/>
        </w:rPr>
        <w:t>sab</w:t>
      </w:r>
      <w:r>
        <w:rPr>
          <w:color w:val="9E9EA0"/>
          <w:sz w:val="17"/>
        </w:rPr>
        <w:t>i</w:t>
      </w:r>
      <w:r>
        <w:rPr>
          <w:color w:val="777577"/>
          <w:sz w:val="17"/>
        </w:rPr>
        <w:t>lities </w:t>
      </w:r>
      <w:r>
        <w:rPr>
          <w:color w:val="676467"/>
          <w:sz w:val="17"/>
        </w:rPr>
        <w:t>Educat</w:t>
      </w:r>
      <w:r>
        <w:rPr>
          <w:color w:val="878587"/>
          <w:sz w:val="17"/>
        </w:rPr>
        <w:t>i</w:t>
      </w:r>
      <w:r>
        <w:rPr>
          <w:color w:val="676467"/>
          <w:sz w:val="17"/>
        </w:rPr>
        <w:t>on Act</w:t>
      </w:r>
      <w:r>
        <w:rPr>
          <w:color w:val="676467"/>
          <w:spacing w:val="20"/>
          <w:sz w:val="17"/>
        </w:rPr>
        <w:t> </w:t>
      </w:r>
      <w:r>
        <w:rPr>
          <w:color w:val="676467"/>
          <w:sz w:val="17"/>
        </w:rPr>
        <w:t>as</w:t>
      </w:r>
      <w:r>
        <w:rPr>
          <w:color w:val="676467"/>
          <w:spacing w:val="30"/>
          <w:sz w:val="17"/>
        </w:rPr>
        <w:t> </w:t>
      </w:r>
      <w:r>
        <w:rPr>
          <w:color w:val="676467"/>
          <w:sz w:val="17"/>
        </w:rPr>
        <w:t>found</w:t>
      </w:r>
      <w:r>
        <w:rPr>
          <w:color w:val="676467"/>
          <w:spacing w:val="32"/>
          <w:sz w:val="17"/>
        </w:rPr>
        <w:t> </w:t>
      </w:r>
      <w:r>
        <w:rPr>
          <w:color w:val="676467"/>
          <w:sz w:val="13"/>
        </w:rPr>
        <w:t>in</w:t>
      </w:r>
      <w:r>
        <w:rPr>
          <w:color w:val="676467"/>
          <w:spacing w:val="80"/>
          <w:sz w:val="13"/>
        </w:rPr>
        <w:t> </w:t>
      </w:r>
      <w:r>
        <w:rPr>
          <w:color w:val="777577"/>
          <w:sz w:val="17"/>
        </w:rPr>
        <w:t>20</w:t>
      </w:r>
      <w:r>
        <w:rPr>
          <w:color w:val="777577"/>
          <w:spacing w:val="26"/>
          <w:sz w:val="17"/>
        </w:rPr>
        <w:t> </w:t>
      </w:r>
      <w:r>
        <w:rPr>
          <w:color w:val="544D4F"/>
          <w:sz w:val="17"/>
        </w:rPr>
        <w:t>USC</w:t>
      </w:r>
      <w:r>
        <w:rPr>
          <w:color w:val="C4C1C1"/>
          <w:sz w:val="17"/>
        </w:rPr>
        <w:t>.</w:t>
      </w:r>
      <w:r>
        <w:rPr>
          <w:color w:val="C4C1C1"/>
          <w:spacing w:val="-1"/>
          <w:sz w:val="17"/>
        </w:rPr>
        <w:t> </w:t>
      </w:r>
      <w:r>
        <w:rPr>
          <w:color w:val="676467"/>
          <w:sz w:val="17"/>
        </w:rPr>
        <w:t>1431-1443</w:t>
      </w:r>
      <w:r>
        <w:rPr>
          <w:color w:val="676467"/>
          <w:spacing w:val="39"/>
          <w:sz w:val="17"/>
        </w:rPr>
        <w:t> </w:t>
      </w:r>
      <w:r>
        <w:rPr>
          <w:color w:val="676467"/>
          <w:sz w:val="17"/>
        </w:rPr>
        <w:t>(as</w:t>
      </w:r>
      <w:r>
        <w:rPr>
          <w:color w:val="676467"/>
          <w:spacing w:val="24"/>
          <w:sz w:val="17"/>
        </w:rPr>
        <w:t> </w:t>
      </w:r>
      <w:r>
        <w:rPr>
          <w:color w:val="676467"/>
          <w:sz w:val="17"/>
        </w:rPr>
        <w:t>amended</w:t>
      </w:r>
      <w:r>
        <w:rPr>
          <w:color w:val="878587"/>
          <w:sz w:val="17"/>
        </w:rPr>
        <w:t>)</w:t>
      </w:r>
      <w:r>
        <w:rPr>
          <w:color w:val="878587"/>
          <w:spacing w:val="18"/>
          <w:sz w:val="17"/>
        </w:rPr>
        <w:t> </w:t>
      </w:r>
      <w:r>
        <w:rPr>
          <w:color w:val="676467"/>
          <w:sz w:val="17"/>
        </w:rPr>
        <w:t>and</w:t>
      </w:r>
      <w:r>
        <w:rPr>
          <w:color w:val="676467"/>
          <w:spacing w:val="36"/>
          <w:sz w:val="17"/>
        </w:rPr>
        <w:t> </w:t>
      </w:r>
      <w:r>
        <w:rPr>
          <w:color w:val="676467"/>
          <w:sz w:val="17"/>
        </w:rPr>
        <w:t>the</w:t>
      </w:r>
      <w:r>
        <w:rPr>
          <w:color w:val="676467"/>
          <w:spacing w:val="26"/>
          <w:sz w:val="17"/>
        </w:rPr>
        <w:t> </w:t>
      </w:r>
      <w:r>
        <w:rPr>
          <w:color w:val="777577"/>
          <w:sz w:val="17"/>
        </w:rPr>
        <w:t>2011</w:t>
      </w:r>
      <w:r>
        <w:rPr>
          <w:color w:val="777577"/>
          <w:spacing w:val="30"/>
          <w:sz w:val="17"/>
        </w:rPr>
        <w:t> </w:t>
      </w:r>
      <w:r>
        <w:rPr>
          <w:color w:val="676467"/>
          <w:sz w:val="17"/>
        </w:rPr>
        <w:t>regulations</w:t>
      </w:r>
      <w:r>
        <w:rPr>
          <w:color w:val="676467"/>
          <w:spacing w:val="40"/>
          <w:sz w:val="17"/>
        </w:rPr>
        <w:t> </w:t>
      </w:r>
      <w:r>
        <w:rPr>
          <w:color w:val="676467"/>
          <w:sz w:val="13"/>
        </w:rPr>
        <w:t>in</w:t>
      </w:r>
      <w:r>
        <w:rPr>
          <w:color w:val="676467"/>
          <w:spacing w:val="80"/>
          <w:sz w:val="13"/>
        </w:rPr>
        <w:t> </w:t>
      </w:r>
      <w:r>
        <w:rPr>
          <w:color w:val="777577"/>
          <w:sz w:val="17"/>
        </w:rPr>
        <w:t>34</w:t>
      </w:r>
      <w:r>
        <w:rPr>
          <w:color w:val="777577"/>
          <w:spacing w:val="24"/>
          <w:sz w:val="17"/>
        </w:rPr>
        <w:t> </w:t>
      </w:r>
      <w:r>
        <w:rPr>
          <w:color w:val="676467"/>
          <w:sz w:val="17"/>
        </w:rPr>
        <w:t>CFR</w:t>
      </w:r>
      <w:r>
        <w:rPr>
          <w:color w:val="676467"/>
          <w:spacing w:val="40"/>
          <w:sz w:val="17"/>
        </w:rPr>
        <w:t> </w:t>
      </w:r>
      <w:r>
        <w:rPr>
          <w:color w:val="676467"/>
          <w:sz w:val="17"/>
        </w:rPr>
        <w:t>Part 303 </w:t>
      </w:r>
      <w:r>
        <w:rPr>
          <w:color w:val="777577"/>
          <w:sz w:val="17"/>
        </w:rPr>
        <w:t>(as </w:t>
      </w:r>
      <w:r>
        <w:rPr>
          <w:color w:val="676467"/>
          <w:sz w:val="17"/>
        </w:rPr>
        <w:t>amended)</w:t>
      </w:r>
      <w:r>
        <w:rPr>
          <w:color w:val="B3B3B3"/>
          <w:sz w:val="17"/>
        </w:rPr>
        <w:t>. </w:t>
      </w:r>
      <w:r>
        <w:rPr>
          <w:color w:val="544D4F"/>
          <w:sz w:val="17"/>
        </w:rPr>
        <w:t>The </w:t>
      </w:r>
      <w:r>
        <w:rPr>
          <w:color w:val="676467"/>
          <w:sz w:val="17"/>
        </w:rPr>
        <w:t>State will</w:t>
      </w:r>
      <w:r>
        <w:rPr>
          <w:color w:val="676467"/>
          <w:spacing w:val="25"/>
          <w:sz w:val="17"/>
        </w:rPr>
        <w:t> </w:t>
      </w:r>
      <w:r>
        <w:rPr>
          <w:color w:val="676467"/>
          <w:sz w:val="17"/>
        </w:rPr>
        <w:t>operate</w:t>
      </w:r>
      <w:r>
        <w:rPr>
          <w:color w:val="676467"/>
          <w:spacing w:val="25"/>
          <w:sz w:val="17"/>
        </w:rPr>
        <w:t> </w:t>
      </w:r>
      <w:r>
        <w:rPr>
          <w:color w:val="777577"/>
          <w:sz w:val="17"/>
        </w:rPr>
        <w:t>its </w:t>
      </w:r>
      <w:r>
        <w:rPr>
          <w:color w:val="544D4F"/>
          <w:sz w:val="17"/>
        </w:rPr>
        <w:t>IDEA </w:t>
      </w:r>
      <w:r>
        <w:rPr>
          <w:color w:val="676467"/>
          <w:sz w:val="17"/>
        </w:rPr>
        <w:t>Part C program</w:t>
      </w:r>
      <w:r>
        <w:rPr>
          <w:color w:val="676467"/>
          <w:spacing w:val="24"/>
          <w:sz w:val="17"/>
        </w:rPr>
        <w:t> </w:t>
      </w:r>
      <w:r>
        <w:rPr>
          <w:color w:val="878587"/>
          <w:sz w:val="17"/>
        </w:rPr>
        <w:t>I</w:t>
      </w:r>
      <w:r>
        <w:rPr>
          <w:color w:val="676467"/>
          <w:sz w:val="17"/>
        </w:rPr>
        <w:t>n accordance</w:t>
      </w:r>
      <w:r>
        <w:rPr>
          <w:color w:val="676467"/>
          <w:spacing w:val="33"/>
          <w:sz w:val="17"/>
        </w:rPr>
        <w:t> </w:t>
      </w:r>
      <w:r>
        <w:rPr>
          <w:color w:val="676467"/>
          <w:sz w:val="17"/>
        </w:rPr>
        <w:t>w</w:t>
      </w:r>
      <w:r>
        <w:rPr>
          <w:color w:val="878587"/>
          <w:sz w:val="17"/>
        </w:rPr>
        <w:t>ith </w:t>
      </w:r>
      <w:r>
        <w:rPr>
          <w:color w:val="777577"/>
          <w:sz w:val="17"/>
        </w:rPr>
        <w:t>all </w:t>
      </w:r>
      <w:r>
        <w:rPr>
          <w:color w:val="676467"/>
          <w:sz w:val="17"/>
        </w:rPr>
        <w:t>of</w:t>
      </w:r>
      <w:r>
        <w:rPr>
          <w:color w:val="676467"/>
          <w:spacing w:val="37"/>
          <w:sz w:val="17"/>
        </w:rPr>
        <w:t> </w:t>
      </w:r>
      <w:r>
        <w:rPr>
          <w:color w:val="676467"/>
          <w:sz w:val="17"/>
        </w:rPr>
        <w:t>the</w:t>
      </w:r>
      <w:r>
        <w:rPr>
          <w:color w:val="676467"/>
          <w:spacing w:val="22"/>
          <w:sz w:val="17"/>
        </w:rPr>
        <w:t> </w:t>
      </w:r>
      <w:r>
        <w:rPr>
          <w:color w:val="777577"/>
          <w:sz w:val="17"/>
        </w:rPr>
        <w:t>required </w:t>
      </w:r>
      <w:r>
        <w:rPr>
          <w:color w:val="676467"/>
          <w:sz w:val="17"/>
        </w:rPr>
        <w:t>policies</w:t>
      </w:r>
      <w:r>
        <w:rPr>
          <w:color w:val="9E9EA0"/>
          <w:sz w:val="17"/>
        </w:rPr>
        <w:t>, </w:t>
      </w:r>
      <w:r>
        <w:rPr>
          <w:color w:val="676467"/>
          <w:sz w:val="17"/>
        </w:rPr>
        <w:t>procedures</w:t>
      </w:r>
      <w:r>
        <w:rPr>
          <w:color w:val="9E9EA0"/>
          <w:sz w:val="17"/>
        </w:rPr>
        <w:t>, </w:t>
      </w:r>
      <w:r>
        <w:rPr>
          <w:color w:val="676467"/>
          <w:sz w:val="17"/>
        </w:rPr>
        <w:t>methods</w:t>
      </w:r>
      <w:r>
        <w:rPr>
          <w:color w:val="B3B3B3"/>
          <w:sz w:val="17"/>
        </w:rPr>
        <w:t>, </w:t>
      </w:r>
      <w:r>
        <w:rPr>
          <w:color w:val="676467"/>
          <w:sz w:val="17"/>
        </w:rPr>
        <w:t>descript</w:t>
      </w:r>
      <w:r>
        <w:rPr>
          <w:color w:val="878587"/>
          <w:sz w:val="17"/>
        </w:rPr>
        <w:t>i</w:t>
      </w:r>
      <w:r>
        <w:rPr>
          <w:color w:val="676467"/>
          <w:sz w:val="17"/>
        </w:rPr>
        <w:t>ons</w:t>
      </w:r>
      <w:r>
        <w:rPr>
          <w:color w:val="9E9EA0"/>
          <w:sz w:val="17"/>
        </w:rPr>
        <w:t>, </w:t>
      </w:r>
      <w:r>
        <w:rPr>
          <w:color w:val="676467"/>
          <w:sz w:val="17"/>
        </w:rPr>
        <w:t>assurances</w:t>
      </w:r>
      <w:r>
        <w:rPr>
          <w:color w:val="676467"/>
          <w:spacing w:val="40"/>
          <w:sz w:val="17"/>
        </w:rPr>
        <w:t> </w:t>
      </w:r>
      <w:r>
        <w:rPr>
          <w:color w:val="676467"/>
          <w:sz w:val="17"/>
        </w:rPr>
        <w:t>and cert1ficat</w:t>
      </w:r>
      <w:r>
        <w:rPr>
          <w:color w:val="878587"/>
          <w:sz w:val="17"/>
        </w:rPr>
        <w:t>1</w:t>
      </w:r>
      <w:r>
        <w:rPr>
          <w:color w:val="676467"/>
          <w:sz w:val="17"/>
        </w:rPr>
        <w:t>ons</w:t>
      </w:r>
    </w:p>
    <w:p>
      <w:pPr>
        <w:spacing w:line="249" w:lineRule="auto" w:before="102"/>
        <w:ind w:left="1254" w:right="1284" w:firstLine="0"/>
        <w:jc w:val="left"/>
        <w:rPr>
          <w:sz w:val="17"/>
        </w:rPr>
      </w:pPr>
      <w:r>
        <w:rPr>
          <w:color w:val="544D4F"/>
          <w:w w:val="105"/>
          <w:sz w:val="17"/>
        </w:rPr>
        <w:t>If</w:t>
      </w:r>
      <w:r>
        <w:rPr>
          <w:color w:val="544D4F"/>
          <w:spacing w:val="-8"/>
          <w:w w:val="105"/>
          <w:sz w:val="17"/>
        </w:rPr>
        <w:t> </w:t>
      </w:r>
      <w:r>
        <w:rPr>
          <w:color w:val="676467"/>
          <w:w w:val="105"/>
          <w:sz w:val="17"/>
        </w:rPr>
        <w:t>any</w:t>
      </w:r>
      <w:r>
        <w:rPr>
          <w:color w:val="676467"/>
          <w:spacing w:val="-1"/>
          <w:w w:val="105"/>
          <w:sz w:val="17"/>
        </w:rPr>
        <w:t> </w:t>
      </w:r>
      <w:r>
        <w:rPr>
          <w:color w:val="676467"/>
          <w:w w:val="105"/>
          <w:sz w:val="17"/>
        </w:rPr>
        <w:t>pol</w:t>
      </w:r>
      <w:r>
        <w:rPr>
          <w:color w:val="878587"/>
          <w:w w:val="105"/>
          <w:sz w:val="17"/>
        </w:rPr>
        <w:t>ici</w:t>
      </w:r>
      <w:r>
        <w:rPr>
          <w:color w:val="676467"/>
          <w:w w:val="105"/>
          <w:sz w:val="17"/>
        </w:rPr>
        <w:t>es</w:t>
      </w:r>
      <w:r>
        <w:rPr>
          <w:color w:val="B3B3B3"/>
          <w:w w:val="105"/>
          <w:sz w:val="17"/>
        </w:rPr>
        <w:t>,</w:t>
      </w:r>
      <w:r>
        <w:rPr>
          <w:color w:val="B3B3B3"/>
          <w:spacing w:val="-13"/>
          <w:w w:val="105"/>
          <w:sz w:val="17"/>
        </w:rPr>
        <w:t> </w:t>
      </w:r>
      <w:r>
        <w:rPr>
          <w:color w:val="676467"/>
          <w:w w:val="105"/>
          <w:sz w:val="17"/>
        </w:rPr>
        <w:t>procedures</w:t>
      </w:r>
      <w:r>
        <w:rPr>
          <w:color w:val="878587"/>
          <w:w w:val="105"/>
          <w:sz w:val="17"/>
        </w:rPr>
        <w:t>,</w:t>
      </w:r>
      <w:r>
        <w:rPr>
          <w:color w:val="878587"/>
          <w:spacing w:val="-16"/>
          <w:w w:val="105"/>
          <w:sz w:val="17"/>
        </w:rPr>
        <w:t> </w:t>
      </w:r>
      <w:r>
        <w:rPr>
          <w:color w:val="676467"/>
          <w:w w:val="105"/>
          <w:sz w:val="17"/>
        </w:rPr>
        <w:t>methods</w:t>
      </w:r>
      <w:r>
        <w:rPr>
          <w:color w:val="9E9EA0"/>
          <w:w w:val="105"/>
          <w:sz w:val="17"/>
        </w:rPr>
        <w:t>,</w:t>
      </w:r>
      <w:r>
        <w:rPr>
          <w:color w:val="9E9EA0"/>
          <w:spacing w:val="-13"/>
          <w:w w:val="105"/>
          <w:sz w:val="17"/>
        </w:rPr>
        <w:t> </w:t>
      </w:r>
      <w:r>
        <w:rPr>
          <w:color w:val="676467"/>
          <w:w w:val="105"/>
          <w:sz w:val="17"/>
        </w:rPr>
        <w:t>descriptions</w:t>
      </w:r>
      <w:r>
        <w:rPr>
          <w:color w:val="9E9EA0"/>
          <w:w w:val="105"/>
          <w:sz w:val="17"/>
        </w:rPr>
        <w:t>,</w:t>
      </w:r>
      <w:r>
        <w:rPr>
          <w:color w:val="9E9EA0"/>
          <w:spacing w:val="-12"/>
          <w:w w:val="105"/>
          <w:sz w:val="17"/>
        </w:rPr>
        <w:t> </w:t>
      </w:r>
      <w:r>
        <w:rPr>
          <w:color w:val="676467"/>
          <w:w w:val="105"/>
          <w:sz w:val="17"/>
        </w:rPr>
        <w:t>and</w:t>
      </w:r>
      <w:r>
        <w:rPr>
          <w:color w:val="676467"/>
          <w:spacing w:val="-4"/>
          <w:w w:val="105"/>
          <w:sz w:val="17"/>
        </w:rPr>
        <w:t> </w:t>
      </w:r>
      <w:r>
        <w:rPr>
          <w:color w:val="676467"/>
          <w:w w:val="105"/>
          <w:sz w:val="17"/>
        </w:rPr>
        <w:t>assurances have been</w:t>
      </w:r>
      <w:r>
        <w:rPr>
          <w:color w:val="676467"/>
          <w:spacing w:val="-10"/>
          <w:w w:val="105"/>
          <w:sz w:val="17"/>
        </w:rPr>
        <w:t> </w:t>
      </w:r>
      <w:r>
        <w:rPr>
          <w:color w:val="777577"/>
          <w:w w:val="105"/>
          <w:sz w:val="17"/>
        </w:rPr>
        <w:t>checked</w:t>
      </w:r>
      <w:r>
        <w:rPr>
          <w:color w:val="777577"/>
          <w:spacing w:val="-6"/>
          <w:w w:val="105"/>
          <w:sz w:val="17"/>
        </w:rPr>
        <w:t> </w:t>
      </w:r>
      <w:r>
        <w:rPr>
          <w:color w:val="878587"/>
          <w:w w:val="105"/>
          <w:sz w:val="17"/>
        </w:rPr>
        <w:t>'no'</w:t>
      </w:r>
      <w:r>
        <w:rPr>
          <w:color w:val="B3B3B3"/>
          <w:w w:val="105"/>
          <w:sz w:val="17"/>
        </w:rPr>
        <w:t>,</w:t>
      </w:r>
      <w:r>
        <w:rPr>
          <w:color w:val="B3B3B3"/>
          <w:spacing w:val="-13"/>
          <w:w w:val="105"/>
          <w:sz w:val="17"/>
        </w:rPr>
        <w:t> </w:t>
      </w:r>
      <w:r>
        <w:rPr>
          <w:color w:val="676467"/>
          <w:w w:val="105"/>
          <w:sz w:val="17"/>
        </w:rPr>
        <w:t>I</w:t>
      </w:r>
      <w:r>
        <w:rPr>
          <w:color w:val="676467"/>
          <w:spacing w:val="-7"/>
          <w:w w:val="105"/>
          <w:sz w:val="17"/>
        </w:rPr>
        <w:t> </w:t>
      </w:r>
      <w:r>
        <w:rPr>
          <w:color w:val="777577"/>
          <w:w w:val="105"/>
          <w:sz w:val="17"/>
        </w:rPr>
        <w:t>certify </w:t>
      </w:r>
      <w:r>
        <w:rPr>
          <w:color w:val="676467"/>
          <w:w w:val="105"/>
          <w:sz w:val="17"/>
        </w:rPr>
        <w:t>that the</w:t>
      </w:r>
      <w:r>
        <w:rPr>
          <w:color w:val="676467"/>
          <w:spacing w:val="-2"/>
          <w:w w:val="105"/>
          <w:sz w:val="17"/>
        </w:rPr>
        <w:t> </w:t>
      </w:r>
      <w:r>
        <w:rPr>
          <w:color w:val="676467"/>
          <w:w w:val="105"/>
          <w:sz w:val="17"/>
        </w:rPr>
        <w:t>State</w:t>
      </w:r>
      <w:r>
        <w:rPr>
          <w:color w:val="676467"/>
          <w:spacing w:val="-7"/>
          <w:w w:val="105"/>
          <w:sz w:val="17"/>
        </w:rPr>
        <w:t> </w:t>
      </w:r>
      <w:r>
        <w:rPr>
          <w:color w:val="676467"/>
          <w:w w:val="105"/>
          <w:sz w:val="17"/>
        </w:rPr>
        <w:t>will</w:t>
      </w:r>
      <w:r>
        <w:rPr>
          <w:color w:val="676467"/>
          <w:spacing w:val="-12"/>
          <w:w w:val="105"/>
          <w:sz w:val="17"/>
        </w:rPr>
        <w:t> </w:t>
      </w:r>
      <w:r>
        <w:rPr>
          <w:color w:val="676467"/>
          <w:w w:val="105"/>
          <w:sz w:val="17"/>
        </w:rPr>
        <w:t>operate</w:t>
      </w:r>
      <w:r>
        <w:rPr>
          <w:color w:val="676467"/>
          <w:spacing w:val="-1"/>
          <w:w w:val="105"/>
          <w:sz w:val="17"/>
        </w:rPr>
        <w:t> </w:t>
      </w:r>
      <w:r>
        <w:rPr>
          <w:color w:val="676467"/>
          <w:w w:val="105"/>
          <w:sz w:val="17"/>
        </w:rPr>
        <w:t>throughout the</w:t>
      </w:r>
      <w:r>
        <w:rPr>
          <w:color w:val="676467"/>
          <w:spacing w:val="-9"/>
          <w:w w:val="105"/>
          <w:sz w:val="17"/>
        </w:rPr>
        <w:t> </w:t>
      </w:r>
      <w:r>
        <w:rPr>
          <w:color w:val="676467"/>
          <w:w w:val="105"/>
          <w:sz w:val="17"/>
        </w:rPr>
        <w:t>period</w:t>
      </w:r>
      <w:r>
        <w:rPr>
          <w:color w:val="676467"/>
          <w:spacing w:val="-6"/>
          <w:w w:val="105"/>
          <w:sz w:val="17"/>
        </w:rPr>
        <w:t> </w:t>
      </w:r>
      <w:r>
        <w:rPr>
          <w:color w:val="544D4F"/>
          <w:w w:val="105"/>
          <w:sz w:val="17"/>
        </w:rPr>
        <w:t>of</w:t>
      </w:r>
      <w:r>
        <w:rPr>
          <w:color w:val="544D4F"/>
          <w:spacing w:val="-8"/>
          <w:w w:val="105"/>
          <w:sz w:val="17"/>
        </w:rPr>
        <w:t> </w:t>
      </w:r>
      <w:r>
        <w:rPr>
          <w:color w:val="676467"/>
          <w:w w:val="105"/>
          <w:sz w:val="17"/>
        </w:rPr>
        <w:t>this</w:t>
      </w:r>
      <w:r>
        <w:rPr>
          <w:color w:val="676467"/>
          <w:spacing w:val="-2"/>
          <w:w w:val="105"/>
          <w:sz w:val="17"/>
        </w:rPr>
        <w:t> </w:t>
      </w:r>
      <w:r>
        <w:rPr>
          <w:color w:val="676467"/>
          <w:w w:val="105"/>
          <w:sz w:val="17"/>
        </w:rPr>
        <w:t>grant</w:t>
      </w:r>
      <w:r>
        <w:rPr>
          <w:color w:val="676467"/>
          <w:spacing w:val="-3"/>
          <w:w w:val="105"/>
          <w:sz w:val="17"/>
        </w:rPr>
        <w:t> </w:t>
      </w:r>
      <w:r>
        <w:rPr>
          <w:color w:val="676467"/>
          <w:w w:val="105"/>
          <w:sz w:val="17"/>
        </w:rPr>
        <w:t>award</w:t>
      </w:r>
      <w:r>
        <w:rPr>
          <w:color w:val="676467"/>
          <w:spacing w:val="-7"/>
          <w:w w:val="105"/>
          <w:sz w:val="17"/>
        </w:rPr>
        <w:t> </w:t>
      </w:r>
      <w:r>
        <w:rPr>
          <w:color w:val="676467"/>
          <w:w w:val="105"/>
          <w:sz w:val="17"/>
        </w:rPr>
        <w:t>consistently w</w:t>
      </w:r>
      <w:r>
        <w:rPr>
          <w:color w:val="878587"/>
          <w:w w:val="105"/>
          <w:sz w:val="17"/>
        </w:rPr>
        <w:t>i</w:t>
      </w:r>
      <w:r>
        <w:rPr>
          <w:color w:val="676467"/>
          <w:w w:val="105"/>
          <w:sz w:val="17"/>
        </w:rPr>
        <w:t>th</w:t>
      </w:r>
      <w:r>
        <w:rPr>
          <w:color w:val="676467"/>
          <w:spacing w:val="-9"/>
          <w:w w:val="105"/>
          <w:sz w:val="17"/>
        </w:rPr>
        <w:t> </w:t>
      </w:r>
      <w:r>
        <w:rPr>
          <w:color w:val="676467"/>
          <w:w w:val="105"/>
          <w:sz w:val="17"/>
        </w:rPr>
        <w:t>the</w:t>
      </w:r>
      <w:r>
        <w:rPr>
          <w:color w:val="676467"/>
          <w:spacing w:val="-9"/>
          <w:w w:val="105"/>
          <w:sz w:val="17"/>
        </w:rPr>
        <w:t> </w:t>
      </w:r>
      <w:r>
        <w:rPr>
          <w:color w:val="676467"/>
          <w:w w:val="105"/>
          <w:sz w:val="17"/>
        </w:rPr>
        <w:t>requirements </w:t>
      </w:r>
      <w:r>
        <w:rPr>
          <w:color w:val="777577"/>
          <w:w w:val="105"/>
          <w:sz w:val="17"/>
        </w:rPr>
        <w:t>of</w:t>
      </w:r>
      <w:r>
        <w:rPr>
          <w:color w:val="777577"/>
          <w:spacing w:val="-3"/>
          <w:w w:val="105"/>
          <w:sz w:val="17"/>
        </w:rPr>
        <w:t> </w:t>
      </w:r>
      <w:r>
        <w:rPr>
          <w:color w:val="676467"/>
          <w:w w:val="105"/>
          <w:sz w:val="17"/>
        </w:rPr>
        <w:t>the IDEA</w:t>
      </w:r>
      <w:r>
        <w:rPr>
          <w:color w:val="676467"/>
          <w:spacing w:val="-7"/>
          <w:w w:val="105"/>
          <w:sz w:val="17"/>
        </w:rPr>
        <w:t> </w:t>
      </w:r>
      <w:r>
        <w:rPr>
          <w:color w:val="676467"/>
          <w:w w:val="105"/>
          <w:sz w:val="17"/>
        </w:rPr>
        <w:t>as found</w:t>
      </w:r>
      <w:r>
        <w:rPr>
          <w:color w:val="676467"/>
          <w:spacing w:val="-3"/>
          <w:w w:val="105"/>
          <w:sz w:val="17"/>
        </w:rPr>
        <w:t> </w:t>
      </w:r>
      <w:r>
        <w:rPr>
          <w:color w:val="676467"/>
          <w:w w:val="105"/>
          <w:sz w:val="13"/>
        </w:rPr>
        <w:t>in</w:t>
      </w:r>
      <w:r>
        <w:rPr>
          <w:color w:val="676467"/>
          <w:spacing w:val="40"/>
          <w:w w:val="105"/>
          <w:sz w:val="13"/>
        </w:rPr>
        <w:t> </w:t>
      </w:r>
      <w:r>
        <w:rPr>
          <w:color w:val="777577"/>
          <w:w w:val="105"/>
          <w:sz w:val="17"/>
        </w:rPr>
        <w:t>20</w:t>
      </w:r>
      <w:r>
        <w:rPr>
          <w:color w:val="777577"/>
          <w:spacing w:val="-2"/>
          <w:w w:val="105"/>
          <w:sz w:val="17"/>
        </w:rPr>
        <w:t> </w:t>
      </w:r>
      <w:r>
        <w:rPr>
          <w:color w:val="544D4F"/>
          <w:w w:val="105"/>
          <w:sz w:val="17"/>
        </w:rPr>
        <w:t>U </w:t>
      </w:r>
      <w:r>
        <w:rPr>
          <w:color w:val="676467"/>
          <w:w w:val="105"/>
          <w:sz w:val="17"/>
        </w:rPr>
        <w:t>S</w:t>
      </w:r>
      <w:r>
        <w:rPr>
          <w:color w:val="9E9EA0"/>
          <w:w w:val="105"/>
          <w:sz w:val="17"/>
        </w:rPr>
        <w:t>.</w:t>
      </w:r>
      <w:r>
        <w:rPr>
          <w:color w:val="676467"/>
          <w:w w:val="105"/>
          <w:sz w:val="17"/>
        </w:rPr>
        <w:t>C</w:t>
      </w:r>
      <w:r>
        <w:rPr>
          <w:color w:val="B3B3B3"/>
          <w:w w:val="105"/>
          <w:sz w:val="17"/>
        </w:rPr>
        <w:t>.</w:t>
      </w:r>
      <w:r>
        <w:rPr>
          <w:color w:val="B3B3B3"/>
          <w:spacing w:val="-11"/>
          <w:w w:val="105"/>
          <w:sz w:val="17"/>
        </w:rPr>
        <w:t> </w:t>
      </w:r>
      <w:r>
        <w:rPr>
          <w:color w:val="676467"/>
          <w:w w:val="105"/>
          <w:sz w:val="17"/>
        </w:rPr>
        <w:t>1431-1443 </w:t>
      </w:r>
      <w:r>
        <w:rPr>
          <w:color w:val="777577"/>
          <w:w w:val="105"/>
          <w:sz w:val="17"/>
        </w:rPr>
        <w:t>(as</w:t>
      </w:r>
      <w:r>
        <w:rPr>
          <w:color w:val="777577"/>
          <w:spacing w:val="-3"/>
          <w:w w:val="105"/>
          <w:sz w:val="17"/>
        </w:rPr>
        <w:t> </w:t>
      </w:r>
      <w:r>
        <w:rPr>
          <w:color w:val="676467"/>
          <w:w w:val="105"/>
          <w:sz w:val="17"/>
        </w:rPr>
        <w:t>amended) and the 2011 regulat</w:t>
      </w:r>
      <w:r>
        <w:rPr>
          <w:color w:val="878587"/>
          <w:w w:val="105"/>
          <w:sz w:val="17"/>
        </w:rPr>
        <w:t>i</w:t>
      </w:r>
      <w:r>
        <w:rPr>
          <w:color w:val="676467"/>
          <w:w w:val="105"/>
          <w:sz w:val="17"/>
        </w:rPr>
        <w:t>ons</w:t>
      </w:r>
      <w:r>
        <w:rPr>
          <w:color w:val="676467"/>
          <w:spacing w:val="-2"/>
          <w:w w:val="105"/>
          <w:sz w:val="17"/>
        </w:rPr>
        <w:t> </w:t>
      </w:r>
      <w:r>
        <w:rPr>
          <w:color w:val="878587"/>
          <w:w w:val="105"/>
          <w:sz w:val="17"/>
        </w:rPr>
        <w:t>i</w:t>
      </w:r>
      <w:r>
        <w:rPr>
          <w:color w:val="676467"/>
          <w:w w:val="105"/>
          <w:sz w:val="17"/>
        </w:rPr>
        <w:t>n</w:t>
      </w:r>
      <w:r>
        <w:rPr>
          <w:color w:val="676467"/>
          <w:spacing w:val="-2"/>
          <w:w w:val="105"/>
          <w:sz w:val="17"/>
        </w:rPr>
        <w:t> </w:t>
      </w:r>
      <w:r>
        <w:rPr>
          <w:color w:val="676467"/>
          <w:w w:val="105"/>
          <w:sz w:val="17"/>
        </w:rPr>
        <w:t>34 CFR Part</w:t>
      </w:r>
      <w:r>
        <w:rPr>
          <w:color w:val="676467"/>
          <w:spacing w:val="-3"/>
          <w:w w:val="105"/>
          <w:sz w:val="17"/>
        </w:rPr>
        <w:t> </w:t>
      </w:r>
      <w:r>
        <w:rPr>
          <w:color w:val="777577"/>
          <w:w w:val="105"/>
          <w:sz w:val="17"/>
        </w:rPr>
        <w:t>303</w:t>
      </w:r>
      <w:r>
        <w:rPr>
          <w:color w:val="777577"/>
          <w:spacing w:val="-2"/>
          <w:w w:val="105"/>
          <w:sz w:val="17"/>
        </w:rPr>
        <w:t> </w:t>
      </w:r>
      <w:r>
        <w:rPr>
          <w:color w:val="878587"/>
          <w:w w:val="105"/>
          <w:sz w:val="17"/>
        </w:rPr>
        <w:t>(a</w:t>
      </w:r>
      <w:r>
        <w:rPr>
          <w:color w:val="676467"/>
          <w:w w:val="105"/>
          <w:sz w:val="17"/>
        </w:rPr>
        <w:t>s amended)</w:t>
      </w:r>
      <w:r>
        <w:rPr>
          <w:color w:val="B3B3B3"/>
          <w:w w:val="105"/>
          <w:sz w:val="17"/>
        </w:rPr>
        <w:t>,</w:t>
      </w:r>
      <w:r>
        <w:rPr>
          <w:color w:val="B3B3B3"/>
          <w:spacing w:val="-17"/>
          <w:w w:val="105"/>
          <w:sz w:val="17"/>
        </w:rPr>
        <w:t> </w:t>
      </w:r>
      <w:r>
        <w:rPr>
          <w:color w:val="676467"/>
          <w:w w:val="105"/>
          <w:sz w:val="17"/>
        </w:rPr>
        <w:t>and</w:t>
      </w:r>
      <w:r>
        <w:rPr>
          <w:color w:val="676467"/>
          <w:spacing w:val="-1"/>
          <w:w w:val="105"/>
          <w:sz w:val="17"/>
        </w:rPr>
        <w:t> </w:t>
      </w:r>
      <w:r>
        <w:rPr>
          <w:color w:val="676467"/>
          <w:w w:val="105"/>
          <w:sz w:val="17"/>
        </w:rPr>
        <w:t>will</w:t>
      </w:r>
      <w:r>
        <w:rPr>
          <w:color w:val="676467"/>
          <w:spacing w:val="-2"/>
          <w:w w:val="105"/>
          <w:sz w:val="17"/>
        </w:rPr>
        <w:t> </w:t>
      </w:r>
      <w:r>
        <w:rPr>
          <w:color w:val="676467"/>
          <w:w w:val="105"/>
          <w:sz w:val="17"/>
        </w:rPr>
        <w:t>make such changes to</w:t>
      </w:r>
      <w:r>
        <w:rPr>
          <w:color w:val="676467"/>
          <w:spacing w:val="-3"/>
          <w:w w:val="105"/>
          <w:sz w:val="17"/>
        </w:rPr>
        <w:t> </w:t>
      </w:r>
      <w:r>
        <w:rPr>
          <w:color w:val="676467"/>
          <w:w w:val="105"/>
          <w:sz w:val="17"/>
        </w:rPr>
        <w:t>existing policies and procedures as</w:t>
      </w:r>
      <w:r>
        <w:rPr>
          <w:color w:val="676467"/>
          <w:spacing w:val="-3"/>
          <w:w w:val="105"/>
          <w:sz w:val="17"/>
        </w:rPr>
        <w:t> </w:t>
      </w:r>
      <w:r>
        <w:rPr>
          <w:color w:val="676467"/>
          <w:w w:val="105"/>
          <w:sz w:val="17"/>
        </w:rPr>
        <w:t>are necessary</w:t>
      </w:r>
      <w:r>
        <w:rPr>
          <w:color w:val="676467"/>
          <w:spacing w:val="22"/>
          <w:w w:val="105"/>
          <w:sz w:val="17"/>
        </w:rPr>
        <w:t> </w:t>
      </w:r>
      <w:r>
        <w:rPr>
          <w:color w:val="676467"/>
          <w:w w:val="105"/>
          <w:sz w:val="17"/>
        </w:rPr>
        <w:t>to</w:t>
      </w:r>
      <w:r>
        <w:rPr>
          <w:color w:val="676467"/>
          <w:spacing w:val="-3"/>
          <w:w w:val="105"/>
          <w:sz w:val="17"/>
        </w:rPr>
        <w:t> </w:t>
      </w:r>
      <w:r>
        <w:rPr>
          <w:color w:val="676467"/>
          <w:w w:val="105"/>
          <w:sz w:val="17"/>
        </w:rPr>
        <w:t>bnng </w:t>
      </w:r>
      <w:r>
        <w:rPr>
          <w:color w:val="544D4F"/>
          <w:w w:val="105"/>
          <w:sz w:val="17"/>
        </w:rPr>
        <w:t>those</w:t>
      </w:r>
      <w:r>
        <w:rPr>
          <w:color w:val="544D4F"/>
          <w:spacing w:val="-8"/>
          <w:w w:val="105"/>
          <w:sz w:val="17"/>
        </w:rPr>
        <w:t> </w:t>
      </w:r>
      <w:r>
        <w:rPr>
          <w:color w:val="676467"/>
          <w:w w:val="105"/>
          <w:sz w:val="17"/>
        </w:rPr>
        <w:t>pol</w:t>
      </w:r>
      <w:r>
        <w:rPr>
          <w:color w:val="878587"/>
          <w:w w:val="105"/>
          <w:sz w:val="17"/>
        </w:rPr>
        <w:t>ici</w:t>
      </w:r>
      <w:r>
        <w:rPr>
          <w:color w:val="676467"/>
          <w:w w:val="105"/>
          <w:sz w:val="17"/>
        </w:rPr>
        <w:t>es</w:t>
      </w:r>
      <w:r>
        <w:rPr>
          <w:color w:val="676467"/>
          <w:spacing w:val="-10"/>
          <w:w w:val="105"/>
          <w:sz w:val="17"/>
        </w:rPr>
        <w:t> </w:t>
      </w:r>
      <w:r>
        <w:rPr>
          <w:color w:val="676467"/>
          <w:w w:val="105"/>
          <w:sz w:val="17"/>
        </w:rPr>
        <w:t>and</w:t>
      </w:r>
      <w:r>
        <w:rPr>
          <w:color w:val="676467"/>
          <w:spacing w:val="-9"/>
          <w:w w:val="105"/>
          <w:sz w:val="17"/>
        </w:rPr>
        <w:t> </w:t>
      </w:r>
      <w:r>
        <w:rPr>
          <w:color w:val="676467"/>
          <w:w w:val="105"/>
          <w:sz w:val="17"/>
        </w:rPr>
        <w:t>procedures </w:t>
      </w:r>
      <w:r>
        <w:rPr>
          <w:color w:val="544D4F"/>
          <w:w w:val="105"/>
          <w:sz w:val="17"/>
        </w:rPr>
        <w:t>into</w:t>
      </w:r>
      <w:r>
        <w:rPr>
          <w:color w:val="544D4F"/>
          <w:spacing w:val="-8"/>
          <w:w w:val="105"/>
          <w:sz w:val="17"/>
        </w:rPr>
        <w:t> </w:t>
      </w:r>
      <w:r>
        <w:rPr>
          <w:color w:val="676467"/>
          <w:w w:val="105"/>
          <w:sz w:val="17"/>
        </w:rPr>
        <w:t>compliance with the</w:t>
      </w:r>
      <w:r>
        <w:rPr>
          <w:color w:val="676467"/>
          <w:spacing w:val="-8"/>
          <w:w w:val="105"/>
          <w:sz w:val="17"/>
        </w:rPr>
        <w:t> </w:t>
      </w:r>
      <w:r>
        <w:rPr>
          <w:color w:val="676467"/>
          <w:w w:val="105"/>
          <w:sz w:val="17"/>
        </w:rPr>
        <w:t>requirements of</w:t>
      </w:r>
      <w:r>
        <w:rPr>
          <w:color w:val="676467"/>
          <w:spacing w:val="-3"/>
          <w:w w:val="105"/>
          <w:sz w:val="17"/>
        </w:rPr>
        <w:t> </w:t>
      </w:r>
      <w:r>
        <w:rPr>
          <w:color w:val="676467"/>
          <w:w w:val="105"/>
          <w:sz w:val="17"/>
        </w:rPr>
        <w:t>the</w:t>
      </w:r>
      <w:r>
        <w:rPr>
          <w:color w:val="676467"/>
          <w:spacing w:val="-12"/>
          <w:w w:val="105"/>
          <w:sz w:val="17"/>
        </w:rPr>
        <w:t> </w:t>
      </w:r>
      <w:r>
        <w:rPr>
          <w:color w:val="676467"/>
          <w:w w:val="105"/>
          <w:sz w:val="17"/>
        </w:rPr>
        <w:t>IDEA</w:t>
      </w:r>
      <w:r>
        <w:rPr>
          <w:color w:val="9E9EA0"/>
          <w:w w:val="105"/>
          <w:sz w:val="17"/>
        </w:rPr>
        <w:t>,</w:t>
      </w:r>
      <w:r>
        <w:rPr>
          <w:color w:val="9E9EA0"/>
          <w:spacing w:val="-13"/>
          <w:w w:val="105"/>
          <w:sz w:val="17"/>
        </w:rPr>
        <w:t> </w:t>
      </w:r>
      <w:r>
        <w:rPr>
          <w:color w:val="676467"/>
          <w:w w:val="105"/>
          <w:sz w:val="17"/>
        </w:rPr>
        <w:t>as</w:t>
      </w:r>
      <w:r>
        <w:rPr>
          <w:color w:val="676467"/>
          <w:spacing w:val="-7"/>
          <w:w w:val="105"/>
          <w:sz w:val="17"/>
        </w:rPr>
        <w:t> </w:t>
      </w:r>
      <w:r>
        <w:rPr>
          <w:color w:val="676467"/>
          <w:w w:val="105"/>
          <w:sz w:val="17"/>
        </w:rPr>
        <w:t>amended</w:t>
      </w:r>
      <w:r>
        <w:rPr>
          <w:color w:val="B3B3B3"/>
          <w:w w:val="105"/>
          <w:sz w:val="17"/>
        </w:rPr>
        <w:t>,</w:t>
      </w:r>
      <w:r>
        <w:rPr>
          <w:color w:val="B3B3B3"/>
          <w:spacing w:val="-12"/>
          <w:w w:val="105"/>
          <w:sz w:val="17"/>
        </w:rPr>
        <w:t> </w:t>
      </w:r>
      <w:r>
        <w:rPr>
          <w:color w:val="676467"/>
          <w:w w:val="105"/>
          <w:sz w:val="17"/>
        </w:rPr>
        <w:t>as</w:t>
      </w:r>
      <w:r>
        <w:rPr>
          <w:color w:val="676467"/>
          <w:spacing w:val="-3"/>
          <w:w w:val="105"/>
          <w:sz w:val="17"/>
        </w:rPr>
        <w:t> </w:t>
      </w:r>
      <w:r>
        <w:rPr>
          <w:color w:val="676467"/>
          <w:w w:val="105"/>
          <w:sz w:val="17"/>
        </w:rPr>
        <w:t>soon as possible</w:t>
      </w:r>
      <w:r>
        <w:rPr>
          <w:color w:val="9E9EA0"/>
          <w:w w:val="105"/>
          <w:sz w:val="17"/>
        </w:rPr>
        <w:t>,</w:t>
      </w:r>
      <w:r>
        <w:rPr>
          <w:color w:val="9E9EA0"/>
          <w:spacing w:val="-2"/>
          <w:w w:val="105"/>
          <w:sz w:val="17"/>
        </w:rPr>
        <w:t> </w:t>
      </w:r>
      <w:r>
        <w:rPr>
          <w:color w:val="676467"/>
          <w:w w:val="105"/>
          <w:sz w:val="17"/>
        </w:rPr>
        <w:t>and not later </w:t>
      </w:r>
      <w:r>
        <w:rPr>
          <w:color w:val="544D4F"/>
          <w:w w:val="105"/>
          <w:sz w:val="17"/>
        </w:rPr>
        <w:t>than </w:t>
      </w:r>
      <w:r>
        <w:rPr>
          <w:color w:val="676467"/>
          <w:w w:val="105"/>
          <w:sz w:val="17"/>
        </w:rPr>
        <w:t>June 30</w:t>
      </w:r>
      <w:r>
        <w:rPr>
          <w:color w:val="9E9EA0"/>
          <w:w w:val="105"/>
          <w:sz w:val="17"/>
        </w:rPr>
        <w:t>,</w:t>
      </w:r>
      <w:r>
        <w:rPr>
          <w:color w:val="9E9EA0"/>
          <w:spacing w:val="-11"/>
          <w:w w:val="105"/>
          <w:sz w:val="17"/>
        </w:rPr>
        <w:t> </w:t>
      </w:r>
      <w:r>
        <w:rPr>
          <w:color w:val="676467"/>
          <w:w w:val="105"/>
          <w:sz w:val="17"/>
        </w:rPr>
        <w:t>2023</w:t>
      </w:r>
      <w:r>
        <w:rPr>
          <w:color w:val="9E9EA0"/>
          <w:w w:val="105"/>
          <w:sz w:val="17"/>
        </w:rPr>
        <w:t>.</w:t>
      </w:r>
      <w:r>
        <w:rPr>
          <w:color w:val="9E9EA0"/>
          <w:spacing w:val="40"/>
          <w:w w:val="105"/>
          <w:sz w:val="17"/>
        </w:rPr>
        <w:t> </w:t>
      </w:r>
      <w:r>
        <w:rPr>
          <w:color w:val="777577"/>
          <w:w w:val="105"/>
          <w:sz w:val="17"/>
        </w:rPr>
        <w:t>(34 </w:t>
      </w:r>
      <w:r>
        <w:rPr>
          <w:color w:val="544D4F"/>
          <w:w w:val="105"/>
          <w:sz w:val="17"/>
        </w:rPr>
        <w:t>CFR </w:t>
      </w:r>
      <w:r>
        <w:rPr>
          <w:color w:val="676467"/>
          <w:w w:val="105"/>
          <w:sz w:val="17"/>
        </w:rPr>
        <w:t>§76 104)</w:t>
      </w:r>
    </w:p>
    <w:p>
      <w:pPr>
        <w:spacing w:before="107"/>
        <w:ind w:left="1254" w:right="0" w:firstLine="0"/>
        <w:jc w:val="left"/>
        <w:rPr>
          <w:sz w:val="17"/>
        </w:rPr>
      </w:pPr>
      <w:r>
        <w:rPr>
          <w:color w:val="676467"/>
          <w:w w:val="105"/>
          <w:sz w:val="17"/>
        </w:rPr>
        <w:t>I</w:t>
      </w:r>
      <w:r>
        <w:rPr>
          <w:color w:val="9E9EA0"/>
          <w:w w:val="105"/>
          <w:sz w:val="17"/>
        </w:rPr>
        <w:t>,</w:t>
      </w:r>
      <w:r>
        <w:rPr>
          <w:color w:val="9E9EA0"/>
          <w:spacing w:val="-13"/>
          <w:w w:val="105"/>
          <w:sz w:val="17"/>
        </w:rPr>
        <w:t> </w:t>
      </w:r>
      <w:r>
        <w:rPr>
          <w:color w:val="676467"/>
          <w:w w:val="105"/>
          <w:sz w:val="17"/>
        </w:rPr>
        <w:t>the</w:t>
      </w:r>
      <w:r>
        <w:rPr>
          <w:color w:val="676467"/>
          <w:spacing w:val="-12"/>
          <w:w w:val="105"/>
          <w:sz w:val="17"/>
        </w:rPr>
        <w:t> </w:t>
      </w:r>
      <w:r>
        <w:rPr>
          <w:color w:val="676467"/>
          <w:w w:val="105"/>
          <w:sz w:val="17"/>
        </w:rPr>
        <w:t>undersigned</w:t>
      </w:r>
      <w:r>
        <w:rPr>
          <w:color w:val="676467"/>
          <w:spacing w:val="-8"/>
          <w:w w:val="105"/>
          <w:sz w:val="17"/>
        </w:rPr>
        <w:t> </w:t>
      </w:r>
      <w:r>
        <w:rPr>
          <w:color w:val="676467"/>
          <w:w w:val="105"/>
          <w:sz w:val="17"/>
        </w:rPr>
        <w:t>authorized</w:t>
      </w:r>
      <w:r>
        <w:rPr>
          <w:color w:val="676467"/>
          <w:spacing w:val="-4"/>
          <w:w w:val="105"/>
          <w:sz w:val="17"/>
        </w:rPr>
        <w:t> </w:t>
      </w:r>
      <w:r>
        <w:rPr>
          <w:color w:val="676467"/>
          <w:w w:val="105"/>
          <w:sz w:val="17"/>
        </w:rPr>
        <w:t>official</w:t>
      </w:r>
      <w:r>
        <w:rPr>
          <w:color w:val="676467"/>
          <w:spacing w:val="-12"/>
          <w:w w:val="105"/>
          <w:sz w:val="17"/>
        </w:rPr>
        <w:t> </w:t>
      </w:r>
      <w:r>
        <w:rPr>
          <w:color w:val="676467"/>
          <w:w w:val="105"/>
          <w:sz w:val="17"/>
        </w:rPr>
        <w:t>of</w:t>
      </w:r>
      <w:r>
        <w:rPr>
          <w:color w:val="676467"/>
          <w:spacing w:val="-13"/>
          <w:w w:val="105"/>
          <w:sz w:val="17"/>
        </w:rPr>
        <w:t> </w:t>
      </w:r>
      <w:r>
        <w:rPr>
          <w:color w:val="676467"/>
          <w:spacing w:val="-5"/>
          <w:w w:val="105"/>
          <w:sz w:val="17"/>
        </w:rPr>
        <w:t>the</w:t>
      </w:r>
    </w:p>
    <w:p>
      <w:pPr>
        <w:pStyle w:val="BodyText"/>
        <w:rPr>
          <w:sz w:val="17"/>
        </w:rPr>
      </w:pPr>
    </w:p>
    <w:p>
      <w:pPr>
        <w:pStyle w:val="BodyText"/>
        <w:spacing w:before="28"/>
        <w:rPr>
          <w:sz w:val="17"/>
        </w:rPr>
      </w:pPr>
    </w:p>
    <w:p>
      <w:pPr>
        <w:spacing w:before="0"/>
        <w:ind w:left="10" w:right="21" w:firstLine="0"/>
        <w:jc w:val="center"/>
        <w:rPr>
          <w:i/>
          <w:sz w:val="17"/>
        </w:rPr>
      </w:pPr>
      <w:r>
        <w:rPr>
          <w:i/>
          <w:color w:val="676467"/>
          <w:w w:val="105"/>
          <w:sz w:val="17"/>
        </w:rPr>
        <w:t>(Name</w:t>
      </w:r>
      <w:r>
        <w:rPr>
          <w:i/>
          <w:color w:val="676467"/>
          <w:spacing w:val="-10"/>
          <w:w w:val="105"/>
          <w:sz w:val="17"/>
        </w:rPr>
        <w:t> </w:t>
      </w:r>
      <w:r>
        <w:rPr>
          <w:i/>
          <w:color w:val="676467"/>
          <w:w w:val="105"/>
          <w:sz w:val="17"/>
        </w:rPr>
        <w:t>of</w:t>
      </w:r>
      <w:r>
        <w:rPr>
          <w:i/>
          <w:color w:val="676467"/>
          <w:spacing w:val="-9"/>
          <w:w w:val="105"/>
          <w:sz w:val="17"/>
        </w:rPr>
        <w:t> </w:t>
      </w:r>
      <w:r>
        <w:rPr>
          <w:i/>
          <w:color w:val="676467"/>
          <w:w w:val="105"/>
          <w:sz w:val="17"/>
        </w:rPr>
        <w:t>State</w:t>
      </w:r>
      <w:r>
        <w:rPr>
          <w:i/>
          <w:color w:val="676467"/>
          <w:spacing w:val="-3"/>
          <w:w w:val="105"/>
          <w:sz w:val="17"/>
        </w:rPr>
        <w:t> </w:t>
      </w:r>
      <w:r>
        <w:rPr>
          <w:i/>
          <w:color w:val="777577"/>
          <w:w w:val="105"/>
          <w:sz w:val="17"/>
        </w:rPr>
        <w:t>and</w:t>
      </w:r>
      <w:r>
        <w:rPr>
          <w:i/>
          <w:color w:val="777577"/>
          <w:spacing w:val="-8"/>
          <w:w w:val="105"/>
          <w:sz w:val="17"/>
        </w:rPr>
        <w:t> </w:t>
      </w:r>
      <w:r>
        <w:rPr>
          <w:i/>
          <w:color w:val="676467"/>
          <w:w w:val="105"/>
          <w:sz w:val="17"/>
        </w:rPr>
        <w:t>offic</w:t>
      </w:r>
      <w:r>
        <w:rPr>
          <w:i/>
          <w:color w:val="878587"/>
          <w:w w:val="105"/>
          <w:sz w:val="17"/>
        </w:rPr>
        <w:t>ia</w:t>
      </w:r>
      <w:r>
        <w:rPr>
          <w:i/>
          <w:color w:val="676467"/>
          <w:w w:val="105"/>
          <w:sz w:val="17"/>
        </w:rPr>
        <w:t>l</w:t>
      </w:r>
      <w:r>
        <w:rPr>
          <w:i/>
          <w:color w:val="676467"/>
          <w:spacing w:val="-13"/>
          <w:w w:val="105"/>
          <w:sz w:val="17"/>
        </w:rPr>
        <w:t> </w:t>
      </w:r>
      <w:r>
        <w:rPr>
          <w:i/>
          <w:color w:val="676467"/>
          <w:w w:val="105"/>
          <w:sz w:val="17"/>
        </w:rPr>
        <w:t>name</w:t>
      </w:r>
      <w:r>
        <w:rPr>
          <w:i/>
          <w:color w:val="676467"/>
          <w:spacing w:val="-8"/>
          <w:w w:val="105"/>
          <w:sz w:val="17"/>
        </w:rPr>
        <w:t> </w:t>
      </w:r>
      <w:r>
        <w:rPr>
          <w:i/>
          <w:color w:val="676467"/>
          <w:w w:val="105"/>
          <w:sz w:val="17"/>
        </w:rPr>
        <w:t>of</w:t>
      </w:r>
      <w:r>
        <w:rPr>
          <w:i/>
          <w:color w:val="676467"/>
          <w:spacing w:val="-9"/>
          <w:w w:val="105"/>
          <w:sz w:val="17"/>
        </w:rPr>
        <w:t> </w:t>
      </w:r>
      <w:r>
        <w:rPr>
          <w:i/>
          <w:color w:val="676467"/>
          <w:w w:val="105"/>
          <w:sz w:val="17"/>
        </w:rPr>
        <w:t>State</w:t>
      </w:r>
      <w:r>
        <w:rPr>
          <w:i/>
          <w:color w:val="676467"/>
          <w:spacing w:val="-7"/>
          <w:w w:val="105"/>
          <w:sz w:val="17"/>
        </w:rPr>
        <w:t> </w:t>
      </w:r>
      <w:r>
        <w:rPr>
          <w:i/>
          <w:color w:val="777577"/>
          <w:spacing w:val="-2"/>
          <w:w w:val="105"/>
          <w:sz w:val="17"/>
        </w:rPr>
        <w:t>agency)</w:t>
      </w:r>
    </w:p>
    <w:p>
      <w:pPr>
        <w:pStyle w:val="BodyText"/>
        <w:spacing w:before="23"/>
        <w:rPr>
          <w:i/>
          <w:sz w:val="17"/>
        </w:rPr>
      </w:pPr>
    </w:p>
    <w:p>
      <w:pPr>
        <w:spacing w:line="247" w:lineRule="auto" w:before="0"/>
        <w:ind w:left="1254" w:right="1188" w:hanging="1"/>
        <w:jc w:val="left"/>
        <w:rPr>
          <w:sz w:val="17"/>
        </w:rPr>
      </w:pPr>
      <w:r>
        <w:rPr>
          <w:color w:val="676467"/>
          <w:w w:val="105"/>
          <w:sz w:val="17"/>
        </w:rPr>
        <w:t>am</w:t>
      </w:r>
      <w:r>
        <w:rPr>
          <w:color w:val="676467"/>
          <w:spacing w:val="-12"/>
          <w:w w:val="105"/>
          <w:sz w:val="17"/>
        </w:rPr>
        <w:t> </w:t>
      </w:r>
      <w:r>
        <w:rPr>
          <w:color w:val="676467"/>
          <w:w w:val="105"/>
          <w:sz w:val="17"/>
        </w:rPr>
        <w:t>designated</w:t>
      </w:r>
      <w:r>
        <w:rPr>
          <w:color w:val="676467"/>
          <w:spacing w:val="-1"/>
          <w:w w:val="105"/>
          <w:sz w:val="17"/>
        </w:rPr>
        <w:t> </w:t>
      </w:r>
      <w:r>
        <w:rPr>
          <w:color w:val="544D4F"/>
          <w:w w:val="105"/>
          <w:sz w:val="17"/>
        </w:rPr>
        <w:t>under</w:t>
      </w:r>
      <w:r>
        <w:rPr>
          <w:color w:val="544D4F"/>
          <w:spacing w:val="-2"/>
          <w:w w:val="105"/>
          <w:sz w:val="17"/>
        </w:rPr>
        <w:t> </w:t>
      </w:r>
      <w:r>
        <w:rPr>
          <w:color w:val="544D4F"/>
          <w:w w:val="105"/>
          <w:sz w:val="17"/>
        </w:rPr>
        <w:t>Part</w:t>
      </w:r>
      <w:r>
        <w:rPr>
          <w:color w:val="544D4F"/>
          <w:spacing w:val="-6"/>
          <w:w w:val="105"/>
          <w:sz w:val="17"/>
        </w:rPr>
        <w:t> </w:t>
      </w:r>
      <w:r>
        <w:rPr>
          <w:color w:val="676467"/>
          <w:w w:val="105"/>
          <w:sz w:val="17"/>
        </w:rPr>
        <w:t>C</w:t>
      </w:r>
      <w:r>
        <w:rPr>
          <w:color w:val="676467"/>
          <w:spacing w:val="-8"/>
          <w:w w:val="105"/>
          <w:sz w:val="17"/>
        </w:rPr>
        <w:t> </w:t>
      </w:r>
      <w:r>
        <w:rPr>
          <w:color w:val="676467"/>
          <w:w w:val="105"/>
          <w:sz w:val="17"/>
        </w:rPr>
        <w:t>by the</w:t>
      </w:r>
      <w:r>
        <w:rPr>
          <w:color w:val="676467"/>
          <w:spacing w:val="-5"/>
          <w:w w:val="105"/>
          <w:sz w:val="17"/>
        </w:rPr>
        <w:t> </w:t>
      </w:r>
      <w:r>
        <w:rPr>
          <w:color w:val="544D4F"/>
          <w:w w:val="105"/>
          <w:sz w:val="17"/>
        </w:rPr>
        <w:t>Gov</w:t>
      </w:r>
      <w:r>
        <w:rPr>
          <w:color w:val="777577"/>
          <w:w w:val="105"/>
          <w:sz w:val="17"/>
        </w:rPr>
        <w:t>ernor</w:t>
      </w:r>
      <w:r>
        <w:rPr>
          <w:color w:val="777577"/>
          <w:spacing w:val="-13"/>
          <w:w w:val="105"/>
          <w:sz w:val="17"/>
        </w:rPr>
        <w:t> </w:t>
      </w:r>
      <w:r>
        <w:rPr>
          <w:color w:val="676467"/>
          <w:w w:val="105"/>
          <w:sz w:val="17"/>
        </w:rPr>
        <w:t>of</w:t>
      </w:r>
      <w:r>
        <w:rPr>
          <w:color w:val="676467"/>
          <w:spacing w:val="-4"/>
          <w:w w:val="105"/>
          <w:sz w:val="17"/>
        </w:rPr>
        <w:t> </w:t>
      </w:r>
      <w:r>
        <w:rPr>
          <w:color w:val="676467"/>
          <w:w w:val="105"/>
          <w:sz w:val="17"/>
        </w:rPr>
        <w:t>this</w:t>
      </w:r>
      <w:r>
        <w:rPr>
          <w:color w:val="676467"/>
          <w:spacing w:val="-9"/>
          <w:w w:val="105"/>
          <w:sz w:val="17"/>
        </w:rPr>
        <w:t> </w:t>
      </w:r>
      <w:r>
        <w:rPr>
          <w:color w:val="676467"/>
          <w:w w:val="105"/>
          <w:sz w:val="17"/>
        </w:rPr>
        <w:t>State</w:t>
      </w:r>
      <w:r>
        <w:rPr>
          <w:color w:val="676467"/>
          <w:spacing w:val="-3"/>
          <w:w w:val="105"/>
          <w:sz w:val="17"/>
        </w:rPr>
        <w:t> </w:t>
      </w:r>
      <w:r>
        <w:rPr>
          <w:color w:val="777577"/>
          <w:w w:val="105"/>
          <w:sz w:val="17"/>
        </w:rPr>
        <w:t>to</w:t>
      </w:r>
      <w:r>
        <w:rPr>
          <w:color w:val="777577"/>
          <w:spacing w:val="-7"/>
          <w:w w:val="105"/>
          <w:sz w:val="17"/>
        </w:rPr>
        <w:t> </w:t>
      </w:r>
      <w:r>
        <w:rPr>
          <w:color w:val="777577"/>
          <w:w w:val="105"/>
          <w:sz w:val="17"/>
        </w:rPr>
        <w:t>subm</w:t>
      </w:r>
      <w:r>
        <w:rPr>
          <w:color w:val="9E9EA0"/>
          <w:w w:val="105"/>
          <w:sz w:val="17"/>
        </w:rPr>
        <w:t>i</w:t>
      </w:r>
      <w:r>
        <w:rPr>
          <w:color w:val="777577"/>
          <w:w w:val="105"/>
          <w:sz w:val="17"/>
        </w:rPr>
        <w:t>t</w:t>
      </w:r>
      <w:r>
        <w:rPr>
          <w:color w:val="777577"/>
          <w:spacing w:val="-12"/>
          <w:w w:val="105"/>
          <w:sz w:val="17"/>
        </w:rPr>
        <w:t> </w:t>
      </w:r>
      <w:r>
        <w:rPr>
          <w:color w:val="878587"/>
          <w:w w:val="105"/>
          <w:sz w:val="17"/>
        </w:rPr>
        <w:t>thi</w:t>
      </w:r>
      <w:r>
        <w:rPr>
          <w:color w:val="676467"/>
          <w:w w:val="105"/>
          <w:sz w:val="17"/>
        </w:rPr>
        <w:t>s</w:t>
      </w:r>
      <w:r>
        <w:rPr>
          <w:color w:val="676467"/>
          <w:spacing w:val="-9"/>
          <w:w w:val="105"/>
          <w:sz w:val="17"/>
        </w:rPr>
        <w:t> </w:t>
      </w:r>
      <w:r>
        <w:rPr>
          <w:color w:val="676467"/>
          <w:w w:val="105"/>
          <w:sz w:val="17"/>
        </w:rPr>
        <w:t>applicat</w:t>
      </w:r>
      <w:r>
        <w:rPr>
          <w:color w:val="878587"/>
          <w:w w:val="105"/>
          <w:sz w:val="17"/>
        </w:rPr>
        <w:t>io</w:t>
      </w:r>
      <w:r>
        <w:rPr>
          <w:color w:val="676467"/>
          <w:w w:val="105"/>
          <w:sz w:val="17"/>
        </w:rPr>
        <w:t>n</w:t>
      </w:r>
      <w:r>
        <w:rPr>
          <w:color w:val="676467"/>
          <w:spacing w:val="-9"/>
          <w:w w:val="105"/>
          <w:sz w:val="17"/>
        </w:rPr>
        <w:t> </w:t>
      </w:r>
      <w:r>
        <w:rPr>
          <w:color w:val="676467"/>
          <w:w w:val="105"/>
          <w:sz w:val="17"/>
        </w:rPr>
        <w:t>for</w:t>
      </w:r>
      <w:r>
        <w:rPr>
          <w:color w:val="676467"/>
          <w:spacing w:val="-12"/>
          <w:w w:val="105"/>
          <w:sz w:val="17"/>
        </w:rPr>
        <w:t> </w:t>
      </w:r>
      <w:r>
        <w:rPr>
          <w:color w:val="676467"/>
          <w:w w:val="105"/>
          <w:sz w:val="17"/>
        </w:rPr>
        <w:t>FFY</w:t>
      </w:r>
      <w:r>
        <w:rPr>
          <w:color w:val="676467"/>
          <w:spacing w:val="-2"/>
          <w:w w:val="105"/>
          <w:sz w:val="17"/>
        </w:rPr>
        <w:t> </w:t>
      </w:r>
      <w:r>
        <w:rPr>
          <w:color w:val="777577"/>
          <w:w w:val="105"/>
          <w:sz w:val="17"/>
        </w:rPr>
        <w:t>2022 funds under </w:t>
      </w:r>
      <w:r>
        <w:rPr>
          <w:color w:val="676467"/>
          <w:w w:val="105"/>
          <w:sz w:val="17"/>
        </w:rPr>
        <w:t>Part C of the Individuals with Disab</w:t>
      </w:r>
      <w:r>
        <w:rPr>
          <w:color w:val="878587"/>
          <w:w w:val="105"/>
          <w:sz w:val="17"/>
        </w:rPr>
        <w:t>i</w:t>
      </w:r>
      <w:r>
        <w:rPr>
          <w:color w:val="676467"/>
          <w:w w:val="105"/>
          <w:sz w:val="17"/>
        </w:rPr>
        <w:t>lities Educat</w:t>
      </w:r>
      <w:r>
        <w:rPr>
          <w:color w:val="878587"/>
          <w:w w:val="105"/>
          <w:sz w:val="17"/>
        </w:rPr>
        <w:t>i</w:t>
      </w:r>
      <w:r>
        <w:rPr>
          <w:color w:val="676467"/>
          <w:w w:val="105"/>
          <w:sz w:val="17"/>
        </w:rPr>
        <w:t>on</w:t>
      </w:r>
      <w:r>
        <w:rPr>
          <w:color w:val="676467"/>
          <w:spacing w:val="-3"/>
          <w:w w:val="105"/>
          <w:sz w:val="17"/>
        </w:rPr>
        <w:t> </w:t>
      </w:r>
      <w:r>
        <w:rPr>
          <w:color w:val="777577"/>
          <w:w w:val="105"/>
          <w:sz w:val="17"/>
        </w:rPr>
        <w:t>Act </w:t>
      </w:r>
      <w:r>
        <w:rPr>
          <w:color w:val="9E9EA0"/>
          <w:w w:val="105"/>
          <w:sz w:val="17"/>
        </w:rPr>
        <w:t>(</w:t>
      </w:r>
      <w:r>
        <w:rPr>
          <w:color w:val="676467"/>
          <w:w w:val="105"/>
          <w:sz w:val="17"/>
        </w:rPr>
        <w:t>IDEA</w:t>
      </w:r>
      <w:r>
        <w:rPr>
          <w:color w:val="878587"/>
          <w:w w:val="105"/>
          <w:sz w:val="17"/>
        </w:rPr>
        <w:t>)</w:t>
      </w:r>
      <w:r>
        <w:rPr>
          <w:color w:val="B3B3B3"/>
          <w:w w:val="105"/>
          <w:sz w:val="17"/>
        </w:rPr>
        <w:t>.</w:t>
      </w:r>
    </w:p>
    <w:p>
      <w:pPr>
        <w:pStyle w:val="BodyText"/>
        <w:spacing w:before="11"/>
        <w:rPr>
          <w:sz w:val="14"/>
        </w:rPr>
      </w:pPr>
    </w:p>
    <w:tbl>
      <w:tblPr>
        <w:tblW w:w="0" w:type="auto"/>
        <w:jc w:val="left"/>
        <w:tblInd w:w="12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8"/>
        <w:gridCol w:w="3226"/>
      </w:tblGrid>
      <w:tr>
        <w:trPr>
          <w:trHeight w:val="1162" w:hRule="atLeast"/>
        </w:trPr>
        <w:tc>
          <w:tcPr>
            <w:tcW w:w="8274" w:type="dxa"/>
            <w:gridSpan w:val="2"/>
            <w:tcBorders>
              <w:left w:val="single" w:sz="12" w:space="0" w:color="000000"/>
              <w:right w:val="single" w:sz="12" w:space="0" w:color="000000"/>
            </w:tcBorders>
          </w:tcPr>
          <w:p>
            <w:pPr>
              <w:pStyle w:val="TableParagraph"/>
              <w:spacing w:before="155"/>
              <w:ind w:left="113"/>
              <w:rPr>
                <w:sz w:val="17"/>
              </w:rPr>
            </w:pPr>
            <w:r>
              <w:rPr>
                <w:color w:val="544D4F"/>
                <w:sz w:val="17"/>
              </w:rPr>
              <w:t>Pr</w:t>
            </w:r>
            <w:r>
              <w:rPr>
                <w:color w:val="777577"/>
                <w:sz w:val="17"/>
              </w:rPr>
              <w:t>in</w:t>
            </w:r>
            <w:r>
              <w:rPr>
                <w:color w:val="544D4F"/>
                <w:sz w:val="17"/>
              </w:rPr>
              <w:t>ted/Typed</w:t>
            </w:r>
            <w:r>
              <w:rPr>
                <w:color w:val="544D4F"/>
                <w:spacing w:val="13"/>
                <w:sz w:val="17"/>
              </w:rPr>
              <w:t> </w:t>
            </w:r>
            <w:r>
              <w:rPr>
                <w:color w:val="544D4F"/>
                <w:sz w:val="17"/>
              </w:rPr>
              <w:t>Name</w:t>
            </w:r>
            <w:r>
              <w:rPr>
                <w:color w:val="544D4F"/>
                <w:spacing w:val="19"/>
                <w:sz w:val="17"/>
              </w:rPr>
              <w:t> </w:t>
            </w:r>
            <w:r>
              <w:rPr>
                <w:color w:val="676467"/>
                <w:sz w:val="17"/>
              </w:rPr>
              <w:t>and</w:t>
            </w:r>
            <w:r>
              <w:rPr>
                <w:color w:val="676467"/>
                <w:spacing w:val="16"/>
                <w:sz w:val="17"/>
              </w:rPr>
              <w:t> </w:t>
            </w:r>
            <w:r>
              <w:rPr>
                <w:color w:val="676467"/>
                <w:sz w:val="17"/>
              </w:rPr>
              <w:t>Tit</w:t>
            </w:r>
            <w:r>
              <w:rPr>
                <w:color w:val="878587"/>
                <w:sz w:val="17"/>
              </w:rPr>
              <w:t>l</w:t>
            </w:r>
            <w:r>
              <w:rPr>
                <w:color w:val="676467"/>
                <w:sz w:val="17"/>
              </w:rPr>
              <w:t>e</w:t>
            </w:r>
            <w:r>
              <w:rPr>
                <w:color w:val="676467"/>
                <w:spacing w:val="11"/>
                <w:sz w:val="17"/>
              </w:rPr>
              <w:t> </w:t>
            </w:r>
            <w:r>
              <w:rPr>
                <w:color w:val="676467"/>
                <w:sz w:val="17"/>
              </w:rPr>
              <w:t>of</w:t>
            </w:r>
            <w:r>
              <w:rPr>
                <w:color w:val="676467"/>
                <w:spacing w:val="12"/>
                <w:sz w:val="17"/>
              </w:rPr>
              <w:t> </w:t>
            </w:r>
            <w:r>
              <w:rPr>
                <w:color w:val="777577"/>
                <w:sz w:val="17"/>
              </w:rPr>
              <w:t>Authorized</w:t>
            </w:r>
            <w:r>
              <w:rPr>
                <w:color w:val="777577"/>
                <w:spacing w:val="15"/>
                <w:sz w:val="17"/>
              </w:rPr>
              <w:t> </w:t>
            </w:r>
            <w:r>
              <w:rPr>
                <w:color w:val="777577"/>
                <w:sz w:val="17"/>
              </w:rPr>
              <w:t>Representa</w:t>
            </w:r>
            <w:r>
              <w:rPr>
                <w:color w:val="9E9EA0"/>
                <w:sz w:val="17"/>
              </w:rPr>
              <w:t>tive</w:t>
            </w:r>
            <w:r>
              <w:rPr>
                <w:color w:val="9E9EA0"/>
                <w:spacing w:val="11"/>
                <w:sz w:val="17"/>
              </w:rPr>
              <w:t> </w:t>
            </w:r>
            <w:r>
              <w:rPr>
                <w:color w:val="9E9EA0"/>
                <w:sz w:val="17"/>
              </w:rPr>
              <w:t>of</w:t>
            </w:r>
            <w:r>
              <w:rPr>
                <w:color w:val="9E9EA0"/>
                <w:spacing w:val="15"/>
                <w:sz w:val="17"/>
              </w:rPr>
              <w:t> </w:t>
            </w:r>
            <w:r>
              <w:rPr>
                <w:color w:val="878587"/>
                <w:sz w:val="17"/>
              </w:rPr>
              <w:t>the</w:t>
            </w:r>
            <w:r>
              <w:rPr>
                <w:color w:val="878587"/>
                <w:spacing w:val="10"/>
                <w:sz w:val="17"/>
              </w:rPr>
              <w:t> </w:t>
            </w:r>
            <w:r>
              <w:rPr>
                <w:color w:val="777577"/>
                <w:spacing w:val="-2"/>
                <w:sz w:val="17"/>
              </w:rPr>
              <w:t>State</w:t>
            </w:r>
            <w:r>
              <w:rPr>
                <w:color w:val="B3B3B3"/>
                <w:spacing w:val="-2"/>
                <w:sz w:val="17"/>
              </w:rPr>
              <w:t>.</w:t>
            </w:r>
          </w:p>
          <w:p>
            <w:pPr>
              <w:pStyle w:val="TableParagraph"/>
              <w:spacing w:before="123"/>
              <w:rPr>
                <w:sz w:val="17"/>
              </w:rPr>
            </w:pPr>
          </w:p>
          <w:p>
            <w:pPr>
              <w:pStyle w:val="TableParagraph"/>
              <w:ind w:left="108"/>
              <w:rPr>
                <w:sz w:val="17"/>
              </w:rPr>
            </w:pPr>
            <w:r>
              <w:rPr>
                <w:color w:val="676467"/>
                <w:w w:val="105"/>
                <w:sz w:val="17"/>
              </w:rPr>
              <w:t>Eileen</w:t>
            </w:r>
            <w:r>
              <w:rPr>
                <w:color w:val="676467"/>
                <w:spacing w:val="4"/>
                <w:w w:val="105"/>
                <w:sz w:val="17"/>
              </w:rPr>
              <w:t> </w:t>
            </w:r>
            <w:r>
              <w:rPr>
                <w:b/>
                <w:color w:val="676467"/>
                <w:w w:val="105"/>
                <w:sz w:val="17"/>
              </w:rPr>
              <w:t>M</w:t>
            </w:r>
            <w:r>
              <w:rPr>
                <w:b/>
                <w:color w:val="9E9EA0"/>
                <w:w w:val="105"/>
                <w:sz w:val="17"/>
              </w:rPr>
              <w:t>.</w:t>
            </w:r>
            <w:r>
              <w:rPr>
                <w:b/>
                <w:color w:val="9E9EA0"/>
                <w:spacing w:val="-10"/>
                <w:w w:val="105"/>
                <w:sz w:val="17"/>
              </w:rPr>
              <w:t> </w:t>
            </w:r>
            <w:r>
              <w:rPr>
                <w:color w:val="544D4F"/>
                <w:spacing w:val="-2"/>
                <w:w w:val="105"/>
                <w:sz w:val="17"/>
              </w:rPr>
              <w:t>Sull</w:t>
            </w:r>
            <w:r>
              <w:rPr>
                <w:color w:val="777577"/>
                <w:spacing w:val="-2"/>
                <w:w w:val="105"/>
                <w:sz w:val="17"/>
              </w:rPr>
              <w:t>ivan</w:t>
            </w:r>
          </w:p>
        </w:tc>
      </w:tr>
      <w:tr>
        <w:trPr>
          <w:trHeight w:val="1152" w:hRule="atLeast"/>
        </w:trPr>
        <w:tc>
          <w:tcPr>
            <w:tcW w:w="5048" w:type="dxa"/>
            <w:tcBorders>
              <w:left w:val="single" w:sz="12" w:space="0" w:color="000000"/>
            </w:tcBorders>
          </w:tcPr>
          <w:p>
            <w:pPr>
              <w:pStyle w:val="TableParagraph"/>
              <w:spacing w:before="131"/>
              <w:ind w:left="109"/>
              <w:rPr>
                <w:sz w:val="17"/>
              </w:rPr>
            </w:pPr>
            <w:r>
              <w:rPr>
                <w:color w:val="544D4F"/>
                <w:spacing w:val="-2"/>
                <w:w w:val="105"/>
                <w:sz w:val="17"/>
              </w:rPr>
              <w:t>S</w:t>
            </w:r>
            <w:r>
              <w:rPr>
                <w:color w:val="777577"/>
                <w:spacing w:val="-2"/>
                <w:w w:val="105"/>
                <w:sz w:val="17"/>
              </w:rPr>
              <w:t>ignat</w:t>
            </w:r>
            <w:r>
              <w:rPr>
                <w:color w:val="544D4F"/>
                <w:spacing w:val="-2"/>
                <w:w w:val="105"/>
                <w:sz w:val="17"/>
              </w:rPr>
              <w:t>ure</w:t>
            </w:r>
            <w:r>
              <w:rPr>
                <w:color w:val="878587"/>
                <w:spacing w:val="-2"/>
                <w:w w:val="105"/>
                <w:sz w:val="17"/>
              </w:rPr>
              <w:t>:</w:t>
            </w:r>
          </w:p>
          <w:p>
            <w:pPr>
              <w:pStyle w:val="TableParagraph"/>
              <w:spacing w:before="7"/>
              <w:rPr>
                <w:sz w:val="17"/>
              </w:rPr>
            </w:pPr>
          </w:p>
          <w:p>
            <w:pPr>
              <w:pStyle w:val="TableParagraph"/>
              <w:ind w:left="1659"/>
              <w:rPr>
                <w:sz w:val="15"/>
              </w:rPr>
            </w:pPr>
            <w:r>
              <w:rPr>
                <w:color w:val="878587"/>
                <w:spacing w:val="-10"/>
                <w:sz w:val="15"/>
              </w:rPr>
              <w:t>'</w:t>
            </w:r>
          </w:p>
          <w:p>
            <w:pPr>
              <w:pStyle w:val="TableParagraph"/>
              <w:spacing w:before="111"/>
              <w:rPr>
                <w:sz w:val="15"/>
              </w:rPr>
            </w:pPr>
          </w:p>
          <w:p>
            <w:pPr>
              <w:pStyle w:val="TableParagraph"/>
              <w:spacing w:line="147" w:lineRule="exact" w:before="1"/>
              <w:ind w:left="897"/>
              <w:rPr>
                <w:sz w:val="14"/>
                <w:szCs w:val="14"/>
              </w:rPr>
            </w:pPr>
            <w:r>
              <w:rPr>
                <w:color w:val="857EA1"/>
                <w:spacing w:val="-5"/>
                <w:sz w:val="14"/>
                <w:szCs w:val="14"/>
              </w:rPr>
              <w:t>���</w:t>
            </w:r>
          </w:p>
        </w:tc>
        <w:tc>
          <w:tcPr>
            <w:tcW w:w="3226" w:type="dxa"/>
            <w:tcBorders>
              <w:right w:val="single" w:sz="12" w:space="0" w:color="000000"/>
            </w:tcBorders>
          </w:tcPr>
          <w:p>
            <w:pPr>
              <w:pStyle w:val="TableParagraph"/>
              <w:spacing w:before="131"/>
              <w:ind w:left="106"/>
              <w:rPr>
                <w:sz w:val="17"/>
              </w:rPr>
            </w:pPr>
            <w:r>
              <w:rPr>
                <w:color w:val="9E9EA0"/>
                <w:spacing w:val="-2"/>
                <w:sz w:val="17"/>
              </w:rPr>
              <w:t>Date:</w:t>
            </w:r>
          </w:p>
          <w:p>
            <w:pPr>
              <w:pStyle w:val="TableParagraph"/>
              <w:spacing w:before="123"/>
              <w:rPr>
                <w:sz w:val="17"/>
              </w:rPr>
            </w:pPr>
          </w:p>
          <w:p>
            <w:pPr>
              <w:pStyle w:val="TableParagraph"/>
              <w:ind w:left="103"/>
              <w:rPr>
                <w:sz w:val="17"/>
              </w:rPr>
            </w:pPr>
            <w:r>
              <w:rPr>
                <w:color w:val="B3B3B3"/>
                <w:spacing w:val="-2"/>
                <w:w w:val="105"/>
                <w:sz w:val="17"/>
              </w:rPr>
              <w:t>05/02/2022</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
      </w:pPr>
    </w:p>
    <w:p>
      <w:pPr>
        <w:pStyle w:val="BodyText"/>
        <w:spacing w:after="0"/>
        <w:sectPr>
          <w:footerReference w:type="default" r:id="rId12"/>
          <w:pgSz w:w="12240" w:h="15840"/>
          <w:pgMar w:header="0" w:footer="0" w:top="780" w:bottom="280" w:left="720" w:right="720"/>
        </w:sectPr>
      </w:pPr>
    </w:p>
    <w:p>
      <w:pPr>
        <w:spacing w:line="160" w:lineRule="exact" w:before="96"/>
        <w:ind w:left="1163" w:right="0" w:firstLine="0"/>
        <w:jc w:val="left"/>
        <w:rPr>
          <w:sz w:val="14"/>
        </w:rPr>
      </w:pPr>
      <w:r>
        <w:rPr>
          <w:sz w:val="14"/>
        </w:rPr>
        <mc:AlternateContent>
          <mc:Choice Requires="wps">
            <w:drawing>
              <wp:anchor distT="0" distB="0" distL="0" distR="0" allowOverlap="1" layoutInCell="1" locked="0" behindDoc="0" simplePos="0" relativeHeight="15731712">
                <wp:simplePos x="0" y="0"/>
                <wp:positionH relativeFrom="page">
                  <wp:posOffset>415178</wp:posOffset>
                </wp:positionH>
                <wp:positionV relativeFrom="paragraph">
                  <wp:posOffset>-7045193</wp:posOffset>
                </wp:positionV>
                <wp:extent cx="1270" cy="677481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 cy="6774815"/>
                        </a:xfrm>
                        <a:custGeom>
                          <a:avLst/>
                          <a:gdLst/>
                          <a:ahLst/>
                          <a:cxnLst/>
                          <a:rect l="l" t="t" r="r" b="b"/>
                          <a:pathLst>
                            <a:path w="0" h="6774815">
                              <a:moveTo>
                                <a:pt x="0" y="6774761"/>
                              </a:moveTo>
                              <a:lnTo>
                                <a:pt x="0"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2.691212pt,-21.29387pt" to="32.691212pt,-554.739624pt" stroked="true" strokeweight="1.442259pt" strokecolor="#000000">
                <v:stroke dashstyle="solid"/>
                <w10:wrap type="none"/>
              </v:line>
            </w:pict>
          </mc:Fallback>
        </mc:AlternateContent>
      </w:r>
      <w:r>
        <w:rPr>
          <w:sz w:val="14"/>
        </w:rPr>
        <mc:AlternateContent>
          <mc:Choice Requires="wps">
            <w:drawing>
              <wp:anchor distT="0" distB="0" distL="0" distR="0" allowOverlap="1" layoutInCell="1" locked="0" behindDoc="0" simplePos="0" relativeHeight="15732224">
                <wp:simplePos x="0" y="0"/>
                <wp:positionH relativeFrom="page">
                  <wp:posOffset>7366364</wp:posOffset>
                </wp:positionH>
                <wp:positionV relativeFrom="page">
                  <wp:posOffset>506595</wp:posOffset>
                </wp:positionV>
                <wp:extent cx="1270" cy="614934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6149340"/>
                        </a:xfrm>
                        <a:custGeom>
                          <a:avLst/>
                          <a:gdLst/>
                          <a:ahLst/>
                          <a:cxnLst/>
                          <a:rect l="l" t="t" r="r" b="b"/>
                          <a:pathLst>
                            <a:path w="0" h="6149340">
                              <a:moveTo>
                                <a:pt x="0" y="6149163"/>
                              </a:moveTo>
                              <a:lnTo>
                                <a:pt x="0" y="0"/>
                              </a:lnTo>
                            </a:path>
                          </a:pathLst>
                        </a:custGeom>
                        <a:ln w="3052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224" from="580.028687pt,524.075555pt" to="580.028687pt,39.889431pt" stroked="true" strokeweight="2.403766pt" strokecolor="#000000">
                <v:stroke dashstyle="solid"/>
                <w10:wrap type="none"/>
              </v:line>
            </w:pict>
          </mc:Fallback>
        </mc:AlternateContent>
      </w:r>
      <w:r>
        <w:rPr>
          <w:color w:val="676467"/>
          <w:sz w:val="14"/>
        </w:rPr>
        <w:t>Part</w:t>
      </w:r>
      <w:r>
        <w:rPr>
          <w:color w:val="676467"/>
          <w:spacing w:val="-1"/>
          <w:sz w:val="14"/>
        </w:rPr>
        <w:t> </w:t>
      </w:r>
      <w:r>
        <w:rPr>
          <w:color w:val="777577"/>
          <w:sz w:val="14"/>
        </w:rPr>
        <w:t>C</w:t>
      </w:r>
      <w:r>
        <w:rPr>
          <w:color w:val="777577"/>
          <w:spacing w:val="-3"/>
          <w:sz w:val="14"/>
        </w:rPr>
        <w:t> </w:t>
      </w:r>
      <w:r>
        <w:rPr>
          <w:color w:val="777577"/>
          <w:sz w:val="14"/>
        </w:rPr>
        <w:t>Annua</w:t>
      </w:r>
      <w:r>
        <w:rPr>
          <w:color w:val="9E9EA0"/>
          <w:sz w:val="14"/>
        </w:rPr>
        <w:t>l</w:t>
      </w:r>
      <w:r>
        <w:rPr>
          <w:color w:val="9E9EA0"/>
          <w:spacing w:val="-10"/>
          <w:sz w:val="14"/>
        </w:rPr>
        <w:t> </w:t>
      </w:r>
      <w:r>
        <w:rPr>
          <w:color w:val="777577"/>
          <w:sz w:val="14"/>
        </w:rPr>
        <w:t>State</w:t>
      </w:r>
      <w:r>
        <w:rPr>
          <w:color w:val="777577"/>
          <w:spacing w:val="2"/>
          <w:sz w:val="14"/>
        </w:rPr>
        <w:t> </w:t>
      </w:r>
      <w:r>
        <w:rPr>
          <w:color w:val="676467"/>
          <w:sz w:val="14"/>
        </w:rPr>
        <w:t>Ap</w:t>
      </w:r>
      <w:r>
        <w:rPr>
          <w:color w:val="878587"/>
          <w:sz w:val="14"/>
        </w:rPr>
        <w:t>phcatJon</w:t>
      </w:r>
      <w:r>
        <w:rPr>
          <w:color w:val="878587"/>
          <w:spacing w:val="60"/>
          <w:sz w:val="14"/>
        </w:rPr>
        <w:t> </w:t>
      </w:r>
      <w:r>
        <w:rPr>
          <w:color w:val="878587"/>
          <w:sz w:val="14"/>
        </w:rPr>
        <w:t>FFY</w:t>
      </w:r>
      <w:r>
        <w:rPr>
          <w:color w:val="878587"/>
          <w:spacing w:val="5"/>
          <w:sz w:val="14"/>
        </w:rPr>
        <w:t> </w:t>
      </w:r>
      <w:r>
        <w:rPr>
          <w:color w:val="9E9EA0"/>
          <w:spacing w:val="-4"/>
          <w:sz w:val="14"/>
        </w:rPr>
        <w:t>2022</w:t>
      </w:r>
    </w:p>
    <w:p>
      <w:pPr>
        <w:spacing w:line="171" w:lineRule="exact" w:before="0"/>
        <w:ind w:left="1163" w:right="0" w:firstLine="0"/>
        <w:jc w:val="left"/>
        <w:rPr>
          <w:sz w:val="14"/>
        </w:rPr>
      </w:pPr>
      <w:r>
        <w:rPr>
          <w:sz w:val="14"/>
        </w:rPr>
        <mc:AlternateContent>
          <mc:Choice Requires="wps">
            <w:drawing>
              <wp:anchor distT="0" distB="0" distL="0" distR="0" allowOverlap="1" layoutInCell="1" locked="0" behindDoc="0" simplePos="0" relativeHeight="15731200">
                <wp:simplePos x="0" y="0"/>
                <wp:positionH relativeFrom="page">
                  <wp:posOffset>3870926</wp:posOffset>
                </wp:positionH>
                <wp:positionV relativeFrom="paragraph">
                  <wp:posOffset>543611</wp:posOffset>
                </wp:positionV>
                <wp:extent cx="3489960" cy="7493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489960" cy="74930"/>
                          <a:chExt cx="3489960" cy="74930"/>
                        </a:xfrm>
                      </wpg:grpSpPr>
                      <pic:pic>
                        <pic:nvPicPr>
                          <pic:cNvPr id="15" name="Image 15"/>
                          <pic:cNvPicPr/>
                        </pic:nvPicPr>
                        <pic:blipFill>
                          <a:blip r:embed="rId13" cstate="print"/>
                          <a:stretch>
                            <a:fillRect/>
                          </a:stretch>
                        </pic:blipFill>
                        <pic:spPr>
                          <a:xfrm>
                            <a:off x="0" y="0"/>
                            <a:ext cx="451811" cy="73240"/>
                          </a:xfrm>
                          <a:prstGeom prst="rect">
                            <a:avLst/>
                          </a:prstGeom>
                        </pic:spPr>
                      </pic:pic>
                      <wps:wsp>
                        <wps:cNvPr id="16" name="Graphic 16"/>
                        <wps:cNvSpPr/>
                        <wps:spPr>
                          <a:xfrm>
                            <a:off x="451812" y="45774"/>
                            <a:ext cx="3037840" cy="1270"/>
                          </a:xfrm>
                          <a:custGeom>
                            <a:avLst/>
                            <a:gdLst/>
                            <a:ahLst/>
                            <a:cxnLst/>
                            <a:rect l="l" t="t" r="r" b="b"/>
                            <a:pathLst>
                              <a:path w="3037840" h="0">
                                <a:moveTo>
                                  <a:pt x="0" y="0"/>
                                </a:moveTo>
                                <a:lnTo>
                                  <a:pt x="3037518" y="0"/>
                                </a:lnTo>
                              </a:path>
                            </a:pathLst>
                          </a:custGeom>
                          <a:ln w="579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4.797394pt;margin-top:42.804085pt;width:274.8pt;height:5.9pt;mso-position-horizontal-relative:page;mso-position-vertical-relative:paragraph;z-index:15731200" id="docshapegroup9" coordorigin="6096,856" coordsize="5496,118">
                <v:shape style="position:absolute;left:6095;top:856;width:712;height:116" type="#_x0000_t75" id="docshape10" stroked="false">
                  <v:imagedata r:id="rId13" o:title=""/>
                </v:shape>
                <v:line style="position:absolute" from="6807,928" to="11591,928" stroked="true" strokeweight="4.565527pt" strokecolor="#000000">
                  <v:stroke dashstyle="solid"/>
                </v:line>
                <w10:wrap type="none"/>
              </v:group>
            </w:pict>
          </mc:Fallback>
        </mc:AlternateContent>
      </w:r>
      <w:r>
        <w:rPr>
          <w:sz w:val="14"/>
        </w:rPr>
        <mc:AlternateContent>
          <mc:Choice Requires="wps">
            <w:drawing>
              <wp:anchor distT="0" distB="0" distL="0" distR="0" allowOverlap="1" layoutInCell="1" locked="0" behindDoc="0" simplePos="0" relativeHeight="15732736">
                <wp:simplePos x="0" y="0"/>
                <wp:positionH relativeFrom="page">
                  <wp:posOffset>390756</wp:posOffset>
                </wp:positionH>
                <wp:positionV relativeFrom="paragraph">
                  <wp:posOffset>577179</wp:posOffset>
                </wp:positionV>
                <wp:extent cx="339217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392170" cy="1270"/>
                        </a:xfrm>
                        <a:custGeom>
                          <a:avLst/>
                          <a:gdLst/>
                          <a:ahLst/>
                          <a:cxnLst/>
                          <a:rect l="l" t="t" r="r" b="b"/>
                          <a:pathLst>
                            <a:path w="3392170" h="0">
                              <a:moveTo>
                                <a:pt x="0" y="0"/>
                              </a:moveTo>
                              <a:lnTo>
                                <a:pt x="3391641" y="0"/>
                              </a:lnTo>
                            </a:path>
                          </a:pathLst>
                        </a:custGeom>
                        <a:ln w="5798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30.7682pt,45.447182pt" to="297.826567pt,45.447182pt" stroked="true" strokeweight="4.565527pt" strokecolor="#000000">
                <v:stroke dashstyle="solid"/>
                <w10:wrap type="none"/>
              </v:line>
            </w:pict>
          </mc:Fallback>
        </mc:AlternateContent>
      </w:r>
      <w:r>
        <w:rPr>
          <w:color w:val="676467"/>
          <w:sz w:val="15"/>
        </w:rPr>
        <w:t>0</w:t>
      </w:r>
      <w:r>
        <w:rPr>
          <w:color w:val="676467"/>
          <w:spacing w:val="35"/>
          <w:sz w:val="15"/>
        </w:rPr>
        <w:t>  </w:t>
      </w:r>
      <w:r>
        <w:rPr>
          <w:color w:val="676467"/>
          <w:sz w:val="14"/>
        </w:rPr>
        <w:t>B</w:t>
      </w:r>
      <w:r>
        <w:rPr>
          <w:color w:val="676467"/>
          <w:spacing w:val="3"/>
          <w:sz w:val="14"/>
        </w:rPr>
        <w:t> </w:t>
      </w:r>
      <w:r>
        <w:rPr>
          <w:color w:val="676467"/>
          <w:sz w:val="14"/>
        </w:rPr>
        <w:t>N</w:t>
      </w:r>
      <w:r>
        <w:rPr>
          <w:color w:val="878587"/>
          <w:sz w:val="14"/>
        </w:rPr>
        <w:t>o</w:t>
      </w:r>
      <w:r>
        <w:rPr>
          <w:color w:val="878587"/>
          <w:spacing w:val="46"/>
          <w:sz w:val="14"/>
        </w:rPr>
        <w:t> </w:t>
      </w:r>
      <w:r>
        <w:rPr>
          <w:color w:val="878587"/>
          <w:sz w:val="14"/>
        </w:rPr>
        <w:t>1820-05</w:t>
      </w:r>
      <w:r>
        <w:rPr>
          <w:color w:val="676467"/>
          <w:sz w:val="14"/>
        </w:rPr>
        <w:t>5</w:t>
      </w:r>
      <w:r>
        <w:rPr>
          <w:color w:val="878587"/>
          <w:sz w:val="14"/>
        </w:rPr>
        <w:t>0/Expirauon</w:t>
      </w:r>
      <w:r>
        <w:rPr>
          <w:color w:val="878587"/>
          <w:spacing w:val="-4"/>
          <w:sz w:val="14"/>
        </w:rPr>
        <w:t> </w:t>
      </w:r>
      <w:r>
        <w:rPr>
          <w:color w:val="878587"/>
          <w:sz w:val="14"/>
        </w:rPr>
        <w:t>Date</w:t>
      </w:r>
      <w:r>
        <w:rPr>
          <w:color w:val="878587"/>
          <w:spacing w:val="70"/>
          <w:w w:val="150"/>
          <w:sz w:val="14"/>
        </w:rPr>
        <w:t> </w:t>
      </w:r>
      <w:r>
        <w:rPr>
          <w:color w:val="9E9EA0"/>
          <w:spacing w:val="-2"/>
          <w:sz w:val="14"/>
        </w:rPr>
        <w:t>12/31/2023</w:t>
      </w:r>
    </w:p>
    <w:p>
      <w:pPr>
        <w:spacing w:before="144"/>
        <w:ind w:left="0" w:right="118" w:firstLine="0"/>
        <w:jc w:val="center"/>
        <w:rPr>
          <w:sz w:val="14"/>
        </w:rPr>
      </w:pPr>
      <w:r>
        <w:rPr/>
        <w:br w:type="column"/>
      </w:r>
      <w:r>
        <w:rPr>
          <w:color w:val="9E9EA0"/>
          <w:spacing w:val="-4"/>
          <w:sz w:val="14"/>
        </w:rPr>
        <w:t>Section</w:t>
      </w:r>
      <w:r>
        <w:rPr>
          <w:color w:val="9E9EA0"/>
          <w:spacing w:val="10"/>
          <w:sz w:val="14"/>
        </w:rPr>
        <w:t> </w:t>
      </w:r>
      <w:r>
        <w:rPr>
          <w:color w:val="B3B3B3"/>
          <w:spacing w:val="-4"/>
          <w:sz w:val="14"/>
        </w:rPr>
        <w:t>11-</w:t>
      </w:r>
      <w:r>
        <w:rPr>
          <w:color w:val="B3B3B3"/>
          <w:spacing w:val="-5"/>
          <w:sz w:val="14"/>
        </w:rPr>
        <w:t>21</w:t>
      </w:r>
    </w:p>
    <w:p>
      <w:pPr>
        <w:spacing w:after="0"/>
        <w:jc w:val="center"/>
        <w:rPr>
          <w:sz w:val="14"/>
        </w:rPr>
        <w:sectPr>
          <w:type w:val="continuous"/>
          <w:pgSz w:w="12240" w:h="15840"/>
          <w:pgMar w:header="0" w:footer="0" w:top="560" w:bottom="280" w:left="720" w:right="720"/>
          <w:cols w:num="2" w:equalWidth="0">
            <w:col w:w="4360" w:space="3178"/>
            <w:col w:w="3262"/>
          </w:cols>
        </w:sectPr>
      </w:pPr>
    </w:p>
    <w:p>
      <w:pPr>
        <w:spacing w:before="66"/>
        <w:ind w:left="724" w:right="0" w:firstLine="0"/>
        <w:jc w:val="left"/>
        <w:rPr>
          <w:b/>
          <w:sz w:val="28"/>
        </w:rPr>
      </w:pPr>
      <w:r>
        <w:rPr>
          <w:b/>
          <w:sz w:val="28"/>
        </w:rPr>
        <mc:AlternateContent>
          <mc:Choice Requires="wps">
            <w:drawing>
              <wp:anchor distT="0" distB="0" distL="0" distR="0" allowOverlap="1" layoutInCell="1" locked="0" behindDoc="1" simplePos="0" relativeHeight="487592448">
                <wp:simplePos x="0" y="0"/>
                <wp:positionH relativeFrom="page">
                  <wp:posOffset>899232</wp:posOffset>
                </wp:positionH>
                <wp:positionV relativeFrom="paragraph">
                  <wp:posOffset>257628</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5702pt;margin-top:20.285700pt;width:470.88pt;height:1.44pt;mso-position-horizontal-relative:page;mso-position-vertical-relative:paragraph;z-index:-15724032;mso-wrap-distance-left:0;mso-wrap-distance-right:0" id="docshape13" filled="true" fillcolor="#000000" stroked="false">
                <v:fill type="solid"/>
                <w10:wrap type="topAndBottom"/>
              </v:rect>
            </w:pict>
          </mc:Fallback>
        </mc:AlternateContent>
      </w:r>
      <w:r>
        <w:rPr>
          <w:b/>
          <w:smallCaps/>
          <w:sz w:val="28"/>
        </w:rPr>
        <w:t>Section</w:t>
      </w:r>
      <w:r>
        <w:rPr>
          <w:b/>
          <w:smallCaps/>
          <w:spacing w:val="-7"/>
          <w:sz w:val="28"/>
        </w:rPr>
        <w:t> </w:t>
      </w:r>
      <w:r>
        <w:rPr>
          <w:b/>
          <w:smallCaps/>
          <w:spacing w:val="-5"/>
          <w:sz w:val="28"/>
        </w:rPr>
        <w:t>III</w:t>
      </w:r>
    </w:p>
    <w:p>
      <w:pPr>
        <w:pStyle w:val="Heading1"/>
        <w:numPr>
          <w:ilvl w:val="0"/>
          <w:numId w:val="31"/>
        </w:numPr>
        <w:tabs>
          <w:tab w:pos="1124" w:val="left" w:leader="none"/>
        </w:tabs>
        <w:spacing w:line="240" w:lineRule="auto" w:before="240" w:after="0"/>
        <w:ind w:left="1124" w:right="887" w:hanging="400"/>
        <w:jc w:val="left"/>
      </w:pPr>
      <w:r>
        <w:rPr/>
        <w:t>Description</w:t>
      </w:r>
      <w:r>
        <w:rPr>
          <w:spacing w:val="-3"/>
        </w:rPr>
        <w:t> </w:t>
      </w:r>
      <w:r>
        <w:rPr/>
        <w:t>of</w:t>
      </w:r>
      <w:r>
        <w:rPr>
          <w:spacing w:val="-3"/>
        </w:rPr>
        <w:t> </w:t>
      </w:r>
      <w:r>
        <w:rPr/>
        <w:t>Use</w:t>
      </w:r>
      <w:r>
        <w:rPr>
          <w:spacing w:val="-3"/>
        </w:rPr>
        <w:t> </w:t>
      </w:r>
      <w:r>
        <w:rPr/>
        <w:t>of</w:t>
      </w:r>
      <w:r>
        <w:rPr>
          <w:spacing w:val="-3"/>
        </w:rPr>
        <w:t> </w:t>
      </w:r>
      <w:r>
        <w:rPr/>
        <w:t>Federal</w:t>
      </w:r>
      <w:r>
        <w:rPr>
          <w:spacing w:val="-3"/>
        </w:rPr>
        <w:t> </w:t>
      </w:r>
      <w:r>
        <w:rPr/>
        <w:t>IDEA</w:t>
      </w:r>
      <w:r>
        <w:rPr>
          <w:spacing w:val="-11"/>
        </w:rPr>
        <w:t> </w:t>
      </w:r>
      <w:r>
        <w:rPr/>
        <w:t>Part</w:t>
      </w:r>
      <w:r>
        <w:rPr>
          <w:spacing w:val="-3"/>
        </w:rPr>
        <w:t> </w:t>
      </w:r>
      <w:r>
        <w:rPr/>
        <w:t>C</w:t>
      </w:r>
      <w:r>
        <w:rPr>
          <w:spacing w:val="-3"/>
        </w:rPr>
        <w:t> </w:t>
      </w:r>
      <w:r>
        <w:rPr/>
        <w:t>Funds</w:t>
      </w:r>
      <w:r>
        <w:rPr>
          <w:spacing w:val="-3"/>
        </w:rPr>
        <w:t> </w:t>
      </w:r>
      <w:r>
        <w:rPr/>
        <w:t>for</w:t>
      </w:r>
      <w:r>
        <w:rPr>
          <w:spacing w:val="-3"/>
        </w:rPr>
        <w:t> </w:t>
      </w:r>
      <w:r>
        <w:rPr/>
        <w:t>the</w:t>
      </w:r>
      <w:r>
        <w:rPr>
          <w:spacing w:val="-2"/>
        </w:rPr>
        <w:t> </w:t>
      </w:r>
      <w:r>
        <w:rPr/>
        <w:t>State</w:t>
      </w:r>
      <w:r>
        <w:rPr>
          <w:spacing w:val="-3"/>
        </w:rPr>
        <w:t> </w:t>
      </w:r>
      <w:r>
        <w:rPr/>
        <w:t>Lead</w:t>
      </w:r>
      <w:r>
        <w:rPr>
          <w:spacing w:val="-11"/>
        </w:rPr>
        <w:t> </w:t>
      </w:r>
      <w:r>
        <w:rPr/>
        <w:t>Agency</w:t>
      </w:r>
      <w:r>
        <w:rPr>
          <w:spacing w:val="-3"/>
        </w:rPr>
        <w:t> </w:t>
      </w:r>
      <w:r>
        <w:rPr/>
        <w:t>(LA)</w:t>
      </w:r>
      <w:r>
        <w:rPr>
          <w:spacing w:val="-3"/>
        </w:rPr>
        <w:t> </w:t>
      </w:r>
      <w:r>
        <w:rPr/>
        <w:t>and the Interagency Coordinating Council (ICC)</w:t>
      </w:r>
      <w:r>
        <w:rPr>
          <w:vertAlign w:val="superscript"/>
        </w:rPr>
        <w:t>2</w:t>
      </w:r>
    </w:p>
    <w:p>
      <w:pPr>
        <w:spacing w:line="364" w:lineRule="auto" w:before="242"/>
        <w:ind w:left="1127" w:right="919" w:firstLine="0"/>
        <w:jc w:val="both"/>
        <w:rPr>
          <w:sz w:val="20"/>
        </w:rPr>
      </w:pPr>
      <w:r>
        <w:rPr>
          <w:b/>
          <w:sz w:val="20"/>
        </w:rPr>
        <w:t>Please</w:t>
      </w:r>
      <w:r>
        <w:rPr>
          <w:b/>
          <w:spacing w:val="-3"/>
          <w:sz w:val="20"/>
        </w:rPr>
        <w:t> </w:t>
      </w:r>
      <w:r>
        <w:rPr>
          <w:b/>
          <w:sz w:val="20"/>
        </w:rPr>
        <w:t>Note:</w:t>
      </w:r>
      <w:r>
        <w:rPr>
          <w:b/>
          <w:spacing w:val="40"/>
          <w:sz w:val="20"/>
        </w:rPr>
        <w:t> </w:t>
      </w:r>
      <w:r>
        <w:rPr>
          <w:b/>
          <w:sz w:val="20"/>
        </w:rPr>
        <w:t>Completion</w:t>
      </w:r>
      <w:r>
        <w:rPr>
          <w:b/>
          <w:spacing w:val="-4"/>
          <w:sz w:val="20"/>
        </w:rPr>
        <w:t> </w:t>
      </w:r>
      <w:r>
        <w:rPr>
          <w:b/>
          <w:sz w:val="20"/>
        </w:rPr>
        <w:t>of</w:t>
      </w:r>
      <w:r>
        <w:rPr>
          <w:b/>
          <w:spacing w:val="-3"/>
          <w:sz w:val="20"/>
        </w:rPr>
        <w:t> </w:t>
      </w:r>
      <w:r>
        <w:rPr>
          <w:b/>
          <w:sz w:val="20"/>
        </w:rPr>
        <w:t>Section</w:t>
      </w:r>
      <w:r>
        <w:rPr>
          <w:b/>
          <w:spacing w:val="-4"/>
          <w:sz w:val="20"/>
        </w:rPr>
        <w:t> </w:t>
      </w:r>
      <w:r>
        <w:rPr>
          <w:b/>
          <w:sz w:val="20"/>
        </w:rPr>
        <w:t>IIIA</w:t>
      </w:r>
      <w:r>
        <w:rPr>
          <w:b/>
          <w:spacing w:val="-11"/>
          <w:sz w:val="20"/>
        </w:rPr>
        <w:t> </w:t>
      </w:r>
      <w:r>
        <w:rPr>
          <w:b/>
          <w:sz w:val="20"/>
        </w:rPr>
        <w:t>is</w:t>
      </w:r>
      <w:r>
        <w:rPr>
          <w:b/>
          <w:spacing w:val="-3"/>
          <w:sz w:val="20"/>
        </w:rPr>
        <w:t> </w:t>
      </w:r>
      <w:r>
        <w:rPr>
          <w:b/>
          <w:sz w:val="20"/>
        </w:rPr>
        <w:t>required</w:t>
      </w:r>
      <w:r>
        <w:rPr>
          <w:b/>
          <w:spacing w:val="-4"/>
          <w:sz w:val="20"/>
        </w:rPr>
        <w:t> </w:t>
      </w:r>
      <w:r>
        <w:rPr>
          <w:b/>
          <w:sz w:val="20"/>
        </w:rPr>
        <w:t>for</w:t>
      </w:r>
      <w:r>
        <w:rPr>
          <w:b/>
          <w:spacing w:val="-3"/>
          <w:sz w:val="20"/>
        </w:rPr>
        <w:t> </w:t>
      </w:r>
      <w:r>
        <w:rPr>
          <w:b/>
          <w:sz w:val="20"/>
        </w:rPr>
        <w:t>all</w:t>
      </w:r>
      <w:r>
        <w:rPr>
          <w:b/>
          <w:spacing w:val="-3"/>
          <w:sz w:val="20"/>
        </w:rPr>
        <w:t> </w:t>
      </w:r>
      <w:r>
        <w:rPr>
          <w:b/>
          <w:sz w:val="20"/>
        </w:rPr>
        <w:t>States,</w:t>
      </w:r>
      <w:r>
        <w:rPr>
          <w:b/>
          <w:spacing w:val="-3"/>
          <w:sz w:val="20"/>
        </w:rPr>
        <w:t> </w:t>
      </w:r>
      <w:r>
        <w:rPr>
          <w:b/>
          <w:sz w:val="20"/>
        </w:rPr>
        <w:t>regardless</w:t>
      </w:r>
      <w:r>
        <w:rPr>
          <w:b/>
          <w:spacing w:val="-3"/>
          <w:sz w:val="20"/>
        </w:rPr>
        <w:t> </w:t>
      </w:r>
      <w:r>
        <w:rPr>
          <w:b/>
          <w:sz w:val="20"/>
        </w:rPr>
        <w:t>of</w:t>
      </w:r>
      <w:r>
        <w:rPr>
          <w:b/>
          <w:spacing w:val="-3"/>
          <w:sz w:val="20"/>
        </w:rPr>
        <w:t> </w:t>
      </w:r>
      <w:r>
        <w:rPr>
          <w:b/>
          <w:sz w:val="20"/>
        </w:rPr>
        <w:t>lead</w:t>
      </w:r>
      <w:r>
        <w:rPr>
          <w:b/>
          <w:spacing w:val="-3"/>
          <w:sz w:val="20"/>
        </w:rPr>
        <w:t> </w:t>
      </w:r>
      <w:r>
        <w:rPr>
          <w:b/>
          <w:sz w:val="20"/>
        </w:rPr>
        <w:t>agency</w:t>
      </w:r>
      <w:r>
        <w:rPr>
          <w:sz w:val="20"/>
        </w:rPr>
        <w:t>. When completing this section include:</w:t>
      </w:r>
    </w:p>
    <w:p>
      <w:pPr>
        <w:pStyle w:val="ListParagraph"/>
        <w:numPr>
          <w:ilvl w:val="1"/>
          <w:numId w:val="31"/>
        </w:numPr>
        <w:tabs>
          <w:tab w:pos="1722" w:val="left" w:leader="none"/>
          <w:tab w:pos="1724" w:val="left" w:leader="none"/>
        </w:tabs>
        <w:spacing w:line="240" w:lineRule="auto" w:before="0" w:after="0"/>
        <w:ind w:left="1724" w:right="1167" w:hanging="300"/>
        <w:jc w:val="both"/>
        <w:rPr>
          <w:sz w:val="20"/>
        </w:rPr>
      </w:pPr>
      <w:r>
        <w:rPr>
          <w:sz w:val="20"/>
        </w:rPr>
        <w:t>Totals</w:t>
      </w:r>
      <w:r>
        <w:rPr>
          <w:spacing w:val="-5"/>
          <w:sz w:val="20"/>
        </w:rPr>
        <w:t> </w:t>
      </w:r>
      <w:r>
        <w:rPr>
          <w:sz w:val="20"/>
        </w:rPr>
        <w:t>for</w:t>
      </w:r>
      <w:r>
        <w:rPr>
          <w:spacing w:val="-5"/>
          <w:sz w:val="20"/>
        </w:rPr>
        <w:t> </w:t>
      </w:r>
      <w:r>
        <w:rPr>
          <w:sz w:val="20"/>
        </w:rPr>
        <w:t>the</w:t>
      </w:r>
      <w:r>
        <w:rPr>
          <w:spacing w:val="-5"/>
          <w:sz w:val="20"/>
        </w:rPr>
        <w:t> </w:t>
      </w:r>
      <w:r>
        <w:rPr>
          <w:sz w:val="20"/>
        </w:rPr>
        <w:t>number</w:t>
      </w:r>
      <w:r>
        <w:rPr>
          <w:spacing w:val="-5"/>
          <w:sz w:val="20"/>
        </w:rPr>
        <w:t> </w:t>
      </w:r>
      <w:r>
        <w:rPr>
          <w:sz w:val="20"/>
        </w:rPr>
        <w:t>of</w:t>
      </w:r>
      <w:r>
        <w:rPr>
          <w:spacing w:val="-5"/>
          <w:sz w:val="20"/>
        </w:rPr>
        <w:t> </w:t>
      </w:r>
      <w:r>
        <w:rPr>
          <w:sz w:val="20"/>
        </w:rPr>
        <w:t>lead</w:t>
      </w:r>
      <w:r>
        <w:rPr>
          <w:spacing w:val="-5"/>
          <w:sz w:val="20"/>
        </w:rPr>
        <w:t> </w:t>
      </w:r>
      <w:r>
        <w:rPr>
          <w:sz w:val="20"/>
        </w:rPr>
        <w:t>agency</w:t>
      </w:r>
      <w:r>
        <w:rPr>
          <w:spacing w:val="-6"/>
          <w:sz w:val="20"/>
        </w:rPr>
        <w:t> </w:t>
      </w:r>
      <w:r>
        <w:rPr>
          <w:sz w:val="20"/>
        </w:rPr>
        <w:t>and</w:t>
      </w:r>
      <w:r>
        <w:rPr>
          <w:spacing w:val="-5"/>
          <w:sz w:val="20"/>
        </w:rPr>
        <w:t> </w:t>
      </w:r>
      <w:r>
        <w:rPr>
          <w:sz w:val="20"/>
        </w:rPr>
        <w:t>ICC</w:t>
      </w:r>
      <w:r>
        <w:rPr>
          <w:spacing w:val="-6"/>
          <w:sz w:val="20"/>
        </w:rPr>
        <w:t> </w:t>
      </w:r>
      <w:r>
        <w:rPr>
          <w:sz w:val="20"/>
        </w:rPr>
        <w:t>administrative</w:t>
      </w:r>
      <w:r>
        <w:rPr>
          <w:spacing w:val="-5"/>
          <w:sz w:val="20"/>
        </w:rPr>
        <w:t> </w:t>
      </w:r>
      <w:r>
        <w:rPr>
          <w:sz w:val="20"/>
        </w:rPr>
        <w:t>positions,</w:t>
      </w:r>
      <w:r>
        <w:rPr>
          <w:spacing w:val="-5"/>
          <w:sz w:val="20"/>
        </w:rPr>
        <w:t> </w:t>
      </w:r>
      <w:r>
        <w:rPr>
          <w:sz w:val="20"/>
        </w:rPr>
        <w:t>salaries</w:t>
      </w:r>
      <w:r>
        <w:rPr>
          <w:spacing w:val="-5"/>
          <w:sz w:val="20"/>
        </w:rPr>
        <w:t> </w:t>
      </w:r>
      <w:r>
        <w:rPr>
          <w:sz w:val="20"/>
        </w:rPr>
        <w:t>and</w:t>
      </w:r>
      <w:r>
        <w:rPr>
          <w:spacing w:val="-5"/>
          <w:sz w:val="20"/>
        </w:rPr>
        <w:t> </w:t>
      </w:r>
      <w:r>
        <w:rPr>
          <w:sz w:val="20"/>
        </w:rPr>
        <w:t>fringe benefits</w:t>
      </w:r>
      <w:r>
        <w:rPr>
          <w:spacing w:val="-3"/>
          <w:sz w:val="20"/>
        </w:rPr>
        <w:t> </w:t>
      </w:r>
      <w:r>
        <w:rPr>
          <w:sz w:val="20"/>
        </w:rPr>
        <w:t>funded</w:t>
      </w:r>
      <w:r>
        <w:rPr>
          <w:spacing w:val="-3"/>
          <w:sz w:val="20"/>
        </w:rPr>
        <w:t> </w:t>
      </w:r>
      <w:r>
        <w:rPr>
          <w:sz w:val="20"/>
        </w:rPr>
        <w:t>either</w:t>
      </w:r>
      <w:r>
        <w:rPr>
          <w:spacing w:val="-3"/>
          <w:sz w:val="20"/>
        </w:rPr>
        <w:t> </w:t>
      </w:r>
      <w:r>
        <w:rPr>
          <w:sz w:val="20"/>
        </w:rPr>
        <w:t>100</w:t>
      </w:r>
      <w:r>
        <w:rPr>
          <w:spacing w:val="-3"/>
          <w:sz w:val="20"/>
        </w:rPr>
        <w:t> </w:t>
      </w:r>
      <w:r>
        <w:rPr>
          <w:sz w:val="20"/>
        </w:rPr>
        <w:t>percent</w:t>
      </w:r>
      <w:r>
        <w:rPr>
          <w:spacing w:val="-3"/>
          <w:sz w:val="20"/>
        </w:rPr>
        <w:t> </w:t>
      </w:r>
      <w:r>
        <w:rPr>
          <w:sz w:val="20"/>
        </w:rPr>
        <w:t>and/or</w:t>
      </w:r>
      <w:r>
        <w:rPr>
          <w:spacing w:val="-3"/>
          <w:sz w:val="20"/>
        </w:rPr>
        <w:t> </w:t>
      </w:r>
      <w:r>
        <w:rPr>
          <w:sz w:val="20"/>
        </w:rPr>
        <w:t>less</w:t>
      </w:r>
      <w:r>
        <w:rPr>
          <w:spacing w:val="-3"/>
          <w:sz w:val="20"/>
        </w:rPr>
        <w:t> </w:t>
      </w:r>
      <w:r>
        <w:rPr>
          <w:sz w:val="20"/>
        </w:rPr>
        <w:t>than</w:t>
      </w:r>
      <w:r>
        <w:rPr>
          <w:spacing w:val="-3"/>
          <w:sz w:val="20"/>
        </w:rPr>
        <w:t> </w:t>
      </w:r>
      <w:r>
        <w:rPr>
          <w:sz w:val="20"/>
        </w:rPr>
        <w:t>100</w:t>
      </w:r>
      <w:r>
        <w:rPr>
          <w:spacing w:val="-3"/>
          <w:sz w:val="20"/>
        </w:rPr>
        <w:t> </w:t>
      </w:r>
      <w:r>
        <w:rPr>
          <w:sz w:val="20"/>
        </w:rPr>
        <w:t>percent</w:t>
      </w:r>
      <w:r>
        <w:rPr>
          <w:spacing w:val="-3"/>
          <w:sz w:val="20"/>
        </w:rPr>
        <w:t> </w:t>
      </w:r>
      <w:r>
        <w:rPr>
          <w:sz w:val="20"/>
        </w:rPr>
        <w:t>with</w:t>
      </w:r>
      <w:r>
        <w:rPr>
          <w:spacing w:val="-5"/>
          <w:sz w:val="20"/>
        </w:rPr>
        <w:t> </w:t>
      </w:r>
      <w:r>
        <w:rPr>
          <w:sz w:val="20"/>
        </w:rPr>
        <w:t>Federal</w:t>
      </w:r>
      <w:r>
        <w:rPr>
          <w:spacing w:val="-3"/>
          <w:sz w:val="20"/>
        </w:rPr>
        <w:t> </w:t>
      </w:r>
      <w:r>
        <w:rPr>
          <w:sz w:val="20"/>
        </w:rPr>
        <w:t>IDEA</w:t>
      </w:r>
      <w:r>
        <w:rPr>
          <w:spacing w:val="-14"/>
          <w:sz w:val="20"/>
        </w:rPr>
        <w:t> </w:t>
      </w:r>
      <w:r>
        <w:rPr>
          <w:sz w:val="20"/>
        </w:rPr>
        <w:t>Part</w:t>
      </w:r>
      <w:r>
        <w:rPr>
          <w:spacing w:val="-3"/>
          <w:sz w:val="20"/>
        </w:rPr>
        <w:t> </w:t>
      </w:r>
      <w:r>
        <w:rPr>
          <w:sz w:val="20"/>
        </w:rPr>
        <w:t>C </w:t>
      </w:r>
      <w:r>
        <w:rPr>
          <w:spacing w:val="-2"/>
          <w:sz w:val="20"/>
        </w:rPr>
        <w:t>funds;</w:t>
      </w:r>
    </w:p>
    <w:p>
      <w:pPr>
        <w:pStyle w:val="ListParagraph"/>
        <w:numPr>
          <w:ilvl w:val="1"/>
          <w:numId w:val="31"/>
        </w:numPr>
        <w:tabs>
          <w:tab w:pos="1724" w:val="left" w:leader="none"/>
        </w:tabs>
        <w:spacing w:line="240" w:lineRule="auto" w:before="119" w:after="0"/>
        <w:ind w:left="1724" w:right="0" w:hanging="299"/>
        <w:jc w:val="left"/>
        <w:rPr>
          <w:sz w:val="20"/>
        </w:rPr>
      </w:pPr>
      <w:r>
        <w:rPr>
          <w:sz w:val="20"/>
        </w:rPr>
        <w:t>A</w:t>
      </w:r>
      <w:r>
        <w:rPr>
          <w:spacing w:val="-16"/>
          <w:sz w:val="20"/>
        </w:rPr>
        <w:t> </w:t>
      </w:r>
      <w:r>
        <w:rPr>
          <w:sz w:val="20"/>
        </w:rPr>
        <w:t>general</w:t>
      </w:r>
      <w:r>
        <w:rPr>
          <w:spacing w:val="-8"/>
          <w:sz w:val="20"/>
        </w:rPr>
        <w:t> </w:t>
      </w:r>
      <w:r>
        <w:rPr>
          <w:sz w:val="20"/>
        </w:rPr>
        <w:t>description</w:t>
      </w:r>
      <w:r>
        <w:rPr>
          <w:spacing w:val="-6"/>
          <w:sz w:val="20"/>
        </w:rPr>
        <w:t> </w:t>
      </w:r>
      <w:r>
        <w:rPr>
          <w:sz w:val="20"/>
        </w:rPr>
        <w:t>of</w:t>
      </w:r>
      <w:r>
        <w:rPr>
          <w:spacing w:val="-5"/>
          <w:sz w:val="20"/>
        </w:rPr>
        <w:t> </w:t>
      </w:r>
      <w:r>
        <w:rPr>
          <w:sz w:val="20"/>
        </w:rPr>
        <w:t>the</w:t>
      </w:r>
      <w:r>
        <w:rPr>
          <w:spacing w:val="-6"/>
          <w:sz w:val="20"/>
        </w:rPr>
        <w:t> </w:t>
      </w:r>
      <w:r>
        <w:rPr>
          <w:sz w:val="20"/>
        </w:rPr>
        <w:t>duties</w:t>
      </w:r>
      <w:r>
        <w:rPr>
          <w:spacing w:val="-5"/>
          <w:sz w:val="20"/>
        </w:rPr>
        <w:t> </w:t>
      </w:r>
      <w:r>
        <w:rPr>
          <w:sz w:val="20"/>
        </w:rPr>
        <w:t>which</w:t>
      </w:r>
      <w:r>
        <w:rPr>
          <w:spacing w:val="-6"/>
          <w:sz w:val="20"/>
        </w:rPr>
        <w:t> </w:t>
      </w:r>
      <w:r>
        <w:rPr>
          <w:sz w:val="20"/>
        </w:rPr>
        <w:t>the</w:t>
      </w:r>
      <w:r>
        <w:rPr>
          <w:spacing w:val="-5"/>
          <w:sz w:val="20"/>
        </w:rPr>
        <w:t> </w:t>
      </w:r>
      <w:r>
        <w:rPr>
          <w:sz w:val="20"/>
        </w:rPr>
        <w:t>positions</w:t>
      </w:r>
      <w:r>
        <w:rPr>
          <w:spacing w:val="-5"/>
          <w:sz w:val="20"/>
        </w:rPr>
        <w:t> </w:t>
      </w:r>
      <w:r>
        <w:rPr>
          <w:spacing w:val="-2"/>
          <w:sz w:val="20"/>
        </w:rPr>
        <w:t>entail;</w:t>
      </w:r>
    </w:p>
    <w:p>
      <w:pPr>
        <w:pStyle w:val="ListParagraph"/>
        <w:numPr>
          <w:ilvl w:val="1"/>
          <w:numId w:val="31"/>
        </w:numPr>
        <w:tabs>
          <w:tab w:pos="1724" w:val="left" w:leader="none"/>
        </w:tabs>
        <w:spacing w:line="240" w:lineRule="auto" w:before="119" w:after="0"/>
        <w:ind w:left="1724" w:right="1036" w:hanging="300"/>
        <w:jc w:val="left"/>
        <w:rPr>
          <w:sz w:val="20"/>
        </w:rPr>
      </w:pPr>
      <w:r>
        <w:rPr>
          <w:sz w:val="20"/>
        </w:rPr>
        <w:t>A</w:t>
      </w:r>
      <w:r>
        <w:rPr>
          <w:spacing w:val="-14"/>
          <w:sz w:val="20"/>
        </w:rPr>
        <w:t> </w:t>
      </w:r>
      <w:r>
        <w:rPr>
          <w:sz w:val="20"/>
        </w:rPr>
        <w:t>distinction</w:t>
      </w:r>
      <w:r>
        <w:rPr>
          <w:spacing w:val="-3"/>
          <w:sz w:val="20"/>
        </w:rPr>
        <w:t> </w:t>
      </w:r>
      <w:r>
        <w:rPr>
          <w:sz w:val="20"/>
        </w:rPr>
        <w:t>between</w:t>
      </w:r>
      <w:r>
        <w:rPr>
          <w:spacing w:val="-3"/>
          <w:sz w:val="20"/>
        </w:rPr>
        <w:t> </w:t>
      </w:r>
      <w:r>
        <w:rPr>
          <w:sz w:val="20"/>
        </w:rPr>
        <w:t>lead</w:t>
      </w:r>
      <w:r>
        <w:rPr>
          <w:spacing w:val="-3"/>
          <w:sz w:val="20"/>
        </w:rPr>
        <w:t> </w:t>
      </w:r>
      <w:r>
        <w:rPr>
          <w:sz w:val="20"/>
        </w:rPr>
        <w:t>agency</w:t>
      </w:r>
      <w:r>
        <w:rPr>
          <w:spacing w:val="-3"/>
          <w:sz w:val="20"/>
        </w:rPr>
        <w:t> </w:t>
      </w:r>
      <w:r>
        <w:rPr>
          <w:sz w:val="20"/>
        </w:rPr>
        <w:t>and</w:t>
      </w:r>
      <w:r>
        <w:rPr>
          <w:spacing w:val="-3"/>
          <w:sz w:val="20"/>
        </w:rPr>
        <w:t> </w:t>
      </w:r>
      <w:r>
        <w:rPr>
          <w:sz w:val="20"/>
        </w:rPr>
        <w:t>ICC</w:t>
      </w:r>
      <w:r>
        <w:rPr>
          <w:spacing w:val="-4"/>
          <w:sz w:val="20"/>
        </w:rPr>
        <w:t> </w:t>
      </w:r>
      <w:r>
        <w:rPr>
          <w:sz w:val="20"/>
        </w:rPr>
        <w:t>roles:</w:t>
      </w:r>
      <w:r>
        <w:rPr>
          <w:spacing w:val="40"/>
          <w:sz w:val="20"/>
        </w:rPr>
        <w:t> </w:t>
      </w:r>
      <w:r>
        <w:rPr>
          <w:sz w:val="20"/>
        </w:rPr>
        <w:t>insert</w:t>
      </w:r>
      <w:r>
        <w:rPr>
          <w:spacing w:val="-3"/>
          <w:sz w:val="20"/>
        </w:rPr>
        <w:t> </w:t>
      </w:r>
      <w:r>
        <w:rPr>
          <w:sz w:val="20"/>
        </w:rPr>
        <w:t>(LA)</w:t>
      </w:r>
      <w:r>
        <w:rPr>
          <w:spacing w:val="-3"/>
          <w:sz w:val="20"/>
        </w:rPr>
        <w:t> </w:t>
      </w:r>
      <w:r>
        <w:rPr>
          <w:sz w:val="20"/>
        </w:rPr>
        <w:t>or</w:t>
      </w:r>
      <w:r>
        <w:rPr>
          <w:spacing w:val="-3"/>
          <w:sz w:val="20"/>
        </w:rPr>
        <w:t> </w:t>
      </w:r>
      <w:r>
        <w:rPr>
          <w:sz w:val="20"/>
        </w:rPr>
        <w:t>(ICC)</w:t>
      </w:r>
      <w:r>
        <w:rPr>
          <w:spacing w:val="-4"/>
          <w:sz w:val="20"/>
        </w:rPr>
        <w:t> </w:t>
      </w:r>
      <w:r>
        <w:rPr>
          <w:sz w:val="20"/>
        </w:rPr>
        <w:t>in</w:t>
      </w:r>
      <w:r>
        <w:rPr>
          <w:spacing w:val="-3"/>
          <w:sz w:val="20"/>
        </w:rPr>
        <w:t> </w:t>
      </w:r>
      <w:r>
        <w:rPr>
          <w:sz w:val="20"/>
        </w:rPr>
        <w:t>the</w:t>
      </w:r>
      <w:r>
        <w:rPr>
          <w:spacing w:val="-3"/>
          <w:sz w:val="20"/>
        </w:rPr>
        <w:t> </w:t>
      </w:r>
      <w:r>
        <w:rPr>
          <w:sz w:val="20"/>
        </w:rPr>
        <w:t>“Description</w:t>
      </w:r>
      <w:r>
        <w:rPr>
          <w:spacing w:val="-3"/>
          <w:sz w:val="20"/>
        </w:rPr>
        <w:t> </w:t>
      </w:r>
      <w:r>
        <w:rPr>
          <w:sz w:val="20"/>
        </w:rPr>
        <w:t>of Duties;” after each position; and</w:t>
      </w:r>
    </w:p>
    <w:p>
      <w:pPr>
        <w:pStyle w:val="ListParagraph"/>
        <w:numPr>
          <w:ilvl w:val="1"/>
          <w:numId w:val="31"/>
        </w:numPr>
        <w:tabs>
          <w:tab w:pos="1724" w:val="left" w:leader="none"/>
        </w:tabs>
        <w:spacing w:line="240" w:lineRule="auto" w:before="116" w:after="0"/>
        <w:ind w:left="1724" w:right="0" w:hanging="299"/>
        <w:jc w:val="left"/>
        <w:rPr>
          <w:sz w:val="20"/>
        </w:rPr>
      </w:pPr>
      <w:r>
        <w:rPr>
          <w:sz w:val="20"/>
        </w:rPr>
        <w:t>A</w:t>
      </w:r>
      <w:r>
        <w:rPr>
          <w:spacing w:val="-14"/>
          <w:sz w:val="20"/>
        </w:rPr>
        <w:t> </w:t>
      </w:r>
      <w:r>
        <w:rPr>
          <w:sz w:val="20"/>
        </w:rPr>
        <w:t>subtotal</w:t>
      </w:r>
      <w:r>
        <w:rPr>
          <w:spacing w:val="-5"/>
          <w:sz w:val="20"/>
        </w:rPr>
        <w:t> </w:t>
      </w:r>
      <w:r>
        <w:rPr>
          <w:sz w:val="20"/>
        </w:rPr>
        <w:t>of</w:t>
      </w:r>
      <w:r>
        <w:rPr>
          <w:spacing w:val="-4"/>
          <w:sz w:val="20"/>
        </w:rPr>
        <w:t> </w:t>
      </w:r>
      <w:r>
        <w:rPr>
          <w:sz w:val="20"/>
        </w:rPr>
        <w:t>the</w:t>
      </w:r>
      <w:r>
        <w:rPr>
          <w:spacing w:val="-3"/>
          <w:sz w:val="20"/>
        </w:rPr>
        <w:t> </w:t>
      </w:r>
      <w:r>
        <w:rPr>
          <w:spacing w:val="-2"/>
          <w:sz w:val="20"/>
        </w:rPr>
        <w:t>amount.</w:t>
      </w:r>
    </w:p>
    <w:p>
      <w:pPr>
        <w:pStyle w:val="BodyText"/>
        <w:spacing w:before="119"/>
        <w:ind w:left="1070" w:right="798"/>
      </w:pPr>
      <w:r>
        <w:rPr/>
        <w:t>Identify</w:t>
      </w:r>
      <w:r>
        <w:rPr>
          <w:spacing w:val="-3"/>
        </w:rPr>
        <w:t> </w:t>
      </w:r>
      <w:r>
        <w:rPr/>
        <w:t>any</w:t>
      </w:r>
      <w:r>
        <w:rPr>
          <w:spacing w:val="-3"/>
        </w:rPr>
        <w:t> </w:t>
      </w:r>
      <w:r>
        <w:rPr/>
        <w:t>administrative</w:t>
      </w:r>
      <w:r>
        <w:rPr>
          <w:spacing w:val="-3"/>
        </w:rPr>
        <w:t> </w:t>
      </w:r>
      <w:r>
        <w:rPr/>
        <w:t>positions</w:t>
      </w:r>
      <w:r>
        <w:rPr>
          <w:spacing w:val="-3"/>
        </w:rPr>
        <w:t> </w:t>
      </w:r>
      <w:r>
        <w:rPr/>
        <w:t>for</w:t>
      </w:r>
      <w:r>
        <w:rPr>
          <w:spacing w:val="-3"/>
        </w:rPr>
        <w:t> </w:t>
      </w:r>
      <w:r>
        <w:rPr/>
        <w:t>which</w:t>
      </w:r>
      <w:r>
        <w:rPr>
          <w:spacing w:val="-3"/>
        </w:rPr>
        <w:t> </w:t>
      </w:r>
      <w:r>
        <w:rPr/>
        <w:t>less</w:t>
      </w:r>
      <w:r>
        <w:rPr>
          <w:spacing w:val="-3"/>
        </w:rPr>
        <w:t> </w:t>
      </w:r>
      <w:r>
        <w:rPr/>
        <w:t>than</w:t>
      </w:r>
      <w:r>
        <w:rPr>
          <w:spacing w:val="-3"/>
        </w:rPr>
        <w:t> </w:t>
      </w:r>
      <w:r>
        <w:rPr/>
        <w:t>100%</w:t>
      </w:r>
      <w:r>
        <w:rPr>
          <w:spacing w:val="-4"/>
        </w:rPr>
        <w:t> </w:t>
      </w:r>
      <w:r>
        <w:rPr/>
        <w:t>of</w:t>
      </w:r>
      <w:r>
        <w:rPr>
          <w:spacing w:val="-3"/>
        </w:rPr>
        <w:t> </w:t>
      </w:r>
      <w:r>
        <w:rPr/>
        <w:t>the</w:t>
      </w:r>
      <w:r>
        <w:rPr>
          <w:spacing w:val="-3"/>
        </w:rPr>
        <w:t> </w:t>
      </w:r>
      <w:r>
        <w:rPr/>
        <w:t>time</w:t>
      </w:r>
      <w:r>
        <w:rPr>
          <w:spacing w:val="-3"/>
        </w:rPr>
        <w:t> </w:t>
      </w:r>
      <w:r>
        <w:rPr/>
        <w:t>is</w:t>
      </w:r>
      <w:r>
        <w:rPr>
          <w:spacing w:val="-3"/>
        </w:rPr>
        <w:t> </w:t>
      </w:r>
      <w:r>
        <w:rPr/>
        <w:t>spent</w:t>
      </w:r>
      <w:r>
        <w:rPr>
          <w:spacing w:val="-3"/>
        </w:rPr>
        <w:t> </w:t>
      </w:r>
      <w:r>
        <w:rPr/>
        <w:t>on</w:t>
      </w:r>
      <w:r>
        <w:rPr>
          <w:spacing w:val="-3"/>
        </w:rPr>
        <w:t> </w:t>
      </w:r>
      <w:r>
        <w:rPr/>
        <w:t>Part</w:t>
      </w:r>
      <w:r>
        <w:rPr>
          <w:spacing w:val="-3"/>
        </w:rPr>
        <w:t> </w:t>
      </w:r>
      <w:r>
        <w:rPr/>
        <w:t>C</w:t>
      </w:r>
      <w:r>
        <w:rPr>
          <w:spacing w:val="-4"/>
        </w:rPr>
        <w:t> </w:t>
      </w:r>
      <w:r>
        <w:rPr/>
        <w:t>and,</w:t>
      </w:r>
      <w:r>
        <w:rPr>
          <w:spacing w:val="-3"/>
        </w:rPr>
        <w:t> </w:t>
      </w:r>
      <w:r>
        <w:rPr/>
        <w:t>for each such position, indicate the percentage of time spent on Part C and the total amount of salary and fringe benefits included in the Part C application budget.</w:t>
      </w:r>
    </w:p>
    <w:p>
      <w:pPr>
        <w:pStyle w:val="BodyText"/>
        <w:spacing w:before="121" w:after="1"/>
      </w:pPr>
    </w:p>
    <w:tbl>
      <w:tblPr>
        <w:tblW w:w="0" w:type="auto"/>
        <w:jc w:val="left"/>
        <w:tblInd w:w="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2"/>
        <w:gridCol w:w="1133"/>
        <w:gridCol w:w="1474"/>
        <w:gridCol w:w="5271"/>
      </w:tblGrid>
      <w:tr>
        <w:trPr>
          <w:trHeight w:val="781" w:hRule="atLeast"/>
        </w:trPr>
        <w:tc>
          <w:tcPr>
            <w:tcW w:w="1522" w:type="dxa"/>
          </w:tcPr>
          <w:p>
            <w:pPr>
              <w:pStyle w:val="TableParagraph"/>
              <w:spacing w:before="157"/>
              <w:ind w:left="400" w:right="218" w:hanging="90"/>
              <w:rPr>
                <w:b/>
                <w:sz w:val="20"/>
              </w:rPr>
            </w:pPr>
            <w:r>
              <w:rPr>
                <w:b/>
                <w:spacing w:val="-2"/>
                <w:sz w:val="20"/>
              </w:rPr>
              <w:t>Positions Funded</w:t>
            </w:r>
          </w:p>
        </w:tc>
        <w:tc>
          <w:tcPr>
            <w:tcW w:w="1133" w:type="dxa"/>
          </w:tcPr>
          <w:p>
            <w:pPr>
              <w:pStyle w:val="TableParagraph"/>
              <w:spacing w:before="42"/>
              <w:ind w:left="114" w:right="96" w:firstLine="1"/>
              <w:jc w:val="center"/>
              <w:rPr>
                <w:b/>
                <w:sz w:val="20"/>
              </w:rPr>
            </w:pPr>
            <w:r>
              <w:rPr>
                <w:b/>
                <w:spacing w:val="-2"/>
                <w:sz w:val="20"/>
              </w:rPr>
              <w:t>Number </w:t>
            </w:r>
            <w:r>
              <w:rPr>
                <w:b/>
                <w:spacing w:val="-6"/>
                <w:sz w:val="20"/>
              </w:rPr>
              <w:t>of </w:t>
            </w:r>
            <w:r>
              <w:rPr>
                <w:b/>
                <w:spacing w:val="-2"/>
                <w:sz w:val="20"/>
              </w:rPr>
              <w:t>Positions</w:t>
            </w:r>
          </w:p>
        </w:tc>
        <w:tc>
          <w:tcPr>
            <w:tcW w:w="1474" w:type="dxa"/>
          </w:tcPr>
          <w:p>
            <w:pPr>
              <w:pStyle w:val="TableParagraph"/>
              <w:spacing w:before="42"/>
              <w:rPr>
                <w:sz w:val="20"/>
              </w:rPr>
            </w:pPr>
          </w:p>
          <w:p>
            <w:pPr>
              <w:pStyle w:val="TableParagraph"/>
              <w:spacing w:before="1"/>
              <w:ind w:left="353"/>
              <w:rPr>
                <w:b/>
                <w:sz w:val="20"/>
              </w:rPr>
            </w:pPr>
            <w:r>
              <w:rPr>
                <w:b/>
                <w:spacing w:val="-2"/>
                <w:sz w:val="20"/>
              </w:rPr>
              <w:t>Salaries</w:t>
            </w:r>
          </w:p>
        </w:tc>
        <w:tc>
          <w:tcPr>
            <w:tcW w:w="5271" w:type="dxa"/>
          </w:tcPr>
          <w:p>
            <w:pPr>
              <w:pStyle w:val="TableParagraph"/>
              <w:spacing w:before="42"/>
              <w:rPr>
                <w:sz w:val="20"/>
              </w:rPr>
            </w:pPr>
          </w:p>
          <w:p>
            <w:pPr>
              <w:pStyle w:val="TableParagraph"/>
              <w:spacing w:before="1"/>
              <w:ind w:left="1627"/>
              <w:rPr>
                <w:b/>
                <w:sz w:val="20"/>
              </w:rPr>
            </w:pPr>
            <w:r>
              <w:rPr>
                <w:b/>
                <w:sz w:val="20"/>
              </w:rPr>
              <w:t>Description</w:t>
            </w:r>
            <w:r>
              <w:rPr>
                <w:b/>
                <w:spacing w:val="-7"/>
                <w:sz w:val="20"/>
              </w:rPr>
              <w:t> </w:t>
            </w:r>
            <w:r>
              <w:rPr>
                <w:b/>
                <w:sz w:val="20"/>
              </w:rPr>
              <w:t>of</w:t>
            </w:r>
            <w:r>
              <w:rPr>
                <w:b/>
                <w:spacing w:val="-7"/>
                <w:sz w:val="20"/>
              </w:rPr>
              <w:t> </w:t>
            </w:r>
            <w:r>
              <w:rPr>
                <w:b/>
                <w:spacing w:val="-2"/>
                <w:sz w:val="20"/>
              </w:rPr>
              <w:t>Duties</w:t>
            </w:r>
          </w:p>
        </w:tc>
      </w:tr>
    </w:tbl>
    <w:p>
      <w:pPr>
        <w:pStyle w:val="BodyText"/>
        <w:spacing w:before="38"/>
      </w:pPr>
    </w:p>
    <w:tbl>
      <w:tblPr>
        <w:tblW w:w="0" w:type="auto"/>
        <w:jc w:val="left"/>
        <w:tblInd w:w="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2"/>
        <w:gridCol w:w="1133"/>
        <w:gridCol w:w="1474"/>
        <w:gridCol w:w="5271"/>
      </w:tblGrid>
      <w:tr>
        <w:trPr>
          <w:trHeight w:val="781" w:hRule="atLeast"/>
        </w:trPr>
        <w:tc>
          <w:tcPr>
            <w:tcW w:w="9400" w:type="dxa"/>
            <w:gridSpan w:val="4"/>
          </w:tcPr>
          <w:p>
            <w:pPr>
              <w:pStyle w:val="TableParagraph"/>
              <w:spacing w:before="157"/>
              <w:ind w:left="52" w:right="28"/>
              <w:jc w:val="center"/>
              <w:rPr>
                <w:b/>
                <w:sz w:val="20"/>
              </w:rPr>
            </w:pPr>
            <w:r>
              <w:rPr>
                <w:b/>
                <w:sz w:val="20"/>
              </w:rPr>
              <w:t>100%</w:t>
            </w:r>
            <w:r>
              <w:rPr>
                <w:b/>
                <w:spacing w:val="-6"/>
                <w:sz w:val="20"/>
              </w:rPr>
              <w:t> </w:t>
            </w:r>
            <w:r>
              <w:rPr>
                <w:b/>
                <w:sz w:val="20"/>
              </w:rPr>
              <w:t>funded</w:t>
            </w:r>
            <w:r>
              <w:rPr>
                <w:b/>
                <w:spacing w:val="-6"/>
                <w:sz w:val="20"/>
              </w:rPr>
              <w:t> </w:t>
            </w:r>
            <w:r>
              <w:rPr>
                <w:b/>
                <w:sz w:val="20"/>
              </w:rPr>
              <w:t>with</w:t>
            </w:r>
            <w:r>
              <w:rPr>
                <w:b/>
                <w:spacing w:val="-6"/>
                <w:sz w:val="20"/>
              </w:rPr>
              <w:t> </w:t>
            </w:r>
            <w:r>
              <w:rPr>
                <w:b/>
                <w:sz w:val="20"/>
              </w:rPr>
              <w:t>Part</w:t>
            </w:r>
            <w:r>
              <w:rPr>
                <w:b/>
                <w:spacing w:val="-5"/>
                <w:sz w:val="20"/>
              </w:rPr>
              <w:t> </w:t>
            </w:r>
            <w:r>
              <w:rPr>
                <w:b/>
                <w:sz w:val="20"/>
              </w:rPr>
              <w:t>C</w:t>
            </w:r>
            <w:r>
              <w:rPr>
                <w:b/>
                <w:spacing w:val="-5"/>
                <w:sz w:val="20"/>
              </w:rPr>
              <w:t> </w:t>
            </w:r>
            <w:r>
              <w:rPr>
                <w:b/>
                <w:spacing w:val="-2"/>
                <w:sz w:val="20"/>
              </w:rPr>
              <w:t>Funds</w:t>
            </w:r>
          </w:p>
        </w:tc>
      </w:tr>
      <w:tr>
        <w:trPr>
          <w:trHeight w:val="2173" w:hRule="atLeast"/>
        </w:trPr>
        <w:tc>
          <w:tcPr>
            <w:tcW w:w="1522" w:type="dxa"/>
          </w:tcPr>
          <w:p>
            <w:pPr>
              <w:pStyle w:val="TableParagraph"/>
              <w:rPr>
                <w:sz w:val="18"/>
              </w:rPr>
            </w:pPr>
          </w:p>
          <w:p>
            <w:pPr>
              <w:pStyle w:val="TableParagraph"/>
              <w:rPr>
                <w:sz w:val="18"/>
              </w:rPr>
            </w:pPr>
          </w:p>
          <w:p>
            <w:pPr>
              <w:pStyle w:val="TableParagraph"/>
              <w:rPr>
                <w:sz w:val="18"/>
              </w:rPr>
            </w:pPr>
          </w:p>
          <w:p>
            <w:pPr>
              <w:pStyle w:val="TableParagraph"/>
              <w:spacing w:before="49"/>
              <w:rPr>
                <w:sz w:val="18"/>
              </w:rPr>
            </w:pPr>
          </w:p>
          <w:p>
            <w:pPr>
              <w:pStyle w:val="TableParagraph"/>
              <w:ind w:left="291" w:firstLine="215"/>
              <w:rPr>
                <w:sz w:val="18"/>
              </w:rPr>
            </w:pPr>
            <w:r>
              <w:rPr>
                <w:sz w:val="18"/>
              </w:rPr>
              <w:t>Part C </w:t>
            </w:r>
            <w:r>
              <w:rPr>
                <w:spacing w:val="-2"/>
                <w:sz w:val="18"/>
              </w:rPr>
              <w:t>Coordinator</w:t>
            </w:r>
          </w:p>
        </w:tc>
        <w:tc>
          <w:tcPr>
            <w:tcW w:w="1133" w:type="dxa"/>
          </w:tcPr>
          <w:p>
            <w:pPr>
              <w:pStyle w:val="TableParagraph"/>
              <w:rPr>
                <w:sz w:val="18"/>
              </w:rPr>
            </w:pPr>
          </w:p>
          <w:p>
            <w:pPr>
              <w:pStyle w:val="TableParagraph"/>
              <w:rPr>
                <w:sz w:val="18"/>
              </w:rPr>
            </w:pPr>
          </w:p>
          <w:p>
            <w:pPr>
              <w:pStyle w:val="TableParagraph"/>
              <w:rPr>
                <w:sz w:val="18"/>
              </w:rPr>
            </w:pPr>
          </w:p>
          <w:p>
            <w:pPr>
              <w:pStyle w:val="TableParagraph"/>
              <w:spacing w:before="154"/>
              <w:rPr>
                <w:sz w:val="18"/>
              </w:rPr>
            </w:pPr>
          </w:p>
          <w:p>
            <w:pPr>
              <w:pStyle w:val="TableParagraph"/>
              <w:spacing w:before="1"/>
              <w:ind w:left="17"/>
              <w:jc w:val="center"/>
              <w:rPr>
                <w:sz w:val="18"/>
              </w:rPr>
            </w:pPr>
            <w:r>
              <w:rPr>
                <w:spacing w:val="-10"/>
                <w:sz w:val="18"/>
              </w:rPr>
              <w:t>1</w:t>
            </w:r>
          </w:p>
        </w:tc>
        <w:tc>
          <w:tcPr>
            <w:tcW w:w="1474" w:type="dxa"/>
          </w:tcPr>
          <w:p>
            <w:pPr>
              <w:pStyle w:val="TableParagraph"/>
              <w:rPr>
                <w:sz w:val="18"/>
              </w:rPr>
            </w:pPr>
          </w:p>
          <w:p>
            <w:pPr>
              <w:pStyle w:val="TableParagraph"/>
              <w:rPr>
                <w:sz w:val="18"/>
              </w:rPr>
            </w:pPr>
          </w:p>
          <w:p>
            <w:pPr>
              <w:pStyle w:val="TableParagraph"/>
              <w:rPr>
                <w:sz w:val="18"/>
              </w:rPr>
            </w:pPr>
          </w:p>
          <w:p>
            <w:pPr>
              <w:pStyle w:val="TableParagraph"/>
              <w:spacing w:before="154"/>
              <w:rPr>
                <w:sz w:val="18"/>
              </w:rPr>
            </w:pPr>
          </w:p>
          <w:p>
            <w:pPr>
              <w:pStyle w:val="TableParagraph"/>
              <w:spacing w:before="1"/>
              <w:ind w:left="22" w:right="2"/>
              <w:jc w:val="center"/>
              <w:rPr>
                <w:sz w:val="18"/>
              </w:rPr>
            </w:pPr>
            <w:r>
              <w:rPr>
                <w:spacing w:val="-2"/>
                <w:sz w:val="18"/>
              </w:rPr>
              <w:t>$114,993</w:t>
            </w:r>
          </w:p>
        </w:tc>
        <w:tc>
          <w:tcPr>
            <w:tcW w:w="5271" w:type="dxa"/>
          </w:tcPr>
          <w:p>
            <w:pPr>
              <w:pStyle w:val="TableParagraph"/>
              <w:spacing w:before="50"/>
              <w:rPr>
                <w:sz w:val="18"/>
              </w:rPr>
            </w:pPr>
          </w:p>
          <w:p>
            <w:pPr>
              <w:pStyle w:val="TableParagraph"/>
              <w:spacing w:before="1"/>
              <w:ind w:left="104" w:right="104"/>
              <w:rPr>
                <w:sz w:val="18"/>
              </w:rPr>
            </w:pPr>
            <w:r>
              <w:rPr>
                <w:sz w:val="18"/>
              </w:rPr>
              <w:t>Part C Coordinator is responsible for the overall management and operation of the Massachusetts' Early Intervention system. Major responsibilities include supervision of senior level early intervention staff, inter and inter-agency relationships and supervisory oversight of contracting, reimbursement, and programmatic systems. Serves as a senior leader in the</w:t>
            </w:r>
            <w:r>
              <w:rPr>
                <w:spacing w:val="40"/>
                <w:sz w:val="18"/>
              </w:rPr>
              <w:t> </w:t>
            </w:r>
            <w:r>
              <w:rPr>
                <w:sz w:val="18"/>
              </w:rPr>
              <w:t>Bureau to ensure appropriate connections and supports for the early</w:t>
            </w:r>
            <w:r>
              <w:rPr>
                <w:spacing w:val="-5"/>
                <w:sz w:val="18"/>
              </w:rPr>
              <w:t> </w:t>
            </w:r>
            <w:r>
              <w:rPr>
                <w:sz w:val="18"/>
              </w:rPr>
              <w:t>childhood</w:t>
            </w:r>
            <w:r>
              <w:rPr>
                <w:spacing w:val="-5"/>
                <w:sz w:val="18"/>
              </w:rPr>
              <w:t> </w:t>
            </w:r>
            <w:r>
              <w:rPr>
                <w:sz w:val="18"/>
              </w:rPr>
              <w:t>system</w:t>
            </w:r>
            <w:r>
              <w:rPr>
                <w:spacing w:val="-6"/>
                <w:sz w:val="18"/>
              </w:rPr>
              <w:t> </w:t>
            </w:r>
            <w:r>
              <w:rPr>
                <w:sz w:val="18"/>
              </w:rPr>
              <w:t>of</w:t>
            </w:r>
            <w:r>
              <w:rPr>
                <w:spacing w:val="-4"/>
                <w:sz w:val="18"/>
              </w:rPr>
              <w:t> </w:t>
            </w:r>
            <w:r>
              <w:rPr>
                <w:sz w:val="18"/>
              </w:rPr>
              <w:t>care</w:t>
            </w:r>
            <w:r>
              <w:rPr>
                <w:spacing w:val="-5"/>
                <w:sz w:val="18"/>
              </w:rPr>
              <w:t> </w:t>
            </w:r>
            <w:r>
              <w:rPr>
                <w:sz w:val="18"/>
              </w:rPr>
              <w:t>across</w:t>
            </w:r>
            <w:r>
              <w:rPr>
                <w:spacing w:val="-5"/>
                <w:sz w:val="18"/>
              </w:rPr>
              <w:t> </w:t>
            </w:r>
            <w:r>
              <w:rPr>
                <w:sz w:val="18"/>
              </w:rPr>
              <w:t>the</w:t>
            </w:r>
            <w:r>
              <w:rPr>
                <w:spacing w:val="-5"/>
                <w:sz w:val="18"/>
              </w:rPr>
              <w:t> </w:t>
            </w:r>
            <w:r>
              <w:rPr>
                <w:sz w:val="18"/>
              </w:rPr>
              <w:t>Commonwealth.</w:t>
            </w:r>
            <w:r>
              <w:rPr>
                <w:spacing w:val="-4"/>
                <w:sz w:val="18"/>
              </w:rPr>
              <w:t> </w:t>
            </w:r>
            <w:r>
              <w:rPr>
                <w:sz w:val="18"/>
              </w:rPr>
              <w:t>(LA)</w:t>
            </w:r>
          </w:p>
        </w:tc>
      </w:tr>
      <w:tr>
        <w:trPr>
          <w:trHeight w:val="733" w:hRule="atLeast"/>
        </w:trPr>
        <w:tc>
          <w:tcPr>
            <w:tcW w:w="1522" w:type="dxa"/>
          </w:tcPr>
          <w:p>
            <w:pPr>
              <w:pStyle w:val="TableParagraph"/>
              <w:spacing w:before="162"/>
              <w:ind w:left="406" w:right="379" w:firstLine="35"/>
              <w:rPr>
                <w:sz w:val="18"/>
              </w:rPr>
            </w:pPr>
            <w:r>
              <w:rPr>
                <w:spacing w:val="-2"/>
                <w:sz w:val="18"/>
              </w:rPr>
              <w:t>Finance Manager</w:t>
            </w:r>
          </w:p>
        </w:tc>
        <w:tc>
          <w:tcPr>
            <w:tcW w:w="1133" w:type="dxa"/>
          </w:tcPr>
          <w:p>
            <w:pPr>
              <w:pStyle w:val="TableParagraph"/>
              <w:spacing w:before="55"/>
              <w:rPr>
                <w:sz w:val="18"/>
              </w:rPr>
            </w:pPr>
          </w:p>
          <w:p>
            <w:pPr>
              <w:pStyle w:val="TableParagraph"/>
              <w:ind w:left="17"/>
              <w:jc w:val="center"/>
              <w:rPr>
                <w:sz w:val="18"/>
              </w:rPr>
            </w:pPr>
            <w:r>
              <w:rPr>
                <w:spacing w:val="-10"/>
                <w:sz w:val="18"/>
              </w:rPr>
              <w:t>1</w:t>
            </w:r>
          </w:p>
        </w:tc>
        <w:tc>
          <w:tcPr>
            <w:tcW w:w="1474" w:type="dxa"/>
          </w:tcPr>
          <w:p>
            <w:pPr>
              <w:pStyle w:val="TableParagraph"/>
              <w:spacing w:before="55"/>
              <w:rPr>
                <w:sz w:val="18"/>
              </w:rPr>
            </w:pPr>
          </w:p>
          <w:p>
            <w:pPr>
              <w:pStyle w:val="TableParagraph"/>
              <w:ind w:left="22" w:right="2"/>
              <w:jc w:val="center"/>
              <w:rPr>
                <w:sz w:val="18"/>
              </w:rPr>
            </w:pPr>
            <w:r>
              <w:rPr>
                <w:spacing w:val="-2"/>
                <w:sz w:val="18"/>
              </w:rPr>
              <w:t>$95,000</w:t>
            </w:r>
          </w:p>
        </w:tc>
        <w:tc>
          <w:tcPr>
            <w:tcW w:w="5271" w:type="dxa"/>
          </w:tcPr>
          <w:p>
            <w:pPr>
              <w:pStyle w:val="TableParagraph"/>
              <w:spacing w:before="56"/>
              <w:ind w:left="104"/>
              <w:rPr>
                <w:sz w:val="18"/>
              </w:rPr>
            </w:pPr>
            <w:r>
              <w:rPr>
                <w:sz w:val="18"/>
              </w:rPr>
              <w:t>The</w:t>
            </w:r>
            <w:r>
              <w:rPr>
                <w:spacing w:val="-5"/>
                <w:sz w:val="18"/>
              </w:rPr>
              <w:t> </w:t>
            </w:r>
            <w:r>
              <w:rPr>
                <w:sz w:val="18"/>
              </w:rPr>
              <w:t>Finance</w:t>
            </w:r>
            <w:r>
              <w:rPr>
                <w:spacing w:val="-5"/>
                <w:sz w:val="18"/>
              </w:rPr>
              <w:t> </w:t>
            </w:r>
            <w:r>
              <w:rPr>
                <w:sz w:val="18"/>
              </w:rPr>
              <w:t>Manager</w:t>
            </w:r>
            <w:r>
              <w:rPr>
                <w:spacing w:val="-4"/>
                <w:sz w:val="18"/>
              </w:rPr>
              <w:t> </w:t>
            </w:r>
            <w:r>
              <w:rPr>
                <w:sz w:val="18"/>
              </w:rPr>
              <w:t>oversees</w:t>
            </w:r>
            <w:r>
              <w:rPr>
                <w:spacing w:val="-5"/>
                <w:sz w:val="18"/>
              </w:rPr>
              <w:t> </w:t>
            </w:r>
            <w:r>
              <w:rPr>
                <w:sz w:val="18"/>
              </w:rPr>
              <w:t>all</w:t>
            </w:r>
            <w:r>
              <w:rPr>
                <w:spacing w:val="-4"/>
                <w:sz w:val="18"/>
              </w:rPr>
              <w:t> </w:t>
            </w:r>
            <w:r>
              <w:rPr>
                <w:sz w:val="18"/>
              </w:rPr>
              <w:t>fiscal</w:t>
            </w:r>
            <w:r>
              <w:rPr>
                <w:spacing w:val="-4"/>
                <w:sz w:val="18"/>
              </w:rPr>
              <w:t> </w:t>
            </w:r>
            <w:r>
              <w:rPr>
                <w:sz w:val="18"/>
              </w:rPr>
              <w:t>aspects</w:t>
            </w:r>
            <w:r>
              <w:rPr>
                <w:spacing w:val="-5"/>
                <w:sz w:val="18"/>
              </w:rPr>
              <w:t> </w:t>
            </w:r>
            <w:r>
              <w:rPr>
                <w:sz w:val="18"/>
              </w:rPr>
              <w:t>of</w:t>
            </w:r>
            <w:r>
              <w:rPr>
                <w:spacing w:val="-4"/>
                <w:sz w:val="18"/>
              </w:rPr>
              <w:t> </w:t>
            </w:r>
            <w:r>
              <w:rPr>
                <w:sz w:val="18"/>
              </w:rPr>
              <w:t>the</w:t>
            </w:r>
            <w:r>
              <w:rPr>
                <w:spacing w:val="-5"/>
                <w:sz w:val="18"/>
              </w:rPr>
              <w:t> </w:t>
            </w:r>
            <w:r>
              <w:rPr>
                <w:sz w:val="18"/>
              </w:rPr>
              <w:t>Part</w:t>
            </w:r>
            <w:r>
              <w:rPr>
                <w:spacing w:val="-4"/>
                <w:sz w:val="18"/>
              </w:rPr>
              <w:t> </w:t>
            </w:r>
            <w:r>
              <w:rPr>
                <w:sz w:val="18"/>
              </w:rPr>
              <w:t>C program’s financial strategy, planning, and analysis. This is a new position for FFY22 and is currently vacant. (LA)</w:t>
            </w:r>
          </w:p>
        </w:tc>
      </w:tr>
      <w:tr>
        <w:trPr>
          <w:trHeight w:val="738" w:hRule="atLeast"/>
        </w:trPr>
        <w:tc>
          <w:tcPr>
            <w:tcW w:w="1522" w:type="dxa"/>
          </w:tcPr>
          <w:p>
            <w:pPr>
              <w:pStyle w:val="TableParagraph"/>
              <w:spacing w:before="162"/>
              <w:ind w:left="446" w:right="218" w:hanging="51"/>
              <w:rPr>
                <w:sz w:val="18"/>
              </w:rPr>
            </w:pPr>
            <w:r>
              <w:rPr>
                <w:spacing w:val="-2"/>
                <w:sz w:val="18"/>
              </w:rPr>
              <w:t>Assistant Director</w:t>
            </w:r>
          </w:p>
        </w:tc>
        <w:tc>
          <w:tcPr>
            <w:tcW w:w="1133" w:type="dxa"/>
          </w:tcPr>
          <w:p>
            <w:pPr>
              <w:pStyle w:val="TableParagraph"/>
              <w:spacing w:before="55"/>
              <w:rPr>
                <w:sz w:val="18"/>
              </w:rPr>
            </w:pPr>
          </w:p>
          <w:p>
            <w:pPr>
              <w:pStyle w:val="TableParagraph"/>
              <w:ind w:left="17"/>
              <w:jc w:val="center"/>
              <w:rPr>
                <w:sz w:val="18"/>
              </w:rPr>
            </w:pPr>
            <w:r>
              <w:rPr>
                <w:spacing w:val="-10"/>
                <w:sz w:val="18"/>
              </w:rPr>
              <w:t>1</w:t>
            </w:r>
          </w:p>
        </w:tc>
        <w:tc>
          <w:tcPr>
            <w:tcW w:w="1474" w:type="dxa"/>
          </w:tcPr>
          <w:p>
            <w:pPr>
              <w:pStyle w:val="TableParagraph"/>
              <w:spacing w:before="55"/>
              <w:rPr>
                <w:sz w:val="18"/>
              </w:rPr>
            </w:pPr>
          </w:p>
          <w:p>
            <w:pPr>
              <w:pStyle w:val="TableParagraph"/>
              <w:ind w:left="22" w:right="2"/>
              <w:jc w:val="center"/>
              <w:rPr>
                <w:sz w:val="18"/>
              </w:rPr>
            </w:pPr>
            <w:r>
              <w:rPr>
                <w:spacing w:val="-2"/>
                <w:sz w:val="18"/>
              </w:rPr>
              <w:t>$104,907</w:t>
            </w:r>
          </w:p>
        </w:tc>
        <w:tc>
          <w:tcPr>
            <w:tcW w:w="5271" w:type="dxa"/>
          </w:tcPr>
          <w:p>
            <w:pPr>
              <w:pStyle w:val="TableParagraph"/>
              <w:spacing w:line="242" w:lineRule="auto" w:before="56"/>
              <w:ind w:left="104" w:right="94"/>
              <w:rPr>
                <w:sz w:val="18"/>
              </w:rPr>
            </w:pPr>
            <w:r>
              <w:rPr>
                <w:sz w:val="18"/>
              </w:rPr>
              <w:t>Assistant</w:t>
            </w:r>
            <w:r>
              <w:rPr>
                <w:spacing w:val="-5"/>
                <w:sz w:val="18"/>
              </w:rPr>
              <w:t> </w:t>
            </w:r>
            <w:r>
              <w:rPr>
                <w:sz w:val="18"/>
              </w:rPr>
              <w:t>Director</w:t>
            </w:r>
            <w:r>
              <w:rPr>
                <w:spacing w:val="-5"/>
                <w:sz w:val="18"/>
              </w:rPr>
              <w:t> </w:t>
            </w:r>
            <w:r>
              <w:rPr>
                <w:sz w:val="18"/>
              </w:rPr>
              <w:t>oversees</w:t>
            </w:r>
            <w:r>
              <w:rPr>
                <w:spacing w:val="-6"/>
                <w:sz w:val="18"/>
              </w:rPr>
              <w:t> </w:t>
            </w:r>
            <w:r>
              <w:rPr>
                <w:sz w:val="18"/>
              </w:rPr>
              <w:t>internal</w:t>
            </w:r>
            <w:r>
              <w:rPr>
                <w:spacing w:val="-5"/>
                <w:sz w:val="18"/>
              </w:rPr>
              <w:t> </w:t>
            </w:r>
            <w:r>
              <w:rPr>
                <w:sz w:val="18"/>
              </w:rPr>
              <w:t>operations</w:t>
            </w:r>
            <w:r>
              <w:rPr>
                <w:spacing w:val="-6"/>
                <w:sz w:val="18"/>
              </w:rPr>
              <w:t> </w:t>
            </w:r>
            <w:r>
              <w:rPr>
                <w:sz w:val="18"/>
              </w:rPr>
              <w:t>of</w:t>
            </w:r>
            <w:r>
              <w:rPr>
                <w:spacing w:val="-5"/>
                <w:sz w:val="18"/>
              </w:rPr>
              <w:t> </w:t>
            </w:r>
            <w:r>
              <w:rPr>
                <w:sz w:val="18"/>
              </w:rPr>
              <w:t>the</w:t>
            </w:r>
            <w:r>
              <w:rPr>
                <w:spacing w:val="-6"/>
                <w:sz w:val="18"/>
              </w:rPr>
              <w:t> </w:t>
            </w:r>
            <w:r>
              <w:rPr>
                <w:sz w:val="18"/>
              </w:rPr>
              <w:t>Part</w:t>
            </w:r>
            <w:r>
              <w:rPr>
                <w:spacing w:val="-5"/>
                <w:sz w:val="18"/>
              </w:rPr>
              <w:t> </w:t>
            </w:r>
            <w:r>
              <w:rPr>
                <w:sz w:val="18"/>
              </w:rPr>
              <w:t>C system, including human resources, IT, oversight of development of the state database. (LA)</w:t>
            </w:r>
          </w:p>
        </w:tc>
      </w:tr>
      <w:tr>
        <w:trPr>
          <w:trHeight w:val="1036" w:hRule="atLeast"/>
        </w:trPr>
        <w:tc>
          <w:tcPr>
            <w:tcW w:w="1522" w:type="dxa"/>
          </w:tcPr>
          <w:p>
            <w:pPr>
              <w:pStyle w:val="TableParagraph"/>
              <w:spacing w:before="98"/>
              <w:rPr>
                <w:sz w:val="18"/>
              </w:rPr>
            </w:pPr>
          </w:p>
          <w:p>
            <w:pPr>
              <w:pStyle w:val="TableParagraph"/>
              <w:spacing w:line="244" w:lineRule="auto" w:before="1"/>
              <w:ind w:left="291" w:right="218" w:hanging="45"/>
              <w:rPr>
                <w:sz w:val="18"/>
              </w:rPr>
            </w:pPr>
            <w:r>
              <w:rPr>
                <w:sz w:val="18"/>
              </w:rPr>
              <w:t>Due</w:t>
            </w:r>
            <w:r>
              <w:rPr>
                <w:spacing w:val="-13"/>
                <w:sz w:val="18"/>
              </w:rPr>
              <w:t> </w:t>
            </w:r>
            <w:r>
              <w:rPr>
                <w:sz w:val="18"/>
              </w:rPr>
              <w:t>Process </w:t>
            </w:r>
            <w:r>
              <w:rPr>
                <w:spacing w:val="-2"/>
                <w:sz w:val="18"/>
              </w:rPr>
              <w:t>Coordinator</w:t>
            </w:r>
          </w:p>
        </w:tc>
        <w:tc>
          <w:tcPr>
            <w:tcW w:w="1133" w:type="dxa"/>
          </w:tcPr>
          <w:p>
            <w:pPr>
              <w:pStyle w:val="TableParagraph"/>
              <w:spacing w:before="204"/>
              <w:rPr>
                <w:sz w:val="18"/>
              </w:rPr>
            </w:pPr>
          </w:p>
          <w:p>
            <w:pPr>
              <w:pStyle w:val="TableParagraph"/>
              <w:ind w:left="17"/>
              <w:jc w:val="center"/>
              <w:rPr>
                <w:sz w:val="18"/>
              </w:rPr>
            </w:pPr>
            <w:r>
              <w:rPr>
                <w:spacing w:val="-10"/>
                <w:sz w:val="18"/>
              </w:rPr>
              <w:t>1</w:t>
            </w:r>
          </w:p>
        </w:tc>
        <w:tc>
          <w:tcPr>
            <w:tcW w:w="1474" w:type="dxa"/>
          </w:tcPr>
          <w:p>
            <w:pPr>
              <w:pStyle w:val="TableParagraph"/>
              <w:spacing w:before="204"/>
              <w:rPr>
                <w:sz w:val="18"/>
              </w:rPr>
            </w:pPr>
          </w:p>
          <w:p>
            <w:pPr>
              <w:pStyle w:val="TableParagraph"/>
              <w:ind w:left="22" w:right="2"/>
              <w:jc w:val="center"/>
              <w:rPr>
                <w:sz w:val="18"/>
              </w:rPr>
            </w:pPr>
            <w:r>
              <w:rPr>
                <w:spacing w:val="-2"/>
                <w:sz w:val="18"/>
              </w:rPr>
              <w:t>$98,235</w:t>
            </w:r>
          </w:p>
        </w:tc>
        <w:tc>
          <w:tcPr>
            <w:tcW w:w="5271" w:type="dxa"/>
          </w:tcPr>
          <w:p>
            <w:pPr>
              <w:pStyle w:val="TableParagraph"/>
              <w:spacing w:line="206" w:lineRule="exact"/>
              <w:ind w:left="104" w:right="94"/>
              <w:rPr>
                <w:sz w:val="18"/>
              </w:rPr>
            </w:pPr>
            <w:r>
              <w:rPr>
                <w:sz w:val="18"/>
              </w:rPr>
              <w:t>The Due Process Coordinator oversees the Lead Agency’s procedural</w:t>
            </w:r>
            <w:r>
              <w:rPr>
                <w:spacing w:val="-6"/>
                <w:sz w:val="18"/>
              </w:rPr>
              <w:t> </w:t>
            </w:r>
            <w:r>
              <w:rPr>
                <w:sz w:val="18"/>
              </w:rPr>
              <w:t>safeguards</w:t>
            </w:r>
            <w:r>
              <w:rPr>
                <w:spacing w:val="-7"/>
                <w:sz w:val="18"/>
              </w:rPr>
              <w:t> </w:t>
            </w:r>
            <w:r>
              <w:rPr>
                <w:sz w:val="18"/>
              </w:rPr>
              <w:t>and</w:t>
            </w:r>
            <w:r>
              <w:rPr>
                <w:spacing w:val="-7"/>
                <w:sz w:val="18"/>
              </w:rPr>
              <w:t> </w:t>
            </w:r>
            <w:r>
              <w:rPr>
                <w:sz w:val="18"/>
              </w:rPr>
              <w:t>dispute</w:t>
            </w:r>
            <w:r>
              <w:rPr>
                <w:spacing w:val="-7"/>
                <w:sz w:val="18"/>
              </w:rPr>
              <w:t> </w:t>
            </w:r>
            <w:r>
              <w:rPr>
                <w:sz w:val="18"/>
              </w:rPr>
              <w:t>resolution</w:t>
            </w:r>
            <w:r>
              <w:rPr>
                <w:spacing w:val="-7"/>
                <w:sz w:val="18"/>
              </w:rPr>
              <w:t> </w:t>
            </w:r>
            <w:r>
              <w:rPr>
                <w:sz w:val="18"/>
              </w:rPr>
              <w:t>system,</w:t>
            </w:r>
            <w:r>
              <w:rPr>
                <w:spacing w:val="-6"/>
                <w:sz w:val="18"/>
              </w:rPr>
              <w:t> </w:t>
            </w:r>
            <w:r>
              <w:rPr>
                <w:sz w:val="18"/>
              </w:rPr>
              <w:t>provides technical assistance to EIS programs about procedural safeguards, and conducts investigations when parents file formal administrative complaints. (LA)</w:t>
            </w:r>
          </w:p>
        </w:tc>
      </w:tr>
    </w:tbl>
    <w:p>
      <w:pPr>
        <w:pStyle w:val="BodyText"/>
      </w:pPr>
    </w:p>
    <w:p>
      <w:pPr>
        <w:pStyle w:val="BodyText"/>
        <w:spacing w:before="21"/>
      </w:pPr>
      <w:r>
        <w:rPr/>
        <mc:AlternateContent>
          <mc:Choice Requires="wps">
            <w:drawing>
              <wp:anchor distT="0" distB="0" distL="0" distR="0" allowOverlap="1" layoutInCell="1" locked="0" behindDoc="1" simplePos="0" relativeHeight="487592960">
                <wp:simplePos x="0" y="0"/>
                <wp:positionH relativeFrom="page">
                  <wp:posOffset>917520</wp:posOffset>
                </wp:positionH>
                <wp:positionV relativeFrom="paragraph">
                  <wp:posOffset>174891</wp:posOffset>
                </wp:positionV>
                <wp:extent cx="182880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245697pt;margin-top:13.770987pt;width:144pt;height:.48pt;mso-position-horizontal-relative:page;mso-position-vertical-relative:paragraph;z-index:-15723520;mso-wrap-distance-left:0;mso-wrap-distance-right:0" id="docshape14" filled="true" fillcolor="#000000" stroked="false">
                <v:fill type="solid"/>
                <w10:wrap type="topAndBottom"/>
              </v:rect>
            </w:pict>
          </mc:Fallback>
        </mc:AlternateContent>
      </w:r>
    </w:p>
    <w:p>
      <w:pPr>
        <w:spacing w:line="288" w:lineRule="auto" w:before="90"/>
        <w:ind w:left="724" w:right="4128" w:firstLine="0"/>
        <w:jc w:val="left"/>
        <w:rPr>
          <w:sz w:val="16"/>
        </w:rPr>
      </w:pPr>
      <w:r>
        <w:rPr>
          <w:sz w:val="16"/>
          <w:vertAlign w:val="superscript"/>
        </w:rPr>
        <w:t>2</w:t>
      </w:r>
      <w:r>
        <w:rPr>
          <w:spacing w:val="-2"/>
          <w:sz w:val="16"/>
          <w:vertAlign w:val="baseline"/>
        </w:rPr>
        <w:t> </w:t>
      </w:r>
      <w:r>
        <w:rPr>
          <w:sz w:val="16"/>
          <w:vertAlign w:val="baseline"/>
        </w:rPr>
        <w:t>Federal</w:t>
      </w:r>
      <w:r>
        <w:rPr>
          <w:spacing w:val="-3"/>
          <w:sz w:val="16"/>
          <w:vertAlign w:val="baseline"/>
        </w:rPr>
        <w:t> </w:t>
      </w:r>
      <w:r>
        <w:rPr>
          <w:sz w:val="16"/>
          <w:vertAlign w:val="baseline"/>
        </w:rPr>
        <w:t>IDEA</w:t>
      </w:r>
      <w:r>
        <w:rPr>
          <w:spacing w:val="-2"/>
          <w:sz w:val="16"/>
          <w:vertAlign w:val="baseline"/>
        </w:rPr>
        <w:t> </w:t>
      </w:r>
      <w:r>
        <w:rPr>
          <w:sz w:val="16"/>
          <w:vertAlign w:val="baseline"/>
        </w:rPr>
        <w:t>Part</w:t>
      </w:r>
      <w:r>
        <w:rPr>
          <w:spacing w:val="-3"/>
          <w:sz w:val="16"/>
          <w:vertAlign w:val="baseline"/>
        </w:rPr>
        <w:t> </w:t>
      </w:r>
      <w:r>
        <w:rPr>
          <w:sz w:val="16"/>
          <w:vertAlign w:val="baseline"/>
        </w:rPr>
        <w:t>C</w:t>
      </w:r>
      <w:r>
        <w:rPr>
          <w:spacing w:val="-2"/>
          <w:sz w:val="16"/>
          <w:vertAlign w:val="baseline"/>
        </w:rPr>
        <w:t> </w:t>
      </w:r>
      <w:r>
        <w:rPr>
          <w:sz w:val="16"/>
          <w:vertAlign w:val="baseline"/>
        </w:rPr>
        <w:t>funds</w:t>
      </w:r>
      <w:r>
        <w:rPr>
          <w:spacing w:val="-3"/>
          <w:sz w:val="16"/>
          <w:vertAlign w:val="baseline"/>
        </w:rPr>
        <w:t> </w:t>
      </w:r>
      <w:r>
        <w:rPr>
          <w:sz w:val="16"/>
          <w:vertAlign w:val="baseline"/>
        </w:rPr>
        <w:t>used</w:t>
      </w:r>
      <w:r>
        <w:rPr>
          <w:spacing w:val="-3"/>
          <w:sz w:val="16"/>
          <w:vertAlign w:val="baseline"/>
        </w:rPr>
        <w:t> </w:t>
      </w:r>
      <w:r>
        <w:rPr>
          <w:sz w:val="16"/>
          <w:vertAlign w:val="baseline"/>
        </w:rPr>
        <w:t>to</w:t>
      </w:r>
      <w:r>
        <w:rPr>
          <w:spacing w:val="-3"/>
          <w:sz w:val="16"/>
          <w:vertAlign w:val="baseline"/>
        </w:rPr>
        <w:t> </w:t>
      </w:r>
      <w:r>
        <w:rPr>
          <w:sz w:val="16"/>
          <w:vertAlign w:val="baseline"/>
        </w:rPr>
        <w:t>support</w:t>
      </w:r>
      <w:r>
        <w:rPr>
          <w:spacing w:val="-3"/>
          <w:sz w:val="16"/>
          <w:vertAlign w:val="baseline"/>
        </w:rPr>
        <w:t> </w:t>
      </w:r>
      <w:r>
        <w:rPr>
          <w:sz w:val="16"/>
          <w:vertAlign w:val="baseline"/>
        </w:rPr>
        <w:t>the</w:t>
      </w:r>
      <w:r>
        <w:rPr>
          <w:spacing w:val="-3"/>
          <w:sz w:val="16"/>
          <w:vertAlign w:val="baseline"/>
        </w:rPr>
        <w:t> </w:t>
      </w:r>
      <w:r>
        <w:rPr>
          <w:sz w:val="16"/>
          <w:vertAlign w:val="baseline"/>
        </w:rPr>
        <w:t>SICC</w:t>
      </w:r>
      <w:r>
        <w:rPr>
          <w:spacing w:val="-2"/>
          <w:sz w:val="16"/>
          <w:vertAlign w:val="baseline"/>
        </w:rPr>
        <w:t> </w:t>
      </w:r>
      <w:r>
        <w:rPr>
          <w:sz w:val="16"/>
          <w:vertAlign w:val="baseline"/>
        </w:rPr>
        <w:t>must</w:t>
      </w:r>
      <w:r>
        <w:rPr>
          <w:spacing w:val="-3"/>
          <w:sz w:val="16"/>
          <w:vertAlign w:val="baseline"/>
        </w:rPr>
        <w:t> </w:t>
      </w:r>
      <w:r>
        <w:rPr>
          <w:sz w:val="16"/>
          <w:vertAlign w:val="baseline"/>
        </w:rPr>
        <w:t>meet</w:t>
      </w:r>
      <w:r>
        <w:rPr>
          <w:spacing w:val="-3"/>
          <w:sz w:val="16"/>
          <w:vertAlign w:val="baseline"/>
        </w:rPr>
        <w:t> </w:t>
      </w:r>
      <w:r>
        <w:rPr>
          <w:sz w:val="16"/>
          <w:vertAlign w:val="baseline"/>
        </w:rPr>
        <w:t>the</w:t>
      </w:r>
      <w:r>
        <w:rPr>
          <w:spacing w:val="-3"/>
          <w:sz w:val="16"/>
          <w:vertAlign w:val="baseline"/>
        </w:rPr>
        <w:t> </w:t>
      </w:r>
      <w:r>
        <w:rPr>
          <w:sz w:val="16"/>
          <w:vertAlign w:val="baseline"/>
        </w:rPr>
        <w:t>requirements of 34 CFR §303.603.</w:t>
      </w:r>
    </w:p>
    <w:p>
      <w:pPr>
        <w:spacing w:after="0" w:line="288" w:lineRule="auto"/>
        <w:jc w:val="left"/>
        <w:rPr>
          <w:sz w:val="16"/>
        </w:rPr>
        <w:sectPr>
          <w:footerReference w:type="default" r:id="rId14"/>
          <w:pgSz w:w="12240" w:h="15840"/>
          <w:pgMar w:header="0" w:footer="879" w:top="1380" w:bottom="1060" w:left="720" w:right="720"/>
          <w:pgNumType w:start="1"/>
        </w:sectPr>
      </w:pPr>
    </w:p>
    <w:tbl>
      <w:tblPr>
        <w:tblW w:w="0" w:type="auto"/>
        <w:jc w:val="left"/>
        <w:tblInd w:w="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2"/>
        <w:gridCol w:w="1133"/>
        <w:gridCol w:w="1474"/>
        <w:gridCol w:w="5271"/>
      </w:tblGrid>
      <w:tr>
        <w:trPr>
          <w:trHeight w:val="973" w:hRule="atLeast"/>
        </w:trPr>
        <w:tc>
          <w:tcPr>
            <w:tcW w:w="1522" w:type="dxa"/>
            <w:tcBorders>
              <w:top w:val="nil"/>
            </w:tcBorders>
          </w:tcPr>
          <w:p>
            <w:pPr>
              <w:pStyle w:val="TableParagraph"/>
              <w:spacing w:before="70"/>
              <w:rPr>
                <w:sz w:val="18"/>
              </w:rPr>
            </w:pPr>
          </w:p>
          <w:p>
            <w:pPr>
              <w:pStyle w:val="TableParagraph"/>
              <w:spacing w:line="244" w:lineRule="auto"/>
              <w:ind w:left="406" w:hanging="115"/>
              <w:rPr>
                <w:sz w:val="18"/>
              </w:rPr>
            </w:pPr>
            <w:r>
              <w:rPr>
                <w:sz w:val="18"/>
              </w:rPr>
              <w:t>Part</w:t>
            </w:r>
            <w:r>
              <w:rPr>
                <w:spacing w:val="-15"/>
                <w:sz w:val="18"/>
              </w:rPr>
              <w:t> </w:t>
            </w:r>
            <w:r>
              <w:rPr>
                <w:sz w:val="18"/>
              </w:rPr>
              <w:t>C</w:t>
            </w:r>
            <w:r>
              <w:rPr>
                <w:spacing w:val="-12"/>
                <w:sz w:val="18"/>
              </w:rPr>
              <w:t> </w:t>
            </w:r>
            <w:r>
              <w:rPr>
                <w:sz w:val="18"/>
              </w:rPr>
              <w:t>Data </w:t>
            </w:r>
            <w:r>
              <w:rPr>
                <w:spacing w:val="-2"/>
                <w:sz w:val="18"/>
              </w:rPr>
              <w:t>Manager</w:t>
            </w:r>
          </w:p>
        </w:tc>
        <w:tc>
          <w:tcPr>
            <w:tcW w:w="1133" w:type="dxa"/>
            <w:tcBorders>
              <w:top w:val="nil"/>
            </w:tcBorders>
          </w:tcPr>
          <w:p>
            <w:pPr>
              <w:pStyle w:val="TableParagraph"/>
              <w:spacing w:before="176"/>
              <w:rPr>
                <w:sz w:val="18"/>
              </w:rPr>
            </w:pPr>
          </w:p>
          <w:p>
            <w:pPr>
              <w:pStyle w:val="TableParagraph"/>
              <w:ind w:left="17"/>
              <w:jc w:val="center"/>
              <w:rPr>
                <w:sz w:val="18"/>
              </w:rPr>
            </w:pPr>
            <w:r>
              <w:rPr>
                <w:spacing w:val="-10"/>
                <w:sz w:val="18"/>
              </w:rPr>
              <w:t>1</w:t>
            </w:r>
          </w:p>
        </w:tc>
        <w:tc>
          <w:tcPr>
            <w:tcW w:w="1474" w:type="dxa"/>
            <w:tcBorders>
              <w:top w:val="nil"/>
            </w:tcBorders>
          </w:tcPr>
          <w:p>
            <w:pPr>
              <w:pStyle w:val="TableParagraph"/>
              <w:spacing w:before="176"/>
              <w:rPr>
                <w:sz w:val="18"/>
              </w:rPr>
            </w:pPr>
          </w:p>
          <w:p>
            <w:pPr>
              <w:pStyle w:val="TableParagraph"/>
              <w:ind w:left="22" w:right="2"/>
              <w:jc w:val="center"/>
              <w:rPr>
                <w:sz w:val="18"/>
              </w:rPr>
            </w:pPr>
            <w:r>
              <w:rPr>
                <w:spacing w:val="-2"/>
                <w:sz w:val="18"/>
              </w:rPr>
              <w:t>$100,000</w:t>
            </w:r>
          </w:p>
        </w:tc>
        <w:tc>
          <w:tcPr>
            <w:tcW w:w="5271" w:type="dxa"/>
            <w:tcBorders>
              <w:top w:val="nil"/>
            </w:tcBorders>
          </w:tcPr>
          <w:p>
            <w:pPr>
              <w:pStyle w:val="TableParagraph"/>
              <w:spacing w:before="176"/>
              <w:ind w:left="104"/>
              <w:rPr>
                <w:sz w:val="18"/>
              </w:rPr>
            </w:pPr>
            <w:r>
              <w:rPr>
                <w:sz w:val="18"/>
              </w:rPr>
              <w:t>Research &amp; Analysis Director oversees APR data, SSIP analyses,</w:t>
            </w:r>
            <w:r>
              <w:rPr>
                <w:spacing w:val="-5"/>
                <w:sz w:val="18"/>
              </w:rPr>
              <w:t> </w:t>
            </w:r>
            <w:r>
              <w:rPr>
                <w:sz w:val="18"/>
              </w:rPr>
              <w:t>and</w:t>
            </w:r>
            <w:r>
              <w:rPr>
                <w:spacing w:val="-6"/>
                <w:sz w:val="18"/>
              </w:rPr>
              <w:t> </w:t>
            </w:r>
            <w:r>
              <w:rPr>
                <w:sz w:val="18"/>
              </w:rPr>
              <w:t>compliance</w:t>
            </w:r>
            <w:r>
              <w:rPr>
                <w:spacing w:val="-6"/>
                <w:sz w:val="18"/>
              </w:rPr>
              <w:t> </w:t>
            </w:r>
            <w:r>
              <w:rPr>
                <w:sz w:val="18"/>
              </w:rPr>
              <w:t>monitoring.</w:t>
            </w:r>
            <w:r>
              <w:rPr>
                <w:spacing w:val="-5"/>
                <w:sz w:val="18"/>
              </w:rPr>
              <w:t> </w:t>
            </w:r>
            <w:r>
              <w:rPr>
                <w:sz w:val="18"/>
              </w:rPr>
              <w:t>This</w:t>
            </w:r>
            <w:r>
              <w:rPr>
                <w:spacing w:val="-6"/>
                <w:sz w:val="18"/>
              </w:rPr>
              <w:t> </w:t>
            </w:r>
            <w:r>
              <w:rPr>
                <w:sz w:val="18"/>
              </w:rPr>
              <w:t>position</w:t>
            </w:r>
            <w:r>
              <w:rPr>
                <w:spacing w:val="-6"/>
                <w:sz w:val="18"/>
              </w:rPr>
              <w:t> </w:t>
            </w:r>
            <w:r>
              <w:rPr>
                <w:sz w:val="18"/>
              </w:rPr>
              <w:t>is</w:t>
            </w:r>
            <w:r>
              <w:rPr>
                <w:spacing w:val="-6"/>
                <w:sz w:val="18"/>
              </w:rPr>
              <w:t> </w:t>
            </w:r>
            <w:r>
              <w:rPr>
                <w:sz w:val="18"/>
              </w:rPr>
              <w:t>currently fulfilled by a CDC Fellow assigned to the Lead Agency. (LA)</w:t>
            </w:r>
          </w:p>
        </w:tc>
      </w:tr>
      <w:tr>
        <w:trPr>
          <w:trHeight w:val="973" w:hRule="atLeast"/>
        </w:trPr>
        <w:tc>
          <w:tcPr>
            <w:tcW w:w="1522" w:type="dxa"/>
          </w:tcPr>
          <w:p>
            <w:pPr>
              <w:pStyle w:val="TableParagraph"/>
              <w:spacing w:before="74"/>
              <w:rPr>
                <w:sz w:val="18"/>
              </w:rPr>
            </w:pPr>
          </w:p>
          <w:p>
            <w:pPr>
              <w:pStyle w:val="TableParagraph"/>
              <w:spacing w:before="1"/>
              <w:ind w:left="406" w:right="138" w:hanging="240"/>
              <w:rPr>
                <w:sz w:val="18"/>
              </w:rPr>
            </w:pPr>
            <w:r>
              <w:rPr>
                <w:sz w:val="18"/>
              </w:rPr>
              <w:t>Clinical</w:t>
            </w:r>
            <w:r>
              <w:rPr>
                <w:spacing w:val="-13"/>
                <w:sz w:val="18"/>
              </w:rPr>
              <w:t> </w:t>
            </w:r>
            <w:r>
              <w:rPr>
                <w:sz w:val="18"/>
              </w:rPr>
              <w:t>Quality </w:t>
            </w:r>
            <w:r>
              <w:rPr>
                <w:spacing w:val="-2"/>
                <w:sz w:val="18"/>
              </w:rPr>
              <w:t>Manager</w:t>
            </w:r>
          </w:p>
        </w:tc>
        <w:tc>
          <w:tcPr>
            <w:tcW w:w="1133" w:type="dxa"/>
          </w:tcPr>
          <w:p>
            <w:pPr>
              <w:pStyle w:val="TableParagraph"/>
              <w:spacing w:before="175"/>
              <w:rPr>
                <w:sz w:val="18"/>
              </w:rPr>
            </w:pPr>
          </w:p>
          <w:p>
            <w:pPr>
              <w:pStyle w:val="TableParagraph"/>
              <w:ind w:left="17"/>
              <w:jc w:val="center"/>
              <w:rPr>
                <w:sz w:val="18"/>
              </w:rPr>
            </w:pPr>
            <w:r>
              <w:rPr>
                <w:spacing w:val="-10"/>
                <w:sz w:val="18"/>
              </w:rPr>
              <w:t>1</w:t>
            </w:r>
          </w:p>
        </w:tc>
        <w:tc>
          <w:tcPr>
            <w:tcW w:w="1474" w:type="dxa"/>
          </w:tcPr>
          <w:p>
            <w:pPr>
              <w:pStyle w:val="TableParagraph"/>
              <w:spacing w:before="175"/>
              <w:rPr>
                <w:sz w:val="18"/>
              </w:rPr>
            </w:pPr>
          </w:p>
          <w:p>
            <w:pPr>
              <w:pStyle w:val="TableParagraph"/>
              <w:ind w:left="22" w:right="2"/>
              <w:jc w:val="center"/>
              <w:rPr>
                <w:sz w:val="18"/>
              </w:rPr>
            </w:pPr>
            <w:r>
              <w:rPr>
                <w:spacing w:val="-2"/>
                <w:sz w:val="18"/>
              </w:rPr>
              <w:t>$100,000</w:t>
            </w:r>
          </w:p>
        </w:tc>
        <w:tc>
          <w:tcPr>
            <w:tcW w:w="5271" w:type="dxa"/>
          </w:tcPr>
          <w:p>
            <w:pPr>
              <w:pStyle w:val="TableParagraph"/>
              <w:spacing w:before="75"/>
              <w:ind w:left="104" w:right="94"/>
              <w:rPr>
                <w:sz w:val="18"/>
              </w:rPr>
            </w:pPr>
            <w:r>
              <w:rPr>
                <w:sz w:val="18"/>
              </w:rPr>
              <w:t>This position is oversees the Lead Agency’s General Supervision</w:t>
            </w:r>
            <w:r>
              <w:rPr>
                <w:spacing w:val="-6"/>
                <w:sz w:val="18"/>
              </w:rPr>
              <w:t> </w:t>
            </w:r>
            <w:r>
              <w:rPr>
                <w:sz w:val="18"/>
              </w:rPr>
              <w:t>activities</w:t>
            </w:r>
            <w:r>
              <w:rPr>
                <w:spacing w:val="-6"/>
                <w:sz w:val="18"/>
              </w:rPr>
              <w:t> </w:t>
            </w:r>
            <w:r>
              <w:rPr>
                <w:sz w:val="18"/>
              </w:rPr>
              <w:t>related</w:t>
            </w:r>
            <w:r>
              <w:rPr>
                <w:spacing w:val="-6"/>
                <w:sz w:val="18"/>
              </w:rPr>
              <w:t> </w:t>
            </w:r>
            <w:r>
              <w:rPr>
                <w:sz w:val="18"/>
              </w:rPr>
              <w:t>to</w:t>
            </w:r>
            <w:r>
              <w:rPr>
                <w:spacing w:val="-6"/>
                <w:sz w:val="18"/>
              </w:rPr>
              <w:t> </w:t>
            </w:r>
            <w:r>
              <w:rPr>
                <w:sz w:val="18"/>
              </w:rPr>
              <w:t>supervision</w:t>
            </w:r>
            <w:r>
              <w:rPr>
                <w:spacing w:val="-6"/>
                <w:sz w:val="18"/>
              </w:rPr>
              <w:t> </w:t>
            </w:r>
            <w:r>
              <w:rPr>
                <w:sz w:val="18"/>
              </w:rPr>
              <w:t>and</w:t>
            </w:r>
            <w:r>
              <w:rPr>
                <w:spacing w:val="-6"/>
                <w:sz w:val="18"/>
              </w:rPr>
              <w:t> </w:t>
            </w:r>
            <w:r>
              <w:rPr>
                <w:sz w:val="18"/>
              </w:rPr>
              <w:t>monitoring</w:t>
            </w:r>
            <w:r>
              <w:rPr>
                <w:spacing w:val="-6"/>
                <w:sz w:val="18"/>
              </w:rPr>
              <w:t> </w:t>
            </w:r>
            <w:r>
              <w:rPr>
                <w:sz w:val="18"/>
              </w:rPr>
              <w:t>of EIS programs. This position is currently vacant and is anticipated to be filled during FFY22. (LA)</w:t>
            </w:r>
          </w:p>
        </w:tc>
      </w:tr>
      <w:tr>
        <w:trPr>
          <w:trHeight w:val="978" w:hRule="atLeast"/>
        </w:trPr>
        <w:tc>
          <w:tcPr>
            <w:tcW w:w="1522" w:type="dxa"/>
          </w:tcPr>
          <w:p>
            <w:pPr>
              <w:pStyle w:val="TableParagraph"/>
              <w:spacing w:before="74"/>
              <w:rPr>
                <w:sz w:val="18"/>
              </w:rPr>
            </w:pPr>
          </w:p>
          <w:p>
            <w:pPr>
              <w:pStyle w:val="TableParagraph"/>
              <w:spacing w:before="1"/>
              <w:ind w:left="331" w:firstLine="85"/>
              <w:rPr>
                <w:sz w:val="18"/>
              </w:rPr>
            </w:pPr>
            <w:r>
              <w:rPr>
                <w:spacing w:val="-2"/>
                <w:sz w:val="18"/>
              </w:rPr>
              <w:t>Program Specialists</w:t>
            </w:r>
          </w:p>
        </w:tc>
        <w:tc>
          <w:tcPr>
            <w:tcW w:w="1133" w:type="dxa"/>
          </w:tcPr>
          <w:p>
            <w:pPr>
              <w:pStyle w:val="TableParagraph"/>
              <w:spacing w:before="180"/>
              <w:rPr>
                <w:sz w:val="18"/>
              </w:rPr>
            </w:pPr>
          </w:p>
          <w:p>
            <w:pPr>
              <w:pStyle w:val="TableParagraph"/>
              <w:ind w:left="17"/>
              <w:jc w:val="center"/>
              <w:rPr>
                <w:sz w:val="18"/>
              </w:rPr>
            </w:pPr>
            <w:r>
              <w:rPr>
                <w:spacing w:val="-10"/>
                <w:sz w:val="18"/>
              </w:rPr>
              <w:t>8</w:t>
            </w:r>
          </w:p>
        </w:tc>
        <w:tc>
          <w:tcPr>
            <w:tcW w:w="1474" w:type="dxa"/>
          </w:tcPr>
          <w:p>
            <w:pPr>
              <w:pStyle w:val="TableParagraph"/>
              <w:spacing w:before="180"/>
              <w:rPr>
                <w:sz w:val="18"/>
              </w:rPr>
            </w:pPr>
          </w:p>
          <w:p>
            <w:pPr>
              <w:pStyle w:val="TableParagraph"/>
              <w:ind w:left="22"/>
              <w:jc w:val="center"/>
              <w:rPr>
                <w:sz w:val="18"/>
              </w:rPr>
            </w:pPr>
            <w:r>
              <w:rPr>
                <w:spacing w:val="-2"/>
                <w:sz w:val="18"/>
              </w:rPr>
              <w:t>$635,257</w:t>
            </w:r>
          </w:p>
        </w:tc>
        <w:tc>
          <w:tcPr>
            <w:tcW w:w="5271" w:type="dxa"/>
          </w:tcPr>
          <w:p>
            <w:pPr>
              <w:pStyle w:val="TableParagraph"/>
              <w:spacing w:before="75"/>
              <w:ind w:left="104" w:right="94"/>
              <w:rPr>
                <w:sz w:val="18"/>
              </w:rPr>
            </w:pPr>
            <w:r>
              <w:rPr>
                <w:sz w:val="18"/>
              </w:rPr>
              <w:t>These</w:t>
            </w:r>
            <w:r>
              <w:rPr>
                <w:spacing w:val="-6"/>
                <w:sz w:val="18"/>
              </w:rPr>
              <w:t> </w:t>
            </w:r>
            <w:r>
              <w:rPr>
                <w:sz w:val="18"/>
              </w:rPr>
              <w:t>positions</w:t>
            </w:r>
            <w:r>
              <w:rPr>
                <w:spacing w:val="-6"/>
                <w:sz w:val="18"/>
              </w:rPr>
              <w:t> </w:t>
            </w:r>
            <w:r>
              <w:rPr>
                <w:sz w:val="18"/>
              </w:rPr>
              <w:t>are</w:t>
            </w:r>
            <w:r>
              <w:rPr>
                <w:spacing w:val="-6"/>
                <w:sz w:val="18"/>
              </w:rPr>
              <w:t> </w:t>
            </w:r>
            <w:r>
              <w:rPr>
                <w:sz w:val="18"/>
              </w:rPr>
              <w:t>responsible</w:t>
            </w:r>
            <w:r>
              <w:rPr>
                <w:spacing w:val="-6"/>
                <w:sz w:val="18"/>
              </w:rPr>
              <w:t> </w:t>
            </w:r>
            <w:r>
              <w:rPr>
                <w:sz w:val="18"/>
              </w:rPr>
              <w:t>for</w:t>
            </w:r>
            <w:r>
              <w:rPr>
                <w:spacing w:val="-5"/>
                <w:sz w:val="18"/>
              </w:rPr>
              <w:t> </w:t>
            </w:r>
            <w:r>
              <w:rPr>
                <w:sz w:val="18"/>
              </w:rPr>
              <w:t>monitoring</w:t>
            </w:r>
            <w:r>
              <w:rPr>
                <w:spacing w:val="-5"/>
                <w:sz w:val="18"/>
              </w:rPr>
              <w:t> </w:t>
            </w:r>
            <w:r>
              <w:rPr>
                <w:sz w:val="18"/>
              </w:rPr>
              <w:t>EIS</w:t>
            </w:r>
            <w:r>
              <w:rPr>
                <w:spacing w:val="-6"/>
                <w:sz w:val="18"/>
              </w:rPr>
              <w:t> </w:t>
            </w:r>
            <w:r>
              <w:rPr>
                <w:sz w:val="18"/>
              </w:rPr>
              <w:t>programs, providing technical assistance, and ensuring the timely correction of noncompliance. One position is new for FFY22 and is currently vacant. (LA)</w:t>
            </w:r>
          </w:p>
        </w:tc>
      </w:tr>
      <w:tr>
        <w:trPr>
          <w:trHeight w:val="973" w:hRule="atLeast"/>
        </w:trPr>
        <w:tc>
          <w:tcPr>
            <w:tcW w:w="1522" w:type="dxa"/>
          </w:tcPr>
          <w:p>
            <w:pPr>
              <w:pStyle w:val="TableParagraph"/>
              <w:spacing w:before="70"/>
              <w:rPr>
                <w:sz w:val="18"/>
              </w:rPr>
            </w:pPr>
          </w:p>
          <w:p>
            <w:pPr>
              <w:pStyle w:val="TableParagraph"/>
              <w:ind w:left="406" w:right="379" w:firstLine="80"/>
              <w:rPr>
                <w:sz w:val="18"/>
              </w:rPr>
            </w:pPr>
            <w:r>
              <w:rPr>
                <w:spacing w:val="-2"/>
                <w:sz w:val="18"/>
              </w:rPr>
              <w:t>Claims Manager</w:t>
            </w:r>
          </w:p>
        </w:tc>
        <w:tc>
          <w:tcPr>
            <w:tcW w:w="1133" w:type="dxa"/>
          </w:tcPr>
          <w:p>
            <w:pPr>
              <w:pStyle w:val="TableParagraph"/>
              <w:spacing w:before="175"/>
              <w:rPr>
                <w:sz w:val="18"/>
              </w:rPr>
            </w:pPr>
          </w:p>
          <w:p>
            <w:pPr>
              <w:pStyle w:val="TableParagraph"/>
              <w:ind w:left="17"/>
              <w:jc w:val="center"/>
              <w:rPr>
                <w:sz w:val="18"/>
              </w:rPr>
            </w:pPr>
            <w:r>
              <w:rPr>
                <w:spacing w:val="-10"/>
                <w:sz w:val="18"/>
              </w:rPr>
              <w:t>1</w:t>
            </w:r>
          </w:p>
        </w:tc>
        <w:tc>
          <w:tcPr>
            <w:tcW w:w="1474" w:type="dxa"/>
          </w:tcPr>
          <w:p>
            <w:pPr>
              <w:pStyle w:val="TableParagraph"/>
              <w:spacing w:before="175"/>
              <w:rPr>
                <w:sz w:val="18"/>
              </w:rPr>
            </w:pPr>
          </w:p>
          <w:p>
            <w:pPr>
              <w:pStyle w:val="TableParagraph"/>
              <w:ind w:left="22" w:right="2"/>
              <w:jc w:val="center"/>
              <w:rPr>
                <w:sz w:val="18"/>
              </w:rPr>
            </w:pPr>
            <w:r>
              <w:rPr>
                <w:spacing w:val="-2"/>
                <w:sz w:val="18"/>
              </w:rPr>
              <w:t>$95,018</w:t>
            </w:r>
          </w:p>
        </w:tc>
        <w:tc>
          <w:tcPr>
            <w:tcW w:w="5271" w:type="dxa"/>
          </w:tcPr>
          <w:p>
            <w:pPr>
              <w:pStyle w:val="TableParagraph"/>
              <w:spacing w:before="70"/>
              <w:ind w:left="104" w:right="94"/>
              <w:rPr>
                <w:sz w:val="18"/>
              </w:rPr>
            </w:pPr>
            <w:r>
              <w:rPr>
                <w:sz w:val="18"/>
              </w:rPr>
              <w:t>Claims</w:t>
            </w:r>
            <w:r>
              <w:rPr>
                <w:spacing w:val="-6"/>
                <w:sz w:val="18"/>
              </w:rPr>
              <w:t> </w:t>
            </w:r>
            <w:r>
              <w:rPr>
                <w:sz w:val="18"/>
              </w:rPr>
              <w:t>manager</w:t>
            </w:r>
            <w:r>
              <w:rPr>
                <w:spacing w:val="-5"/>
                <w:sz w:val="18"/>
              </w:rPr>
              <w:t> </w:t>
            </w:r>
            <w:r>
              <w:rPr>
                <w:sz w:val="18"/>
              </w:rPr>
              <w:t>is</w:t>
            </w:r>
            <w:r>
              <w:rPr>
                <w:spacing w:val="-6"/>
                <w:sz w:val="18"/>
              </w:rPr>
              <w:t> </w:t>
            </w:r>
            <w:r>
              <w:rPr>
                <w:sz w:val="18"/>
              </w:rPr>
              <w:t>responsible</w:t>
            </w:r>
            <w:r>
              <w:rPr>
                <w:spacing w:val="-6"/>
                <w:sz w:val="18"/>
              </w:rPr>
              <w:t> </w:t>
            </w:r>
            <w:r>
              <w:rPr>
                <w:sz w:val="18"/>
              </w:rPr>
              <w:t>for</w:t>
            </w:r>
            <w:r>
              <w:rPr>
                <w:spacing w:val="-5"/>
                <w:sz w:val="18"/>
              </w:rPr>
              <w:t> </w:t>
            </w:r>
            <w:r>
              <w:rPr>
                <w:sz w:val="18"/>
              </w:rPr>
              <w:t>processing</w:t>
            </w:r>
            <w:r>
              <w:rPr>
                <w:spacing w:val="-6"/>
                <w:sz w:val="18"/>
              </w:rPr>
              <w:t> </w:t>
            </w:r>
            <w:r>
              <w:rPr>
                <w:sz w:val="18"/>
              </w:rPr>
              <w:t>claims</w:t>
            </w:r>
            <w:r>
              <w:rPr>
                <w:spacing w:val="-6"/>
                <w:sz w:val="18"/>
              </w:rPr>
              <w:t> </w:t>
            </w:r>
            <w:r>
              <w:rPr>
                <w:sz w:val="18"/>
              </w:rPr>
              <w:t>submitted to the Lead Agency as the payor of last resort. Provides Technical Assistance to EIS providers to ensure claims are submitted appropriately. This position is currently vacant. (LA)</w:t>
            </w:r>
          </w:p>
        </w:tc>
      </w:tr>
      <w:tr>
        <w:trPr>
          <w:trHeight w:val="1655" w:hRule="atLeast"/>
        </w:trPr>
        <w:tc>
          <w:tcPr>
            <w:tcW w:w="1522" w:type="dxa"/>
          </w:tcPr>
          <w:p>
            <w:pPr>
              <w:pStyle w:val="TableParagraph"/>
              <w:spacing w:before="204"/>
              <w:rPr>
                <w:sz w:val="18"/>
              </w:rPr>
            </w:pPr>
          </w:p>
          <w:p>
            <w:pPr>
              <w:pStyle w:val="TableParagraph"/>
              <w:ind w:left="251" w:right="228" w:hanging="1"/>
              <w:jc w:val="center"/>
              <w:rPr>
                <w:sz w:val="18"/>
              </w:rPr>
            </w:pPr>
            <w:r>
              <w:rPr>
                <w:spacing w:val="-2"/>
                <w:sz w:val="18"/>
              </w:rPr>
              <w:t>Family </w:t>
            </w:r>
            <w:r>
              <w:rPr>
                <w:sz w:val="18"/>
              </w:rPr>
              <w:t>Outreach &amp; </w:t>
            </w:r>
            <w:r>
              <w:rPr>
                <w:spacing w:val="-2"/>
                <w:sz w:val="18"/>
              </w:rPr>
              <w:t>Engagement Specialists</w:t>
            </w:r>
          </w:p>
        </w:tc>
        <w:tc>
          <w:tcPr>
            <w:tcW w:w="1133" w:type="dxa"/>
          </w:tcPr>
          <w:p>
            <w:pPr>
              <w:pStyle w:val="TableParagraph"/>
              <w:rPr>
                <w:sz w:val="18"/>
              </w:rPr>
            </w:pPr>
          </w:p>
          <w:p>
            <w:pPr>
              <w:pStyle w:val="TableParagraph"/>
              <w:rPr>
                <w:sz w:val="18"/>
              </w:rPr>
            </w:pPr>
          </w:p>
          <w:p>
            <w:pPr>
              <w:pStyle w:val="TableParagraph"/>
              <w:spacing w:before="102"/>
              <w:rPr>
                <w:sz w:val="18"/>
              </w:rPr>
            </w:pPr>
          </w:p>
          <w:p>
            <w:pPr>
              <w:pStyle w:val="TableParagraph"/>
              <w:ind w:left="17"/>
              <w:jc w:val="center"/>
              <w:rPr>
                <w:sz w:val="18"/>
              </w:rPr>
            </w:pPr>
            <w:r>
              <w:rPr>
                <w:spacing w:val="-10"/>
                <w:sz w:val="18"/>
              </w:rPr>
              <w:t>4</w:t>
            </w:r>
          </w:p>
        </w:tc>
        <w:tc>
          <w:tcPr>
            <w:tcW w:w="1474" w:type="dxa"/>
          </w:tcPr>
          <w:p>
            <w:pPr>
              <w:pStyle w:val="TableParagraph"/>
              <w:rPr>
                <w:sz w:val="18"/>
              </w:rPr>
            </w:pPr>
          </w:p>
          <w:p>
            <w:pPr>
              <w:pStyle w:val="TableParagraph"/>
              <w:rPr>
                <w:sz w:val="18"/>
              </w:rPr>
            </w:pPr>
          </w:p>
          <w:p>
            <w:pPr>
              <w:pStyle w:val="TableParagraph"/>
              <w:spacing w:before="102"/>
              <w:rPr>
                <w:sz w:val="18"/>
              </w:rPr>
            </w:pPr>
          </w:p>
          <w:p>
            <w:pPr>
              <w:pStyle w:val="TableParagraph"/>
              <w:ind w:left="22" w:right="2"/>
              <w:jc w:val="center"/>
              <w:rPr>
                <w:sz w:val="18"/>
              </w:rPr>
            </w:pPr>
            <w:r>
              <w:rPr>
                <w:spacing w:val="-2"/>
                <w:sz w:val="18"/>
              </w:rPr>
              <w:t>$339,310</w:t>
            </w:r>
          </w:p>
        </w:tc>
        <w:tc>
          <w:tcPr>
            <w:tcW w:w="5271" w:type="dxa"/>
          </w:tcPr>
          <w:p>
            <w:pPr>
              <w:pStyle w:val="TableParagraph"/>
              <w:ind w:left="104" w:right="94"/>
              <w:rPr>
                <w:sz w:val="18"/>
              </w:rPr>
            </w:pPr>
            <w:r>
              <w:rPr>
                <w:sz w:val="18"/>
              </w:rPr>
              <w:t>These</w:t>
            </w:r>
            <w:r>
              <w:rPr>
                <w:spacing w:val="-5"/>
                <w:sz w:val="18"/>
              </w:rPr>
              <w:t> </w:t>
            </w:r>
            <w:r>
              <w:rPr>
                <w:sz w:val="18"/>
              </w:rPr>
              <w:t>positions</w:t>
            </w:r>
            <w:r>
              <w:rPr>
                <w:spacing w:val="-5"/>
                <w:sz w:val="18"/>
              </w:rPr>
              <w:t> </w:t>
            </w:r>
            <w:r>
              <w:rPr>
                <w:sz w:val="18"/>
              </w:rPr>
              <w:t>provide</w:t>
            </w:r>
            <w:r>
              <w:rPr>
                <w:spacing w:val="-5"/>
                <w:sz w:val="18"/>
              </w:rPr>
              <w:t> </w:t>
            </w:r>
            <w:r>
              <w:rPr>
                <w:sz w:val="18"/>
              </w:rPr>
              <w:t>technical</w:t>
            </w:r>
            <w:r>
              <w:rPr>
                <w:spacing w:val="-4"/>
                <w:sz w:val="18"/>
              </w:rPr>
              <w:t> </w:t>
            </w:r>
            <w:r>
              <w:rPr>
                <w:sz w:val="18"/>
              </w:rPr>
              <w:t>assistance</w:t>
            </w:r>
            <w:r>
              <w:rPr>
                <w:spacing w:val="-5"/>
                <w:sz w:val="18"/>
              </w:rPr>
              <w:t> </w:t>
            </w:r>
            <w:r>
              <w:rPr>
                <w:sz w:val="18"/>
              </w:rPr>
              <w:t>to</w:t>
            </w:r>
            <w:r>
              <w:rPr>
                <w:spacing w:val="-4"/>
                <w:sz w:val="18"/>
              </w:rPr>
              <w:t> </w:t>
            </w:r>
            <w:r>
              <w:rPr>
                <w:sz w:val="18"/>
              </w:rPr>
              <w:t>parents</w:t>
            </w:r>
            <w:r>
              <w:rPr>
                <w:spacing w:val="-5"/>
                <w:sz w:val="18"/>
              </w:rPr>
              <w:t> </w:t>
            </w:r>
            <w:r>
              <w:rPr>
                <w:sz w:val="18"/>
              </w:rPr>
              <w:t>to</w:t>
            </w:r>
            <w:r>
              <w:rPr>
                <w:spacing w:val="-5"/>
                <w:sz w:val="18"/>
              </w:rPr>
              <w:t> </w:t>
            </w:r>
            <w:r>
              <w:rPr>
                <w:sz w:val="18"/>
              </w:rPr>
              <w:t>help educator them about their rights, research-based best- practices, and the early intervention system. Additionally, they oversee the dissemination of the survey designed to collect Indicator 4 data, overseeing public awareness activities, maintaining the central directory, and conducting outreach to underrepresented families in vulnerable communities for child</w:t>
            </w:r>
          </w:p>
          <w:p>
            <w:pPr>
              <w:pStyle w:val="TableParagraph"/>
              <w:spacing w:line="187" w:lineRule="exact"/>
              <w:ind w:left="104"/>
              <w:rPr>
                <w:sz w:val="18"/>
              </w:rPr>
            </w:pPr>
            <w:r>
              <w:rPr>
                <w:sz w:val="18"/>
              </w:rPr>
              <w:t>find</w:t>
            </w:r>
            <w:r>
              <w:rPr>
                <w:spacing w:val="-7"/>
                <w:sz w:val="18"/>
              </w:rPr>
              <w:t> </w:t>
            </w:r>
            <w:r>
              <w:rPr>
                <w:sz w:val="18"/>
              </w:rPr>
              <w:t>activities.</w:t>
            </w:r>
            <w:r>
              <w:rPr>
                <w:spacing w:val="-5"/>
                <w:sz w:val="18"/>
              </w:rPr>
              <w:t> </w:t>
            </w:r>
            <w:r>
              <w:rPr>
                <w:spacing w:val="-4"/>
                <w:sz w:val="18"/>
              </w:rPr>
              <w:t>(LA)</w:t>
            </w:r>
          </w:p>
        </w:tc>
      </w:tr>
      <w:tr>
        <w:trPr>
          <w:trHeight w:val="1861" w:hRule="atLeast"/>
        </w:trPr>
        <w:tc>
          <w:tcPr>
            <w:tcW w:w="1522" w:type="dxa"/>
          </w:tcPr>
          <w:p>
            <w:pPr>
              <w:pStyle w:val="TableParagraph"/>
              <w:rPr>
                <w:sz w:val="18"/>
              </w:rPr>
            </w:pPr>
          </w:p>
          <w:p>
            <w:pPr>
              <w:pStyle w:val="TableParagraph"/>
              <w:rPr>
                <w:sz w:val="18"/>
              </w:rPr>
            </w:pPr>
          </w:p>
          <w:p>
            <w:pPr>
              <w:pStyle w:val="TableParagraph"/>
              <w:spacing w:before="102"/>
              <w:rPr>
                <w:sz w:val="18"/>
              </w:rPr>
            </w:pPr>
          </w:p>
          <w:p>
            <w:pPr>
              <w:pStyle w:val="TableParagraph"/>
              <w:ind w:left="110" w:right="218"/>
              <w:rPr>
                <w:sz w:val="18"/>
              </w:rPr>
            </w:pPr>
            <w:r>
              <w:rPr>
                <w:spacing w:val="-2"/>
                <w:sz w:val="18"/>
              </w:rPr>
              <w:t>Business Administration</w:t>
            </w:r>
          </w:p>
        </w:tc>
        <w:tc>
          <w:tcPr>
            <w:tcW w:w="1133" w:type="dxa"/>
          </w:tcPr>
          <w:p>
            <w:pPr>
              <w:pStyle w:val="TableParagraph"/>
              <w:rPr>
                <w:sz w:val="18"/>
              </w:rPr>
            </w:pPr>
          </w:p>
          <w:p>
            <w:pPr>
              <w:pStyle w:val="TableParagraph"/>
              <w:rPr>
                <w:sz w:val="18"/>
              </w:rPr>
            </w:pPr>
          </w:p>
          <w:p>
            <w:pPr>
              <w:pStyle w:val="TableParagraph"/>
              <w:rPr>
                <w:sz w:val="18"/>
              </w:rPr>
            </w:pPr>
          </w:p>
          <w:p>
            <w:pPr>
              <w:pStyle w:val="TableParagraph"/>
              <w:spacing w:before="1"/>
              <w:rPr>
                <w:sz w:val="18"/>
              </w:rPr>
            </w:pPr>
          </w:p>
          <w:p>
            <w:pPr>
              <w:pStyle w:val="TableParagraph"/>
              <w:ind w:left="17"/>
              <w:jc w:val="center"/>
              <w:rPr>
                <w:sz w:val="18"/>
              </w:rPr>
            </w:pPr>
            <w:r>
              <w:rPr>
                <w:spacing w:val="-10"/>
                <w:sz w:val="18"/>
              </w:rPr>
              <w:t>3</w:t>
            </w:r>
          </w:p>
        </w:tc>
        <w:tc>
          <w:tcPr>
            <w:tcW w:w="1474" w:type="dxa"/>
          </w:tcPr>
          <w:p>
            <w:pPr>
              <w:pStyle w:val="TableParagraph"/>
              <w:rPr>
                <w:sz w:val="18"/>
              </w:rPr>
            </w:pPr>
          </w:p>
          <w:p>
            <w:pPr>
              <w:pStyle w:val="TableParagraph"/>
              <w:rPr>
                <w:sz w:val="18"/>
              </w:rPr>
            </w:pPr>
          </w:p>
          <w:p>
            <w:pPr>
              <w:pStyle w:val="TableParagraph"/>
              <w:rPr>
                <w:sz w:val="18"/>
              </w:rPr>
            </w:pPr>
          </w:p>
          <w:p>
            <w:pPr>
              <w:pStyle w:val="TableParagraph"/>
              <w:spacing w:before="1"/>
              <w:rPr>
                <w:sz w:val="18"/>
              </w:rPr>
            </w:pPr>
          </w:p>
          <w:p>
            <w:pPr>
              <w:pStyle w:val="TableParagraph"/>
              <w:ind w:left="22" w:right="2"/>
              <w:jc w:val="center"/>
              <w:rPr>
                <w:sz w:val="18"/>
              </w:rPr>
            </w:pPr>
            <w:r>
              <w:rPr>
                <w:spacing w:val="-2"/>
                <w:sz w:val="18"/>
              </w:rPr>
              <w:t>$177,776</w:t>
            </w:r>
          </w:p>
        </w:tc>
        <w:tc>
          <w:tcPr>
            <w:tcW w:w="5271" w:type="dxa"/>
          </w:tcPr>
          <w:p>
            <w:pPr>
              <w:pStyle w:val="TableParagraph"/>
              <w:ind w:left="104" w:right="144"/>
              <w:rPr>
                <w:sz w:val="18"/>
              </w:rPr>
            </w:pPr>
            <w:r>
              <w:rPr>
                <w:sz w:val="18"/>
              </w:rPr>
              <w:t>These</w:t>
            </w:r>
            <w:r>
              <w:rPr>
                <w:spacing w:val="-5"/>
                <w:sz w:val="18"/>
              </w:rPr>
              <w:t> </w:t>
            </w:r>
            <w:r>
              <w:rPr>
                <w:sz w:val="18"/>
              </w:rPr>
              <w:t>positions</w:t>
            </w:r>
            <w:r>
              <w:rPr>
                <w:spacing w:val="-4"/>
                <w:sz w:val="18"/>
              </w:rPr>
              <w:t> </w:t>
            </w:r>
            <w:r>
              <w:rPr>
                <w:sz w:val="18"/>
              </w:rPr>
              <w:t>provide</w:t>
            </w:r>
            <w:r>
              <w:rPr>
                <w:spacing w:val="-5"/>
                <w:sz w:val="18"/>
              </w:rPr>
              <w:t> </w:t>
            </w:r>
            <w:r>
              <w:rPr>
                <w:sz w:val="18"/>
              </w:rPr>
              <w:t>internal</w:t>
            </w:r>
            <w:r>
              <w:rPr>
                <w:spacing w:val="-4"/>
                <w:sz w:val="18"/>
              </w:rPr>
              <w:t> </w:t>
            </w:r>
            <w:r>
              <w:rPr>
                <w:sz w:val="18"/>
              </w:rPr>
              <w:t>supports</w:t>
            </w:r>
            <w:r>
              <w:rPr>
                <w:spacing w:val="-5"/>
                <w:sz w:val="18"/>
              </w:rPr>
              <w:t> </w:t>
            </w:r>
            <w:r>
              <w:rPr>
                <w:sz w:val="18"/>
              </w:rPr>
              <w:t>to</w:t>
            </w:r>
            <w:r>
              <w:rPr>
                <w:spacing w:val="-5"/>
                <w:sz w:val="18"/>
              </w:rPr>
              <w:t> </w:t>
            </w:r>
            <w:r>
              <w:rPr>
                <w:sz w:val="18"/>
              </w:rPr>
              <w:t>the</w:t>
            </w:r>
            <w:r>
              <w:rPr>
                <w:spacing w:val="-5"/>
                <w:sz w:val="18"/>
              </w:rPr>
              <w:t> </w:t>
            </w:r>
            <w:r>
              <w:rPr>
                <w:sz w:val="18"/>
              </w:rPr>
              <w:t>Part</w:t>
            </w:r>
            <w:r>
              <w:rPr>
                <w:spacing w:val="-4"/>
                <w:sz w:val="18"/>
              </w:rPr>
              <w:t> </w:t>
            </w:r>
            <w:r>
              <w:rPr>
                <w:sz w:val="18"/>
              </w:rPr>
              <w:t>C</w:t>
            </w:r>
            <w:r>
              <w:rPr>
                <w:spacing w:val="-5"/>
                <w:sz w:val="18"/>
              </w:rPr>
              <w:t> </w:t>
            </w:r>
            <w:r>
              <w:rPr>
                <w:sz w:val="18"/>
              </w:rPr>
              <w:t>system to strengthen infrastructure, operations, and capacity of the Lead</w:t>
            </w:r>
            <w:r>
              <w:rPr>
                <w:spacing w:val="-5"/>
                <w:sz w:val="18"/>
              </w:rPr>
              <w:t> </w:t>
            </w:r>
            <w:r>
              <w:rPr>
                <w:sz w:val="18"/>
              </w:rPr>
              <w:t>Agency.</w:t>
            </w:r>
            <w:r>
              <w:rPr>
                <w:spacing w:val="-4"/>
                <w:sz w:val="18"/>
              </w:rPr>
              <w:t> </w:t>
            </w:r>
            <w:r>
              <w:rPr>
                <w:sz w:val="18"/>
              </w:rPr>
              <w:t>These</w:t>
            </w:r>
            <w:r>
              <w:rPr>
                <w:spacing w:val="-5"/>
                <w:sz w:val="18"/>
              </w:rPr>
              <w:t> </w:t>
            </w:r>
            <w:r>
              <w:rPr>
                <w:sz w:val="18"/>
              </w:rPr>
              <w:t>positions</w:t>
            </w:r>
            <w:r>
              <w:rPr>
                <w:spacing w:val="-5"/>
                <w:sz w:val="18"/>
              </w:rPr>
              <w:t> </w:t>
            </w:r>
            <w:r>
              <w:rPr>
                <w:sz w:val="18"/>
              </w:rPr>
              <w:t>are</w:t>
            </w:r>
            <w:r>
              <w:rPr>
                <w:spacing w:val="-5"/>
                <w:sz w:val="18"/>
              </w:rPr>
              <w:t> </w:t>
            </w:r>
            <w:r>
              <w:rPr>
                <w:sz w:val="18"/>
              </w:rPr>
              <w:t>responsible</w:t>
            </w:r>
            <w:r>
              <w:rPr>
                <w:spacing w:val="-5"/>
                <w:sz w:val="18"/>
              </w:rPr>
              <w:t> </w:t>
            </w:r>
            <w:r>
              <w:rPr>
                <w:sz w:val="18"/>
              </w:rPr>
              <w:t>for</w:t>
            </w:r>
            <w:r>
              <w:rPr>
                <w:spacing w:val="-4"/>
                <w:sz w:val="18"/>
              </w:rPr>
              <w:t> </w:t>
            </w:r>
            <w:r>
              <w:rPr>
                <w:sz w:val="18"/>
              </w:rPr>
              <w:t>establishing contracts with EIS programs and other vendors, developing and documenting internal procedures, and external communications from the Lead Agency (e.g., website, newsletters, coordinating release of policy and guidance documents). One position is currently filled by a CDC Fellow</w:t>
            </w:r>
          </w:p>
          <w:p>
            <w:pPr>
              <w:pStyle w:val="TableParagraph"/>
              <w:spacing w:line="187" w:lineRule="exact"/>
              <w:ind w:left="104"/>
              <w:rPr>
                <w:sz w:val="18"/>
              </w:rPr>
            </w:pPr>
            <w:r>
              <w:rPr>
                <w:sz w:val="18"/>
              </w:rPr>
              <w:t>assigned</w:t>
            </w:r>
            <w:r>
              <w:rPr>
                <w:spacing w:val="-5"/>
                <w:sz w:val="18"/>
              </w:rPr>
              <w:t> </w:t>
            </w:r>
            <w:r>
              <w:rPr>
                <w:sz w:val="18"/>
              </w:rPr>
              <w:t>to</w:t>
            </w:r>
            <w:r>
              <w:rPr>
                <w:spacing w:val="-5"/>
                <w:sz w:val="18"/>
              </w:rPr>
              <w:t> </w:t>
            </w:r>
            <w:r>
              <w:rPr>
                <w:sz w:val="18"/>
              </w:rPr>
              <w:t>the</w:t>
            </w:r>
            <w:r>
              <w:rPr>
                <w:spacing w:val="-4"/>
                <w:sz w:val="18"/>
              </w:rPr>
              <w:t> </w:t>
            </w:r>
            <w:r>
              <w:rPr>
                <w:sz w:val="18"/>
              </w:rPr>
              <w:t>Lead</w:t>
            </w:r>
            <w:r>
              <w:rPr>
                <w:spacing w:val="-5"/>
                <w:sz w:val="18"/>
              </w:rPr>
              <w:t> </w:t>
            </w:r>
            <w:r>
              <w:rPr>
                <w:sz w:val="18"/>
              </w:rPr>
              <w:t>Agency.</w:t>
            </w:r>
            <w:r>
              <w:rPr>
                <w:spacing w:val="-4"/>
                <w:sz w:val="18"/>
              </w:rPr>
              <w:t> (LA)</w:t>
            </w:r>
          </w:p>
        </w:tc>
      </w:tr>
      <w:tr>
        <w:trPr>
          <w:trHeight w:val="978" w:hRule="atLeast"/>
        </w:trPr>
        <w:tc>
          <w:tcPr>
            <w:tcW w:w="1522" w:type="dxa"/>
          </w:tcPr>
          <w:p>
            <w:pPr>
              <w:pStyle w:val="TableParagraph"/>
              <w:spacing w:before="180"/>
              <w:rPr>
                <w:sz w:val="18"/>
              </w:rPr>
            </w:pPr>
          </w:p>
          <w:p>
            <w:pPr>
              <w:pStyle w:val="TableParagraph"/>
              <w:ind w:left="110"/>
              <w:rPr>
                <w:sz w:val="18"/>
              </w:rPr>
            </w:pPr>
            <w:r>
              <w:rPr>
                <w:spacing w:val="-2"/>
                <w:sz w:val="18"/>
              </w:rPr>
              <w:t>Epidemiologist</w:t>
            </w:r>
          </w:p>
        </w:tc>
        <w:tc>
          <w:tcPr>
            <w:tcW w:w="1133" w:type="dxa"/>
          </w:tcPr>
          <w:p>
            <w:pPr>
              <w:pStyle w:val="TableParagraph"/>
              <w:spacing w:before="180"/>
              <w:rPr>
                <w:sz w:val="18"/>
              </w:rPr>
            </w:pPr>
          </w:p>
          <w:p>
            <w:pPr>
              <w:pStyle w:val="TableParagraph"/>
              <w:ind w:left="17"/>
              <w:jc w:val="center"/>
              <w:rPr>
                <w:sz w:val="18"/>
              </w:rPr>
            </w:pPr>
            <w:r>
              <w:rPr>
                <w:spacing w:val="-10"/>
                <w:sz w:val="18"/>
              </w:rPr>
              <w:t>1</w:t>
            </w:r>
          </w:p>
        </w:tc>
        <w:tc>
          <w:tcPr>
            <w:tcW w:w="1474" w:type="dxa"/>
          </w:tcPr>
          <w:p>
            <w:pPr>
              <w:pStyle w:val="TableParagraph"/>
              <w:spacing w:before="180"/>
              <w:rPr>
                <w:sz w:val="18"/>
              </w:rPr>
            </w:pPr>
          </w:p>
          <w:p>
            <w:pPr>
              <w:pStyle w:val="TableParagraph"/>
              <w:ind w:left="22" w:right="2"/>
              <w:jc w:val="center"/>
              <w:rPr>
                <w:sz w:val="18"/>
              </w:rPr>
            </w:pPr>
            <w:r>
              <w:rPr>
                <w:spacing w:val="-2"/>
                <w:sz w:val="18"/>
              </w:rPr>
              <w:t>$105,402</w:t>
            </w:r>
          </w:p>
        </w:tc>
        <w:tc>
          <w:tcPr>
            <w:tcW w:w="5271" w:type="dxa"/>
          </w:tcPr>
          <w:p>
            <w:pPr>
              <w:pStyle w:val="TableParagraph"/>
              <w:spacing w:line="242" w:lineRule="auto" w:before="176"/>
              <w:ind w:left="104" w:right="94"/>
              <w:rPr>
                <w:sz w:val="18"/>
              </w:rPr>
            </w:pPr>
            <w:r>
              <w:rPr>
                <w:sz w:val="18"/>
              </w:rPr>
              <w:t>The</w:t>
            </w:r>
            <w:r>
              <w:rPr>
                <w:spacing w:val="-7"/>
                <w:sz w:val="18"/>
              </w:rPr>
              <w:t> </w:t>
            </w:r>
            <w:r>
              <w:rPr>
                <w:sz w:val="18"/>
              </w:rPr>
              <w:t>epidemiologist</w:t>
            </w:r>
            <w:r>
              <w:rPr>
                <w:spacing w:val="-6"/>
                <w:sz w:val="18"/>
              </w:rPr>
              <w:t> </w:t>
            </w:r>
            <w:r>
              <w:rPr>
                <w:sz w:val="18"/>
              </w:rPr>
              <w:t>provides</w:t>
            </w:r>
            <w:r>
              <w:rPr>
                <w:spacing w:val="-7"/>
                <w:sz w:val="18"/>
              </w:rPr>
              <w:t> </w:t>
            </w:r>
            <w:r>
              <w:rPr>
                <w:sz w:val="18"/>
              </w:rPr>
              <w:t>analyses</w:t>
            </w:r>
            <w:r>
              <w:rPr>
                <w:spacing w:val="-7"/>
                <w:sz w:val="18"/>
              </w:rPr>
              <w:t> </w:t>
            </w:r>
            <w:r>
              <w:rPr>
                <w:sz w:val="18"/>
              </w:rPr>
              <w:t>and</w:t>
            </w:r>
            <w:r>
              <w:rPr>
                <w:spacing w:val="-7"/>
                <w:sz w:val="18"/>
              </w:rPr>
              <w:t> </w:t>
            </w:r>
            <w:r>
              <w:rPr>
                <w:sz w:val="18"/>
              </w:rPr>
              <w:t>creates</w:t>
            </w:r>
            <w:r>
              <w:rPr>
                <w:spacing w:val="-7"/>
                <w:sz w:val="18"/>
              </w:rPr>
              <w:t> </w:t>
            </w:r>
            <w:r>
              <w:rPr>
                <w:sz w:val="18"/>
              </w:rPr>
              <w:t>linkages between the Part C database and other data warehouses across the Commonwealth. (LA)</w:t>
            </w:r>
          </w:p>
        </w:tc>
      </w:tr>
      <w:tr>
        <w:trPr>
          <w:trHeight w:val="1031" w:hRule="atLeast"/>
        </w:trPr>
        <w:tc>
          <w:tcPr>
            <w:tcW w:w="1522" w:type="dxa"/>
          </w:tcPr>
          <w:p>
            <w:pPr>
              <w:pStyle w:val="TableParagraph"/>
              <w:spacing w:before="103"/>
              <w:rPr>
                <w:sz w:val="18"/>
              </w:rPr>
            </w:pPr>
          </w:p>
          <w:p>
            <w:pPr>
              <w:pStyle w:val="TableParagraph"/>
              <w:ind w:left="110" w:right="617"/>
              <w:rPr>
                <w:sz w:val="18"/>
              </w:rPr>
            </w:pPr>
            <w:r>
              <w:rPr>
                <w:spacing w:val="-2"/>
                <w:sz w:val="18"/>
              </w:rPr>
              <w:t>Database Analysts</w:t>
            </w:r>
          </w:p>
        </w:tc>
        <w:tc>
          <w:tcPr>
            <w:tcW w:w="1133" w:type="dxa"/>
          </w:tcPr>
          <w:p>
            <w:pPr>
              <w:pStyle w:val="TableParagraph"/>
              <w:spacing w:before="204"/>
              <w:rPr>
                <w:sz w:val="18"/>
              </w:rPr>
            </w:pPr>
          </w:p>
          <w:p>
            <w:pPr>
              <w:pStyle w:val="TableParagraph"/>
              <w:ind w:left="17"/>
              <w:jc w:val="center"/>
              <w:rPr>
                <w:sz w:val="18"/>
              </w:rPr>
            </w:pPr>
            <w:r>
              <w:rPr>
                <w:spacing w:val="-10"/>
                <w:sz w:val="18"/>
              </w:rPr>
              <w:t>5</w:t>
            </w:r>
          </w:p>
        </w:tc>
        <w:tc>
          <w:tcPr>
            <w:tcW w:w="1474" w:type="dxa"/>
          </w:tcPr>
          <w:p>
            <w:pPr>
              <w:pStyle w:val="TableParagraph"/>
              <w:spacing w:before="204"/>
              <w:rPr>
                <w:sz w:val="18"/>
              </w:rPr>
            </w:pPr>
          </w:p>
          <w:p>
            <w:pPr>
              <w:pStyle w:val="TableParagraph"/>
              <w:ind w:left="22" w:right="2"/>
              <w:jc w:val="center"/>
              <w:rPr>
                <w:sz w:val="18"/>
              </w:rPr>
            </w:pPr>
            <w:r>
              <w:rPr>
                <w:spacing w:val="-2"/>
                <w:sz w:val="18"/>
              </w:rPr>
              <w:t>$494,151</w:t>
            </w:r>
          </w:p>
        </w:tc>
        <w:tc>
          <w:tcPr>
            <w:tcW w:w="5271" w:type="dxa"/>
          </w:tcPr>
          <w:p>
            <w:pPr>
              <w:pStyle w:val="TableParagraph"/>
              <w:spacing w:line="206" w:lineRule="exact"/>
              <w:ind w:left="104" w:right="94"/>
              <w:rPr>
                <w:sz w:val="18"/>
              </w:rPr>
            </w:pPr>
            <w:r>
              <w:rPr>
                <w:sz w:val="18"/>
              </w:rPr>
              <w:t>These</w:t>
            </w:r>
            <w:r>
              <w:rPr>
                <w:spacing w:val="-6"/>
                <w:sz w:val="18"/>
              </w:rPr>
              <w:t> </w:t>
            </w:r>
            <w:r>
              <w:rPr>
                <w:sz w:val="18"/>
              </w:rPr>
              <w:t>positions</w:t>
            </w:r>
            <w:r>
              <w:rPr>
                <w:spacing w:val="-6"/>
                <w:sz w:val="18"/>
              </w:rPr>
              <w:t> </w:t>
            </w:r>
            <w:r>
              <w:rPr>
                <w:sz w:val="18"/>
              </w:rPr>
              <w:t>are</w:t>
            </w:r>
            <w:r>
              <w:rPr>
                <w:spacing w:val="-6"/>
                <w:sz w:val="18"/>
              </w:rPr>
              <w:t> </w:t>
            </w:r>
            <w:r>
              <w:rPr>
                <w:sz w:val="18"/>
              </w:rPr>
              <w:t>responsible</w:t>
            </w:r>
            <w:r>
              <w:rPr>
                <w:spacing w:val="-6"/>
                <w:sz w:val="18"/>
              </w:rPr>
              <w:t> </w:t>
            </w:r>
            <w:r>
              <w:rPr>
                <w:sz w:val="18"/>
              </w:rPr>
              <w:t>for</w:t>
            </w:r>
            <w:r>
              <w:rPr>
                <w:spacing w:val="-5"/>
                <w:sz w:val="18"/>
              </w:rPr>
              <w:t> </w:t>
            </w:r>
            <w:r>
              <w:rPr>
                <w:sz w:val="18"/>
              </w:rPr>
              <w:t>technical</w:t>
            </w:r>
            <w:r>
              <w:rPr>
                <w:spacing w:val="-5"/>
                <w:sz w:val="18"/>
              </w:rPr>
              <w:t> </w:t>
            </w:r>
            <w:r>
              <w:rPr>
                <w:sz w:val="18"/>
              </w:rPr>
              <w:t>oversight</w:t>
            </w:r>
            <w:r>
              <w:rPr>
                <w:spacing w:val="-5"/>
                <w:sz w:val="18"/>
              </w:rPr>
              <w:t> </w:t>
            </w:r>
            <w:r>
              <w:rPr>
                <w:sz w:val="18"/>
              </w:rPr>
              <w:t>of</w:t>
            </w:r>
            <w:r>
              <w:rPr>
                <w:spacing w:val="-5"/>
                <w:sz w:val="18"/>
              </w:rPr>
              <w:t> </w:t>
            </w:r>
            <w:r>
              <w:rPr>
                <w:sz w:val="18"/>
              </w:rPr>
              <w:t>the state database and assist with reporting requirements. The provide technical assistance to EIS programs using the database. One position is new for FFY22 and is currently vacant. (LA)</w:t>
            </w:r>
          </w:p>
        </w:tc>
      </w:tr>
      <w:tr>
        <w:trPr>
          <w:trHeight w:val="978" w:hRule="atLeast"/>
        </w:trPr>
        <w:tc>
          <w:tcPr>
            <w:tcW w:w="1522" w:type="dxa"/>
          </w:tcPr>
          <w:p>
            <w:pPr>
              <w:pStyle w:val="TableParagraph"/>
              <w:spacing w:before="181"/>
              <w:ind w:left="110" w:right="218"/>
              <w:rPr>
                <w:sz w:val="18"/>
              </w:rPr>
            </w:pPr>
            <w:r>
              <w:rPr>
                <w:spacing w:val="-2"/>
                <w:sz w:val="18"/>
              </w:rPr>
              <w:t>Professional Development Coordinator</w:t>
            </w:r>
          </w:p>
        </w:tc>
        <w:tc>
          <w:tcPr>
            <w:tcW w:w="1133" w:type="dxa"/>
          </w:tcPr>
          <w:p>
            <w:pPr>
              <w:pStyle w:val="TableParagraph"/>
              <w:spacing w:before="180"/>
              <w:rPr>
                <w:sz w:val="18"/>
              </w:rPr>
            </w:pPr>
          </w:p>
          <w:p>
            <w:pPr>
              <w:pStyle w:val="TableParagraph"/>
              <w:ind w:left="17"/>
              <w:jc w:val="center"/>
              <w:rPr>
                <w:sz w:val="18"/>
              </w:rPr>
            </w:pPr>
            <w:r>
              <w:rPr>
                <w:spacing w:val="-10"/>
                <w:sz w:val="18"/>
              </w:rPr>
              <w:t>1</w:t>
            </w:r>
          </w:p>
        </w:tc>
        <w:tc>
          <w:tcPr>
            <w:tcW w:w="1474" w:type="dxa"/>
          </w:tcPr>
          <w:p>
            <w:pPr>
              <w:pStyle w:val="TableParagraph"/>
              <w:spacing w:before="180"/>
              <w:rPr>
                <w:sz w:val="18"/>
              </w:rPr>
            </w:pPr>
          </w:p>
          <w:p>
            <w:pPr>
              <w:pStyle w:val="TableParagraph"/>
              <w:ind w:left="22" w:right="2"/>
              <w:jc w:val="center"/>
              <w:rPr>
                <w:sz w:val="18"/>
              </w:rPr>
            </w:pPr>
            <w:r>
              <w:rPr>
                <w:spacing w:val="-2"/>
                <w:sz w:val="18"/>
              </w:rPr>
              <w:t>$102,000</w:t>
            </w:r>
          </w:p>
        </w:tc>
        <w:tc>
          <w:tcPr>
            <w:tcW w:w="5271" w:type="dxa"/>
          </w:tcPr>
          <w:p>
            <w:pPr>
              <w:pStyle w:val="TableParagraph"/>
              <w:spacing w:before="75"/>
              <w:ind w:left="104"/>
              <w:rPr>
                <w:sz w:val="18"/>
              </w:rPr>
            </w:pPr>
            <w:r>
              <w:rPr>
                <w:sz w:val="18"/>
              </w:rPr>
              <w:t>The Professional Development Coordinator oversees implementation of the Comprehensive System of Personnel Development.</w:t>
            </w:r>
            <w:r>
              <w:rPr>
                <w:spacing w:val="-4"/>
                <w:sz w:val="18"/>
              </w:rPr>
              <w:t> </w:t>
            </w:r>
            <w:r>
              <w:rPr>
                <w:sz w:val="18"/>
              </w:rPr>
              <w:t>This</w:t>
            </w:r>
            <w:r>
              <w:rPr>
                <w:spacing w:val="-5"/>
                <w:sz w:val="18"/>
              </w:rPr>
              <w:t> </w:t>
            </w:r>
            <w:r>
              <w:rPr>
                <w:sz w:val="18"/>
              </w:rPr>
              <w:t>position</w:t>
            </w:r>
            <w:r>
              <w:rPr>
                <w:spacing w:val="-5"/>
                <w:sz w:val="18"/>
              </w:rPr>
              <w:t> </w:t>
            </w:r>
            <w:r>
              <w:rPr>
                <w:sz w:val="18"/>
              </w:rPr>
              <w:t>is</w:t>
            </w:r>
            <w:r>
              <w:rPr>
                <w:spacing w:val="-5"/>
                <w:sz w:val="18"/>
              </w:rPr>
              <w:t> </w:t>
            </w:r>
            <w:r>
              <w:rPr>
                <w:sz w:val="18"/>
              </w:rPr>
              <w:t>new</w:t>
            </w:r>
            <w:r>
              <w:rPr>
                <w:spacing w:val="-5"/>
                <w:sz w:val="18"/>
              </w:rPr>
              <w:t> </w:t>
            </w:r>
            <w:r>
              <w:rPr>
                <w:sz w:val="18"/>
              </w:rPr>
              <w:t>for</w:t>
            </w:r>
            <w:r>
              <w:rPr>
                <w:spacing w:val="-4"/>
                <w:sz w:val="18"/>
              </w:rPr>
              <w:t> </w:t>
            </w:r>
            <w:r>
              <w:rPr>
                <w:sz w:val="18"/>
              </w:rPr>
              <w:t>FFY22</w:t>
            </w:r>
            <w:r>
              <w:rPr>
                <w:spacing w:val="-5"/>
                <w:sz w:val="18"/>
              </w:rPr>
              <w:t> </w:t>
            </w:r>
            <w:r>
              <w:rPr>
                <w:sz w:val="18"/>
              </w:rPr>
              <w:t>and</w:t>
            </w:r>
            <w:r>
              <w:rPr>
                <w:spacing w:val="-5"/>
                <w:sz w:val="18"/>
              </w:rPr>
              <w:t> </w:t>
            </w:r>
            <w:r>
              <w:rPr>
                <w:sz w:val="18"/>
              </w:rPr>
              <w:t>is</w:t>
            </w:r>
            <w:r>
              <w:rPr>
                <w:spacing w:val="-5"/>
                <w:sz w:val="18"/>
              </w:rPr>
              <w:t> </w:t>
            </w:r>
            <w:r>
              <w:rPr>
                <w:sz w:val="18"/>
              </w:rPr>
              <w:t>currently vacant. (LA)</w:t>
            </w:r>
          </w:p>
        </w:tc>
      </w:tr>
    </w:tbl>
    <w:p>
      <w:pPr>
        <w:pStyle w:val="BodyText"/>
        <w:spacing w:before="53"/>
      </w:pPr>
    </w:p>
    <w:tbl>
      <w:tblPr>
        <w:tblW w:w="0" w:type="auto"/>
        <w:jc w:val="left"/>
        <w:tblInd w:w="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2"/>
        <w:gridCol w:w="1133"/>
        <w:gridCol w:w="1474"/>
        <w:gridCol w:w="5271"/>
      </w:tblGrid>
      <w:tr>
        <w:trPr>
          <w:trHeight w:val="781" w:hRule="atLeast"/>
        </w:trPr>
        <w:tc>
          <w:tcPr>
            <w:tcW w:w="9400" w:type="dxa"/>
            <w:gridSpan w:val="4"/>
          </w:tcPr>
          <w:p>
            <w:pPr>
              <w:pStyle w:val="TableParagraph"/>
              <w:spacing w:before="42"/>
              <w:rPr>
                <w:sz w:val="20"/>
              </w:rPr>
            </w:pPr>
          </w:p>
          <w:p>
            <w:pPr>
              <w:pStyle w:val="TableParagraph"/>
              <w:spacing w:before="1"/>
              <w:ind w:left="24" w:right="52"/>
              <w:jc w:val="center"/>
              <w:rPr>
                <w:b/>
                <w:sz w:val="20"/>
              </w:rPr>
            </w:pPr>
            <w:r>
              <w:rPr>
                <w:b/>
                <w:sz w:val="20"/>
              </w:rPr>
              <w:t>&lt;</w:t>
            </w:r>
            <w:r>
              <w:rPr>
                <w:b/>
                <w:spacing w:val="-4"/>
                <w:sz w:val="20"/>
              </w:rPr>
              <w:t> </w:t>
            </w:r>
            <w:r>
              <w:rPr>
                <w:b/>
                <w:sz w:val="20"/>
              </w:rPr>
              <w:t>100%</w:t>
            </w:r>
            <w:r>
              <w:rPr>
                <w:b/>
                <w:spacing w:val="-5"/>
                <w:sz w:val="20"/>
              </w:rPr>
              <w:t> </w:t>
            </w:r>
            <w:r>
              <w:rPr>
                <w:b/>
                <w:sz w:val="20"/>
              </w:rPr>
              <w:t>funded</w:t>
            </w:r>
            <w:r>
              <w:rPr>
                <w:b/>
                <w:spacing w:val="-3"/>
                <w:sz w:val="20"/>
              </w:rPr>
              <w:t> </w:t>
            </w:r>
            <w:r>
              <w:rPr>
                <w:b/>
                <w:sz w:val="20"/>
              </w:rPr>
              <w:t>with</w:t>
            </w:r>
            <w:r>
              <w:rPr>
                <w:b/>
                <w:spacing w:val="-4"/>
                <w:sz w:val="20"/>
              </w:rPr>
              <w:t> </w:t>
            </w:r>
            <w:r>
              <w:rPr>
                <w:b/>
                <w:sz w:val="20"/>
              </w:rPr>
              <w:t>Part</w:t>
            </w:r>
            <w:r>
              <w:rPr>
                <w:b/>
                <w:spacing w:val="-4"/>
                <w:sz w:val="20"/>
              </w:rPr>
              <w:t> </w:t>
            </w:r>
            <w:r>
              <w:rPr>
                <w:b/>
                <w:sz w:val="20"/>
              </w:rPr>
              <w:t>C</w:t>
            </w:r>
            <w:r>
              <w:rPr>
                <w:b/>
                <w:spacing w:val="-4"/>
                <w:sz w:val="20"/>
              </w:rPr>
              <w:t> </w:t>
            </w:r>
            <w:r>
              <w:rPr>
                <w:b/>
                <w:spacing w:val="-2"/>
                <w:sz w:val="20"/>
              </w:rPr>
              <w:t>Funds</w:t>
            </w:r>
          </w:p>
        </w:tc>
      </w:tr>
      <w:tr>
        <w:trPr>
          <w:trHeight w:val="1036" w:hRule="atLeast"/>
        </w:trPr>
        <w:tc>
          <w:tcPr>
            <w:tcW w:w="1522" w:type="dxa"/>
          </w:tcPr>
          <w:p>
            <w:pPr>
              <w:pStyle w:val="TableParagraph"/>
              <w:spacing w:before="99"/>
              <w:ind w:left="110" w:right="284"/>
              <w:rPr>
                <w:sz w:val="18"/>
              </w:rPr>
            </w:pPr>
            <w:r>
              <w:rPr>
                <w:spacing w:val="-2"/>
                <w:sz w:val="18"/>
              </w:rPr>
              <w:t>Director, </w:t>
            </w:r>
            <w:r>
              <w:rPr>
                <w:sz w:val="18"/>
              </w:rPr>
              <w:t>Bureau of Family</w:t>
            </w:r>
            <w:r>
              <w:rPr>
                <w:spacing w:val="-13"/>
                <w:sz w:val="18"/>
              </w:rPr>
              <w:t> </w:t>
            </w:r>
            <w:r>
              <w:rPr>
                <w:sz w:val="18"/>
              </w:rPr>
              <w:t>Health and Nutrition</w:t>
            </w:r>
          </w:p>
        </w:tc>
        <w:tc>
          <w:tcPr>
            <w:tcW w:w="1133" w:type="dxa"/>
          </w:tcPr>
          <w:p>
            <w:pPr>
              <w:pStyle w:val="TableParagraph"/>
              <w:spacing w:before="204"/>
              <w:rPr>
                <w:sz w:val="18"/>
              </w:rPr>
            </w:pPr>
          </w:p>
          <w:p>
            <w:pPr>
              <w:pStyle w:val="TableParagraph"/>
              <w:ind w:left="17"/>
              <w:jc w:val="center"/>
              <w:rPr>
                <w:sz w:val="18"/>
              </w:rPr>
            </w:pPr>
            <w:r>
              <w:rPr>
                <w:spacing w:val="-5"/>
                <w:sz w:val="18"/>
              </w:rPr>
              <w:t>.5</w:t>
            </w:r>
          </w:p>
        </w:tc>
        <w:tc>
          <w:tcPr>
            <w:tcW w:w="1474" w:type="dxa"/>
          </w:tcPr>
          <w:p>
            <w:pPr>
              <w:pStyle w:val="TableParagraph"/>
              <w:spacing w:before="204"/>
              <w:rPr>
                <w:sz w:val="18"/>
              </w:rPr>
            </w:pPr>
          </w:p>
          <w:p>
            <w:pPr>
              <w:pStyle w:val="TableParagraph"/>
              <w:ind w:left="412"/>
              <w:rPr>
                <w:sz w:val="18"/>
              </w:rPr>
            </w:pPr>
            <w:r>
              <w:rPr>
                <w:spacing w:val="-2"/>
                <w:sz w:val="18"/>
              </w:rPr>
              <w:t>$65,156</w:t>
            </w:r>
          </w:p>
        </w:tc>
        <w:tc>
          <w:tcPr>
            <w:tcW w:w="5271" w:type="dxa"/>
          </w:tcPr>
          <w:p>
            <w:pPr>
              <w:pStyle w:val="TableParagraph"/>
              <w:spacing w:line="206" w:lineRule="exact"/>
              <w:ind w:left="104"/>
              <w:rPr>
                <w:sz w:val="18"/>
              </w:rPr>
            </w:pPr>
            <w:r>
              <w:rPr>
                <w:sz w:val="18"/>
              </w:rPr>
              <w:t>The</w:t>
            </w:r>
            <w:r>
              <w:rPr>
                <w:spacing w:val="-4"/>
                <w:sz w:val="18"/>
              </w:rPr>
              <w:t> </w:t>
            </w:r>
            <w:r>
              <w:rPr>
                <w:sz w:val="18"/>
              </w:rPr>
              <w:t>Early</w:t>
            </w:r>
            <w:r>
              <w:rPr>
                <w:spacing w:val="-4"/>
                <w:sz w:val="18"/>
              </w:rPr>
              <w:t> </w:t>
            </w:r>
            <w:r>
              <w:rPr>
                <w:sz w:val="18"/>
              </w:rPr>
              <w:t>Intervention</w:t>
            </w:r>
            <w:r>
              <w:rPr>
                <w:spacing w:val="-4"/>
                <w:sz w:val="18"/>
              </w:rPr>
              <w:t> </w:t>
            </w:r>
            <w:r>
              <w:rPr>
                <w:sz w:val="18"/>
              </w:rPr>
              <w:t>Division</w:t>
            </w:r>
            <w:r>
              <w:rPr>
                <w:spacing w:val="-4"/>
                <w:sz w:val="18"/>
              </w:rPr>
              <w:t> </w:t>
            </w:r>
            <w:r>
              <w:rPr>
                <w:sz w:val="18"/>
              </w:rPr>
              <w:t>is</w:t>
            </w:r>
            <w:r>
              <w:rPr>
                <w:spacing w:val="-4"/>
                <w:sz w:val="18"/>
              </w:rPr>
              <w:t> </w:t>
            </w:r>
            <w:r>
              <w:rPr>
                <w:sz w:val="18"/>
              </w:rPr>
              <w:t>part</w:t>
            </w:r>
            <w:r>
              <w:rPr>
                <w:spacing w:val="-3"/>
                <w:sz w:val="18"/>
              </w:rPr>
              <w:t> </w:t>
            </w:r>
            <w:r>
              <w:rPr>
                <w:sz w:val="18"/>
              </w:rPr>
              <w:t>of</w:t>
            </w:r>
            <w:r>
              <w:rPr>
                <w:spacing w:val="-3"/>
                <w:sz w:val="18"/>
              </w:rPr>
              <w:t> </w:t>
            </w:r>
            <w:r>
              <w:rPr>
                <w:sz w:val="18"/>
              </w:rPr>
              <w:t>the</w:t>
            </w:r>
            <w:r>
              <w:rPr>
                <w:spacing w:val="-4"/>
                <w:sz w:val="18"/>
              </w:rPr>
              <w:t> </w:t>
            </w:r>
            <w:r>
              <w:rPr>
                <w:sz w:val="18"/>
              </w:rPr>
              <w:t>Bureau</w:t>
            </w:r>
            <w:r>
              <w:rPr>
                <w:spacing w:val="-4"/>
                <w:sz w:val="18"/>
              </w:rPr>
              <w:t> </w:t>
            </w:r>
            <w:r>
              <w:rPr>
                <w:sz w:val="18"/>
              </w:rPr>
              <w:t>of</w:t>
            </w:r>
            <w:r>
              <w:rPr>
                <w:spacing w:val="-3"/>
                <w:sz w:val="18"/>
              </w:rPr>
              <w:t> </w:t>
            </w:r>
            <w:r>
              <w:rPr>
                <w:sz w:val="18"/>
              </w:rPr>
              <w:t>Family Health and Nutrition. The Bureau Director provides strategic planning, management, and support to the Part C program leadership and advance the Part C programmatic goals in a variety of contexts. (LA)</w:t>
            </w:r>
          </w:p>
        </w:tc>
      </w:tr>
    </w:tbl>
    <w:p>
      <w:pPr>
        <w:pStyle w:val="TableParagraph"/>
        <w:spacing w:after="0" w:line="206" w:lineRule="exact"/>
        <w:rPr>
          <w:sz w:val="18"/>
        </w:rPr>
        <w:sectPr>
          <w:pgSz w:w="12240" w:h="15840"/>
          <w:pgMar w:header="0" w:footer="879" w:top="1420" w:bottom="1313" w:left="720" w:right="720"/>
        </w:sectPr>
      </w:pPr>
    </w:p>
    <w:tbl>
      <w:tblPr>
        <w:tblW w:w="0" w:type="auto"/>
        <w:jc w:val="left"/>
        <w:tblInd w:w="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2"/>
        <w:gridCol w:w="1133"/>
        <w:gridCol w:w="1474"/>
        <w:gridCol w:w="5271"/>
      </w:tblGrid>
      <w:tr>
        <w:trPr>
          <w:trHeight w:val="733" w:hRule="atLeast"/>
        </w:trPr>
        <w:tc>
          <w:tcPr>
            <w:tcW w:w="1522" w:type="dxa"/>
            <w:tcBorders>
              <w:top w:val="nil"/>
            </w:tcBorders>
          </w:tcPr>
          <w:p>
            <w:pPr>
              <w:pStyle w:val="TableParagraph"/>
              <w:spacing w:before="56"/>
              <w:ind w:left="110" w:right="218"/>
              <w:rPr>
                <w:sz w:val="18"/>
              </w:rPr>
            </w:pPr>
            <w:r>
              <w:rPr>
                <w:spacing w:val="-2"/>
                <w:sz w:val="18"/>
              </w:rPr>
              <w:t>Director, Administration </w:t>
            </w:r>
            <w:r>
              <w:rPr>
                <w:sz w:val="18"/>
              </w:rPr>
              <w:t>&amp; Finance</w:t>
            </w:r>
          </w:p>
        </w:tc>
        <w:tc>
          <w:tcPr>
            <w:tcW w:w="1133" w:type="dxa"/>
            <w:tcBorders>
              <w:top w:val="nil"/>
            </w:tcBorders>
          </w:tcPr>
          <w:p>
            <w:pPr>
              <w:pStyle w:val="TableParagraph"/>
              <w:spacing w:before="56"/>
              <w:rPr>
                <w:sz w:val="18"/>
              </w:rPr>
            </w:pPr>
          </w:p>
          <w:p>
            <w:pPr>
              <w:pStyle w:val="TableParagraph"/>
              <w:ind w:left="17"/>
              <w:jc w:val="center"/>
              <w:rPr>
                <w:sz w:val="18"/>
              </w:rPr>
            </w:pPr>
            <w:r>
              <w:rPr>
                <w:spacing w:val="-5"/>
                <w:sz w:val="18"/>
              </w:rPr>
              <w:t>.5</w:t>
            </w:r>
          </w:p>
        </w:tc>
        <w:tc>
          <w:tcPr>
            <w:tcW w:w="1474" w:type="dxa"/>
            <w:tcBorders>
              <w:top w:val="nil"/>
            </w:tcBorders>
          </w:tcPr>
          <w:p>
            <w:pPr>
              <w:pStyle w:val="TableParagraph"/>
              <w:spacing w:before="56"/>
              <w:rPr>
                <w:sz w:val="18"/>
              </w:rPr>
            </w:pPr>
          </w:p>
          <w:p>
            <w:pPr>
              <w:pStyle w:val="TableParagraph"/>
              <w:ind w:left="22" w:right="2"/>
              <w:jc w:val="center"/>
              <w:rPr>
                <w:sz w:val="18"/>
              </w:rPr>
            </w:pPr>
            <w:r>
              <w:rPr>
                <w:spacing w:val="-2"/>
                <w:sz w:val="18"/>
              </w:rPr>
              <w:t>$55,808</w:t>
            </w:r>
          </w:p>
        </w:tc>
        <w:tc>
          <w:tcPr>
            <w:tcW w:w="5271" w:type="dxa"/>
            <w:tcBorders>
              <w:top w:val="nil"/>
            </w:tcBorders>
          </w:tcPr>
          <w:p>
            <w:pPr>
              <w:pStyle w:val="TableParagraph"/>
              <w:spacing w:line="244" w:lineRule="auto" w:before="157"/>
              <w:ind w:left="104"/>
              <w:rPr>
                <w:sz w:val="18"/>
              </w:rPr>
            </w:pPr>
            <w:r>
              <w:rPr>
                <w:sz w:val="18"/>
              </w:rPr>
              <w:t>The</w:t>
            </w:r>
            <w:r>
              <w:rPr>
                <w:spacing w:val="-7"/>
                <w:sz w:val="18"/>
              </w:rPr>
              <w:t> </w:t>
            </w:r>
            <w:r>
              <w:rPr>
                <w:sz w:val="18"/>
              </w:rPr>
              <w:t>Director</w:t>
            </w:r>
            <w:r>
              <w:rPr>
                <w:spacing w:val="-6"/>
                <w:sz w:val="18"/>
              </w:rPr>
              <w:t> </w:t>
            </w:r>
            <w:r>
              <w:rPr>
                <w:sz w:val="18"/>
              </w:rPr>
              <w:t>of</w:t>
            </w:r>
            <w:r>
              <w:rPr>
                <w:spacing w:val="-6"/>
                <w:sz w:val="18"/>
              </w:rPr>
              <w:t> </w:t>
            </w:r>
            <w:r>
              <w:rPr>
                <w:sz w:val="18"/>
              </w:rPr>
              <w:t>Administration</w:t>
            </w:r>
            <w:r>
              <w:rPr>
                <w:spacing w:val="-7"/>
                <w:sz w:val="18"/>
              </w:rPr>
              <w:t> </w:t>
            </w:r>
            <w:r>
              <w:rPr>
                <w:sz w:val="18"/>
              </w:rPr>
              <w:t>and</w:t>
            </w:r>
            <w:r>
              <w:rPr>
                <w:spacing w:val="-8"/>
                <w:sz w:val="18"/>
              </w:rPr>
              <w:t> </w:t>
            </w:r>
            <w:r>
              <w:rPr>
                <w:sz w:val="18"/>
              </w:rPr>
              <w:t>Finance</w:t>
            </w:r>
            <w:r>
              <w:rPr>
                <w:spacing w:val="-7"/>
                <w:sz w:val="18"/>
              </w:rPr>
              <w:t> </w:t>
            </w:r>
            <w:r>
              <w:rPr>
                <w:sz w:val="18"/>
              </w:rPr>
              <w:t>oversees reimbursement procedures. (LA)</w:t>
            </w:r>
          </w:p>
        </w:tc>
      </w:tr>
      <w:tr>
        <w:trPr>
          <w:trHeight w:val="733" w:hRule="atLeast"/>
        </w:trPr>
        <w:tc>
          <w:tcPr>
            <w:tcW w:w="1522" w:type="dxa"/>
          </w:tcPr>
          <w:p>
            <w:pPr>
              <w:pStyle w:val="TableParagraph"/>
              <w:spacing w:before="55"/>
              <w:rPr>
                <w:sz w:val="18"/>
              </w:rPr>
            </w:pPr>
          </w:p>
          <w:p>
            <w:pPr>
              <w:pStyle w:val="TableParagraph"/>
              <w:ind w:left="110"/>
              <w:rPr>
                <w:sz w:val="18"/>
              </w:rPr>
            </w:pPr>
            <w:r>
              <w:rPr>
                <w:sz w:val="18"/>
              </w:rPr>
              <w:t>ICC</w:t>
            </w:r>
            <w:r>
              <w:rPr>
                <w:spacing w:val="-2"/>
                <w:sz w:val="18"/>
              </w:rPr>
              <w:t> Coordinator</w:t>
            </w:r>
          </w:p>
        </w:tc>
        <w:tc>
          <w:tcPr>
            <w:tcW w:w="1133" w:type="dxa"/>
          </w:tcPr>
          <w:p>
            <w:pPr>
              <w:pStyle w:val="TableParagraph"/>
              <w:spacing w:before="55"/>
              <w:rPr>
                <w:sz w:val="18"/>
              </w:rPr>
            </w:pPr>
          </w:p>
          <w:p>
            <w:pPr>
              <w:pStyle w:val="TableParagraph"/>
              <w:ind w:left="17"/>
              <w:jc w:val="center"/>
              <w:rPr>
                <w:sz w:val="18"/>
              </w:rPr>
            </w:pPr>
            <w:r>
              <w:rPr>
                <w:spacing w:val="-5"/>
                <w:sz w:val="18"/>
              </w:rPr>
              <w:t>.5</w:t>
            </w:r>
          </w:p>
        </w:tc>
        <w:tc>
          <w:tcPr>
            <w:tcW w:w="1474" w:type="dxa"/>
          </w:tcPr>
          <w:p>
            <w:pPr>
              <w:pStyle w:val="TableParagraph"/>
              <w:spacing w:before="55"/>
              <w:rPr>
                <w:sz w:val="18"/>
              </w:rPr>
            </w:pPr>
          </w:p>
          <w:p>
            <w:pPr>
              <w:pStyle w:val="TableParagraph"/>
              <w:ind w:left="22" w:right="2"/>
              <w:jc w:val="center"/>
              <w:rPr>
                <w:sz w:val="18"/>
              </w:rPr>
            </w:pPr>
            <w:r>
              <w:rPr>
                <w:spacing w:val="-2"/>
                <w:sz w:val="18"/>
              </w:rPr>
              <w:t>$44,222</w:t>
            </w:r>
          </w:p>
        </w:tc>
        <w:tc>
          <w:tcPr>
            <w:tcW w:w="5271" w:type="dxa"/>
          </w:tcPr>
          <w:p>
            <w:pPr>
              <w:pStyle w:val="TableParagraph"/>
              <w:spacing w:before="56"/>
              <w:ind w:left="104" w:right="94"/>
              <w:rPr>
                <w:sz w:val="18"/>
              </w:rPr>
            </w:pPr>
            <w:r>
              <w:rPr>
                <w:sz w:val="18"/>
              </w:rPr>
              <w:t>ICC Coordinator provides strategic and administrative support to</w:t>
            </w:r>
            <w:r>
              <w:rPr>
                <w:spacing w:val="-6"/>
                <w:sz w:val="18"/>
              </w:rPr>
              <w:t> </w:t>
            </w:r>
            <w:r>
              <w:rPr>
                <w:sz w:val="18"/>
              </w:rPr>
              <w:t>ICC</w:t>
            </w:r>
            <w:r>
              <w:rPr>
                <w:spacing w:val="-6"/>
                <w:sz w:val="18"/>
              </w:rPr>
              <w:t> </w:t>
            </w:r>
            <w:r>
              <w:rPr>
                <w:sz w:val="18"/>
              </w:rPr>
              <w:t>including</w:t>
            </w:r>
            <w:r>
              <w:rPr>
                <w:spacing w:val="-6"/>
                <w:sz w:val="18"/>
              </w:rPr>
              <w:t> </w:t>
            </w:r>
            <w:r>
              <w:rPr>
                <w:sz w:val="18"/>
              </w:rPr>
              <w:t>scheduling,</w:t>
            </w:r>
            <w:r>
              <w:rPr>
                <w:spacing w:val="-5"/>
                <w:sz w:val="18"/>
              </w:rPr>
              <w:t> </w:t>
            </w:r>
            <w:r>
              <w:rPr>
                <w:sz w:val="18"/>
              </w:rPr>
              <w:t>training,</w:t>
            </w:r>
            <w:r>
              <w:rPr>
                <w:spacing w:val="-5"/>
                <w:sz w:val="18"/>
              </w:rPr>
              <w:t> </w:t>
            </w:r>
            <w:r>
              <w:rPr>
                <w:sz w:val="18"/>
              </w:rPr>
              <w:t>recruitment,</w:t>
            </w:r>
            <w:r>
              <w:rPr>
                <w:spacing w:val="-5"/>
                <w:sz w:val="18"/>
              </w:rPr>
              <w:t> </w:t>
            </w:r>
            <w:r>
              <w:rPr>
                <w:sz w:val="18"/>
              </w:rPr>
              <w:t>and</w:t>
            </w:r>
            <w:r>
              <w:rPr>
                <w:spacing w:val="-6"/>
                <w:sz w:val="18"/>
              </w:rPr>
              <w:t> </w:t>
            </w:r>
            <w:r>
              <w:rPr>
                <w:sz w:val="18"/>
              </w:rPr>
              <w:t>ensuring compliance with applicable laws and regulations. (LA)</w:t>
            </w:r>
          </w:p>
        </w:tc>
      </w:tr>
      <w:tr>
        <w:trPr>
          <w:trHeight w:val="738" w:hRule="atLeast"/>
        </w:trPr>
        <w:tc>
          <w:tcPr>
            <w:tcW w:w="1522" w:type="dxa"/>
          </w:tcPr>
          <w:p>
            <w:pPr>
              <w:pStyle w:val="TableParagraph"/>
              <w:spacing w:before="60"/>
              <w:rPr>
                <w:sz w:val="18"/>
              </w:rPr>
            </w:pPr>
          </w:p>
          <w:p>
            <w:pPr>
              <w:pStyle w:val="TableParagraph"/>
              <w:ind w:left="110"/>
              <w:rPr>
                <w:sz w:val="18"/>
              </w:rPr>
            </w:pPr>
            <w:r>
              <w:rPr>
                <w:sz w:val="18"/>
              </w:rPr>
              <w:t>Biometrician</w:t>
            </w:r>
            <w:r>
              <w:rPr>
                <w:spacing w:val="-10"/>
                <w:sz w:val="18"/>
              </w:rPr>
              <w:t> </w:t>
            </w:r>
            <w:r>
              <w:rPr>
                <w:spacing w:val="-5"/>
                <w:sz w:val="18"/>
              </w:rPr>
              <w:t>II</w:t>
            </w:r>
          </w:p>
        </w:tc>
        <w:tc>
          <w:tcPr>
            <w:tcW w:w="1133" w:type="dxa"/>
          </w:tcPr>
          <w:p>
            <w:pPr>
              <w:pStyle w:val="TableParagraph"/>
              <w:spacing w:before="60"/>
              <w:rPr>
                <w:sz w:val="18"/>
              </w:rPr>
            </w:pPr>
          </w:p>
          <w:p>
            <w:pPr>
              <w:pStyle w:val="TableParagraph"/>
              <w:ind w:left="17"/>
              <w:jc w:val="center"/>
              <w:rPr>
                <w:sz w:val="18"/>
              </w:rPr>
            </w:pPr>
            <w:r>
              <w:rPr>
                <w:spacing w:val="-5"/>
                <w:sz w:val="18"/>
              </w:rPr>
              <w:t>.5</w:t>
            </w:r>
          </w:p>
        </w:tc>
        <w:tc>
          <w:tcPr>
            <w:tcW w:w="1474" w:type="dxa"/>
          </w:tcPr>
          <w:p>
            <w:pPr>
              <w:pStyle w:val="TableParagraph"/>
              <w:spacing w:before="60"/>
              <w:rPr>
                <w:sz w:val="18"/>
              </w:rPr>
            </w:pPr>
          </w:p>
          <w:p>
            <w:pPr>
              <w:pStyle w:val="TableParagraph"/>
              <w:ind w:left="22" w:right="2"/>
              <w:jc w:val="center"/>
              <w:rPr>
                <w:sz w:val="18"/>
              </w:rPr>
            </w:pPr>
            <w:r>
              <w:rPr>
                <w:spacing w:val="-2"/>
                <w:sz w:val="18"/>
              </w:rPr>
              <w:t>$63,737</w:t>
            </w:r>
          </w:p>
        </w:tc>
        <w:tc>
          <w:tcPr>
            <w:tcW w:w="5271" w:type="dxa"/>
          </w:tcPr>
          <w:p>
            <w:pPr>
              <w:pStyle w:val="TableParagraph"/>
              <w:spacing w:before="162"/>
              <w:ind w:left="104" w:right="193"/>
              <w:rPr>
                <w:sz w:val="18"/>
              </w:rPr>
            </w:pPr>
            <w:r>
              <w:rPr>
                <w:sz w:val="18"/>
              </w:rPr>
              <w:t>This</w:t>
            </w:r>
            <w:r>
              <w:rPr>
                <w:spacing w:val="-6"/>
                <w:sz w:val="18"/>
              </w:rPr>
              <w:t> </w:t>
            </w:r>
            <w:r>
              <w:rPr>
                <w:sz w:val="18"/>
              </w:rPr>
              <w:t>individual</w:t>
            </w:r>
            <w:r>
              <w:rPr>
                <w:spacing w:val="-5"/>
                <w:sz w:val="18"/>
              </w:rPr>
              <w:t> </w:t>
            </w:r>
            <w:r>
              <w:rPr>
                <w:sz w:val="18"/>
              </w:rPr>
              <w:t>provides</w:t>
            </w:r>
            <w:r>
              <w:rPr>
                <w:spacing w:val="-6"/>
                <w:sz w:val="18"/>
              </w:rPr>
              <w:t> </w:t>
            </w:r>
            <w:r>
              <w:rPr>
                <w:sz w:val="18"/>
              </w:rPr>
              <w:t>analytic</w:t>
            </w:r>
            <w:r>
              <w:rPr>
                <w:spacing w:val="-6"/>
                <w:sz w:val="18"/>
              </w:rPr>
              <w:t> </w:t>
            </w:r>
            <w:r>
              <w:rPr>
                <w:sz w:val="18"/>
              </w:rPr>
              <w:t>support</w:t>
            </w:r>
            <w:r>
              <w:rPr>
                <w:spacing w:val="-5"/>
                <w:sz w:val="18"/>
              </w:rPr>
              <w:t> </w:t>
            </w:r>
            <w:r>
              <w:rPr>
                <w:sz w:val="18"/>
              </w:rPr>
              <w:t>for</w:t>
            </w:r>
            <w:r>
              <w:rPr>
                <w:spacing w:val="-5"/>
                <w:sz w:val="18"/>
              </w:rPr>
              <w:t> </w:t>
            </w:r>
            <w:r>
              <w:rPr>
                <w:sz w:val="18"/>
              </w:rPr>
              <w:t>related</w:t>
            </w:r>
            <w:r>
              <w:rPr>
                <w:spacing w:val="-6"/>
                <w:sz w:val="18"/>
              </w:rPr>
              <w:t> </w:t>
            </w:r>
            <w:r>
              <w:rPr>
                <w:sz w:val="18"/>
              </w:rPr>
              <w:t>vital records data. (LA)</w:t>
            </w:r>
          </w:p>
        </w:tc>
      </w:tr>
    </w:tbl>
    <w:p>
      <w:pPr>
        <w:pStyle w:val="BodyText"/>
        <w:spacing w:before="40"/>
      </w:pPr>
      <w:r>
        <w:rPr/>
        <mc:AlternateContent>
          <mc:Choice Requires="wps">
            <w:drawing>
              <wp:anchor distT="0" distB="0" distL="0" distR="0" allowOverlap="1" layoutInCell="1" locked="0" behindDoc="1" simplePos="0" relativeHeight="487593472">
                <wp:simplePos x="0" y="0"/>
                <wp:positionH relativeFrom="page">
                  <wp:posOffset>2606112</wp:posOffset>
                </wp:positionH>
                <wp:positionV relativeFrom="paragraph">
                  <wp:posOffset>187524</wp:posOffset>
                </wp:positionV>
                <wp:extent cx="4291965" cy="19812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4291965" cy="198120"/>
                          <a:chExt cx="4291965" cy="198120"/>
                        </a:xfrm>
                      </wpg:grpSpPr>
                      <wps:wsp>
                        <wps:cNvPr id="23" name="Graphic 23"/>
                        <wps:cNvSpPr/>
                        <wps:spPr>
                          <a:xfrm>
                            <a:off x="-8" y="3"/>
                            <a:ext cx="932815" cy="198120"/>
                          </a:xfrm>
                          <a:custGeom>
                            <a:avLst/>
                            <a:gdLst/>
                            <a:ahLst/>
                            <a:cxnLst/>
                            <a:rect l="l" t="t" r="r" b="b"/>
                            <a:pathLst>
                              <a:path w="932815" h="198120">
                                <a:moveTo>
                                  <a:pt x="932688" y="0"/>
                                </a:moveTo>
                                <a:lnTo>
                                  <a:pt x="18288" y="0"/>
                                </a:lnTo>
                                <a:lnTo>
                                  <a:pt x="6096" y="0"/>
                                </a:lnTo>
                                <a:lnTo>
                                  <a:pt x="0" y="0"/>
                                </a:lnTo>
                                <a:lnTo>
                                  <a:pt x="0" y="12192"/>
                                </a:lnTo>
                                <a:lnTo>
                                  <a:pt x="0" y="185928"/>
                                </a:lnTo>
                                <a:lnTo>
                                  <a:pt x="0" y="198120"/>
                                </a:lnTo>
                                <a:lnTo>
                                  <a:pt x="6096" y="198120"/>
                                </a:lnTo>
                                <a:lnTo>
                                  <a:pt x="18288" y="198120"/>
                                </a:lnTo>
                                <a:lnTo>
                                  <a:pt x="932688" y="198120"/>
                                </a:lnTo>
                                <a:lnTo>
                                  <a:pt x="932688" y="185928"/>
                                </a:lnTo>
                                <a:lnTo>
                                  <a:pt x="18288" y="185928"/>
                                </a:lnTo>
                                <a:lnTo>
                                  <a:pt x="6096" y="185928"/>
                                </a:lnTo>
                                <a:lnTo>
                                  <a:pt x="6096" y="12192"/>
                                </a:lnTo>
                                <a:lnTo>
                                  <a:pt x="18288" y="12192"/>
                                </a:lnTo>
                                <a:lnTo>
                                  <a:pt x="932688" y="12192"/>
                                </a:lnTo>
                                <a:lnTo>
                                  <a:pt x="932688"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938783" y="6095"/>
                            <a:ext cx="3347085" cy="186055"/>
                          </a:xfrm>
                          <a:prstGeom prst="rect">
                            <a:avLst/>
                          </a:prstGeom>
                          <a:ln w="12192">
                            <a:solidFill>
                              <a:srgbClr val="000000"/>
                            </a:solidFill>
                            <a:prstDash val="solid"/>
                          </a:ln>
                        </wps:spPr>
                        <wps:txbx>
                          <w:txbxContent>
                            <w:p>
                              <w:pPr>
                                <w:spacing w:line="206" w:lineRule="exact" w:before="0"/>
                                <w:ind w:left="1499" w:right="0" w:firstLine="0"/>
                                <w:jc w:val="left"/>
                                <w:rPr>
                                  <w:b/>
                                  <w:sz w:val="18"/>
                                </w:rPr>
                              </w:pPr>
                              <w:r>
                                <w:rPr>
                                  <w:b/>
                                  <w:sz w:val="18"/>
                                </w:rPr>
                                <w:t>Sub-total</w:t>
                              </w:r>
                              <w:r>
                                <w:rPr>
                                  <w:b/>
                                  <w:spacing w:val="-8"/>
                                  <w:sz w:val="18"/>
                                </w:rPr>
                                <w:t> </w:t>
                              </w:r>
                              <w:r>
                                <w:rPr>
                                  <w:b/>
                                  <w:sz w:val="18"/>
                                </w:rPr>
                                <w:t>Personnel</w:t>
                              </w:r>
                              <w:r>
                                <w:rPr>
                                  <w:b/>
                                  <w:spacing w:val="-7"/>
                                  <w:sz w:val="18"/>
                                </w:rPr>
                                <w:t> </w:t>
                              </w:r>
                              <w:r>
                                <w:rPr>
                                  <w:b/>
                                  <w:spacing w:val="-2"/>
                                  <w:sz w:val="18"/>
                                </w:rPr>
                                <w:t>Costs</w:t>
                              </w:r>
                            </w:p>
                          </w:txbxContent>
                        </wps:txbx>
                        <wps:bodyPr wrap="square" lIns="0" tIns="0" rIns="0" bIns="0" rtlCol="0">
                          <a:noAutofit/>
                        </wps:bodyPr>
                      </wps:wsp>
                      <wps:wsp>
                        <wps:cNvPr id="25" name="Textbox 25"/>
                        <wps:cNvSpPr txBox="1"/>
                        <wps:spPr>
                          <a:xfrm>
                            <a:off x="6095" y="12191"/>
                            <a:ext cx="927100" cy="173990"/>
                          </a:xfrm>
                          <a:prstGeom prst="rect">
                            <a:avLst/>
                          </a:prstGeom>
                        </wps:spPr>
                        <wps:txbx>
                          <w:txbxContent>
                            <w:p>
                              <w:pPr>
                                <w:spacing w:before="19"/>
                                <w:ind w:left="233" w:right="0" w:firstLine="0"/>
                                <w:jc w:val="left"/>
                                <w:rPr>
                                  <w:b/>
                                  <w:sz w:val="20"/>
                                </w:rPr>
                              </w:pPr>
                              <w:r>
                                <w:rPr>
                                  <w:b/>
                                  <w:spacing w:val="-2"/>
                                  <w:sz w:val="20"/>
                                </w:rPr>
                                <w:t>$2,790,972</w:t>
                              </w:r>
                            </w:p>
                          </w:txbxContent>
                        </wps:txbx>
                        <wps:bodyPr wrap="square" lIns="0" tIns="0" rIns="0" bIns="0" rtlCol="0">
                          <a:noAutofit/>
                        </wps:bodyPr>
                      </wps:wsp>
                    </wpg:wgp>
                  </a:graphicData>
                </a:graphic>
              </wp:anchor>
            </w:drawing>
          </mc:Choice>
          <mc:Fallback>
            <w:pict>
              <v:group style="position:absolute;margin-left:205.205704pt;margin-top:14.7657pt;width:337.95pt;height:15.6pt;mso-position-horizontal-relative:page;mso-position-vertical-relative:paragraph;z-index:-15723008;mso-wrap-distance-left:0;mso-wrap-distance-right:0" id="docshapegroup15" coordorigin="4104,295" coordsize="6759,312">
                <v:shape style="position:absolute;left:4104;top:295;width:1469;height:312" id="docshape16" coordorigin="4104,295" coordsize="1469,312" path="m5573,295l4133,295,4114,295,4104,295,4104,315,4104,588,4104,607,4114,607,4133,607,5573,607,5573,588,4133,588,4114,588,4114,315,4133,315,5573,315,5573,295xe" filled="true" fillcolor="#000000" stroked="false">
                  <v:path arrowok="t"/>
                  <v:fill type="solid"/>
                </v:shape>
                <v:shape style="position:absolute;left:5582;top:304;width:5271;height:293" type="#_x0000_t202" id="docshape17" filled="false" stroked="true" strokeweight=".96pt" strokecolor="#000000">
                  <v:textbox inset="0,0,0,0">
                    <w:txbxContent>
                      <w:p>
                        <w:pPr>
                          <w:spacing w:line="206" w:lineRule="exact" w:before="0"/>
                          <w:ind w:left="1499" w:right="0" w:firstLine="0"/>
                          <w:jc w:val="left"/>
                          <w:rPr>
                            <w:b/>
                            <w:sz w:val="18"/>
                          </w:rPr>
                        </w:pPr>
                        <w:r>
                          <w:rPr>
                            <w:b/>
                            <w:sz w:val="18"/>
                          </w:rPr>
                          <w:t>Sub-total</w:t>
                        </w:r>
                        <w:r>
                          <w:rPr>
                            <w:b/>
                            <w:spacing w:val="-8"/>
                            <w:sz w:val="18"/>
                          </w:rPr>
                          <w:t> </w:t>
                        </w:r>
                        <w:r>
                          <w:rPr>
                            <w:b/>
                            <w:sz w:val="18"/>
                          </w:rPr>
                          <w:t>Personnel</w:t>
                        </w:r>
                        <w:r>
                          <w:rPr>
                            <w:b/>
                            <w:spacing w:val="-7"/>
                            <w:sz w:val="18"/>
                          </w:rPr>
                          <w:t> </w:t>
                        </w:r>
                        <w:r>
                          <w:rPr>
                            <w:b/>
                            <w:spacing w:val="-2"/>
                            <w:sz w:val="18"/>
                          </w:rPr>
                          <w:t>Costs</w:t>
                        </w:r>
                      </w:p>
                    </w:txbxContent>
                  </v:textbox>
                  <v:stroke dashstyle="solid"/>
                  <w10:wrap type="none"/>
                </v:shape>
                <v:shape style="position:absolute;left:4113;top:314;width:1460;height:274" type="#_x0000_t202" id="docshape18" filled="false" stroked="false">
                  <v:textbox inset="0,0,0,0">
                    <w:txbxContent>
                      <w:p>
                        <w:pPr>
                          <w:spacing w:before="19"/>
                          <w:ind w:left="233" w:right="0" w:firstLine="0"/>
                          <w:jc w:val="left"/>
                          <w:rPr>
                            <w:b/>
                            <w:sz w:val="20"/>
                          </w:rPr>
                        </w:pPr>
                        <w:r>
                          <w:rPr>
                            <w:b/>
                            <w:spacing w:val="-2"/>
                            <w:sz w:val="20"/>
                          </w:rPr>
                          <w:t>$2,790,972</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3984">
                <wp:simplePos x="0" y="0"/>
                <wp:positionH relativeFrom="page">
                  <wp:posOffset>2606112</wp:posOffset>
                </wp:positionH>
                <wp:positionV relativeFrom="paragraph">
                  <wp:posOffset>556332</wp:posOffset>
                </wp:positionV>
                <wp:extent cx="4291965" cy="19558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4291965" cy="195580"/>
                          <a:chExt cx="4291965" cy="195580"/>
                        </a:xfrm>
                      </wpg:grpSpPr>
                      <wps:wsp>
                        <wps:cNvPr id="27" name="Graphic 27"/>
                        <wps:cNvSpPr/>
                        <wps:spPr>
                          <a:xfrm>
                            <a:off x="-8" y="3"/>
                            <a:ext cx="932815" cy="195580"/>
                          </a:xfrm>
                          <a:custGeom>
                            <a:avLst/>
                            <a:gdLst/>
                            <a:ahLst/>
                            <a:cxnLst/>
                            <a:rect l="l" t="t" r="r" b="b"/>
                            <a:pathLst>
                              <a:path w="932815" h="195580">
                                <a:moveTo>
                                  <a:pt x="932688" y="0"/>
                                </a:moveTo>
                                <a:lnTo>
                                  <a:pt x="18288" y="0"/>
                                </a:lnTo>
                                <a:lnTo>
                                  <a:pt x="6096" y="0"/>
                                </a:lnTo>
                                <a:lnTo>
                                  <a:pt x="0" y="0"/>
                                </a:lnTo>
                                <a:lnTo>
                                  <a:pt x="0" y="12192"/>
                                </a:lnTo>
                                <a:lnTo>
                                  <a:pt x="0" y="182880"/>
                                </a:lnTo>
                                <a:lnTo>
                                  <a:pt x="0" y="195072"/>
                                </a:lnTo>
                                <a:lnTo>
                                  <a:pt x="6096" y="195072"/>
                                </a:lnTo>
                                <a:lnTo>
                                  <a:pt x="18288" y="195072"/>
                                </a:lnTo>
                                <a:lnTo>
                                  <a:pt x="932688" y="195072"/>
                                </a:lnTo>
                                <a:lnTo>
                                  <a:pt x="932688" y="182880"/>
                                </a:lnTo>
                                <a:lnTo>
                                  <a:pt x="18288" y="182880"/>
                                </a:lnTo>
                                <a:lnTo>
                                  <a:pt x="6096" y="182880"/>
                                </a:lnTo>
                                <a:lnTo>
                                  <a:pt x="6096" y="12192"/>
                                </a:lnTo>
                                <a:lnTo>
                                  <a:pt x="18288" y="12192"/>
                                </a:lnTo>
                                <a:lnTo>
                                  <a:pt x="932688" y="12192"/>
                                </a:lnTo>
                                <a:lnTo>
                                  <a:pt x="932688"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938783" y="6095"/>
                            <a:ext cx="3347085" cy="182880"/>
                          </a:xfrm>
                          <a:prstGeom prst="rect">
                            <a:avLst/>
                          </a:prstGeom>
                          <a:ln w="12192">
                            <a:solidFill>
                              <a:srgbClr val="000000"/>
                            </a:solidFill>
                            <a:prstDash val="solid"/>
                          </a:ln>
                        </wps:spPr>
                        <wps:txbx>
                          <w:txbxContent>
                            <w:p>
                              <w:pPr>
                                <w:spacing w:line="206" w:lineRule="exact" w:before="0"/>
                                <w:ind w:left="0" w:right="0" w:firstLine="0"/>
                                <w:jc w:val="center"/>
                                <w:rPr>
                                  <w:b/>
                                  <w:sz w:val="18"/>
                                </w:rPr>
                              </w:pPr>
                              <w:r>
                                <w:rPr>
                                  <w:b/>
                                  <w:sz w:val="18"/>
                                </w:rPr>
                                <w:t>Fringe</w:t>
                              </w:r>
                              <w:r>
                                <w:rPr>
                                  <w:b/>
                                  <w:spacing w:val="-5"/>
                                  <w:sz w:val="18"/>
                                </w:rPr>
                                <w:t> </w:t>
                              </w:r>
                              <w:r>
                                <w:rPr>
                                  <w:b/>
                                  <w:spacing w:val="-2"/>
                                  <w:sz w:val="18"/>
                                </w:rPr>
                                <w:t>Benefits</w:t>
                              </w:r>
                            </w:p>
                          </w:txbxContent>
                        </wps:txbx>
                        <wps:bodyPr wrap="square" lIns="0" tIns="0" rIns="0" bIns="0" rtlCol="0">
                          <a:noAutofit/>
                        </wps:bodyPr>
                      </wps:wsp>
                      <wps:wsp>
                        <wps:cNvPr id="29" name="Textbox 29"/>
                        <wps:cNvSpPr txBox="1"/>
                        <wps:spPr>
                          <a:xfrm>
                            <a:off x="6095" y="12191"/>
                            <a:ext cx="927100" cy="170815"/>
                          </a:xfrm>
                          <a:prstGeom prst="rect">
                            <a:avLst/>
                          </a:prstGeom>
                        </wps:spPr>
                        <wps:txbx>
                          <w:txbxContent>
                            <w:p>
                              <w:pPr>
                                <w:spacing w:before="19"/>
                                <w:ind w:left="205" w:right="0" w:firstLine="0"/>
                                <w:jc w:val="left"/>
                                <w:rPr>
                                  <w:b/>
                                  <w:sz w:val="20"/>
                                </w:rPr>
                              </w:pPr>
                              <w:r>
                                <w:rPr>
                                  <w:b/>
                                  <w:sz w:val="20"/>
                                </w:rPr>
                                <w:t>$</w:t>
                              </w:r>
                              <w:r>
                                <w:rPr>
                                  <w:b/>
                                  <w:spacing w:val="-1"/>
                                  <w:sz w:val="20"/>
                                </w:rPr>
                                <w:t> </w:t>
                              </w:r>
                              <w:r>
                                <w:rPr>
                                  <w:b/>
                                  <w:spacing w:val="-2"/>
                                  <w:sz w:val="20"/>
                                </w:rPr>
                                <w:t>1,100,480</w:t>
                              </w:r>
                            </w:p>
                          </w:txbxContent>
                        </wps:txbx>
                        <wps:bodyPr wrap="square" lIns="0" tIns="0" rIns="0" bIns="0" rtlCol="0">
                          <a:noAutofit/>
                        </wps:bodyPr>
                      </wps:wsp>
                    </wpg:wgp>
                  </a:graphicData>
                </a:graphic>
              </wp:anchor>
            </w:drawing>
          </mc:Choice>
          <mc:Fallback>
            <w:pict>
              <v:group style="position:absolute;margin-left:205.205704pt;margin-top:43.805698pt;width:337.95pt;height:15.4pt;mso-position-horizontal-relative:page;mso-position-vertical-relative:paragraph;z-index:-15722496;mso-wrap-distance-left:0;mso-wrap-distance-right:0" id="docshapegroup19" coordorigin="4104,876" coordsize="6759,308">
                <v:shape style="position:absolute;left:4104;top:876;width:1469;height:308" id="docshape20" coordorigin="4104,876" coordsize="1469,308" path="m5573,876l4133,876,4114,876,4104,876,4104,895,4104,1164,4104,1183,4114,1183,4133,1183,5573,1183,5573,1164,4133,1164,4114,1164,4114,895,4133,895,5573,895,5573,876xe" filled="true" fillcolor="#000000" stroked="false">
                  <v:path arrowok="t"/>
                  <v:fill type="solid"/>
                </v:shape>
                <v:shape style="position:absolute;left:5582;top:885;width:5271;height:288" type="#_x0000_t202" id="docshape21" filled="false" stroked="true" strokeweight=".96pt" strokecolor="#000000">
                  <v:textbox inset="0,0,0,0">
                    <w:txbxContent>
                      <w:p>
                        <w:pPr>
                          <w:spacing w:line="206" w:lineRule="exact" w:before="0"/>
                          <w:ind w:left="0" w:right="0" w:firstLine="0"/>
                          <w:jc w:val="center"/>
                          <w:rPr>
                            <w:b/>
                            <w:sz w:val="18"/>
                          </w:rPr>
                        </w:pPr>
                        <w:r>
                          <w:rPr>
                            <w:b/>
                            <w:sz w:val="18"/>
                          </w:rPr>
                          <w:t>Fringe</w:t>
                        </w:r>
                        <w:r>
                          <w:rPr>
                            <w:b/>
                            <w:spacing w:val="-5"/>
                            <w:sz w:val="18"/>
                          </w:rPr>
                          <w:t> </w:t>
                        </w:r>
                        <w:r>
                          <w:rPr>
                            <w:b/>
                            <w:spacing w:val="-2"/>
                            <w:sz w:val="18"/>
                          </w:rPr>
                          <w:t>Benefits</w:t>
                        </w:r>
                      </w:p>
                    </w:txbxContent>
                  </v:textbox>
                  <v:stroke dashstyle="solid"/>
                  <w10:wrap type="none"/>
                </v:shape>
                <v:shape style="position:absolute;left:4113;top:895;width:1460;height:269" type="#_x0000_t202" id="docshape22" filled="false" stroked="false">
                  <v:textbox inset="0,0,0,0">
                    <w:txbxContent>
                      <w:p>
                        <w:pPr>
                          <w:spacing w:before="19"/>
                          <w:ind w:left="205" w:right="0" w:firstLine="0"/>
                          <w:jc w:val="left"/>
                          <w:rPr>
                            <w:b/>
                            <w:sz w:val="20"/>
                          </w:rPr>
                        </w:pPr>
                        <w:r>
                          <w:rPr>
                            <w:b/>
                            <w:sz w:val="20"/>
                          </w:rPr>
                          <w:t>$</w:t>
                        </w:r>
                        <w:r>
                          <w:rPr>
                            <w:b/>
                            <w:spacing w:val="-1"/>
                            <w:sz w:val="20"/>
                          </w:rPr>
                          <w:t> </w:t>
                        </w:r>
                        <w:r>
                          <w:rPr>
                            <w:b/>
                            <w:spacing w:val="-2"/>
                            <w:sz w:val="20"/>
                          </w:rPr>
                          <w:t>1,100,480</w:t>
                        </w:r>
                      </w:p>
                    </w:txbxContent>
                  </v:textbox>
                  <w10:wrap type="none"/>
                </v:shape>
                <w10:wrap type="topAndBottom"/>
              </v:group>
            </w:pict>
          </mc:Fallback>
        </mc:AlternateContent>
      </w:r>
    </w:p>
    <w:p>
      <w:pPr>
        <w:pStyle w:val="BodyText"/>
        <w:spacing w:before="14"/>
      </w:pPr>
    </w:p>
    <w:p>
      <w:pPr>
        <w:pStyle w:val="BodyText"/>
        <w:spacing w:before="43"/>
      </w:pPr>
    </w:p>
    <w:tbl>
      <w:tblPr>
        <w:tblW w:w="0" w:type="auto"/>
        <w:jc w:val="left"/>
        <w:tblInd w:w="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22"/>
        <w:gridCol w:w="1133"/>
        <w:gridCol w:w="1474"/>
        <w:gridCol w:w="5271"/>
      </w:tblGrid>
      <w:tr>
        <w:trPr>
          <w:trHeight w:val="781" w:hRule="atLeast"/>
        </w:trPr>
        <w:tc>
          <w:tcPr>
            <w:tcW w:w="1522" w:type="dxa"/>
          </w:tcPr>
          <w:p>
            <w:pPr>
              <w:pStyle w:val="TableParagraph"/>
              <w:spacing w:before="42"/>
              <w:ind w:left="149" w:right="127"/>
              <w:jc w:val="center"/>
              <w:rPr>
                <w:b/>
                <w:sz w:val="20"/>
              </w:rPr>
            </w:pPr>
            <w:r>
              <w:rPr>
                <w:b/>
                <w:sz w:val="20"/>
              </w:rPr>
              <w:t>Subtotal</w:t>
            </w:r>
            <w:r>
              <w:rPr>
                <w:b/>
                <w:spacing w:val="-14"/>
                <w:sz w:val="20"/>
              </w:rPr>
              <w:t> </w:t>
            </w:r>
            <w:r>
              <w:rPr>
                <w:b/>
                <w:sz w:val="20"/>
              </w:rPr>
              <w:t>of </w:t>
            </w:r>
            <w:r>
              <w:rPr>
                <w:b/>
                <w:spacing w:val="-2"/>
                <w:sz w:val="20"/>
              </w:rPr>
              <w:t>amount </w:t>
            </w:r>
            <w:r>
              <w:rPr>
                <w:b/>
                <w:sz w:val="20"/>
              </w:rPr>
              <w:t>under A:</w:t>
            </w:r>
          </w:p>
        </w:tc>
        <w:tc>
          <w:tcPr>
            <w:tcW w:w="1133" w:type="dxa"/>
          </w:tcPr>
          <w:p>
            <w:pPr>
              <w:pStyle w:val="TableParagraph"/>
              <w:rPr>
                <w:rFonts w:ascii="Times New Roman"/>
                <w:sz w:val="18"/>
              </w:rPr>
            </w:pPr>
          </w:p>
        </w:tc>
        <w:tc>
          <w:tcPr>
            <w:tcW w:w="1474" w:type="dxa"/>
          </w:tcPr>
          <w:p>
            <w:pPr>
              <w:pStyle w:val="TableParagraph"/>
              <w:spacing w:before="42"/>
              <w:rPr>
                <w:sz w:val="20"/>
              </w:rPr>
            </w:pPr>
          </w:p>
          <w:p>
            <w:pPr>
              <w:pStyle w:val="TableParagraph"/>
              <w:spacing w:before="1"/>
              <w:ind w:left="236"/>
              <w:rPr>
                <w:b/>
                <w:sz w:val="20"/>
              </w:rPr>
            </w:pPr>
            <w:r>
              <w:rPr>
                <w:b/>
                <w:sz w:val="20"/>
              </w:rPr>
              <w:t>$</w:t>
            </w:r>
            <w:r>
              <w:rPr>
                <w:b/>
                <w:spacing w:val="-1"/>
                <w:sz w:val="20"/>
              </w:rPr>
              <w:t> </w:t>
            </w:r>
            <w:r>
              <w:rPr>
                <w:b/>
                <w:spacing w:val="-2"/>
                <w:sz w:val="20"/>
              </w:rPr>
              <w:t>3,891,452</w:t>
            </w:r>
          </w:p>
        </w:tc>
        <w:tc>
          <w:tcPr>
            <w:tcW w:w="5271" w:type="dxa"/>
          </w:tcPr>
          <w:p>
            <w:pPr>
              <w:pStyle w:val="TableParagraph"/>
              <w:spacing w:before="42"/>
              <w:rPr>
                <w:sz w:val="20"/>
              </w:rPr>
            </w:pPr>
          </w:p>
          <w:p>
            <w:pPr>
              <w:pStyle w:val="TableParagraph"/>
              <w:spacing w:before="1"/>
              <w:ind w:left="1576"/>
              <w:rPr>
                <w:b/>
                <w:sz w:val="20"/>
              </w:rPr>
            </w:pPr>
            <w:r>
              <w:rPr>
                <w:b/>
                <w:sz w:val="20"/>
              </w:rPr>
              <w:t>Total</w:t>
            </w:r>
            <w:r>
              <w:rPr>
                <w:b/>
                <w:spacing w:val="-9"/>
                <w:sz w:val="20"/>
              </w:rPr>
              <w:t> </w:t>
            </w:r>
            <w:r>
              <w:rPr>
                <w:b/>
                <w:sz w:val="20"/>
              </w:rPr>
              <w:t>Personnel</w:t>
            </w:r>
            <w:r>
              <w:rPr>
                <w:b/>
                <w:spacing w:val="-9"/>
                <w:sz w:val="20"/>
              </w:rPr>
              <w:t> </w:t>
            </w:r>
            <w:r>
              <w:rPr>
                <w:b/>
                <w:spacing w:val="-4"/>
                <w:sz w:val="20"/>
              </w:rPr>
              <w:t>Costs</w:t>
            </w:r>
          </w:p>
        </w:tc>
      </w:tr>
    </w:tbl>
    <w:p>
      <w:pPr>
        <w:pStyle w:val="TableParagraph"/>
        <w:spacing w:after="0"/>
        <w:rPr>
          <w:b/>
          <w:sz w:val="20"/>
        </w:rPr>
        <w:sectPr>
          <w:type w:val="continuous"/>
          <w:pgSz w:w="12240" w:h="15840"/>
          <w:pgMar w:header="0" w:footer="879" w:top="1420" w:bottom="1060" w:left="720" w:right="720"/>
        </w:sectPr>
      </w:pPr>
    </w:p>
    <w:p>
      <w:pPr>
        <w:pStyle w:val="Heading1"/>
        <w:numPr>
          <w:ilvl w:val="0"/>
          <w:numId w:val="31"/>
        </w:numPr>
        <w:tabs>
          <w:tab w:pos="1123" w:val="left" w:leader="none"/>
        </w:tabs>
        <w:spacing w:line="240" w:lineRule="auto" w:before="65" w:after="0"/>
        <w:ind w:left="1123" w:right="0" w:hanging="399"/>
        <w:jc w:val="left"/>
      </w:pPr>
      <w:r>
        <w:rPr/>
        <w:t>Maintenance</w:t>
      </w:r>
      <w:r>
        <w:rPr>
          <w:spacing w:val="-7"/>
        </w:rPr>
        <w:t> </w:t>
      </w:r>
      <w:r>
        <w:rPr/>
        <w:t>and</w:t>
      </w:r>
      <w:r>
        <w:rPr>
          <w:spacing w:val="-6"/>
        </w:rPr>
        <w:t> </w:t>
      </w:r>
      <w:r>
        <w:rPr/>
        <w:t>Implementation</w:t>
      </w:r>
      <w:r>
        <w:rPr>
          <w:spacing w:val="-13"/>
        </w:rPr>
        <w:t> </w:t>
      </w:r>
      <w:r>
        <w:rPr/>
        <w:t>Activities</w:t>
      </w:r>
      <w:r>
        <w:rPr>
          <w:spacing w:val="-6"/>
        </w:rPr>
        <w:t> </w:t>
      </w:r>
      <w:r>
        <w:rPr/>
        <w:t>for</w:t>
      </w:r>
      <w:r>
        <w:rPr>
          <w:spacing w:val="-7"/>
        </w:rPr>
        <w:t> </w:t>
      </w:r>
      <w:r>
        <w:rPr/>
        <w:t>the</w:t>
      </w:r>
      <w:r>
        <w:rPr>
          <w:spacing w:val="-6"/>
        </w:rPr>
        <w:t> </w:t>
      </w:r>
      <w:r>
        <w:rPr/>
        <w:t>Lead</w:t>
      </w:r>
      <w:r>
        <w:rPr>
          <w:spacing w:val="-13"/>
        </w:rPr>
        <w:t> </w:t>
      </w:r>
      <w:r>
        <w:rPr/>
        <w:t>Agency</w:t>
      </w:r>
      <w:r>
        <w:rPr>
          <w:spacing w:val="-8"/>
        </w:rPr>
        <w:t> </w:t>
      </w:r>
      <w:r>
        <w:rPr/>
        <w:t>and</w:t>
      </w:r>
      <w:r>
        <w:rPr>
          <w:spacing w:val="-6"/>
        </w:rPr>
        <w:t> </w:t>
      </w:r>
      <w:r>
        <w:rPr/>
        <w:t>the</w:t>
      </w:r>
      <w:r>
        <w:rPr>
          <w:spacing w:val="-6"/>
        </w:rPr>
        <w:t> </w:t>
      </w:r>
      <w:r>
        <w:rPr>
          <w:spacing w:val="-5"/>
        </w:rPr>
        <w:t>ICC</w:t>
      </w:r>
    </w:p>
    <w:p>
      <w:pPr>
        <w:pStyle w:val="BodyText"/>
        <w:spacing w:line="228" w:lineRule="exact" w:before="121"/>
        <w:ind w:left="1127"/>
      </w:pPr>
      <w:r>
        <w:rPr/>
        <w:t>When</w:t>
      </w:r>
      <w:r>
        <w:rPr>
          <w:spacing w:val="-7"/>
        </w:rPr>
        <w:t> </w:t>
      </w:r>
      <w:r>
        <w:rPr/>
        <w:t>completing</w:t>
      </w:r>
      <w:r>
        <w:rPr>
          <w:spacing w:val="-7"/>
        </w:rPr>
        <w:t> </w:t>
      </w:r>
      <w:r>
        <w:rPr/>
        <w:t>this</w:t>
      </w:r>
      <w:r>
        <w:rPr>
          <w:spacing w:val="-7"/>
        </w:rPr>
        <w:t> </w:t>
      </w:r>
      <w:r>
        <w:rPr/>
        <w:t>section</w:t>
      </w:r>
      <w:r>
        <w:rPr>
          <w:spacing w:val="-6"/>
        </w:rPr>
        <w:t> </w:t>
      </w:r>
      <w:r>
        <w:rPr>
          <w:spacing w:val="-2"/>
        </w:rPr>
        <w:t>include:</w:t>
      </w:r>
    </w:p>
    <w:p>
      <w:pPr>
        <w:pStyle w:val="ListParagraph"/>
        <w:numPr>
          <w:ilvl w:val="1"/>
          <w:numId w:val="31"/>
        </w:numPr>
        <w:tabs>
          <w:tab w:pos="1824" w:val="left" w:leader="none"/>
        </w:tabs>
        <w:spacing w:line="240" w:lineRule="auto" w:before="0" w:after="0"/>
        <w:ind w:left="1824" w:right="831" w:hanging="361"/>
        <w:jc w:val="left"/>
        <w:rPr>
          <w:sz w:val="20"/>
        </w:rPr>
      </w:pPr>
      <w:r>
        <w:rPr>
          <w:sz w:val="20"/>
        </w:rPr>
        <w:t>A</w:t>
      </w:r>
      <w:r>
        <w:rPr>
          <w:spacing w:val="-14"/>
          <w:sz w:val="20"/>
        </w:rPr>
        <w:t> </w:t>
      </w:r>
      <w:r>
        <w:rPr>
          <w:sz w:val="20"/>
        </w:rPr>
        <w:t>description</w:t>
      </w:r>
      <w:r>
        <w:rPr>
          <w:spacing w:val="-2"/>
          <w:sz w:val="20"/>
        </w:rPr>
        <w:t> </w:t>
      </w:r>
      <w:r>
        <w:rPr>
          <w:sz w:val="20"/>
        </w:rPr>
        <w:t>of</w:t>
      </w:r>
      <w:r>
        <w:rPr>
          <w:spacing w:val="-2"/>
          <w:sz w:val="20"/>
        </w:rPr>
        <w:t> </w:t>
      </w:r>
      <w:r>
        <w:rPr>
          <w:sz w:val="20"/>
        </w:rPr>
        <w:t>the</w:t>
      </w:r>
      <w:r>
        <w:rPr>
          <w:spacing w:val="-2"/>
          <w:sz w:val="20"/>
        </w:rPr>
        <w:t> </w:t>
      </w:r>
      <w:r>
        <w:rPr>
          <w:sz w:val="20"/>
        </w:rPr>
        <w:t>nature</w:t>
      </w:r>
      <w:r>
        <w:rPr>
          <w:spacing w:val="-2"/>
          <w:sz w:val="20"/>
        </w:rPr>
        <w:t> </w:t>
      </w:r>
      <w:r>
        <w:rPr>
          <w:sz w:val="20"/>
        </w:rPr>
        <w:t>and</w:t>
      </w:r>
      <w:r>
        <w:rPr>
          <w:spacing w:val="-2"/>
          <w:sz w:val="20"/>
        </w:rPr>
        <w:t> </w:t>
      </w:r>
      <w:r>
        <w:rPr>
          <w:sz w:val="20"/>
        </w:rPr>
        <w:t>scope</w:t>
      </w:r>
      <w:r>
        <w:rPr>
          <w:spacing w:val="-2"/>
          <w:sz w:val="20"/>
        </w:rPr>
        <w:t> </w:t>
      </w:r>
      <w:r>
        <w:rPr>
          <w:sz w:val="20"/>
        </w:rPr>
        <w:t>of</w:t>
      </w:r>
      <w:r>
        <w:rPr>
          <w:spacing w:val="-2"/>
          <w:sz w:val="20"/>
        </w:rPr>
        <w:t> </w:t>
      </w:r>
      <w:r>
        <w:rPr>
          <w:sz w:val="20"/>
        </w:rPr>
        <w:t>each</w:t>
      </w:r>
      <w:r>
        <w:rPr>
          <w:spacing w:val="-2"/>
          <w:sz w:val="20"/>
        </w:rPr>
        <w:t> </w:t>
      </w:r>
      <w:r>
        <w:rPr>
          <w:sz w:val="20"/>
        </w:rPr>
        <w:t>major</w:t>
      </w:r>
      <w:r>
        <w:rPr>
          <w:spacing w:val="-2"/>
          <w:sz w:val="20"/>
        </w:rPr>
        <w:t> </w:t>
      </w:r>
      <w:r>
        <w:rPr>
          <w:sz w:val="20"/>
        </w:rPr>
        <w:t>activity</w:t>
      </w:r>
      <w:r>
        <w:rPr>
          <w:spacing w:val="-2"/>
          <w:sz w:val="20"/>
        </w:rPr>
        <w:t> </w:t>
      </w:r>
      <w:r>
        <w:rPr>
          <w:sz w:val="20"/>
        </w:rPr>
        <w:t>to</w:t>
      </w:r>
      <w:r>
        <w:rPr>
          <w:spacing w:val="-2"/>
          <w:sz w:val="20"/>
        </w:rPr>
        <w:t> </w:t>
      </w:r>
      <w:r>
        <w:rPr>
          <w:sz w:val="20"/>
        </w:rPr>
        <w:t>be</w:t>
      </w:r>
      <w:r>
        <w:rPr>
          <w:spacing w:val="-2"/>
          <w:sz w:val="20"/>
        </w:rPr>
        <w:t> </w:t>
      </w:r>
      <w:r>
        <w:rPr>
          <w:sz w:val="20"/>
        </w:rPr>
        <w:t>carried</w:t>
      </w:r>
      <w:r>
        <w:rPr>
          <w:spacing w:val="-2"/>
          <w:sz w:val="20"/>
        </w:rPr>
        <w:t> </w:t>
      </w:r>
      <w:r>
        <w:rPr>
          <w:sz w:val="20"/>
        </w:rPr>
        <w:t>out</w:t>
      </w:r>
      <w:r>
        <w:rPr>
          <w:spacing w:val="-2"/>
          <w:sz w:val="20"/>
        </w:rPr>
        <w:t> </w:t>
      </w:r>
      <w:r>
        <w:rPr>
          <w:sz w:val="20"/>
        </w:rPr>
        <w:t>under</w:t>
      </w:r>
      <w:r>
        <w:rPr>
          <w:spacing w:val="-2"/>
          <w:sz w:val="20"/>
        </w:rPr>
        <w:t> </w:t>
      </w:r>
      <w:r>
        <w:rPr>
          <w:sz w:val="20"/>
        </w:rPr>
        <w:t>Part</w:t>
      </w:r>
      <w:r>
        <w:rPr>
          <w:spacing w:val="-2"/>
          <w:sz w:val="20"/>
        </w:rPr>
        <w:t> </w:t>
      </w:r>
      <w:r>
        <w:rPr>
          <w:sz w:val="20"/>
        </w:rPr>
        <w:t>C</w:t>
      </w:r>
      <w:r>
        <w:rPr>
          <w:spacing w:val="-3"/>
          <w:sz w:val="20"/>
        </w:rPr>
        <w:t> </w:t>
      </w:r>
      <w:r>
        <w:rPr>
          <w:sz w:val="20"/>
        </w:rPr>
        <w:t>in maintaining and implementing the statewide system of early intervention services:</w:t>
      </w:r>
    </w:p>
    <w:p>
      <w:pPr>
        <w:pStyle w:val="ListParagraph"/>
        <w:numPr>
          <w:ilvl w:val="2"/>
          <w:numId w:val="31"/>
        </w:numPr>
        <w:tabs>
          <w:tab w:pos="2164" w:val="left" w:leader="none"/>
        </w:tabs>
        <w:spacing w:line="230" w:lineRule="auto" w:before="4" w:after="0"/>
        <w:ind w:left="2164" w:right="749" w:hanging="360"/>
        <w:jc w:val="left"/>
        <w:rPr>
          <w:sz w:val="20"/>
        </w:rPr>
      </w:pPr>
      <w:r>
        <w:rPr>
          <w:sz w:val="20"/>
          <w:u w:val="single"/>
        </w:rPr>
        <w:t>Lead</w:t>
      </w:r>
      <w:r>
        <w:rPr>
          <w:spacing w:val="-14"/>
          <w:sz w:val="20"/>
          <w:u w:val="single"/>
        </w:rPr>
        <w:t> </w:t>
      </w:r>
      <w:r>
        <w:rPr>
          <w:sz w:val="20"/>
          <w:u w:val="single"/>
        </w:rPr>
        <w:t>Agency</w:t>
      </w:r>
      <w:r>
        <w:rPr>
          <w:spacing w:val="-14"/>
          <w:sz w:val="20"/>
          <w:u w:val="single"/>
        </w:rPr>
        <w:t> </w:t>
      </w:r>
      <w:r>
        <w:rPr>
          <w:sz w:val="20"/>
          <w:u w:val="single"/>
        </w:rPr>
        <w:t>Activities</w:t>
      </w:r>
      <w:r>
        <w:rPr>
          <w:spacing w:val="-4"/>
          <w:sz w:val="20"/>
          <w:u w:val="none"/>
        </w:rPr>
        <w:t> </w:t>
      </w:r>
      <w:r>
        <w:rPr>
          <w:sz w:val="20"/>
          <w:u w:val="none"/>
        </w:rPr>
        <w:t>could</w:t>
      </w:r>
      <w:r>
        <w:rPr>
          <w:spacing w:val="-4"/>
          <w:sz w:val="20"/>
          <w:u w:val="none"/>
        </w:rPr>
        <w:t> </w:t>
      </w:r>
      <w:r>
        <w:rPr>
          <w:sz w:val="20"/>
          <w:u w:val="none"/>
        </w:rPr>
        <w:t>include</w:t>
      </w:r>
      <w:r>
        <w:rPr>
          <w:spacing w:val="-4"/>
          <w:sz w:val="20"/>
          <w:u w:val="none"/>
        </w:rPr>
        <w:t> </w:t>
      </w:r>
      <w:r>
        <w:rPr>
          <w:sz w:val="20"/>
          <w:u w:val="none"/>
        </w:rPr>
        <w:t>enhancing</w:t>
      </w:r>
      <w:r>
        <w:rPr>
          <w:spacing w:val="-4"/>
          <w:sz w:val="20"/>
          <w:u w:val="none"/>
        </w:rPr>
        <w:t> </w:t>
      </w:r>
      <w:r>
        <w:rPr>
          <w:sz w:val="20"/>
          <w:u w:val="none"/>
        </w:rPr>
        <w:t>the</w:t>
      </w:r>
      <w:r>
        <w:rPr>
          <w:spacing w:val="-4"/>
          <w:sz w:val="20"/>
          <w:u w:val="none"/>
        </w:rPr>
        <w:t> </w:t>
      </w:r>
      <w:r>
        <w:rPr>
          <w:sz w:val="20"/>
          <w:u w:val="none"/>
        </w:rPr>
        <w:t>Comprehensive</w:t>
      </w:r>
      <w:r>
        <w:rPr>
          <w:spacing w:val="-4"/>
          <w:sz w:val="20"/>
          <w:u w:val="none"/>
        </w:rPr>
        <w:t> </w:t>
      </w:r>
      <w:r>
        <w:rPr>
          <w:sz w:val="20"/>
          <w:u w:val="none"/>
        </w:rPr>
        <w:t>System</w:t>
      </w:r>
      <w:r>
        <w:rPr>
          <w:spacing w:val="-5"/>
          <w:sz w:val="20"/>
          <w:u w:val="none"/>
        </w:rPr>
        <w:t> </w:t>
      </w:r>
      <w:r>
        <w:rPr>
          <w:sz w:val="20"/>
          <w:u w:val="none"/>
        </w:rPr>
        <w:t>of</w:t>
      </w:r>
      <w:r>
        <w:rPr>
          <w:spacing w:val="-4"/>
          <w:sz w:val="20"/>
          <w:u w:val="none"/>
        </w:rPr>
        <w:t> </w:t>
      </w:r>
      <w:r>
        <w:rPr>
          <w:sz w:val="20"/>
          <w:u w:val="none"/>
        </w:rPr>
        <w:t>Personnel Development, implementing child find strategies, or ensuring a timely, comprehensive, multidisciplinary evaluation for each child;</w:t>
      </w:r>
    </w:p>
    <w:p>
      <w:pPr>
        <w:pStyle w:val="ListParagraph"/>
        <w:numPr>
          <w:ilvl w:val="2"/>
          <w:numId w:val="31"/>
        </w:numPr>
        <w:tabs>
          <w:tab w:pos="2164" w:val="left" w:leader="none"/>
        </w:tabs>
        <w:spacing w:line="235" w:lineRule="auto" w:before="8" w:after="0"/>
        <w:ind w:left="2164" w:right="963" w:hanging="360"/>
        <w:jc w:val="left"/>
        <w:rPr>
          <w:sz w:val="20"/>
        </w:rPr>
      </w:pPr>
      <w:r>
        <w:rPr>
          <w:sz w:val="20"/>
          <w:u w:val="single"/>
        </w:rPr>
        <w:t>ICC</w:t>
      </w:r>
      <w:r>
        <w:rPr>
          <w:spacing w:val="-2"/>
          <w:sz w:val="20"/>
          <w:u w:val="single"/>
        </w:rPr>
        <w:t> </w:t>
      </w:r>
      <w:r>
        <w:rPr>
          <w:sz w:val="20"/>
          <w:u w:val="single"/>
        </w:rPr>
        <w:t>Activities</w:t>
      </w:r>
      <w:r>
        <w:rPr>
          <w:sz w:val="20"/>
          <w:u w:val="none"/>
        </w:rPr>
        <w:t> could include coordinating child find identification efforts, ensuring the timely</w:t>
      </w:r>
      <w:r>
        <w:rPr>
          <w:spacing w:val="-4"/>
          <w:sz w:val="20"/>
          <w:u w:val="none"/>
        </w:rPr>
        <w:t> </w:t>
      </w:r>
      <w:r>
        <w:rPr>
          <w:sz w:val="20"/>
          <w:u w:val="none"/>
        </w:rPr>
        <w:t>provision</w:t>
      </w:r>
      <w:r>
        <w:rPr>
          <w:spacing w:val="-4"/>
          <w:sz w:val="20"/>
          <w:u w:val="none"/>
        </w:rPr>
        <w:t> </w:t>
      </w:r>
      <w:r>
        <w:rPr>
          <w:sz w:val="20"/>
          <w:u w:val="none"/>
        </w:rPr>
        <w:t>and</w:t>
      </w:r>
      <w:r>
        <w:rPr>
          <w:spacing w:val="-4"/>
          <w:sz w:val="20"/>
          <w:u w:val="none"/>
        </w:rPr>
        <w:t> </w:t>
      </w:r>
      <w:r>
        <w:rPr>
          <w:sz w:val="20"/>
          <w:u w:val="none"/>
        </w:rPr>
        <w:t>payment</w:t>
      </w:r>
      <w:r>
        <w:rPr>
          <w:spacing w:val="-4"/>
          <w:sz w:val="20"/>
          <w:u w:val="none"/>
        </w:rPr>
        <w:t> </w:t>
      </w:r>
      <w:r>
        <w:rPr>
          <w:sz w:val="20"/>
          <w:u w:val="none"/>
        </w:rPr>
        <w:t>of</w:t>
      </w:r>
      <w:r>
        <w:rPr>
          <w:spacing w:val="-4"/>
          <w:sz w:val="20"/>
          <w:u w:val="none"/>
        </w:rPr>
        <w:t> </w:t>
      </w:r>
      <w:r>
        <w:rPr>
          <w:sz w:val="20"/>
          <w:u w:val="none"/>
        </w:rPr>
        <w:t>early</w:t>
      </w:r>
      <w:r>
        <w:rPr>
          <w:spacing w:val="-4"/>
          <w:sz w:val="20"/>
          <w:u w:val="none"/>
        </w:rPr>
        <w:t> </w:t>
      </w:r>
      <w:r>
        <w:rPr>
          <w:sz w:val="20"/>
          <w:u w:val="none"/>
        </w:rPr>
        <w:t>intervention</w:t>
      </w:r>
      <w:r>
        <w:rPr>
          <w:spacing w:val="-4"/>
          <w:sz w:val="20"/>
          <w:u w:val="none"/>
        </w:rPr>
        <w:t> </w:t>
      </w:r>
      <w:r>
        <w:rPr>
          <w:sz w:val="20"/>
          <w:u w:val="none"/>
        </w:rPr>
        <w:t>services</w:t>
      </w:r>
      <w:r>
        <w:rPr>
          <w:spacing w:val="-4"/>
          <w:sz w:val="20"/>
          <w:u w:val="none"/>
        </w:rPr>
        <w:t> </w:t>
      </w:r>
      <w:r>
        <w:rPr>
          <w:sz w:val="20"/>
          <w:u w:val="none"/>
        </w:rPr>
        <w:t>to</w:t>
      </w:r>
      <w:r>
        <w:rPr>
          <w:spacing w:val="-4"/>
          <w:sz w:val="20"/>
          <w:u w:val="none"/>
        </w:rPr>
        <w:t> </w:t>
      </w:r>
      <w:r>
        <w:rPr>
          <w:sz w:val="20"/>
          <w:u w:val="none"/>
        </w:rPr>
        <w:t>eligible</w:t>
      </w:r>
      <w:r>
        <w:rPr>
          <w:spacing w:val="-4"/>
          <w:sz w:val="20"/>
          <w:u w:val="none"/>
        </w:rPr>
        <w:t> </w:t>
      </w:r>
      <w:r>
        <w:rPr>
          <w:sz w:val="20"/>
          <w:u w:val="none"/>
        </w:rPr>
        <w:t>children</w:t>
      </w:r>
      <w:r>
        <w:rPr>
          <w:spacing w:val="-4"/>
          <w:sz w:val="20"/>
          <w:u w:val="none"/>
        </w:rPr>
        <w:t> </w:t>
      </w:r>
      <w:r>
        <w:rPr>
          <w:sz w:val="20"/>
          <w:u w:val="none"/>
        </w:rPr>
        <w:t>and</w:t>
      </w:r>
      <w:r>
        <w:rPr>
          <w:spacing w:val="-4"/>
          <w:sz w:val="20"/>
          <w:u w:val="none"/>
        </w:rPr>
        <w:t> </w:t>
      </w:r>
      <w:r>
        <w:rPr>
          <w:sz w:val="20"/>
          <w:u w:val="none"/>
        </w:rPr>
        <w:t>their families, advising on early childhood transition, support for the ICC (travel), or other implementation and development activities of the ICC</w:t>
      </w:r>
    </w:p>
    <w:p>
      <w:pPr>
        <w:pStyle w:val="ListParagraph"/>
        <w:numPr>
          <w:ilvl w:val="1"/>
          <w:numId w:val="31"/>
        </w:numPr>
        <w:tabs>
          <w:tab w:pos="1824" w:val="left" w:leader="none"/>
        </w:tabs>
        <w:spacing w:line="240" w:lineRule="exact" w:before="0" w:after="0"/>
        <w:ind w:left="1824" w:right="0" w:hanging="360"/>
        <w:jc w:val="left"/>
        <w:rPr>
          <w:sz w:val="20"/>
        </w:rPr>
      </w:pPr>
      <w:r>
        <w:rPr>
          <w:sz w:val="20"/>
        </w:rPr>
        <w:t>The</w:t>
      </w:r>
      <w:r>
        <w:rPr>
          <w:spacing w:val="-10"/>
          <w:sz w:val="20"/>
        </w:rPr>
        <w:t> </w:t>
      </w:r>
      <w:r>
        <w:rPr>
          <w:sz w:val="20"/>
        </w:rPr>
        <w:t>approximate</w:t>
      </w:r>
      <w:r>
        <w:rPr>
          <w:spacing w:val="-5"/>
          <w:sz w:val="20"/>
        </w:rPr>
        <w:t> </w:t>
      </w:r>
      <w:r>
        <w:rPr>
          <w:sz w:val="20"/>
        </w:rPr>
        <w:t>amount</w:t>
      </w:r>
      <w:r>
        <w:rPr>
          <w:spacing w:val="-5"/>
          <w:sz w:val="20"/>
        </w:rPr>
        <w:t> </w:t>
      </w:r>
      <w:r>
        <w:rPr>
          <w:sz w:val="20"/>
        </w:rPr>
        <w:t>of</w:t>
      </w:r>
      <w:r>
        <w:rPr>
          <w:spacing w:val="-6"/>
          <w:sz w:val="20"/>
        </w:rPr>
        <w:t> </w:t>
      </w:r>
      <w:r>
        <w:rPr>
          <w:sz w:val="20"/>
        </w:rPr>
        <w:t>Federal</w:t>
      </w:r>
      <w:r>
        <w:rPr>
          <w:spacing w:val="-5"/>
          <w:sz w:val="20"/>
        </w:rPr>
        <w:t> </w:t>
      </w:r>
      <w:r>
        <w:rPr>
          <w:sz w:val="20"/>
        </w:rPr>
        <w:t>IDEA</w:t>
      </w:r>
      <w:r>
        <w:rPr>
          <w:spacing w:val="-14"/>
          <w:sz w:val="20"/>
        </w:rPr>
        <w:t> </w:t>
      </w:r>
      <w:r>
        <w:rPr>
          <w:sz w:val="20"/>
        </w:rPr>
        <w:t>Part</w:t>
      </w:r>
      <w:r>
        <w:rPr>
          <w:spacing w:val="-5"/>
          <w:sz w:val="20"/>
        </w:rPr>
        <w:t> </w:t>
      </w:r>
      <w:r>
        <w:rPr>
          <w:sz w:val="20"/>
        </w:rPr>
        <w:t>C</w:t>
      </w:r>
      <w:r>
        <w:rPr>
          <w:spacing w:val="-5"/>
          <w:sz w:val="20"/>
        </w:rPr>
        <w:t> </w:t>
      </w:r>
      <w:r>
        <w:rPr>
          <w:sz w:val="20"/>
        </w:rPr>
        <w:t>funds</w:t>
      </w:r>
      <w:r>
        <w:rPr>
          <w:spacing w:val="-5"/>
          <w:sz w:val="20"/>
        </w:rPr>
        <w:t> </w:t>
      </w:r>
      <w:r>
        <w:rPr>
          <w:sz w:val="20"/>
        </w:rPr>
        <w:t>to</w:t>
      </w:r>
      <w:r>
        <w:rPr>
          <w:spacing w:val="-5"/>
          <w:sz w:val="20"/>
        </w:rPr>
        <w:t> </w:t>
      </w:r>
      <w:r>
        <w:rPr>
          <w:sz w:val="20"/>
        </w:rPr>
        <w:t>be</w:t>
      </w:r>
      <w:r>
        <w:rPr>
          <w:spacing w:val="-5"/>
          <w:sz w:val="20"/>
        </w:rPr>
        <w:t> </w:t>
      </w:r>
      <w:r>
        <w:rPr>
          <w:sz w:val="20"/>
        </w:rPr>
        <w:t>spent</w:t>
      </w:r>
      <w:r>
        <w:rPr>
          <w:spacing w:val="-5"/>
          <w:sz w:val="20"/>
        </w:rPr>
        <w:t> </w:t>
      </w:r>
      <w:r>
        <w:rPr>
          <w:sz w:val="20"/>
        </w:rPr>
        <w:t>for</w:t>
      </w:r>
      <w:r>
        <w:rPr>
          <w:spacing w:val="-5"/>
          <w:sz w:val="20"/>
        </w:rPr>
        <w:t> </w:t>
      </w:r>
      <w:r>
        <w:rPr>
          <w:sz w:val="20"/>
        </w:rPr>
        <w:t>each</w:t>
      </w:r>
      <w:r>
        <w:rPr>
          <w:spacing w:val="-5"/>
          <w:sz w:val="20"/>
        </w:rPr>
        <w:t> </w:t>
      </w:r>
      <w:r>
        <w:rPr>
          <w:sz w:val="20"/>
        </w:rPr>
        <w:t>activity;</w:t>
      </w:r>
      <w:r>
        <w:rPr>
          <w:spacing w:val="-5"/>
          <w:sz w:val="20"/>
        </w:rPr>
        <w:t> and</w:t>
      </w:r>
    </w:p>
    <w:p>
      <w:pPr>
        <w:pStyle w:val="ListParagraph"/>
        <w:numPr>
          <w:ilvl w:val="1"/>
          <w:numId w:val="31"/>
        </w:numPr>
        <w:tabs>
          <w:tab w:pos="1824" w:val="left" w:leader="none"/>
        </w:tabs>
        <w:spacing w:line="240" w:lineRule="auto" w:before="0" w:after="0"/>
        <w:ind w:left="1824" w:right="0" w:hanging="360"/>
        <w:jc w:val="left"/>
        <w:rPr>
          <w:sz w:val="20"/>
        </w:rPr>
      </w:pPr>
      <w:r>
        <w:rPr>
          <w:sz w:val="20"/>
        </w:rPr>
        <w:t>A</w:t>
      </w:r>
      <w:r>
        <w:rPr>
          <w:spacing w:val="-14"/>
          <w:sz w:val="20"/>
        </w:rPr>
        <w:t> </w:t>
      </w:r>
      <w:r>
        <w:rPr>
          <w:sz w:val="20"/>
        </w:rPr>
        <w:t>subtotal</w:t>
      </w:r>
      <w:r>
        <w:rPr>
          <w:spacing w:val="-5"/>
          <w:sz w:val="20"/>
        </w:rPr>
        <w:t> </w:t>
      </w:r>
      <w:r>
        <w:rPr>
          <w:sz w:val="20"/>
        </w:rPr>
        <w:t>of</w:t>
      </w:r>
      <w:r>
        <w:rPr>
          <w:spacing w:val="-4"/>
          <w:sz w:val="20"/>
        </w:rPr>
        <w:t> </w:t>
      </w:r>
      <w:r>
        <w:rPr>
          <w:sz w:val="20"/>
        </w:rPr>
        <w:t>the</w:t>
      </w:r>
      <w:r>
        <w:rPr>
          <w:spacing w:val="-3"/>
          <w:sz w:val="20"/>
        </w:rPr>
        <w:t> </w:t>
      </w:r>
      <w:r>
        <w:rPr>
          <w:spacing w:val="-2"/>
          <w:sz w:val="20"/>
        </w:rPr>
        <w:t>amount.</w:t>
      </w:r>
    </w:p>
    <w:p>
      <w:pPr>
        <w:pStyle w:val="Heading2"/>
        <w:spacing w:before="119"/>
      </w:pPr>
      <w:r>
        <w:rPr/>
        <w:t>Special</w:t>
      </w:r>
      <w:r>
        <w:rPr>
          <w:spacing w:val="-7"/>
        </w:rPr>
        <w:t> </w:t>
      </w:r>
      <w:r>
        <w:rPr/>
        <w:t>Note:</w:t>
      </w:r>
      <w:r>
        <w:rPr>
          <w:spacing w:val="44"/>
        </w:rPr>
        <w:t> </w:t>
      </w:r>
      <w:r>
        <w:rPr/>
        <w:t>Prior</w:t>
      </w:r>
      <w:r>
        <w:rPr>
          <w:spacing w:val="-13"/>
        </w:rPr>
        <w:t> </w:t>
      </w:r>
      <w:r>
        <w:rPr>
          <w:spacing w:val="-2"/>
        </w:rPr>
        <w:t>Approval</w:t>
      </w:r>
    </w:p>
    <w:p>
      <w:pPr>
        <w:pStyle w:val="BodyText"/>
        <w:spacing w:before="120"/>
        <w:ind w:left="1124" w:right="750"/>
      </w:pPr>
      <w:r>
        <w:rPr/>
        <w:t>Some</w:t>
      </w:r>
      <w:r>
        <w:rPr>
          <w:spacing w:val="-9"/>
        </w:rPr>
        <w:t> </w:t>
      </w:r>
      <w:r>
        <w:rPr/>
        <w:t>direct</w:t>
      </w:r>
      <w:r>
        <w:rPr>
          <w:spacing w:val="-8"/>
        </w:rPr>
        <w:t> </w:t>
      </w:r>
      <w:r>
        <w:rPr/>
        <w:t>costs</w:t>
      </w:r>
      <w:r>
        <w:rPr>
          <w:spacing w:val="-8"/>
        </w:rPr>
        <w:t> </w:t>
      </w:r>
      <w:r>
        <w:rPr/>
        <w:t>require</w:t>
      </w:r>
      <w:r>
        <w:rPr>
          <w:spacing w:val="-9"/>
        </w:rPr>
        <w:t> </w:t>
      </w:r>
      <w:r>
        <w:rPr/>
        <w:t>prior</w:t>
      </w:r>
      <w:r>
        <w:rPr>
          <w:spacing w:val="-8"/>
        </w:rPr>
        <w:t> </w:t>
      </w:r>
      <w:r>
        <w:rPr/>
        <w:t>approval.</w:t>
      </w:r>
      <w:r>
        <w:rPr>
          <w:spacing w:val="-10"/>
        </w:rPr>
        <w:t> </w:t>
      </w:r>
      <w:r>
        <w:rPr/>
        <w:t>These</w:t>
      </w:r>
      <w:r>
        <w:rPr>
          <w:spacing w:val="-8"/>
        </w:rPr>
        <w:t> </w:t>
      </w:r>
      <w:r>
        <w:rPr/>
        <w:t>items</w:t>
      </w:r>
      <w:r>
        <w:rPr>
          <w:spacing w:val="-8"/>
        </w:rPr>
        <w:t> </w:t>
      </w:r>
      <w:r>
        <w:rPr/>
        <w:t>include</w:t>
      </w:r>
      <w:r>
        <w:rPr>
          <w:spacing w:val="-8"/>
        </w:rPr>
        <w:t> </w:t>
      </w:r>
      <w:r>
        <w:rPr/>
        <w:t>using</w:t>
      </w:r>
      <w:r>
        <w:rPr>
          <w:spacing w:val="-8"/>
        </w:rPr>
        <w:t> </w:t>
      </w:r>
      <w:r>
        <w:rPr/>
        <w:t>Federal</w:t>
      </w:r>
      <w:r>
        <w:rPr>
          <w:spacing w:val="-8"/>
        </w:rPr>
        <w:t> </w:t>
      </w:r>
      <w:r>
        <w:rPr/>
        <w:t>IDEA</w:t>
      </w:r>
      <w:r>
        <w:rPr>
          <w:spacing w:val="-17"/>
        </w:rPr>
        <w:t> </w:t>
      </w:r>
      <w:r>
        <w:rPr/>
        <w:t>Part</w:t>
      </w:r>
      <w:r>
        <w:rPr>
          <w:spacing w:val="-8"/>
        </w:rPr>
        <w:t> </w:t>
      </w:r>
      <w:r>
        <w:rPr/>
        <w:t>C</w:t>
      </w:r>
      <w:r>
        <w:rPr>
          <w:spacing w:val="-9"/>
        </w:rPr>
        <w:t> </w:t>
      </w:r>
      <w:r>
        <w:rPr/>
        <w:t>funds</w:t>
      </w:r>
      <w:r>
        <w:rPr>
          <w:spacing w:val="-10"/>
        </w:rPr>
        <w:t> </w:t>
      </w:r>
      <w:r>
        <w:rPr/>
        <w:t>to</w:t>
      </w:r>
      <w:r>
        <w:rPr>
          <w:spacing w:val="-8"/>
        </w:rPr>
        <w:t> </w:t>
      </w:r>
      <w:r>
        <w:rPr/>
        <w:t>pay for:</w:t>
      </w:r>
      <w:r>
        <w:rPr>
          <w:spacing w:val="-6"/>
        </w:rPr>
        <w:t> </w:t>
      </w:r>
      <w:r>
        <w:rPr/>
        <w:t>(1)</w:t>
      </w:r>
      <w:r>
        <w:rPr>
          <w:spacing w:val="-6"/>
        </w:rPr>
        <w:t> </w:t>
      </w:r>
      <w:r>
        <w:rPr/>
        <w:t>equipment;</w:t>
      </w:r>
      <w:r>
        <w:rPr>
          <w:spacing w:val="-6"/>
        </w:rPr>
        <w:t> </w:t>
      </w:r>
      <w:r>
        <w:rPr/>
        <w:t>(2)</w:t>
      </w:r>
      <w:r>
        <w:rPr>
          <w:spacing w:val="-6"/>
        </w:rPr>
        <w:t> </w:t>
      </w:r>
      <w:r>
        <w:rPr/>
        <w:t>participant</w:t>
      </w:r>
      <w:r>
        <w:rPr>
          <w:spacing w:val="-6"/>
        </w:rPr>
        <w:t> </w:t>
      </w:r>
      <w:r>
        <w:rPr/>
        <w:t>support</w:t>
      </w:r>
      <w:r>
        <w:rPr>
          <w:spacing w:val="-6"/>
        </w:rPr>
        <w:t> </w:t>
      </w:r>
      <w:r>
        <w:rPr/>
        <w:t>costs</w:t>
      </w:r>
      <w:r>
        <w:rPr>
          <w:spacing w:val="-6"/>
        </w:rPr>
        <w:t> </w:t>
      </w:r>
      <w:r>
        <w:rPr/>
        <w:t>(such</w:t>
      </w:r>
      <w:r>
        <w:rPr>
          <w:spacing w:val="-6"/>
        </w:rPr>
        <w:t> </w:t>
      </w:r>
      <w:r>
        <w:rPr/>
        <w:t>as</w:t>
      </w:r>
      <w:r>
        <w:rPr>
          <w:spacing w:val="-6"/>
        </w:rPr>
        <w:t> </w:t>
      </w:r>
      <w:r>
        <w:rPr/>
        <w:t>training</w:t>
      </w:r>
      <w:r>
        <w:rPr>
          <w:spacing w:val="-6"/>
        </w:rPr>
        <w:t> </w:t>
      </w:r>
      <w:r>
        <w:rPr/>
        <w:t>or</w:t>
      </w:r>
      <w:r>
        <w:rPr>
          <w:spacing w:val="-6"/>
        </w:rPr>
        <w:t> </w:t>
      </w:r>
      <w:r>
        <w:rPr/>
        <w:t>travel</w:t>
      </w:r>
      <w:r>
        <w:rPr>
          <w:spacing w:val="-6"/>
        </w:rPr>
        <w:t> </w:t>
      </w:r>
      <w:r>
        <w:rPr/>
        <w:t>costs);</w:t>
      </w:r>
      <w:r>
        <w:rPr>
          <w:spacing w:val="-7"/>
        </w:rPr>
        <w:t> </w:t>
      </w:r>
      <w:r>
        <w:rPr/>
        <w:t>(3)</w:t>
      </w:r>
      <w:r>
        <w:rPr>
          <w:spacing w:val="-6"/>
        </w:rPr>
        <w:t> </w:t>
      </w:r>
      <w:r>
        <w:rPr/>
        <w:t>construction</w:t>
      </w:r>
      <w:r>
        <w:rPr>
          <w:spacing w:val="-6"/>
        </w:rPr>
        <w:t> </w:t>
      </w:r>
      <w:r>
        <w:rPr/>
        <w:t>or renovation</w:t>
      </w:r>
      <w:r>
        <w:rPr>
          <w:spacing w:val="-5"/>
        </w:rPr>
        <w:t> </w:t>
      </w:r>
      <w:r>
        <w:rPr/>
        <w:t>of</w:t>
      </w:r>
      <w:r>
        <w:rPr>
          <w:spacing w:val="-4"/>
        </w:rPr>
        <w:t> </w:t>
      </w:r>
      <w:r>
        <w:rPr/>
        <w:t>facilities;</w:t>
      </w:r>
      <w:r>
        <w:rPr>
          <w:spacing w:val="-3"/>
        </w:rPr>
        <w:t> </w:t>
      </w:r>
      <w:r>
        <w:rPr/>
        <w:t>and</w:t>
      </w:r>
      <w:r>
        <w:rPr>
          <w:spacing w:val="-4"/>
        </w:rPr>
        <w:t> </w:t>
      </w:r>
      <w:r>
        <w:rPr/>
        <w:t>(4)</w:t>
      </w:r>
      <w:r>
        <w:rPr>
          <w:spacing w:val="-4"/>
        </w:rPr>
        <w:t> </w:t>
      </w:r>
      <w:r>
        <w:rPr/>
        <w:t>rent,</w:t>
      </w:r>
      <w:r>
        <w:rPr>
          <w:spacing w:val="-4"/>
        </w:rPr>
        <w:t> </w:t>
      </w:r>
      <w:r>
        <w:rPr/>
        <w:t>occupancy</w:t>
      </w:r>
      <w:r>
        <w:rPr>
          <w:spacing w:val="-4"/>
        </w:rPr>
        <w:t> </w:t>
      </w:r>
      <w:r>
        <w:rPr/>
        <w:t>or</w:t>
      </w:r>
      <w:r>
        <w:rPr>
          <w:spacing w:val="-4"/>
        </w:rPr>
        <w:t> </w:t>
      </w:r>
      <w:r>
        <w:rPr/>
        <w:t>space</w:t>
      </w:r>
      <w:r>
        <w:rPr>
          <w:spacing w:val="-5"/>
        </w:rPr>
        <w:t> </w:t>
      </w:r>
      <w:r>
        <w:rPr/>
        <w:t>maintenance</w:t>
      </w:r>
      <w:r>
        <w:rPr>
          <w:spacing w:val="-5"/>
        </w:rPr>
        <w:t> </w:t>
      </w:r>
      <w:r>
        <w:rPr/>
        <w:t>costs.</w:t>
      </w:r>
      <w:r>
        <w:rPr>
          <w:vertAlign w:val="superscript"/>
        </w:rPr>
        <w:t>3</w:t>
      </w:r>
      <w:r>
        <w:rPr>
          <w:spacing w:val="-6"/>
          <w:vertAlign w:val="baseline"/>
        </w:rPr>
        <w:t> </w:t>
      </w:r>
      <w:r>
        <w:rPr>
          <w:vertAlign w:val="baseline"/>
        </w:rPr>
        <w:t>The</w:t>
      </w:r>
      <w:r>
        <w:rPr>
          <w:spacing w:val="-4"/>
          <w:vertAlign w:val="baseline"/>
        </w:rPr>
        <w:t> </w:t>
      </w:r>
      <w:r>
        <w:rPr>
          <w:vertAlign w:val="baseline"/>
        </w:rPr>
        <w:t>October</w:t>
      </w:r>
      <w:r>
        <w:rPr>
          <w:spacing w:val="-4"/>
          <w:vertAlign w:val="baseline"/>
        </w:rPr>
        <w:t> </w:t>
      </w:r>
      <w:r>
        <w:rPr>
          <w:vertAlign w:val="baseline"/>
        </w:rPr>
        <w:t>2019 </w:t>
      </w:r>
      <w:r>
        <w:rPr>
          <w:i/>
          <w:vertAlign w:val="baseline"/>
        </w:rPr>
        <w:t>Frequently</w:t>
      </w:r>
      <w:r>
        <w:rPr>
          <w:i/>
          <w:spacing w:val="-13"/>
          <w:vertAlign w:val="baseline"/>
        </w:rPr>
        <w:t> </w:t>
      </w:r>
      <w:r>
        <w:rPr>
          <w:i/>
          <w:vertAlign w:val="baseline"/>
        </w:rPr>
        <w:t>Asked</w:t>
      </w:r>
      <w:r>
        <w:rPr>
          <w:i/>
          <w:spacing w:val="-5"/>
          <w:vertAlign w:val="baseline"/>
        </w:rPr>
        <w:t> </w:t>
      </w:r>
      <w:r>
        <w:rPr>
          <w:i/>
          <w:vertAlign w:val="baseline"/>
        </w:rPr>
        <w:t>Questions</w:t>
      </w:r>
      <w:r>
        <w:rPr>
          <w:i/>
          <w:spacing w:val="-5"/>
          <w:vertAlign w:val="baseline"/>
        </w:rPr>
        <w:t> </w:t>
      </w:r>
      <w:r>
        <w:rPr>
          <w:i/>
          <w:vertAlign w:val="baseline"/>
        </w:rPr>
        <w:t>(2019</w:t>
      </w:r>
      <w:r>
        <w:rPr>
          <w:i/>
          <w:spacing w:val="-5"/>
          <w:vertAlign w:val="baseline"/>
        </w:rPr>
        <w:t> </w:t>
      </w:r>
      <w:r>
        <w:rPr>
          <w:i/>
          <w:vertAlign w:val="baseline"/>
        </w:rPr>
        <w:t>FAQs)</w:t>
      </w:r>
      <w:r>
        <w:rPr>
          <w:i/>
          <w:spacing w:val="-5"/>
          <w:vertAlign w:val="baseline"/>
        </w:rPr>
        <w:t> </w:t>
      </w:r>
      <w:r>
        <w:rPr>
          <w:i/>
          <w:vertAlign w:val="baseline"/>
        </w:rPr>
        <w:t>Prior</w:t>
      </w:r>
      <w:r>
        <w:rPr>
          <w:i/>
          <w:spacing w:val="-12"/>
          <w:vertAlign w:val="baseline"/>
        </w:rPr>
        <w:t> </w:t>
      </w:r>
      <w:r>
        <w:rPr>
          <w:i/>
          <w:vertAlign w:val="baseline"/>
        </w:rPr>
        <w:t>Approval</w:t>
      </w:r>
      <w:r>
        <w:rPr>
          <w:i/>
          <w:spacing w:val="-5"/>
          <w:vertAlign w:val="baseline"/>
        </w:rPr>
        <w:t> </w:t>
      </w:r>
      <w:r>
        <w:rPr>
          <w:i/>
          <w:vertAlign w:val="baseline"/>
        </w:rPr>
        <w:t>–</w:t>
      </w:r>
      <w:r>
        <w:rPr>
          <w:i/>
          <w:spacing w:val="-5"/>
          <w:vertAlign w:val="baseline"/>
        </w:rPr>
        <w:t> </w:t>
      </w:r>
      <w:r>
        <w:rPr>
          <w:i/>
          <w:vertAlign w:val="baseline"/>
        </w:rPr>
        <w:t>OSEP</w:t>
      </w:r>
      <w:r>
        <w:rPr>
          <w:i/>
          <w:spacing w:val="-13"/>
          <w:vertAlign w:val="baseline"/>
        </w:rPr>
        <w:t> </w:t>
      </w:r>
      <w:r>
        <w:rPr>
          <w:i/>
          <w:vertAlign w:val="baseline"/>
        </w:rPr>
        <w:t>and</w:t>
      </w:r>
      <w:r>
        <w:rPr>
          <w:i/>
          <w:spacing w:val="-5"/>
          <w:vertAlign w:val="baseline"/>
        </w:rPr>
        <w:t> </w:t>
      </w:r>
      <w:r>
        <w:rPr>
          <w:i/>
          <w:vertAlign w:val="baseline"/>
        </w:rPr>
        <w:t>RSA</w:t>
      </w:r>
      <w:r>
        <w:rPr>
          <w:i/>
          <w:spacing w:val="-13"/>
          <w:vertAlign w:val="baseline"/>
        </w:rPr>
        <w:t> </w:t>
      </w:r>
      <w:r>
        <w:rPr>
          <w:i/>
          <w:vertAlign w:val="baseline"/>
        </w:rPr>
        <w:t>Formula</w:t>
      </w:r>
      <w:r>
        <w:rPr>
          <w:i/>
          <w:spacing w:val="-5"/>
          <w:vertAlign w:val="baseline"/>
        </w:rPr>
        <w:t> </w:t>
      </w:r>
      <w:r>
        <w:rPr>
          <w:i/>
          <w:vertAlign w:val="baseline"/>
        </w:rPr>
        <w:t>Grants</w:t>
      </w:r>
      <w:r>
        <w:rPr>
          <w:i/>
          <w:vertAlign w:val="superscript"/>
        </w:rPr>
        <w:t>4</w:t>
      </w:r>
      <w:r>
        <w:rPr>
          <w:i/>
          <w:spacing w:val="-3"/>
          <w:vertAlign w:val="baseline"/>
        </w:rPr>
        <w:t> </w:t>
      </w:r>
      <w:r>
        <w:rPr>
          <w:vertAlign w:val="baseline"/>
        </w:rPr>
        <w:t>which </w:t>
      </w:r>
      <w:r>
        <w:rPr>
          <w:spacing w:val="-2"/>
          <w:vertAlign w:val="baseline"/>
        </w:rPr>
        <w:t>provides</w:t>
      </w:r>
      <w:r>
        <w:rPr>
          <w:spacing w:val="-6"/>
          <w:vertAlign w:val="baseline"/>
        </w:rPr>
        <w:t> </w:t>
      </w:r>
      <w:r>
        <w:rPr>
          <w:spacing w:val="-2"/>
          <w:vertAlign w:val="baseline"/>
        </w:rPr>
        <w:t>prior</w:t>
      </w:r>
      <w:r>
        <w:rPr>
          <w:spacing w:val="-6"/>
          <w:vertAlign w:val="baseline"/>
        </w:rPr>
        <w:t> </w:t>
      </w:r>
      <w:r>
        <w:rPr>
          <w:spacing w:val="-2"/>
          <w:vertAlign w:val="baseline"/>
        </w:rPr>
        <w:t>approval</w:t>
      </w:r>
      <w:r>
        <w:rPr>
          <w:spacing w:val="-6"/>
          <w:vertAlign w:val="baseline"/>
        </w:rPr>
        <w:t> </w:t>
      </w:r>
      <w:r>
        <w:rPr>
          <w:spacing w:val="-2"/>
          <w:vertAlign w:val="baseline"/>
        </w:rPr>
        <w:t>for</w:t>
      </w:r>
      <w:r>
        <w:rPr>
          <w:spacing w:val="-7"/>
          <w:vertAlign w:val="baseline"/>
        </w:rPr>
        <w:t> </w:t>
      </w:r>
      <w:r>
        <w:rPr>
          <w:spacing w:val="-2"/>
          <w:vertAlign w:val="baseline"/>
        </w:rPr>
        <w:t>certain</w:t>
      </w:r>
      <w:r>
        <w:rPr>
          <w:spacing w:val="-6"/>
          <w:vertAlign w:val="baseline"/>
        </w:rPr>
        <w:t> </w:t>
      </w:r>
      <w:r>
        <w:rPr>
          <w:b/>
          <w:spacing w:val="-2"/>
          <w:vertAlign w:val="baseline"/>
        </w:rPr>
        <w:t>equipment</w:t>
      </w:r>
      <w:r>
        <w:rPr>
          <w:b/>
          <w:spacing w:val="-6"/>
          <w:vertAlign w:val="baseline"/>
        </w:rPr>
        <w:t> </w:t>
      </w:r>
      <w:r>
        <w:rPr>
          <w:b/>
          <w:spacing w:val="-2"/>
          <w:vertAlign w:val="baseline"/>
        </w:rPr>
        <w:t>and</w:t>
      </w:r>
      <w:r>
        <w:rPr>
          <w:b/>
          <w:spacing w:val="-7"/>
          <w:vertAlign w:val="baseline"/>
        </w:rPr>
        <w:t> </w:t>
      </w:r>
      <w:r>
        <w:rPr>
          <w:b/>
          <w:spacing w:val="-2"/>
          <w:vertAlign w:val="baseline"/>
        </w:rPr>
        <w:t>participant</w:t>
      </w:r>
      <w:r>
        <w:rPr>
          <w:b/>
          <w:spacing w:val="-6"/>
          <w:vertAlign w:val="baseline"/>
        </w:rPr>
        <w:t> </w:t>
      </w:r>
      <w:r>
        <w:rPr>
          <w:b/>
          <w:spacing w:val="-2"/>
          <w:vertAlign w:val="baseline"/>
        </w:rPr>
        <w:t>support</w:t>
      </w:r>
      <w:r>
        <w:rPr>
          <w:b/>
          <w:spacing w:val="-6"/>
          <w:vertAlign w:val="baseline"/>
        </w:rPr>
        <w:t> </w:t>
      </w:r>
      <w:r>
        <w:rPr>
          <w:b/>
          <w:spacing w:val="-2"/>
          <w:vertAlign w:val="baseline"/>
        </w:rPr>
        <w:t>costs</w:t>
      </w:r>
      <w:r>
        <w:rPr>
          <w:spacing w:val="-2"/>
          <w:vertAlign w:val="baseline"/>
        </w:rPr>
        <w:t>.</w:t>
      </w:r>
      <w:r>
        <w:rPr>
          <w:spacing w:val="-6"/>
          <w:vertAlign w:val="baseline"/>
        </w:rPr>
        <w:t> </w:t>
      </w:r>
      <w:r>
        <w:rPr>
          <w:spacing w:val="-2"/>
          <w:vertAlign w:val="baseline"/>
        </w:rPr>
        <w:t>Please</w:t>
      </w:r>
      <w:r>
        <w:rPr>
          <w:spacing w:val="-6"/>
          <w:vertAlign w:val="baseline"/>
        </w:rPr>
        <w:t> </w:t>
      </w:r>
      <w:r>
        <w:rPr>
          <w:spacing w:val="-2"/>
          <w:vertAlign w:val="baseline"/>
        </w:rPr>
        <w:t>review</w:t>
      </w:r>
      <w:r>
        <w:rPr>
          <w:spacing w:val="-7"/>
          <w:vertAlign w:val="baseline"/>
        </w:rPr>
        <w:t> </w:t>
      </w:r>
      <w:r>
        <w:rPr>
          <w:spacing w:val="-2"/>
          <w:vertAlign w:val="baseline"/>
        </w:rPr>
        <w:t>this</w:t>
      </w:r>
      <w:r>
        <w:rPr>
          <w:spacing w:val="-7"/>
          <w:vertAlign w:val="baseline"/>
        </w:rPr>
        <w:t> </w:t>
      </w:r>
      <w:r>
        <w:rPr>
          <w:spacing w:val="-2"/>
          <w:vertAlign w:val="baseline"/>
        </w:rPr>
        <w:t>FAQ </w:t>
      </w:r>
      <w:r>
        <w:rPr>
          <w:vertAlign w:val="baseline"/>
        </w:rPr>
        <w:t>at</w:t>
      </w:r>
      <w:r>
        <w:rPr>
          <w:spacing w:val="-14"/>
          <w:vertAlign w:val="baseline"/>
        </w:rPr>
        <w:t> </w:t>
      </w:r>
      <w:r>
        <w:rPr>
          <w:color w:val="0000FF"/>
          <w:u w:val="single" w:color="0000FF"/>
          <w:vertAlign w:val="baseline"/>
        </w:rPr>
        <w:t>https://www2.ed.gov/policy/speced/guid/faq-prior-approval-10-29-2019.pdf</w:t>
      </w:r>
      <w:r>
        <w:rPr>
          <w:u w:val="none"/>
          <w:vertAlign w:val="baseline"/>
        </w:rPr>
        <w:t>)</w:t>
      </w:r>
      <w:r>
        <w:rPr>
          <w:spacing w:val="-14"/>
          <w:u w:val="none"/>
          <w:vertAlign w:val="baseline"/>
        </w:rPr>
        <w:t> </w:t>
      </w:r>
      <w:r>
        <w:rPr>
          <w:u w:val="none"/>
          <w:vertAlign w:val="baseline"/>
        </w:rPr>
        <w:t>prior</w:t>
      </w:r>
      <w:r>
        <w:rPr>
          <w:spacing w:val="-14"/>
          <w:u w:val="none"/>
          <w:vertAlign w:val="baseline"/>
        </w:rPr>
        <w:t> </w:t>
      </w:r>
      <w:r>
        <w:rPr>
          <w:u w:val="none"/>
          <w:vertAlign w:val="baseline"/>
        </w:rPr>
        <w:t>to</w:t>
      </w:r>
      <w:r>
        <w:rPr>
          <w:spacing w:val="-14"/>
          <w:u w:val="none"/>
          <w:vertAlign w:val="baseline"/>
        </w:rPr>
        <w:t> </w:t>
      </w:r>
      <w:r>
        <w:rPr>
          <w:u w:val="none"/>
          <w:vertAlign w:val="baseline"/>
        </w:rPr>
        <w:t>completing Section</w:t>
      </w:r>
      <w:r>
        <w:rPr>
          <w:spacing w:val="-6"/>
          <w:u w:val="none"/>
          <w:vertAlign w:val="baseline"/>
        </w:rPr>
        <w:t> </w:t>
      </w:r>
      <w:r>
        <w:rPr>
          <w:u w:val="none"/>
          <w:vertAlign w:val="baseline"/>
        </w:rPr>
        <w:t>III.</w:t>
      </w:r>
      <w:r>
        <w:rPr>
          <w:spacing w:val="-6"/>
          <w:u w:val="none"/>
          <w:vertAlign w:val="baseline"/>
        </w:rPr>
        <w:t> </w:t>
      </w:r>
      <w:r>
        <w:rPr>
          <w:u w:val="none"/>
          <w:vertAlign w:val="baseline"/>
        </w:rPr>
        <w:t>B.</w:t>
      </w:r>
      <w:r>
        <w:rPr>
          <w:spacing w:val="-6"/>
          <w:u w:val="none"/>
          <w:vertAlign w:val="baseline"/>
        </w:rPr>
        <w:t> </w:t>
      </w:r>
      <w:r>
        <w:rPr>
          <w:u w:val="none"/>
          <w:vertAlign w:val="baseline"/>
        </w:rPr>
        <w:t>For</w:t>
      </w:r>
      <w:r>
        <w:rPr>
          <w:spacing w:val="-6"/>
          <w:u w:val="none"/>
          <w:vertAlign w:val="baseline"/>
        </w:rPr>
        <w:t> </w:t>
      </w:r>
      <w:r>
        <w:rPr>
          <w:u w:val="none"/>
          <w:vertAlign w:val="baseline"/>
        </w:rPr>
        <w:t>any</w:t>
      </w:r>
      <w:r>
        <w:rPr>
          <w:spacing w:val="-6"/>
          <w:u w:val="none"/>
          <w:vertAlign w:val="baseline"/>
        </w:rPr>
        <w:t> </w:t>
      </w:r>
      <w:r>
        <w:rPr>
          <w:u w:val="none"/>
          <w:vertAlign w:val="baseline"/>
        </w:rPr>
        <w:t>activity</w:t>
      </w:r>
      <w:r>
        <w:rPr>
          <w:spacing w:val="-6"/>
          <w:u w:val="none"/>
          <w:vertAlign w:val="baseline"/>
        </w:rPr>
        <w:t> </w:t>
      </w:r>
      <w:r>
        <w:rPr>
          <w:u w:val="none"/>
          <w:vertAlign w:val="baseline"/>
        </w:rPr>
        <w:t>or</w:t>
      </w:r>
      <w:r>
        <w:rPr>
          <w:spacing w:val="-6"/>
          <w:u w:val="none"/>
          <w:vertAlign w:val="baseline"/>
        </w:rPr>
        <w:t> </w:t>
      </w:r>
      <w:r>
        <w:rPr>
          <w:u w:val="none"/>
          <w:vertAlign w:val="baseline"/>
        </w:rPr>
        <w:t>expense</w:t>
      </w:r>
      <w:r>
        <w:rPr>
          <w:spacing w:val="-6"/>
          <w:u w:val="none"/>
          <w:vertAlign w:val="baseline"/>
        </w:rPr>
        <w:t> </w:t>
      </w:r>
      <w:r>
        <w:rPr>
          <w:u w:val="none"/>
          <w:vertAlign w:val="baseline"/>
        </w:rPr>
        <w:t>listed</w:t>
      </w:r>
      <w:r>
        <w:rPr>
          <w:spacing w:val="-6"/>
          <w:u w:val="none"/>
          <w:vertAlign w:val="baseline"/>
        </w:rPr>
        <w:t> </w:t>
      </w:r>
      <w:r>
        <w:rPr>
          <w:u w:val="none"/>
          <w:vertAlign w:val="baseline"/>
        </w:rPr>
        <w:t>under</w:t>
      </w:r>
      <w:r>
        <w:rPr>
          <w:spacing w:val="-6"/>
          <w:u w:val="none"/>
          <w:vertAlign w:val="baseline"/>
        </w:rPr>
        <w:t> </w:t>
      </w:r>
      <w:r>
        <w:rPr>
          <w:u w:val="none"/>
          <w:vertAlign w:val="baseline"/>
        </w:rPr>
        <w:t>Section</w:t>
      </w:r>
      <w:r>
        <w:rPr>
          <w:spacing w:val="-6"/>
          <w:u w:val="none"/>
          <w:vertAlign w:val="baseline"/>
        </w:rPr>
        <w:t> </w:t>
      </w:r>
      <w:r>
        <w:rPr>
          <w:u w:val="none"/>
          <w:vertAlign w:val="baseline"/>
        </w:rPr>
        <w:t>III</w:t>
      </w:r>
      <w:r>
        <w:rPr>
          <w:spacing w:val="-8"/>
          <w:u w:val="none"/>
          <w:vertAlign w:val="baseline"/>
        </w:rPr>
        <w:t> </w:t>
      </w:r>
      <w:r>
        <w:rPr>
          <w:u w:val="none"/>
          <w:vertAlign w:val="baseline"/>
        </w:rPr>
        <w:t>of</w:t>
      </w:r>
      <w:r>
        <w:rPr>
          <w:spacing w:val="-6"/>
          <w:u w:val="none"/>
          <w:vertAlign w:val="baseline"/>
        </w:rPr>
        <w:t> </w:t>
      </w:r>
      <w:r>
        <w:rPr>
          <w:u w:val="none"/>
          <w:vertAlign w:val="baseline"/>
        </w:rPr>
        <w:t>this</w:t>
      </w:r>
      <w:r>
        <w:rPr>
          <w:spacing w:val="-6"/>
          <w:u w:val="none"/>
          <w:vertAlign w:val="baseline"/>
        </w:rPr>
        <w:t> </w:t>
      </w:r>
      <w:r>
        <w:rPr>
          <w:u w:val="none"/>
          <w:vertAlign w:val="baseline"/>
        </w:rPr>
        <w:t>application</w:t>
      </w:r>
      <w:r>
        <w:rPr>
          <w:spacing w:val="-7"/>
          <w:u w:val="none"/>
          <w:vertAlign w:val="baseline"/>
        </w:rPr>
        <w:t> </w:t>
      </w:r>
      <w:r>
        <w:rPr>
          <w:u w:val="none"/>
          <w:vertAlign w:val="baseline"/>
        </w:rPr>
        <w:t>that</w:t>
      </w:r>
      <w:r>
        <w:rPr>
          <w:spacing w:val="-6"/>
          <w:u w:val="none"/>
          <w:vertAlign w:val="baseline"/>
        </w:rPr>
        <w:t> </w:t>
      </w:r>
      <w:r>
        <w:rPr>
          <w:u w:val="none"/>
          <w:vertAlign w:val="baseline"/>
        </w:rPr>
        <w:t>is</w:t>
      </w:r>
      <w:r>
        <w:rPr>
          <w:spacing w:val="-6"/>
          <w:u w:val="none"/>
          <w:vertAlign w:val="baseline"/>
        </w:rPr>
        <w:t> </w:t>
      </w:r>
      <w:r>
        <w:rPr>
          <w:u w:val="none"/>
          <w:vertAlign w:val="baseline"/>
        </w:rPr>
        <w:t>not</w:t>
      </w:r>
      <w:r>
        <w:rPr>
          <w:spacing w:val="-6"/>
          <w:u w:val="none"/>
          <w:vertAlign w:val="baseline"/>
        </w:rPr>
        <w:t> </w:t>
      </w:r>
      <w:r>
        <w:rPr>
          <w:u w:val="none"/>
          <w:vertAlign w:val="baseline"/>
        </w:rPr>
        <w:t>covered by</w:t>
      </w:r>
      <w:r>
        <w:rPr>
          <w:spacing w:val="-10"/>
          <w:u w:val="none"/>
          <w:vertAlign w:val="baseline"/>
        </w:rPr>
        <w:t> </w:t>
      </w:r>
      <w:r>
        <w:rPr>
          <w:u w:val="none"/>
          <w:vertAlign w:val="baseline"/>
        </w:rPr>
        <w:t>the</w:t>
      </w:r>
      <w:r>
        <w:rPr>
          <w:spacing w:val="-10"/>
          <w:u w:val="none"/>
          <w:vertAlign w:val="baseline"/>
        </w:rPr>
        <w:t> </w:t>
      </w:r>
      <w:r>
        <w:rPr>
          <w:u w:val="none"/>
          <w:vertAlign w:val="baseline"/>
        </w:rPr>
        <w:t>scope</w:t>
      </w:r>
      <w:r>
        <w:rPr>
          <w:spacing w:val="-10"/>
          <w:u w:val="none"/>
          <w:vertAlign w:val="baseline"/>
        </w:rPr>
        <w:t> </w:t>
      </w:r>
      <w:r>
        <w:rPr>
          <w:u w:val="none"/>
          <w:vertAlign w:val="baseline"/>
        </w:rPr>
        <w:t>of</w:t>
      </w:r>
      <w:r>
        <w:rPr>
          <w:spacing w:val="-10"/>
          <w:u w:val="none"/>
          <w:vertAlign w:val="baseline"/>
        </w:rPr>
        <w:t> </w:t>
      </w:r>
      <w:r>
        <w:rPr>
          <w:u w:val="none"/>
          <w:vertAlign w:val="baseline"/>
        </w:rPr>
        <w:t>the</w:t>
      </w:r>
      <w:r>
        <w:rPr>
          <w:spacing w:val="-10"/>
          <w:u w:val="none"/>
          <w:vertAlign w:val="baseline"/>
        </w:rPr>
        <w:t> </w:t>
      </w:r>
      <w:r>
        <w:rPr>
          <w:u w:val="none"/>
          <w:vertAlign w:val="baseline"/>
        </w:rPr>
        <w:t>2019</w:t>
      </w:r>
      <w:r>
        <w:rPr>
          <w:spacing w:val="-10"/>
          <w:u w:val="none"/>
          <w:vertAlign w:val="baseline"/>
        </w:rPr>
        <w:t> </w:t>
      </w:r>
      <w:r>
        <w:rPr>
          <w:u w:val="none"/>
          <w:vertAlign w:val="baseline"/>
        </w:rPr>
        <w:t>FAQs</w:t>
      </w:r>
      <w:r>
        <w:rPr>
          <w:spacing w:val="-10"/>
          <w:u w:val="none"/>
          <w:vertAlign w:val="baseline"/>
        </w:rPr>
        <w:t> </w:t>
      </w:r>
      <w:r>
        <w:rPr>
          <w:u w:val="none"/>
          <w:vertAlign w:val="baseline"/>
        </w:rPr>
        <w:t>and</w:t>
      </w:r>
      <w:r>
        <w:rPr>
          <w:spacing w:val="-10"/>
          <w:u w:val="none"/>
          <w:vertAlign w:val="baseline"/>
        </w:rPr>
        <w:t> </w:t>
      </w:r>
      <w:r>
        <w:rPr>
          <w:u w:val="none"/>
          <w:vertAlign w:val="baseline"/>
        </w:rPr>
        <w:t>requires</w:t>
      </w:r>
      <w:r>
        <w:rPr>
          <w:spacing w:val="-10"/>
          <w:u w:val="none"/>
          <w:vertAlign w:val="baseline"/>
        </w:rPr>
        <w:t> </w:t>
      </w:r>
      <w:r>
        <w:rPr>
          <w:u w:val="none"/>
          <w:vertAlign w:val="baseline"/>
        </w:rPr>
        <w:t>OSEP</w:t>
      </w:r>
      <w:r>
        <w:rPr>
          <w:spacing w:val="-14"/>
          <w:u w:val="none"/>
          <w:vertAlign w:val="baseline"/>
        </w:rPr>
        <w:t> </w:t>
      </w:r>
      <w:r>
        <w:rPr>
          <w:u w:val="none"/>
          <w:vertAlign w:val="baseline"/>
        </w:rPr>
        <w:t>prior</w:t>
      </w:r>
      <w:r>
        <w:rPr>
          <w:spacing w:val="-10"/>
          <w:u w:val="none"/>
          <w:vertAlign w:val="baseline"/>
        </w:rPr>
        <w:t> </w:t>
      </w:r>
      <w:r>
        <w:rPr>
          <w:u w:val="none"/>
          <w:vertAlign w:val="baseline"/>
        </w:rPr>
        <w:t>approval,</w:t>
      </w:r>
      <w:r>
        <w:rPr>
          <w:spacing w:val="-8"/>
          <w:u w:val="none"/>
          <w:vertAlign w:val="baseline"/>
        </w:rPr>
        <w:t> </w:t>
      </w:r>
      <w:r>
        <w:rPr>
          <w:u w:val="none"/>
          <w:vertAlign w:val="baseline"/>
        </w:rPr>
        <w:t>mark</w:t>
      </w:r>
      <w:r>
        <w:rPr>
          <w:spacing w:val="-10"/>
          <w:u w:val="none"/>
          <w:vertAlign w:val="baseline"/>
        </w:rPr>
        <w:t> </w:t>
      </w:r>
      <w:r>
        <w:rPr>
          <w:u w:val="none"/>
          <w:vertAlign w:val="baseline"/>
        </w:rPr>
        <w:t>an</w:t>
      </w:r>
      <w:r>
        <w:rPr>
          <w:spacing w:val="-10"/>
          <w:u w:val="none"/>
          <w:vertAlign w:val="baseline"/>
        </w:rPr>
        <w:t> </w:t>
      </w:r>
      <w:r>
        <w:rPr>
          <w:u w:val="none"/>
          <w:vertAlign w:val="baseline"/>
        </w:rPr>
        <w:t>“X”</w:t>
      </w:r>
      <w:r>
        <w:rPr>
          <w:spacing w:val="-10"/>
          <w:u w:val="none"/>
          <w:vertAlign w:val="baseline"/>
        </w:rPr>
        <w:t> </w:t>
      </w:r>
      <w:r>
        <w:rPr>
          <w:u w:val="none"/>
          <w:vertAlign w:val="baseline"/>
        </w:rPr>
        <w:t>in</w:t>
      </w:r>
      <w:r>
        <w:rPr>
          <w:spacing w:val="-10"/>
          <w:u w:val="none"/>
          <w:vertAlign w:val="baseline"/>
        </w:rPr>
        <w:t> </w:t>
      </w:r>
      <w:r>
        <w:rPr>
          <w:u w:val="none"/>
          <w:vertAlign w:val="baseline"/>
        </w:rPr>
        <w:t>the</w:t>
      </w:r>
      <w:r>
        <w:rPr>
          <w:spacing w:val="-10"/>
          <w:u w:val="none"/>
          <w:vertAlign w:val="baseline"/>
        </w:rPr>
        <w:t> </w:t>
      </w:r>
      <w:r>
        <w:rPr>
          <w:u w:val="none"/>
          <w:vertAlign w:val="baseline"/>
        </w:rPr>
        <w:t>chart</w:t>
      </w:r>
      <w:r>
        <w:rPr>
          <w:spacing w:val="-10"/>
          <w:u w:val="none"/>
          <w:vertAlign w:val="baseline"/>
        </w:rPr>
        <w:t> </w:t>
      </w:r>
      <w:r>
        <w:rPr>
          <w:u w:val="none"/>
          <w:vertAlign w:val="baseline"/>
        </w:rPr>
        <w:t>below.</w:t>
      </w:r>
      <w:r>
        <w:rPr>
          <w:spacing w:val="-14"/>
          <w:u w:val="none"/>
          <w:vertAlign w:val="baseline"/>
        </w:rPr>
        <w:t> </w:t>
      </w:r>
      <w:r>
        <w:rPr>
          <w:u w:val="none"/>
          <w:vertAlign w:val="baseline"/>
        </w:rPr>
        <w:t>The State</w:t>
      </w:r>
      <w:r>
        <w:rPr>
          <w:spacing w:val="-5"/>
          <w:u w:val="none"/>
          <w:vertAlign w:val="baseline"/>
        </w:rPr>
        <w:t> </w:t>
      </w:r>
      <w:r>
        <w:rPr>
          <w:u w:val="none"/>
          <w:vertAlign w:val="baseline"/>
        </w:rPr>
        <w:t>must</w:t>
      </w:r>
      <w:r>
        <w:rPr>
          <w:spacing w:val="-5"/>
          <w:u w:val="none"/>
          <w:vertAlign w:val="baseline"/>
        </w:rPr>
        <w:t> </w:t>
      </w:r>
      <w:r>
        <w:rPr>
          <w:u w:val="none"/>
          <w:vertAlign w:val="baseline"/>
        </w:rPr>
        <w:t>submit</w:t>
      </w:r>
      <w:r>
        <w:rPr>
          <w:spacing w:val="-5"/>
          <w:u w:val="none"/>
          <w:vertAlign w:val="baseline"/>
        </w:rPr>
        <w:t> </w:t>
      </w:r>
      <w:r>
        <w:rPr>
          <w:u w:val="none"/>
          <w:vertAlign w:val="baseline"/>
        </w:rPr>
        <w:t>supporting</w:t>
      </w:r>
      <w:r>
        <w:rPr>
          <w:spacing w:val="-6"/>
          <w:u w:val="none"/>
          <w:vertAlign w:val="baseline"/>
        </w:rPr>
        <w:t> </w:t>
      </w:r>
      <w:r>
        <w:rPr>
          <w:u w:val="none"/>
          <w:vertAlign w:val="baseline"/>
        </w:rPr>
        <w:t>documentation</w:t>
      </w:r>
      <w:r>
        <w:rPr>
          <w:spacing w:val="-6"/>
          <w:u w:val="none"/>
          <w:vertAlign w:val="baseline"/>
        </w:rPr>
        <w:t> </w:t>
      </w:r>
      <w:r>
        <w:rPr>
          <w:u w:val="none"/>
          <w:vertAlign w:val="baseline"/>
        </w:rPr>
        <w:t>for</w:t>
      </w:r>
      <w:r>
        <w:rPr>
          <w:spacing w:val="-5"/>
          <w:u w:val="none"/>
          <w:vertAlign w:val="baseline"/>
        </w:rPr>
        <w:t> </w:t>
      </w:r>
      <w:r>
        <w:rPr>
          <w:u w:val="none"/>
          <w:vertAlign w:val="baseline"/>
        </w:rPr>
        <w:t>any</w:t>
      </w:r>
      <w:r>
        <w:rPr>
          <w:spacing w:val="-5"/>
          <w:u w:val="none"/>
          <w:vertAlign w:val="baseline"/>
        </w:rPr>
        <w:t> </w:t>
      </w:r>
      <w:r>
        <w:rPr>
          <w:u w:val="none"/>
          <w:vertAlign w:val="baseline"/>
        </w:rPr>
        <w:t>direct</w:t>
      </w:r>
      <w:r>
        <w:rPr>
          <w:spacing w:val="-5"/>
          <w:u w:val="none"/>
          <w:vertAlign w:val="baseline"/>
        </w:rPr>
        <w:t> </w:t>
      </w:r>
      <w:r>
        <w:rPr>
          <w:u w:val="none"/>
          <w:vertAlign w:val="baseline"/>
        </w:rPr>
        <w:t>costs</w:t>
      </w:r>
      <w:r>
        <w:rPr>
          <w:spacing w:val="-6"/>
          <w:u w:val="none"/>
          <w:vertAlign w:val="baseline"/>
        </w:rPr>
        <w:t> </w:t>
      </w:r>
      <w:r>
        <w:rPr>
          <w:u w:val="none"/>
          <w:vertAlign w:val="baseline"/>
        </w:rPr>
        <w:t>that</w:t>
      </w:r>
      <w:r>
        <w:rPr>
          <w:spacing w:val="-5"/>
          <w:u w:val="none"/>
          <w:vertAlign w:val="baseline"/>
        </w:rPr>
        <w:t> </w:t>
      </w:r>
      <w:r>
        <w:rPr>
          <w:u w:val="none"/>
          <w:vertAlign w:val="baseline"/>
        </w:rPr>
        <w:t>require</w:t>
      </w:r>
      <w:r>
        <w:rPr>
          <w:spacing w:val="-5"/>
          <w:u w:val="none"/>
          <w:vertAlign w:val="baseline"/>
        </w:rPr>
        <w:t> </w:t>
      </w:r>
      <w:r>
        <w:rPr>
          <w:u w:val="none"/>
          <w:vertAlign w:val="baseline"/>
        </w:rPr>
        <w:t>OSEP</w:t>
      </w:r>
      <w:r>
        <w:rPr>
          <w:spacing w:val="-9"/>
          <w:u w:val="none"/>
          <w:vertAlign w:val="baseline"/>
        </w:rPr>
        <w:t> </w:t>
      </w:r>
      <w:r>
        <w:rPr>
          <w:u w:val="none"/>
          <w:vertAlign w:val="baseline"/>
        </w:rPr>
        <w:t>prior</w:t>
      </w:r>
      <w:r>
        <w:rPr>
          <w:spacing w:val="-5"/>
          <w:u w:val="none"/>
          <w:vertAlign w:val="baseline"/>
        </w:rPr>
        <w:t> </w:t>
      </w:r>
      <w:r>
        <w:rPr>
          <w:u w:val="none"/>
          <w:vertAlign w:val="baseline"/>
        </w:rPr>
        <w:t>approval.</w:t>
      </w:r>
    </w:p>
    <w:p>
      <w:pPr>
        <w:pStyle w:val="Heading2"/>
        <w:spacing w:before="119"/>
        <w:ind w:right="344"/>
        <w:rPr>
          <w:b w:val="0"/>
          <w:i/>
          <w:sz w:val="16"/>
        </w:rPr>
      </w:pPr>
      <w:r>
        <w:rPr/>
        <w:t>Approval</w:t>
      </w:r>
      <w:r>
        <w:rPr>
          <w:spacing w:val="-4"/>
        </w:rPr>
        <w:t> </w:t>
      </w:r>
      <w:r>
        <w:rPr/>
        <w:t>of</w:t>
      </w:r>
      <w:r>
        <w:rPr>
          <w:spacing w:val="-4"/>
        </w:rPr>
        <w:t> </w:t>
      </w:r>
      <w:r>
        <w:rPr/>
        <w:t>the</w:t>
      </w:r>
      <w:r>
        <w:rPr>
          <w:spacing w:val="-4"/>
        </w:rPr>
        <w:t> </w:t>
      </w:r>
      <w:r>
        <w:rPr/>
        <w:t>State’s</w:t>
      </w:r>
      <w:r>
        <w:rPr>
          <w:spacing w:val="-4"/>
        </w:rPr>
        <w:t> </w:t>
      </w:r>
      <w:r>
        <w:rPr/>
        <w:t>FFY</w:t>
      </w:r>
      <w:r>
        <w:rPr>
          <w:spacing w:val="-8"/>
        </w:rPr>
        <w:t> </w:t>
      </w:r>
      <w:r>
        <w:rPr/>
        <w:t>2022</w:t>
      </w:r>
      <w:r>
        <w:rPr>
          <w:spacing w:val="-4"/>
        </w:rPr>
        <w:t> </w:t>
      </w:r>
      <w:r>
        <w:rPr/>
        <w:t>application</w:t>
      </w:r>
      <w:r>
        <w:rPr>
          <w:spacing w:val="-5"/>
        </w:rPr>
        <w:t> </w:t>
      </w:r>
      <w:r>
        <w:rPr/>
        <w:t>does</w:t>
      </w:r>
      <w:r>
        <w:rPr>
          <w:spacing w:val="-4"/>
        </w:rPr>
        <w:t> </w:t>
      </w:r>
      <w:r>
        <w:rPr/>
        <w:t>not</w:t>
      </w:r>
      <w:r>
        <w:rPr>
          <w:spacing w:val="-4"/>
        </w:rPr>
        <w:t> </w:t>
      </w:r>
      <w:r>
        <w:rPr/>
        <w:t>constitute</w:t>
      </w:r>
      <w:r>
        <w:rPr>
          <w:spacing w:val="-4"/>
        </w:rPr>
        <w:t> </w:t>
      </w:r>
      <w:r>
        <w:rPr/>
        <w:t>OSEP’s</w:t>
      </w:r>
      <w:r>
        <w:rPr>
          <w:spacing w:val="-4"/>
        </w:rPr>
        <w:t> </w:t>
      </w:r>
      <w:r>
        <w:rPr/>
        <w:t>approval</w:t>
      </w:r>
      <w:r>
        <w:rPr>
          <w:spacing w:val="-4"/>
        </w:rPr>
        <w:t> </w:t>
      </w:r>
      <w:r>
        <w:rPr/>
        <w:t>of</w:t>
      </w:r>
      <w:r>
        <w:rPr>
          <w:spacing w:val="-4"/>
        </w:rPr>
        <w:t> </w:t>
      </w:r>
      <w:r>
        <w:rPr/>
        <w:t>these expenses unless specifically referenced.</w:t>
      </w:r>
      <w:r>
        <w:rPr>
          <w:spacing w:val="40"/>
        </w:rPr>
        <w:t> </w:t>
      </w:r>
      <w:r>
        <w:rPr>
          <w:b w:val="0"/>
          <w:i/>
          <w:sz w:val="16"/>
        </w:rPr>
        <w:t>(Add rows as needed)</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67"/>
        <w:rPr>
          <w:i/>
        </w:rPr>
      </w:pPr>
      <w:r>
        <w:rPr>
          <w:i/>
        </w:rPr>
        <mc:AlternateContent>
          <mc:Choice Requires="wps">
            <w:drawing>
              <wp:anchor distT="0" distB="0" distL="0" distR="0" allowOverlap="1" layoutInCell="1" locked="0" behindDoc="1" simplePos="0" relativeHeight="487594496">
                <wp:simplePos x="0" y="0"/>
                <wp:positionH relativeFrom="page">
                  <wp:posOffset>917520</wp:posOffset>
                </wp:positionH>
                <wp:positionV relativeFrom="paragraph">
                  <wp:posOffset>204098</wp:posOffset>
                </wp:positionV>
                <wp:extent cx="1828800" cy="635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245697pt;margin-top:16.070766pt;width:144pt;height:.48pt;mso-position-horizontal-relative:page;mso-position-vertical-relative:paragraph;z-index:-15721984;mso-wrap-distance-left:0;mso-wrap-distance-right:0" id="docshape23" filled="true" fillcolor="#000000" stroked="false">
                <v:fill type="solid"/>
                <w10:wrap type="topAndBottom"/>
              </v:rect>
            </w:pict>
          </mc:Fallback>
        </mc:AlternateContent>
      </w:r>
    </w:p>
    <w:p>
      <w:pPr>
        <w:spacing w:line="242" w:lineRule="auto" w:before="85"/>
        <w:ind w:left="724" w:right="750" w:firstLine="0"/>
        <w:jc w:val="left"/>
        <w:rPr>
          <w:sz w:val="16"/>
        </w:rPr>
      </w:pPr>
      <w:r>
        <w:rPr>
          <w:sz w:val="16"/>
          <w:vertAlign w:val="superscript"/>
        </w:rPr>
        <w:t>3</w:t>
      </w:r>
      <w:r>
        <w:rPr>
          <w:sz w:val="16"/>
          <w:vertAlign w:val="baseline"/>
        </w:rPr>
        <w:t> IDEA and the Uniform Guidance require prior approval for the following expenses: (1) equipment (tangible personal property (including</w:t>
      </w:r>
      <w:r>
        <w:rPr>
          <w:spacing w:val="-2"/>
          <w:sz w:val="16"/>
          <w:vertAlign w:val="baseline"/>
        </w:rPr>
        <w:t> </w:t>
      </w:r>
      <w:r>
        <w:rPr>
          <w:sz w:val="16"/>
          <w:vertAlign w:val="baseline"/>
        </w:rPr>
        <w:t>information</w:t>
      </w:r>
      <w:r>
        <w:rPr>
          <w:spacing w:val="-2"/>
          <w:sz w:val="16"/>
          <w:vertAlign w:val="baseline"/>
        </w:rPr>
        <w:t> </w:t>
      </w:r>
      <w:r>
        <w:rPr>
          <w:sz w:val="16"/>
          <w:vertAlign w:val="baseline"/>
        </w:rPr>
        <w:t>technology</w:t>
      </w:r>
      <w:r>
        <w:rPr>
          <w:spacing w:val="-2"/>
          <w:sz w:val="16"/>
          <w:vertAlign w:val="baseline"/>
        </w:rPr>
        <w:t> </w:t>
      </w:r>
      <w:r>
        <w:rPr>
          <w:sz w:val="16"/>
          <w:vertAlign w:val="baseline"/>
        </w:rPr>
        <w:t>systems)</w:t>
      </w:r>
      <w:r>
        <w:rPr>
          <w:spacing w:val="-2"/>
          <w:sz w:val="16"/>
          <w:vertAlign w:val="baseline"/>
        </w:rPr>
        <w:t> </w:t>
      </w:r>
      <w:r>
        <w:rPr>
          <w:sz w:val="16"/>
          <w:vertAlign w:val="baseline"/>
        </w:rPr>
        <w:t>having</w:t>
      </w:r>
      <w:r>
        <w:rPr>
          <w:spacing w:val="-2"/>
          <w:sz w:val="16"/>
          <w:vertAlign w:val="baseline"/>
        </w:rPr>
        <w:t> </w:t>
      </w:r>
      <w:r>
        <w:rPr>
          <w:sz w:val="16"/>
          <w:vertAlign w:val="baseline"/>
        </w:rPr>
        <w:t>a</w:t>
      </w:r>
      <w:r>
        <w:rPr>
          <w:spacing w:val="-2"/>
          <w:sz w:val="16"/>
          <w:vertAlign w:val="baseline"/>
        </w:rPr>
        <w:t> </w:t>
      </w:r>
      <w:r>
        <w:rPr>
          <w:sz w:val="16"/>
          <w:vertAlign w:val="baseline"/>
        </w:rPr>
        <w:t>useful</w:t>
      </w:r>
      <w:r>
        <w:rPr>
          <w:spacing w:val="-2"/>
          <w:sz w:val="16"/>
          <w:vertAlign w:val="baseline"/>
        </w:rPr>
        <w:t> </w:t>
      </w:r>
      <w:r>
        <w:rPr>
          <w:sz w:val="16"/>
          <w:vertAlign w:val="baseline"/>
        </w:rPr>
        <w:t>life</w:t>
      </w:r>
      <w:r>
        <w:rPr>
          <w:spacing w:val="-2"/>
          <w:sz w:val="16"/>
          <w:vertAlign w:val="baseline"/>
        </w:rPr>
        <w:t> </w:t>
      </w:r>
      <w:r>
        <w:rPr>
          <w:sz w:val="16"/>
          <w:vertAlign w:val="baseline"/>
        </w:rPr>
        <w:t>of</w:t>
      </w:r>
      <w:r>
        <w:rPr>
          <w:spacing w:val="-2"/>
          <w:sz w:val="16"/>
          <w:vertAlign w:val="baseline"/>
        </w:rPr>
        <w:t> </w:t>
      </w:r>
      <w:r>
        <w:rPr>
          <w:sz w:val="16"/>
          <w:vertAlign w:val="baseline"/>
        </w:rPr>
        <w:t>more</w:t>
      </w:r>
      <w:r>
        <w:rPr>
          <w:spacing w:val="-2"/>
          <w:sz w:val="16"/>
          <w:vertAlign w:val="baseline"/>
        </w:rPr>
        <w:t> </w:t>
      </w:r>
      <w:r>
        <w:rPr>
          <w:sz w:val="16"/>
          <w:vertAlign w:val="baseline"/>
        </w:rPr>
        <w:t>than</w:t>
      </w:r>
      <w:r>
        <w:rPr>
          <w:spacing w:val="-2"/>
          <w:sz w:val="16"/>
          <w:vertAlign w:val="baseline"/>
        </w:rPr>
        <w:t> </w:t>
      </w:r>
      <w:r>
        <w:rPr>
          <w:sz w:val="16"/>
          <w:vertAlign w:val="baseline"/>
        </w:rPr>
        <w:t>one</w:t>
      </w:r>
      <w:r>
        <w:rPr>
          <w:spacing w:val="-2"/>
          <w:sz w:val="16"/>
          <w:vertAlign w:val="baseline"/>
        </w:rPr>
        <w:t> </w:t>
      </w:r>
      <w:r>
        <w:rPr>
          <w:sz w:val="16"/>
          <w:vertAlign w:val="baseline"/>
        </w:rPr>
        <w:t>year</w:t>
      </w:r>
      <w:r>
        <w:rPr>
          <w:spacing w:val="-2"/>
          <w:sz w:val="16"/>
          <w:vertAlign w:val="baseline"/>
        </w:rPr>
        <w:t> </w:t>
      </w:r>
      <w:r>
        <w:rPr>
          <w:sz w:val="16"/>
          <w:vertAlign w:val="baseline"/>
        </w:rPr>
        <w:t>and</w:t>
      </w:r>
      <w:r>
        <w:rPr>
          <w:spacing w:val="-2"/>
          <w:sz w:val="16"/>
          <w:vertAlign w:val="baseline"/>
        </w:rPr>
        <w:t> </w:t>
      </w:r>
      <w:r>
        <w:rPr>
          <w:sz w:val="16"/>
          <w:vertAlign w:val="baseline"/>
        </w:rPr>
        <w:t>a</w:t>
      </w:r>
      <w:r>
        <w:rPr>
          <w:spacing w:val="-2"/>
          <w:sz w:val="16"/>
          <w:vertAlign w:val="baseline"/>
        </w:rPr>
        <w:t> </w:t>
      </w:r>
      <w:r>
        <w:rPr>
          <w:sz w:val="16"/>
          <w:vertAlign w:val="baseline"/>
        </w:rPr>
        <w:t>per</w:t>
      </w:r>
      <w:r>
        <w:rPr>
          <w:spacing w:val="-2"/>
          <w:sz w:val="16"/>
          <w:vertAlign w:val="baseline"/>
        </w:rPr>
        <w:t> </w:t>
      </w:r>
      <w:r>
        <w:rPr>
          <w:sz w:val="16"/>
          <w:vertAlign w:val="baseline"/>
        </w:rPr>
        <w:t>unit</w:t>
      </w:r>
      <w:r>
        <w:rPr>
          <w:spacing w:val="-2"/>
          <w:sz w:val="16"/>
          <w:vertAlign w:val="baseline"/>
        </w:rPr>
        <w:t> </w:t>
      </w:r>
      <w:r>
        <w:rPr>
          <w:sz w:val="16"/>
          <w:vertAlign w:val="baseline"/>
        </w:rPr>
        <w:t>acquisition</w:t>
      </w:r>
      <w:r>
        <w:rPr>
          <w:spacing w:val="-2"/>
          <w:sz w:val="16"/>
          <w:vertAlign w:val="baseline"/>
        </w:rPr>
        <w:t> </w:t>
      </w:r>
      <w:r>
        <w:rPr>
          <w:sz w:val="16"/>
          <w:vertAlign w:val="baseline"/>
        </w:rPr>
        <w:t>cost</w:t>
      </w:r>
      <w:r>
        <w:rPr>
          <w:spacing w:val="-2"/>
          <w:sz w:val="16"/>
          <w:vertAlign w:val="baseline"/>
        </w:rPr>
        <w:t> </w:t>
      </w:r>
      <w:r>
        <w:rPr>
          <w:sz w:val="16"/>
          <w:vertAlign w:val="baseline"/>
        </w:rPr>
        <w:t>which</w:t>
      </w:r>
      <w:r>
        <w:rPr>
          <w:spacing w:val="-2"/>
          <w:sz w:val="16"/>
          <w:vertAlign w:val="baseline"/>
        </w:rPr>
        <w:t> </w:t>
      </w:r>
      <w:r>
        <w:rPr>
          <w:sz w:val="16"/>
          <w:vertAlign w:val="baseline"/>
        </w:rPr>
        <w:t>equals</w:t>
      </w:r>
      <w:r>
        <w:rPr>
          <w:spacing w:val="-2"/>
          <w:sz w:val="16"/>
          <w:vertAlign w:val="baseline"/>
        </w:rPr>
        <w:t> </w:t>
      </w:r>
      <w:r>
        <w:rPr>
          <w:sz w:val="16"/>
          <w:vertAlign w:val="baseline"/>
        </w:rPr>
        <w:t>or exceeds the lesser of the capitalization level established by the nonfederal entity for financial statement purposes, or $5,000 (see 2 CFR §200.33));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(see 2 CFR §200.12(b)); and (4) rent (see 2 CFR §200.465)).</w:t>
      </w:r>
    </w:p>
    <w:p>
      <w:pPr>
        <w:spacing w:before="32"/>
        <w:ind w:left="724" w:right="798" w:firstLine="0"/>
        <w:jc w:val="left"/>
        <w:rPr>
          <w:sz w:val="16"/>
        </w:rPr>
      </w:pPr>
      <w:r>
        <w:rPr>
          <w:sz w:val="16"/>
          <w:vertAlign w:val="superscript"/>
        </w:rPr>
        <w:t>4</w:t>
      </w:r>
      <w:r>
        <w:rPr>
          <w:sz w:val="16"/>
          <w:vertAlign w:val="baseline"/>
        </w:rPr>
        <w:t> Under the 2019 FAQs, OSERS granted prior approval for participant support costs under IDEA that: (1) are associated with required</w:t>
      </w:r>
      <w:r>
        <w:rPr>
          <w:spacing w:val="-2"/>
          <w:sz w:val="16"/>
          <w:vertAlign w:val="baseline"/>
        </w:rPr>
        <w:t> </w:t>
      </w:r>
      <w:r>
        <w:rPr>
          <w:sz w:val="16"/>
          <w:vertAlign w:val="baseline"/>
        </w:rPr>
        <w:t>meetings</w:t>
      </w:r>
      <w:r>
        <w:rPr>
          <w:spacing w:val="-2"/>
          <w:sz w:val="16"/>
          <w:vertAlign w:val="baseline"/>
        </w:rPr>
        <w:t> </w:t>
      </w:r>
      <w:r>
        <w:rPr>
          <w:sz w:val="16"/>
          <w:vertAlign w:val="baseline"/>
        </w:rPr>
        <w:t>for</w:t>
      </w:r>
      <w:r>
        <w:rPr>
          <w:spacing w:val="-2"/>
          <w:sz w:val="16"/>
          <w:vertAlign w:val="baseline"/>
        </w:rPr>
        <w:t> </w:t>
      </w:r>
      <w:r>
        <w:rPr>
          <w:sz w:val="16"/>
          <w:vertAlign w:val="baseline"/>
        </w:rPr>
        <w:t>the</w:t>
      </w:r>
      <w:r>
        <w:rPr>
          <w:spacing w:val="-2"/>
          <w:sz w:val="16"/>
          <w:vertAlign w:val="baseline"/>
        </w:rPr>
        <w:t> </w:t>
      </w:r>
      <w:r>
        <w:rPr>
          <w:sz w:val="16"/>
          <w:vertAlign w:val="baseline"/>
        </w:rPr>
        <w:t>SICC;</w:t>
      </w:r>
      <w:r>
        <w:rPr>
          <w:spacing w:val="-2"/>
          <w:sz w:val="16"/>
          <w:vertAlign w:val="baseline"/>
        </w:rPr>
        <w:t> </w:t>
      </w:r>
      <w:r>
        <w:rPr>
          <w:sz w:val="16"/>
          <w:vertAlign w:val="baseline"/>
        </w:rPr>
        <w:t>(2)</w:t>
      </w:r>
      <w:r>
        <w:rPr>
          <w:spacing w:val="-2"/>
          <w:sz w:val="16"/>
          <w:vertAlign w:val="baseline"/>
        </w:rPr>
        <w:t> </w:t>
      </w:r>
      <w:r>
        <w:rPr>
          <w:sz w:val="16"/>
          <w:vertAlign w:val="baseline"/>
        </w:rPr>
        <w:t>incurred</w:t>
      </w:r>
      <w:r>
        <w:rPr>
          <w:spacing w:val="-1"/>
          <w:sz w:val="16"/>
          <w:vertAlign w:val="baseline"/>
        </w:rPr>
        <w:t> </w:t>
      </w:r>
      <w:r>
        <w:rPr>
          <w:sz w:val="16"/>
          <w:vertAlign w:val="baseline"/>
        </w:rPr>
        <w:t>as</w:t>
      </w:r>
      <w:r>
        <w:rPr>
          <w:spacing w:val="-2"/>
          <w:sz w:val="16"/>
          <w:vertAlign w:val="baseline"/>
        </w:rPr>
        <w:t> </w:t>
      </w:r>
      <w:r>
        <w:rPr>
          <w:sz w:val="16"/>
          <w:vertAlign w:val="baseline"/>
        </w:rPr>
        <w:t>part</w:t>
      </w:r>
      <w:r>
        <w:rPr>
          <w:spacing w:val="-2"/>
          <w:sz w:val="16"/>
          <w:vertAlign w:val="baseline"/>
        </w:rPr>
        <w:t> </w:t>
      </w:r>
      <w:r>
        <w:rPr>
          <w:sz w:val="16"/>
          <w:vertAlign w:val="baseline"/>
        </w:rPr>
        <w:t>of</w:t>
      </w:r>
      <w:r>
        <w:rPr>
          <w:spacing w:val="-2"/>
          <w:sz w:val="16"/>
          <w:vertAlign w:val="baseline"/>
        </w:rPr>
        <w:t> </w:t>
      </w:r>
      <w:r>
        <w:rPr>
          <w:sz w:val="16"/>
          <w:vertAlign w:val="baseline"/>
        </w:rPr>
        <w:t>providing</w:t>
      </w:r>
      <w:r>
        <w:rPr>
          <w:spacing w:val="-2"/>
          <w:sz w:val="16"/>
          <w:vertAlign w:val="baseline"/>
        </w:rPr>
        <w:t> </w:t>
      </w:r>
      <w:r>
        <w:rPr>
          <w:sz w:val="16"/>
          <w:vertAlign w:val="baseline"/>
        </w:rPr>
        <w:t>services</w:t>
      </w:r>
      <w:r>
        <w:rPr>
          <w:spacing w:val="-2"/>
          <w:sz w:val="16"/>
          <w:vertAlign w:val="baseline"/>
        </w:rPr>
        <w:t> </w:t>
      </w:r>
      <w:r>
        <w:rPr>
          <w:sz w:val="16"/>
          <w:vertAlign w:val="baseline"/>
        </w:rPr>
        <w:t>identified</w:t>
      </w:r>
      <w:r>
        <w:rPr>
          <w:spacing w:val="-2"/>
          <w:sz w:val="16"/>
          <w:vertAlign w:val="baseline"/>
        </w:rPr>
        <w:t> </w:t>
      </w:r>
      <w:r>
        <w:rPr>
          <w:sz w:val="16"/>
          <w:vertAlign w:val="baseline"/>
        </w:rPr>
        <w:t>on</w:t>
      </w:r>
      <w:r>
        <w:rPr>
          <w:spacing w:val="-2"/>
          <w:sz w:val="16"/>
          <w:vertAlign w:val="baseline"/>
        </w:rPr>
        <w:t> </w:t>
      </w:r>
      <w:r>
        <w:rPr>
          <w:sz w:val="16"/>
          <w:vertAlign w:val="baseline"/>
        </w:rPr>
        <w:t>an</w:t>
      </w:r>
      <w:r>
        <w:rPr>
          <w:spacing w:val="-2"/>
          <w:sz w:val="16"/>
          <w:vertAlign w:val="baseline"/>
        </w:rPr>
        <w:t> </w:t>
      </w:r>
      <w:r>
        <w:rPr>
          <w:sz w:val="16"/>
          <w:vertAlign w:val="baseline"/>
        </w:rPr>
        <w:t>IFSP</w:t>
      </w:r>
      <w:r>
        <w:rPr>
          <w:spacing w:val="-1"/>
          <w:sz w:val="16"/>
          <w:vertAlign w:val="baseline"/>
        </w:rPr>
        <w:t> </w:t>
      </w:r>
      <w:r>
        <w:rPr>
          <w:sz w:val="16"/>
          <w:vertAlign w:val="baseline"/>
        </w:rPr>
        <w:t>under</w:t>
      </w:r>
      <w:r>
        <w:rPr>
          <w:spacing w:val="-2"/>
          <w:sz w:val="16"/>
          <w:vertAlign w:val="baseline"/>
        </w:rPr>
        <w:t> </w:t>
      </w:r>
      <w:r>
        <w:rPr>
          <w:sz w:val="16"/>
          <w:vertAlign w:val="baseline"/>
        </w:rPr>
        <w:t>IDEA;</w:t>
      </w:r>
      <w:r>
        <w:rPr>
          <w:spacing w:val="-2"/>
          <w:sz w:val="16"/>
          <w:vertAlign w:val="baseline"/>
        </w:rPr>
        <w:t> </w:t>
      </w:r>
      <w:r>
        <w:rPr>
          <w:sz w:val="16"/>
          <w:vertAlign w:val="baseline"/>
        </w:rPr>
        <w:t>(3)</w:t>
      </w:r>
      <w:r>
        <w:rPr>
          <w:spacing w:val="-2"/>
          <w:sz w:val="16"/>
          <w:vertAlign w:val="baseline"/>
        </w:rPr>
        <w:t> </w:t>
      </w:r>
      <w:r>
        <w:rPr>
          <w:sz w:val="16"/>
          <w:vertAlign w:val="baseline"/>
        </w:rPr>
        <w:t>do</w:t>
      </w:r>
      <w:r>
        <w:rPr>
          <w:spacing w:val="-2"/>
          <w:sz w:val="16"/>
          <w:vertAlign w:val="baseline"/>
        </w:rPr>
        <w:t> </w:t>
      </w:r>
      <w:r>
        <w:rPr>
          <w:sz w:val="16"/>
          <w:vertAlign w:val="baseline"/>
        </w:rPr>
        <w:t>not</w:t>
      </w:r>
      <w:r>
        <w:rPr>
          <w:spacing w:val="-2"/>
          <w:sz w:val="16"/>
          <w:vertAlign w:val="baseline"/>
        </w:rPr>
        <w:t> </w:t>
      </w:r>
      <w:r>
        <w:rPr>
          <w:sz w:val="16"/>
          <w:vertAlign w:val="baseline"/>
        </w:rPr>
        <w:t>exceed</w:t>
      </w:r>
    </w:p>
    <w:p>
      <w:pPr>
        <w:spacing w:line="244" w:lineRule="auto" w:before="0"/>
        <w:ind w:left="724" w:right="798" w:firstLine="0"/>
        <w:jc w:val="left"/>
        <w:rPr>
          <w:sz w:val="16"/>
        </w:rPr>
      </w:pPr>
      <w:r>
        <w:rPr>
          <w:sz w:val="16"/>
        </w:rPr>
        <w:t>$5000</w:t>
      </w:r>
      <w:r>
        <w:rPr>
          <w:spacing w:val="-2"/>
          <w:sz w:val="16"/>
        </w:rPr>
        <w:t> </w:t>
      </w:r>
      <w:r>
        <w:rPr>
          <w:sz w:val="16"/>
        </w:rPr>
        <w:t>per</w:t>
      </w:r>
      <w:r>
        <w:rPr>
          <w:spacing w:val="-2"/>
          <w:sz w:val="16"/>
        </w:rPr>
        <w:t> </w:t>
      </w:r>
      <w:r>
        <w:rPr>
          <w:sz w:val="16"/>
        </w:rPr>
        <w:t>individual</w:t>
      </w:r>
      <w:r>
        <w:rPr>
          <w:spacing w:val="-2"/>
          <w:sz w:val="16"/>
        </w:rPr>
        <w:t> </w:t>
      </w:r>
      <w:r>
        <w:rPr>
          <w:sz w:val="16"/>
        </w:rPr>
        <w:t>participant</w:t>
      </w:r>
      <w:r>
        <w:rPr>
          <w:spacing w:val="-2"/>
          <w:sz w:val="16"/>
        </w:rPr>
        <w:t> </w:t>
      </w:r>
      <w:r>
        <w:rPr>
          <w:sz w:val="16"/>
        </w:rPr>
        <w:t>per</w:t>
      </w:r>
      <w:r>
        <w:rPr>
          <w:spacing w:val="-2"/>
          <w:sz w:val="16"/>
        </w:rPr>
        <w:t> </w:t>
      </w:r>
      <w:r>
        <w:rPr>
          <w:sz w:val="16"/>
        </w:rPr>
        <w:t>training/conference.</w:t>
      </w:r>
      <w:r>
        <w:rPr>
          <w:spacing w:val="40"/>
          <w:sz w:val="16"/>
        </w:rPr>
        <w:t> </w:t>
      </w:r>
      <w:r>
        <w:rPr>
          <w:sz w:val="16"/>
        </w:rPr>
        <w:t>In</w:t>
      </w:r>
      <w:r>
        <w:rPr>
          <w:spacing w:val="-2"/>
          <w:sz w:val="16"/>
        </w:rPr>
        <w:t> </w:t>
      </w:r>
      <w:r>
        <w:rPr>
          <w:sz w:val="16"/>
        </w:rPr>
        <w:t>addition,</w:t>
      </w:r>
      <w:r>
        <w:rPr>
          <w:spacing w:val="-2"/>
          <w:sz w:val="16"/>
        </w:rPr>
        <w:t> </w:t>
      </w:r>
      <w:r>
        <w:rPr>
          <w:sz w:val="16"/>
        </w:rPr>
        <w:t>the</w:t>
      </w:r>
      <w:r>
        <w:rPr>
          <w:spacing w:val="-4"/>
          <w:sz w:val="16"/>
        </w:rPr>
        <w:t> </w:t>
      </w:r>
      <w:r>
        <w:rPr>
          <w:sz w:val="16"/>
        </w:rPr>
        <w:t>2019</w:t>
      </w:r>
      <w:r>
        <w:rPr>
          <w:spacing w:val="-2"/>
          <w:sz w:val="16"/>
        </w:rPr>
        <w:t> </w:t>
      </w:r>
      <w:r>
        <w:rPr>
          <w:sz w:val="16"/>
        </w:rPr>
        <w:t>FAQs</w:t>
      </w:r>
      <w:r>
        <w:rPr>
          <w:spacing w:val="-2"/>
          <w:sz w:val="16"/>
        </w:rPr>
        <w:t> </w:t>
      </w:r>
      <w:r>
        <w:rPr>
          <w:sz w:val="16"/>
        </w:rPr>
        <w:t>provide</w:t>
      </w:r>
      <w:r>
        <w:rPr>
          <w:spacing w:val="-2"/>
          <w:sz w:val="16"/>
        </w:rPr>
        <w:t> </w:t>
      </w:r>
      <w:r>
        <w:rPr>
          <w:sz w:val="16"/>
        </w:rPr>
        <w:t>prior</w:t>
      </w:r>
      <w:r>
        <w:rPr>
          <w:spacing w:val="-2"/>
          <w:sz w:val="16"/>
        </w:rPr>
        <w:t> </w:t>
      </w:r>
      <w:r>
        <w:rPr>
          <w:sz w:val="16"/>
        </w:rPr>
        <w:t>approval</w:t>
      </w:r>
      <w:r>
        <w:rPr>
          <w:spacing w:val="-2"/>
          <w:sz w:val="16"/>
        </w:rPr>
        <w:t> </w:t>
      </w:r>
      <w:r>
        <w:rPr>
          <w:sz w:val="16"/>
        </w:rPr>
        <w:t>for</w:t>
      </w:r>
      <w:r>
        <w:rPr>
          <w:spacing w:val="-2"/>
          <w:sz w:val="16"/>
        </w:rPr>
        <w:t> </w:t>
      </w:r>
      <w:r>
        <w:rPr>
          <w:sz w:val="16"/>
        </w:rPr>
        <w:t>equipment</w:t>
      </w:r>
      <w:r>
        <w:rPr>
          <w:spacing w:val="-2"/>
          <w:sz w:val="16"/>
        </w:rPr>
        <w:t> </w:t>
      </w:r>
      <w:r>
        <w:rPr>
          <w:sz w:val="16"/>
        </w:rPr>
        <w:t>that</w:t>
      </w:r>
      <w:r>
        <w:rPr>
          <w:spacing w:val="-2"/>
          <w:sz w:val="16"/>
        </w:rPr>
        <w:t> </w:t>
      </w:r>
      <w:r>
        <w:rPr>
          <w:sz w:val="16"/>
        </w:rPr>
        <w:t>is identified on or directly related to the implementation of the IFSP.</w:t>
      </w:r>
    </w:p>
    <w:p>
      <w:pPr>
        <w:spacing w:after="0" w:line="244" w:lineRule="auto"/>
        <w:jc w:val="left"/>
        <w:rPr>
          <w:sz w:val="16"/>
        </w:rPr>
        <w:sectPr>
          <w:pgSz w:w="12240" w:h="15840"/>
          <w:pgMar w:header="0" w:footer="879" w:top="138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02"/>
        <w:gridCol w:w="1440"/>
        <w:gridCol w:w="4320"/>
        <w:gridCol w:w="1298"/>
      </w:tblGrid>
      <w:tr>
        <w:trPr>
          <w:trHeight w:val="930" w:hRule="atLeast"/>
        </w:trPr>
        <w:tc>
          <w:tcPr>
            <w:tcW w:w="2302" w:type="dxa"/>
            <w:tcBorders>
              <w:right w:val="single" w:sz="6" w:space="0" w:color="000000"/>
            </w:tcBorders>
            <w:shd w:val="clear" w:color="auto" w:fill="F2F2F2"/>
          </w:tcPr>
          <w:p>
            <w:pPr>
              <w:pStyle w:val="TableParagraph"/>
              <w:spacing w:before="119"/>
              <w:rPr>
                <w:sz w:val="20"/>
              </w:rPr>
            </w:pPr>
          </w:p>
          <w:p>
            <w:pPr>
              <w:pStyle w:val="TableParagraph"/>
              <w:ind w:left="737" w:right="438" w:hanging="269"/>
              <w:rPr>
                <w:b/>
                <w:sz w:val="20"/>
              </w:rPr>
            </w:pPr>
            <w:r>
              <w:rPr>
                <w:b/>
                <w:sz w:val="20"/>
              </w:rPr>
              <w:t>Major</w:t>
            </w:r>
            <w:r>
              <w:rPr>
                <w:b/>
                <w:spacing w:val="-14"/>
                <w:sz w:val="20"/>
              </w:rPr>
              <w:t> </w:t>
            </w:r>
            <w:r>
              <w:rPr>
                <w:b/>
                <w:sz w:val="20"/>
              </w:rPr>
              <w:t>Activity/ </w:t>
            </w:r>
            <w:r>
              <w:rPr>
                <w:b/>
                <w:spacing w:val="-2"/>
                <w:sz w:val="20"/>
              </w:rPr>
              <w:t>Expense</w:t>
            </w:r>
          </w:p>
        </w:tc>
        <w:tc>
          <w:tcPr>
            <w:tcW w:w="1440" w:type="dxa"/>
            <w:tcBorders>
              <w:left w:val="single" w:sz="6" w:space="0" w:color="000000"/>
              <w:right w:val="single" w:sz="6" w:space="0" w:color="000000"/>
            </w:tcBorders>
            <w:shd w:val="clear" w:color="auto" w:fill="F2F2F2"/>
          </w:tcPr>
          <w:p>
            <w:pPr>
              <w:pStyle w:val="TableParagraph"/>
              <w:spacing w:before="119"/>
              <w:ind w:left="164" w:right="125" w:firstLine="1"/>
              <w:jc w:val="center"/>
              <w:rPr>
                <w:b/>
                <w:sz w:val="20"/>
              </w:rPr>
            </w:pPr>
            <w:r>
              <w:rPr>
                <w:b/>
                <w:sz w:val="20"/>
              </w:rPr>
              <w:t>Part C Funds</w:t>
            </w:r>
            <w:r>
              <w:rPr>
                <w:b/>
                <w:spacing w:val="-14"/>
                <w:sz w:val="20"/>
              </w:rPr>
              <w:t> </w:t>
            </w:r>
            <w:r>
              <w:rPr>
                <w:b/>
                <w:sz w:val="20"/>
              </w:rPr>
              <w:t>to</w:t>
            </w:r>
            <w:r>
              <w:rPr>
                <w:b/>
                <w:spacing w:val="-14"/>
                <w:sz w:val="20"/>
              </w:rPr>
              <w:t> </w:t>
            </w:r>
            <w:r>
              <w:rPr>
                <w:b/>
                <w:sz w:val="20"/>
              </w:rPr>
              <w:t>be </w:t>
            </w:r>
            <w:r>
              <w:rPr>
                <w:b/>
                <w:spacing w:val="-4"/>
                <w:sz w:val="20"/>
              </w:rPr>
              <w:t>Spent</w:t>
            </w:r>
          </w:p>
        </w:tc>
        <w:tc>
          <w:tcPr>
            <w:tcW w:w="4320" w:type="dxa"/>
            <w:tcBorders>
              <w:left w:val="single" w:sz="6" w:space="0" w:color="000000"/>
              <w:right w:val="single" w:sz="6" w:space="0" w:color="000000"/>
            </w:tcBorders>
            <w:shd w:val="clear" w:color="auto" w:fill="F2F2F2"/>
          </w:tcPr>
          <w:p>
            <w:pPr>
              <w:pStyle w:val="TableParagraph"/>
              <w:spacing w:before="119"/>
              <w:rPr>
                <w:sz w:val="20"/>
              </w:rPr>
            </w:pPr>
          </w:p>
          <w:p>
            <w:pPr>
              <w:pStyle w:val="TableParagraph"/>
              <w:ind w:left="174" w:hanging="51"/>
              <w:rPr>
                <w:b/>
                <w:sz w:val="20"/>
              </w:rPr>
            </w:pPr>
            <w:r>
              <w:rPr>
                <w:b/>
                <w:sz w:val="20"/>
              </w:rPr>
              <w:t>Description</w:t>
            </w:r>
            <w:r>
              <w:rPr>
                <w:b/>
                <w:spacing w:val="-14"/>
                <w:sz w:val="20"/>
              </w:rPr>
              <w:t> </w:t>
            </w:r>
            <w:r>
              <w:rPr>
                <w:b/>
                <w:sz w:val="20"/>
              </w:rPr>
              <w:t>of</w:t>
            </w:r>
            <w:r>
              <w:rPr>
                <w:b/>
                <w:spacing w:val="-14"/>
                <w:sz w:val="20"/>
              </w:rPr>
              <w:t> </w:t>
            </w:r>
            <w:r>
              <w:rPr>
                <w:b/>
                <w:sz w:val="20"/>
              </w:rPr>
              <w:t>Activities/Expenses</w:t>
            </w:r>
            <w:r>
              <w:rPr>
                <w:b/>
                <w:spacing w:val="-14"/>
                <w:sz w:val="20"/>
              </w:rPr>
              <w:t> </w:t>
            </w:r>
            <w:r>
              <w:rPr>
                <w:b/>
                <w:sz w:val="20"/>
              </w:rPr>
              <w:t>(include whether it is for the Lead</w:t>
            </w:r>
            <w:r>
              <w:rPr>
                <w:b/>
                <w:spacing w:val="-7"/>
                <w:sz w:val="20"/>
              </w:rPr>
              <w:t> </w:t>
            </w:r>
            <w:r>
              <w:rPr>
                <w:b/>
                <w:sz w:val="20"/>
              </w:rPr>
              <w:t>Agency or SICC)</w:t>
            </w:r>
          </w:p>
        </w:tc>
        <w:tc>
          <w:tcPr>
            <w:tcW w:w="1298" w:type="dxa"/>
            <w:tcBorders>
              <w:left w:val="single" w:sz="6" w:space="0" w:color="000000"/>
            </w:tcBorders>
            <w:shd w:val="clear" w:color="auto" w:fill="F2F2F2"/>
          </w:tcPr>
          <w:p>
            <w:pPr>
              <w:pStyle w:val="TableParagraph"/>
              <w:spacing w:before="119"/>
              <w:ind w:left="225" w:right="180" w:hanging="2"/>
              <w:jc w:val="center"/>
              <w:rPr>
                <w:b/>
                <w:sz w:val="20"/>
              </w:rPr>
            </w:pPr>
            <w:r>
              <w:rPr>
                <w:b/>
                <w:spacing w:val="-2"/>
                <w:sz w:val="20"/>
              </w:rPr>
              <w:t>Prior Approval Needed</w:t>
            </w:r>
          </w:p>
        </w:tc>
      </w:tr>
      <w:tr>
        <w:trPr>
          <w:trHeight w:val="3810" w:hRule="atLeast"/>
        </w:trPr>
        <w:tc>
          <w:tcPr>
            <w:tcW w:w="2302" w:type="dxa"/>
            <w:tcBorders>
              <w:bottom w:val="single" w:sz="6" w:space="0" w:color="000000"/>
              <w:right w:val="single" w:sz="6" w:space="0" w:color="000000"/>
            </w:tcBorders>
          </w:tcPr>
          <w:p>
            <w:pPr>
              <w:pStyle w:val="TableParagraph"/>
              <w:spacing w:before="119"/>
              <w:ind w:left="105" w:right="153"/>
              <w:rPr>
                <w:sz w:val="20"/>
              </w:rPr>
            </w:pPr>
            <w:r>
              <w:rPr>
                <w:spacing w:val="-2"/>
                <w:sz w:val="20"/>
              </w:rPr>
              <w:t>Comprehensive </w:t>
            </w:r>
            <w:r>
              <w:rPr>
                <w:sz w:val="20"/>
              </w:rPr>
              <w:t>System</w:t>
            </w:r>
            <w:r>
              <w:rPr>
                <w:spacing w:val="-14"/>
                <w:sz w:val="20"/>
              </w:rPr>
              <w:t> </w:t>
            </w:r>
            <w:r>
              <w:rPr>
                <w:sz w:val="20"/>
              </w:rPr>
              <w:t>of</w:t>
            </w:r>
            <w:r>
              <w:rPr>
                <w:spacing w:val="-14"/>
                <w:sz w:val="20"/>
              </w:rPr>
              <w:t> </w:t>
            </w:r>
            <w:r>
              <w:rPr>
                <w:sz w:val="20"/>
              </w:rPr>
              <w:t>Personnel </w:t>
            </w:r>
            <w:r>
              <w:rPr>
                <w:spacing w:val="-2"/>
                <w:sz w:val="20"/>
              </w:rPr>
              <w:t>Development</w:t>
            </w:r>
          </w:p>
        </w:tc>
        <w:tc>
          <w:tcPr>
            <w:tcW w:w="1440" w:type="dxa"/>
            <w:tcBorders>
              <w:left w:val="single" w:sz="6" w:space="0" w:color="000000"/>
              <w:bottom w:val="single" w:sz="6" w:space="0" w:color="000000"/>
              <w:right w:val="single" w:sz="6" w:space="0" w:color="000000"/>
            </w:tcBorders>
          </w:tcPr>
          <w:p>
            <w:pPr>
              <w:pStyle w:val="TableParagraph"/>
              <w:spacing w:before="119"/>
              <w:ind w:left="119"/>
              <w:rPr>
                <w:sz w:val="20"/>
              </w:rPr>
            </w:pPr>
            <w:r>
              <w:rPr>
                <w:spacing w:val="-2"/>
                <w:sz w:val="20"/>
              </w:rPr>
              <w:t>$150,000</w:t>
            </w:r>
          </w:p>
        </w:tc>
        <w:tc>
          <w:tcPr>
            <w:tcW w:w="4320" w:type="dxa"/>
            <w:tcBorders>
              <w:left w:val="single" w:sz="6" w:space="0" w:color="000000"/>
              <w:bottom w:val="single" w:sz="6" w:space="0" w:color="000000"/>
              <w:right w:val="single" w:sz="6" w:space="0" w:color="000000"/>
            </w:tcBorders>
          </w:tcPr>
          <w:p>
            <w:pPr>
              <w:pStyle w:val="TableParagraph"/>
              <w:spacing w:before="119"/>
              <w:ind w:left="119" w:right="154"/>
              <w:rPr>
                <w:sz w:val="20"/>
              </w:rPr>
            </w:pPr>
            <w:r>
              <w:rPr>
                <w:sz w:val="20"/>
              </w:rPr>
              <w:t>These funds are used to operate the Lead Agency’s professional development unit, including development and delivery of personnel preparation and ongoing professional development related to the delivery of high-quality Part C services, project</w:t>
            </w:r>
            <w:r>
              <w:rPr>
                <w:spacing w:val="-7"/>
                <w:sz w:val="20"/>
              </w:rPr>
              <w:t> </w:t>
            </w:r>
            <w:r>
              <w:rPr>
                <w:sz w:val="20"/>
              </w:rPr>
              <w:t>management</w:t>
            </w:r>
            <w:r>
              <w:rPr>
                <w:spacing w:val="-7"/>
                <w:sz w:val="20"/>
              </w:rPr>
              <w:t> </w:t>
            </w:r>
            <w:r>
              <w:rPr>
                <w:sz w:val="20"/>
              </w:rPr>
              <w:t>consultants</w:t>
            </w:r>
            <w:r>
              <w:rPr>
                <w:spacing w:val="-7"/>
                <w:sz w:val="20"/>
              </w:rPr>
              <w:t> </w:t>
            </w:r>
            <w:r>
              <w:rPr>
                <w:sz w:val="20"/>
              </w:rPr>
              <w:t>to</w:t>
            </w:r>
            <w:r>
              <w:rPr>
                <w:spacing w:val="-7"/>
                <w:sz w:val="20"/>
              </w:rPr>
              <w:t> </w:t>
            </w:r>
            <w:r>
              <w:rPr>
                <w:sz w:val="20"/>
              </w:rPr>
              <w:t>support the timely revision of the Lead Agency’s personnel standards, and access to peer- reviewed journals and professional development</w:t>
            </w:r>
            <w:r>
              <w:rPr>
                <w:spacing w:val="-14"/>
                <w:sz w:val="20"/>
              </w:rPr>
              <w:t> </w:t>
            </w:r>
            <w:r>
              <w:rPr>
                <w:sz w:val="20"/>
              </w:rPr>
              <w:t>opportunities</w:t>
            </w:r>
            <w:r>
              <w:rPr>
                <w:spacing w:val="-11"/>
                <w:sz w:val="20"/>
              </w:rPr>
              <w:t> </w:t>
            </w:r>
            <w:r>
              <w:rPr>
                <w:sz w:val="20"/>
              </w:rPr>
              <w:t>for</w:t>
            </w:r>
            <w:r>
              <w:rPr>
                <w:spacing w:val="-10"/>
                <w:sz w:val="20"/>
              </w:rPr>
              <w:t> </w:t>
            </w:r>
            <w:r>
              <w:rPr>
                <w:sz w:val="20"/>
              </w:rPr>
              <w:t>Lead</w:t>
            </w:r>
            <w:r>
              <w:rPr>
                <w:spacing w:val="-14"/>
                <w:sz w:val="20"/>
              </w:rPr>
              <w:t> </w:t>
            </w:r>
            <w:r>
              <w:rPr>
                <w:sz w:val="20"/>
              </w:rPr>
              <w:t>Agency staff and EIS programs.</w:t>
            </w:r>
          </w:p>
          <w:p>
            <w:pPr>
              <w:pStyle w:val="TableParagraph"/>
              <w:spacing w:before="120"/>
              <w:ind w:left="119" w:right="154"/>
              <w:rPr>
                <w:sz w:val="20"/>
              </w:rPr>
            </w:pPr>
            <w:r>
              <w:rPr>
                <w:sz w:val="20"/>
              </w:rPr>
              <w:t>(The Lead Agency has unexpended funds from</w:t>
            </w:r>
            <w:r>
              <w:rPr>
                <w:spacing w:val="-7"/>
                <w:sz w:val="20"/>
              </w:rPr>
              <w:t> </w:t>
            </w:r>
            <w:r>
              <w:rPr>
                <w:sz w:val="20"/>
              </w:rPr>
              <w:t>FFY21</w:t>
            </w:r>
            <w:r>
              <w:rPr>
                <w:spacing w:val="-6"/>
                <w:sz w:val="20"/>
              </w:rPr>
              <w:t> </w:t>
            </w:r>
            <w:r>
              <w:rPr>
                <w:sz w:val="20"/>
              </w:rPr>
              <w:t>that</w:t>
            </w:r>
            <w:r>
              <w:rPr>
                <w:spacing w:val="-6"/>
                <w:sz w:val="20"/>
              </w:rPr>
              <w:t> </w:t>
            </w:r>
            <w:r>
              <w:rPr>
                <w:sz w:val="20"/>
              </w:rPr>
              <w:t>will</w:t>
            </w:r>
            <w:r>
              <w:rPr>
                <w:spacing w:val="-6"/>
                <w:sz w:val="20"/>
              </w:rPr>
              <w:t> </w:t>
            </w:r>
            <w:r>
              <w:rPr>
                <w:sz w:val="20"/>
              </w:rPr>
              <w:t>remain</w:t>
            </w:r>
            <w:r>
              <w:rPr>
                <w:spacing w:val="-6"/>
                <w:sz w:val="20"/>
              </w:rPr>
              <w:t> </w:t>
            </w:r>
            <w:r>
              <w:rPr>
                <w:sz w:val="20"/>
              </w:rPr>
              <w:t>available</w:t>
            </w:r>
            <w:r>
              <w:rPr>
                <w:spacing w:val="-6"/>
                <w:sz w:val="20"/>
              </w:rPr>
              <w:t> </w:t>
            </w:r>
            <w:r>
              <w:rPr>
                <w:sz w:val="20"/>
              </w:rPr>
              <w:t>for</w:t>
            </w:r>
            <w:r>
              <w:rPr>
                <w:spacing w:val="-6"/>
                <w:sz w:val="20"/>
              </w:rPr>
              <w:t> </w:t>
            </w:r>
            <w:r>
              <w:rPr>
                <w:sz w:val="20"/>
              </w:rPr>
              <w:t>this major area)</w:t>
            </w:r>
          </w:p>
        </w:tc>
        <w:tc>
          <w:tcPr>
            <w:tcW w:w="1298" w:type="dxa"/>
            <w:tcBorders>
              <w:left w:val="single" w:sz="6" w:space="0" w:color="000000"/>
              <w:bottom w:val="single" w:sz="6" w:space="0" w:color="000000"/>
            </w:tcBorders>
          </w:tcPr>
          <w:p>
            <w:pPr>
              <w:pStyle w:val="TableParagraph"/>
              <w:rPr>
                <w:rFonts w:ascii="Times New Roman"/>
                <w:sz w:val="18"/>
              </w:rPr>
            </w:pPr>
          </w:p>
        </w:tc>
      </w:tr>
      <w:tr>
        <w:trPr>
          <w:trHeight w:val="3460" w:hRule="atLeast"/>
        </w:trPr>
        <w:tc>
          <w:tcPr>
            <w:tcW w:w="2302" w:type="dxa"/>
            <w:tcBorders>
              <w:top w:val="single" w:sz="6" w:space="0" w:color="000000"/>
              <w:bottom w:val="single" w:sz="6" w:space="0" w:color="000000"/>
              <w:right w:val="single" w:sz="6" w:space="0" w:color="000000"/>
            </w:tcBorders>
          </w:tcPr>
          <w:p>
            <w:pPr>
              <w:pStyle w:val="TableParagraph"/>
              <w:spacing w:before="119"/>
              <w:ind w:left="105" w:right="153"/>
              <w:rPr>
                <w:sz w:val="20"/>
              </w:rPr>
            </w:pPr>
            <w:r>
              <w:rPr>
                <w:spacing w:val="-2"/>
                <w:sz w:val="20"/>
              </w:rPr>
              <w:t>Evaluation, </w:t>
            </w:r>
            <w:r>
              <w:rPr>
                <w:sz w:val="20"/>
              </w:rPr>
              <w:t>Assessment, &amp; the Provision</w:t>
            </w:r>
            <w:r>
              <w:rPr>
                <w:spacing w:val="-14"/>
                <w:sz w:val="20"/>
              </w:rPr>
              <w:t> </w:t>
            </w:r>
            <w:r>
              <w:rPr>
                <w:sz w:val="20"/>
              </w:rPr>
              <w:t>of</w:t>
            </w:r>
            <w:r>
              <w:rPr>
                <w:spacing w:val="-14"/>
                <w:sz w:val="20"/>
              </w:rPr>
              <w:t> </w:t>
            </w:r>
            <w:r>
              <w:rPr>
                <w:sz w:val="20"/>
              </w:rPr>
              <w:t>Culturally and Linguistically Appropriate Services</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119"/>
              <w:ind w:left="119"/>
              <w:rPr>
                <w:sz w:val="20"/>
              </w:rPr>
            </w:pPr>
            <w:r>
              <w:rPr>
                <w:spacing w:val="-2"/>
                <w:sz w:val="20"/>
              </w:rPr>
              <w:t>$555,000</w:t>
            </w:r>
          </w:p>
        </w:tc>
        <w:tc>
          <w:tcPr>
            <w:tcW w:w="4320" w:type="dxa"/>
            <w:tcBorders>
              <w:top w:val="single" w:sz="6" w:space="0" w:color="000000"/>
              <w:left w:val="single" w:sz="6" w:space="0" w:color="000000"/>
              <w:bottom w:val="single" w:sz="6" w:space="0" w:color="000000"/>
              <w:right w:val="single" w:sz="6" w:space="0" w:color="000000"/>
            </w:tcBorders>
          </w:tcPr>
          <w:p>
            <w:pPr>
              <w:pStyle w:val="TableParagraph"/>
              <w:spacing w:before="119"/>
              <w:ind w:left="119" w:right="91"/>
              <w:rPr>
                <w:sz w:val="20"/>
              </w:rPr>
            </w:pPr>
            <w:r>
              <w:rPr>
                <w:sz w:val="20"/>
              </w:rPr>
              <w:t>These funds are used to support the evaluation and assessment of infants and toddlers and the provision of culturally and linguistically appropriate services. Examples</w:t>
            </w:r>
            <w:r>
              <w:rPr>
                <w:spacing w:val="40"/>
                <w:sz w:val="20"/>
              </w:rPr>
              <w:t> </w:t>
            </w:r>
            <w:r>
              <w:rPr>
                <w:sz w:val="20"/>
              </w:rPr>
              <w:t>of expenses may include purchasing scoring protocols for EIS programs, interpretation services for families whose primary spoken language is different from their service providers,</w:t>
            </w:r>
            <w:r>
              <w:rPr>
                <w:spacing w:val="-12"/>
                <w:sz w:val="20"/>
              </w:rPr>
              <w:t> </w:t>
            </w:r>
            <w:r>
              <w:rPr>
                <w:sz w:val="20"/>
              </w:rPr>
              <w:t>training</w:t>
            </w:r>
            <w:r>
              <w:rPr>
                <w:spacing w:val="-8"/>
                <w:sz w:val="20"/>
              </w:rPr>
              <w:t> </w:t>
            </w:r>
            <w:r>
              <w:rPr>
                <w:sz w:val="20"/>
              </w:rPr>
              <w:t>in</w:t>
            </w:r>
            <w:r>
              <w:rPr>
                <w:spacing w:val="-14"/>
                <w:sz w:val="20"/>
              </w:rPr>
              <w:t> </w:t>
            </w:r>
            <w:r>
              <w:rPr>
                <w:sz w:val="20"/>
              </w:rPr>
              <w:t>American</w:t>
            </w:r>
            <w:r>
              <w:rPr>
                <w:spacing w:val="-8"/>
                <w:sz w:val="20"/>
              </w:rPr>
              <w:t> </w:t>
            </w:r>
            <w:r>
              <w:rPr>
                <w:sz w:val="20"/>
              </w:rPr>
              <w:t>Sign</w:t>
            </w:r>
            <w:r>
              <w:rPr>
                <w:spacing w:val="-8"/>
                <w:sz w:val="20"/>
              </w:rPr>
              <w:t> </w:t>
            </w:r>
            <w:r>
              <w:rPr>
                <w:sz w:val="20"/>
              </w:rPr>
              <w:t>Language for families of infants and toddlers who are deaf/hard-of-hearing, access to assistive technology devices, and funding for non- billable activities that are crucial to providing culturally appropriate services.</w:t>
            </w:r>
          </w:p>
        </w:tc>
        <w:tc>
          <w:tcPr>
            <w:tcW w:w="1298"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459" w:hRule="atLeast"/>
        </w:trPr>
        <w:tc>
          <w:tcPr>
            <w:tcW w:w="2302" w:type="dxa"/>
            <w:tcBorders>
              <w:top w:val="single" w:sz="6" w:space="0" w:color="000000"/>
              <w:right w:val="single" w:sz="6" w:space="0" w:color="000000"/>
            </w:tcBorders>
          </w:tcPr>
          <w:p>
            <w:pPr>
              <w:pStyle w:val="TableParagraph"/>
              <w:spacing w:before="119"/>
              <w:ind w:left="105" w:right="153"/>
              <w:rPr>
                <w:sz w:val="20"/>
              </w:rPr>
            </w:pPr>
            <w:r>
              <w:rPr>
                <w:spacing w:val="-2"/>
                <w:sz w:val="20"/>
              </w:rPr>
              <w:t>Public</w:t>
            </w:r>
            <w:r>
              <w:rPr>
                <w:spacing w:val="-12"/>
                <w:sz w:val="20"/>
              </w:rPr>
              <w:t> </w:t>
            </w:r>
            <w:r>
              <w:rPr>
                <w:spacing w:val="-2"/>
                <w:sz w:val="20"/>
              </w:rPr>
              <w:t>Awareness Program</w:t>
            </w:r>
          </w:p>
        </w:tc>
        <w:tc>
          <w:tcPr>
            <w:tcW w:w="1440" w:type="dxa"/>
            <w:tcBorders>
              <w:top w:val="single" w:sz="6" w:space="0" w:color="000000"/>
              <w:left w:val="single" w:sz="6" w:space="0" w:color="000000"/>
              <w:right w:val="single" w:sz="6" w:space="0" w:color="000000"/>
            </w:tcBorders>
          </w:tcPr>
          <w:p>
            <w:pPr>
              <w:pStyle w:val="TableParagraph"/>
              <w:spacing w:before="119"/>
              <w:ind w:left="119"/>
              <w:rPr>
                <w:sz w:val="20"/>
              </w:rPr>
            </w:pPr>
            <w:r>
              <w:rPr>
                <w:spacing w:val="-2"/>
                <w:sz w:val="20"/>
              </w:rPr>
              <w:t>$488,288</w:t>
            </w:r>
          </w:p>
        </w:tc>
        <w:tc>
          <w:tcPr>
            <w:tcW w:w="4320" w:type="dxa"/>
            <w:tcBorders>
              <w:top w:val="single" w:sz="6" w:space="0" w:color="000000"/>
              <w:left w:val="single" w:sz="6" w:space="0" w:color="000000"/>
              <w:right w:val="single" w:sz="6" w:space="0" w:color="000000"/>
            </w:tcBorders>
          </w:tcPr>
          <w:p>
            <w:pPr>
              <w:pStyle w:val="TableParagraph"/>
              <w:spacing w:before="119"/>
              <w:ind w:left="119" w:right="91"/>
              <w:rPr>
                <w:sz w:val="20"/>
              </w:rPr>
            </w:pPr>
            <w:r>
              <w:rPr>
                <w:sz w:val="20"/>
              </w:rPr>
              <w:t>These funds are used to support a public awareness program that provides information to the parents of infants and toddlers across the Commonwealth. Examples of activities may include developing outreach materials designed</w:t>
            </w:r>
            <w:r>
              <w:rPr>
                <w:spacing w:val="-3"/>
                <w:sz w:val="20"/>
              </w:rPr>
              <w:t> </w:t>
            </w:r>
            <w:r>
              <w:rPr>
                <w:sz w:val="20"/>
              </w:rPr>
              <w:t>to</w:t>
            </w:r>
            <w:r>
              <w:rPr>
                <w:spacing w:val="-3"/>
                <w:sz w:val="20"/>
              </w:rPr>
              <w:t> </w:t>
            </w:r>
            <w:r>
              <w:rPr>
                <w:sz w:val="20"/>
              </w:rPr>
              <w:t>educate</w:t>
            </w:r>
            <w:r>
              <w:rPr>
                <w:spacing w:val="-3"/>
                <w:sz w:val="20"/>
              </w:rPr>
              <w:t> </w:t>
            </w:r>
            <w:r>
              <w:rPr>
                <w:sz w:val="20"/>
              </w:rPr>
              <w:t>parents</w:t>
            </w:r>
            <w:r>
              <w:rPr>
                <w:spacing w:val="-3"/>
                <w:sz w:val="20"/>
              </w:rPr>
              <w:t> </w:t>
            </w:r>
            <w:r>
              <w:rPr>
                <w:sz w:val="20"/>
              </w:rPr>
              <w:t>about</w:t>
            </w:r>
            <w:r>
              <w:rPr>
                <w:spacing w:val="-3"/>
                <w:sz w:val="20"/>
              </w:rPr>
              <w:t> </w:t>
            </w:r>
            <w:r>
              <w:rPr>
                <w:sz w:val="20"/>
              </w:rPr>
              <w:t>the</w:t>
            </w:r>
            <w:r>
              <w:rPr>
                <w:spacing w:val="-3"/>
                <w:sz w:val="20"/>
              </w:rPr>
              <w:t> </w:t>
            </w:r>
            <w:r>
              <w:rPr>
                <w:sz w:val="20"/>
              </w:rPr>
              <w:t>Part</w:t>
            </w:r>
            <w:r>
              <w:rPr>
                <w:spacing w:val="-3"/>
                <w:sz w:val="20"/>
              </w:rPr>
              <w:t> </w:t>
            </w:r>
            <w:r>
              <w:rPr>
                <w:sz w:val="20"/>
              </w:rPr>
              <w:t>C system</w:t>
            </w:r>
            <w:r>
              <w:rPr>
                <w:spacing w:val="-7"/>
                <w:sz w:val="20"/>
              </w:rPr>
              <w:t> </w:t>
            </w:r>
            <w:r>
              <w:rPr>
                <w:sz w:val="20"/>
              </w:rPr>
              <w:t>and</w:t>
            </w:r>
            <w:r>
              <w:rPr>
                <w:spacing w:val="-7"/>
                <w:sz w:val="20"/>
              </w:rPr>
              <w:t> </w:t>
            </w:r>
            <w:r>
              <w:rPr>
                <w:sz w:val="20"/>
              </w:rPr>
              <w:t>their</w:t>
            </w:r>
            <w:r>
              <w:rPr>
                <w:spacing w:val="-7"/>
                <w:sz w:val="20"/>
              </w:rPr>
              <w:t> </w:t>
            </w:r>
            <w:r>
              <w:rPr>
                <w:sz w:val="20"/>
              </w:rPr>
              <w:t>rights,</w:t>
            </w:r>
            <w:r>
              <w:rPr>
                <w:spacing w:val="-7"/>
                <w:sz w:val="20"/>
              </w:rPr>
              <w:t> </w:t>
            </w:r>
            <w:r>
              <w:rPr>
                <w:sz w:val="20"/>
              </w:rPr>
              <w:t>connecting</w:t>
            </w:r>
            <w:r>
              <w:rPr>
                <w:spacing w:val="-7"/>
                <w:sz w:val="20"/>
              </w:rPr>
              <w:t> </w:t>
            </w:r>
            <w:r>
              <w:rPr>
                <w:sz w:val="20"/>
              </w:rPr>
              <w:t>families</w:t>
            </w:r>
            <w:r>
              <w:rPr>
                <w:spacing w:val="-7"/>
                <w:sz w:val="20"/>
              </w:rPr>
              <w:t> </w:t>
            </w:r>
            <w:r>
              <w:rPr>
                <w:sz w:val="20"/>
              </w:rPr>
              <w:t>or other referral sources with EIS programs operating</w:t>
            </w:r>
            <w:r>
              <w:rPr>
                <w:spacing w:val="-7"/>
                <w:sz w:val="20"/>
              </w:rPr>
              <w:t> </w:t>
            </w:r>
            <w:r>
              <w:rPr>
                <w:sz w:val="20"/>
              </w:rPr>
              <w:t>in</w:t>
            </w:r>
            <w:r>
              <w:rPr>
                <w:spacing w:val="-7"/>
                <w:sz w:val="20"/>
              </w:rPr>
              <w:t> </w:t>
            </w:r>
            <w:r>
              <w:rPr>
                <w:sz w:val="20"/>
              </w:rPr>
              <w:t>their</w:t>
            </w:r>
            <w:r>
              <w:rPr>
                <w:spacing w:val="-7"/>
                <w:sz w:val="20"/>
              </w:rPr>
              <w:t> </w:t>
            </w:r>
            <w:r>
              <w:rPr>
                <w:sz w:val="20"/>
              </w:rPr>
              <w:t>town</w:t>
            </w:r>
            <w:r>
              <w:rPr>
                <w:spacing w:val="-7"/>
                <w:sz w:val="20"/>
              </w:rPr>
              <w:t> </w:t>
            </w:r>
            <w:r>
              <w:rPr>
                <w:sz w:val="20"/>
              </w:rPr>
              <w:t>or</w:t>
            </w:r>
            <w:r>
              <w:rPr>
                <w:spacing w:val="-7"/>
                <w:sz w:val="20"/>
              </w:rPr>
              <w:t> </w:t>
            </w:r>
            <w:r>
              <w:rPr>
                <w:sz w:val="20"/>
              </w:rPr>
              <w:t>municipality,</w:t>
            </w:r>
            <w:r>
              <w:rPr>
                <w:spacing w:val="-7"/>
                <w:sz w:val="20"/>
              </w:rPr>
              <w:t> </w:t>
            </w:r>
            <w:r>
              <w:rPr>
                <w:sz w:val="20"/>
              </w:rPr>
              <w:t>serving as the Lead Agency’s Central Directory, and technical assistance and education for EIS programs and families to access private insurance funding for services designed to remediate the symptoms of autism.</w:t>
            </w:r>
          </w:p>
        </w:tc>
        <w:tc>
          <w:tcPr>
            <w:tcW w:w="1298" w:type="dxa"/>
            <w:tcBorders>
              <w:top w:val="single" w:sz="6" w:space="0" w:color="000000"/>
              <w:left w:val="single" w:sz="6" w:space="0" w:color="000000"/>
            </w:tcBorders>
          </w:tcPr>
          <w:p>
            <w:pPr>
              <w:pStyle w:val="TableParagraph"/>
              <w:rPr>
                <w:rFonts w:ascii="Times New Roman"/>
                <w:sz w:val="18"/>
              </w:rPr>
            </w:pPr>
          </w:p>
        </w:tc>
      </w:tr>
    </w:tbl>
    <w:p>
      <w:pPr>
        <w:pStyle w:val="TableParagraph"/>
        <w:spacing w:after="0"/>
        <w:rPr>
          <w:rFonts w:ascii="Times New Roman"/>
          <w:sz w:val="18"/>
        </w:rPr>
        <w:sectPr>
          <w:pgSz w:w="12240" w:h="15840"/>
          <w:pgMar w:header="0" w:footer="879" w:top="1420" w:bottom="1060" w:left="720" w:right="720"/>
        </w:sectPr>
      </w:pPr>
    </w:p>
    <w:p>
      <w:pPr>
        <w:pStyle w:val="BodyText"/>
        <w:spacing w:before="1"/>
        <w:rPr>
          <w:sz w:val="2"/>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02"/>
        <w:gridCol w:w="1440"/>
        <w:gridCol w:w="4320"/>
        <w:gridCol w:w="1298"/>
      </w:tblGrid>
      <w:tr>
        <w:trPr>
          <w:trHeight w:val="930" w:hRule="atLeast"/>
        </w:trPr>
        <w:tc>
          <w:tcPr>
            <w:tcW w:w="2302" w:type="dxa"/>
            <w:tcBorders>
              <w:right w:val="single" w:sz="6" w:space="0" w:color="000000"/>
            </w:tcBorders>
            <w:shd w:val="clear" w:color="auto" w:fill="F2F2F2"/>
          </w:tcPr>
          <w:p>
            <w:pPr>
              <w:pStyle w:val="TableParagraph"/>
              <w:spacing w:before="119"/>
              <w:rPr>
                <w:sz w:val="20"/>
              </w:rPr>
            </w:pPr>
          </w:p>
          <w:p>
            <w:pPr>
              <w:pStyle w:val="TableParagraph"/>
              <w:ind w:left="737" w:right="438" w:hanging="269"/>
              <w:rPr>
                <w:b/>
                <w:sz w:val="20"/>
              </w:rPr>
            </w:pPr>
            <w:r>
              <w:rPr>
                <w:b/>
                <w:sz w:val="20"/>
              </w:rPr>
              <w:t>Major</w:t>
            </w:r>
            <w:r>
              <w:rPr>
                <w:b/>
                <w:spacing w:val="-14"/>
                <w:sz w:val="20"/>
              </w:rPr>
              <w:t> </w:t>
            </w:r>
            <w:r>
              <w:rPr>
                <w:b/>
                <w:sz w:val="20"/>
              </w:rPr>
              <w:t>Activity/ </w:t>
            </w:r>
            <w:r>
              <w:rPr>
                <w:b/>
                <w:spacing w:val="-2"/>
                <w:sz w:val="20"/>
              </w:rPr>
              <w:t>Expense</w:t>
            </w:r>
          </w:p>
        </w:tc>
        <w:tc>
          <w:tcPr>
            <w:tcW w:w="1440" w:type="dxa"/>
            <w:tcBorders>
              <w:left w:val="single" w:sz="6" w:space="0" w:color="000000"/>
              <w:right w:val="single" w:sz="6" w:space="0" w:color="000000"/>
            </w:tcBorders>
            <w:shd w:val="clear" w:color="auto" w:fill="F2F2F2"/>
          </w:tcPr>
          <w:p>
            <w:pPr>
              <w:pStyle w:val="TableParagraph"/>
              <w:spacing w:before="119"/>
              <w:ind w:left="164" w:right="125" w:firstLine="1"/>
              <w:jc w:val="center"/>
              <w:rPr>
                <w:b/>
                <w:sz w:val="20"/>
              </w:rPr>
            </w:pPr>
            <w:r>
              <w:rPr>
                <w:b/>
                <w:sz w:val="20"/>
              </w:rPr>
              <w:t>Part C Funds</w:t>
            </w:r>
            <w:r>
              <w:rPr>
                <w:b/>
                <w:spacing w:val="-14"/>
                <w:sz w:val="20"/>
              </w:rPr>
              <w:t> </w:t>
            </w:r>
            <w:r>
              <w:rPr>
                <w:b/>
                <w:sz w:val="20"/>
              </w:rPr>
              <w:t>to</w:t>
            </w:r>
            <w:r>
              <w:rPr>
                <w:b/>
                <w:spacing w:val="-14"/>
                <w:sz w:val="20"/>
              </w:rPr>
              <w:t> </w:t>
            </w:r>
            <w:r>
              <w:rPr>
                <w:b/>
                <w:sz w:val="20"/>
              </w:rPr>
              <w:t>be </w:t>
            </w:r>
            <w:r>
              <w:rPr>
                <w:b/>
                <w:spacing w:val="-4"/>
                <w:sz w:val="20"/>
              </w:rPr>
              <w:t>Spent</w:t>
            </w:r>
          </w:p>
        </w:tc>
        <w:tc>
          <w:tcPr>
            <w:tcW w:w="4320" w:type="dxa"/>
            <w:tcBorders>
              <w:left w:val="single" w:sz="6" w:space="0" w:color="000000"/>
              <w:right w:val="single" w:sz="6" w:space="0" w:color="000000"/>
            </w:tcBorders>
            <w:shd w:val="clear" w:color="auto" w:fill="F2F2F2"/>
          </w:tcPr>
          <w:p>
            <w:pPr>
              <w:pStyle w:val="TableParagraph"/>
              <w:spacing w:before="119"/>
              <w:rPr>
                <w:sz w:val="20"/>
              </w:rPr>
            </w:pPr>
          </w:p>
          <w:p>
            <w:pPr>
              <w:pStyle w:val="TableParagraph"/>
              <w:ind w:left="174" w:hanging="51"/>
              <w:rPr>
                <w:b/>
                <w:sz w:val="20"/>
              </w:rPr>
            </w:pPr>
            <w:r>
              <w:rPr>
                <w:b/>
                <w:sz w:val="20"/>
              </w:rPr>
              <w:t>Description</w:t>
            </w:r>
            <w:r>
              <w:rPr>
                <w:b/>
                <w:spacing w:val="-14"/>
                <w:sz w:val="20"/>
              </w:rPr>
              <w:t> </w:t>
            </w:r>
            <w:r>
              <w:rPr>
                <w:b/>
                <w:sz w:val="20"/>
              </w:rPr>
              <w:t>of</w:t>
            </w:r>
            <w:r>
              <w:rPr>
                <w:b/>
                <w:spacing w:val="-14"/>
                <w:sz w:val="20"/>
              </w:rPr>
              <w:t> </w:t>
            </w:r>
            <w:r>
              <w:rPr>
                <w:b/>
                <w:sz w:val="20"/>
              </w:rPr>
              <w:t>Activities/Expenses</w:t>
            </w:r>
            <w:r>
              <w:rPr>
                <w:b/>
                <w:spacing w:val="-14"/>
                <w:sz w:val="20"/>
              </w:rPr>
              <w:t> </w:t>
            </w:r>
            <w:r>
              <w:rPr>
                <w:b/>
                <w:sz w:val="20"/>
              </w:rPr>
              <w:t>(include whether it is for the Lead</w:t>
            </w:r>
            <w:r>
              <w:rPr>
                <w:b/>
                <w:spacing w:val="-7"/>
                <w:sz w:val="20"/>
              </w:rPr>
              <w:t> </w:t>
            </w:r>
            <w:r>
              <w:rPr>
                <w:b/>
                <w:sz w:val="20"/>
              </w:rPr>
              <w:t>Agency or SICC)</w:t>
            </w:r>
          </w:p>
        </w:tc>
        <w:tc>
          <w:tcPr>
            <w:tcW w:w="1298" w:type="dxa"/>
            <w:tcBorders>
              <w:left w:val="single" w:sz="6" w:space="0" w:color="000000"/>
            </w:tcBorders>
            <w:shd w:val="clear" w:color="auto" w:fill="F2F2F2"/>
          </w:tcPr>
          <w:p>
            <w:pPr>
              <w:pStyle w:val="TableParagraph"/>
              <w:spacing w:before="119"/>
              <w:ind w:left="225" w:right="180" w:hanging="2"/>
              <w:jc w:val="center"/>
              <w:rPr>
                <w:b/>
                <w:sz w:val="20"/>
              </w:rPr>
            </w:pPr>
            <w:r>
              <w:rPr>
                <w:b/>
                <w:spacing w:val="-2"/>
                <w:sz w:val="20"/>
              </w:rPr>
              <w:t>Prior Approval Needed</w:t>
            </w:r>
          </w:p>
        </w:tc>
      </w:tr>
      <w:tr>
        <w:trPr>
          <w:trHeight w:val="4727" w:hRule="atLeast"/>
        </w:trPr>
        <w:tc>
          <w:tcPr>
            <w:tcW w:w="2302" w:type="dxa"/>
            <w:tcBorders>
              <w:bottom w:val="single" w:sz="6" w:space="0" w:color="000000"/>
              <w:right w:val="single" w:sz="6" w:space="0" w:color="000000"/>
            </w:tcBorders>
          </w:tcPr>
          <w:p>
            <w:pPr>
              <w:pStyle w:val="TableParagraph"/>
              <w:spacing w:before="104"/>
              <w:ind w:left="105"/>
              <w:rPr>
                <w:sz w:val="20"/>
              </w:rPr>
            </w:pPr>
            <w:r>
              <w:rPr>
                <w:sz w:val="20"/>
              </w:rPr>
              <w:t>Data</w:t>
            </w:r>
            <w:r>
              <w:rPr>
                <w:spacing w:val="-7"/>
                <w:sz w:val="20"/>
              </w:rPr>
              <w:t> </w:t>
            </w:r>
            <w:r>
              <w:rPr>
                <w:sz w:val="20"/>
              </w:rPr>
              <w:t>System</w:t>
            </w:r>
            <w:r>
              <w:rPr>
                <w:spacing w:val="-6"/>
                <w:sz w:val="20"/>
              </w:rPr>
              <w:t> </w:t>
            </w:r>
            <w:r>
              <w:rPr>
                <w:spacing w:val="-2"/>
                <w:sz w:val="20"/>
              </w:rPr>
              <w:t>Upgrade</w:t>
            </w:r>
          </w:p>
        </w:tc>
        <w:tc>
          <w:tcPr>
            <w:tcW w:w="1440" w:type="dxa"/>
            <w:tcBorders>
              <w:left w:val="single" w:sz="6" w:space="0" w:color="000000"/>
              <w:bottom w:val="single" w:sz="6" w:space="0" w:color="000000"/>
              <w:right w:val="single" w:sz="6" w:space="0" w:color="000000"/>
            </w:tcBorders>
          </w:tcPr>
          <w:p>
            <w:pPr>
              <w:pStyle w:val="TableParagraph"/>
              <w:spacing w:before="104"/>
              <w:ind w:left="119"/>
              <w:rPr>
                <w:sz w:val="20"/>
              </w:rPr>
            </w:pPr>
            <w:r>
              <w:rPr>
                <w:spacing w:val="-2"/>
                <w:sz w:val="20"/>
              </w:rPr>
              <w:t>$730,000</w:t>
            </w:r>
          </w:p>
        </w:tc>
        <w:tc>
          <w:tcPr>
            <w:tcW w:w="4320" w:type="dxa"/>
            <w:tcBorders>
              <w:left w:val="single" w:sz="6" w:space="0" w:color="000000"/>
              <w:bottom w:val="single" w:sz="6" w:space="0" w:color="000000"/>
              <w:right w:val="single" w:sz="6" w:space="0" w:color="000000"/>
            </w:tcBorders>
          </w:tcPr>
          <w:p>
            <w:pPr>
              <w:pStyle w:val="TableParagraph"/>
              <w:spacing w:before="104"/>
              <w:ind w:left="119" w:right="154"/>
              <w:rPr>
                <w:sz w:val="20"/>
              </w:rPr>
            </w:pPr>
            <w:r>
              <w:rPr>
                <w:sz w:val="20"/>
              </w:rPr>
              <w:t>The</w:t>
            </w:r>
            <w:r>
              <w:rPr>
                <w:spacing w:val="-9"/>
                <w:sz w:val="20"/>
              </w:rPr>
              <w:t> </w:t>
            </w:r>
            <w:r>
              <w:rPr>
                <w:sz w:val="20"/>
              </w:rPr>
              <w:t>Lead</w:t>
            </w:r>
            <w:r>
              <w:rPr>
                <w:spacing w:val="-14"/>
                <w:sz w:val="20"/>
              </w:rPr>
              <w:t> </w:t>
            </w:r>
            <w:r>
              <w:rPr>
                <w:sz w:val="20"/>
              </w:rPr>
              <w:t>Agency</w:t>
            </w:r>
            <w:r>
              <w:rPr>
                <w:spacing w:val="-7"/>
                <w:sz w:val="20"/>
              </w:rPr>
              <w:t> </w:t>
            </w:r>
            <w:r>
              <w:rPr>
                <w:sz w:val="20"/>
              </w:rPr>
              <w:t>is</w:t>
            </w:r>
            <w:r>
              <w:rPr>
                <w:spacing w:val="-7"/>
                <w:sz w:val="20"/>
              </w:rPr>
              <w:t> </w:t>
            </w:r>
            <w:r>
              <w:rPr>
                <w:sz w:val="20"/>
              </w:rPr>
              <w:t>currently</w:t>
            </w:r>
            <w:r>
              <w:rPr>
                <w:spacing w:val="-7"/>
                <w:sz w:val="20"/>
              </w:rPr>
              <w:t> </w:t>
            </w:r>
            <w:r>
              <w:rPr>
                <w:sz w:val="20"/>
              </w:rPr>
              <w:t>updating</w:t>
            </w:r>
            <w:r>
              <w:rPr>
                <w:spacing w:val="-7"/>
                <w:sz w:val="20"/>
              </w:rPr>
              <w:t> </w:t>
            </w:r>
            <w:r>
              <w:rPr>
                <w:sz w:val="20"/>
              </w:rPr>
              <w:t>its state database.</w:t>
            </w:r>
          </w:p>
          <w:p>
            <w:pPr>
              <w:pStyle w:val="TableParagraph"/>
              <w:spacing w:before="121"/>
              <w:ind w:left="119" w:right="154"/>
              <w:rPr>
                <w:sz w:val="20"/>
              </w:rPr>
            </w:pPr>
            <w:r>
              <w:rPr>
                <w:sz w:val="20"/>
              </w:rPr>
              <w:t>The</w:t>
            </w:r>
            <w:r>
              <w:rPr>
                <w:spacing w:val="-9"/>
                <w:sz w:val="20"/>
              </w:rPr>
              <w:t> </w:t>
            </w:r>
            <w:r>
              <w:rPr>
                <w:sz w:val="20"/>
              </w:rPr>
              <w:t>Lead</w:t>
            </w:r>
            <w:r>
              <w:rPr>
                <w:spacing w:val="-14"/>
                <w:sz w:val="20"/>
              </w:rPr>
              <w:t> </w:t>
            </w:r>
            <w:r>
              <w:rPr>
                <w:sz w:val="20"/>
              </w:rPr>
              <w:t>Agency</w:t>
            </w:r>
            <w:r>
              <w:rPr>
                <w:spacing w:val="-7"/>
                <w:sz w:val="20"/>
              </w:rPr>
              <w:t> </w:t>
            </w:r>
            <w:r>
              <w:rPr>
                <w:sz w:val="20"/>
              </w:rPr>
              <w:t>is</w:t>
            </w:r>
            <w:r>
              <w:rPr>
                <w:spacing w:val="-7"/>
                <w:sz w:val="20"/>
              </w:rPr>
              <w:t> </w:t>
            </w:r>
            <w:r>
              <w:rPr>
                <w:sz w:val="20"/>
              </w:rPr>
              <w:t>requesting</w:t>
            </w:r>
            <w:r>
              <w:rPr>
                <w:spacing w:val="-7"/>
                <w:sz w:val="20"/>
              </w:rPr>
              <w:t> </w:t>
            </w:r>
            <w:r>
              <w:rPr>
                <w:sz w:val="20"/>
              </w:rPr>
              <w:t>prior</w:t>
            </w:r>
            <w:r>
              <w:rPr>
                <w:spacing w:val="-7"/>
                <w:sz w:val="20"/>
              </w:rPr>
              <w:t> </w:t>
            </w:r>
            <w:r>
              <w:rPr>
                <w:sz w:val="20"/>
              </w:rPr>
              <w:t>approval for $550,000 to fund the development of a database that exceeds $5000.</w:t>
            </w:r>
            <w:r>
              <w:rPr>
                <w:spacing w:val="-4"/>
                <w:sz w:val="20"/>
              </w:rPr>
              <w:t> </w:t>
            </w:r>
            <w:r>
              <w:rPr>
                <w:sz w:val="20"/>
              </w:rPr>
              <w:t>This database is a web-based proprietary system that collects data for</w:t>
            </w:r>
            <w:r>
              <w:rPr>
                <w:spacing w:val="-4"/>
                <w:sz w:val="20"/>
              </w:rPr>
              <w:t> </w:t>
            </w:r>
            <w:r>
              <w:rPr>
                <w:sz w:val="20"/>
              </w:rPr>
              <w:t>APR Indicators 1, 2, 3, 5, 6,</w:t>
            </w:r>
          </w:p>
          <w:p>
            <w:pPr>
              <w:pStyle w:val="TableParagraph"/>
              <w:ind w:left="119" w:right="91"/>
              <w:rPr>
                <w:sz w:val="20"/>
              </w:rPr>
            </w:pPr>
            <w:r>
              <w:rPr>
                <w:sz w:val="20"/>
              </w:rPr>
              <w:t>7, 8, and 11. Additionally, this database collects</w:t>
            </w:r>
            <w:r>
              <w:rPr>
                <w:spacing w:val="-6"/>
                <w:sz w:val="20"/>
              </w:rPr>
              <w:t> </w:t>
            </w:r>
            <w:r>
              <w:rPr>
                <w:sz w:val="20"/>
              </w:rPr>
              <w:t>charge</w:t>
            </w:r>
            <w:r>
              <w:rPr>
                <w:spacing w:val="-6"/>
                <w:sz w:val="20"/>
              </w:rPr>
              <w:t> </w:t>
            </w:r>
            <w:r>
              <w:rPr>
                <w:sz w:val="20"/>
              </w:rPr>
              <w:t>claims</w:t>
            </w:r>
            <w:r>
              <w:rPr>
                <w:spacing w:val="-6"/>
                <w:sz w:val="20"/>
              </w:rPr>
              <w:t> </w:t>
            </w:r>
            <w:r>
              <w:rPr>
                <w:sz w:val="20"/>
              </w:rPr>
              <w:t>for</w:t>
            </w:r>
            <w:r>
              <w:rPr>
                <w:spacing w:val="-6"/>
                <w:sz w:val="20"/>
              </w:rPr>
              <w:t> </w:t>
            </w:r>
            <w:r>
              <w:rPr>
                <w:sz w:val="20"/>
              </w:rPr>
              <w:t>services</w:t>
            </w:r>
            <w:r>
              <w:rPr>
                <w:spacing w:val="-6"/>
                <w:sz w:val="20"/>
              </w:rPr>
              <w:t> </w:t>
            </w:r>
            <w:r>
              <w:rPr>
                <w:sz w:val="20"/>
              </w:rPr>
              <w:t>paid</w:t>
            </w:r>
            <w:r>
              <w:rPr>
                <w:spacing w:val="-6"/>
                <w:sz w:val="20"/>
              </w:rPr>
              <w:t> </w:t>
            </w:r>
            <w:r>
              <w:rPr>
                <w:sz w:val="20"/>
              </w:rPr>
              <w:t>by</w:t>
            </w:r>
            <w:r>
              <w:rPr>
                <w:spacing w:val="-6"/>
                <w:sz w:val="20"/>
              </w:rPr>
              <w:t> </w:t>
            </w:r>
            <w:r>
              <w:rPr>
                <w:sz w:val="20"/>
              </w:rPr>
              <w:t>the Lead Agency and information about other payor</w:t>
            </w:r>
            <w:r>
              <w:rPr>
                <w:spacing w:val="-4"/>
                <w:sz w:val="20"/>
              </w:rPr>
              <w:t> </w:t>
            </w:r>
            <w:r>
              <w:rPr>
                <w:sz w:val="20"/>
              </w:rPr>
              <w:t>sources</w:t>
            </w:r>
            <w:r>
              <w:rPr>
                <w:spacing w:val="-4"/>
                <w:sz w:val="20"/>
              </w:rPr>
              <w:t> </w:t>
            </w:r>
            <w:r>
              <w:rPr>
                <w:sz w:val="20"/>
              </w:rPr>
              <w:t>to</w:t>
            </w:r>
            <w:r>
              <w:rPr>
                <w:spacing w:val="-4"/>
                <w:sz w:val="20"/>
              </w:rPr>
              <w:t> </w:t>
            </w:r>
            <w:r>
              <w:rPr>
                <w:sz w:val="20"/>
              </w:rPr>
              <w:t>assist</w:t>
            </w:r>
            <w:r>
              <w:rPr>
                <w:spacing w:val="-4"/>
                <w:sz w:val="20"/>
              </w:rPr>
              <w:t> </w:t>
            </w:r>
            <w:r>
              <w:rPr>
                <w:sz w:val="20"/>
              </w:rPr>
              <w:t>the</w:t>
            </w:r>
            <w:r>
              <w:rPr>
                <w:spacing w:val="-4"/>
                <w:sz w:val="20"/>
              </w:rPr>
              <w:t> </w:t>
            </w:r>
            <w:r>
              <w:rPr>
                <w:sz w:val="20"/>
              </w:rPr>
              <w:t>Lead</w:t>
            </w:r>
            <w:r>
              <w:rPr>
                <w:spacing w:val="-14"/>
                <w:sz w:val="20"/>
              </w:rPr>
              <w:t> </w:t>
            </w:r>
            <w:r>
              <w:rPr>
                <w:sz w:val="20"/>
              </w:rPr>
              <w:t>Agency</w:t>
            </w:r>
            <w:r>
              <w:rPr>
                <w:spacing w:val="-4"/>
                <w:sz w:val="20"/>
              </w:rPr>
              <w:t> </w:t>
            </w:r>
            <w:r>
              <w:rPr>
                <w:sz w:val="20"/>
              </w:rPr>
              <w:t>in</w:t>
            </w:r>
            <w:r>
              <w:rPr>
                <w:spacing w:val="-4"/>
                <w:sz w:val="20"/>
              </w:rPr>
              <w:t> </w:t>
            </w:r>
            <w:r>
              <w:rPr>
                <w:sz w:val="20"/>
              </w:rPr>
              <w:t>its fiscal monitoring.</w:t>
            </w:r>
          </w:p>
          <w:p>
            <w:pPr>
              <w:pStyle w:val="TableParagraph"/>
              <w:rPr>
                <w:sz w:val="20"/>
              </w:rPr>
            </w:pPr>
          </w:p>
          <w:p>
            <w:pPr>
              <w:pStyle w:val="TableParagraph"/>
              <w:spacing w:before="10"/>
              <w:rPr>
                <w:sz w:val="20"/>
              </w:rPr>
            </w:pPr>
          </w:p>
          <w:p>
            <w:pPr>
              <w:pStyle w:val="TableParagraph"/>
              <w:ind w:left="119" w:right="91"/>
              <w:rPr>
                <w:sz w:val="20"/>
              </w:rPr>
            </w:pPr>
            <w:r>
              <w:rPr>
                <w:sz w:val="20"/>
              </w:rPr>
              <w:t>Other expenses include project management consultants to ensure that the data system upgrade remains on-time and on-budget, retaining</w:t>
            </w:r>
            <w:r>
              <w:rPr>
                <w:spacing w:val="-7"/>
                <w:sz w:val="20"/>
              </w:rPr>
              <w:t> </w:t>
            </w:r>
            <w:r>
              <w:rPr>
                <w:sz w:val="20"/>
              </w:rPr>
              <w:t>subject</w:t>
            </w:r>
            <w:r>
              <w:rPr>
                <w:spacing w:val="-7"/>
                <w:sz w:val="20"/>
              </w:rPr>
              <w:t> </w:t>
            </w:r>
            <w:r>
              <w:rPr>
                <w:sz w:val="20"/>
              </w:rPr>
              <w:t>matter</w:t>
            </w:r>
            <w:r>
              <w:rPr>
                <w:spacing w:val="-7"/>
                <w:sz w:val="20"/>
              </w:rPr>
              <w:t> </w:t>
            </w:r>
            <w:r>
              <w:rPr>
                <w:sz w:val="20"/>
              </w:rPr>
              <w:t>experts,</w:t>
            </w:r>
            <w:r>
              <w:rPr>
                <w:spacing w:val="-6"/>
                <w:sz w:val="20"/>
              </w:rPr>
              <w:t> </w:t>
            </w:r>
            <w:r>
              <w:rPr>
                <w:sz w:val="20"/>
              </w:rPr>
              <w:t>and</w:t>
            </w:r>
            <w:r>
              <w:rPr>
                <w:spacing w:val="-7"/>
                <w:sz w:val="20"/>
              </w:rPr>
              <w:t> </w:t>
            </w:r>
            <w:r>
              <w:rPr>
                <w:sz w:val="20"/>
              </w:rPr>
              <w:t>funds</w:t>
            </w:r>
            <w:r>
              <w:rPr>
                <w:spacing w:val="-7"/>
                <w:sz w:val="20"/>
              </w:rPr>
              <w:t> </w:t>
            </w:r>
            <w:r>
              <w:rPr>
                <w:sz w:val="20"/>
              </w:rPr>
              <w:t>for financial auditors.</w:t>
            </w:r>
          </w:p>
        </w:tc>
        <w:tc>
          <w:tcPr>
            <w:tcW w:w="1298" w:type="dxa"/>
            <w:tcBorders>
              <w:left w:val="single" w:sz="6" w:space="0" w:color="000000"/>
              <w:bottom w:val="single" w:sz="6" w:space="0" w:color="000000"/>
            </w:tcBorders>
          </w:tcPr>
          <w:p>
            <w:pPr>
              <w:pStyle w:val="TableParagraph"/>
              <w:spacing w:before="104"/>
              <w:ind w:left="119"/>
              <w:rPr>
                <w:sz w:val="20"/>
              </w:rPr>
            </w:pPr>
            <w:r>
              <w:rPr>
                <w:spacing w:val="-10"/>
                <w:sz w:val="20"/>
              </w:rPr>
              <w:t>X</w:t>
            </w:r>
          </w:p>
        </w:tc>
      </w:tr>
      <w:tr>
        <w:trPr>
          <w:trHeight w:val="925" w:hRule="atLeast"/>
        </w:trPr>
        <w:tc>
          <w:tcPr>
            <w:tcW w:w="2302" w:type="dxa"/>
            <w:tcBorders>
              <w:top w:val="single" w:sz="6" w:space="0" w:color="000000"/>
              <w:right w:val="single" w:sz="6" w:space="0" w:color="000000"/>
            </w:tcBorders>
          </w:tcPr>
          <w:p>
            <w:pPr>
              <w:pStyle w:val="TableParagraph"/>
              <w:spacing w:before="119"/>
              <w:ind w:left="105" w:right="153"/>
              <w:rPr>
                <w:sz w:val="20"/>
              </w:rPr>
            </w:pPr>
            <w:r>
              <w:rPr>
                <w:sz w:val="20"/>
              </w:rPr>
              <w:t>Data</w:t>
            </w:r>
            <w:r>
              <w:rPr>
                <w:spacing w:val="-14"/>
                <w:sz w:val="20"/>
              </w:rPr>
              <w:t> </w:t>
            </w:r>
            <w:r>
              <w:rPr>
                <w:sz w:val="20"/>
              </w:rPr>
              <w:t>Collection</w:t>
            </w:r>
            <w:r>
              <w:rPr>
                <w:spacing w:val="-14"/>
                <w:sz w:val="20"/>
              </w:rPr>
              <w:t> </w:t>
            </w:r>
            <w:r>
              <w:rPr>
                <w:sz w:val="20"/>
              </w:rPr>
              <w:t>for Indicator 4</w:t>
            </w:r>
          </w:p>
        </w:tc>
        <w:tc>
          <w:tcPr>
            <w:tcW w:w="1440" w:type="dxa"/>
            <w:tcBorders>
              <w:top w:val="single" w:sz="6" w:space="0" w:color="000000"/>
              <w:left w:val="single" w:sz="6" w:space="0" w:color="000000"/>
              <w:right w:val="single" w:sz="6" w:space="0" w:color="000000"/>
            </w:tcBorders>
          </w:tcPr>
          <w:p>
            <w:pPr>
              <w:pStyle w:val="TableParagraph"/>
              <w:spacing w:before="119"/>
              <w:ind w:left="119"/>
              <w:rPr>
                <w:sz w:val="20"/>
              </w:rPr>
            </w:pPr>
            <w:r>
              <w:rPr>
                <w:spacing w:val="-2"/>
                <w:sz w:val="20"/>
              </w:rPr>
              <w:t>$25,000</w:t>
            </w:r>
          </w:p>
        </w:tc>
        <w:tc>
          <w:tcPr>
            <w:tcW w:w="4320" w:type="dxa"/>
            <w:tcBorders>
              <w:top w:val="single" w:sz="6" w:space="0" w:color="000000"/>
              <w:left w:val="single" w:sz="6" w:space="0" w:color="000000"/>
              <w:right w:val="single" w:sz="6" w:space="0" w:color="000000"/>
            </w:tcBorders>
          </w:tcPr>
          <w:p>
            <w:pPr>
              <w:pStyle w:val="TableParagraph"/>
              <w:spacing w:line="237" w:lineRule="auto" w:before="121"/>
              <w:ind w:left="119" w:right="91"/>
              <w:rPr>
                <w:sz w:val="20"/>
              </w:rPr>
            </w:pPr>
            <w:r>
              <w:rPr>
                <w:sz w:val="20"/>
              </w:rPr>
              <w:t>These funds are used for the development, distribution,</w:t>
            </w:r>
            <w:r>
              <w:rPr>
                <w:spacing w:val="-6"/>
                <w:sz w:val="20"/>
              </w:rPr>
              <w:t> </w:t>
            </w:r>
            <w:r>
              <w:rPr>
                <w:sz w:val="20"/>
              </w:rPr>
              <w:t>and</w:t>
            </w:r>
            <w:r>
              <w:rPr>
                <w:spacing w:val="-6"/>
                <w:sz w:val="20"/>
              </w:rPr>
              <w:t> </w:t>
            </w:r>
            <w:r>
              <w:rPr>
                <w:sz w:val="20"/>
              </w:rPr>
              <w:t>analysis</w:t>
            </w:r>
            <w:r>
              <w:rPr>
                <w:spacing w:val="-6"/>
                <w:sz w:val="20"/>
              </w:rPr>
              <w:t> </w:t>
            </w:r>
            <w:r>
              <w:rPr>
                <w:sz w:val="20"/>
              </w:rPr>
              <w:t>of</w:t>
            </w:r>
            <w:r>
              <w:rPr>
                <w:spacing w:val="-6"/>
                <w:sz w:val="20"/>
              </w:rPr>
              <w:t> </w:t>
            </w:r>
            <w:r>
              <w:rPr>
                <w:sz w:val="20"/>
              </w:rPr>
              <w:t>a</w:t>
            </w:r>
            <w:r>
              <w:rPr>
                <w:spacing w:val="-6"/>
                <w:sz w:val="20"/>
              </w:rPr>
              <w:t> </w:t>
            </w:r>
            <w:r>
              <w:rPr>
                <w:sz w:val="20"/>
              </w:rPr>
              <w:t>survey</w:t>
            </w:r>
            <w:r>
              <w:rPr>
                <w:spacing w:val="-6"/>
                <w:sz w:val="20"/>
              </w:rPr>
              <w:t> </w:t>
            </w:r>
            <w:r>
              <w:rPr>
                <w:sz w:val="20"/>
              </w:rPr>
              <w:t>to</w:t>
            </w:r>
            <w:r>
              <w:rPr>
                <w:spacing w:val="-6"/>
                <w:sz w:val="20"/>
              </w:rPr>
              <w:t> </w:t>
            </w:r>
            <w:r>
              <w:rPr>
                <w:sz w:val="20"/>
              </w:rPr>
              <w:t>collect indicator 4 data.</w:t>
            </w:r>
          </w:p>
        </w:tc>
        <w:tc>
          <w:tcPr>
            <w:tcW w:w="1298" w:type="dxa"/>
            <w:tcBorders>
              <w:top w:val="single" w:sz="6" w:space="0" w:color="000000"/>
              <w:left w:val="single" w:sz="6" w:space="0" w:color="000000"/>
            </w:tcBorders>
          </w:tcPr>
          <w:p>
            <w:pPr>
              <w:pStyle w:val="TableParagraph"/>
              <w:rPr>
                <w:rFonts w:ascii="Times New Roman"/>
                <w:sz w:val="18"/>
              </w:rPr>
            </w:pPr>
          </w:p>
        </w:tc>
      </w:tr>
      <w:tr>
        <w:trPr>
          <w:trHeight w:val="2322" w:hRule="atLeast"/>
        </w:trPr>
        <w:tc>
          <w:tcPr>
            <w:tcW w:w="2302" w:type="dxa"/>
            <w:tcBorders>
              <w:right w:val="single" w:sz="6" w:space="0" w:color="000000"/>
            </w:tcBorders>
          </w:tcPr>
          <w:p>
            <w:pPr>
              <w:pStyle w:val="TableParagraph"/>
              <w:spacing w:line="237" w:lineRule="auto" w:before="125"/>
              <w:ind w:left="105" w:right="311"/>
              <w:rPr>
                <w:i/>
                <w:sz w:val="20"/>
              </w:rPr>
            </w:pPr>
            <w:r>
              <w:rPr>
                <w:i/>
                <w:spacing w:val="-2"/>
                <w:sz w:val="20"/>
              </w:rPr>
              <w:t>Interagency</w:t>
            </w:r>
            <w:r>
              <w:rPr>
                <w:i/>
                <w:spacing w:val="-2"/>
                <w:sz w:val="20"/>
              </w:rPr>
              <w:t> </w:t>
            </w:r>
            <w:r>
              <w:rPr>
                <w:i/>
                <w:sz w:val="20"/>
              </w:rPr>
              <w:t>Coordinating</w:t>
            </w:r>
            <w:r>
              <w:rPr>
                <w:i/>
                <w:spacing w:val="-14"/>
                <w:sz w:val="20"/>
              </w:rPr>
              <w:t> </w:t>
            </w:r>
            <w:r>
              <w:rPr>
                <w:i/>
                <w:sz w:val="20"/>
              </w:rPr>
              <w:t>Council </w:t>
            </w:r>
            <w:r>
              <w:rPr>
                <w:i/>
                <w:spacing w:val="-2"/>
                <w:sz w:val="20"/>
              </w:rPr>
              <w:t>Funds</w:t>
            </w:r>
          </w:p>
        </w:tc>
        <w:tc>
          <w:tcPr>
            <w:tcW w:w="1440" w:type="dxa"/>
            <w:tcBorders>
              <w:left w:val="single" w:sz="6" w:space="0" w:color="000000"/>
              <w:right w:val="single" w:sz="6" w:space="0" w:color="000000"/>
            </w:tcBorders>
          </w:tcPr>
          <w:p>
            <w:pPr>
              <w:pStyle w:val="TableParagraph"/>
              <w:spacing w:before="124"/>
              <w:ind w:left="119"/>
              <w:rPr>
                <w:i/>
                <w:sz w:val="20"/>
              </w:rPr>
            </w:pPr>
            <w:r>
              <w:rPr>
                <w:i/>
                <w:spacing w:val="-5"/>
                <w:sz w:val="20"/>
              </w:rPr>
              <w:t>$0</w:t>
            </w:r>
          </w:p>
        </w:tc>
        <w:tc>
          <w:tcPr>
            <w:tcW w:w="4320" w:type="dxa"/>
            <w:tcBorders>
              <w:left w:val="single" w:sz="6" w:space="0" w:color="000000"/>
              <w:right w:val="single" w:sz="6" w:space="0" w:color="000000"/>
            </w:tcBorders>
          </w:tcPr>
          <w:p>
            <w:pPr>
              <w:pStyle w:val="TableParagraph"/>
              <w:spacing w:line="237" w:lineRule="auto" w:before="125"/>
              <w:ind w:left="119" w:right="154"/>
              <w:rPr>
                <w:i/>
                <w:sz w:val="20"/>
              </w:rPr>
            </w:pPr>
            <w:r>
              <w:rPr>
                <w:i/>
                <w:sz w:val="20"/>
              </w:rPr>
              <w:t>The</w:t>
            </w:r>
            <w:r>
              <w:rPr>
                <w:i/>
                <w:spacing w:val="-5"/>
                <w:sz w:val="20"/>
              </w:rPr>
              <w:t> </w:t>
            </w:r>
            <w:r>
              <w:rPr>
                <w:i/>
                <w:sz w:val="20"/>
              </w:rPr>
              <w:t>ICC</w:t>
            </w:r>
            <w:r>
              <w:rPr>
                <w:i/>
                <w:spacing w:val="-6"/>
                <w:sz w:val="20"/>
              </w:rPr>
              <w:t> </w:t>
            </w:r>
            <w:r>
              <w:rPr>
                <w:i/>
                <w:sz w:val="20"/>
              </w:rPr>
              <w:t>may</w:t>
            </w:r>
            <w:r>
              <w:rPr>
                <w:i/>
                <w:spacing w:val="-5"/>
                <w:sz w:val="20"/>
              </w:rPr>
              <w:t> </w:t>
            </w:r>
            <w:r>
              <w:rPr>
                <w:i/>
                <w:sz w:val="20"/>
              </w:rPr>
              <w:t>use</w:t>
            </w:r>
            <w:r>
              <w:rPr>
                <w:i/>
                <w:spacing w:val="-5"/>
                <w:sz w:val="20"/>
              </w:rPr>
              <w:t> </w:t>
            </w:r>
            <w:r>
              <w:rPr>
                <w:i/>
                <w:sz w:val="20"/>
              </w:rPr>
              <w:t>these</w:t>
            </w:r>
            <w:r>
              <w:rPr>
                <w:i/>
                <w:spacing w:val="-5"/>
                <w:sz w:val="20"/>
              </w:rPr>
              <w:t> </w:t>
            </w:r>
            <w:r>
              <w:rPr>
                <w:i/>
                <w:sz w:val="20"/>
              </w:rPr>
              <w:t>funds</w:t>
            </w:r>
            <w:r>
              <w:rPr>
                <w:i/>
                <w:spacing w:val="-5"/>
                <w:sz w:val="20"/>
              </w:rPr>
              <w:t> </w:t>
            </w:r>
            <w:r>
              <w:rPr>
                <w:i/>
                <w:sz w:val="20"/>
              </w:rPr>
              <w:t>to</w:t>
            </w:r>
            <w:r>
              <w:rPr>
                <w:i/>
                <w:spacing w:val="-5"/>
                <w:sz w:val="20"/>
              </w:rPr>
              <w:t> </w:t>
            </w:r>
            <w:r>
              <w:rPr>
                <w:i/>
                <w:sz w:val="20"/>
              </w:rPr>
              <w:t>offset</w:t>
            </w:r>
            <w:r>
              <w:rPr>
                <w:i/>
                <w:spacing w:val="-5"/>
                <w:sz w:val="20"/>
              </w:rPr>
              <w:t> </w:t>
            </w:r>
            <w:r>
              <w:rPr>
                <w:i/>
                <w:sz w:val="20"/>
              </w:rPr>
              <w:t>costs</w:t>
            </w:r>
            <w:r>
              <w:rPr>
                <w:i/>
                <w:sz w:val="20"/>
              </w:rPr>
              <w:t> of travel for its members and to retain consultants to study issues related to the delivery of effective Part C services</w:t>
            </w:r>
          </w:p>
          <w:p>
            <w:pPr>
              <w:pStyle w:val="TableParagraph"/>
              <w:rPr>
                <w:sz w:val="20"/>
              </w:rPr>
            </w:pPr>
          </w:p>
          <w:p>
            <w:pPr>
              <w:pStyle w:val="TableParagraph"/>
              <w:spacing w:before="15"/>
              <w:rPr>
                <w:sz w:val="20"/>
              </w:rPr>
            </w:pPr>
          </w:p>
          <w:p>
            <w:pPr>
              <w:pStyle w:val="TableParagraph"/>
              <w:ind w:left="119" w:right="159"/>
              <w:jc w:val="both"/>
              <w:rPr>
                <w:i/>
                <w:sz w:val="20"/>
              </w:rPr>
            </w:pPr>
            <w:r>
              <w:rPr>
                <w:i/>
                <w:sz w:val="20"/>
              </w:rPr>
              <w:t>(The</w:t>
            </w:r>
            <w:r>
              <w:rPr>
                <w:i/>
                <w:spacing w:val="-3"/>
                <w:sz w:val="20"/>
              </w:rPr>
              <w:t> </w:t>
            </w:r>
            <w:r>
              <w:rPr>
                <w:i/>
                <w:sz w:val="20"/>
              </w:rPr>
              <w:t>ICC</w:t>
            </w:r>
            <w:r>
              <w:rPr>
                <w:i/>
                <w:spacing w:val="-4"/>
                <w:sz w:val="20"/>
              </w:rPr>
              <w:t> </w:t>
            </w:r>
            <w:r>
              <w:rPr>
                <w:i/>
                <w:sz w:val="20"/>
              </w:rPr>
              <w:t>has</w:t>
            </w:r>
            <w:r>
              <w:rPr>
                <w:i/>
                <w:spacing w:val="-3"/>
                <w:sz w:val="20"/>
              </w:rPr>
              <w:t> </w:t>
            </w:r>
            <w:r>
              <w:rPr>
                <w:i/>
                <w:sz w:val="20"/>
              </w:rPr>
              <w:t>unexpended</w:t>
            </w:r>
            <w:r>
              <w:rPr>
                <w:i/>
                <w:spacing w:val="-3"/>
                <w:sz w:val="20"/>
              </w:rPr>
              <w:t> </w:t>
            </w:r>
            <w:r>
              <w:rPr>
                <w:i/>
                <w:sz w:val="20"/>
              </w:rPr>
              <w:t>funds</w:t>
            </w:r>
            <w:r>
              <w:rPr>
                <w:i/>
                <w:spacing w:val="-3"/>
                <w:sz w:val="20"/>
              </w:rPr>
              <w:t> </w:t>
            </w:r>
            <w:r>
              <w:rPr>
                <w:i/>
                <w:sz w:val="20"/>
              </w:rPr>
              <w:t>from</w:t>
            </w:r>
            <w:r>
              <w:rPr>
                <w:i/>
                <w:spacing w:val="-4"/>
                <w:sz w:val="20"/>
              </w:rPr>
              <w:t> </w:t>
            </w:r>
            <w:r>
              <w:rPr>
                <w:i/>
                <w:sz w:val="20"/>
              </w:rPr>
              <w:t>FFY21</w:t>
            </w:r>
            <w:r>
              <w:rPr>
                <w:i/>
                <w:sz w:val="20"/>
              </w:rPr>
              <w:t> which</w:t>
            </w:r>
            <w:r>
              <w:rPr>
                <w:i/>
                <w:spacing w:val="-6"/>
                <w:sz w:val="20"/>
              </w:rPr>
              <w:t> </w:t>
            </w:r>
            <w:r>
              <w:rPr>
                <w:i/>
                <w:sz w:val="20"/>
              </w:rPr>
              <w:t>will</w:t>
            </w:r>
            <w:r>
              <w:rPr>
                <w:i/>
                <w:spacing w:val="-6"/>
                <w:sz w:val="20"/>
              </w:rPr>
              <w:t> </w:t>
            </w:r>
            <w:r>
              <w:rPr>
                <w:i/>
                <w:sz w:val="20"/>
              </w:rPr>
              <w:t>remain</w:t>
            </w:r>
            <w:r>
              <w:rPr>
                <w:i/>
                <w:spacing w:val="-6"/>
                <w:sz w:val="20"/>
              </w:rPr>
              <w:t> </w:t>
            </w:r>
            <w:r>
              <w:rPr>
                <w:i/>
                <w:sz w:val="20"/>
              </w:rPr>
              <w:t>available</w:t>
            </w:r>
            <w:r>
              <w:rPr>
                <w:i/>
                <w:spacing w:val="-6"/>
                <w:sz w:val="20"/>
              </w:rPr>
              <w:t> </w:t>
            </w:r>
            <w:r>
              <w:rPr>
                <w:i/>
                <w:sz w:val="20"/>
              </w:rPr>
              <w:t>for</w:t>
            </w:r>
            <w:r>
              <w:rPr>
                <w:i/>
                <w:spacing w:val="-6"/>
                <w:sz w:val="20"/>
              </w:rPr>
              <w:t> </w:t>
            </w:r>
            <w:r>
              <w:rPr>
                <w:i/>
                <w:sz w:val="20"/>
              </w:rPr>
              <w:t>this</w:t>
            </w:r>
            <w:r>
              <w:rPr>
                <w:i/>
                <w:spacing w:val="-6"/>
                <w:sz w:val="20"/>
              </w:rPr>
              <w:t> </w:t>
            </w:r>
            <w:r>
              <w:rPr>
                <w:i/>
                <w:sz w:val="20"/>
              </w:rPr>
              <w:t>major</w:t>
            </w:r>
            <w:r>
              <w:rPr>
                <w:i/>
                <w:spacing w:val="-6"/>
                <w:sz w:val="20"/>
              </w:rPr>
              <w:t> </w:t>
            </w:r>
            <w:r>
              <w:rPr>
                <w:i/>
                <w:sz w:val="20"/>
              </w:rPr>
              <w:t>area in FFY22)</w:t>
            </w:r>
          </w:p>
        </w:tc>
        <w:tc>
          <w:tcPr>
            <w:tcW w:w="1298" w:type="dxa"/>
            <w:tcBorders>
              <w:left w:val="single" w:sz="6" w:space="0" w:color="000000"/>
            </w:tcBorders>
          </w:tcPr>
          <w:p>
            <w:pPr>
              <w:pStyle w:val="TableParagraph"/>
              <w:rPr>
                <w:rFonts w:ascii="Times New Roman"/>
                <w:sz w:val="18"/>
              </w:rPr>
            </w:pPr>
          </w:p>
        </w:tc>
      </w:tr>
      <w:tr>
        <w:trPr>
          <w:trHeight w:val="718" w:hRule="atLeast"/>
        </w:trPr>
        <w:tc>
          <w:tcPr>
            <w:tcW w:w="2302" w:type="dxa"/>
            <w:tcBorders>
              <w:right w:val="single" w:sz="6" w:space="0" w:color="000000"/>
            </w:tcBorders>
            <w:shd w:val="clear" w:color="auto" w:fill="F2F2F2"/>
          </w:tcPr>
          <w:p>
            <w:pPr>
              <w:pStyle w:val="TableParagraph"/>
              <w:spacing w:before="128"/>
              <w:ind w:left="105" w:right="153"/>
              <w:rPr>
                <w:b/>
                <w:sz w:val="20"/>
              </w:rPr>
            </w:pPr>
            <w:r>
              <w:rPr>
                <w:b/>
                <w:sz w:val="20"/>
              </w:rPr>
              <w:t>Subtotal</w:t>
            </w:r>
            <w:r>
              <w:rPr>
                <w:b/>
                <w:spacing w:val="-14"/>
                <w:sz w:val="20"/>
              </w:rPr>
              <w:t> </w:t>
            </w:r>
            <w:r>
              <w:rPr>
                <w:b/>
                <w:sz w:val="20"/>
              </w:rPr>
              <w:t>of</w:t>
            </w:r>
            <w:r>
              <w:rPr>
                <w:b/>
                <w:spacing w:val="-14"/>
                <w:sz w:val="20"/>
              </w:rPr>
              <w:t> </w:t>
            </w:r>
            <w:r>
              <w:rPr>
                <w:b/>
                <w:sz w:val="20"/>
              </w:rPr>
              <w:t>amount under B:</w:t>
            </w:r>
          </w:p>
        </w:tc>
        <w:tc>
          <w:tcPr>
            <w:tcW w:w="1440" w:type="dxa"/>
            <w:tcBorders>
              <w:left w:val="single" w:sz="6" w:space="0" w:color="000000"/>
              <w:right w:val="single" w:sz="6" w:space="0" w:color="000000"/>
            </w:tcBorders>
          </w:tcPr>
          <w:p>
            <w:pPr>
              <w:pStyle w:val="TableParagraph"/>
              <w:spacing w:before="13"/>
              <w:rPr>
                <w:sz w:val="20"/>
              </w:rPr>
            </w:pPr>
          </w:p>
          <w:p>
            <w:pPr>
              <w:pStyle w:val="TableParagraph"/>
              <w:spacing w:before="1"/>
              <w:ind w:left="119"/>
              <w:rPr>
                <w:sz w:val="20"/>
              </w:rPr>
            </w:pPr>
            <w:r>
              <w:rPr>
                <w:spacing w:val="-2"/>
                <w:sz w:val="20"/>
              </w:rPr>
              <w:t>$1,948,289</w:t>
            </w:r>
          </w:p>
        </w:tc>
        <w:tc>
          <w:tcPr>
            <w:tcW w:w="4320" w:type="dxa"/>
            <w:tcBorders>
              <w:left w:val="single" w:sz="6" w:space="0" w:color="000000"/>
              <w:right w:val="single" w:sz="6" w:space="0" w:color="000000"/>
            </w:tcBorders>
            <w:shd w:val="clear" w:color="auto" w:fill="808080"/>
          </w:tcPr>
          <w:p>
            <w:pPr>
              <w:pStyle w:val="TableParagraph"/>
              <w:rPr>
                <w:rFonts w:ascii="Times New Roman"/>
                <w:sz w:val="18"/>
              </w:rPr>
            </w:pPr>
          </w:p>
        </w:tc>
        <w:tc>
          <w:tcPr>
            <w:tcW w:w="1298" w:type="dxa"/>
            <w:tcBorders>
              <w:left w:val="single" w:sz="6" w:space="0" w:color="000000"/>
            </w:tcBorders>
            <w:shd w:val="clear" w:color="auto" w:fill="808080"/>
          </w:tcPr>
          <w:p>
            <w:pPr>
              <w:pStyle w:val="TableParagraph"/>
              <w:rPr>
                <w:rFonts w:ascii="Times New Roman"/>
                <w:sz w:val="18"/>
              </w:rPr>
            </w:pPr>
          </w:p>
        </w:tc>
      </w:tr>
    </w:tbl>
    <w:p>
      <w:pPr>
        <w:pStyle w:val="TableParagraph"/>
        <w:spacing w:after="0"/>
        <w:rPr>
          <w:rFonts w:ascii="Times New Roman"/>
          <w:sz w:val="18"/>
        </w:rPr>
        <w:sectPr>
          <w:pgSz w:w="12240" w:h="15840"/>
          <w:pgMar w:header="0" w:footer="879" w:top="1420" w:bottom="1060" w:left="720" w:right="720"/>
        </w:sectPr>
      </w:pPr>
    </w:p>
    <w:p>
      <w:pPr>
        <w:pStyle w:val="Heading1"/>
        <w:numPr>
          <w:ilvl w:val="0"/>
          <w:numId w:val="31"/>
        </w:numPr>
        <w:tabs>
          <w:tab w:pos="1123" w:val="left" w:leader="none"/>
        </w:tabs>
        <w:spacing w:line="240" w:lineRule="auto" w:before="65" w:after="0"/>
        <w:ind w:left="1123" w:right="0" w:hanging="399"/>
        <w:jc w:val="left"/>
      </w:pPr>
      <w:r>
        <w:rPr/>
        <w:t>Direct</w:t>
      </w:r>
      <w:r>
        <w:rPr>
          <w:spacing w:val="-7"/>
        </w:rPr>
        <w:t> </w:t>
      </w:r>
      <w:r>
        <w:rPr/>
        <w:t>Services</w:t>
      </w:r>
      <w:r>
        <w:rPr>
          <w:spacing w:val="-5"/>
        </w:rPr>
        <w:t> </w:t>
      </w:r>
      <w:r>
        <w:rPr/>
        <w:t>(Funded</w:t>
      </w:r>
      <w:r>
        <w:rPr>
          <w:spacing w:val="-5"/>
        </w:rPr>
        <w:t> </w:t>
      </w:r>
      <w:r>
        <w:rPr/>
        <w:t>by</w:t>
      </w:r>
      <w:r>
        <w:rPr>
          <w:spacing w:val="-5"/>
        </w:rPr>
        <w:t> </w:t>
      </w:r>
      <w:r>
        <w:rPr/>
        <w:t>Federal</w:t>
      </w:r>
      <w:r>
        <w:rPr>
          <w:spacing w:val="-5"/>
        </w:rPr>
        <w:t> </w:t>
      </w:r>
      <w:r>
        <w:rPr/>
        <w:t>IDEA</w:t>
      </w:r>
      <w:r>
        <w:rPr>
          <w:spacing w:val="-13"/>
        </w:rPr>
        <w:t> </w:t>
      </w:r>
      <w:r>
        <w:rPr/>
        <w:t>Part</w:t>
      </w:r>
      <w:r>
        <w:rPr>
          <w:spacing w:val="-5"/>
        </w:rPr>
        <w:t> </w:t>
      </w:r>
      <w:r>
        <w:rPr/>
        <w:t>C</w:t>
      </w:r>
      <w:r>
        <w:rPr>
          <w:spacing w:val="-4"/>
        </w:rPr>
        <w:t> </w:t>
      </w:r>
      <w:r>
        <w:rPr>
          <w:spacing w:val="-2"/>
        </w:rPr>
        <w:t>Funds)</w:t>
      </w:r>
    </w:p>
    <w:p>
      <w:pPr>
        <w:pStyle w:val="BodyText"/>
        <w:spacing w:before="241"/>
        <w:ind w:left="1174"/>
      </w:pPr>
      <w:r>
        <w:rPr/>
        <w:t>When</w:t>
      </w:r>
      <w:r>
        <w:rPr>
          <w:spacing w:val="-7"/>
        </w:rPr>
        <w:t> </w:t>
      </w:r>
      <w:r>
        <w:rPr/>
        <w:t>completing</w:t>
      </w:r>
      <w:r>
        <w:rPr>
          <w:spacing w:val="-7"/>
        </w:rPr>
        <w:t> </w:t>
      </w:r>
      <w:r>
        <w:rPr/>
        <w:t>this</w:t>
      </w:r>
      <w:r>
        <w:rPr>
          <w:spacing w:val="-7"/>
        </w:rPr>
        <w:t> </w:t>
      </w:r>
      <w:r>
        <w:rPr/>
        <w:t>section</w:t>
      </w:r>
      <w:r>
        <w:rPr>
          <w:spacing w:val="-6"/>
        </w:rPr>
        <w:t> </w:t>
      </w:r>
      <w:r>
        <w:rPr>
          <w:spacing w:val="-2"/>
        </w:rPr>
        <w:t>include:</w:t>
      </w:r>
    </w:p>
    <w:p>
      <w:pPr>
        <w:pStyle w:val="ListParagraph"/>
        <w:numPr>
          <w:ilvl w:val="1"/>
          <w:numId w:val="31"/>
        </w:numPr>
        <w:tabs>
          <w:tab w:pos="1894" w:val="left" w:leader="none"/>
        </w:tabs>
        <w:spacing w:line="240" w:lineRule="auto" w:before="116" w:after="0"/>
        <w:ind w:left="1894" w:right="996" w:hanging="359"/>
        <w:jc w:val="left"/>
        <w:rPr>
          <w:sz w:val="20"/>
        </w:rPr>
      </w:pPr>
      <w:r>
        <w:rPr>
          <w:sz w:val="20"/>
        </w:rPr>
        <w:t>A</w:t>
      </w:r>
      <w:r>
        <w:rPr>
          <w:spacing w:val="-14"/>
          <w:sz w:val="20"/>
        </w:rPr>
        <w:t> </w:t>
      </w:r>
      <w:r>
        <w:rPr>
          <w:sz w:val="20"/>
        </w:rPr>
        <w:t>description</w:t>
      </w:r>
      <w:r>
        <w:rPr>
          <w:spacing w:val="-3"/>
          <w:sz w:val="20"/>
        </w:rPr>
        <w:t> </w:t>
      </w:r>
      <w:r>
        <w:rPr>
          <w:sz w:val="20"/>
        </w:rPr>
        <w:t>of</w:t>
      </w:r>
      <w:r>
        <w:rPr>
          <w:spacing w:val="-3"/>
          <w:sz w:val="20"/>
        </w:rPr>
        <w:t> </w:t>
      </w:r>
      <w:r>
        <w:rPr>
          <w:sz w:val="20"/>
        </w:rPr>
        <w:t>any</w:t>
      </w:r>
      <w:r>
        <w:rPr>
          <w:spacing w:val="-3"/>
          <w:sz w:val="20"/>
        </w:rPr>
        <w:t> </w:t>
      </w:r>
      <w:r>
        <w:rPr>
          <w:sz w:val="20"/>
        </w:rPr>
        <w:t>direct</w:t>
      </w:r>
      <w:r>
        <w:rPr>
          <w:spacing w:val="-3"/>
          <w:sz w:val="20"/>
        </w:rPr>
        <w:t> </w:t>
      </w:r>
      <w:r>
        <w:rPr>
          <w:sz w:val="20"/>
        </w:rPr>
        <w:t>early</w:t>
      </w:r>
      <w:r>
        <w:rPr>
          <w:spacing w:val="-3"/>
          <w:sz w:val="20"/>
        </w:rPr>
        <w:t> </w:t>
      </w:r>
      <w:r>
        <w:rPr>
          <w:sz w:val="20"/>
        </w:rPr>
        <w:t>intervention</w:t>
      </w:r>
      <w:r>
        <w:rPr>
          <w:spacing w:val="-3"/>
          <w:sz w:val="20"/>
        </w:rPr>
        <w:t> </w:t>
      </w:r>
      <w:r>
        <w:rPr>
          <w:sz w:val="20"/>
        </w:rPr>
        <w:t>service</w:t>
      </w:r>
      <w:r>
        <w:rPr>
          <w:spacing w:val="-3"/>
          <w:sz w:val="20"/>
        </w:rPr>
        <w:t> </w:t>
      </w:r>
      <w:r>
        <w:rPr>
          <w:sz w:val="20"/>
        </w:rPr>
        <w:t>that</w:t>
      </w:r>
      <w:r>
        <w:rPr>
          <w:spacing w:val="-3"/>
          <w:sz w:val="20"/>
        </w:rPr>
        <w:t> </w:t>
      </w:r>
      <w:r>
        <w:rPr>
          <w:sz w:val="20"/>
        </w:rPr>
        <w:t>the</w:t>
      </w:r>
      <w:r>
        <w:rPr>
          <w:spacing w:val="-3"/>
          <w:sz w:val="20"/>
        </w:rPr>
        <w:t> </w:t>
      </w:r>
      <w:r>
        <w:rPr>
          <w:sz w:val="20"/>
        </w:rPr>
        <w:t>State</w:t>
      </w:r>
      <w:r>
        <w:rPr>
          <w:spacing w:val="-3"/>
          <w:sz w:val="20"/>
        </w:rPr>
        <w:t> </w:t>
      </w:r>
      <w:r>
        <w:rPr>
          <w:sz w:val="20"/>
        </w:rPr>
        <w:t>lead</w:t>
      </w:r>
      <w:r>
        <w:rPr>
          <w:spacing w:val="-3"/>
          <w:sz w:val="20"/>
        </w:rPr>
        <w:t> </w:t>
      </w:r>
      <w:r>
        <w:rPr>
          <w:sz w:val="20"/>
        </w:rPr>
        <w:t>agency</w:t>
      </w:r>
      <w:r>
        <w:rPr>
          <w:spacing w:val="-3"/>
          <w:sz w:val="20"/>
        </w:rPr>
        <w:t> </w:t>
      </w:r>
      <w:r>
        <w:rPr>
          <w:sz w:val="20"/>
        </w:rPr>
        <w:t>expects</w:t>
      </w:r>
      <w:r>
        <w:rPr>
          <w:spacing w:val="-3"/>
          <w:sz w:val="20"/>
        </w:rPr>
        <w:t> </w:t>
      </w:r>
      <w:r>
        <w:rPr>
          <w:sz w:val="20"/>
        </w:rPr>
        <w:t>to provide to eligible children and their families with Federal IDEA</w:t>
      </w:r>
      <w:r>
        <w:rPr>
          <w:spacing w:val="-4"/>
          <w:sz w:val="20"/>
        </w:rPr>
        <w:t> </w:t>
      </w:r>
      <w:r>
        <w:rPr>
          <w:sz w:val="20"/>
        </w:rPr>
        <w:t>Part C funds;</w:t>
      </w:r>
    </w:p>
    <w:p>
      <w:pPr>
        <w:pStyle w:val="ListParagraph"/>
        <w:numPr>
          <w:ilvl w:val="1"/>
          <w:numId w:val="31"/>
        </w:numPr>
        <w:tabs>
          <w:tab w:pos="1894" w:val="left" w:leader="none"/>
        </w:tabs>
        <w:spacing w:line="240" w:lineRule="auto" w:before="120" w:after="0"/>
        <w:ind w:left="1894" w:right="821" w:hanging="359"/>
        <w:jc w:val="left"/>
        <w:rPr>
          <w:sz w:val="20"/>
        </w:rPr>
      </w:pPr>
      <w:r>
        <w:rPr>
          <w:sz w:val="20"/>
        </w:rPr>
        <w:t>The approximate amount for each direct service (States must disaggregate by service the approximate</w:t>
      </w:r>
      <w:r>
        <w:rPr>
          <w:spacing w:val="-3"/>
          <w:sz w:val="20"/>
        </w:rPr>
        <w:t> </w:t>
      </w:r>
      <w:r>
        <w:rPr>
          <w:sz w:val="20"/>
        </w:rPr>
        <w:t>amount</w:t>
      </w:r>
      <w:r>
        <w:rPr>
          <w:spacing w:val="-3"/>
          <w:sz w:val="20"/>
        </w:rPr>
        <w:t> </w:t>
      </w:r>
      <w:r>
        <w:rPr>
          <w:sz w:val="20"/>
        </w:rPr>
        <w:t>of</w:t>
      </w:r>
      <w:r>
        <w:rPr>
          <w:spacing w:val="-3"/>
          <w:sz w:val="20"/>
        </w:rPr>
        <w:t> </w:t>
      </w:r>
      <w:r>
        <w:rPr>
          <w:sz w:val="20"/>
        </w:rPr>
        <w:t>Federal</w:t>
      </w:r>
      <w:r>
        <w:rPr>
          <w:spacing w:val="-3"/>
          <w:sz w:val="20"/>
        </w:rPr>
        <w:t> </w:t>
      </w:r>
      <w:r>
        <w:rPr>
          <w:sz w:val="20"/>
        </w:rPr>
        <w:t>IDEA</w:t>
      </w:r>
      <w:r>
        <w:rPr>
          <w:spacing w:val="-14"/>
          <w:sz w:val="20"/>
        </w:rPr>
        <w:t> </w:t>
      </w:r>
      <w:r>
        <w:rPr>
          <w:sz w:val="20"/>
        </w:rPr>
        <w:t>Part</w:t>
      </w:r>
      <w:r>
        <w:rPr>
          <w:spacing w:val="-3"/>
          <w:sz w:val="20"/>
        </w:rPr>
        <w:t> </w:t>
      </w:r>
      <w:r>
        <w:rPr>
          <w:sz w:val="20"/>
        </w:rPr>
        <w:t>C</w:t>
      </w:r>
      <w:r>
        <w:rPr>
          <w:spacing w:val="-4"/>
          <w:sz w:val="20"/>
        </w:rPr>
        <w:t> </w:t>
      </w:r>
      <w:r>
        <w:rPr>
          <w:sz w:val="20"/>
        </w:rPr>
        <w:t>funds</w:t>
      </w:r>
      <w:r>
        <w:rPr>
          <w:spacing w:val="-3"/>
          <w:sz w:val="20"/>
        </w:rPr>
        <w:t> </w:t>
      </w:r>
      <w:r>
        <w:rPr>
          <w:sz w:val="20"/>
        </w:rPr>
        <w:t>expected</w:t>
      </w:r>
      <w:r>
        <w:rPr>
          <w:spacing w:val="-3"/>
          <w:sz w:val="20"/>
        </w:rPr>
        <w:t> </w:t>
      </w:r>
      <w:r>
        <w:rPr>
          <w:sz w:val="20"/>
        </w:rPr>
        <w:t>to</w:t>
      </w:r>
      <w:r>
        <w:rPr>
          <w:spacing w:val="-3"/>
          <w:sz w:val="20"/>
        </w:rPr>
        <w:t> </w:t>
      </w:r>
      <w:r>
        <w:rPr>
          <w:sz w:val="20"/>
        </w:rPr>
        <w:t>be</w:t>
      </w:r>
      <w:r>
        <w:rPr>
          <w:spacing w:val="-3"/>
          <w:sz w:val="20"/>
        </w:rPr>
        <w:t> </w:t>
      </w:r>
      <w:r>
        <w:rPr>
          <w:sz w:val="20"/>
        </w:rPr>
        <w:t>expended</w:t>
      </w:r>
      <w:r>
        <w:rPr>
          <w:spacing w:val="-3"/>
          <w:sz w:val="20"/>
        </w:rPr>
        <w:t> </w:t>
      </w:r>
      <w:r>
        <w:rPr>
          <w:sz w:val="20"/>
        </w:rPr>
        <w:t>for</w:t>
      </w:r>
      <w:r>
        <w:rPr>
          <w:spacing w:val="-3"/>
          <w:sz w:val="20"/>
        </w:rPr>
        <w:t> </w:t>
      </w:r>
      <w:r>
        <w:rPr>
          <w:sz w:val="20"/>
        </w:rPr>
        <w:t>each</w:t>
      </w:r>
      <w:r>
        <w:rPr>
          <w:spacing w:val="-3"/>
          <w:sz w:val="20"/>
        </w:rPr>
        <w:t> </w:t>
      </w:r>
      <w:r>
        <w:rPr>
          <w:sz w:val="20"/>
        </w:rPr>
        <w:t>direct service); and</w:t>
      </w:r>
    </w:p>
    <w:p>
      <w:pPr>
        <w:pStyle w:val="ListParagraph"/>
        <w:numPr>
          <w:ilvl w:val="1"/>
          <w:numId w:val="31"/>
        </w:numPr>
        <w:tabs>
          <w:tab w:pos="1894" w:val="left" w:leader="none"/>
        </w:tabs>
        <w:spacing w:line="240" w:lineRule="auto" w:before="121" w:after="0"/>
        <w:ind w:left="1894" w:right="0" w:hanging="358"/>
        <w:jc w:val="left"/>
        <w:rPr>
          <w:sz w:val="20"/>
        </w:rPr>
      </w:pPr>
      <w:r>
        <w:rPr>
          <w:sz w:val="20"/>
        </w:rPr>
        <w:t>A</w:t>
      </w:r>
      <w:r>
        <w:rPr>
          <w:spacing w:val="-14"/>
          <w:sz w:val="20"/>
        </w:rPr>
        <w:t> </w:t>
      </w:r>
      <w:r>
        <w:rPr>
          <w:sz w:val="20"/>
        </w:rPr>
        <w:t>subtotal</w:t>
      </w:r>
      <w:r>
        <w:rPr>
          <w:spacing w:val="-5"/>
          <w:sz w:val="20"/>
        </w:rPr>
        <w:t> </w:t>
      </w:r>
      <w:r>
        <w:rPr>
          <w:sz w:val="20"/>
        </w:rPr>
        <w:t>of</w:t>
      </w:r>
      <w:r>
        <w:rPr>
          <w:spacing w:val="-4"/>
          <w:sz w:val="20"/>
        </w:rPr>
        <w:t> </w:t>
      </w:r>
      <w:r>
        <w:rPr>
          <w:sz w:val="20"/>
        </w:rPr>
        <w:t>the</w:t>
      </w:r>
      <w:r>
        <w:rPr>
          <w:spacing w:val="-3"/>
          <w:sz w:val="20"/>
        </w:rPr>
        <w:t> </w:t>
      </w:r>
      <w:r>
        <w:rPr>
          <w:spacing w:val="-2"/>
          <w:sz w:val="20"/>
        </w:rPr>
        <w:t>amount.</w:t>
      </w:r>
    </w:p>
    <w:p>
      <w:pPr>
        <w:spacing w:before="118"/>
        <w:ind w:left="1124" w:right="0" w:firstLine="0"/>
        <w:jc w:val="left"/>
        <w:rPr>
          <w:i/>
          <w:sz w:val="16"/>
        </w:rPr>
      </w:pPr>
      <w:r>
        <w:rPr>
          <w:i/>
          <w:sz w:val="16"/>
        </w:rPr>
        <w:t>(Add</w:t>
      </w:r>
      <w:r>
        <w:rPr>
          <w:i/>
          <w:spacing w:val="-3"/>
          <w:sz w:val="16"/>
        </w:rPr>
        <w:t> </w:t>
      </w:r>
      <w:r>
        <w:rPr>
          <w:i/>
          <w:sz w:val="16"/>
        </w:rPr>
        <w:t>rows</w:t>
      </w:r>
      <w:r>
        <w:rPr>
          <w:i/>
          <w:spacing w:val="-2"/>
          <w:sz w:val="16"/>
        </w:rPr>
        <w:t> </w:t>
      </w:r>
      <w:r>
        <w:rPr>
          <w:i/>
          <w:sz w:val="16"/>
        </w:rPr>
        <w:t>as</w:t>
      </w:r>
      <w:r>
        <w:rPr>
          <w:i/>
          <w:spacing w:val="-2"/>
          <w:sz w:val="16"/>
        </w:rPr>
        <w:t> needed.)</w:t>
      </w:r>
    </w:p>
    <w:p>
      <w:pPr>
        <w:pStyle w:val="BodyText"/>
        <w:spacing w:before="192"/>
        <w:rPr>
          <w:i/>
        </w:rPr>
      </w:pPr>
    </w:p>
    <w:tbl>
      <w:tblPr>
        <w:tblW w:w="0" w:type="auto"/>
        <w:jc w:val="left"/>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79"/>
        <w:gridCol w:w="2222"/>
      </w:tblGrid>
      <w:tr>
        <w:trPr>
          <w:trHeight w:val="1381" w:hRule="atLeast"/>
        </w:trPr>
        <w:tc>
          <w:tcPr>
            <w:tcW w:w="5779"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
              <w:rPr>
                <w:i/>
                <w:sz w:val="20"/>
              </w:rPr>
            </w:pPr>
          </w:p>
          <w:p>
            <w:pPr>
              <w:pStyle w:val="TableParagraph"/>
              <w:spacing w:line="211" w:lineRule="exact"/>
              <w:ind w:left="385"/>
              <w:rPr>
                <w:b/>
                <w:sz w:val="20"/>
              </w:rPr>
            </w:pPr>
            <w:r>
              <w:rPr>
                <w:b/>
                <w:sz w:val="20"/>
              </w:rPr>
              <w:t>Description</w:t>
            </w:r>
            <w:r>
              <w:rPr>
                <w:b/>
                <w:spacing w:val="-8"/>
                <w:sz w:val="20"/>
              </w:rPr>
              <w:t> </w:t>
            </w:r>
            <w:r>
              <w:rPr>
                <w:b/>
                <w:sz w:val="20"/>
              </w:rPr>
              <w:t>of</w:t>
            </w:r>
            <w:r>
              <w:rPr>
                <w:b/>
                <w:spacing w:val="-8"/>
                <w:sz w:val="20"/>
              </w:rPr>
              <w:t> </w:t>
            </w:r>
            <w:r>
              <w:rPr>
                <w:b/>
                <w:sz w:val="20"/>
              </w:rPr>
              <w:t>Each</w:t>
            </w:r>
            <w:r>
              <w:rPr>
                <w:b/>
                <w:spacing w:val="-8"/>
                <w:sz w:val="20"/>
              </w:rPr>
              <w:t> </w:t>
            </w:r>
            <w:r>
              <w:rPr>
                <w:b/>
                <w:sz w:val="20"/>
              </w:rPr>
              <w:t>Direct</w:t>
            </w:r>
            <w:r>
              <w:rPr>
                <w:b/>
                <w:spacing w:val="-8"/>
                <w:sz w:val="20"/>
              </w:rPr>
              <w:t> </w:t>
            </w:r>
            <w:r>
              <w:rPr>
                <w:b/>
                <w:sz w:val="20"/>
              </w:rPr>
              <w:t>Early</w:t>
            </w:r>
            <w:r>
              <w:rPr>
                <w:b/>
                <w:spacing w:val="-8"/>
                <w:sz w:val="20"/>
              </w:rPr>
              <w:t> </w:t>
            </w:r>
            <w:r>
              <w:rPr>
                <w:b/>
                <w:sz w:val="20"/>
              </w:rPr>
              <w:t>Intervention</w:t>
            </w:r>
            <w:r>
              <w:rPr>
                <w:b/>
                <w:spacing w:val="-7"/>
                <w:sz w:val="20"/>
              </w:rPr>
              <w:t> </w:t>
            </w:r>
            <w:r>
              <w:rPr>
                <w:b/>
                <w:spacing w:val="-2"/>
                <w:sz w:val="20"/>
              </w:rPr>
              <w:t>Service</w:t>
            </w:r>
          </w:p>
        </w:tc>
        <w:tc>
          <w:tcPr>
            <w:tcW w:w="2222" w:type="dxa"/>
          </w:tcPr>
          <w:p>
            <w:pPr>
              <w:pStyle w:val="TableParagraph"/>
              <w:ind w:left="156" w:right="140"/>
              <w:jc w:val="center"/>
              <w:rPr>
                <w:b/>
                <w:sz w:val="20"/>
              </w:rPr>
            </w:pPr>
            <w:r>
              <w:rPr>
                <w:b/>
                <w:spacing w:val="-2"/>
                <w:sz w:val="20"/>
              </w:rPr>
              <w:t>Approximate </w:t>
            </w:r>
            <w:r>
              <w:rPr>
                <w:b/>
                <w:sz w:val="20"/>
              </w:rPr>
              <w:t>Amount of</w:t>
            </w:r>
          </w:p>
          <w:p>
            <w:pPr>
              <w:pStyle w:val="TableParagraph"/>
              <w:spacing w:line="230" w:lineRule="atLeast"/>
              <w:ind w:left="156" w:right="140"/>
              <w:jc w:val="center"/>
              <w:rPr>
                <w:b/>
                <w:sz w:val="20"/>
              </w:rPr>
            </w:pPr>
            <w:r>
              <w:rPr>
                <w:b/>
                <w:sz w:val="20"/>
              </w:rPr>
              <w:t>Federal</w:t>
            </w:r>
            <w:r>
              <w:rPr>
                <w:b/>
                <w:spacing w:val="-14"/>
                <w:sz w:val="20"/>
              </w:rPr>
              <w:t> </w:t>
            </w:r>
            <w:r>
              <w:rPr>
                <w:b/>
                <w:sz w:val="20"/>
              </w:rPr>
              <w:t>IDEA</w:t>
            </w:r>
            <w:r>
              <w:rPr>
                <w:b/>
                <w:spacing w:val="-14"/>
                <w:sz w:val="20"/>
              </w:rPr>
              <w:t> </w:t>
            </w:r>
            <w:r>
              <w:rPr>
                <w:b/>
                <w:sz w:val="20"/>
              </w:rPr>
              <w:t>Part</w:t>
            </w:r>
            <w:r>
              <w:rPr>
                <w:b/>
                <w:spacing w:val="-14"/>
                <w:sz w:val="20"/>
              </w:rPr>
              <w:t> </w:t>
            </w:r>
            <w:r>
              <w:rPr>
                <w:b/>
                <w:sz w:val="20"/>
              </w:rPr>
              <w:t>C Funds to be Spent on Each Direct </w:t>
            </w:r>
            <w:r>
              <w:rPr>
                <w:b/>
                <w:spacing w:val="-2"/>
                <w:sz w:val="20"/>
              </w:rPr>
              <w:t>Service</w:t>
            </w:r>
          </w:p>
        </w:tc>
      </w:tr>
      <w:tr>
        <w:trPr>
          <w:trHeight w:val="297" w:hRule="atLeast"/>
        </w:trPr>
        <w:tc>
          <w:tcPr>
            <w:tcW w:w="5779" w:type="dxa"/>
          </w:tcPr>
          <w:p>
            <w:pPr>
              <w:pStyle w:val="TableParagraph"/>
              <w:spacing w:line="211" w:lineRule="exact" w:before="66"/>
              <w:ind w:left="165"/>
              <w:rPr>
                <w:sz w:val="20"/>
              </w:rPr>
            </w:pPr>
            <w:r>
              <w:rPr>
                <w:sz w:val="20"/>
              </w:rPr>
              <w:t>Assistive</w:t>
            </w:r>
            <w:r>
              <w:rPr>
                <w:spacing w:val="-8"/>
                <w:sz w:val="20"/>
              </w:rPr>
              <w:t> </w:t>
            </w:r>
            <w:r>
              <w:rPr>
                <w:sz w:val="20"/>
              </w:rPr>
              <w:t>Technology</w:t>
            </w:r>
            <w:r>
              <w:rPr>
                <w:spacing w:val="-8"/>
                <w:sz w:val="20"/>
              </w:rPr>
              <w:t> </w:t>
            </w:r>
            <w:r>
              <w:rPr>
                <w:sz w:val="20"/>
              </w:rPr>
              <w:t>Service</w:t>
            </w:r>
            <w:r>
              <w:rPr>
                <w:spacing w:val="-8"/>
                <w:sz w:val="20"/>
              </w:rPr>
              <w:t> </w:t>
            </w:r>
            <w:r>
              <w:rPr>
                <w:sz w:val="20"/>
              </w:rPr>
              <w:t>and</w:t>
            </w:r>
            <w:r>
              <w:rPr>
                <w:spacing w:val="-8"/>
                <w:sz w:val="20"/>
              </w:rPr>
              <w:t> </w:t>
            </w:r>
            <w:r>
              <w:rPr>
                <w:spacing w:val="-2"/>
                <w:sz w:val="20"/>
              </w:rPr>
              <w:t>Devices</w:t>
            </w:r>
          </w:p>
        </w:tc>
        <w:tc>
          <w:tcPr>
            <w:tcW w:w="2222" w:type="dxa"/>
          </w:tcPr>
          <w:p>
            <w:pPr>
              <w:pStyle w:val="TableParagraph"/>
              <w:spacing w:line="211" w:lineRule="exact" w:before="66"/>
              <w:ind w:left="156" w:right="144"/>
              <w:jc w:val="center"/>
              <w:rPr>
                <w:sz w:val="20"/>
              </w:rPr>
            </w:pPr>
            <w:r>
              <w:rPr>
                <w:spacing w:val="-2"/>
                <w:sz w:val="20"/>
              </w:rPr>
              <w:t>10,735</w:t>
            </w:r>
          </w:p>
        </w:tc>
      </w:tr>
      <w:tr>
        <w:trPr>
          <w:trHeight w:val="302" w:hRule="atLeast"/>
        </w:trPr>
        <w:tc>
          <w:tcPr>
            <w:tcW w:w="5779" w:type="dxa"/>
          </w:tcPr>
          <w:p>
            <w:pPr>
              <w:pStyle w:val="TableParagraph"/>
              <w:spacing w:line="211" w:lineRule="exact" w:before="71"/>
              <w:ind w:left="110"/>
              <w:rPr>
                <w:sz w:val="20"/>
              </w:rPr>
            </w:pPr>
            <w:r>
              <w:rPr>
                <w:spacing w:val="-2"/>
                <w:sz w:val="20"/>
              </w:rPr>
              <w:t>Audiology</w:t>
            </w:r>
          </w:p>
        </w:tc>
        <w:tc>
          <w:tcPr>
            <w:tcW w:w="2222" w:type="dxa"/>
          </w:tcPr>
          <w:p>
            <w:pPr>
              <w:pStyle w:val="TableParagraph"/>
              <w:spacing w:line="211" w:lineRule="exact" w:before="71"/>
              <w:ind w:left="156" w:right="144"/>
              <w:jc w:val="center"/>
              <w:rPr>
                <w:sz w:val="20"/>
              </w:rPr>
            </w:pPr>
            <w:r>
              <w:rPr>
                <w:spacing w:val="-2"/>
                <w:sz w:val="20"/>
              </w:rPr>
              <w:t>6,044</w:t>
            </w:r>
          </w:p>
        </w:tc>
      </w:tr>
      <w:tr>
        <w:trPr>
          <w:trHeight w:val="297" w:hRule="atLeast"/>
        </w:trPr>
        <w:tc>
          <w:tcPr>
            <w:tcW w:w="5779" w:type="dxa"/>
          </w:tcPr>
          <w:p>
            <w:pPr>
              <w:pStyle w:val="TableParagraph"/>
              <w:spacing w:line="211" w:lineRule="exact" w:before="66"/>
              <w:ind w:left="110"/>
              <w:rPr>
                <w:sz w:val="20"/>
              </w:rPr>
            </w:pPr>
            <w:r>
              <w:rPr>
                <w:sz w:val="20"/>
              </w:rPr>
              <w:t>Family</w:t>
            </w:r>
            <w:r>
              <w:rPr>
                <w:spacing w:val="-10"/>
                <w:sz w:val="20"/>
              </w:rPr>
              <w:t> </w:t>
            </w:r>
            <w:r>
              <w:rPr>
                <w:sz w:val="20"/>
              </w:rPr>
              <w:t>Training,</w:t>
            </w:r>
            <w:r>
              <w:rPr>
                <w:spacing w:val="-7"/>
                <w:sz w:val="20"/>
              </w:rPr>
              <w:t> </w:t>
            </w:r>
            <w:r>
              <w:rPr>
                <w:sz w:val="20"/>
              </w:rPr>
              <w:t>Counseling,</w:t>
            </w:r>
            <w:r>
              <w:rPr>
                <w:spacing w:val="-7"/>
                <w:sz w:val="20"/>
              </w:rPr>
              <w:t> </w:t>
            </w:r>
            <w:r>
              <w:rPr>
                <w:sz w:val="20"/>
              </w:rPr>
              <w:t>Home</w:t>
            </w:r>
            <w:r>
              <w:rPr>
                <w:spacing w:val="-8"/>
                <w:sz w:val="20"/>
              </w:rPr>
              <w:t> </w:t>
            </w:r>
            <w:r>
              <w:rPr>
                <w:sz w:val="20"/>
              </w:rPr>
              <w:t>Visits</w:t>
            </w:r>
            <w:r>
              <w:rPr>
                <w:spacing w:val="-7"/>
                <w:sz w:val="20"/>
              </w:rPr>
              <w:t> </w:t>
            </w:r>
            <w:r>
              <w:rPr>
                <w:sz w:val="20"/>
              </w:rPr>
              <w:t>and</w:t>
            </w:r>
            <w:r>
              <w:rPr>
                <w:spacing w:val="-7"/>
                <w:sz w:val="20"/>
              </w:rPr>
              <w:t> </w:t>
            </w:r>
            <w:r>
              <w:rPr>
                <w:sz w:val="20"/>
              </w:rPr>
              <w:t>Other</w:t>
            </w:r>
            <w:r>
              <w:rPr>
                <w:spacing w:val="-7"/>
                <w:sz w:val="20"/>
              </w:rPr>
              <w:t> </w:t>
            </w:r>
            <w:r>
              <w:rPr>
                <w:spacing w:val="-2"/>
                <w:sz w:val="20"/>
              </w:rPr>
              <w:t>Supports</w:t>
            </w:r>
          </w:p>
        </w:tc>
        <w:tc>
          <w:tcPr>
            <w:tcW w:w="2222" w:type="dxa"/>
          </w:tcPr>
          <w:p>
            <w:pPr>
              <w:pStyle w:val="TableParagraph"/>
              <w:spacing w:line="211" w:lineRule="exact" w:before="66"/>
              <w:ind w:left="156" w:right="144"/>
              <w:jc w:val="center"/>
              <w:rPr>
                <w:sz w:val="20"/>
              </w:rPr>
            </w:pPr>
            <w:r>
              <w:rPr>
                <w:spacing w:val="-2"/>
                <w:sz w:val="20"/>
              </w:rPr>
              <w:t>402,258</w:t>
            </w:r>
          </w:p>
        </w:tc>
      </w:tr>
      <w:tr>
        <w:trPr>
          <w:trHeight w:val="302" w:hRule="atLeast"/>
        </w:trPr>
        <w:tc>
          <w:tcPr>
            <w:tcW w:w="5779" w:type="dxa"/>
          </w:tcPr>
          <w:p>
            <w:pPr>
              <w:pStyle w:val="TableParagraph"/>
              <w:spacing w:line="211" w:lineRule="exact" w:before="71"/>
              <w:ind w:left="110"/>
              <w:rPr>
                <w:sz w:val="20"/>
              </w:rPr>
            </w:pPr>
            <w:r>
              <w:rPr>
                <w:sz w:val="20"/>
              </w:rPr>
              <w:t>Nursing</w:t>
            </w:r>
            <w:r>
              <w:rPr>
                <w:spacing w:val="-8"/>
                <w:sz w:val="20"/>
              </w:rPr>
              <w:t> </w:t>
            </w:r>
            <w:r>
              <w:rPr>
                <w:spacing w:val="-2"/>
                <w:sz w:val="20"/>
              </w:rPr>
              <w:t>Services</w:t>
            </w:r>
          </w:p>
        </w:tc>
        <w:tc>
          <w:tcPr>
            <w:tcW w:w="2222" w:type="dxa"/>
          </w:tcPr>
          <w:p>
            <w:pPr>
              <w:pStyle w:val="TableParagraph"/>
              <w:spacing w:line="211" w:lineRule="exact" w:before="71"/>
              <w:ind w:left="156" w:right="144"/>
              <w:jc w:val="center"/>
              <w:rPr>
                <w:sz w:val="20"/>
              </w:rPr>
            </w:pPr>
            <w:r>
              <w:rPr>
                <w:spacing w:val="-2"/>
                <w:sz w:val="20"/>
              </w:rPr>
              <w:t>176,855</w:t>
            </w:r>
          </w:p>
        </w:tc>
      </w:tr>
      <w:tr>
        <w:trPr>
          <w:trHeight w:val="301" w:hRule="atLeast"/>
        </w:trPr>
        <w:tc>
          <w:tcPr>
            <w:tcW w:w="5779" w:type="dxa"/>
          </w:tcPr>
          <w:p>
            <w:pPr>
              <w:pStyle w:val="TableParagraph"/>
              <w:spacing w:line="211" w:lineRule="exact" w:before="71"/>
              <w:ind w:left="110"/>
              <w:rPr>
                <w:sz w:val="20"/>
              </w:rPr>
            </w:pPr>
            <w:r>
              <w:rPr>
                <w:sz w:val="20"/>
              </w:rPr>
              <w:t>Nutrition</w:t>
            </w:r>
            <w:r>
              <w:rPr>
                <w:spacing w:val="-10"/>
                <w:sz w:val="20"/>
              </w:rPr>
              <w:t> </w:t>
            </w:r>
            <w:r>
              <w:rPr>
                <w:spacing w:val="-2"/>
                <w:sz w:val="20"/>
              </w:rPr>
              <w:t>Services</w:t>
            </w:r>
          </w:p>
        </w:tc>
        <w:tc>
          <w:tcPr>
            <w:tcW w:w="2222" w:type="dxa"/>
          </w:tcPr>
          <w:p>
            <w:pPr>
              <w:pStyle w:val="TableParagraph"/>
              <w:spacing w:line="211" w:lineRule="exact" w:before="71"/>
              <w:ind w:left="156" w:right="144"/>
              <w:jc w:val="center"/>
              <w:rPr>
                <w:sz w:val="20"/>
              </w:rPr>
            </w:pPr>
            <w:r>
              <w:rPr>
                <w:spacing w:val="-2"/>
                <w:sz w:val="20"/>
              </w:rPr>
              <w:t>2,853</w:t>
            </w:r>
          </w:p>
        </w:tc>
      </w:tr>
      <w:tr>
        <w:trPr>
          <w:trHeight w:val="297" w:hRule="atLeast"/>
        </w:trPr>
        <w:tc>
          <w:tcPr>
            <w:tcW w:w="5779" w:type="dxa"/>
          </w:tcPr>
          <w:p>
            <w:pPr>
              <w:pStyle w:val="TableParagraph"/>
              <w:spacing w:line="211" w:lineRule="exact" w:before="66"/>
              <w:ind w:left="110"/>
              <w:rPr>
                <w:sz w:val="20"/>
              </w:rPr>
            </w:pPr>
            <w:r>
              <w:rPr>
                <w:sz w:val="20"/>
              </w:rPr>
              <w:t>Occupational</w:t>
            </w:r>
            <w:r>
              <w:rPr>
                <w:spacing w:val="-13"/>
                <w:sz w:val="20"/>
              </w:rPr>
              <w:t> </w:t>
            </w:r>
            <w:r>
              <w:rPr>
                <w:spacing w:val="-2"/>
                <w:sz w:val="20"/>
              </w:rPr>
              <w:t>Therapy</w:t>
            </w:r>
          </w:p>
        </w:tc>
        <w:tc>
          <w:tcPr>
            <w:tcW w:w="2222" w:type="dxa"/>
          </w:tcPr>
          <w:p>
            <w:pPr>
              <w:pStyle w:val="TableParagraph"/>
              <w:spacing w:line="211" w:lineRule="exact" w:before="66"/>
              <w:ind w:left="156" w:right="144"/>
              <w:jc w:val="center"/>
              <w:rPr>
                <w:sz w:val="20"/>
              </w:rPr>
            </w:pPr>
            <w:r>
              <w:rPr>
                <w:spacing w:val="-2"/>
                <w:sz w:val="20"/>
              </w:rPr>
              <w:t>314,353</w:t>
            </w:r>
          </w:p>
        </w:tc>
      </w:tr>
      <w:tr>
        <w:trPr>
          <w:trHeight w:val="301" w:hRule="atLeast"/>
        </w:trPr>
        <w:tc>
          <w:tcPr>
            <w:tcW w:w="5779" w:type="dxa"/>
          </w:tcPr>
          <w:p>
            <w:pPr>
              <w:pStyle w:val="TableParagraph"/>
              <w:spacing w:line="211" w:lineRule="exact" w:before="71"/>
              <w:ind w:left="110"/>
              <w:rPr>
                <w:sz w:val="20"/>
              </w:rPr>
            </w:pPr>
            <w:r>
              <w:rPr>
                <w:sz w:val="20"/>
              </w:rPr>
              <w:t>Physical</w:t>
            </w:r>
            <w:r>
              <w:rPr>
                <w:spacing w:val="-9"/>
                <w:sz w:val="20"/>
              </w:rPr>
              <w:t> </w:t>
            </w:r>
            <w:r>
              <w:rPr>
                <w:spacing w:val="-2"/>
                <w:sz w:val="20"/>
              </w:rPr>
              <w:t>Therapy</w:t>
            </w:r>
          </w:p>
        </w:tc>
        <w:tc>
          <w:tcPr>
            <w:tcW w:w="2222" w:type="dxa"/>
          </w:tcPr>
          <w:p>
            <w:pPr>
              <w:pStyle w:val="TableParagraph"/>
              <w:spacing w:line="211" w:lineRule="exact" w:before="71"/>
              <w:ind w:left="156" w:right="144"/>
              <w:jc w:val="center"/>
              <w:rPr>
                <w:sz w:val="20"/>
              </w:rPr>
            </w:pPr>
            <w:r>
              <w:rPr>
                <w:spacing w:val="-2"/>
                <w:sz w:val="20"/>
              </w:rPr>
              <w:t>280,327</w:t>
            </w:r>
          </w:p>
        </w:tc>
      </w:tr>
      <w:tr>
        <w:trPr>
          <w:trHeight w:val="297" w:hRule="atLeast"/>
        </w:trPr>
        <w:tc>
          <w:tcPr>
            <w:tcW w:w="5779" w:type="dxa"/>
          </w:tcPr>
          <w:p>
            <w:pPr>
              <w:pStyle w:val="TableParagraph"/>
              <w:spacing w:line="211" w:lineRule="exact" w:before="66"/>
              <w:ind w:left="110"/>
              <w:rPr>
                <w:sz w:val="20"/>
              </w:rPr>
            </w:pPr>
            <w:r>
              <w:rPr>
                <w:spacing w:val="-2"/>
                <w:sz w:val="20"/>
              </w:rPr>
              <w:t>Psychological</w:t>
            </w:r>
            <w:r>
              <w:rPr>
                <w:spacing w:val="12"/>
                <w:sz w:val="20"/>
              </w:rPr>
              <w:t> </w:t>
            </w:r>
            <w:r>
              <w:rPr>
                <w:spacing w:val="-2"/>
                <w:sz w:val="20"/>
              </w:rPr>
              <w:t>Services</w:t>
            </w:r>
          </w:p>
        </w:tc>
        <w:tc>
          <w:tcPr>
            <w:tcW w:w="2222" w:type="dxa"/>
          </w:tcPr>
          <w:p>
            <w:pPr>
              <w:pStyle w:val="TableParagraph"/>
              <w:spacing w:line="211" w:lineRule="exact" w:before="66"/>
              <w:ind w:left="156" w:right="144"/>
              <w:jc w:val="center"/>
              <w:rPr>
                <w:sz w:val="20"/>
              </w:rPr>
            </w:pPr>
            <w:r>
              <w:rPr>
                <w:spacing w:val="-2"/>
                <w:sz w:val="20"/>
              </w:rPr>
              <w:t>100,532</w:t>
            </w:r>
          </w:p>
        </w:tc>
      </w:tr>
      <w:tr>
        <w:trPr>
          <w:trHeight w:val="302" w:hRule="atLeast"/>
        </w:trPr>
        <w:tc>
          <w:tcPr>
            <w:tcW w:w="5779" w:type="dxa"/>
          </w:tcPr>
          <w:p>
            <w:pPr>
              <w:pStyle w:val="TableParagraph"/>
              <w:spacing w:line="211" w:lineRule="exact" w:before="71"/>
              <w:ind w:left="110"/>
              <w:rPr>
                <w:sz w:val="20"/>
              </w:rPr>
            </w:pPr>
            <w:r>
              <w:rPr>
                <w:sz w:val="20"/>
              </w:rPr>
              <w:t>Respite</w:t>
            </w:r>
            <w:r>
              <w:rPr>
                <w:spacing w:val="-8"/>
                <w:sz w:val="20"/>
              </w:rPr>
              <w:t> </w:t>
            </w:r>
            <w:r>
              <w:rPr>
                <w:spacing w:val="-4"/>
                <w:sz w:val="20"/>
              </w:rPr>
              <w:t>Care</w:t>
            </w:r>
          </w:p>
        </w:tc>
        <w:tc>
          <w:tcPr>
            <w:tcW w:w="2222" w:type="dxa"/>
          </w:tcPr>
          <w:p>
            <w:pPr>
              <w:pStyle w:val="TableParagraph"/>
              <w:spacing w:line="211" w:lineRule="exact" w:before="71"/>
              <w:ind w:left="156" w:right="144"/>
              <w:jc w:val="center"/>
              <w:rPr>
                <w:sz w:val="20"/>
              </w:rPr>
            </w:pPr>
            <w:r>
              <w:rPr>
                <w:spacing w:val="-2"/>
                <w:sz w:val="20"/>
              </w:rPr>
              <w:t>16,489</w:t>
            </w:r>
          </w:p>
        </w:tc>
      </w:tr>
      <w:tr>
        <w:trPr>
          <w:trHeight w:val="302" w:hRule="atLeast"/>
        </w:trPr>
        <w:tc>
          <w:tcPr>
            <w:tcW w:w="5779" w:type="dxa"/>
          </w:tcPr>
          <w:p>
            <w:pPr>
              <w:pStyle w:val="TableParagraph"/>
              <w:spacing w:line="211" w:lineRule="exact" w:before="71"/>
              <w:ind w:left="110"/>
              <w:rPr>
                <w:sz w:val="20"/>
              </w:rPr>
            </w:pPr>
            <w:r>
              <w:rPr>
                <w:sz w:val="20"/>
              </w:rPr>
              <w:t>Social</w:t>
            </w:r>
            <w:r>
              <w:rPr>
                <w:spacing w:val="-6"/>
                <w:sz w:val="20"/>
              </w:rPr>
              <w:t> </w:t>
            </w:r>
            <w:r>
              <w:rPr>
                <w:sz w:val="20"/>
              </w:rPr>
              <w:t>Work</w:t>
            </w:r>
            <w:r>
              <w:rPr>
                <w:spacing w:val="-6"/>
                <w:sz w:val="20"/>
              </w:rPr>
              <w:t> </w:t>
            </w:r>
            <w:r>
              <w:rPr>
                <w:spacing w:val="-2"/>
                <w:sz w:val="20"/>
              </w:rPr>
              <w:t>Services</w:t>
            </w:r>
          </w:p>
        </w:tc>
        <w:tc>
          <w:tcPr>
            <w:tcW w:w="2222" w:type="dxa"/>
          </w:tcPr>
          <w:p>
            <w:pPr>
              <w:pStyle w:val="TableParagraph"/>
              <w:spacing w:line="211" w:lineRule="exact" w:before="71"/>
              <w:ind w:left="156" w:right="144"/>
              <w:jc w:val="center"/>
              <w:rPr>
                <w:sz w:val="20"/>
              </w:rPr>
            </w:pPr>
            <w:r>
              <w:rPr>
                <w:spacing w:val="-2"/>
                <w:sz w:val="20"/>
              </w:rPr>
              <w:t>266,589</w:t>
            </w:r>
          </w:p>
        </w:tc>
      </w:tr>
      <w:tr>
        <w:trPr>
          <w:trHeight w:val="297" w:hRule="atLeast"/>
        </w:trPr>
        <w:tc>
          <w:tcPr>
            <w:tcW w:w="5779" w:type="dxa"/>
          </w:tcPr>
          <w:p>
            <w:pPr>
              <w:pStyle w:val="TableParagraph"/>
              <w:spacing w:line="211" w:lineRule="exact" w:before="66"/>
              <w:ind w:left="110"/>
              <w:rPr>
                <w:sz w:val="20"/>
              </w:rPr>
            </w:pPr>
            <w:r>
              <w:rPr>
                <w:sz w:val="20"/>
              </w:rPr>
              <w:t>Special</w:t>
            </w:r>
            <w:r>
              <w:rPr>
                <w:spacing w:val="-8"/>
                <w:sz w:val="20"/>
              </w:rPr>
              <w:t> </w:t>
            </w:r>
            <w:r>
              <w:rPr>
                <w:spacing w:val="-2"/>
                <w:sz w:val="20"/>
              </w:rPr>
              <w:t>Instruction</w:t>
            </w:r>
          </w:p>
        </w:tc>
        <w:tc>
          <w:tcPr>
            <w:tcW w:w="2222" w:type="dxa"/>
          </w:tcPr>
          <w:p>
            <w:pPr>
              <w:pStyle w:val="TableParagraph"/>
              <w:spacing w:line="211" w:lineRule="exact" w:before="66"/>
              <w:ind w:left="156" w:right="144"/>
              <w:jc w:val="center"/>
              <w:rPr>
                <w:sz w:val="20"/>
              </w:rPr>
            </w:pPr>
            <w:r>
              <w:rPr>
                <w:spacing w:val="-2"/>
                <w:sz w:val="20"/>
              </w:rPr>
              <w:t>29,593</w:t>
            </w:r>
          </w:p>
        </w:tc>
      </w:tr>
      <w:tr>
        <w:trPr>
          <w:trHeight w:val="302" w:hRule="atLeast"/>
        </w:trPr>
        <w:tc>
          <w:tcPr>
            <w:tcW w:w="5779" w:type="dxa"/>
          </w:tcPr>
          <w:p>
            <w:pPr>
              <w:pStyle w:val="TableParagraph"/>
              <w:spacing w:line="211" w:lineRule="exact" w:before="71"/>
              <w:ind w:left="110"/>
              <w:rPr>
                <w:sz w:val="20"/>
              </w:rPr>
            </w:pPr>
            <w:r>
              <w:rPr>
                <w:sz w:val="20"/>
              </w:rPr>
              <w:t>Speech</w:t>
            </w:r>
            <w:r>
              <w:rPr>
                <w:spacing w:val="-6"/>
                <w:sz w:val="20"/>
              </w:rPr>
              <w:t> </w:t>
            </w:r>
            <w:r>
              <w:rPr>
                <w:sz w:val="20"/>
              </w:rPr>
              <w:t>and</w:t>
            </w:r>
            <w:r>
              <w:rPr>
                <w:spacing w:val="-6"/>
                <w:sz w:val="20"/>
              </w:rPr>
              <w:t> </w:t>
            </w:r>
            <w:r>
              <w:rPr>
                <w:sz w:val="20"/>
              </w:rPr>
              <w:t>Language</w:t>
            </w:r>
            <w:r>
              <w:rPr>
                <w:spacing w:val="-6"/>
                <w:sz w:val="20"/>
              </w:rPr>
              <w:t> </w:t>
            </w:r>
            <w:r>
              <w:rPr>
                <w:spacing w:val="-2"/>
                <w:sz w:val="20"/>
              </w:rPr>
              <w:t>Pathology</w:t>
            </w:r>
          </w:p>
        </w:tc>
        <w:tc>
          <w:tcPr>
            <w:tcW w:w="2222" w:type="dxa"/>
          </w:tcPr>
          <w:p>
            <w:pPr>
              <w:pStyle w:val="TableParagraph"/>
              <w:spacing w:line="211" w:lineRule="exact" w:before="71"/>
              <w:ind w:left="156" w:right="144"/>
              <w:jc w:val="center"/>
              <w:rPr>
                <w:sz w:val="20"/>
              </w:rPr>
            </w:pPr>
            <w:r>
              <w:rPr>
                <w:spacing w:val="-2"/>
                <w:sz w:val="20"/>
              </w:rPr>
              <w:t>339,197</w:t>
            </w:r>
          </w:p>
        </w:tc>
      </w:tr>
      <w:tr>
        <w:trPr>
          <w:trHeight w:val="297" w:hRule="atLeast"/>
        </w:trPr>
        <w:tc>
          <w:tcPr>
            <w:tcW w:w="5779" w:type="dxa"/>
          </w:tcPr>
          <w:p>
            <w:pPr>
              <w:pStyle w:val="TableParagraph"/>
              <w:spacing w:line="211" w:lineRule="exact" w:before="66"/>
              <w:ind w:left="110"/>
              <w:rPr>
                <w:sz w:val="20"/>
              </w:rPr>
            </w:pPr>
            <w:r>
              <w:rPr>
                <w:sz w:val="20"/>
              </w:rPr>
              <w:t>Transportation</w:t>
            </w:r>
            <w:r>
              <w:rPr>
                <w:spacing w:val="-8"/>
                <w:sz w:val="20"/>
              </w:rPr>
              <w:t> </w:t>
            </w:r>
            <w:r>
              <w:rPr>
                <w:sz w:val="20"/>
              </w:rPr>
              <w:t>and</w:t>
            </w:r>
            <w:r>
              <w:rPr>
                <w:spacing w:val="-8"/>
                <w:sz w:val="20"/>
              </w:rPr>
              <w:t> </w:t>
            </w:r>
            <w:r>
              <w:rPr>
                <w:sz w:val="20"/>
              </w:rPr>
              <w:t>related</w:t>
            </w:r>
            <w:r>
              <w:rPr>
                <w:spacing w:val="-8"/>
                <w:sz w:val="20"/>
              </w:rPr>
              <w:t> </w:t>
            </w:r>
            <w:r>
              <w:rPr>
                <w:spacing w:val="-2"/>
                <w:sz w:val="20"/>
              </w:rPr>
              <w:t>costs</w:t>
            </w:r>
          </w:p>
        </w:tc>
        <w:tc>
          <w:tcPr>
            <w:tcW w:w="2222" w:type="dxa"/>
          </w:tcPr>
          <w:p>
            <w:pPr>
              <w:pStyle w:val="TableParagraph"/>
              <w:spacing w:line="211" w:lineRule="exact" w:before="66"/>
              <w:ind w:left="156" w:right="144"/>
              <w:jc w:val="center"/>
              <w:rPr>
                <w:sz w:val="20"/>
              </w:rPr>
            </w:pPr>
            <w:r>
              <w:rPr>
                <w:spacing w:val="-2"/>
                <w:sz w:val="20"/>
              </w:rPr>
              <w:t>207,009</w:t>
            </w:r>
          </w:p>
        </w:tc>
      </w:tr>
      <w:tr>
        <w:trPr>
          <w:trHeight w:val="302" w:hRule="atLeast"/>
        </w:trPr>
        <w:tc>
          <w:tcPr>
            <w:tcW w:w="5779" w:type="dxa"/>
          </w:tcPr>
          <w:p>
            <w:pPr>
              <w:pStyle w:val="TableParagraph"/>
              <w:spacing w:line="211" w:lineRule="exact" w:before="71"/>
              <w:ind w:left="110"/>
              <w:rPr>
                <w:sz w:val="20"/>
              </w:rPr>
            </w:pPr>
            <w:r>
              <w:rPr>
                <w:sz w:val="20"/>
              </w:rPr>
              <w:t>Vision</w:t>
            </w:r>
            <w:r>
              <w:rPr>
                <w:spacing w:val="-7"/>
                <w:sz w:val="20"/>
              </w:rPr>
              <w:t> </w:t>
            </w:r>
            <w:r>
              <w:rPr>
                <w:spacing w:val="-2"/>
                <w:sz w:val="20"/>
              </w:rPr>
              <w:t>Services</w:t>
            </w:r>
          </w:p>
        </w:tc>
        <w:tc>
          <w:tcPr>
            <w:tcW w:w="2222" w:type="dxa"/>
          </w:tcPr>
          <w:p>
            <w:pPr>
              <w:pStyle w:val="TableParagraph"/>
              <w:spacing w:line="211" w:lineRule="exact" w:before="71"/>
              <w:ind w:left="156" w:right="144"/>
              <w:jc w:val="center"/>
              <w:rPr>
                <w:sz w:val="20"/>
              </w:rPr>
            </w:pPr>
            <w:r>
              <w:rPr>
                <w:spacing w:val="-2"/>
                <w:sz w:val="20"/>
              </w:rPr>
              <w:t>3,529</w:t>
            </w:r>
          </w:p>
        </w:tc>
      </w:tr>
      <w:tr>
        <w:trPr>
          <w:trHeight w:val="566" w:hRule="atLeast"/>
        </w:trPr>
        <w:tc>
          <w:tcPr>
            <w:tcW w:w="5779" w:type="dxa"/>
          </w:tcPr>
          <w:p>
            <w:pPr>
              <w:pStyle w:val="TableParagraph"/>
              <w:spacing w:before="105"/>
              <w:rPr>
                <w:i/>
                <w:sz w:val="20"/>
              </w:rPr>
            </w:pPr>
          </w:p>
          <w:p>
            <w:pPr>
              <w:pStyle w:val="TableParagraph"/>
              <w:spacing w:line="211" w:lineRule="exact"/>
              <w:ind w:left="110"/>
              <w:rPr>
                <w:sz w:val="20"/>
              </w:rPr>
            </w:pPr>
            <w:r>
              <w:rPr>
                <w:sz w:val="20"/>
              </w:rPr>
              <w:t>Sign</w:t>
            </w:r>
            <w:r>
              <w:rPr>
                <w:spacing w:val="-6"/>
                <w:sz w:val="20"/>
              </w:rPr>
              <w:t> </w:t>
            </w:r>
            <w:r>
              <w:rPr>
                <w:sz w:val="20"/>
              </w:rPr>
              <w:t>Language</w:t>
            </w:r>
            <w:r>
              <w:rPr>
                <w:spacing w:val="-6"/>
                <w:sz w:val="20"/>
              </w:rPr>
              <w:t> </w:t>
            </w:r>
            <w:r>
              <w:rPr>
                <w:sz w:val="20"/>
              </w:rPr>
              <w:t>training</w:t>
            </w:r>
            <w:r>
              <w:rPr>
                <w:spacing w:val="-6"/>
                <w:sz w:val="20"/>
              </w:rPr>
              <w:t> </w:t>
            </w:r>
            <w:r>
              <w:rPr>
                <w:sz w:val="20"/>
              </w:rPr>
              <w:t>for</w:t>
            </w:r>
            <w:r>
              <w:rPr>
                <w:spacing w:val="-6"/>
                <w:sz w:val="20"/>
              </w:rPr>
              <w:t> </w:t>
            </w:r>
            <w:r>
              <w:rPr>
                <w:spacing w:val="-2"/>
                <w:sz w:val="20"/>
              </w:rPr>
              <w:t>caregivers</w:t>
            </w:r>
          </w:p>
        </w:tc>
        <w:tc>
          <w:tcPr>
            <w:tcW w:w="2222" w:type="dxa"/>
          </w:tcPr>
          <w:p>
            <w:pPr>
              <w:pStyle w:val="TableParagraph"/>
              <w:spacing w:before="105"/>
              <w:rPr>
                <w:i/>
                <w:sz w:val="20"/>
              </w:rPr>
            </w:pPr>
          </w:p>
          <w:p>
            <w:pPr>
              <w:pStyle w:val="TableParagraph"/>
              <w:spacing w:line="211" w:lineRule="exact"/>
              <w:ind w:left="156" w:right="144"/>
              <w:jc w:val="center"/>
              <w:rPr>
                <w:sz w:val="20"/>
              </w:rPr>
            </w:pPr>
            <w:r>
              <w:rPr>
                <w:spacing w:val="-2"/>
                <w:sz w:val="20"/>
              </w:rPr>
              <w:t>105,000</w:t>
            </w:r>
          </w:p>
        </w:tc>
      </w:tr>
      <w:tr>
        <w:trPr>
          <w:trHeight w:val="566" w:hRule="atLeast"/>
        </w:trPr>
        <w:tc>
          <w:tcPr>
            <w:tcW w:w="5779" w:type="dxa"/>
          </w:tcPr>
          <w:p>
            <w:pPr>
              <w:pStyle w:val="TableParagraph"/>
              <w:spacing w:before="105"/>
              <w:rPr>
                <w:i/>
                <w:sz w:val="20"/>
              </w:rPr>
            </w:pPr>
          </w:p>
          <w:p>
            <w:pPr>
              <w:pStyle w:val="TableParagraph"/>
              <w:spacing w:line="211" w:lineRule="exact"/>
              <w:ind w:left="110"/>
              <w:rPr>
                <w:sz w:val="20"/>
              </w:rPr>
            </w:pPr>
            <w:r>
              <w:rPr>
                <w:sz w:val="20"/>
              </w:rPr>
              <w:t>Interpreter</w:t>
            </w:r>
            <w:r>
              <w:rPr>
                <w:spacing w:val="-11"/>
                <w:sz w:val="20"/>
              </w:rPr>
              <w:t> </w:t>
            </w:r>
            <w:r>
              <w:rPr>
                <w:spacing w:val="-2"/>
                <w:sz w:val="20"/>
              </w:rPr>
              <w:t>Support</w:t>
            </w:r>
          </w:p>
        </w:tc>
        <w:tc>
          <w:tcPr>
            <w:tcW w:w="2222" w:type="dxa"/>
          </w:tcPr>
          <w:p>
            <w:pPr>
              <w:pStyle w:val="TableParagraph"/>
              <w:spacing w:before="105"/>
              <w:rPr>
                <w:i/>
                <w:sz w:val="20"/>
              </w:rPr>
            </w:pPr>
          </w:p>
          <w:p>
            <w:pPr>
              <w:pStyle w:val="TableParagraph"/>
              <w:spacing w:line="211" w:lineRule="exact"/>
              <w:ind w:left="156" w:right="144"/>
              <w:jc w:val="center"/>
              <w:rPr>
                <w:sz w:val="20"/>
              </w:rPr>
            </w:pPr>
            <w:r>
              <w:rPr>
                <w:spacing w:val="-2"/>
                <w:sz w:val="20"/>
              </w:rPr>
              <w:t>150,000</w:t>
            </w:r>
          </w:p>
        </w:tc>
      </w:tr>
      <w:tr>
        <w:trPr>
          <w:trHeight w:val="565" w:hRule="atLeast"/>
        </w:trPr>
        <w:tc>
          <w:tcPr>
            <w:tcW w:w="5779" w:type="dxa"/>
          </w:tcPr>
          <w:p>
            <w:pPr>
              <w:pStyle w:val="TableParagraph"/>
              <w:spacing w:line="229" w:lineRule="exact"/>
              <w:ind w:left="110"/>
              <w:rPr>
                <w:b/>
                <w:sz w:val="20"/>
              </w:rPr>
            </w:pPr>
            <w:r>
              <w:rPr>
                <w:b/>
                <w:sz w:val="20"/>
              </w:rPr>
              <w:t>Subtotal</w:t>
            </w:r>
            <w:r>
              <w:rPr>
                <w:b/>
                <w:spacing w:val="-9"/>
                <w:sz w:val="20"/>
              </w:rPr>
              <w:t> </w:t>
            </w:r>
            <w:r>
              <w:rPr>
                <w:b/>
                <w:sz w:val="20"/>
              </w:rPr>
              <w:t>of</w:t>
            </w:r>
            <w:r>
              <w:rPr>
                <w:b/>
                <w:spacing w:val="-8"/>
                <w:sz w:val="20"/>
              </w:rPr>
              <w:t> </w:t>
            </w:r>
            <w:r>
              <w:rPr>
                <w:b/>
                <w:sz w:val="20"/>
              </w:rPr>
              <w:t>amount</w:t>
            </w:r>
            <w:r>
              <w:rPr>
                <w:b/>
                <w:spacing w:val="-8"/>
                <w:sz w:val="20"/>
              </w:rPr>
              <w:t> </w:t>
            </w:r>
            <w:r>
              <w:rPr>
                <w:b/>
                <w:sz w:val="20"/>
              </w:rPr>
              <w:t>under</w:t>
            </w:r>
            <w:r>
              <w:rPr>
                <w:b/>
                <w:spacing w:val="-8"/>
                <w:sz w:val="20"/>
              </w:rPr>
              <w:t> </w:t>
            </w:r>
            <w:r>
              <w:rPr>
                <w:b/>
                <w:spacing w:val="-5"/>
                <w:sz w:val="20"/>
              </w:rPr>
              <w:t>C:</w:t>
            </w:r>
          </w:p>
        </w:tc>
        <w:tc>
          <w:tcPr>
            <w:tcW w:w="2222" w:type="dxa"/>
          </w:tcPr>
          <w:p>
            <w:pPr>
              <w:pStyle w:val="TableParagraph"/>
              <w:spacing w:line="229" w:lineRule="exact"/>
              <w:ind w:left="156" w:right="143"/>
              <w:jc w:val="center"/>
              <w:rPr>
                <w:sz w:val="20"/>
              </w:rPr>
            </w:pPr>
            <w:r>
              <w:rPr>
                <w:spacing w:val="-2"/>
                <w:sz w:val="20"/>
              </w:rPr>
              <w:t>$2,411,364</w:t>
            </w:r>
          </w:p>
        </w:tc>
      </w:tr>
    </w:tbl>
    <w:p>
      <w:pPr>
        <w:pStyle w:val="TableParagraph"/>
        <w:spacing w:after="0" w:line="229" w:lineRule="exact"/>
        <w:jc w:val="center"/>
        <w:rPr>
          <w:sz w:val="20"/>
        </w:rPr>
        <w:sectPr>
          <w:pgSz w:w="12240" w:h="15840"/>
          <w:pgMar w:header="0" w:footer="879" w:top="1380" w:bottom="1060" w:left="720" w:right="720"/>
        </w:sectPr>
      </w:pPr>
    </w:p>
    <w:p>
      <w:pPr>
        <w:pStyle w:val="Heading1"/>
        <w:numPr>
          <w:ilvl w:val="0"/>
          <w:numId w:val="31"/>
        </w:numPr>
        <w:tabs>
          <w:tab w:pos="1123" w:val="left" w:leader="none"/>
        </w:tabs>
        <w:spacing w:line="240" w:lineRule="auto" w:before="65" w:after="0"/>
        <w:ind w:left="1123" w:right="0" w:hanging="399"/>
        <w:jc w:val="left"/>
      </w:pPr>
      <w:r>
        <w:rPr/>
        <w:t>Activities</w:t>
      </w:r>
      <w:r>
        <w:rPr>
          <w:spacing w:val="-6"/>
        </w:rPr>
        <w:t> </w:t>
      </w:r>
      <w:r>
        <w:rPr/>
        <w:t>by</w:t>
      </w:r>
      <w:r>
        <w:rPr>
          <w:spacing w:val="-6"/>
        </w:rPr>
        <w:t> </w:t>
      </w:r>
      <w:r>
        <w:rPr/>
        <w:t>Other</w:t>
      </w:r>
      <w:r>
        <w:rPr>
          <w:spacing w:val="-5"/>
        </w:rPr>
        <w:t> </w:t>
      </w:r>
      <w:r>
        <w:rPr/>
        <w:t>State</w:t>
      </w:r>
      <w:r>
        <w:rPr>
          <w:spacing w:val="-13"/>
        </w:rPr>
        <w:t> </w:t>
      </w:r>
      <w:r>
        <w:rPr>
          <w:spacing w:val="-2"/>
        </w:rPr>
        <w:t>Agencies</w:t>
      </w:r>
    </w:p>
    <w:p>
      <w:pPr>
        <w:pStyle w:val="BodyText"/>
        <w:spacing w:line="237" w:lineRule="auto" w:before="243"/>
        <w:ind w:left="1124" w:right="756"/>
        <w:jc w:val="both"/>
      </w:pPr>
      <w:r>
        <w:rPr/>
        <w:t>If</w:t>
      </w:r>
      <w:r>
        <w:rPr>
          <w:spacing w:val="-1"/>
        </w:rPr>
        <w:t> </w:t>
      </w:r>
      <w:r>
        <w:rPr/>
        <w:t>State</w:t>
      </w:r>
      <w:r>
        <w:rPr>
          <w:spacing w:val="-1"/>
        </w:rPr>
        <w:t> </w:t>
      </w:r>
      <w:r>
        <w:rPr/>
        <w:t>agencies</w:t>
      </w:r>
      <w:r>
        <w:rPr>
          <w:spacing w:val="-1"/>
        </w:rPr>
        <w:t> </w:t>
      </w:r>
      <w:r>
        <w:rPr/>
        <w:t>(other</w:t>
      </w:r>
      <w:r>
        <w:rPr>
          <w:spacing w:val="-1"/>
        </w:rPr>
        <w:t> </w:t>
      </w:r>
      <w:r>
        <w:rPr/>
        <w:t>than</w:t>
      </w:r>
      <w:r>
        <w:rPr>
          <w:spacing w:val="-1"/>
        </w:rPr>
        <w:t> </w:t>
      </w:r>
      <w:r>
        <w:rPr/>
        <w:t>the</w:t>
      </w:r>
      <w:r>
        <w:rPr>
          <w:spacing w:val="-1"/>
        </w:rPr>
        <w:t> </w:t>
      </w:r>
      <w:r>
        <w:rPr/>
        <w:t>State</w:t>
      </w:r>
      <w:r>
        <w:rPr>
          <w:spacing w:val="-1"/>
        </w:rPr>
        <w:t> </w:t>
      </w:r>
      <w:r>
        <w:rPr/>
        <w:t>lead</w:t>
      </w:r>
      <w:r>
        <w:rPr>
          <w:spacing w:val="-1"/>
        </w:rPr>
        <w:t> </w:t>
      </w:r>
      <w:r>
        <w:rPr/>
        <w:t>agency) are</w:t>
      </w:r>
      <w:r>
        <w:rPr>
          <w:spacing w:val="-1"/>
        </w:rPr>
        <w:t> </w:t>
      </w:r>
      <w:r>
        <w:rPr/>
        <w:t>to</w:t>
      </w:r>
      <w:r>
        <w:rPr>
          <w:spacing w:val="-1"/>
        </w:rPr>
        <w:t> </w:t>
      </w:r>
      <w:r>
        <w:rPr/>
        <w:t>receive</w:t>
      </w:r>
      <w:r>
        <w:rPr>
          <w:spacing w:val="-1"/>
        </w:rPr>
        <w:t> </w:t>
      </w:r>
      <w:r>
        <w:rPr/>
        <w:t>a</w:t>
      </w:r>
      <w:r>
        <w:rPr>
          <w:spacing w:val="-1"/>
        </w:rPr>
        <w:t> </w:t>
      </w:r>
      <w:r>
        <w:rPr/>
        <w:t>portion</w:t>
      </w:r>
      <w:r>
        <w:rPr>
          <w:spacing w:val="-1"/>
        </w:rPr>
        <w:t> </w:t>
      </w:r>
      <w:r>
        <w:rPr/>
        <w:t>of</w:t>
      </w:r>
      <w:r>
        <w:rPr>
          <w:spacing w:val="-1"/>
        </w:rPr>
        <w:t> </w:t>
      </w:r>
      <w:r>
        <w:rPr/>
        <w:t>the</w:t>
      </w:r>
      <w:r>
        <w:rPr>
          <w:spacing w:val="-1"/>
        </w:rPr>
        <w:t> </w:t>
      </w:r>
      <w:r>
        <w:rPr/>
        <w:t>Federal</w:t>
      </w:r>
      <w:r>
        <w:rPr>
          <w:spacing w:val="-1"/>
        </w:rPr>
        <w:t> </w:t>
      </w:r>
      <w:r>
        <w:rPr/>
        <w:t>IDEA</w:t>
      </w:r>
      <w:r>
        <w:rPr>
          <w:spacing w:val="-13"/>
        </w:rPr>
        <w:t> </w:t>
      </w:r>
      <w:r>
        <w:rPr/>
        <w:t>Part C</w:t>
      </w:r>
      <w:r>
        <w:rPr>
          <w:spacing w:val="-3"/>
        </w:rPr>
        <w:t> </w:t>
      </w:r>
      <w:r>
        <w:rPr/>
        <w:t>funds</w:t>
      </w:r>
      <w:r>
        <w:rPr>
          <w:spacing w:val="-2"/>
        </w:rPr>
        <w:t> </w:t>
      </w:r>
      <w:r>
        <w:rPr/>
        <w:t>and</w:t>
      </w:r>
      <w:r>
        <w:rPr>
          <w:spacing w:val="-2"/>
        </w:rPr>
        <w:t> </w:t>
      </w:r>
      <w:r>
        <w:rPr/>
        <w:t>that</w:t>
      </w:r>
      <w:r>
        <w:rPr>
          <w:spacing w:val="-2"/>
        </w:rPr>
        <w:t> </w:t>
      </w:r>
      <w:r>
        <w:rPr/>
        <w:t>amount</w:t>
      </w:r>
      <w:r>
        <w:rPr>
          <w:spacing w:val="-2"/>
        </w:rPr>
        <w:t> </w:t>
      </w:r>
      <w:r>
        <w:rPr/>
        <w:t>is</w:t>
      </w:r>
      <w:r>
        <w:rPr>
          <w:spacing w:val="-2"/>
        </w:rPr>
        <w:t> </w:t>
      </w:r>
      <w:r>
        <w:rPr/>
        <w:t>not</w:t>
      </w:r>
      <w:r>
        <w:rPr>
          <w:spacing w:val="-2"/>
        </w:rPr>
        <w:t> </w:t>
      </w:r>
      <w:r>
        <w:rPr/>
        <w:t>already</w:t>
      </w:r>
      <w:r>
        <w:rPr>
          <w:spacing w:val="-2"/>
        </w:rPr>
        <w:t> </w:t>
      </w:r>
      <w:r>
        <w:rPr/>
        <w:t>identified</w:t>
      </w:r>
      <w:r>
        <w:rPr>
          <w:spacing w:val="-2"/>
        </w:rPr>
        <w:t> </w:t>
      </w:r>
      <w:r>
        <w:rPr/>
        <w:t>in</w:t>
      </w:r>
      <w:r>
        <w:rPr>
          <w:spacing w:val="-2"/>
        </w:rPr>
        <w:t> </w:t>
      </w:r>
      <w:r>
        <w:rPr/>
        <w:t>Section</w:t>
      </w:r>
      <w:r>
        <w:rPr>
          <w:spacing w:val="-2"/>
        </w:rPr>
        <w:t> </w:t>
      </w:r>
      <w:r>
        <w:rPr/>
        <w:t>III.C</w:t>
      </w:r>
      <w:r>
        <w:rPr>
          <w:spacing w:val="-3"/>
        </w:rPr>
        <w:t> </w:t>
      </w:r>
      <w:r>
        <w:rPr/>
        <w:t>above,</w:t>
      </w:r>
      <w:r>
        <w:rPr>
          <w:spacing w:val="-2"/>
        </w:rPr>
        <w:t> </w:t>
      </w:r>
      <w:r>
        <w:rPr/>
        <w:t>the</w:t>
      </w:r>
      <w:r>
        <w:rPr>
          <w:spacing w:val="-2"/>
        </w:rPr>
        <w:t> </w:t>
      </w:r>
      <w:r>
        <w:rPr/>
        <w:t>State</w:t>
      </w:r>
      <w:r>
        <w:rPr>
          <w:spacing w:val="-2"/>
        </w:rPr>
        <w:t> </w:t>
      </w:r>
      <w:r>
        <w:rPr/>
        <w:t>must</w:t>
      </w:r>
      <w:r>
        <w:rPr>
          <w:spacing w:val="-2"/>
        </w:rPr>
        <w:t> </w:t>
      </w:r>
      <w:r>
        <w:rPr/>
        <w:t>include</w:t>
      </w:r>
      <w:r>
        <w:rPr>
          <w:spacing w:val="-2"/>
        </w:rPr>
        <w:t> </w:t>
      </w:r>
      <w:r>
        <w:rPr/>
        <w:t>in</w:t>
      </w:r>
      <w:r>
        <w:rPr>
          <w:spacing w:val="-2"/>
        </w:rPr>
        <w:t> </w:t>
      </w:r>
      <w:r>
        <w:rPr/>
        <w:t>this </w:t>
      </w:r>
      <w:r>
        <w:rPr>
          <w:spacing w:val="-2"/>
        </w:rPr>
        <w:t>section:</w:t>
      </w:r>
    </w:p>
    <w:p>
      <w:pPr>
        <w:pStyle w:val="ListParagraph"/>
        <w:numPr>
          <w:ilvl w:val="1"/>
          <w:numId w:val="31"/>
        </w:numPr>
        <w:tabs>
          <w:tab w:pos="1894" w:val="left" w:leader="none"/>
        </w:tabs>
        <w:spacing w:line="240" w:lineRule="auto" w:before="122" w:after="0"/>
        <w:ind w:left="1894" w:right="0" w:hanging="358"/>
        <w:jc w:val="left"/>
        <w:rPr>
          <w:sz w:val="20"/>
        </w:rPr>
      </w:pPr>
      <w:r>
        <w:rPr>
          <w:sz w:val="20"/>
        </w:rPr>
        <w:t>The</w:t>
      </w:r>
      <w:r>
        <w:rPr>
          <w:spacing w:val="-7"/>
          <w:sz w:val="20"/>
        </w:rPr>
        <w:t> </w:t>
      </w:r>
      <w:r>
        <w:rPr>
          <w:sz w:val="20"/>
        </w:rPr>
        <w:t>name</w:t>
      </w:r>
      <w:r>
        <w:rPr>
          <w:spacing w:val="-5"/>
          <w:sz w:val="20"/>
        </w:rPr>
        <w:t> </w:t>
      </w:r>
      <w:r>
        <w:rPr>
          <w:sz w:val="20"/>
        </w:rPr>
        <w:t>of</w:t>
      </w:r>
      <w:r>
        <w:rPr>
          <w:spacing w:val="-5"/>
          <w:sz w:val="20"/>
        </w:rPr>
        <w:t> </w:t>
      </w:r>
      <w:r>
        <w:rPr>
          <w:sz w:val="20"/>
        </w:rPr>
        <w:t>each</w:t>
      </w:r>
      <w:r>
        <w:rPr>
          <w:spacing w:val="-5"/>
          <w:sz w:val="20"/>
        </w:rPr>
        <w:t> </w:t>
      </w:r>
      <w:r>
        <w:rPr>
          <w:sz w:val="20"/>
        </w:rPr>
        <w:t>State</w:t>
      </w:r>
      <w:r>
        <w:rPr>
          <w:spacing w:val="-5"/>
          <w:sz w:val="20"/>
        </w:rPr>
        <w:t> </w:t>
      </w:r>
      <w:r>
        <w:rPr>
          <w:sz w:val="20"/>
        </w:rPr>
        <w:t>public</w:t>
      </w:r>
      <w:r>
        <w:rPr>
          <w:spacing w:val="-5"/>
          <w:sz w:val="20"/>
        </w:rPr>
        <w:t> </w:t>
      </w:r>
      <w:r>
        <w:rPr>
          <w:sz w:val="20"/>
        </w:rPr>
        <w:t>agency</w:t>
      </w:r>
      <w:r>
        <w:rPr>
          <w:spacing w:val="-5"/>
          <w:sz w:val="20"/>
        </w:rPr>
        <w:t> </w:t>
      </w:r>
      <w:r>
        <w:rPr>
          <w:sz w:val="20"/>
        </w:rPr>
        <w:t>expected</w:t>
      </w:r>
      <w:r>
        <w:rPr>
          <w:spacing w:val="-5"/>
          <w:sz w:val="20"/>
        </w:rPr>
        <w:t> </w:t>
      </w:r>
      <w:r>
        <w:rPr>
          <w:sz w:val="20"/>
        </w:rPr>
        <w:t>to</w:t>
      </w:r>
      <w:r>
        <w:rPr>
          <w:spacing w:val="-5"/>
          <w:sz w:val="20"/>
        </w:rPr>
        <w:t> </w:t>
      </w:r>
      <w:r>
        <w:rPr>
          <w:sz w:val="20"/>
        </w:rPr>
        <w:t>receive</w:t>
      </w:r>
      <w:r>
        <w:rPr>
          <w:spacing w:val="-4"/>
          <w:sz w:val="20"/>
        </w:rPr>
        <w:t> </w:t>
      </w:r>
      <w:r>
        <w:rPr>
          <w:spacing w:val="-2"/>
          <w:sz w:val="20"/>
        </w:rPr>
        <w:t>funds;</w:t>
      </w:r>
    </w:p>
    <w:p>
      <w:pPr>
        <w:pStyle w:val="ListParagraph"/>
        <w:numPr>
          <w:ilvl w:val="1"/>
          <w:numId w:val="31"/>
        </w:numPr>
        <w:tabs>
          <w:tab w:pos="1894" w:val="left" w:leader="none"/>
        </w:tabs>
        <w:spacing w:line="240" w:lineRule="auto" w:before="120" w:after="0"/>
        <w:ind w:left="1894" w:right="0" w:hanging="358"/>
        <w:jc w:val="left"/>
        <w:rPr>
          <w:sz w:val="20"/>
        </w:rPr>
      </w:pPr>
      <w:r>
        <w:rPr>
          <w:sz w:val="20"/>
        </w:rPr>
        <w:t>The</w:t>
      </w:r>
      <w:r>
        <w:rPr>
          <w:spacing w:val="-8"/>
          <w:sz w:val="20"/>
        </w:rPr>
        <w:t> </w:t>
      </w:r>
      <w:r>
        <w:rPr>
          <w:sz w:val="20"/>
        </w:rPr>
        <w:t>approximate</w:t>
      </w:r>
      <w:r>
        <w:rPr>
          <w:spacing w:val="-6"/>
          <w:sz w:val="20"/>
        </w:rPr>
        <w:t> </w:t>
      </w:r>
      <w:r>
        <w:rPr>
          <w:sz w:val="20"/>
        </w:rPr>
        <w:t>amount</w:t>
      </w:r>
      <w:r>
        <w:rPr>
          <w:spacing w:val="-6"/>
          <w:sz w:val="20"/>
        </w:rPr>
        <w:t> </w:t>
      </w:r>
      <w:r>
        <w:rPr>
          <w:sz w:val="20"/>
        </w:rPr>
        <w:t>of</w:t>
      </w:r>
      <w:r>
        <w:rPr>
          <w:spacing w:val="-6"/>
          <w:sz w:val="20"/>
        </w:rPr>
        <w:t> </w:t>
      </w:r>
      <w:r>
        <w:rPr>
          <w:sz w:val="20"/>
        </w:rPr>
        <w:t>funds</w:t>
      </w:r>
      <w:r>
        <w:rPr>
          <w:spacing w:val="-6"/>
          <w:sz w:val="20"/>
        </w:rPr>
        <w:t> </w:t>
      </w:r>
      <w:r>
        <w:rPr>
          <w:sz w:val="20"/>
        </w:rPr>
        <w:t>each</w:t>
      </w:r>
      <w:r>
        <w:rPr>
          <w:spacing w:val="-5"/>
          <w:sz w:val="20"/>
        </w:rPr>
        <w:t> </w:t>
      </w:r>
      <w:r>
        <w:rPr>
          <w:sz w:val="20"/>
        </w:rPr>
        <w:t>State</w:t>
      </w:r>
      <w:r>
        <w:rPr>
          <w:spacing w:val="-6"/>
          <w:sz w:val="20"/>
        </w:rPr>
        <w:t> </w:t>
      </w:r>
      <w:r>
        <w:rPr>
          <w:sz w:val="20"/>
        </w:rPr>
        <w:t>public</w:t>
      </w:r>
      <w:r>
        <w:rPr>
          <w:spacing w:val="-6"/>
          <w:sz w:val="20"/>
        </w:rPr>
        <w:t> </w:t>
      </w:r>
      <w:r>
        <w:rPr>
          <w:sz w:val="20"/>
        </w:rPr>
        <w:t>agency</w:t>
      </w:r>
      <w:r>
        <w:rPr>
          <w:spacing w:val="-6"/>
          <w:sz w:val="20"/>
        </w:rPr>
        <w:t> </w:t>
      </w:r>
      <w:r>
        <w:rPr>
          <w:sz w:val="20"/>
        </w:rPr>
        <w:t>will</w:t>
      </w:r>
      <w:r>
        <w:rPr>
          <w:spacing w:val="-6"/>
          <w:sz w:val="20"/>
        </w:rPr>
        <w:t> </w:t>
      </w:r>
      <w:r>
        <w:rPr>
          <w:sz w:val="20"/>
        </w:rPr>
        <w:t>receive;</w:t>
      </w:r>
      <w:r>
        <w:rPr>
          <w:spacing w:val="-5"/>
          <w:sz w:val="20"/>
        </w:rPr>
        <w:t> and</w:t>
      </w:r>
    </w:p>
    <w:p>
      <w:pPr>
        <w:pStyle w:val="ListParagraph"/>
        <w:numPr>
          <w:ilvl w:val="1"/>
          <w:numId w:val="31"/>
        </w:numPr>
        <w:tabs>
          <w:tab w:pos="1894" w:val="left" w:leader="none"/>
        </w:tabs>
        <w:spacing w:line="357" w:lineRule="auto" w:before="119" w:after="8"/>
        <w:ind w:left="1170" w:right="3576" w:firstLine="365"/>
        <w:jc w:val="left"/>
        <w:rPr>
          <w:i/>
          <w:sz w:val="16"/>
        </w:rPr>
      </w:pPr>
      <w:r>
        <w:rPr>
          <w:sz w:val="20"/>
        </w:rPr>
        <w:t>A</w:t>
      </w:r>
      <w:r>
        <w:rPr>
          <w:spacing w:val="-14"/>
          <w:sz w:val="20"/>
        </w:rPr>
        <w:t> </w:t>
      </w:r>
      <w:r>
        <w:rPr>
          <w:sz w:val="20"/>
        </w:rPr>
        <w:t>summary</w:t>
      </w:r>
      <w:r>
        <w:rPr>
          <w:spacing w:val="-4"/>
          <w:sz w:val="20"/>
        </w:rPr>
        <w:t> </w:t>
      </w:r>
      <w:r>
        <w:rPr>
          <w:sz w:val="20"/>
        </w:rPr>
        <w:t>of</w:t>
      </w:r>
      <w:r>
        <w:rPr>
          <w:spacing w:val="-4"/>
          <w:sz w:val="20"/>
        </w:rPr>
        <w:t> </w:t>
      </w:r>
      <w:r>
        <w:rPr>
          <w:sz w:val="20"/>
        </w:rPr>
        <w:t>the</w:t>
      </w:r>
      <w:r>
        <w:rPr>
          <w:spacing w:val="-4"/>
          <w:sz w:val="20"/>
        </w:rPr>
        <w:t> </w:t>
      </w:r>
      <w:r>
        <w:rPr>
          <w:sz w:val="20"/>
        </w:rPr>
        <w:t>purposes</w:t>
      </w:r>
      <w:r>
        <w:rPr>
          <w:spacing w:val="-4"/>
          <w:sz w:val="20"/>
        </w:rPr>
        <w:t> </w:t>
      </w:r>
      <w:r>
        <w:rPr>
          <w:sz w:val="20"/>
        </w:rPr>
        <w:t>for</w:t>
      </w:r>
      <w:r>
        <w:rPr>
          <w:spacing w:val="-4"/>
          <w:sz w:val="20"/>
        </w:rPr>
        <w:t> </w:t>
      </w:r>
      <w:r>
        <w:rPr>
          <w:sz w:val="20"/>
        </w:rPr>
        <w:t>which</w:t>
      </w:r>
      <w:r>
        <w:rPr>
          <w:spacing w:val="-4"/>
          <w:sz w:val="20"/>
        </w:rPr>
        <w:t> </w:t>
      </w:r>
      <w:r>
        <w:rPr>
          <w:sz w:val="20"/>
        </w:rPr>
        <w:t>the</w:t>
      </w:r>
      <w:r>
        <w:rPr>
          <w:spacing w:val="-4"/>
          <w:sz w:val="20"/>
        </w:rPr>
        <w:t> </w:t>
      </w:r>
      <w:r>
        <w:rPr>
          <w:sz w:val="20"/>
        </w:rPr>
        <w:t>funds</w:t>
      </w:r>
      <w:r>
        <w:rPr>
          <w:spacing w:val="-4"/>
          <w:sz w:val="20"/>
        </w:rPr>
        <w:t> </w:t>
      </w:r>
      <w:r>
        <w:rPr>
          <w:sz w:val="20"/>
        </w:rPr>
        <w:t>will</w:t>
      </w:r>
      <w:r>
        <w:rPr>
          <w:spacing w:val="-4"/>
          <w:sz w:val="20"/>
        </w:rPr>
        <w:t> </w:t>
      </w:r>
      <w:r>
        <w:rPr>
          <w:sz w:val="20"/>
        </w:rPr>
        <w:t>be</w:t>
      </w:r>
      <w:r>
        <w:rPr>
          <w:spacing w:val="-4"/>
          <w:sz w:val="20"/>
        </w:rPr>
        <w:t> </w:t>
      </w:r>
      <w:r>
        <w:rPr>
          <w:sz w:val="20"/>
        </w:rPr>
        <w:t>used. Provide subtotal of amount.</w:t>
      </w:r>
      <w:r>
        <w:rPr>
          <w:spacing w:val="40"/>
          <w:sz w:val="20"/>
        </w:rPr>
        <w:t> </w:t>
      </w:r>
      <w:r>
        <w:rPr>
          <w:i/>
          <w:sz w:val="16"/>
        </w:rPr>
        <w:t>(Add rows as needed.)</w:t>
      </w: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2"/>
        <w:gridCol w:w="2016"/>
        <w:gridCol w:w="4322"/>
      </w:tblGrid>
      <w:tr>
        <w:trPr>
          <w:trHeight w:val="699" w:hRule="atLeast"/>
        </w:trPr>
        <w:tc>
          <w:tcPr>
            <w:tcW w:w="3022" w:type="dxa"/>
            <w:tcBorders>
              <w:right w:val="single" w:sz="6" w:space="0" w:color="000000"/>
            </w:tcBorders>
            <w:shd w:val="clear" w:color="auto" w:fill="F2F2F2"/>
          </w:tcPr>
          <w:p>
            <w:pPr>
              <w:pStyle w:val="TableParagraph"/>
              <w:spacing w:before="119"/>
              <w:ind w:left="708" w:right="685" w:firstLine="170"/>
              <w:rPr>
                <w:b/>
                <w:sz w:val="20"/>
              </w:rPr>
            </w:pPr>
            <w:r>
              <w:rPr>
                <w:b/>
                <w:sz w:val="20"/>
              </w:rPr>
              <w:t>State</w:t>
            </w:r>
            <w:r>
              <w:rPr>
                <w:b/>
                <w:spacing w:val="-3"/>
                <w:sz w:val="20"/>
              </w:rPr>
              <w:t> </w:t>
            </w:r>
            <w:r>
              <w:rPr>
                <w:b/>
                <w:sz w:val="20"/>
              </w:rPr>
              <w:t>Agency Receiving</w:t>
            </w:r>
            <w:r>
              <w:rPr>
                <w:b/>
                <w:spacing w:val="-14"/>
                <w:sz w:val="20"/>
              </w:rPr>
              <w:t> </w:t>
            </w:r>
            <w:r>
              <w:rPr>
                <w:b/>
                <w:sz w:val="20"/>
              </w:rPr>
              <w:t>Funds</w:t>
            </w:r>
          </w:p>
        </w:tc>
        <w:tc>
          <w:tcPr>
            <w:tcW w:w="2016" w:type="dxa"/>
            <w:tcBorders>
              <w:left w:val="single" w:sz="6" w:space="0" w:color="000000"/>
              <w:right w:val="single" w:sz="6" w:space="0" w:color="000000"/>
            </w:tcBorders>
            <w:shd w:val="clear" w:color="auto" w:fill="F2F2F2"/>
          </w:tcPr>
          <w:p>
            <w:pPr>
              <w:pStyle w:val="TableParagraph"/>
              <w:spacing w:before="119"/>
              <w:rPr>
                <w:i/>
                <w:sz w:val="20"/>
              </w:rPr>
            </w:pPr>
          </w:p>
          <w:p>
            <w:pPr>
              <w:pStyle w:val="TableParagraph"/>
              <w:ind w:left="191"/>
              <w:rPr>
                <w:b/>
                <w:sz w:val="20"/>
              </w:rPr>
            </w:pPr>
            <w:r>
              <w:rPr>
                <w:b/>
                <w:sz w:val="20"/>
              </w:rPr>
              <w:t>Amount</w:t>
            </w:r>
            <w:r>
              <w:rPr>
                <w:b/>
                <w:spacing w:val="-5"/>
                <w:sz w:val="20"/>
              </w:rPr>
              <w:t> </w:t>
            </w:r>
            <w:r>
              <w:rPr>
                <w:b/>
                <w:sz w:val="20"/>
              </w:rPr>
              <w:t>of</w:t>
            </w:r>
            <w:r>
              <w:rPr>
                <w:b/>
                <w:spacing w:val="-5"/>
                <w:sz w:val="20"/>
              </w:rPr>
              <w:t> </w:t>
            </w:r>
            <w:r>
              <w:rPr>
                <w:b/>
                <w:spacing w:val="-2"/>
                <w:sz w:val="20"/>
              </w:rPr>
              <w:t>Funds</w:t>
            </w:r>
          </w:p>
        </w:tc>
        <w:tc>
          <w:tcPr>
            <w:tcW w:w="4322" w:type="dxa"/>
            <w:tcBorders>
              <w:left w:val="single" w:sz="6" w:space="0" w:color="000000"/>
            </w:tcBorders>
            <w:shd w:val="clear" w:color="auto" w:fill="F2F2F2"/>
          </w:tcPr>
          <w:p>
            <w:pPr>
              <w:pStyle w:val="TableParagraph"/>
              <w:spacing w:before="119"/>
              <w:rPr>
                <w:i/>
                <w:sz w:val="20"/>
              </w:rPr>
            </w:pPr>
          </w:p>
          <w:p>
            <w:pPr>
              <w:pStyle w:val="TableParagraph"/>
              <w:ind w:left="43"/>
              <w:jc w:val="center"/>
              <w:rPr>
                <w:b/>
                <w:sz w:val="20"/>
              </w:rPr>
            </w:pPr>
            <w:r>
              <w:rPr>
                <w:b/>
                <w:spacing w:val="-2"/>
                <w:sz w:val="20"/>
              </w:rPr>
              <w:t>Purpose</w:t>
            </w:r>
          </w:p>
        </w:tc>
      </w:tr>
      <w:tr>
        <w:trPr>
          <w:trHeight w:val="2077" w:hRule="atLeast"/>
        </w:trPr>
        <w:tc>
          <w:tcPr>
            <w:tcW w:w="3022" w:type="dxa"/>
            <w:tcBorders>
              <w:bottom w:val="single" w:sz="6" w:space="0" w:color="000000"/>
              <w:right w:val="single" w:sz="6" w:space="0" w:color="000000"/>
            </w:tcBorders>
          </w:tcPr>
          <w:p>
            <w:pPr>
              <w:pStyle w:val="TableParagraph"/>
              <w:spacing w:before="119"/>
              <w:ind w:left="105"/>
              <w:rPr>
                <w:sz w:val="20"/>
              </w:rPr>
            </w:pPr>
            <w:r>
              <w:rPr>
                <w:sz w:val="20"/>
              </w:rPr>
              <w:t>Division</w:t>
            </w:r>
            <w:r>
              <w:rPr>
                <w:spacing w:val="-14"/>
                <w:sz w:val="20"/>
              </w:rPr>
              <w:t> </w:t>
            </w:r>
            <w:r>
              <w:rPr>
                <w:sz w:val="20"/>
              </w:rPr>
              <w:t>of</w:t>
            </w:r>
            <w:r>
              <w:rPr>
                <w:spacing w:val="-14"/>
                <w:sz w:val="20"/>
              </w:rPr>
              <w:t> </w:t>
            </w:r>
            <w:r>
              <w:rPr>
                <w:sz w:val="20"/>
              </w:rPr>
              <w:t>Administrative</w:t>
            </w:r>
            <w:r>
              <w:rPr>
                <w:spacing w:val="-14"/>
                <w:sz w:val="20"/>
              </w:rPr>
              <w:t> </w:t>
            </w:r>
            <w:r>
              <w:rPr>
                <w:sz w:val="20"/>
              </w:rPr>
              <w:t>Law </w:t>
            </w:r>
            <w:r>
              <w:rPr>
                <w:spacing w:val="-2"/>
                <w:sz w:val="20"/>
              </w:rPr>
              <w:t>Appeals</w:t>
            </w:r>
          </w:p>
        </w:tc>
        <w:tc>
          <w:tcPr>
            <w:tcW w:w="2016" w:type="dxa"/>
            <w:tcBorders>
              <w:left w:val="single" w:sz="6" w:space="0" w:color="000000"/>
              <w:bottom w:val="single" w:sz="6" w:space="0" w:color="000000"/>
              <w:right w:val="single" w:sz="6" w:space="0" w:color="000000"/>
            </w:tcBorders>
          </w:tcPr>
          <w:p>
            <w:pPr>
              <w:pStyle w:val="TableParagraph"/>
              <w:spacing w:before="119"/>
              <w:ind w:left="119"/>
              <w:rPr>
                <w:sz w:val="20"/>
              </w:rPr>
            </w:pPr>
            <w:r>
              <w:rPr>
                <w:spacing w:val="-2"/>
                <w:sz w:val="20"/>
              </w:rPr>
              <w:t>22,000</w:t>
            </w:r>
          </w:p>
        </w:tc>
        <w:tc>
          <w:tcPr>
            <w:tcW w:w="4322" w:type="dxa"/>
            <w:tcBorders>
              <w:left w:val="single" w:sz="6" w:space="0" w:color="000000"/>
              <w:bottom w:val="single" w:sz="6" w:space="0" w:color="000000"/>
            </w:tcBorders>
          </w:tcPr>
          <w:p>
            <w:pPr>
              <w:pStyle w:val="TableParagraph"/>
              <w:spacing w:before="119"/>
              <w:ind w:left="119" w:right="145"/>
              <w:rPr>
                <w:sz w:val="20"/>
              </w:rPr>
            </w:pPr>
            <w:r>
              <w:rPr>
                <w:sz w:val="20"/>
              </w:rPr>
              <w:t>The</w:t>
            </w:r>
            <w:r>
              <w:rPr>
                <w:spacing w:val="-12"/>
                <w:sz w:val="20"/>
              </w:rPr>
              <w:t> </w:t>
            </w:r>
            <w:r>
              <w:rPr>
                <w:sz w:val="20"/>
              </w:rPr>
              <w:t>Division</w:t>
            </w:r>
            <w:r>
              <w:rPr>
                <w:spacing w:val="-7"/>
                <w:sz w:val="20"/>
              </w:rPr>
              <w:t> </w:t>
            </w:r>
            <w:r>
              <w:rPr>
                <w:sz w:val="20"/>
              </w:rPr>
              <w:t>of</w:t>
            </w:r>
            <w:r>
              <w:rPr>
                <w:spacing w:val="-14"/>
                <w:sz w:val="20"/>
              </w:rPr>
              <w:t> </w:t>
            </w:r>
            <w:r>
              <w:rPr>
                <w:sz w:val="20"/>
              </w:rPr>
              <w:t>Administrative</w:t>
            </w:r>
            <w:r>
              <w:rPr>
                <w:spacing w:val="-7"/>
                <w:sz w:val="20"/>
              </w:rPr>
              <w:t> </w:t>
            </w:r>
            <w:r>
              <w:rPr>
                <w:sz w:val="20"/>
              </w:rPr>
              <w:t>Law</w:t>
            </w:r>
            <w:r>
              <w:rPr>
                <w:spacing w:val="-14"/>
                <w:sz w:val="20"/>
              </w:rPr>
              <w:t> </w:t>
            </w:r>
            <w:r>
              <w:rPr>
                <w:sz w:val="20"/>
              </w:rPr>
              <w:t>Appeals</w:t>
            </w:r>
            <w:r>
              <w:rPr>
                <w:spacing w:val="-7"/>
                <w:sz w:val="20"/>
              </w:rPr>
              <w:t> </w:t>
            </w:r>
            <w:r>
              <w:rPr>
                <w:sz w:val="20"/>
              </w:rPr>
              <w:t>is in the Executive Office of Administration &amp; Finance (i.e., DALA is not part of the Lead Agency). These funds are provided to DALA from the Lead</w:t>
            </w:r>
            <w:r>
              <w:rPr>
                <w:spacing w:val="-2"/>
                <w:sz w:val="20"/>
              </w:rPr>
              <w:t> </w:t>
            </w:r>
            <w:r>
              <w:rPr>
                <w:sz w:val="20"/>
              </w:rPr>
              <w:t>Agency and are a retainer for qualified individuals to serve as hearing officers to perform due process hearings and provide mediation services.</w:t>
            </w:r>
          </w:p>
        </w:tc>
      </w:tr>
      <w:tr>
        <w:trPr>
          <w:trHeight w:val="1851" w:hRule="atLeast"/>
        </w:trPr>
        <w:tc>
          <w:tcPr>
            <w:tcW w:w="3022" w:type="dxa"/>
            <w:tcBorders>
              <w:top w:val="single" w:sz="6" w:space="0" w:color="000000"/>
              <w:right w:val="single" w:sz="6" w:space="0" w:color="000000"/>
            </w:tcBorders>
          </w:tcPr>
          <w:p>
            <w:pPr>
              <w:pStyle w:val="TableParagraph"/>
              <w:spacing w:before="119"/>
              <w:ind w:left="105"/>
              <w:rPr>
                <w:sz w:val="20"/>
              </w:rPr>
            </w:pPr>
            <w:r>
              <w:rPr>
                <w:sz w:val="20"/>
              </w:rPr>
              <w:t>Department</w:t>
            </w:r>
            <w:r>
              <w:rPr>
                <w:spacing w:val="-13"/>
                <w:sz w:val="20"/>
              </w:rPr>
              <w:t> </w:t>
            </w:r>
            <w:r>
              <w:rPr>
                <w:sz w:val="20"/>
              </w:rPr>
              <w:t>of</w:t>
            </w:r>
            <w:r>
              <w:rPr>
                <w:spacing w:val="-13"/>
                <w:sz w:val="20"/>
              </w:rPr>
              <w:t> </w:t>
            </w:r>
            <w:r>
              <w:rPr>
                <w:sz w:val="20"/>
              </w:rPr>
              <w:t>Elementary</w:t>
            </w:r>
            <w:r>
              <w:rPr>
                <w:spacing w:val="-13"/>
                <w:sz w:val="20"/>
              </w:rPr>
              <w:t> </w:t>
            </w:r>
            <w:r>
              <w:rPr>
                <w:sz w:val="20"/>
              </w:rPr>
              <w:t>and Secondary Education</w:t>
            </w:r>
          </w:p>
        </w:tc>
        <w:tc>
          <w:tcPr>
            <w:tcW w:w="2016" w:type="dxa"/>
            <w:tcBorders>
              <w:top w:val="single" w:sz="6" w:space="0" w:color="000000"/>
              <w:left w:val="single" w:sz="6" w:space="0" w:color="000000"/>
              <w:right w:val="single" w:sz="6" w:space="0" w:color="000000"/>
            </w:tcBorders>
          </w:tcPr>
          <w:p>
            <w:pPr>
              <w:pStyle w:val="TableParagraph"/>
              <w:spacing w:before="119"/>
              <w:ind w:left="119"/>
              <w:rPr>
                <w:sz w:val="20"/>
              </w:rPr>
            </w:pPr>
            <w:r>
              <w:rPr>
                <w:spacing w:val="-2"/>
                <w:sz w:val="20"/>
              </w:rPr>
              <w:t>155,000</w:t>
            </w:r>
          </w:p>
        </w:tc>
        <w:tc>
          <w:tcPr>
            <w:tcW w:w="4322" w:type="dxa"/>
            <w:tcBorders>
              <w:top w:val="single" w:sz="6" w:space="0" w:color="000000"/>
              <w:left w:val="single" w:sz="6" w:space="0" w:color="000000"/>
            </w:tcBorders>
          </w:tcPr>
          <w:p>
            <w:pPr>
              <w:pStyle w:val="TableParagraph"/>
              <w:spacing w:before="119"/>
              <w:ind w:left="119" w:right="145"/>
              <w:rPr>
                <w:sz w:val="20"/>
              </w:rPr>
            </w:pPr>
            <w:r>
              <w:rPr>
                <w:sz w:val="20"/>
              </w:rPr>
              <w:t>The Department of Elementary and Secondary Education is in the Executive Office of Education (i.e., DESE is not part of the Lead</w:t>
            </w:r>
            <w:r>
              <w:rPr>
                <w:spacing w:val="-9"/>
                <w:sz w:val="20"/>
              </w:rPr>
              <w:t> </w:t>
            </w:r>
            <w:r>
              <w:rPr>
                <w:sz w:val="20"/>
              </w:rPr>
              <w:t>Agency).</w:t>
            </w:r>
            <w:r>
              <w:rPr>
                <w:spacing w:val="-1"/>
                <w:sz w:val="20"/>
              </w:rPr>
              <w:t> </w:t>
            </w:r>
            <w:r>
              <w:rPr>
                <w:sz w:val="20"/>
              </w:rPr>
              <w:t>These funds are provided to</w:t>
            </w:r>
            <w:r>
              <w:rPr>
                <w:spacing w:val="-7"/>
                <w:sz w:val="20"/>
              </w:rPr>
              <w:t> </w:t>
            </w:r>
            <w:r>
              <w:rPr>
                <w:sz w:val="20"/>
              </w:rPr>
              <w:t>DESE</w:t>
            </w:r>
            <w:r>
              <w:rPr>
                <w:spacing w:val="-6"/>
                <w:sz w:val="20"/>
              </w:rPr>
              <w:t> </w:t>
            </w:r>
            <w:r>
              <w:rPr>
                <w:sz w:val="20"/>
              </w:rPr>
              <w:t>from</w:t>
            </w:r>
            <w:r>
              <w:rPr>
                <w:spacing w:val="-6"/>
                <w:sz w:val="20"/>
              </w:rPr>
              <w:t> </w:t>
            </w:r>
            <w:r>
              <w:rPr>
                <w:sz w:val="20"/>
              </w:rPr>
              <w:t>the</w:t>
            </w:r>
            <w:r>
              <w:rPr>
                <w:spacing w:val="-5"/>
                <w:sz w:val="20"/>
              </w:rPr>
              <w:t> </w:t>
            </w:r>
            <w:r>
              <w:rPr>
                <w:sz w:val="20"/>
              </w:rPr>
              <w:t>Lead</w:t>
            </w:r>
            <w:r>
              <w:rPr>
                <w:spacing w:val="-14"/>
                <w:sz w:val="20"/>
              </w:rPr>
              <w:t> </w:t>
            </w:r>
            <w:r>
              <w:rPr>
                <w:sz w:val="20"/>
              </w:rPr>
              <w:t>Agency</w:t>
            </w:r>
            <w:r>
              <w:rPr>
                <w:spacing w:val="-5"/>
                <w:sz w:val="20"/>
              </w:rPr>
              <w:t> </w:t>
            </w:r>
            <w:r>
              <w:rPr>
                <w:sz w:val="20"/>
              </w:rPr>
              <w:t>and</w:t>
            </w:r>
            <w:r>
              <w:rPr>
                <w:spacing w:val="-5"/>
                <w:sz w:val="20"/>
              </w:rPr>
              <w:t> </w:t>
            </w:r>
            <w:r>
              <w:rPr>
                <w:sz w:val="20"/>
              </w:rPr>
              <w:t>are</w:t>
            </w:r>
            <w:r>
              <w:rPr>
                <w:spacing w:val="-5"/>
                <w:sz w:val="20"/>
              </w:rPr>
              <w:t> </w:t>
            </w:r>
            <w:r>
              <w:rPr>
                <w:sz w:val="20"/>
              </w:rPr>
              <w:t>used to fund statewide efforts to improve the transition from Part C to Part B programs.</w:t>
            </w:r>
          </w:p>
        </w:tc>
      </w:tr>
      <w:tr>
        <w:trPr>
          <w:trHeight w:val="469" w:hRule="atLeast"/>
        </w:trPr>
        <w:tc>
          <w:tcPr>
            <w:tcW w:w="3022" w:type="dxa"/>
            <w:tcBorders>
              <w:right w:val="single" w:sz="6" w:space="0" w:color="000000"/>
            </w:tcBorders>
            <w:shd w:val="clear" w:color="auto" w:fill="F2F2F2"/>
          </w:tcPr>
          <w:p>
            <w:pPr>
              <w:pStyle w:val="TableParagraph"/>
              <w:spacing w:before="119"/>
              <w:ind w:left="105"/>
              <w:rPr>
                <w:b/>
                <w:sz w:val="20"/>
              </w:rPr>
            </w:pPr>
            <w:r>
              <w:rPr>
                <w:b/>
                <w:sz w:val="20"/>
              </w:rPr>
              <w:t>Subtotal</w:t>
            </w:r>
            <w:r>
              <w:rPr>
                <w:b/>
                <w:spacing w:val="-9"/>
                <w:sz w:val="20"/>
              </w:rPr>
              <w:t> </w:t>
            </w:r>
            <w:r>
              <w:rPr>
                <w:b/>
                <w:sz w:val="20"/>
              </w:rPr>
              <w:t>of</w:t>
            </w:r>
            <w:r>
              <w:rPr>
                <w:b/>
                <w:spacing w:val="-8"/>
                <w:sz w:val="20"/>
              </w:rPr>
              <w:t> </w:t>
            </w:r>
            <w:r>
              <w:rPr>
                <w:b/>
                <w:sz w:val="20"/>
              </w:rPr>
              <w:t>amount</w:t>
            </w:r>
            <w:r>
              <w:rPr>
                <w:b/>
                <w:spacing w:val="-8"/>
                <w:sz w:val="20"/>
              </w:rPr>
              <w:t> </w:t>
            </w:r>
            <w:r>
              <w:rPr>
                <w:b/>
                <w:sz w:val="20"/>
              </w:rPr>
              <w:t>under</w:t>
            </w:r>
            <w:r>
              <w:rPr>
                <w:b/>
                <w:spacing w:val="-8"/>
                <w:sz w:val="20"/>
              </w:rPr>
              <w:t> </w:t>
            </w:r>
            <w:r>
              <w:rPr>
                <w:b/>
                <w:spacing w:val="-5"/>
                <w:sz w:val="20"/>
              </w:rPr>
              <w:t>D:</w:t>
            </w:r>
          </w:p>
        </w:tc>
        <w:tc>
          <w:tcPr>
            <w:tcW w:w="2016" w:type="dxa"/>
            <w:tcBorders>
              <w:left w:val="single" w:sz="6" w:space="0" w:color="000000"/>
              <w:right w:val="single" w:sz="6" w:space="0" w:color="000000"/>
            </w:tcBorders>
          </w:tcPr>
          <w:p>
            <w:pPr>
              <w:pStyle w:val="TableParagraph"/>
              <w:spacing w:before="119"/>
              <w:ind w:left="119"/>
              <w:rPr>
                <w:sz w:val="20"/>
              </w:rPr>
            </w:pPr>
            <w:r>
              <w:rPr>
                <w:spacing w:val="-2"/>
                <w:sz w:val="20"/>
              </w:rPr>
              <w:t>$177,000</w:t>
            </w:r>
          </w:p>
        </w:tc>
        <w:tc>
          <w:tcPr>
            <w:tcW w:w="4322" w:type="dxa"/>
            <w:tcBorders>
              <w:left w:val="single" w:sz="6" w:space="0" w:color="000000"/>
            </w:tcBorders>
            <w:shd w:val="clear" w:color="auto" w:fill="808080"/>
          </w:tcPr>
          <w:p>
            <w:pPr>
              <w:pStyle w:val="TableParagraph"/>
              <w:rPr>
                <w:rFonts w:ascii="Times New Roman"/>
                <w:sz w:val="18"/>
              </w:rPr>
            </w:pPr>
          </w:p>
        </w:tc>
      </w:tr>
    </w:tbl>
    <w:p>
      <w:pPr>
        <w:pStyle w:val="TableParagraph"/>
        <w:spacing w:after="0"/>
        <w:rPr>
          <w:rFonts w:ascii="Times New Roman"/>
          <w:sz w:val="18"/>
        </w:rPr>
        <w:sectPr>
          <w:pgSz w:w="12240" w:h="15840"/>
          <w:pgMar w:header="0" w:footer="879" w:top="1380" w:bottom="1060" w:left="720" w:right="720"/>
        </w:sectPr>
      </w:pPr>
    </w:p>
    <w:p>
      <w:pPr>
        <w:pStyle w:val="Heading1"/>
        <w:numPr>
          <w:ilvl w:val="0"/>
          <w:numId w:val="31"/>
        </w:numPr>
        <w:tabs>
          <w:tab w:pos="1052" w:val="left" w:leader="none"/>
        </w:tabs>
        <w:spacing w:line="240" w:lineRule="auto" w:before="85" w:after="0"/>
        <w:ind w:left="1052" w:right="0" w:hanging="328"/>
        <w:jc w:val="left"/>
      </w:pPr>
      <w:r>
        <w:rPr/>
        <w:t>Description</w:t>
      </w:r>
      <w:r>
        <w:rPr>
          <w:spacing w:val="-7"/>
        </w:rPr>
        <w:t> </w:t>
      </w:r>
      <w:r>
        <w:rPr/>
        <w:t>of</w:t>
      </w:r>
      <w:r>
        <w:rPr>
          <w:spacing w:val="-4"/>
        </w:rPr>
        <w:t> </w:t>
      </w:r>
      <w:r>
        <w:rPr/>
        <w:t>Optional</w:t>
      </w:r>
      <w:r>
        <w:rPr>
          <w:spacing w:val="-5"/>
        </w:rPr>
        <w:t> </w:t>
      </w:r>
      <w:r>
        <w:rPr/>
        <w:t>Use</w:t>
      </w:r>
      <w:r>
        <w:rPr>
          <w:spacing w:val="-4"/>
        </w:rPr>
        <w:t> </w:t>
      </w:r>
      <w:r>
        <w:rPr/>
        <w:t>of</w:t>
      </w:r>
      <w:r>
        <w:rPr>
          <w:spacing w:val="-5"/>
        </w:rPr>
        <w:t> </w:t>
      </w:r>
      <w:r>
        <w:rPr/>
        <w:t>IDEA</w:t>
      </w:r>
      <w:r>
        <w:rPr>
          <w:spacing w:val="-12"/>
        </w:rPr>
        <w:t> </w:t>
      </w:r>
      <w:r>
        <w:rPr/>
        <w:t>Part</w:t>
      </w:r>
      <w:r>
        <w:rPr>
          <w:spacing w:val="-4"/>
        </w:rPr>
        <w:t> </w:t>
      </w:r>
      <w:r>
        <w:rPr/>
        <w:t>C</w:t>
      </w:r>
      <w:r>
        <w:rPr>
          <w:spacing w:val="-4"/>
        </w:rPr>
        <w:t> </w:t>
      </w:r>
      <w:r>
        <w:rPr>
          <w:spacing w:val="-2"/>
        </w:rPr>
        <w:t>Funds</w:t>
      </w:r>
      <w:r>
        <w:rPr>
          <w:spacing w:val="-2"/>
          <w:vertAlign w:val="superscript"/>
        </w:rPr>
        <w:t>5</w:t>
      </w:r>
    </w:p>
    <w:p>
      <w:pPr>
        <w:pStyle w:val="BodyText"/>
        <w:spacing w:before="241"/>
        <w:ind w:left="724"/>
      </w:pPr>
      <w:r>
        <w:rPr/>
        <w:t>In</w:t>
      </w:r>
      <w:r>
        <w:rPr>
          <w:spacing w:val="-3"/>
        </w:rPr>
        <w:t> </w:t>
      </w:r>
      <w:r>
        <w:rPr/>
        <w:t>addition</w:t>
      </w:r>
      <w:r>
        <w:rPr>
          <w:spacing w:val="-3"/>
        </w:rPr>
        <w:t> </w:t>
      </w:r>
      <w:r>
        <w:rPr/>
        <w:t>to</w:t>
      </w:r>
      <w:r>
        <w:rPr>
          <w:spacing w:val="-3"/>
        </w:rPr>
        <w:t> </w:t>
      </w:r>
      <w:r>
        <w:rPr/>
        <w:t>using</w:t>
      </w:r>
      <w:r>
        <w:rPr>
          <w:spacing w:val="-3"/>
        </w:rPr>
        <w:t> </w:t>
      </w:r>
      <w:r>
        <w:rPr/>
        <w:t>Federal</w:t>
      </w:r>
      <w:r>
        <w:rPr>
          <w:spacing w:val="-3"/>
        </w:rPr>
        <w:t> </w:t>
      </w:r>
      <w:r>
        <w:rPr/>
        <w:t>IDEA</w:t>
      </w:r>
      <w:r>
        <w:rPr>
          <w:spacing w:val="-14"/>
        </w:rPr>
        <w:t> </w:t>
      </w:r>
      <w:r>
        <w:rPr/>
        <w:t>Part</w:t>
      </w:r>
      <w:r>
        <w:rPr>
          <w:spacing w:val="-2"/>
        </w:rPr>
        <w:t> </w:t>
      </w:r>
      <w:r>
        <w:rPr/>
        <w:t>C</w:t>
      </w:r>
      <w:r>
        <w:rPr>
          <w:spacing w:val="-4"/>
        </w:rPr>
        <w:t> </w:t>
      </w:r>
      <w:r>
        <w:rPr/>
        <w:t>funds</w:t>
      </w:r>
      <w:r>
        <w:rPr>
          <w:spacing w:val="-3"/>
        </w:rPr>
        <w:t> </w:t>
      </w:r>
      <w:r>
        <w:rPr/>
        <w:t>to</w:t>
      </w:r>
      <w:r>
        <w:rPr>
          <w:spacing w:val="-3"/>
        </w:rPr>
        <w:t> </w:t>
      </w:r>
      <w:r>
        <w:rPr/>
        <w:t>maintain</w:t>
      </w:r>
      <w:r>
        <w:rPr>
          <w:spacing w:val="-3"/>
        </w:rPr>
        <w:t> </w:t>
      </w:r>
      <w:r>
        <w:rPr/>
        <w:t>and</w:t>
      </w:r>
      <w:r>
        <w:rPr>
          <w:spacing w:val="-2"/>
        </w:rPr>
        <w:t> </w:t>
      </w:r>
      <w:r>
        <w:rPr/>
        <w:t>implement</w:t>
      </w:r>
      <w:r>
        <w:rPr>
          <w:spacing w:val="-3"/>
        </w:rPr>
        <w:t> </w:t>
      </w:r>
      <w:r>
        <w:rPr/>
        <w:t>the</w:t>
      </w:r>
      <w:r>
        <w:rPr>
          <w:spacing w:val="-3"/>
        </w:rPr>
        <w:t> </w:t>
      </w:r>
      <w:r>
        <w:rPr/>
        <w:t>statewide</w:t>
      </w:r>
      <w:r>
        <w:rPr>
          <w:spacing w:val="-3"/>
        </w:rPr>
        <w:t> </w:t>
      </w:r>
      <w:r>
        <w:rPr/>
        <w:t>system</w:t>
      </w:r>
      <w:r>
        <w:rPr>
          <w:spacing w:val="-4"/>
        </w:rPr>
        <w:t> </w:t>
      </w:r>
      <w:r>
        <w:rPr/>
        <w:t>of</w:t>
      </w:r>
      <w:r>
        <w:rPr>
          <w:spacing w:val="-3"/>
        </w:rPr>
        <w:t> </w:t>
      </w:r>
      <w:r>
        <w:rPr/>
        <w:t>early intervention, States may use funds for:</w:t>
      </w:r>
    </w:p>
    <w:p>
      <w:pPr>
        <w:pStyle w:val="ListParagraph"/>
        <w:numPr>
          <w:ilvl w:val="1"/>
          <w:numId w:val="31"/>
        </w:numPr>
        <w:tabs>
          <w:tab w:pos="1444" w:val="left" w:leader="none"/>
        </w:tabs>
        <w:spacing w:line="240" w:lineRule="auto" w:before="117" w:after="0"/>
        <w:ind w:left="1444" w:right="747" w:hanging="360"/>
        <w:jc w:val="left"/>
        <w:rPr>
          <w:sz w:val="20"/>
        </w:rPr>
      </w:pPr>
      <w:r>
        <w:rPr>
          <w:sz w:val="20"/>
        </w:rPr>
        <w:t>expanding</w:t>
      </w:r>
      <w:r>
        <w:rPr>
          <w:spacing w:val="-3"/>
          <w:sz w:val="20"/>
        </w:rPr>
        <w:t> </w:t>
      </w:r>
      <w:r>
        <w:rPr>
          <w:sz w:val="20"/>
        </w:rPr>
        <w:t>and</w:t>
      </w:r>
      <w:r>
        <w:rPr>
          <w:spacing w:val="-3"/>
          <w:sz w:val="20"/>
        </w:rPr>
        <w:t> </w:t>
      </w:r>
      <w:r>
        <w:rPr>
          <w:sz w:val="20"/>
        </w:rPr>
        <w:t>improving</w:t>
      </w:r>
      <w:r>
        <w:rPr>
          <w:spacing w:val="-3"/>
          <w:sz w:val="20"/>
        </w:rPr>
        <w:t> </w:t>
      </w:r>
      <w:r>
        <w:rPr>
          <w:sz w:val="20"/>
        </w:rPr>
        <w:t>on</w:t>
      </w:r>
      <w:r>
        <w:rPr>
          <w:spacing w:val="-3"/>
          <w:sz w:val="20"/>
        </w:rPr>
        <w:t> </w:t>
      </w:r>
      <w:r>
        <w:rPr>
          <w:sz w:val="20"/>
        </w:rPr>
        <w:t>services</w:t>
      </w:r>
      <w:r>
        <w:rPr>
          <w:spacing w:val="-3"/>
          <w:sz w:val="20"/>
        </w:rPr>
        <w:t> </w:t>
      </w:r>
      <w:r>
        <w:rPr>
          <w:sz w:val="20"/>
        </w:rPr>
        <w:t>for</w:t>
      </w:r>
      <w:r>
        <w:rPr>
          <w:spacing w:val="-3"/>
          <w:sz w:val="20"/>
        </w:rPr>
        <w:t> </w:t>
      </w:r>
      <w:r>
        <w:rPr>
          <w:sz w:val="20"/>
        </w:rPr>
        <w:t>infants</w:t>
      </w:r>
      <w:r>
        <w:rPr>
          <w:spacing w:val="-3"/>
          <w:sz w:val="20"/>
        </w:rPr>
        <w:t> </w:t>
      </w:r>
      <w:r>
        <w:rPr>
          <w:sz w:val="20"/>
        </w:rPr>
        <w:t>and</w:t>
      </w:r>
      <w:r>
        <w:rPr>
          <w:spacing w:val="-3"/>
          <w:sz w:val="20"/>
        </w:rPr>
        <w:t> </w:t>
      </w:r>
      <w:r>
        <w:rPr>
          <w:sz w:val="20"/>
        </w:rPr>
        <w:t>toddlers</w:t>
      </w:r>
      <w:r>
        <w:rPr>
          <w:spacing w:val="-3"/>
          <w:sz w:val="20"/>
        </w:rPr>
        <w:t> </w:t>
      </w:r>
      <w:r>
        <w:rPr>
          <w:sz w:val="20"/>
        </w:rPr>
        <w:t>and</w:t>
      </w:r>
      <w:r>
        <w:rPr>
          <w:spacing w:val="-3"/>
          <w:sz w:val="20"/>
        </w:rPr>
        <w:t> </w:t>
      </w:r>
      <w:r>
        <w:rPr>
          <w:sz w:val="20"/>
        </w:rPr>
        <w:t>their</w:t>
      </w:r>
      <w:r>
        <w:rPr>
          <w:spacing w:val="-3"/>
          <w:sz w:val="20"/>
        </w:rPr>
        <w:t> </w:t>
      </w:r>
      <w:r>
        <w:rPr>
          <w:sz w:val="20"/>
        </w:rPr>
        <w:t>families</w:t>
      </w:r>
      <w:r>
        <w:rPr>
          <w:spacing w:val="-3"/>
          <w:sz w:val="20"/>
        </w:rPr>
        <w:t> </w:t>
      </w:r>
      <w:r>
        <w:rPr>
          <w:sz w:val="20"/>
        </w:rPr>
        <w:t>that</w:t>
      </w:r>
      <w:r>
        <w:rPr>
          <w:spacing w:val="-3"/>
          <w:sz w:val="20"/>
        </w:rPr>
        <w:t> </w:t>
      </w:r>
      <w:r>
        <w:rPr>
          <w:sz w:val="20"/>
        </w:rPr>
        <w:t>are</w:t>
      </w:r>
      <w:r>
        <w:rPr>
          <w:spacing w:val="-3"/>
          <w:sz w:val="20"/>
        </w:rPr>
        <w:t> </w:t>
      </w:r>
      <w:r>
        <w:rPr>
          <w:sz w:val="20"/>
        </w:rPr>
        <w:t>otherwise available; and</w:t>
      </w:r>
    </w:p>
    <w:p>
      <w:pPr>
        <w:pStyle w:val="ListParagraph"/>
        <w:numPr>
          <w:ilvl w:val="1"/>
          <w:numId w:val="31"/>
        </w:numPr>
        <w:tabs>
          <w:tab w:pos="1444" w:val="left" w:leader="none"/>
        </w:tabs>
        <w:spacing w:line="240" w:lineRule="auto" w:before="120" w:after="0"/>
        <w:ind w:left="1444" w:right="1085" w:hanging="360"/>
        <w:jc w:val="left"/>
        <w:rPr>
          <w:sz w:val="20"/>
        </w:rPr>
      </w:pPr>
      <w:r>
        <w:rPr>
          <w:sz w:val="20"/>
        </w:rPr>
        <w:t>initiating,</w:t>
      </w:r>
      <w:r>
        <w:rPr>
          <w:spacing w:val="-4"/>
          <w:sz w:val="20"/>
        </w:rPr>
        <w:t> </w:t>
      </w:r>
      <w:r>
        <w:rPr>
          <w:sz w:val="20"/>
        </w:rPr>
        <w:t>expanding,</w:t>
      </w:r>
      <w:r>
        <w:rPr>
          <w:spacing w:val="-4"/>
          <w:sz w:val="20"/>
        </w:rPr>
        <w:t> </w:t>
      </w:r>
      <w:r>
        <w:rPr>
          <w:sz w:val="20"/>
        </w:rPr>
        <w:t>or</w:t>
      </w:r>
      <w:r>
        <w:rPr>
          <w:spacing w:val="-4"/>
          <w:sz w:val="20"/>
        </w:rPr>
        <w:t> </w:t>
      </w:r>
      <w:r>
        <w:rPr>
          <w:sz w:val="20"/>
        </w:rPr>
        <w:t>improving</w:t>
      </w:r>
      <w:r>
        <w:rPr>
          <w:spacing w:val="-4"/>
          <w:sz w:val="20"/>
        </w:rPr>
        <w:t> </w:t>
      </w:r>
      <w:r>
        <w:rPr>
          <w:sz w:val="20"/>
        </w:rPr>
        <w:t>collaborative</w:t>
      </w:r>
      <w:r>
        <w:rPr>
          <w:spacing w:val="-4"/>
          <w:sz w:val="20"/>
        </w:rPr>
        <w:t> </w:t>
      </w:r>
      <w:r>
        <w:rPr>
          <w:sz w:val="20"/>
        </w:rPr>
        <w:t>efforts</w:t>
      </w:r>
      <w:r>
        <w:rPr>
          <w:spacing w:val="-4"/>
          <w:sz w:val="20"/>
        </w:rPr>
        <w:t> </w:t>
      </w:r>
      <w:r>
        <w:rPr>
          <w:sz w:val="20"/>
        </w:rPr>
        <w:t>related</w:t>
      </w:r>
      <w:r>
        <w:rPr>
          <w:spacing w:val="-4"/>
          <w:sz w:val="20"/>
        </w:rPr>
        <w:t> </w:t>
      </w:r>
      <w:r>
        <w:rPr>
          <w:sz w:val="20"/>
        </w:rPr>
        <w:t>to</w:t>
      </w:r>
      <w:r>
        <w:rPr>
          <w:spacing w:val="-4"/>
          <w:sz w:val="20"/>
        </w:rPr>
        <w:t> </w:t>
      </w:r>
      <w:r>
        <w:rPr>
          <w:sz w:val="20"/>
        </w:rPr>
        <w:t>at-risk</w:t>
      </w:r>
      <w:r>
        <w:rPr>
          <w:spacing w:val="-4"/>
          <w:sz w:val="20"/>
        </w:rPr>
        <w:t> </w:t>
      </w:r>
      <w:r>
        <w:rPr>
          <w:sz w:val="20"/>
        </w:rPr>
        <w:t>infants</w:t>
      </w:r>
      <w:r>
        <w:rPr>
          <w:spacing w:val="-4"/>
          <w:sz w:val="20"/>
        </w:rPr>
        <w:t> </w:t>
      </w:r>
      <w:r>
        <w:rPr>
          <w:sz w:val="20"/>
        </w:rPr>
        <w:t>and</w:t>
      </w:r>
      <w:r>
        <w:rPr>
          <w:spacing w:val="-4"/>
          <w:sz w:val="20"/>
        </w:rPr>
        <w:t> </w:t>
      </w:r>
      <w:r>
        <w:rPr>
          <w:sz w:val="20"/>
        </w:rPr>
        <w:t>toddlers</w:t>
      </w:r>
      <w:r>
        <w:rPr>
          <w:spacing w:val="-4"/>
          <w:sz w:val="20"/>
        </w:rPr>
        <w:t> </w:t>
      </w:r>
      <w:r>
        <w:rPr>
          <w:sz w:val="20"/>
        </w:rPr>
        <w:t>in any State that does not provide services for at-risk infants and toddlers.</w:t>
      </w:r>
      <w:r>
        <w:rPr>
          <w:spacing w:val="-3"/>
          <w:sz w:val="20"/>
        </w:rPr>
        <w:t> </w:t>
      </w:r>
      <w:r>
        <w:rPr>
          <w:sz w:val="20"/>
        </w:rPr>
        <w:t>The application must </w:t>
      </w:r>
      <w:r>
        <w:rPr>
          <w:spacing w:val="-2"/>
          <w:sz w:val="20"/>
        </w:rPr>
        <w:t>include:</w:t>
      </w:r>
    </w:p>
    <w:p>
      <w:pPr>
        <w:pStyle w:val="ListParagraph"/>
        <w:numPr>
          <w:ilvl w:val="2"/>
          <w:numId w:val="31"/>
        </w:numPr>
        <w:tabs>
          <w:tab w:pos="1823" w:val="left" w:leader="none"/>
        </w:tabs>
        <w:spacing w:line="239" w:lineRule="exact" w:before="0" w:after="0"/>
        <w:ind w:left="1823" w:right="0" w:hanging="359"/>
        <w:jc w:val="left"/>
        <w:rPr>
          <w:sz w:val="20"/>
        </w:rPr>
      </w:pPr>
      <w:r>
        <w:rPr>
          <w:sz w:val="20"/>
        </w:rPr>
        <w:t>The</w:t>
      </w:r>
      <w:r>
        <w:rPr>
          <w:spacing w:val="-5"/>
          <w:sz w:val="20"/>
        </w:rPr>
        <w:t> </w:t>
      </w:r>
      <w:r>
        <w:rPr>
          <w:sz w:val="20"/>
        </w:rPr>
        <w:t>name</w:t>
      </w:r>
      <w:r>
        <w:rPr>
          <w:spacing w:val="-4"/>
          <w:sz w:val="20"/>
        </w:rPr>
        <w:t> </w:t>
      </w:r>
      <w:r>
        <w:rPr>
          <w:sz w:val="20"/>
        </w:rPr>
        <w:t>of</w:t>
      </w:r>
      <w:r>
        <w:rPr>
          <w:spacing w:val="-4"/>
          <w:sz w:val="20"/>
        </w:rPr>
        <w:t> </w:t>
      </w:r>
      <w:r>
        <w:rPr>
          <w:sz w:val="20"/>
        </w:rPr>
        <w:t>the</w:t>
      </w:r>
      <w:r>
        <w:rPr>
          <w:spacing w:val="-4"/>
          <w:sz w:val="20"/>
        </w:rPr>
        <w:t> </w:t>
      </w:r>
      <w:r>
        <w:rPr>
          <w:sz w:val="20"/>
        </w:rPr>
        <w:t>major</w:t>
      </w:r>
      <w:r>
        <w:rPr>
          <w:spacing w:val="-4"/>
          <w:sz w:val="20"/>
        </w:rPr>
        <w:t> </w:t>
      </w:r>
      <w:r>
        <w:rPr>
          <w:spacing w:val="-2"/>
          <w:sz w:val="20"/>
        </w:rPr>
        <w:t>activity;</w:t>
      </w:r>
    </w:p>
    <w:p>
      <w:pPr>
        <w:pStyle w:val="ListParagraph"/>
        <w:numPr>
          <w:ilvl w:val="2"/>
          <w:numId w:val="31"/>
        </w:numPr>
        <w:tabs>
          <w:tab w:pos="1823" w:val="left" w:leader="none"/>
        </w:tabs>
        <w:spacing w:line="230" w:lineRule="exact" w:before="0" w:after="0"/>
        <w:ind w:left="1823" w:right="0" w:hanging="359"/>
        <w:jc w:val="left"/>
        <w:rPr>
          <w:sz w:val="20"/>
        </w:rPr>
      </w:pPr>
      <w:r>
        <w:rPr>
          <w:sz w:val="20"/>
        </w:rPr>
        <w:t>The</w:t>
      </w:r>
      <w:r>
        <w:rPr>
          <w:spacing w:val="-7"/>
          <w:sz w:val="20"/>
        </w:rPr>
        <w:t> </w:t>
      </w:r>
      <w:r>
        <w:rPr>
          <w:sz w:val="20"/>
        </w:rPr>
        <w:t>approximate</w:t>
      </w:r>
      <w:r>
        <w:rPr>
          <w:spacing w:val="-5"/>
          <w:sz w:val="20"/>
        </w:rPr>
        <w:t> </w:t>
      </w:r>
      <w:r>
        <w:rPr>
          <w:sz w:val="20"/>
        </w:rPr>
        <w:t>amount</w:t>
      </w:r>
      <w:r>
        <w:rPr>
          <w:spacing w:val="-5"/>
          <w:sz w:val="20"/>
        </w:rPr>
        <w:t> </w:t>
      </w:r>
      <w:r>
        <w:rPr>
          <w:sz w:val="20"/>
        </w:rPr>
        <w:t>of</w:t>
      </w:r>
      <w:r>
        <w:rPr>
          <w:spacing w:val="-5"/>
          <w:sz w:val="20"/>
        </w:rPr>
        <w:t> </w:t>
      </w:r>
      <w:r>
        <w:rPr>
          <w:sz w:val="20"/>
        </w:rPr>
        <w:t>funds</w:t>
      </w:r>
      <w:r>
        <w:rPr>
          <w:spacing w:val="-5"/>
          <w:sz w:val="20"/>
        </w:rPr>
        <w:t> </w:t>
      </w:r>
      <w:r>
        <w:rPr>
          <w:sz w:val="20"/>
        </w:rPr>
        <w:t>to</w:t>
      </w:r>
      <w:r>
        <w:rPr>
          <w:spacing w:val="-5"/>
          <w:sz w:val="20"/>
        </w:rPr>
        <w:t> </w:t>
      </w:r>
      <w:r>
        <w:rPr>
          <w:sz w:val="20"/>
        </w:rPr>
        <w:t>be</w:t>
      </w:r>
      <w:r>
        <w:rPr>
          <w:spacing w:val="-5"/>
          <w:sz w:val="20"/>
        </w:rPr>
        <w:t> </w:t>
      </w:r>
      <w:r>
        <w:rPr>
          <w:sz w:val="20"/>
        </w:rPr>
        <w:t>spent;</w:t>
      </w:r>
      <w:r>
        <w:rPr>
          <w:spacing w:val="-5"/>
          <w:sz w:val="20"/>
        </w:rPr>
        <w:t> and</w:t>
      </w:r>
    </w:p>
    <w:p>
      <w:pPr>
        <w:pStyle w:val="ListParagraph"/>
        <w:numPr>
          <w:ilvl w:val="2"/>
          <w:numId w:val="31"/>
        </w:numPr>
        <w:tabs>
          <w:tab w:pos="1823" w:val="left" w:leader="none"/>
        </w:tabs>
        <w:spacing w:line="336" w:lineRule="auto" w:before="0" w:after="26"/>
        <w:ind w:left="724" w:right="5918" w:firstLine="740"/>
        <w:jc w:val="left"/>
        <w:rPr>
          <w:i/>
          <w:sz w:val="16"/>
        </w:rPr>
      </w:pPr>
      <w:r>
        <w:rPr>
          <w:sz w:val="20"/>
        </w:rPr>
        <w:t>A description of the activities. Provide</w:t>
      </w:r>
      <w:r>
        <w:rPr>
          <w:spacing w:val="-6"/>
          <w:sz w:val="20"/>
        </w:rPr>
        <w:t> </w:t>
      </w:r>
      <w:r>
        <w:rPr>
          <w:sz w:val="20"/>
        </w:rPr>
        <w:t>subtotal</w:t>
      </w:r>
      <w:r>
        <w:rPr>
          <w:spacing w:val="-6"/>
          <w:sz w:val="20"/>
        </w:rPr>
        <w:t> </w:t>
      </w:r>
      <w:r>
        <w:rPr>
          <w:sz w:val="20"/>
        </w:rPr>
        <w:t>of</w:t>
      </w:r>
      <w:r>
        <w:rPr>
          <w:spacing w:val="-6"/>
          <w:sz w:val="20"/>
        </w:rPr>
        <w:t> </w:t>
      </w:r>
      <w:r>
        <w:rPr>
          <w:sz w:val="20"/>
        </w:rPr>
        <w:t>amount.</w:t>
      </w:r>
      <w:r>
        <w:rPr>
          <w:spacing w:val="40"/>
          <w:sz w:val="20"/>
        </w:rPr>
        <w:t> </w:t>
      </w:r>
      <w:r>
        <w:rPr>
          <w:i/>
          <w:sz w:val="16"/>
        </w:rPr>
        <w:t>(Add</w:t>
      </w:r>
      <w:r>
        <w:rPr>
          <w:i/>
          <w:spacing w:val="-4"/>
          <w:sz w:val="16"/>
        </w:rPr>
        <w:t> </w:t>
      </w:r>
      <w:r>
        <w:rPr>
          <w:i/>
          <w:sz w:val="16"/>
        </w:rPr>
        <w:t>rows</w:t>
      </w:r>
      <w:r>
        <w:rPr>
          <w:i/>
          <w:spacing w:val="-4"/>
          <w:sz w:val="16"/>
        </w:rPr>
        <w:t> </w:t>
      </w:r>
      <w:r>
        <w:rPr>
          <w:i/>
          <w:sz w:val="16"/>
        </w:rPr>
        <w:t>as</w:t>
      </w:r>
      <w:r>
        <w:rPr>
          <w:i/>
          <w:spacing w:val="-4"/>
          <w:sz w:val="16"/>
        </w:rPr>
        <w:t> </w:t>
      </w:r>
      <w:r>
        <w:rPr>
          <w:i/>
          <w:sz w:val="16"/>
        </w:rPr>
        <w:t>needed.)</w:t>
      </w: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22"/>
        <w:gridCol w:w="2016"/>
        <w:gridCol w:w="4322"/>
      </w:tblGrid>
      <w:tr>
        <w:trPr>
          <w:trHeight w:val="699" w:hRule="atLeast"/>
        </w:trPr>
        <w:tc>
          <w:tcPr>
            <w:tcW w:w="3022" w:type="dxa"/>
            <w:tcBorders>
              <w:right w:val="single" w:sz="6" w:space="0" w:color="000000"/>
            </w:tcBorders>
            <w:shd w:val="clear" w:color="auto" w:fill="F2F2F2"/>
          </w:tcPr>
          <w:p>
            <w:pPr>
              <w:pStyle w:val="TableParagraph"/>
              <w:spacing w:before="124"/>
              <w:rPr>
                <w:i/>
                <w:sz w:val="20"/>
              </w:rPr>
            </w:pPr>
          </w:p>
          <w:p>
            <w:pPr>
              <w:pStyle w:val="TableParagraph"/>
              <w:ind w:left="856"/>
              <w:rPr>
                <w:b/>
                <w:sz w:val="20"/>
              </w:rPr>
            </w:pPr>
            <w:r>
              <w:rPr>
                <w:b/>
                <w:sz w:val="20"/>
              </w:rPr>
              <w:t>Major</w:t>
            </w:r>
            <w:r>
              <w:rPr>
                <w:b/>
                <w:spacing w:val="-13"/>
                <w:sz w:val="20"/>
              </w:rPr>
              <w:t> </w:t>
            </w:r>
            <w:r>
              <w:rPr>
                <w:b/>
                <w:spacing w:val="-2"/>
                <w:sz w:val="20"/>
              </w:rPr>
              <w:t>Activity</w:t>
            </w:r>
          </w:p>
        </w:tc>
        <w:tc>
          <w:tcPr>
            <w:tcW w:w="2016" w:type="dxa"/>
            <w:tcBorders>
              <w:left w:val="single" w:sz="6" w:space="0" w:color="000000"/>
              <w:right w:val="single" w:sz="6" w:space="0" w:color="000000"/>
            </w:tcBorders>
            <w:shd w:val="clear" w:color="auto" w:fill="F2F2F2"/>
          </w:tcPr>
          <w:p>
            <w:pPr>
              <w:pStyle w:val="TableParagraph"/>
              <w:spacing w:before="124"/>
              <w:ind w:left="474" w:right="219" w:hanging="78"/>
              <w:rPr>
                <w:b/>
                <w:sz w:val="20"/>
              </w:rPr>
            </w:pPr>
            <w:r>
              <w:rPr>
                <w:b/>
                <w:sz w:val="20"/>
              </w:rPr>
              <w:t>Part</w:t>
            </w:r>
            <w:r>
              <w:rPr>
                <w:b/>
                <w:spacing w:val="-14"/>
                <w:sz w:val="20"/>
              </w:rPr>
              <w:t> </w:t>
            </w:r>
            <w:r>
              <w:rPr>
                <w:b/>
                <w:sz w:val="20"/>
              </w:rPr>
              <w:t>C</w:t>
            </w:r>
            <w:r>
              <w:rPr>
                <w:b/>
                <w:spacing w:val="-14"/>
                <w:sz w:val="20"/>
              </w:rPr>
              <w:t> </w:t>
            </w:r>
            <w:r>
              <w:rPr>
                <w:b/>
                <w:sz w:val="20"/>
              </w:rPr>
              <w:t>Funds to be Spent</w:t>
            </w:r>
          </w:p>
        </w:tc>
        <w:tc>
          <w:tcPr>
            <w:tcW w:w="4322" w:type="dxa"/>
            <w:tcBorders>
              <w:left w:val="single" w:sz="6" w:space="0" w:color="000000"/>
            </w:tcBorders>
            <w:shd w:val="clear" w:color="auto" w:fill="F2F2F2"/>
          </w:tcPr>
          <w:p>
            <w:pPr>
              <w:pStyle w:val="TableParagraph"/>
              <w:spacing w:before="124"/>
              <w:rPr>
                <w:i/>
                <w:sz w:val="20"/>
              </w:rPr>
            </w:pPr>
          </w:p>
          <w:p>
            <w:pPr>
              <w:pStyle w:val="TableParagraph"/>
              <w:ind w:left="1030"/>
              <w:rPr>
                <w:b/>
                <w:sz w:val="20"/>
              </w:rPr>
            </w:pPr>
            <w:r>
              <w:rPr>
                <w:b/>
                <w:sz w:val="20"/>
              </w:rPr>
              <w:t>Description</w:t>
            </w:r>
            <w:r>
              <w:rPr>
                <w:b/>
                <w:spacing w:val="-9"/>
                <w:sz w:val="20"/>
              </w:rPr>
              <w:t> </w:t>
            </w:r>
            <w:r>
              <w:rPr>
                <w:b/>
                <w:sz w:val="20"/>
              </w:rPr>
              <w:t>of</w:t>
            </w:r>
            <w:r>
              <w:rPr>
                <w:b/>
                <w:spacing w:val="-13"/>
                <w:sz w:val="20"/>
              </w:rPr>
              <w:t> </w:t>
            </w:r>
            <w:r>
              <w:rPr>
                <w:b/>
                <w:spacing w:val="-2"/>
                <w:sz w:val="20"/>
              </w:rPr>
              <w:t>Activities</w:t>
            </w:r>
          </w:p>
        </w:tc>
      </w:tr>
      <w:tr>
        <w:trPr>
          <w:trHeight w:val="2082" w:hRule="atLeast"/>
        </w:trPr>
        <w:tc>
          <w:tcPr>
            <w:tcW w:w="3022" w:type="dxa"/>
            <w:tcBorders>
              <w:right w:val="single" w:sz="6" w:space="0" w:color="000000"/>
            </w:tcBorders>
          </w:tcPr>
          <w:p>
            <w:pPr>
              <w:pStyle w:val="TableParagraph"/>
              <w:spacing w:before="124"/>
              <w:ind w:left="105"/>
              <w:rPr>
                <w:sz w:val="20"/>
              </w:rPr>
            </w:pPr>
            <w:r>
              <w:rPr>
                <w:sz w:val="20"/>
              </w:rPr>
              <w:t>Child</w:t>
            </w:r>
            <w:r>
              <w:rPr>
                <w:spacing w:val="-9"/>
                <w:sz w:val="20"/>
              </w:rPr>
              <w:t> </w:t>
            </w:r>
            <w:r>
              <w:rPr>
                <w:sz w:val="20"/>
              </w:rPr>
              <w:t>Find</w:t>
            </w:r>
            <w:r>
              <w:rPr>
                <w:spacing w:val="-13"/>
                <w:sz w:val="20"/>
              </w:rPr>
              <w:t> </w:t>
            </w:r>
            <w:r>
              <w:rPr>
                <w:spacing w:val="-2"/>
                <w:sz w:val="20"/>
              </w:rPr>
              <w:t>Activities</w:t>
            </w:r>
          </w:p>
        </w:tc>
        <w:tc>
          <w:tcPr>
            <w:tcW w:w="2016" w:type="dxa"/>
            <w:tcBorders>
              <w:left w:val="single" w:sz="6" w:space="0" w:color="000000"/>
              <w:right w:val="single" w:sz="6" w:space="0" w:color="000000"/>
            </w:tcBorders>
          </w:tcPr>
          <w:p>
            <w:pPr>
              <w:pStyle w:val="TableParagraph"/>
              <w:spacing w:before="124"/>
              <w:ind w:left="119"/>
              <w:rPr>
                <w:sz w:val="20"/>
              </w:rPr>
            </w:pPr>
            <w:r>
              <w:rPr>
                <w:spacing w:val="-2"/>
                <w:sz w:val="20"/>
              </w:rPr>
              <w:t>$100,000</w:t>
            </w:r>
          </w:p>
        </w:tc>
        <w:tc>
          <w:tcPr>
            <w:tcW w:w="4322" w:type="dxa"/>
            <w:tcBorders>
              <w:left w:val="single" w:sz="6" w:space="0" w:color="000000"/>
            </w:tcBorders>
          </w:tcPr>
          <w:p>
            <w:pPr>
              <w:pStyle w:val="TableParagraph"/>
              <w:spacing w:before="124"/>
              <w:ind w:left="119" w:right="145"/>
              <w:rPr>
                <w:sz w:val="20"/>
              </w:rPr>
            </w:pPr>
            <w:r>
              <w:rPr>
                <w:sz w:val="20"/>
              </w:rPr>
              <w:t>These funds support the Early Intervention Parenting Partnership (EIPP) program. This evidence-based program provides direct services to families in communities of color that have been disproportionately affected by COVID-19 and has been shown to be an effective</w:t>
            </w:r>
            <w:r>
              <w:rPr>
                <w:spacing w:val="-7"/>
                <w:sz w:val="20"/>
              </w:rPr>
              <w:t> </w:t>
            </w:r>
            <w:r>
              <w:rPr>
                <w:sz w:val="20"/>
              </w:rPr>
              <w:t>child</w:t>
            </w:r>
            <w:r>
              <w:rPr>
                <w:spacing w:val="-7"/>
                <w:sz w:val="20"/>
              </w:rPr>
              <w:t> </w:t>
            </w:r>
            <w:r>
              <w:rPr>
                <w:sz w:val="20"/>
              </w:rPr>
              <w:t>find</w:t>
            </w:r>
            <w:r>
              <w:rPr>
                <w:spacing w:val="-7"/>
                <w:sz w:val="20"/>
              </w:rPr>
              <w:t> </w:t>
            </w:r>
            <w:r>
              <w:rPr>
                <w:sz w:val="20"/>
              </w:rPr>
              <w:t>activity</w:t>
            </w:r>
            <w:r>
              <w:rPr>
                <w:spacing w:val="-7"/>
                <w:sz w:val="20"/>
              </w:rPr>
              <w:t> </w:t>
            </w:r>
            <w:r>
              <w:rPr>
                <w:sz w:val="20"/>
              </w:rPr>
              <w:t>to</w:t>
            </w:r>
            <w:r>
              <w:rPr>
                <w:spacing w:val="-7"/>
                <w:sz w:val="20"/>
              </w:rPr>
              <w:t> </w:t>
            </w:r>
            <w:r>
              <w:rPr>
                <w:sz w:val="20"/>
              </w:rPr>
              <w:t>identifying</w:t>
            </w:r>
            <w:r>
              <w:rPr>
                <w:spacing w:val="-7"/>
                <w:sz w:val="20"/>
              </w:rPr>
              <w:t> </w:t>
            </w:r>
            <w:r>
              <w:rPr>
                <w:sz w:val="20"/>
              </w:rPr>
              <w:t>at-risk infants and toddlers.</w:t>
            </w:r>
          </w:p>
        </w:tc>
      </w:tr>
      <w:tr>
        <w:trPr>
          <w:trHeight w:val="469" w:hRule="atLeast"/>
        </w:trPr>
        <w:tc>
          <w:tcPr>
            <w:tcW w:w="3022" w:type="dxa"/>
            <w:tcBorders>
              <w:right w:val="single" w:sz="6" w:space="0" w:color="000000"/>
            </w:tcBorders>
            <w:shd w:val="clear" w:color="auto" w:fill="F2F2F2"/>
          </w:tcPr>
          <w:p>
            <w:pPr>
              <w:pStyle w:val="TableParagraph"/>
              <w:spacing w:before="119"/>
              <w:ind w:left="105"/>
              <w:rPr>
                <w:b/>
                <w:sz w:val="20"/>
              </w:rPr>
            </w:pPr>
            <w:r>
              <w:rPr>
                <w:b/>
                <w:sz w:val="20"/>
              </w:rPr>
              <w:t>Subtotal</w:t>
            </w:r>
            <w:r>
              <w:rPr>
                <w:b/>
                <w:spacing w:val="-9"/>
                <w:sz w:val="20"/>
              </w:rPr>
              <w:t> </w:t>
            </w:r>
            <w:r>
              <w:rPr>
                <w:b/>
                <w:sz w:val="20"/>
              </w:rPr>
              <w:t>of</w:t>
            </w:r>
            <w:r>
              <w:rPr>
                <w:b/>
                <w:spacing w:val="-8"/>
                <w:sz w:val="20"/>
              </w:rPr>
              <w:t> </w:t>
            </w:r>
            <w:r>
              <w:rPr>
                <w:b/>
                <w:sz w:val="20"/>
              </w:rPr>
              <w:t>amount</w:t>
            </w:r>
            <w:r>
              <w:rPr>
                <w:b/>
                <w:spacing w:val="-8"/>
                <w:sz w:val="20"/>
              </w:rPr>
              <w:t> </w:t>
            </w:r>
            <w:r>
              <w:rPr>
                <w:b/>
                <w:sz w:val="20"/>
              </w:rPr>
              <w:t>under</w:t>
            </w:r>
            <w:r>
              <w:rPr>
                <w:b/>
                <w:spacing w:val="-8"/>
                <w:sz w:val="20"/>
              </w:rPr>
              <w:t> </w:t>
            </w:r>
            <w:r>
              <w:rPr>
                <w:b/>
                <w:spacing w:val="-5"/>
                <w:sz w:val="20"/>
              </w:rPr>
              <w:t>E:</w:t>
            </w:r>
          </w:p>
        </w:tc>
        <w:tc>
          <w:tcPr>
            <w:tcW w:w="2016" w:type="dxa"/>
            <w:tcBorders>
              <w:left w:val="single" w:sz="6" w:space="0" w:color="000000"/>
              <w:right w:val="single" w:sz="6" w:space="0" w:color="000000"/>
            </w:tcBorders>
          </w:tcPr>
          <w:p>
            <w:pPr>
              <w:pStyle w:val="TableParagraph"/>
              <w:spacing w:before="119"/>
              <w:ind w:left="119"/>
              <w:rPr>
                <w:sz w:val="20"/>
              </w:rPr>
            </w:pPr>
            <w:r>
              <w:rPr>
                <w:spacing w:val="-2"/>
                <w:sz w:val="20"/>
              </w:rPr>
              <w:t>$100,000</w:t>
            </w:r>
          </w:p>
        </w:tc>
        <w:tc>
          <w:tcPr>
            <w:tcW w:w="4322" w:type="dxa"/>
            <w:tcBorders>
              <w:left w:val="single" w:sz="6" w:space="0" w:color="000000"/>
            </w:tcBorders>
            <w:shd w:val="clear" w:color="auto" w:fill="808080"/>
          </w:tcPr>
          <w:p>
            <w:pPr>
              <w:pStyle w:val="TableParagraph"/>
              <w:rPr>
                <w:rFonts w:ascii="Times New Roman"/>
                <w:sz w:val="18"/>
              </w:rPr>
            </w:pPr>
          </w:p>
        </w:tc>
      </w:tr>
    </w:tbl>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96"/>
        <w:rPr>
          <w:i/>
        </w:rPr>
      </w:pPr>
      <w:r>
        <w:rPr>
          <w:i/>
        </w:rPr>
        <mc:AlternateContent>
          <mc:Choice Requires="wps">
            <w:drawing>
              <wp:anchor distT="0" distB="0" distL="0" distR="0" allowOverlap="1" layoutInCell="1" locked="0" behindDoc="1" simplePos="0" relativeHeight="487595008">
                <wp:simplePos x="0" y="0"/>
                <wp:positionH relativeFrom="page">
                  <wp:posOffset>917520</wp:posOffset>
                </wp:positionH>
                <wp:positionV relativeFrom="paragraph">
                  <wp:posOffset>286289</wp:posOffset>
                </wp:positionV>
                <wp:extent cx="1828800" cy="635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245697pt;margin-top:22.542471pt;width:144pt;height:.48pt;mso-position-horizontal-relative:page;mso-position-vertical-relative:paragraph;z-index:-15721472;mso-wrap-distance-left:0;mso-wrap-distance-right:0" id="docshape24" filled="true" fillcolor="#000000" stroked="false">
                <v:fill type="solid"/>
                <w10:wrap type="topAndBottom"/>
              </v:rect>
            </w:pict>
          </mc:Fallback>
        </mc:AlternateContent>
      </w:r>
    </w:p>
    <w:p>
      <w:pPr>
        <w:spacing w:before="90"/>
        <w:ind w:left="724" w:right="0" w:firstLine="0"/>
        <w:jc w:val="left"/>
        <w:rPr>
          <w:sz w:val="16"/>
        </w:rPr>
      </w:pPr>
      <w:r>
        <w:rPr>
          <w:sz w:val="16"/>
          <w:vertAlign w:val="superscript"/>
        </w:rPr>
        <w:t>5</w:t>
      </w:r>
      <w:r>
        <w:rPr>
          <w:spacing w:val="-2"/>
          <w:sz w:val="16"/>
          <w:vertAlign w:val="baseline"/>
        </w:rPr>
        <w:t> </w:t>
      </w:r>
      <w:r>
        <w:rPr>
          <w:sz w:val="16"/>
          <w:vertAlign w:val="baseline"/>
        </w:rPr>
        <w:t>See</w:t>
      </w:r>
      <w:r>
        <w:rPr>
          <w:spacing w:val="-2"/>
          <w:sz w:val="16"/>
          <w:vertAlign w:val="baseline"/>
        </w:rPr>
        <w:t> </w:t>
      </w:r>
      <w:r>
        <w:rPr>
          <w:sz w:val="16"/>
          <w:vertAlign w:val="baseline"/>
        </w:rPr>
        <w:t>IDEA</w:t>
      </w:r>
      <w:r>
        <w:rPr>
          <w:spacing w:val="-1"/>
          <w:sz w:val="16"/>
          <w:vertAlign w:val="baseline"/>
        </w:rPr>
        <w:t> </w:t>
      </w:r>
      <w:r>
        <w:rPr>
          <w:sz w:val="16"/>
          <w:vertAlign w:val="baseline"/>
        </w:rPr>
        <w:t>section</w:t>
      </w:r>
      <w:r>
        <w:rPr>
          <w:spacing w:val="-2"/>
          <w:sz w:val="16"/>
          <w:vertAlign w:val="baseline"/>
        </w:rPr>
        <w:t> </w:t>
      </w:r>
      <w:r>
        <w:rPr>
          <w:spacing w:val="-4"/>
          <w:sz w:val="16"/>
          <w:vertAlign w:val="baseline"/>
        </w:rPr>
        <w:t>638.</w:t>
      </w:r>
    </w:p>
    <w:p>
      <w:pPr>
        <w:spacing w:after="0"/>
        <w:jc w:val="left"/>
        <w:rPr>
          <w:sz w:val="16"/>
        </w:rPr>
        <w:sectPr>
          <w:pgSz w:w="12240" w:h="15840"/>
          <w:pgMar w:header="0" w:footer="879" w:top="1360" w:bottom="1060" w:left="720" w:right="720"/>
        </w:sectPr>
      </w:pPr>
    </w:p>
    <w:p>
      <w:pPr>
        <w:pStyle w:val="Heading1"/>
        <w:numPr>
          <w:ilvl w:val="0"/>
          <w:numId w:val="31"/>
        </w:numPr>
        <w:tabs>
          <w:tab w:pos="1124" w:val="left" w:leader="none"/>
        </w:tabs>
        <w:spacing w:line="240" w:lineRule="auto" w:before="65" w:after="0"/>
        <w:ind w:left="1124" w:right="0" w:hanging="400"/>
        <w:jc w:val="left"/>
      </w:pPr>
      <w:r>
        <w:rPr>
          <w:spacing w:val="-2"/>
        </w:rPr>
        <w:t>Totals</w:t>
      </w:r>
    </w:p>
    <w:p>
      <w:pPr>
        <w:pStyle w:val="BodyText"/>
        <w:spacing w:before="241"/>
        <w:ind w:left="1124" w:right="798"/>
      </w:pPr>
      <w:r>
        <w:rPr/>
        <w:t>Enter</w:t>
      </w:r>
      <w:r>
        <w:rPr>
          <w:spacing w:val="-3"/>
        </w:rPr>
        <w:t> </w:t>
      </w:r>
      <w:r>
        <w:rPr/>
        <w:t>the</w:t>
      </w:r>
      <w:r>
        <w:rPr>
          <w:spacing w:val="-3"/>
        </w:rPr>
        <w:t> </w:t>
      </w:r>
      <w:r>
        <w:rPr/>
        <w:t>subtotal</w:t>
      </w:r>
      <w:r>
        <w:rPr>
          <w:spacing w:val="-3"/>
        </w:rPr>
        <w:t> </w:t>
      </w:r>
      <w:r>
        <w:rPr/>
        <w:t>amounts</w:t>
      </w:r>
      <w:r>
        <w:rPr>
          <w:spacing w:val="-3"/>
        </w:rPr>
        <w:t> </w:t>
      </w:r>
      <w:r>
        <w:rPr/>
        <w:t>for</w:t>
      </w:r>
      <w:r>
        <w:rPr>
          <w:spacing w:val="-3"/>
        </w:rPr>
        <w:t> </w:t>
      </w:r>
      <w:r>
        <w:rPr/>
        <w:t>Sub</w:t>
      </w:r>
      <w:r>
        <w:rPr>
          <w:spacing w:val="-3"/>
        </w:rPr>
        <w:t> </w:t>
      </w:r>
      <w:r>
        <w:rPr/>
        <w:t>Sections</w:t>
      </w:r>
      <w:r>
        <w:rPr>
          <w:spacing w:val="-14"/>
        </w:rPr>
        <w:t> </w:t>
      </w:r>
      <w:r>
        <w:rPr/>
        <w:t>A-E</w:t>
      </w:r>
      <w:r>
        <w:rPr>
          <w:spacing w:val="-4"/>
        </w:rPr>
        <w:t> </w:t>
      </w:r>
      <w:r>
        <w:rPr/>
        <w:t>found</w:t>
      </w:r>
      <w:r>
        <w:rPr>
          <w:spacing w:val="-3"/>
        </w:rPr>
        <w:t> </w:t>
      </w:r>
      <w:r>
        <w:rPr/>
        <w:t>in</w:t>
      </w:r>
      <w:r>
        <w:rPr>
          <w:spacing w:val="-3"/>
        </w:rPr>
        <w:t> </w:t>
      </w:r>
      <w:r>
        <w:rPr/>
        <w:t>Section</w:t>
      </w:r>
      <w:r>
        <w:rPr>
          <w:spacing w:val="-3"/>
        </w:rPr>
        <w:t> </w:t>
      </w:r>
      <w:r>
        <w:rPr/>
        <w:t>III</w:t>
      </w:r>
      <w:r>
        <w:rPr>
          <w:spacing w:val="-3"/>
        </w:rPr>
        <w:t> </w:t>
      </w:r>
      <w:r>
        <w:rPr/>
        <w:t>and</w:t>
      </w:r>
      <w:r>
        <w:rPr>
          <w:spacing w:val="-3"/>
        </w:rPr>
        <w:t> </w:t>
      </w:r>
      <w:r>
        <w:rPr/>
        <w:t>any</w:t>
      </w:r>
      <w:r>
        <w:rPr>
          <w:spacing w:val="-3"/>
        </w:rPr>
        <w:t> </w:t>
      </w:r>
      <w:r>
        <w:rPr/>
        <w:t>indirect</w:t>
      </w:r>
      <w:r>
        <w:rPr>
          <w:spacing w:val="-3"/>
        </w:rPr>
        <w:t> </w:t>
      </w:r>
      <w:r>
        <w:rPr/>
        <w:t>costs</w:t>
      </w:r>
      <w:r>
        <w:rPr>
          <w:spacing w:val="-3"/>
        </w:rPr>
        <w:t> </w:t>
      </w:r>
      <w:r>
        <w:rPr/>
        <w:t>charged as specified in Section IV.B. The subtotal amounts (Rows 1-6) should total the estimated grant application amount. (A</w:t>
      </w:r>
      <w:r>
        <w:rPr>
          <w:spacing w:val="-4"/>
        </w:rPr>
        <w:t> </w:t>
      </w:r>
      <w:r>
        <w:rPr/>
        <w:t>State may apply for less than the full estimated allotted amount.)</w:t>
      </w:r>
    </w:p>
    <w:p>
      <w:pPr>
        <w:pStyle w:val="BodyText"/>
        <w:spacing w:before="1" w:after="1"/>
        <w:rPr>
          <w:sz w:val="10"/>
        </w:rPr>
      </w:pPr>
    </w:p>
    <w:tbl>
      <w:tblPr>
        <w:tblW w:w="0" w:type="auto"/>
        <w:jc w:val="left"/>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22"/>
        <w:gridCol w:w="1493"/>
        <w:gridCol w:w="6646"/>
      </w:tblGrid>
      <w:tr>
        <w:trPr>
          <w:trHeight w:val="474" w:hRule="atLeast"/>
        </w:trPr>
        <w:tc>
          <w:tcPr>
            <w:tcW w:w="1222" w:type="dxa"/>
            <w:tcBorders>
              <w:right w:val="single" w:sz="6" w:space="0" w:color="000000"/>
            </w:tcBorders>
            <w:shd w:val="clear" w:color="auto" w:fill="F2F2F2"/>
          </w:tcPr>
          <w:p>
            <w:pPr>
              <w:pStyle w:val="TableParagraph"/>
              <w:spacing w:before="124"/>
              <w:ind w:left="18"/>
              <w:jc w:val="center"/>
              <w:rPr>
                <w:b/>
                <w:sz w:val="20"/>
              </w:rPr>
            </w:pPr>
            <w:r>
              <w:rPr>
                <w:b/>
                <w:sz w:val="20"/>
              </w:rPr>
              <w:t>Row</w:t>
            </w:r>
            <w:r>
              <w:rPr>
                <w:b/>
                <w:spacing w:val="-5"/>
                <w:sz w:val="20"/>
              </w:rPr>
              <w:t> No.</w:t>
            </w:r>
          </w:p>
        </w:tc>
        <w:tc>
          <w:tcPr>
            <w:tcW w:w="1493" w:type="dxa"/>
            <w:tcBorders>
              <w:left w:val="single" w:sz="6" w:space="0" w:color="000000"/>
              <w:right w:val="single" w:sz="6" w:space="0" w:color="000000"/>
            </w:tcBorders>
            <w:shd w:val="clear" w:color="auto" w:fill="F2F2F2"/>
          </w:tcPr>
          <w:p>
            <w:pPr>
              <w:pStyle w:val="TableParagraph"/>
              <w:spacing w:before="124"/>
              <w:ind w:left="29" w:right="1"/>
              <w:jc w:val="center"/>
              <w:rPr>
                <w:b/>
                <w:sz w:val="20"/>
              </w:rPr>
            </w:pPr>
            <w:r>
              <w:rPr>
                <w:b/>
                <w:spacing w:val="-2"/>
                <w:sz w:val="20"/>
              </w:rPr>
              <w:t>Section</w:t>
            </w:r>
          </w:p>
        </w:tc>
        <w:tc>
          <w:tcPr>
            <w:tcW w:w="6646" w:type="dxa"/>
            <w:tcBorders>
              <w:left w:val="single" w:sz="6" w:space="0" w:color="000000"/>
            </w:tcBorders>
            <w:shd w:val="clear" w:color="auto" w:fill="F2F2F2"/>
          </w:tcPr>
          <w:p>
            <w:pPr>
              <w:pStyle w:val="TableParagraph"/>
              <w:spacing w:before="124"/>
              <w:ind w:left="41"/>
              <w:jc w:val="center"/>
              <w:rPr>
                <w:b/>
                <w:sz w:val="20"/>
              </w:rPr>
            </w:pPr>
            <w:r>
              <w:rPr>
                <w:b/>
                <w:spacing w:val="-2"/>
                <w:sz w:val="20"/>
              </w:rPr>
              <w:t>Amount</w:t>
            </w:r>
          </w:p>
        </w:tc>
      </w:tr>
      <w:tr>
        <w:trPr>
          <w:trHeight w:val="469" w:hRule="atLeast"/>
        </w:trPr>
        <w:tc>
          <w:tcPr>
            <w:tcW w:w="9361" w:type="dxa"/>
            <w:gridSpan w:val="3"/>
            <w:tcBorders>
              <w:bottom w:val="single" w:sz="6" w:space="0" w:color="000000"/>
            </w:tcBorders>
            <w:shd w:val="clear" w:color="auto" w:fill="F2F2F2"/>
          </w:tcPr>
          <w:p>
            <w:pPr>
              <w:pStyle w:val="TableParagraph"/>
              <w:spacing w:before="119"/>
              <w:ind w:left="105"/>
              <w:rPr>
                <w:sz w:val="20"/>
              </w:rPr>
            </w:pPr>
            <w:r>
              <w:rPr>
                <w:b/>
                <w:sz w:val="20"/>
              </w:rPr>
              <w:t>Enter</w:t>
            </w:r>
            <w:r>
              <w:rPr>
                <w:b/>
                <w:spacing w:val="-9"/>
                <w:sz w:val="20"/>
              </w:rPr>
              <w:t> </w:t>
            </w:r>
            <w:r>
              <w:rPr>
                <w:b/>
                <w:sz w:val="20"/>
              </w:rPr>
              <w:t>the</w:t>
            </w:r>
            <w:r>
              <w:rPr>
                <w:b/>
                <w:spacing w:val="-6"/>
                <w:sz w:val="20"/>
              </w:rPr>
              <w:t> </w:t>
            </w:r>
            <w:r>
              <w:rPr>
                <w:b/>
                <w:sz w:val="20"/>
              </w:rPr>
              <w:t>subtotal</w:t>
            </w:r>
            <w:r>
              <w:rPr>
                <w:b/>
                <w:spacing w:val="-6"/>
                <w:sz w:val="20"/>
              </w:rPr>
              <w:t> </w:t>
            </w:r>
            <w:r>
              <w:rPr>
                <w:b/>
                <w:sz w:val="20"/>
              </w:rPr>
              <w:t>amounts</w:t>
            </w:r>
            <w:r>
              <w:rPr>
                <w:b/>
                <w:spacing w:val="-6"/>
                <w:sz w:val="20"/>
              </w:rPr>
              <w:t> </w:t>
            </w:r>
            <w:r>
              <w:rPr>
                <w:b/>
                <w:sz w:val="20"/>
              </w:rPr>
              <w:t>for</w:t>
            </w:r>
            <w:r>
              <w:rPr>
                <w:b/>
                <w:spacing w:val="-7"/>
                <w:sz w:val="20"/>
              </w:rPr>
              <w:t> </w:t>
            </w:r>
            <w:r>
              <w:rPr>
                <w:b/>
                <w:sz w:val="20"/>
              </w:rPr>
              <w:t>Sub</w:t>
            </w:r>
            <w:r>
              <w:rPr>
                <w:b/>
                <w:spacing w:val="-7"/>
                <w:sz w:val="20"/>
              </w:rPr>
              <w:t> </w:t>
            </w:r>
            <w:r>
              <w:rPr>
                <w:b/>
                <w:sz w:val="20"/>
              </w:rPr>
              <w:t>Sections</w:t>
            </w:r>
            <w:r>
              <w:rPr>
                <w:b/>
                <w:spacing w:val="-13"/>
                <w:sz w:val="20"/>
              </w:rPr>
              <w:t> </w:t>
            </w:r>
            <w:r>
              <w:rPr>
                <w:b/>
                <w:sz w:val="20"/>
              </w:rPr>
              <w:t>A-E</w:t>
            </w:r>
            <w:r>
              <w:rPr>
                <w:b/>
                <w:spacing w:val="-7"/>
                <w:sz w:val="20"/>
              </w:rPr>
              <w:t> </w:t>
            </w:r>
            <w:r>
              <w:rPr>
                <w:b/>
                <w:sz w:val="20"/>
              </w:rPr>
              <w:t>found</w:t>
            </w:r>
            <w:r>
              <w:rPr>
                <w:b/>
                <w:spacing w:val="-8"/>
                <w:sz w:val="20"/>
              </w:rPr>
              <w:t> </w:t>
            </w:r>
            <w:r>
              <w:rPr>
                <w:b/>
                <w:sz w:val="20"/>
              </w:rPr>
              <w:t>in</w:t>
            </w:r>
            <w:r>
              <w:rPr>
                <w:b/>
                <w:spacing w:val="-7"/>
                <w:sz w:val="20"/>
              </w:rPr>
              <w:t> </w:t>
            </w:r>
            <w:r>
              <w:rPr>
                <w:b/>
                <w:sz w:val="20"/>
              </w:rPr>
              <w:t>Section</w:t>
            </w:r>
            <w:r>
              <w:rPr>
                <w:b/>
                <w:spacing w:val="-7"/>
                <w:sz w:val="20"/>
              </w:rPr>
              <w:t> </w:t>
            </w:r>
            <w:r>
              <w:rPr>
                <w:b/>
                <w:sz w:val="20"/>
              </w:rPr>
              <w:t>III</w:t>
            </w:r>
            <w:r>
              <w:rPr>
                <w:b/>
                <w:spacing w:val="-6"/>
                <w:sz w:val="20"/>
              </w:rPr>
              <w:t> </w:t>
            </w:r>
            <w:r>
              <w:rPr>
                <w:b/>
                <w:sz w:val="20"/>
              </w:rPr>
              <w:t>of</w:t>
            </w:r>
            <w:r>
              <w:rPr>
                <w:b/>
                <w:spacing w:val="-6"/>
                <w:sz w:val="20"/>
              </w:rPr>
              <w:t> </w:t>
            </w:r>
            <w:r>
              <w:rPr>
                <w:b/>
                <w:sz w:val="20"/>
              </w:rPr>
              <w:t>this</w:t>
            </w:r>
            <w:r>
              <w:rPr>
                <w:b/>
                <w:spacing w:val="-6"/>
                <w:sz w:val="20"/>
              </w:rPr>
              <w:t> </w:t>
            </w:r>
            <w:r>
              <w:rPr>
                <w:b/>
                <w:spacing w:val="-2"/>
                <w:sz w:val="20"/>
              </w:rPr>
              <w:t>application</w:t>
            </w:r>
            <w:r>
              <w:rPr>
                <w:spacing w:val="-2"/>
                <w:sz w:val="20"/>
              </w:rPr>
              <w:t>.</w:t>
            </w:r>
          </w:p>
        </w:tc>
      </w:tr>
      <w:tr>
        <w:trPr>
          <w:trHeight w:val="469" w:hRule="atLeast"/>
        </w:trPr>
        <w:tc>
          <w:tcPr>
            <w:tcW w:w="1222" w:type="dxa"/>
            <w:tcBorders>
              <w:top w:val="single" w:sz="6" w:space="0" w:color="000000"/>
              <w:bottom w:val="single" w:sz="6" w:space="0" w:color="000000"/>
              <w:right w:val="single" w:sz="6" w:space="0" w:color="000000"/>
            </w:tcBorders>
            <w:shd w:val="clear" w:color="auto" w:fill="F2F2F2"/>
          </w:tcPr>
          <w:p>
            <w:pPr>
              <w:pStyle w:val="TableParagraph"/>
              <w:spacing w:before="119"/>
              <w:ind w:left="18" w:right="1"/>
              <w:jc w:val="center"/>
              <w:rPr>
                <w:sz w:val="20"/>
              </w:rPr>
            </w:pPr>
            <w:r>
              <w:rPr>
                <w:spacing w:val="-5"/>
                <w:sz w:val="20"/>
              </w:rPr>
              <w:t>1.</w:t>
            </w:r>
          </w:p>
        </w:tc>
        <w:tc>
          <w:tcPr>
            <w:tcW w:w="1493" w:type="dxa"/>
            <w:tcBorders>
              <w:top w:val="single" w:sz="6" w:space="0" w:color="000000"/>
              <w:left w:val="single" w:sz="6" w:space="0" w:color="000000"/>
              <w:bottom w:val="single" w:sz="6" w:space="0" w:color="000000"/>
              <w:right w:val="single" w:sz="6" w:space="0" w:color="000000"/>
            </w:tcBorders>
            <w:shd w:val="clear" w:color="auto" w:fill="F2F2F2"/>
          </w:tcPr>
          <w:p>
            <w:pPr>
              <w:pStyle w:val="TableParagraph"/>
              <w:spacing w:before="119"/>
              <w:ind w:left="29"/>
              <w:jc w:val="center"/>
              <w:rPr>
                <w:sz w:val="20"/>
              </w:rPr>
            </w:pPr>
            <w:r>
              <w:rPr>
                <w:spacing w:val="-2"/>
                <w:sz w:val="20"/>
              </w:rPr>
              <w:t>III.A.</w:t>
            </w:r>
          </w:p>
        </w:tc>
        <w:tc>
          <w:tcPr>
            <w:tcW w:w="6646" w:type="dxa"/>
            <w:tcBorders>
              <w:top w:val="single" w:sz="6" w:space="0" w:color="000000"/>
              <w:left w:val="single" w:sz="6" w:space="0" w:color="000000"/>
              <w:bottom w:val="single" w:sz="6" w:space="0" w:color="000000"/>
            </w:tcBorders>
          </w:tcPr>
          <w:p>
            <w:pPr>
              <w:pStyle w:val="TableParagraph"/>
              <w:spacing w:before="119"/>
              <w:ind w:right="74"/>
              <w:jc w:val="right"/>
              <w:rPr>
                <w:sz w:val="20"/>
              </w:rPr>
            </w:pPr>
            <w:r>
              <w:rPr>
                <w:spacing w:val="-2"/>
                <w:sz w:val="20"/>
              </w:rPr>
              <w:t>$3,891,452</w:t>
            </w:r>
          </w:p>
        </w:tc>
      </w:tr>
      <w:tr>
        <w:trPr>
          <w:trHeight w:val="469" w:hRule="atLeast"/>
        </w:trPr>
        <w:tc>
          <w:tcPr>
            <w:tcW w:w="1222" w:type="dxa"/>
            <w:tcBorders>
              <w:top w:val="single" w:sz="6" w:space="0" w:color="000000"/>
              <w:bottom w:val="single" w:sz="6" w:space="0" w:color="000000"/>
              <w:right w:val="single" w:sz="6" w:space="0" w:color="000000"/>
            </w:tcBorders>
            <w:shd w:val="clear" w:color="auto" w:fill="F2F2F2"/>
          </w:tcPr>
          <w:p>
            <w:pPr>
              <w:pStyle w:val="TableParagraph"/>
              <w:spacing w:before="119"/>
              <w:ind w:left="18" w:right="1"/>
              <w:jc w:val="center"/>
              <w:rPr>
                <w:sz w:val="20"/>
              </w:rPr>
            </w:pPr>
            <w:r>
              <w:rPr>
                <w:spacing w:val="-5"/>
                <w:sz w:val="20"/>
              </w:rPr>
              <w:t>2.</w:t>
            </w:r>
          </w:p>
        </w:tc>
        <w:tc>
          <w:tcPr>
            <w:tcW w:w="1493" w:type="dxa"/>
            <w:tcBorders>
              <w:top w:val="single" w:sz="6" w:space="0" w:color="000000"/>
              <w:left w:val="single" w:sz="6" w:space="0" w:color="000000"/>
              <w:bottom w:val="single" w:sz="6" w:space="0" w:color="000000"/>
              <w:right w:val="single" w:sz="6" w:space="0" w:color="000000"/>
            </w:tcBorders>
            <w:shd w:val="clear" w:color="auto" w:fill="F2F2F2"/>
          </w:tcPr>
          <w:p>
            <w:pPr>
              <w:pStyle w:val="TableParagraph"/>
              <w:spacing w:before="119"/>
              <w:ind w:left="29"/>
              <w:jc w:val="center"/>
              <w:rPr>
                <w:sz w:val="20"/>
              </w:rPr>
            </w:pPr>
            <w:r>
              <w:rPr>
                <w:spacing w:val="-2"/>
                <w:sz w:val="20"/>
              </w:rPr>
              <w:t>III.B.</w:t>
            </w:r>
          </w:p>
        </w:tc>
        <w:tc>
          <w:tcPr>
            <w:tcW w:w="6646" w:type="dxa"/>
            <w:tcBorders>
              <w:top w:val="single" w:sz="6" w:space="0" w:color="000000"/>
              <w:left w:val="single" w:sz="6" w:space="0" w:color="000000"/>
              <w:bottom w:val="single" w:sz="6" w:space="0" w:color="000000"/>
            </w:tcBorders>
          </w:tcPr>
          <w:p>
            <w:pPr>
              <w:pStyle w:val="TableParagraph"/>
              <w:spacing w:before="119"/>
              <w:ind w:right="74"/>
              <w:jc w:val="right"/>
              <w:rPr>
                <w:sz w:val="20"/>
              </w:rPr>
            </w:pPr>
            <w:r>
              <w:rPr>
                <w:spacing w:val="-2"/>
                <w:sz w:val="20"/>
              </w:rPr>
              <w:t>$1,948,288</w:t>
            </w:r>
          </w:p>
        </w:tc>
      </w:tr>
      <w:tr>
        <w:trPr>
          <w:trHeight w:val="469" w:hRule="atLeast"/>
        </w:trPr>
        <w:tc>
          <w:tcPr>
            <w:tcW w:w="1222" w:type="dxa"/>
            <w:tcBorders>
              <w:top w:val="single" w:sz="6" w:space="0" w:color="000000"/>
              <w:bottom w:val="single" w:sz="6" w:space="0" w:color="000000"/>
              <w:right w:val="single" w:sz="6" w:space="0" w:color="000000"/>
            </w:tcBorders>
            <w:shd w:val="clear" w:color="auto" w:fill="F2F2F2"/>
          </w:tcPr>
          <w:p>
            <w:pPr>
              <w:pStyle w:val="TableParagraph"/>
              <w:spacing w:before="119"/>
              <w:ind w:left="18" w:right="1"/>
              <w:jc w:val="center"/>
              <w:rPr>
                <w:sz w:val="20"/>
              </w:rPr>
            </w:pPr>
            <w:r>
              <w:rPr>
                <w:spacing w:val="-5"/>
                <w:sz w:val="20"/>
              </w:rPr>
              <w:t>3.</w:t>
            </w:r>
          </w:p>
        </w:tc>
        <w:tc>
          <w:tcPr>
            <w:tcW w:w="1493" w:type="dxa"/>
            <w:tcBorders>
              <w:top w:val="single" w:sz="6" w:space="0" w:color="000000"/>
              <w:left w:val="single" w:sz="6" w:space="0" w:color="000000"/>
              <w:bottom w:val="single" w:sz="6" w:space="0" w:color="000000"/>
              <w:right w:val="single" w:sz="6" w:space="0" w:color="000000"/>
            </w:tcBorders>
            <w:shd w:val="clear" w:color="auto" w:fill="F2F2F2"/>
          </w:tcPr>
          <w:p>
            <w:pPr>
              <w:pStyle w:val="TableParagraph"/>
              <w:spacing w:before="119"/>
              <w:ind w:left="29"/>
              <w:jc w:val="center"/>
              <w:rPr>
                <w:sz w:val="20"/>
              </w:rPr>
            </w:pPr>
            <w:r>
              <w:rPr>
                <w:spacing w:val="-2"/>
                <w:sz w:val="20"/>
              </w:rPr>
              <w:t>III.C.</w:t>
            </w:r>
          </w:p>
        </w:tc>
        <w:tc>
          <w:tcPr>
            <w:tcW w:w="6646" w:type="dxa"/>
            <w:tcBorders>
              <w:top w:val="single" w:sz="6" w:space="0" w:color="000000"/>
              <w:left w:val="single" w:sz="6" w:space="0" w:color="000000"/>
              <w:bottom w:val="single" w:sz="6" w:space="0" w:color="000000"/>
            </w:tcBorders>
          </w:tcPr>
          <w:p>
            <w:pPr>
              <w:pStyle w:val="TableParagraph"/>
              <w:spacing w:before="119"/>
              <w:ind w:right="75"/>
              <w:jc w:val="right"/>
              <w:rPr>
                <w:sz w:val="20"/>
              </w:rPr>
            </w:pPr>
            <w:r>
              <w:rPr>
                <w:spacing w:val="-2"/>
                <w:sz w:val="20"/>
              </w:rPr>
              <w:t>$2,411,364</w:t>
            </w:r>
          </w:p>
        </w:tc>
      </w:tr>
      <w:tr>
        <w:trPr>
          <w:trHeight w:val="469" w:hRule="atLeast"/>
        </w:trPr>
        <w:tc>
          <w:tcPr>
            <w:tcW w:w="1222" w:type="dxa"/>
            <w:tcBorders>
              <w:top w:val="single" w:sz="6" w:space="0" w:color="000000"/>
              <w:bottom w:val="single" w:sz="6" w:space="0" w:color="000000"/>
              <w:right w:val="single" w:sz="6" w:space="0" w:color="000000"/>
            </w:tcBorders>
            <w:shd w:val="clear" w:color="auto" w:fill="F2F2F2"/>
          </w:tcPr>
          <w:p>
            <w:pPr>
              <w:pStyle w:val="TableParagraph"/>
              <w:spacing w:before="119"/>
              <w:ind w:left="18" w:right="1"/>
              <w:jc w:val="center"/>
              <w:rPr>
                <w:sz w:val="20"/>
              </w:rPr>
            </w:pPr>
            <w:r>
              <w:rPr>
                <w:spacing w:val="-5"/>
                <w:sz w:val="20"/>
              </w:rPr>
              <w:t>4.</w:t>
            </w:r>
          </w:p>
        </w:tc>
        <w:tc>
          <w:tcPr>
            <w:tcW w:w="1493" w:type="dxa"/>
            <w:tcBorders>
              <w:top w:val="single" w:sz="6" w:space="0" w:color="000000"/>
              <w:left w:val="single" w:sz="6" w:space="0" w:color="000000"/>
              <w:bottom w:val="single" w:sz="6" w:space="0" w:color="000000"/>
              <w:right w:val="single" w:sz="6" w:space="0" w:color="000000"/>
            </w:tcBorders>
            <w:shd w:val="clear" w:color="auto" w:fill="F2F2F2"/>
          </w:tcPr>
          <w:p>
            <w:pPr>
              <w:pStyle w:val="TableParagraph"/>
              <w:spacing w:before="119"/>
              <w:ind w:left="29"/>
              <w:jc w:val="center"/>
              <w:rPr>
                <w:sz w:val="20"/>
              </w:rPr>
            </w:pPr>
            <w:r>
              <w:rPr>
                <w:spacing w:val="-2"/>
                <w:sz w:val="20"/>
              </w:rPr>
              <w:t>III.D.</w:t>
            </w:r>
          </w:p>
        </w:tc>
        <w:tc>
          <w:tcPr>
            <w:tcW w:w="6646" w:type="dxa"/>
            <w:tcBorders>
              <w:top w:val="single" w:sz="6" w:space="0" w:color="000000"/>
              <w:left w:val="single" w:sz="6" w:space="0" w:color="000000"/>
              <w:bottom w:val="single" w:sz="6" w:space="0" w:color="000000"/>
            </w:tcBorders>
          </w:tcPr>
          <w:p>
            <w:pPr>
              <w:pStyle w:val="TableParagraph"/>
              <w:spacing w:before="119"/>
              <w:ind w:right="74"/>
              <w:jc w:val="right"/>
              <w:rPr>
                <w:sz w:val="20"/>
              </w:rPr>
            </w:pPr>
            <w:r>
              <w:rPr>
                <w:spacing w:val="-2"/>
                <w:sz w:val="20"/>
              </w:rPr>
              <w:t>$177,000</w:t>
            </w:r>
          </w:p>
        </w:tc>
      </w:tr>
      <w:tr>
        <w:trPr>
          <w:trHeight w:val="469" w:hRule="atLeast"/>
        </w:trPr>
        <w:tc>
          <w:tcPr>
            <w:tcW w:w="1222" w:type="dxa"/>
            <w:tcBorders>
              <w:top w:val="single" w:sz="6" w:space="0" w:color="000000"/>
              <w:right w:val="single" w:sz="6" w:space="0" w:color="000000"/>
            </w:tcBorders>
            <w:shd w:val="clear" w:color="auto" w:fill="F2F2F2"/>
          </w:tcPr>
          <w:p>
            <w:pPr>
              <w:pStyle w:val="TableParagraph"/>
              <w:spacing w:before="119"/>
              <w:ind w:left="18" w:right="1"/>
              <w:jc w:val="center"/>
              <w:rPr>
                <w:sz w:val="20"/>
              </w:rPr>
            </w:pPr>
            <w:r>
              <w:rPr>
                <w:spacing w:val="-5"/>
                <w:sz w:val="20"/>
              </w:rPr>
              <w:t>5.</w:t>
            </w:r>
          </w:p>
        </w:tc>
        <w:tc>
          <w:tcPr>
            <w:tcW w:w="1493" w:type="dxa"/>
            <w:tcBorders>
              <w:top w:val="single" w:sz="6" w:space="0" w:color="000000"/>
              <w:left w:val="single" w:sz="6" w:space="0" w:color="000000"/>
              <w:right w:val="single" w:sz="6" w:space="0" w:color="000000"/>
            </w:tcBorders>
            <w:shd w:val="clear" w:color="auto" w:fill="F2F2F2"/>
          </w:tcPr>
          <w:p>
            <w:pPr>
              <w:pStyle w:val="TableParagraph"/>
              <w:spacing w:before="119"/>
              <w:ind w:left="29"/>
              <w:jc w:val="center"/>
              <w:rPr>
                <w:sz w:val="20"/>
              </w:rPr>
            </w:pPr>
            <w:r>
              <w:rPr>
                <w:spacing w:val="-2"/>
                <w:sz w:val="20"/>
              </w:rPr>
              <w:t>III.E.</w:t>
            </w:r>
          </w:p>
        </w:tc>
        <w:tc>
          <w:tcPr>
            <w:tcW w:w="6646" w:type="dxa"/>
            <w:tcBorders>
              <w:top w:val="single" w:sz="6" w:space="0" w:color="000000"/>
              <w:left w:val="single" w:sz="6" w:space="0" w:color="000000"/>
            </w:tcBorders>
          </w:tcPr>
          <w:p>
            <w:pPr>
              <w:pStyle w:val="TableParagraph"/>
              <w:spacing w:before="119"/>
              <w:ind w:right="75"/>
              <w:jc w:val="right"/>
              <w:rPr>
                <w:sz w:val="20"/>
              </w:rPr>
            </w:pPr>
            <w:r>
              <w:rPr>
                <w:spacing w:val="-2"/>
                <w:sz w:val="20"/>
              </w:rPr>
              <w:t>$100,000</w:t>
            </w:r>
          </w:p>
        </w:tc>
      </w:tr>
      <w:tr>
        <w:trPr>
          <w:trHeight w:val="469" w:hRule="atLeast"/>
        </w:trPr>
        <w:tc>
          <w:tcPr>
            <w:tcW w:w="9361" w:type="dxa"/>
            <w:gridSpan w:val="3"/>
            <w:tcBorders>
              <w:bottom w:val="single" w:sz="6" w:space="0" w:color="000000"/>
            </w:tcBorders>
            <w:shd w:val="clear" w:color="auto" w:fill="F2F2F2"/>
          </w:tcPr>
          <w:p>
            <w:pPr>
              <w:pStyle w:val="TableParagraph"/>
              <w:spacing w:before="119"/>
              <w:ind w:left="105"/>
              <w:rPr>
                <w:sz w:val="20"/>
              </w:rPr>
            </w:pPr>
            <w:r>
              <w:rPr>
                <w:b/>
                <w:sz w:val="20"/>
              </w:rPr>
              <w:t>Enter</w:t>
            </w:r>
            <w:r>
              <w:rPr>
                <w:b/>
                <w:spacing w:val="-9"/>
                <w:sz w:val="20"/>
              </w:rPr>
              <w:t> </w:t>
            </w:r>
            <w:r>
              <w:rPr>
                <w:b/>
                <w:sz w:val="20"/>
              </w:rPr>
              <w:t>any</w:t>
            </w:r>
            <w:r>
              <w:rPr>
                <w:b/>
                <w:spacing w:val="-7"/>
                <w:sz w:val="20"/>
              </w:rPr>
              <w:t> </w:t>
            </w:r>
            <w:r>
              <w:rPr>
                <w:b/>
                <w:sz w:val="20"/>
              </w:rPr>
              <w:t>Indirect</w:t>
            </w:r>
            <w:r>
              <w:rPr>
                <w:b/>
                <w:spacing w:val="-7"/>
                <w:sz w:val="20"/>
              </w:rPr>
              <w:t> </w:t>
            </w:r>
            <w:r>
              <w:rPr>
                <w:b/>
                <w:sz w:val="20"/>
              </w:rPr>
              <w:t>Costs</w:t>
            </w:r>
            <w:r>
              <w:rPr>
                <w:b/>
                <w:spacing w:val="-7"/>
                <w:sz w:val="20"/>
              </w:rPr>
              <w:t> </w:t>
            </w:r>
            <w:r>
              <w:rPr>
                <w:b/>
                <w:sz w:val="20"/>
              </w:rPr>
              <w:t>to</w:t>
            </w:r>
            <w:r>
              <w:rPr>
                <w:b/>
                <w:spacing w:val="-7"/>
                <w:sz w:val="20"/>
              </w:rPr>
              <w:t> </w:t>
            </w:r>
            <w:r>
              <w:rPr>
                <w:b/>
                <w:sz w:val="20"/>
              </w:rPr>
              <w:t>be</w:t>
            </w:r>
            <w:r>
              <w:rPr>
                <w:b/>
                <w:spacing w:val="-8"/>
                <w:sz w:val="20"/>
              </w:rPr>
              <w:t> </w:t>
            </w:r>
            <w:r>
              <w:rPr>
                <w:b/>
                <w:sz w:val="20"/>
              </w:rPr>
              <w:t>Charged</w:t>
            </w:r>
            <w:r>
              <w:rPr>
                <w:b/>
                <w:spacing w:val="-7"/>
                <w:sz w:val="20"/>
              </w:rPr>
              <w:t> </w:t>
            </w:r>
            <w:r>
              <w:rPr>
                <w:sz w:val="20"/>
              </w:rPr>
              <w:t>(See</w:t>
            </w:r>
            <w:r>
              <w:rPr>
                <w:spacing w:val="-7"/>
                <w:sz w:val="20"/>
              </w:rPr>
              <w:t> </w:t>
            </w:r>
            <w:r>
              <w:rPr>
                <w:sz w:val="20"/>
              </w:rPr>
              <w:t>Section</w:t>
            </w:r>
            <w:r>
              <w:rPr>
                <w:spacing w:val="-7"/>
                <w:sz w:val="20"/>
              </w:rPr>
              <w:t> </w:t>
            </w:r>
            <w:r>
              <w:rPr>
                <w:sz w:val="20"/>
              </w:rPr>
              <w:t>IV.B</w:t>
            </w:r>
            <w:r>
              <w:rPr>
                <w:spacing w:val="-8"/>
                <w:sz w:val="20"/>
              </w:rPr>
              <w:t> </w:t>
            </w:r>
            <w:r>
              <w:rPr>
                <w:sz w:val="20"/>
              </w:rPr>
              <w:t>of</w:t>
            </w:r>
            <w:r>
              <w:rPr>
                <w:spacing w:val="-7"/>
                <w:sz w:val="20"/>
              </w:rPr>
              <w:t> </w:t>
            </w:r>
            <w:r>
              <w:rPr>
                <w:sz w:val="20"/>
              </w:rPr>
              <w:t>this</w:t>
            </w:r>
            <w:r>
              <w:rPr>
                <w:spacing w:val="-6"/>
                <w:sz w:val="20"/>
              </w:rPr>
              <w:t> </w:t>
            </w:r>
            <w:r>
              <w:rPr>
                <w:spacing w:val="-2"/>
                <w:sz w:val="20"/>
              </w:rPr>
              <w:t>application.)</w:t>
            </w:r>
          </w:p>
        </w:tc>
      </w:tr>
      <w:tr>
        <w:trPr>
          <w:trHeight w:val="469" w:hRule="atLeast"/>
        </w:trPr>
        <w:tc>
          <w:tcPr>
            <w:tcW w:w="1222" w:type="dxa"/>
            <w:tcBorders>
              <w:top w:val="single" w:sz="6" w:space="0" w:color="000000"/>
              <w:right w:val="single" w:sz="6" w:space="0" w:color="000000"/>
            </w:tcBorders>
            <w:shd w:val="clear" w:color="auto" w:fill="F2F2F2"/>
          </w:tcPr>
          <w:p>
            <w:pPr>
              <w:pStyle w:val="TableParagraph"/>
              <w:spacing w:before="119"/>
              <w:ind w:left="18" w:right="1"/>
              <w:jc w:val="center"/>
              <w:rPr>
                <w:sz w:val="20"/>
              </w:rPr>
            </w:pPr>
            <w:r>
              <w:rPr>
                <w:spacing w:val="-5"/>
                <w:sz w:val="20"/>
              </w:rPr>
              <w:t>6.</w:t>
            </w:r>
          </w:p>
        </w:tc>
        <w:tc>
          <w:tcPr>
            <w:tcW w:w="1493" w:type="dxa"/>
            <w:tcBorders>
              <w:top w:val="single" w:sz="6" w:space="0" w:color="000000"/>
              <w:left w:val="single" w:sz="6" w:space="0" w:color="000000"/>
              <w:right w:val="single" w:sz="6" w:space="0" w:color="000000"/>
            </w:tcBorders>
            <w:shd w:val="clear" w:color="auto" w:fill="F2F2F2"/>
          </w:tcPr>
          <w:p>
            <w:pPr>
              <w:pStyle w:val="TableParagraph"/>
              <w:spacing w:before="119"/>
              <w:ind w:left="29"/>
              <w:jc w:val="center"/>
              <w:rPr>
                <w:sz w:val="20"/>
              </w:rPr>
            </w:pPr>
            <w:r>
              <w:rPr>
                <w:spacing w:val="-4"/>
                <w:sz w:val="20"/>
              </w:rPr>
              <w:t>IV.B</w:t>
            </w:r>
          </w:p>
        </w:tc>
        <w:tc>
          <w:tcPr>
            <w:tcW w:w="6646" w:type="dxa"/>
            <w:tcBorders>
              <w:top w:val="single" w:sz="6" w:space="0" w:color="000000"/>
              <w:left w:val="single" w:sz="6" w:space="0" w:color="000000"/>
            </w:tcBorders>
          </w:tcPr>
          <w:p>
            <w:pPr>
              <w:pStyle w:val="TableParagraph"/>
              <w:spacing w:before="119"/>
              <w:ind w:right="75"/>
              <w:jc w:val="right"/>
              <w:rPr>
                <w:sz w:val="20"/>
              </w:rPr>
            </w:pPr>
            <w:r>
              <w:rPr>
                <w:spacing w:val="-5"/>
                <w:sz w:val="20"/>
              </w:rPr>
              <w:t>$0</w:t>
            </w:r>
          </w:p>
        </w:tc>
      </w:tr>
      <w:tr>
        <w:trPr>
          <w:trHeight w:val="699" w:hRule="atLeast"/>
        </w:trPr>
        <w:tc>
          <w:tcPr>
            <w:tcW w:w="1222" w:type="dxa"/>
            <w:tcBorders>
              <w:right w:val="single" w:sz="6" w:space="0" w:color="000000"/>
            </w:tcBorders>
            <w:shd w:val="clear" w:color="auto" w:fill="F2F2F2"/>
          </w:tcPr>
          <w:p>
            <w:pPr>
              <w:pStyle w:val="TableParagraph"/>
              <w:spacing w:before="119"/>
              <w:ind w:left="18" w:right="1"/>
              <w:jc w:val="center"/>
              <w:rPr>
                <w:b/>
                <w:sz w:val="20"/>
              </w:rPr>
            </w:pPr>
            <w:r>
              <w:rPr>
                <w:b/>
                <w:spacing w:val="-2"/>
                <w:sz w:val="20"/>
              </w:rPr>
              <w:t>Total</w:t>
            </w:r>
          </w:p>
          <w:p>
            <w:pPr>
              <w:pStyle w:val="TableParagraph"/>
              <w:ind w:left="18" w:right="1"/>
              <w:jc w:val="center"/>
              <w:rPr>
                <w:sz w:val="20"/>
              </w:rPr>
            </w:pPr>
            <w:r>
              <w:rPr>
                <w:sz w:val="20"/>
              </w:rPr>
              <w:t>(Rows</w:t>
            </w:r>
            <w:r>
              <w:rPr>
                <w:spacing w:val="-9"/>
                <w:sz w:val="20"/>
              </w:rPr>
              <w:t> </w:t>
            </w:r>
            <w:r>
              <w:rPr>
                <w:sz w:val="20"/>
              </w:rPr>
              <w:t>1-</w:t>
            </w:r>
            <w:r>
              <w:rPr>
                <w:spacing w:val="-5"/>
                <w:sz w:val="20"/>
              </w:rPr>
              <w:t>6)</w:t>
            </w:r>
          </w:p>
        </w:tc>
        <w:tc>
          <w:tcPr>
            <w:tcW w:w="1493" w:type="dxa"/>
            <w:tcBorders>
              <w:left w:val="single" w:sz="6" w:space="0" w:color="000000"/>
              <w:right w:val="single" w:sz="6" w:space="0" w:color="000000"/>
            </w:tcBorders>
            <w:shd w:val="clear" w:color="auto" w:fill="808080"/>
          </w:tcPr>
          <w:p>
            <w:pPr>
              <w:pStyle w:val="TableParagraph"/>
              <w:rPr>
                <w:rFonts w:ascii="Times New Roman"/>
                <w:sz w:val="18"/>
              </w:rPr>
            </w:pPr>
          </w:p>
        </w:tc>
        <w:tc>
          <w:tcPr>
            <w:tcW w:w="6646" w:type="dxa"/>
            <w:tcBorders>
              <w:left w:val="single" w:sz="6" w:space="0" w:color="000000"/>
            </w:tcBorders>
          </w:tcPr>
          <w:p>
            <w:pPr>
              <w:pStyle w:val="TableParagraph"/>
              <w:spacing w:before="119"/>
              <w:ind w:right="75"/>
              <w:jc w:val="right"/>
              <w:rPr>
                <w:sz w:val="20"/>
              </w:rPr>
            </w:pPr>
            <w:r>
              <w:rPr>
                <w:spacing w:val="-2"/>
                <w:sz w:val="20"/>
              </w:rPr>
              <w:t>$8,528,104</w:t>
            </w:r>
          </w:p>
        </w:tc>
      </w:tr>
    </w:tbl>
    <w:p>
      <w:pPr>
        <w:pStyle w:val="TableParagraph"/>
        <w:spacing w:after="0"/>
        <w:jc w:val="right"/>
        <w:rPr>
          <w:sz w:val="20"/>
        </w:rPr>
        <w:sectPr>
          <w:pgSz w:w="12240" w:h="15840"/>
          <w:pgMar w:header="0" w:footer="879" w:top="1380" w:bottom="1060" w:left="720" w:right="720"/>
        </w:sectPr>
      </w:pPr>
    </w:p>
    <w:p>
      <w:pPr>
        <w:spacing w:before="76"/>
        <w:ind w:left="724" w:right="0" w:firstLine="0"/>
        <w:jc w:val="left"/>
        <w:rPr>
          <w:b/>
          <w:sz w:val="28"/>
        </w:rPr>
      </w:pPr>
      <w:r>
        <w:rPr>
          <w:b/>
          <w:sz w:val="28"/>
        </w:rPr>
        <mc:AlternateContent>
          <mc:Choice Requires="wps">
            <w:drawing>
              <wp:anchor distT="0" distB="0" distL="0" distR="0" allowOverlap="1" layoutInCell="1" locked="0" behindDoc="1" simplePos="0" relativeHeight="487595520">
                <wp:simplePos x="0" y="0"/>
                <wp:positionH relativeFrom="page">
                  <wp:posOffset>899232</wp:posOffset>
                </wp:positionH>
                <wp:positionV relativeFrom="paragraph">
                  <wp:posOffset>264232</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5702pt;margin-top:20.805700pt;width:470.88pt;height:1.44pt;mso-position-horizontal-relative:page;mso-position-vertical-relative:paragraph;z-index:-15720960;mso-wrap-distance-left:0;mso-wrap-distance-right:0" id="docshape27" filled="true" fillcolor="#000000" stroked="false">
                <v:fill type="solid"/>
                <w10:wrap type="topAndBottom"/>
              </v:rect>
            </w:pict>
          </mc:Fallback>
        </mc:AlternateContent>
      </w:r>
      <w:r>
        <w:rPr>
          <w:b/>
          <w:smallCaps/>
          <w:sz w:val="28"/>
        </w:rPr>
        <w:t>Section</w:t>
      </w:r>
      <w:r>
        <w:rPr>
          <w:b/>
          <w:smallCaps/>
          <w:spacing w:val="-7"/>
          <w:sz w:val="28"/>
        </w:rPr>
        <w:t> </w:t>
      </w:r>
      <w:r>
        <w:rPr>
          <w:b/>
          <w:smallCaps/>
          <w:spacing w:val="-5"/>
          <w:sz w:val="28"/>
        </w:rPr>
        <w:t>IV</w:t>
      </w:r>
    </w:p>
    <w:p>
      <w:pPr>
        <w:pStyle w:val="Heading1"/>
        <w:numPr>
          <w:ilvl w:val="0"/>
          <w:numId w:val="32"/>
        </w:numPr>
        <w:tabs>
          <w:tab w:pos="1123" w:val="left" w:leader="none"/>
        </w:tabs>
        <w:spacing w:line="240" w:lineRule="auto" w:before="240" w:after="0"/>
        <w:ind w:left="1123" w:right="0" w:hanging="399"/>
        <w:jc w:val="left"/>
      </w:pPr>
      <w:r>
        <w:rPr/>
        <w:t>System</w:t>
      </w:r>
      <w:r>
        <w:rPr>
          <w:spacing w:val="-7"/>
        </w:rPr>
        <w:t> </w:t>
      </w:r>
      <w:r>
        <w:rPr/>
        <w:t>of</w:t>
      </w:r>
      <w:r>
        <w:rPr>
          <w:spacing w:val="-4"/>
        </w:rPr>
        <w:t> </w:t>
      </w:r>
      <w:r>
        <w:rPr/>
        <w:t>Payments</w:t>
      </w:r>
      <w:r>
        <w:rPr>
          <w:spacing w:val="-4"/>
        </w:rPr>
        <w:t> </w:t>
      </w:r>
      <w:r>
        <w:rPr/>
        <w:t>/</w:t>
      </w:r>
      <w:r>
        <w:rPr>
          <w:spacing w:val="-5"/>
        </w:rPr>
        <w:t> </w:t>
      </w:r>
      <w:r>
        <w:rPr/>
        <w:t>Use</w:t>
      </w:r>
      <w:r>
        <w:rPr>
          <w:spacing w:val="-4"/>
        </w:rPr>
        <w:t> </w:t>
      </w:r>
      <w:r>
        <w:rPr/>
        <w:t>of</w:t>
      </w:r>
      <w:r>
        <w:rPr>
          <w:spacing w:val="-4"/>
        </w:rPr>
        <w:t> </w:t>
      </w:r>
      <w:r>
        <w:rPr/>
        <w:t>Insurance</w:t>
      </w:r>
      <w:r>
        <w:rPr>
          <w:spacing w:val="-5"/>
        </w:rPr>
        <w:t> </w:t>
      </w:r>
      <w:r>
        <w:rPr/>
        <w:t>/</w:t>
      </w:r>
      <w:r>
        <w:rPr>
          <w:spacing w:val="-4"/>
        </w:rPr>
        <w:t> </w:t>
      </w:r>
      <w:r>
        <w:rPr/>
        <w:t>Program</w:t>
      </w:r>
      <w:r>
        <w:rPr>
          <w:spacing w:val="-4"/>
        </w:rPr>
        <w:t> </w:t>
      </w:r>
      <w:r>
        <w:rPr>
          <w:spacing w:val="-2"/>
        </w:rPr>
        <w:t>Income</w:t>
      </w:r>
    </w:p>
    <w:p>
      <w:pPr>
        <w:pStyle w:val="BodyText"/>
        <w:spacing w:before="241"/>
        <w:ind w:left="724"/>
      </w:pPr>
      <w:r>
        <w:rPr/>
        <w:t>The</w:t>
      </w:r>
      <w:r>
        <w:rPr>
          <w:spacing w:val="-4"/>
        </w:rPr>
        <w:t> </w:t>
      </w:r>
      <w:r>
        <w:rPr>
          <w:spacing w:val="-2"/>
        </w:rPr>
        <w:t>State</w:t>
      </w:r>
    </w:p>
    <w:p>
      <w:pPr>
        <w:pStyle w:val="BodyText"/>
        <w:spacing w:before="120"/>
        <w:ind w:left="724"/>
      </w:pPr>
      <w:r>
        <w:rPr>
          <w:rFonts w:ascii="Times New Roman"/>
          <w:spacing w:val="58"/>
          <w:u w:val="single"/>
        </w:rPr>
        <w:t>  </w:t>
      </w:r>
      <w:r>
        <w:rPr>
          <w:u w:val="none"/>
        </w:rPr>
        <w:t>X_</w:t>
      </w:r>
      <w:r>
        <w:rPr>
          <w:spacing w:val="-2"/>
          <w:u w:val="none"/>
        </w:rPr>
        <w:t> </w:t>
      </w:r>
      <w:r>
        <w:rPr>
          <w:u w:val="none"/>
        </w:rPr>
        <w:t>does</w:t>
      </w:r>
      <w:r>
        <w:rPr>
          <w:spacing w:val="-3"/>
          <w:u w:val="none"/>
        </w:rPr>
        <w:t> </w:t>
      </w:r>
      <w:r>
        <w:rPr>
          <w:u w:val="none"/>
        </w:rPr>
        <w:t>(check</w:t>
      </w:r>
      <w:r>
        <w:rPr>
          <w:spacing w:val="-2"/>
          <w:u w:val="none"/>
        </w:rPr>
        <w:t> </w:t>
      </w:r>
      <w:r>
        <w:rPr>
          <w:u w:val="none"/>
        </w:rPr>
        <w:t>as</w:t>
      </w:r>
      <w:r>
        <w:rPr>
          <w:spacing w:val="-2"/>
          <w:u w:val="none"/>
        </w:rPr>
        <w:t> applicable)</w:t>
      </w:r>
    </w:p>
    <w:p>
      <w:pPr>
        <w:pStyle w:val="BodyText"/>
        <w:tabs>
          <w:tab w:pos="1280" w:val="left" w:leader="none"/>
        </w:tabs>
        <w:spacing w:before="121"/>
        <w:ind w:left="724"/>
      </w:pPr>
      <w:r>
        <w:rPr>
          <w:rFonts w:ascii="Times New Roman"/>
          <w:u w:val="single"/>
        </w:rPr>
        <w:tab/>
      </w:r>
      <w:r>
        <w:rPr>
          <w:rFonts w:ascii="Times New Roman"/>
          <w:u w:val="none"/>
        </w:rPr>
        <w:t> </w:t>
      </w:r>
      <w:r>
        <w:rPr>
          <w:u w:val="none"/>
        </w:rPr>
        <w:t>does</w:t>
      </w:r>
      <w:r>
        <w:rPr>
          <w:spacing w:val="-1"/>
          <w:u w:val="none"/>
        </w:rPr>
        <w:t> </w:t>
      </w:r>
      <w:r>
        <w:rPr>
          <w:u w:val="none"/>
        </w:rPr>
        <w:t>not</w:t>
      </w:r>
      <w:r>
        <w:rPr>
          <w:spacing w:val="-1"/>
          <w:u w:val="none"/>
        </w:rPr>
        <w:t> </w:t>
      </w:r>
      <w:r>
        <w:rPr>
          <w:u w:val="none"/>
        </w:rPr>
        <w:t>(check</w:t>
      </w:r>
      <w:r>
        <w:rPr>
          <w:spacing w:val="-1"/>
          <w:u w:val="none"/>
        </w:rPr>
        <w:t> </w:t>
      </w:r>
      <w:r>
        <w:rPr>
          <w:u w:val="none"/>
        </w:rPr>
        <w:t>as</w:t>
      </w:r>
      <w:r>
        <w:rPr>
          <w:spacing w:val="-1"/>
          <w:u w:val="none"/>
        </w:rPr>
        <w:t> </w:t>
      </w:r>
      <w:r>
        <w:rPr>
          <w:u w:val="none"/>
        </w:rPr>
        <w:t>applicable)</w:t>
      </w:r>
    </w:p>
    <w:p>
      <w:pPr>
        <w:pStyle w:val="BodyText"/>
        <w:spacing w:before="120"/>
        <w:ind w:left="724"/>
      </w:pPr>
      <w:r>
        <w:rPr/>
        <w:t>have</w:t>
      </w:r>
      <w:r>
        <w:rPr>
          <w:spacing w:val="-8"/>
        </w:rPr>
        <w:t> </w:t>
      </w:r>
      <w:r>
        <w:rPr/>
        <w:t>a</w:t>
      </w:r>
      <w:r>
        <w:rPr>
          <w:spacing w:val="-6"/>
        </w:rPr>
        <w:t> </w:t>
      </w:r>
      <w:r>
        <w:rPr/>
        <w:t>system</w:t>
      </w:r>
      <w:r>
        <w:rPr>
          <w:spacing w:val="-6"/>
        </w:rPr>
        <w:t> </w:t>
      </w:r>
      <w:r>
        <w:rPr/>
        <w:t>of</w:t>
      </w:r>
      <w:r>
        <w:rPr>
          <w:spacing w:val="-6"/>
        </w:rPr>
        <w:t> </w:t>
      </w:r>
      <w:r>
        <w:rPr/>
        <w:t>payments</w:t>
      </w:r>
      <w:r>
        <w:rPr>
          <w:spacing w:val="-6"/>
        </w:rPr>
        <w:t> </w:t>
      </w:r>
      <w:r>
        <w:rPr/>
        <w:t>for</w:t>
      </w:r>
      <w:r>
        <w:rPr>
          <w:spacing w:val="-6"/>
        </w:rPr>
        <w:t> </w:t>
      </w:r>
      <w:r>
        <w:rPr/>
        <w:t>Part</w:t>
      </w:r>
      <w:r>
        <w:rPr>
          <w:spacing w:val="-5"/>
        </w:rPr>
        <w:t> </w:t>
      </w:r>
      <w:r>
        <w:rPr/>
        <w:t>C</w:t>
      </w:r>
      <w:r>
        <w:rPr>
          <w:spacing w:val="-7"/>
        </w:rPr>
        <w:t> </w:t>
      </w:r>
      <w:r>
        <w:rPr/>
        <w:t>services</w:t>
      </w:r>
      <w:r>
        <w:rPr>
          <w:spacing w:val="-5"/>
        </w:rPr>
        <w:t> </w:t>
      </w:r>
      <w:r>
        <w:rPr/>
        <w:t>under</w:t>
      </w:r>
      <w:r>
        <w:rPr>
          <w:spacing w:val="-6"/>
        </w:rPr>
        <w:t> </w:t>
      </w:r>
      <w:r>
        <w:rPr/>
        <w:t>34</w:t>
      </w:r>
      <w:r>
        <w:rPr>
          <w:spacing w:val="-6"/>
        </w:rPr>
        <w:t> </w:t>
      </w:r>
      <w:r>
        <w:rPr/>
        <w:t>CFR</w:t>
      </w:r>
      <w:r>
        <w:rPr>
          <w:spacing w:val="-6"/>
        </w:rPr>
        <w:t> </w:t>
      </w:r>
      <w:r>
        <w:rPr/>
        <w:t>§§303.203(b)(1),</w:t>
      </w:r>
      <w:r>
        <w:rPr>
          <w:spacing w:val="-6"/>
        </w:rPr>
        <w:t> </w:t>
      </w:r>
      <w:r>
        <w:rPr/>
        <w:t>303.500(b),</w:t>
      </w:r>
      <w:r>
        <w:rPr>
          <w:spacing w:val="-6"/>
        </w:rPr>
        <w:t> </w:t>
      </w:r>
      <w:r>
        <w:rPr/>
        <w:t>303.520,</w:t>
      </w:r>
      <w:r>
        <w:rPr>
          <w:spacing w:val="-5"/>
        </w:rPr>
        <w:t> and</w:t>
      </w:r>
    </w:p>
    <w:p>
      <w:pPr>
        <w:pStyle w:val="BodyText"/>
        <w:ind w:left="724" w:right="798"/>
      </w:pPr>
      <w:r>
        <w:rPr/>
        <w:t>303.521</w:t>
      </w:r>
      <w:r>
        <w:rPr>
          <w:spacing w:val="-4"/>
        </w:rPr>
        <w:t> </w:t>
      </w:r>
      <w:r>
        <w:rPr/>
        <w:t>which</w:t>
      </w:r>
      <w:r>
        <w:rPr>
          <w:spacing w:val="-3"/>
        </w:rPr>
        <w:t> </w:t>
      </w:r>
      <w:r>
        <w:rPr/>
        <w:t>may</w:t>
      </w:r>
      <w:r>
        <w:rPr>
          <w:spacing w:val="-3"/>
        </w:rPr>
        <w:t> </w:t>
      </w:r>
      <w:r>
        <w:rPr/>
        <w:t>include</w:t>
      </w:r>
      <w:r>
        <w:rPr>
          <w:spacing w:val="-3"/>
        </w:rPr>
        <w:t> </w:t>
      </w:r>
      <w:r>
        <w:rPr/>
        <w:t>the</w:t>
      </w:r>
      <w:r>
        <w:rPr>
          <w:spacing w:val="-3"/>
        </w:rPr>
        <w:t> </w:t>
      </w:r>
      <w:r>
        <w:rPr/>
        <w:t>use</w:t>
      </w:r>
      <w:r>
        <w:rPr>
          <w:spacing w:val="-3"/>
        </w:rPr>
        <w:t> </w:t>
      </w:r>
      <w:r>
        <w:rPr/>
        <w:t>of</w:t>
      </w:r>
      <w:r>
        <w:rPr>
          <w:spacing w:val="-3"/>
        </w:rPr>
        <w:t> </w:t>
      </w:r>
      <w:r>
        <w:rPr/>
        <w:t>public</w:t>
      </w:r>
      <w:r>
        <w:rPr>
          <w:spacing w:val="-3"/>
        </w:rPr>
        <w:t> </w:t>
      </w:r>
      <w:r>
        <w:rPr/>
        <w:t>benefits</w:t>
      </w:r>
      <w:r>
        <w:rPr>
          <w:spacing w:val="-4"/>
        </w:rPr>
        <w:t> </w:t>
      </w:r>
      <w:r>
        <w:rPr/>
        <w:t>or</w:t>
      </w:r>
      <w:r>
        <w:rPr>
          <w:spacing w:val="-3"/>
        </w:rPr>
        <w:t> </w:t>
      </w:r>
      <w:r>
        <w:rPr/>
        <w:t>insurance,</w:t>
      </w:r>
      <w:r>
        <w:rPr>
          <w:spacing w:val="-3"/>
        </w:rPr>
        <w:t> </w:t>
      </w:r>
      <w:r>
        <w:rPr/>
        <w:t>private</w:t>
      </w:r>
      <w:r>
        <w:rPr>
          <w:spacing w:val="-3"/>
        </w:rPr>
        <w:t> </w:t>
      </w:r>
      <w:r>
        <w:rPr/>
        <w:t>insurance</w:t>
      </w:r>
      <w:r>
        <w:rPr>
          <w:spacing w:val="-3"/>
        </w:rPr>
        <w:t> </w:t>
      </w:r>
      <w:r>
        <w:rPr/>
        <w:t>or</w:t>
      </w:r>
      <w:r>
        <w:rPr>
          <w:spacing w:val="-3"/>
        </w:rPr>
        <w:t> </w:t>
      </w:r>
      <w:r>
        <w:rPr/>
        <w:t>family</w:t>
      </w:r>
      <w:r>
        <w:rPr>
          <w:spacing w:val="-3"/>
        </w:rPr>
        <w:t> </w:t>
      </w:r>
      <w:r>
        <w:rPr/>
        <w:t>fees,</w:t>
      </w:r>
      <w:r>
        <w:rPr>
          <w:spacing w:val="-3"/>
        </w:rPr>
        <w:t> </w:t>
      </w:r>
      <w:r>
        <w:rPr/>
        <w:t>such as a sliding scale.</w:t>
      </w:r>
      <w:r>
        <w:rPr>
          <w:spacing w:val="40"/>
        </w:rPr>
        <w:t> </w:t>
      </w:r>
      <w:r>
        <w:rPr/>
        <w:t>Any family fees collected are treated as “program income” for purposes of 2 CFR</w:t>
      </w:r>
    </w:p>
    <w:p>
      <w:pPr>
        <w:pStyle w:val="BodyText"/>
        <w:ind w:left="724"/>
      </w:pPr>
      <w:r>
        <w:rPr/>
        <w:t>§200.307(e)</w:t>
      </w:r>
      <w:r>
        <w:rPr>
          <w:spacing w:val="-3"/>
        </w:rPr>
        <w:t> </w:t>
      </w:r>
      <w:r>
        <w:rPr/>
        <w:t>and</w:t>
      </w:r>
      <w:r>
        <w:rPr>
          <w:spacing w:val="-3"/>
        </w:rPr>
        <w:t> </w:t>
      </w:r>
      <w:r>
        <w:rPr/>
        <w:t>34</w:t>
      </w:r>
      <w:r>
        <w:rPr>
          <w:spacing w:val="-3"/>
        </w:rPr>
        <w:t> </w:t>
      </w:r>
      <w:r>
        <w:rPr/>
        <w:t>CFR</w:t>
      </w:r>
      <w:r>
        <w:rPr>
          <w:spacing w:val="-4"/>
        </w:rPr>
        <w:t> </w:t>
      </w:r>
      <w:r>
        <w:rPr/>
        <w:t>§303.520(e)</w:t>
      </w:r>
      <w:r>
        <w:rPr>
          <w:spacing w:val="-3"/>
        </w:rPr>
        <w:t> </w:t>
      </w:r>
      <w:r>
        <w:rPr/>
        <w:t>and</w:t>
      </w:r>
      <w:r>
        <w:rPr>
          <w:spacing w:val="-3"/>
        </w:rPr>
        <w:t> </w:t>
      </w:r>
      <w:r>
        <w:rPr/>
        <w:t>are</w:t>
      </w:r>
      <w:r>
        <w:rPr>
          <w:spacing w:val="-3"/>
        </w:rPr>
        <w:t> </w:t>
      </w:r>
      <w:r>
        <w:rPr/>
        <w:t>not</w:t>
      </w:r>
      <w:r>
        <w:rPr>
          <w:spacing w:val="-3"/>
        </w:rPr>
        <w:t> </w:t>
      </w:r>
      <w:r>
        <w:rPr/>
        <w:t>included</w:t>
      </w:r>
      <w:r>
        <w:rPr>
          <w:spacing w:val="-3"/>
        </w:rPr>
        <w:t> </w:t>
      </w:r>
      <w:r>
        <w:rPr/>
        <w:t>in</w:t>
      </w:r>
      <w:r>
        <w:rPr>
          <w:spacing w:val="-3"/>
        </w:rPr>
        <w:t> </w:t>
      </w:r>
      <w:r>
        <w:rPr/>
        <w:t>the</w:t>
      </w:r>
      <w:r>
        <w:rPr>
          <w:spacing w:val="-3"/>
        </w:rPr>
        <w:t> </w:t>
      </w:r>
      <w:r>
        <w:rPr/>
        <w:t>State's</w:t>
      </w:r>
      <w:r>
        <w:rPr>
          <w:spacing w:val="-3"/>
        </w:rPr>
        <w:t> </w:t>
      </w:r>
      <w:r>
        <w:rPr/>
        <w:t>determination</w:t>
      </w:r>
      <w:r>
        <w:rPr>
          <w:spacing w:val="-3"/>
        </w:rPr>
        <w:t> </w:t>
      </w:r>
      <w:r>
        <w:rPr/>
        <w:t>of</w:t>
      </w:r>
      <w:r>
        <w:rPr>
          <w:spacing w:val="-3"/>
        </w:rPr>
        <w:t> </w:t>
      </w:r>
      <w:r>
        <w:rPr/>
        <w:t>State</w:t>
      </w:r>
      <w:r>
        <w:rPr>
          <w:spacing w:val="-3"/>
        </w:rPr>
        <w:t> </w:t>
      </w:r>
      <w:r>
        <w:rPr/>
        <w:t>and</w:t>
      </w:r>
      <w:r>
        <w:rPr>
          <w:spacing w:val="-3"/>
        </w:rPr>
        <w:t> </w:t>
      </w:r>
      <w:r>
        <w:rPr/>
        <w:t>local expenditures for maintenance of effort and non-supplanting purposes of 20 U.S.C. 1437(b)(5)(B) and</w:t>
      </w:r>
    </w:p>
    <w:p>
      <w:pPr>
        <w:pStyle w:val="BodyText"/>
        <w:ind w:left="724"/>
      </w:pPr>
      <w:r>
        <w:rPr/>
        <w:t>34</w:t>
      </w:r>
      <w:r>
        <w:rPr>
          <w:spacing w:val="-6"/>
        </w:rPr>
        <w:t> </w:t>
      </w:r>
      <w:r>
        <w:rPr/>
        <w:t>CFR</w:t>
      </w:r>
      <w:r>
        <w:rPr>
          <w:spacing w:val="-5"/>
        </w:rPr>
        <w:t> </w:t>
      </w:r>
      <w:r>
        <w:rPr/>
        <w:t>§303.225(a)</w:t>
      </w:r>
      <w:r>
        <w:rPr>
          <w:spacing w:val="-5"/>
        </w:rPr>
        <w:t> </w:t>
      </w:r>
      <w:r>
        <w:rPr/>
        <w:t>and</w:t>
      </w:r>
      <w:r>
        <w:rPr>
          <w:spacing w:val="-5"/>
        </w:rPr>
        <w:t> </w:t>
      </w:r>
      <w:r>
        <w:rPr>
          <w:spacing w:val="-4"/>
        </w:rPr>
        <w:t>(b).</w:t>
      </w:r>
    </w:p>
    <w:p>
      <w:pPr>
        <w:spacing w:line="244" w:lineRule="auto" w:before="117"/>
        <w:ind w:left="724" w:right="798" w:firstLine="0"/>
        <w:jc w:val="left"/>
        <w:rPr>
          <w:i/>
          <w:sz w:val="16"/>
        </w:rPr>
      </w:pPr>
      <w:r>
        <w:rPr>
          <w:i/>
          <w:sz w:val="16"/>
        </w:rPr>
        <w:t>Note:</w:t>
      </w:r>
      <w:r>
        <w:rPr>
          <w:i/>
          <w:spacing w:val="40"/>
          <w:sz w:val="16"/>
        </w:rPr>
        <w:t> </w:t>
      </w:r>
      <w:r>
        <w:rPr>
          <w:i/>
          <w:sz w:val="16"/>
        </w:rPr>
        <w:t>If</w:t>
      </w:r>
      <w:r>
        <w:rPr>
          <w:i/>
          <w:spacing w:val="-2"/>
          <w:sz w:val="16"/>
        </w:rPr>
        <w:t> </w:t>
      </w:r>
      <w:r>
        <w:rPr>
          <w:i/>
          <w:sz w:val="16"/>
        </w:rPr>
        <w:t>the</w:t>
      </w:r>
      <w:r>
        <w:rPr>
          <w:i/>
          <w:spacing w:val="-2"/>
          <w:sz w:val="16"/>
        </w:rPr>
        <w:t> </w:t>
      </w:r>
      <w:r>
        <w:rPr>
          <w:i/>
          <w:sz w:val="16"/>
        </w:rPr>
        <w:t>State</w:t>
      </w:r>
      <w:r>
        <w:rPr>
          <w:i/>
          <w:spacing w:val="-2"/>
          <w:sz w:val="16"/>
        </w:rPr>
        <w:t> </w:t>
      </w:r>
      <w:r>
        <w:rPr>
          <w:i/>
          <w:sz w:val="16"/>
        </w:rPr>
        <w:t>has</w:t>
      </w:r>
      <w:r>
        <w:rPr>
          <w:i/>
          <w:spacing w:val="-2"/>
          <w:sz w:val="16"/>
        </w:rPr>
        <w:t> </w:t>
      </w:r>
      <w:r>
        <w:rPr>
          <w:i/>
          <w:sz w:val="16"/>
        </w:rPr>
        <w:t>adopted</w:t>
      </w:r>
      <w:r>
        <w:rPr>
          <w:i/>
          <w:spacing w:val="-2"/>
          <w:sz w:val="16"/>
        </w:rPr>
        <w:t> </w:t>
      </w:r>
      <w:r>
        <w:rPr>
          <w:i/>
          <w:sz w:val="16"/>
        </w:rPr>
        <w:t>new</w:t>
      </w:r>
      <w:r>
        <w:rPr>
          <w:i/>
          <w:spacing w:val="-1"/>
          <w:sz w:val="16"/>
        </w:rPr>
        <w:t> </w:t>
      </w:r>
      <w:r>
        <w:rPr>
          <w:i/>
          <w:sz w:val="16"/>
        </w:rPr>
        <w:t>or</w:t>
      </w:r>
      <w:r>
        <w:rPr>
          <w:i/>
          <w:spacing w:val="-2"/>
          <w:sz w:val="16"/>
        </w:rPr>
        <w:t> </w:t>
      </w:r>
      <w:r>
        <w:rPr>
          <w:i/>
          <w:sz w:val="16"/>
        </w:rPr>
        <w:t>has</w:t>
      </w:r>
      <w:r>
        <w:rPr>
          <w:i/>
          <w:spacing w:val="-2"/>
          <w:sz w:val="16"/>
        </w:rPr>
        <w:t> </w:t>
      </w:r>
      <w:r>
        <w:rPr>
          <w:i/>
          <w:sz w:val="16"/>
        </w:rPr>
        <w:t>revised</w:t>
      </w:r>
      <w:r>
        <w:rPr>
          <w:i/>
          <w:spacing w:val="-2"/>
          <w:sz w:val="16"/>
        </w:rPr>
        <w:t> </w:t>
      </w:r>
      <w:r>
        <w:rPr>
          <w:i/>
          <w:sz w:val="16"/>
        </w:rPr>
        <w:t>its</w:t>
      </w:r>
      <w:r>
        <w:rPr>
          <w:i/>
          <w:spacing w:val="-2"/>
          <w:sz w:val="16"/>
        </w:rPr>
        <w:t> </w:t>
      </w:r>
      <w:r>
        <w:rPr>
          <w:i/>
          <w:sz w:val="16"/>
        </w:rPr>
        <w:t>existing</w:t>
      </w:r>
      <w:r>
        <w:rPr>
          <w:i/>
          <w:spacing w:val="-2"/>
          <w:sz w:val="16"/>
        </w:rPr>
        <w:t> </w:t>
      </w:r>
      <w:r>
        <w:rPr>
          <w:i/>
          <w:sz w:val="16"/>
        </w:rPr>
        <w:t>policies</w:t>
      </w:r>
      <w:r>
        <w:rPr>
          <w:i/>
          <w:spacing w:val="-2"/>
          <w:sz w:val="16"/>
        </w:rPr>
        <w:t> </w:t>
      </w:r>
      <w:r>
        <w:rPr>
          <w:i/>
          <w:sz w:val="16"/>
        </w:rPr>
        <w:t>and</w:t>
      </w:r>
      <w:r>
        <w:rPr>
          <w:i/>
          <w:spacing w:val="-2"/>
          <w:sz w:val="16"/>
        </w:rPr>
        <w:t> </w:t>
      </w:r>
      <w:r>
        <w:rPr>
          <w:i/>
          <w:sz w:val="16"/>
        </w:rPr>
        <w:t>procedures</w:t>
      </w:r>
      <w:r>
        <w:rPr>
          <w:i/>
          <w:spacing w:val="-2"/>
          <w:sz w:val="16"/>
        </w:rPr>
        <w:t> </w:t>
      </w:r>
      <w:r>
        <w:rPr>
          <w:i/>
          <w:sz w:val="16"/>
        </w:rPr>
        <w:t>regarding</w:t>
      </w:r>
      <w:r>
        <w:rPr>
          <w:i/>
          <w:spacing w:val="-2"/>
          <w:sz w:val="16"/>
        </w:rPr>
        <w:t> </w:t>
      </w:r>
      <w:r>
        <w:rPr>
          <w:i/>
          <w:sz w:val="16"/>
        </w:rPr>
        <w:t>its</w:t>
      </w:r>
      <w:r>
        <w:rPr>
          <w:i/>
          <w:spacing w:val="-2"/>
          <w:sz w:val="16"/>
        </w:rPr>
        <w:t> </w:t>
      </w:r>
      <w:r>
        <w:rPr>
          <w:i/>
          <w:sz w:val="16"/>
        </w:rPr>
        <w:t>system</w:t>
      </w:r>
      <w:r>
        <w:rPr>
          <w:i/>
          <w:spacing w:val="-1"/>
          <w:sz w:val="16"/>
        </w:rPr>
        <w:t> </w:t>
      </w:r>
      <w:r>
        <w:rPr>
          <w:i/>
          <w:sz w:val="16"/>
        </w:rPr>
        <w:t>of</w:t>
      </w:r>
      <w:r>
        <w:rPr>
          <w:i/>
          <w:spacing w:val="-2"/>
          <w:sz w:val="16"/>
        </w:rPr>
        <w:t> </w:t>
      </w:r>
      <w:r>
        <w:rPr>
          <w:i/>
          <w:sz w:val="16"/>
        </w:rPr>
        <w:t>payments,</w:t>
      </w:r>
      <w:r>
        <w:rPr>
          <w:i/>
          <w:spacing w:val="-2"/>
          <w:sz w:val="16"/>
        </w:rPr>
        <w:t> </w:t>
      </w:r>
      <w:r>
        <w:rPr>
          <w:i/>
          <w:sz w:val="16"/>
        </w:rPr>
        <w:t>it must</w:t>
      </w:r>
      <w:r>
        <w:rPr>
          <w:i/>
          <w:sz w:val="16"/>
        </w:rPr>
        <w:t> submit these new and/or revised policies and procedures under Item 3.a in Section II.A above.</w:t>
      </w:r>
    </w:p>
    <w:p>
      <w:pPr>
        <w:pStyle w:val="BodyText"/>
        <w:spacing w:before="51"/>
        <w:rPr>
          <w:i/>
          <w:sz w:val="16"/>
        </w:rPr>
      </w:pPr>
    </w:p>
    <w:p>
      <w:pPr>
        <w:pStyle w:val="Heading1"/>
        <w:numPr>
          <w:ilvl w:val="0"/>
          <w:numId w:val="32"/>
        </w:numPr>
        <w:tabs>
          <w:tab w:pos="1123" w:val="left" w:leader="none"/>
        </w:tabs>
        <w:spacing w:line="240" w:lineRule="auto" w:before="0" w:after="0"/>
        <w:ind w:left="1123" w:right="0" w:hanging="399"/>
        <w:jc w:val="left"/>
      </w:pPr>
      <w:r>
        <w:rPr/>
        <w:t>Restricted</w:t>
      </w:r>
      <w:r>
        <w:rPr>
          <w:spacing w:val="-8"/>
        </w:rPr>
        <w:t> </w:t>
      </w:r>
      <w:r>
        <w:rPr/>
        <w:t>Indirect</w:t>
      </w:r>
      <w:r>
        <w:rPr>
          <w:spacing w:val="-8"/>
        </w:rPr>
        <w:t> </w:t>
      </w:r>
      <w:r>
        <w:rPr/>
        <w:t>Cost</w:t>
      </w:r>
      <w:r>
        <w:rPr>
          <w:spacing w:val="-7"/>
        </w:rPr>
        <w:t> </w:t>
      </w:r>
      <w:r>
        <w:rPr/>
        <w:t>Rate/Cost</w:t>
      </w:r>
      <w:r>
        <w:rPr>
          <w:spacing w:val="-15"/>
        </w:rPr>
        <w:t> </w:t>
      </w:r>
      <w:r>
        <w:rPr/>
        <w:t>Allocation</w:t>
      </w:r>
      <w:r>
        <w:rPr>
          <w:spacing w:val="-8"/>
        </w:rPr>
        <w:t> </w:t>
      </w:r>
      <w:r>
        <w:rPr/>
        <w:t>Plan</w:t>
      </w:r>
      <w:r>
        <w:rPr>
          <w:spacing w:val="-7"/>
        </w:rPr>
        <w:t> </w:t>
      </w:r>
      <w:r>
        <w:rPr>
          <w:spacing w:val="-2"/>
        </w:rPr>
        <w:t>Information</w:t>
      </w:r>
    </w:p>
    <w:p>
      <w:pPr>
        <w:pStyle w:val="BodyText"/>
        <w:spacing w:before="121"/>
        <w:ind w:left="724"/>
      </w:pPr>
      <w:r>
        <w:rPr/>
        <w:t>Under</w:t>
      </w:r>
      <w:r>
        <w:rPr>
          <w:spacing w:val="-11"/>
        </w:rPr>
        <w:t> </w:t>
      </w:r>
      <w:r>
        <w:rPr/>
        <w:t>IDEA’s</w:t>
      </w:r>
      <w:r>
        <w:rPr>
          <w:spacing w:val="-9"/>
        </w:rPr>
        <w:t> </w:t>
      </w:r>
      <w:r>
        <w:rPr/>
        <w:t>non-supplanting</w:t>
      </w:r>
      <w:r>
        <w:rPr>
          <w:spacing w:val="-9"/>
        </w:rPr>
        <w:t> </w:t>
      </w:r>
      <w:r>
        <w:rPr/>
        <w:t>provisions</w:t>
      </w:r>
      <w:r>
        <w:rPr>
          <w:spacing w:val="-8"/>
        </w:rPr>
        <w:t> </w:t>
      </w:r>
      <w:r>
        <w:rPr/>
        <w:t>in</w:t>
      </w:r>
      <w:r>
        <w:rPr>
          <w:spacing w:val="-9"/>
        </w:rPr>
        <w:t> </w:t>
      </w:r>
      <w:r>
        <w:rPr/>
        <w:t>20</w:t>
      </w:r>
      <w:r>
        <w:rPr>
          <w:spacing w:val="-9"/>
        </w:rPr>
        <w:t> </w:t>
      </w:r>
      <w:r>
        <w:rPr/>
        <w:t>U.S.C.</w:t>
      </w:r>
      <w:r>
        <w:rPr>
          <w:spacing w:val="-8"/>
        </w:rPr>
        <w:t> </w:t>
      </w:r>
      <w:r>
        <w:rPr/>
        <w:t>1437(b)(5)(B)</w:t>
      </w:r>
      <w:r>
        <w:rPr>
          <w:spacing w:val="-10"/>
        </w:rPr>
        <w:t> </w:t>
      </w:r>
      <w:r>
        <w:rPr/>
        <w:t>and</w:t>
      </w:r>
      <w:r>
        <w:rPr>
          <w:spacing w:val="-9"/>
        </w:rPr>
        <w:t> </w:t>
      </w:r>
      <w:r>
        <w:rPr/>
        <w:t>Part</w:t>
      </w:r>
      <w:r>
        <w:rPr>
          <w:spacing w:val="-8"/>
        </w:rPr>
        <w:t> </w:t>
      </w:r>
      <w:r>
        <w:rPr/>
        <w:t>C</w:t>
      </w:r>
      <w:r>
        <w:rPr>
          <w:spacing w:val="-10"/>
        </w:rPr>
        <w:t> </w:t>
      </w:r>
      <w:r>
        <w:rPr/>
        <w:t>regulation</w:t>
      </w:r>
      <w:r>
        <w:rPr>
          <w:spacing w:val="-8"/>
        </w:rPr>
        <w:t> </w:t>
      </w:r>
      <w:r>
        <w:rPr>
          <w:spacing w:val="-5"/>
        </w:rPr>
        <w:t>in</w:t>
      </w:r>
    </w:p>
    <w:p>
      <w:pPr>
        <w:pStyle w:val="BodyText"/>
        <w:spacing w:line="237" w:lineRule="auto" w:before="3"/>
        <w:ind w:left="724" w:right="798"/>
      </w:pPr>
      <w:r>
        <w:rPr/>
        <w:t>34</w:t>
      </w:r>
      <w:r>
        <w:rPr>
          <w:spacing w:val="-2"/>
        </w:rPr>
        <w:t> </w:t>
      </w:r>
      <w:r>
        <w:rPr/>
        <w:t>CFR</w:t>
      </w:r>
      <w:r>
        <w:rPr>
          <w:spacing w:val="-3"/>
        </w:rPr>
        <w:t> </w:t>
      </w:r>
      <w:r>
        <w:rPr/>
        <w:t>§303.225(c),</w:t>
      </w:r>
      <w:r>
        <w:rPr>
          <w:spacing w:val="-2"/>
        </w:rPr>
        <w:t> </w:t>
      </w:r>
      <w:r>
        <w:rPr/>
        <w:t>a</w:t>
      </w:r>
      <w:r>
        <w:rPr>
          <w:spacing w:val="-3"/>
        </w:rPr>
        <w:t> </w:t>
      </w:r>
      <w:r>
        <w:rPr/>
        <w:t>lead</w:t>
      </w:r>
      <w:r>
        <w:rPr>
          <w:spacing w:val="-2"/>
        </w:rPr>
        <w:t> </w:t>
      </w:r>
      <w:r>
        <w:rPr/>
        <w:t>agency</w:t>
      </w:r>
      <w:r>
        <w:rPr>
          <w:spacing w:val="-2"/>
        </w:rPr>
        <w:t> </w:t>
      </w:r>
      <w:r>
        <w:rPr/>
        <w:t>may</w:t>
      </w:r>
      <w:r>
        <w:rPr>
          <w:spacing w:val="-2"/>
        </w:rPr>
        <w:t> </w:t>
      </w:r>
      <w:r>
        <w:rPr/>
        <w:t>not</w:t>
      </w:r>
      <w:r>
        <w:rPr>
          <w:spacing w:val="-2"/>
        </w:rPr>
        <w:t> </w:t>
      </w:r>
      <w:r>
        <w:rPr/>
        <w:t>charge</w:t>
      </w:r>
      <w:r>
        <w:rPr>
          <w:spacing w:val="-2"/>
        </w:rPr>
        <w:t> </w:t>
      </w:r>
      <w:r>
        <w:rPr/>
        <w:t>indirect</w:t>
      </w:r>
      <w:r>
        <w:rPr>
          <w:spacing w:val="-2"/>
        </w:rPr>
        <w:t> </w:t>
      </w:r>
      <w:r>
        <w:rPr/>
        <w:t>costs</w:t>
      </w:r>
      <w:r>
        <w:rPr>
          <w:spacing w:val="-2"/>
        </w:rPr>
        <w:t> </w:t>
      </w:r>
      <w:r>
        <w:rPr/>
        <w:t>to</w:t>
      </w:r>
      <w:r>
        <w:rPr>
          <w:spacing w:val="-2"/>
        </w:rPr>
        <w:t> </w:t>
      </w:r>
      <w:r>
        <w:rPr/>
        <w:t>its</w:t>
      </w:r>
      <w:r>
        <w:rPr>
          <w:spacing w:val="-2"/>
        </w:rPr>
        <w:t> </w:t>
      </w:r>
      <w:r>
        <w:rPr/>
        <w:t>Part</w:t>
      </w:r>
      <w:r>
        <w:rPr>
          <w:spacing w:val="-2"/>
        </w:rPr>
        <w:t> </w:t>
      </w:r>
      <w:r>
        <w:rPr/>
        <w:t>C</w:t>
      </w:r>
      <w:r>
        <w:rPr>
          <w:spacing w:val="-3"/>
        </w:rPr>
        <w:t> </w:t>
      </w:r>
      <w:r>
        <w:rPr/>
        <w:t>grant</w:t>
      </w:r>
      <w:r>
        <w:rPr>
          <w:spacing w:val="-2"/>
        </w:rPr>
        <w:t> </w:t>
      </w:r>
      <w:r>
        <w:rPr/>
        <w:t>unless</w:t>
      </w:r>
      <w:r>
        <w:rPr>
          <w:spacing w:val="-2"/>
        </w:rPr>
        <w:t> </w:t>
      </w:r>
      <w:r>
        <w:rPr/>
        <w:t>the</w:t>
      </w:r>
      <w:r>
        <w:rPr>
          <w:spacing w:val="-2"/>
        </w:rPr>
        <w:t> </w:t>
      </w:r>
      <w:r>
        <w:rPr/>
        <w:t>lead agency charges indirect costs through either— (i)</w:t>
      </w:r>
      <w:r>
        <w:rPr>
          <w:spacing w:val="-3"/>
        </w:rPr>
        <w:t> </w:t>
      </w:r>
      <w:r>
        <w:rPr/>
        <w:t>A</w:t>
      </w:r>
      <w:r>
        <w:rPr>
          <w:spacing w:val="-5"/>
        </w:rPr>
        <w:t> </w:t>
      </w:r>
      <w:r>
        <w:rPr/>
        <w:t>restricted</w:t>
      </w:r>
      <w:r>
        <w:rPr>
          <w:vertAlign w:val="superscript"/>
        </w:rPr>
        <w:t>6</w:t>
      </w:r>
      <w:r>
        <w:rPr>
          <w:vertAlign w:val="baseline"/>
        </w:rPr>
        <w:t> indirect cost rate that meets the requirements in 34 CFR §§76.560 through 76.569; or (ii)</w:t>
      </w:r>
      <w:r>
        <w:rPr>
          <w:spacing w:val="-7"/>
          <w:vertAlign w:val="baseline"/>
        </w:rPr>
        <w:t> </w:t>
      </w:r>
      <w:r>
        <w:rPr>
          <w:vertAlign w:val="baseline"/>
        </w:rPr>
        <w:t>A</w:t>
      </w:r>
      <w:r>
        <w:rPr>
          <w:spacing w:val="-7"/>
          <w:vertAlign w:val="baseline"/>
        </w:rPr>
        <w:t> </w:t>
      </w:r>
      <w:r>
        <w:rPr>
          <w:vertAlign w:val="baseline"/>
        </w:rPr>
        <w:t>cost allocation plan that meets the non- supplanting requirements in paragraph (b) of this section and 34 CFR part 76 of EDGAR.</w:t>
      </w:r>
    </w:p>
    <w:p>
      <w:pPr>
        <w:pStyle w:val="BodyText"/>
        <w:spacing w:before="124"/>
        <w:ind w:left="724" w:right="798"/>
      </w:pPr>
      <w:r>
        <w:rPr/>
        <w:t>Check</w:t>
      </w:r>
      <w:r>
        <w:rPr>
          <w:spacing w:val="-3"/>
        </w:rPr>
        <w:t> </w:t>
      </w:r>
      <w:r>
        <w:rPr/>
        <w:t>the</w:t>
      </w:r>
      <w:r>
        <w:rPr>
          <w:spacing w:val="-3"/>
        </w:rPr>
        <w:t> </w:t>
      </w:r>
      <w:r>
        <w:rPr/>
        <w:t>applicable</w:t>
      </w:r>
      <w:r>
        <w:rPr>
          <w:spacing w:val="-3"/>
        </w:rPr>
        <w:t> </w:t>
      </w:r>
      <w:r>
        <w:rPr/>
        <w:t>status</w:t>
      </w:r>
      <w:r>
        <w:rPr>
          <w:spacing w:val="-3"/>
        </w:rPr>
        <w:t> </w:t>
      </w:r>
      <w:r>
        <w:rPr/>
        <w:t>below</w:t>
      </w:r>
      <w:r>
        <w:rPr>
          <w:spacing w:val="-4"/>
        </w:rPr>
        <w:t> </w:t>
      </w:r>
      <w:r>
        <w:rPr/>
        <w:t>(more</w:t>
      </w:r>
      <w:r>
        <w:rPr>
          <w:spacing w:val="-3"/>
        </w:rPr>
        <w:t> </w:t>
      </w:r>
      <w:r>
        <w:rPr/>
        <w:t>than</w:t>
      </w:r>
      <w:r>
        <w:rPr>
          <w:spacing w:val="-3"/>
        </w:rPr>
        <w:t> </w:t>
      </w:r>
      <w:r>
        <w:rPr/>
        <w:t>one</w:t>
      </w:r>
      <w:r>
        <w:rPr>
          <w:spacing w:val="-3"/>
        </w:rPr>
        <w:t> </w:t>
      </w:r>
      <w:r>
        <w:rPr/>
        <w:t>check</w:t>
      </w:r>
      <w:r>
        <w:rPr>
          <w:spacing w:val="-3"/>
        </w:rPr>
        <w:t> </w:t>
      </w:r>
      <w:r>
        <w:rPr/>
        <w:t>mark</w:t>
      </w:r>
      <w:r>
        <w:rPr>
          <w:spacing w:val="-3"/>
        </w:rPr>
        <w:t> </w:t>
      </w:r>
      <w:r>
        <w:rPr/>
        <w:t>may</w:t>
      </w:r>
      <w:r>
        <w:rPr>
          <w:spacing w:val="-3"/>
        </w:rPr>
        <w:t> </w:t>
      </w:r>
      <w:r>
        <w:rPr/>
        <w:t>be</w:t>
      </w:r>
      <w:r>
        <w:rPr>
          <w:spacing w:val="-3"/>
        </w:rPr>
        <w:t> </w:t>
      </w:r>
      <w:r>
        <w:rPr/>
        <w:t>necessary)</w:t>
      </w:r>
      <w:r>
        <w:rPr>
          <w:spacing w:val="-3"/>
        </w:rPr>
        <w:t> </w:t>
      </w:r>
      <w:r>
        <w:rPr/>
        <w:t>and</w:t>
      </w:r>
      <w:r>
        <w:rPr>
          <w:spacing w:val="-3"/>
        </w:rPr>
        <w:t> </w:t>
      </w:r>
      <w:r>
        <w:rPr/>
        <w:t>enclose appropriate documentation for this Federal Fiscal Year.</w:t>
      </w:r>
    </w:p>
    <w:p>
      <w:pPr>
        <w:pStyle w:val="BodyText"/>
        <w:tabs>
          <w:tab w:pos="1303" w:val="left" w:leader="none"/>
        </w:tabs>
        <w:spacing w:before="121"/>
        <w:ind w:left="1444" w:right="833" w:hanging="720"/>
      </w:pPr>
      <w:r>
        <w:rPr>
          <w:spacing w:val="-6"/>
        </w:rPr>
        <w:t>_X</w:t>
      </w:r>
      <w:r>
        <w:rPr>
          <w:rFonts w:ascii="Times New Roman"/>
          <w:u w:val="single"/>
        </w:rPr>
        <w:tab/>
      </w:r>
      <w:r>
        <w:rPr>
          <w:rFonts w:ascii="Times New Roman"/>
          <w:spacing w:val="80"/>
          <w:u w:val="none"/>
        </w:rPr>
        <w:t> </w:t>
      </w:r>
      <w:r>
        <w:rPr>
          <w:u w:val="none"/>
        </w:rPr>
        <w:t>No</w:t>
      </w:r>
      <w:r>
        <w:rPr>
          <w:spacing w:val="-2"/>
          <w:u w:val="none"/>
        </w:rPr>
        <w:t> </w:t>
      </w:r>
      <w:r>
        <w:rPr>
          <w:u w:val="none"/>
        </w:rPr>
        <w:t>indirect</w:t>
      </w:r>
      <w:r>
        <w:rPr>
          <w:spacing w:val="-2"/>
          <w:u w:val="none"/>
        </w:rPr>
        <w:t> </w:t>
      </w:r>
      <w:r>
        <w:rPr>
          <w:u w:val="none"/>
        </w:rPr>
        <w:t>costs</w:t>
      </w:r>
      <w:r>
        <w:rPr>
          <w:spacing w:val="-2"/>
          <w:u w:val="none"/>
        </w:rPr>
        <w:t> </w:t>
      </w:r>
      <w:r>
        <w:rPr>
          <w:u w:val="none"/>
        </w:rPr>
        <w:t>are</w:t>
      </w:r>
      <w:r>
        <w:rPr>
          <w:spacing w:val="-2"/>
          <w:u w:val="none"/>
        </w:rPr>
        <w:t> </w:t>
      </w:r>
      <w:r>
        <w:rPr>
          <w:u w:val="none"/>
        </w:rPr>
        <w:t>charged</w:t>
      </w:r>
      <w:r>
        <w:rPr>
          <w:spacing w:val="-2"/>
          <w:u w:val="none"/>
        </w:rPr>
        <w:t> </w:t>
      </w:r>
      <w:r>
        <w:rPr>
          <w:u w:val="none"/>
        </w:rPr>
        <w:t>to</w:t>
      </w:r>
      <w:r>
        <w:rPr>
          <w:spacing w:val="-2"/>
          <w:u w:val="none"/>
        </w:rPr>
        <w:t> </w:t>
      </w:r>
      <w:r>
        <w:rPr>
          <w:u w:val="none"/>
        </w:rPr>
        <w:t>the</w:t>
      </w:r>
      <w:r>
        <w:rPr>
          <w:spacing w:val="-2"/>
          <w:u w:val="none"/>
        </w:rPr>
        <w:t> </w:t>
      </w:r>
      <w:r>
        <w:rPr>
          <w:u w:val="none"/>
        </w:rPr>
        <w:t>Part</w:t>
      </w:r>
      <w:r>
        <w:rPr>
          <w:spacing w:val="-2"/>
          <w:u w:val="none"/>
        </w:rPr>
        <w:t> </w:t>
      </w:r>
      <w:r>
        <w:rPr>
          <w:u w:val="none"/>
        </w:rPr>
        <w:t>C</w:t>
      </w:r>
      <w:r>
        <w:rPr>
          <w:spacing w:val="-3"/>
          <w:u w:val="none"/>
        </w:rPr>
        <w:t> </w:t>
      </w:r>
      <w:r>
        <w:rPr>
          <w:u w:val="none"/>
        </w:rPr>
        <w:t>grant.</w:t>
      </w:r>
      <w:r>
        <w:rPr>
          <w:spacing w:val="-6"/>
          <w:u w:val="none"/>
        </w:rPr>
        <w:t> </w:t>
      </w:r>
      <w:r>
        <w:rPr>
          <w:u w:val="none"/>
        </w:rPr>
        <w:t>The</w:t>
      </w:r>
      <w:r>
        <w:rPr>
          <w:spacing w:val="-2"/>
          <w:u w:val="none"/>
        </w:rPr>
        <w:t> </w:t>
      </w:r>
      <w:r>
        <w:rPr>
          <w:u w:val="none"/>
        </w:rPr>
        <w:t>total</w:t>
      </w:r>
      <w:r>
        <w:rPr>
          <w:spacing w:val="-2"/>
          <w:u w:val="none"/>
        </w:rPr>
        <w:t> </w:t>
      </w:r>
      <w:r>
        <w:rPr>
          <w:u w:val="none"/>
        </w:rPr>
        <w:t>amount</w:t>
      </w:r>
      <w:r>
        <w:rPr>
          <w:spacing w:val="-2"/>
          <w:u w:val="none"/>
        </w:rPr>
        <w:t> </w:t>
      </w:r>
      <w:r>
        <w:rPr>
          <w:u w:val="none"/>
        </w:rPr>
        <w:t>of</w:t>
      </w:r>
      <w:r>
        <w:rPr>
          <w:spacing w:val="-2"/>
          <w:u w:val="none"/>
        </w:rPr>
        <w:t> </w:t>
      </w:r>
      <w:r>
        <w:rPr>
          <w:u w:val="none"/>
        </w:rPr>
        <w:t>the</w:t>
      </w:r>
      <w:r>
        <w:rPr>
          <w:spacing w:val="-2"/>
          <w:u w:val="none"/>
        </w:rPr>
        <w:t> </w:t>
      </w:r>
      <w:r>
        <w:rPr>
          <w:u w:val="none"/>
        </w:rPr>
        <w:t>Federal</w:t>
      </w:r>
      <w:r>
        <w:rPr>
          <w:spacing w:val="-2"/>
          <w:u w:val="none"/>
        </w:rPr>
        <w:t> </w:t>
      </w:r>
      <w:r>
        <w:rPr>
          <w:u w:val="none"/>
        </w:rPr>
        <w:t>Part</w:t>
      </w:r>
      <w:r>
        <w:rPr>
          <w:spacing w:val="-2"/>
          <w:u w:val="none"/>
        </w:rPr>
        <w:t> </w:t>
      </w:r>
      <w:r>
        <w:rPr>
          <w:u w:val="none"/>
        </w:rPr>
        <w:t>C</w:t>
      </w:r>
      <w:r>
        <w:rPr>
          <w:spacing w:val="-3"/>
          <w:u w:val="none"/>
        </w:rPr>
        <w:t> </w:t>
      </w:r>
      <w:r>
        <w:rPr>
          <w:u w:val="none"/>
        </w:rPr>
        <w:t>grant</w:t>
      </w:r>
      <w:r>
        <w:rPr>
          <w:spacing w:val="-2"/>
          <w:u w:val="none"/>
        </w:rPr>
        <w:t> </w:t>
      </w:r>
      <w:r>
        <w:rPr>
          <w:u w:val="none"/>
        </w:rPr>
        <w:t>is used for allowable direct costs.</w:t>
      </w:r>
    </w:p>
    <w:p>
      <w:pPr>
        <w:pStyle w:val="BodyText"/>
        <w:tabs>
          <w:tab w:pos="1280" w:val="left" w:leader="none"/>
          <w:tab w:pos="6171" w:val="left" w:leader="none"/>
          <w:tab w:pos="8407" w:val="left" w:leader="none"/>
        </w:tabs>
        <w:spacing w:before="121"/>
        <w:ind w:left="1444" w:right="798" w:hanging="720"/>
      </w:pPr>
      <w:r>
        <w:rPr>
          <w:rFonts w:ascii="Times New Roman" w:hAnsi="Times New Roman"/>
          <w:u w:val="single"/>
        </w:rPr>
        <w:tab/>
      </w:r>
      <w:r>
        <w:rPr>
          <w:rFonts w:ascii="Times New Roman" w:hAnsi="Times New Roman"/>
          <w:spacing w:val="80"/>
          <w:u w:val="none"/>
        </w:rPr>
        <w:t> </w:t>
      </w:r>
      <w:r>
        <w:rPr>
          <w:u w:val="none"/>
        </w:rPr>
        <w:t>The lead agency is an State educational agency (SEA) and works directly with the U.S. Department of Education’s Indirect Cost Unit to ensure that indirect costs are only charged on a restricted</w:t>
      </w:r>
      <w:r>
        <w:rPr>
          <w:spacing w:val="-3"/>
          <w:u w:val="none"/>
        </w:rPr>
        <w:t> </w:t>
      </w:r>
      <w:r>
        <w:rPr>
          <w:u w:val="none"/>
        </w:rPr>
        <w:t>basis</w:t>
      </w:r>
      <w:r>
        <w:rPr>
          <w:spacing w:val="-3"/>
          <w:u w:val="none"/>
        </w:rPr>
        <w:t> </w:t>
      </w:r>
      <w:r>
        <w:rPr>
          <w:u w:val="none"/>
        </w:rPr>
        <w:t>to</w:t>
      </w:r>
      <w:r>
        <w:rPr>
          <w:spacing w:val="-3"/>
          <w:u w:val="none"/>
        </w:rPr>
        <w:t> </w:t>
      </w:r>
      <w:r>
        <w:rPr>
          <w:u w:val="none"/>
        </w:rPr>
        <w:t>the</w:t>
      </w:r>
      <w:r>
        <w:rPr>
          <w:spacing w:val="-3"/>
          <w:u w:val="none"/>
        </w:rPr>
        <w:t> </w:t>
      </w:r>
      <w:r>
        <w:rPr>
          <w:u w:val="none"/>
        </w:rPr>
        <w:t>State’s</w:t>
      </w:r>
      <w:r>
        <w:rPr>
          <w:spacing w:val="-3"/>
          <w:u w:val="none"/>
        </w:rPr>
        <w:t> </w:t>
      </w:r>
      <w:r>
        <w:rPr>
          <w:u w:val="none"/>
        </w:rPr>
        <w:t>IDEA</w:t>
      </w:r>
      <w:r>
        <w:rPr>
          <w:spacing w:val="-14"/>
          <w:u w:val="none"/>
        </w:rPr>
        <w:t> </w:t>
      </w:r>
      <w:r>
        <w:rPr>
          <w:u w:val="none"/>
        </w:rPr>
        <w:t>Part</w:t>
      </w:r>
      <w:r>
        <w:rPr>
          <w:spacing w:val="-3"/>
          <w:u w:val="none"/>
        </w:rPr>
        <w:t> </w:t>
      </w:r>
      <w:r>
        <w:rPr>
          <w:u w:val="none"/>
        </w:rPr>
        <w:t>C</w:t>
      </w:r>
      <w:r>
        <w:rPr>
          <w:spacing w:val="-4"/>
          <w:u w:val="none"/>
        </w:rPr>
        <w:t> </w:t>
      </w:r>
      <w:r>
        <w:rPr>
          <w:u w:val="none"/>
        </w:rPr>
        <w:t>grant.</w:t>
      </w:r>
      <w:r>
        <w:rPr>
          <w:spacing w:val="-6"/>
          <w:u w:val="none"/>
        </w:rPr>
        <w:t> </w:t>
      </w:r>
      <w:r>
        <w:rPr>
          <w:u w:val="none"/>
        </w:rPr>
        <w:t>The</w:t>
      </w:r>
      <w:r>
        <w:rPr>
          <w:spacing w:val="-3"/>
          <w:u w:val="none"/>
        </w:rPr>
        <w:t> </w:t>
      </w:r>
      <w:r>
        <w:rPr>
          <w:u w:val="none"/>
        </w:rPr>
        <w:t>State</w:t>
      </w:r>
      <w:r>
        <w:rPr>
          <w:spacing w:val="-3"/>
          <w:u w:val="none"/>
        </w:rPr>
        <w:t> </w:t>
      </w:r>
      <w:r>
        <w:rPr>
          <w:u w:val="none"/>
        </w:rPr>
        <w:t>has</w:t>
      </w:r>
      <w:r>
        <w:rPr>
          <w:spacing w:val="-3"/>
          <w:u w:val="none"/>
        </w:rPr>
        <w:t> </w:t>
      </w:r>
      <w:r>
        <w:rPr>
          <w:u w:val="none"/>
        </w:rPr>
        <w:t>a</w:t>
      </w:r>
      <w:r>
        <w:rPr>
          <w:spacing w:val="-3"/>
          <w:u w:val="none"/>
        </w:rPr>
        <w:t> </w:t>
      </w:r>
      <w:r>
        <w:rPr>
          <w:u w:val="none"/>
        </w:rPr>
        <w:t>final</w:t>
      </w:r>
      <w:r>
        <w:rPr>
          <w:spacing w:val="-3"/>
          <w:u w:val="none"/>
        </w:rPr>
        <w:t> </w:t>
      </w:r>
      <w:r>
        <w:rPr>
          <w:u w:val="none"/>
        </w:rPr>
        <w:t>restricted</w:t>
      </w:r>
      <w:r>
        <w:rPr>
          <w:spacing w:val="-3"/>
          <w:u w:val="none"/>
        </w:rPr>
        <w:t> </w:t>
      </w:r>
      <w:r>
        <w:rPr>
          <w:u w:val="none"/>
        </w:rPr>
        <w:t>indirect</w:t>
      </w:r>
      <w:r>
        <w:rPr>
          <w:spacing w:val="-3"/>
          <w:u w:val="none"/>
        </w:rPr>
        <w:t> </w:t>
      </w:r>
      <w:r>
        <w:rPr>
          <w:u w:val="none"/>
        </w:rPr>
        <w:t>cost</w:t>
      </w:r>
      <w:r>
        <w:rPr>
          <w:spacing w:val="-3"/>
          <w:u w:val="none"/>
        </w:rPr>
        <w:t> </w:t>
      </w:r>
      <w:r>
        <w:rPr>
          <w:u w:val="none"/>
        </w:rPr>
        <w:t>rate agreement that is approved for the period </w:t>
      </w:r>
      <w:r>
        <w:rPr>
          <w:rFonts w:ascii="Times New Roman" w:hAnsi="Times New Roman"/>
          <w:u w:val="single"/>
        </w:rPr>
        <w:tab/>
      </w:r>
      <w:r>
        <w:rPr>
          <w:rFonts w:ascii="Times New Roman" w:hAnsi="Times New Roman"/>
          <w:u w:val="none"/>
        </w:rPr>
        <w:t> </w:t>
      </w:r>
      <w:r>
        <w:rPr>
          <w:u w:val="none"/>
        </w:rPr>
        <w:t>through </w:t>
      </w:r>
      <w:r>
        <w:rPr>
          <w:rFonts w:ascii="Times New Roman" w:hAnsi="Times New Roman"/>
          <w:u w:val="single"/>
        </w:rPr>
        <w:tab/>
      </w:r>
      <w:r>
        <w:rPr>
          <w:u w:val="none"/>
        </w:rPr>
        <w:t>.</w:t>
      </w:r>
      <w:r>
        <w:rPr>
          <w:spacing w:val="-2"/>
          <w:u w:val="none"/>
        </w:rPr>
        <w:t> </w:t>
      </w:r>
      <w:r>
        <w:rPr>
          <w:u w:val="none"/>
        </w:rPr>
        <w:t>(Please attach a copy of the</w:t>
      </w:r>
      <w:r>
        <w:rPr>
          <w:spacing w:val="-1"/>
          <w:u w:val="none"/>
        </w:rPr>
        <w:t> </w:t>
      </w:r>
      <w:r>
        <w:rPr>
          <w:u w:val="none"/>
        </w:rPr>
        <w:t>most recently approved restricted indirect cost rate agreement or cost allocation plan or other applicable indirect cost documentation.)</w:t>
      </w:r>
    </w:p>
    <w:p>
      <w:pPr>
        <w:pStyle w:val="BodyText"/>
        <w:tabs>
          <w:tab w:pos="1280" w:val="left" w:leader="none"/>
        </w:tabs>
        <w:spacing w:before="117"/>
        <w:ind w:left="1444" w:right="726" w:hanging="720"/>
      </w:pPr>
      <w:r>
        <w:rPr>
          <w:rFonts w:ascii="Times New Roman"/>
          <w:u w:val="single"/>
        </w:rPr>
        <w:tab/>
      </w:r>
      <w:r>
        <w:rPr>
          <w:rFonts w:ascii="Times New Roman"/>
          <w:spacing w:val="40"/>
          <w:u w:val="none"/>
        </w:rPr>
        <w:t>  </w:t>
      </w:r>
      <w:r>
        <w:rPr>
          <w:u w:val="none"/>
        </w:rPr>
        <w:t>The lead agency is not an SEA</w:t>
      </w:r>
      <w:r>
        <w:rPr>
          <w:spacing w:val="-7"/>
          <w:u w:val="none"/>
        </w:rPr>
        <w:t> </w:t>
      </w:r>
      <w:r>
        <w:rPr>
          <w:u w:val="none"/>
        </w:rPr>
        <w:t>and has a final restricted indirect cost rate that has been</w:t>
      </w:r>
      <w:r>
        <w:rPr>
          <w:spacing w:val="40"/>
          <w:u w:val="none"/>
        </w:rPr>
        <w:t> </w:t>
      </w:r>
      <w:r>
        <w:rPr>
          <w:u w:val="none"/>
        </w:rPr>
        <w:t>approved by the State lead agency's cognizant Federal agency and is in effect for this FFY (ending</w:t>
      </w:r>
      <w:r>
        <w:rPr>
          <w:spacing w:val="-3"/>
          <w:u w:val="none"/>
        </w:rPr>
        <w:t> </w:t>
      </w:r>
      <w:r>
        <w:rPr>
          <w:u w:val="none"/>
        </w:rPr>
        <w:t>on</w:t>
      </w:r>
      <w:r>
        <w:rPr>
          <w:spacing w:val="-3"/>
          <w:u w:val="none"/>
        </w:rPr>
        <w:t> </w:t>
      </w:r>
      <w:r>
        <w:rPr>
          <w:u w:val="none"/>
        </w:rPr>
        <w:t>June</w:t>
      </w:r>
      <w:r>
        <w:rPr>
          <w:spacing w:val="-3"/>
          <w:u w:val="none"/>
        </w:rPr>
        <w:t> </w:t>
      </w:r>
      <w:r>
        <w:rPr>
          <w:u w:val="none"/>
        </w:rPr>
        <w:t>30,</w:t>
      </w:r>
      <w:r>
        <w:rPr>
          <w:spacing w:val="-2"/>
          <w:u w:val="none"/>
        </w:rPr>
        <w:t> </w:t>
      </w:r>
      <w:r>
        <w:rPr>
          <w:u w:val="none"/>
        </w:rPr>
        <w:t>2023)</w:t>
      </w:r>
      <w:r>
        <w:rPr>
          <w:spacing w:val="-7"/>
          <w:u w:val="none"/>
        </w:rPr>
        <w:t> </w:t>
      </w:r>
      <w:r>
        <w:rPr>
          <w:u w:val="none"/>
        </w:rPr>
        <w:t>The</w:t>
      </w:r>
      <w:r>
        <w:rPr>
          <w:spacing w:val="-3"/>
          <w:u w:val="none"/>
        </w:rPr>
        <w:t> </w:t>
      </w:r>
      <w:r>
        <w:rPr>
          <w:u w:val="none"/>
        </w:rPr>
        <w:t>period</w:t>
      </w:r>
      <w:r>
        <w:rPr>
          <w:spacing w:val="-3"/>
          <w:u w:val="none"/>
        </w:rPr>
        <w:t> </w:t>
      </w:r>
      <w:r>
        <w:rPr>
          <w:u w:val="none"/>
        </w:rPr>
        <w:t>of</w:t>
      </w:r>
      <w:r>
        <w:rPr>
          <w:spacing w:val="-3"/>
          <w:u w:val="none"/>
        </w:rPr>
        <w:t> </w:t>
      </w:r>
      <w:r>
        <w:rPr>
          <w:u w:val="none"/>
        </w:rPr>
        <w:t>approval</w:t>
      </w:r>
      <w:r>
        <w:rPr>
          <w:spacing w:val="-3"/>
          <w:u w:val="none"/>
        </w:rPr>
        <w:t> </w:t>
      </w:r>
      <w:r>
        <w:rPr>
          <w:u w:val="none"/>
        </w:rPr>
        <w:t>for</w:t>
      </w:r>
      <w:r>
        <w:rPr>
          <w:spacing w:val="-3"/>
          <w:u w:val="none"/>
        </w:rPr>
        <w:t> </w:t>
      </w:r>
      <w:r>
        <w:rPr>
          <w:u w:val="none"/>
        </w:rPr>
        <w:t>the</w:t>
      </w:r>
      <w:r>
        <w:rPr>
          <w:spacing w:val="-3"/>
          <w:u w:val="none"/>
        </w:rPr>
        <w:t> </w:t>
      </w:r>
      <w:r>
        <w:rPr>
          <w:u w:val="none"/>
        </w:rPr>
        <w:t>restricted</w:t>
      </w:r>
      <w:r>
        <w:rPr>
          <w:spacing w:val="-3"/>
          <w:u w:val="none"/>
        </w:rPr>
        <w:t> </w:t>
      </w:r>
      <w:r>
        <w:rPr>
          <w:u w:val="none"/>
        </w:rPr>
        <w:t>indirect</w:t>
      </w:r>
      <w:r>
        <w:rPr>
          <w:spacing w:val="-3"/>
          <w:u w:val="none"/>
        </w:rPr>
        <w:t> </w:t>
      </w:r>
      <w:r>
        <w:rPr>
          <w:u w:val="none"/>
        </w:rPr>
        <w:t>cost</w:t>
      </w:r>
      <w:r>
        <w:rPr>
          <w:spacing w:val="-3"/>
          <w:u w:val="none"/>
        </w:rPr>
        <w:t> </w:t>
      </w:r>
      <w:r>
        <w:rPr>
          <w:u w:val="none"/>
        </w:rPr>
        <w:t>rate</w:t>
      </w:r>
      <w:r>
        <w:rPr>
          <w:spacing w:val="-3"/>
          <w:u w:val="none"/>
        </w:rPr>
        <w:t> </w:t>
      </w:r>
      <w:r>
        <w:rPr>
          <w:u w:val="none"/>
        </w:rPr>
        <w:t>agreement</w:t>
      </w:r>
      <w:r>
        <w:rPr>
          <w:spacing w:val="-3"/>
          <w:u w:val="none"/>
        </w:rPr>
        <w:t> </w:t>
      </w:r>
      <w:r>
        <w:rPr>
          <w:u w:val="none"/>
        </w:rPr>
        <w:t>is</w:t>
      </w:r>
    </w:p>
    <w:p>
      <w:pPr>
        <w:pStyle w:val="BodyText"/>
        <w:tabs>
          <w:tab w:pos="2779" w:val="left" w:leader="none"/>
          <w:tab w:pos="5348" w:val="left" w:leader="none"/>
        </w:tabs>
        <w:spacing w:before="2"/>
        <w:ind w:left="1444" w:right="1224"/>
      </w:pPr>
      <w:r>
        <w:rPr>
          <w:rFonts w:ascii="Times New Roman"/>
          <w:u w:val="single"/>
        </w:rPr>
        <w:tab/>
      </w:r>
      <w:r>
        <w:rPr>
          <w:rFonts w:ascii="Times New Roman"/>
          <w:u w:val="none"/>
        </w:rPr>
        <w:t> </w:t>
      </w:r>
      <w:r>
        <w:rPr>
          <w:u w:val="none"/>
        </w:rPr>
        <w:t>through </w:t>
      </w:r>
      <w:r>
        <w:rPr>
          <w:rFonts w:ascii="Times New Roman"/>
          <w:u w:val="single"/>
        </w:rPr>
        <w:tab/>
      </w:r>
      <w:r>
        <w:rPr>
          <w:u w:val="none"/>
        </w:rPr>
        <w:t>.</w:t>
      </w:r>
      <w:r>
        <w:rPr>
          <w:spacing w:val="-5"/>
          <w:u w:val="none"/>
        </w:rPr>
        <w:t> </w:t>
      </w:r>
      <w:r>
        <w:rPr>
          <w:u w:val="none"/>
        </w:rPr>
        <w:t>(The</w:t>
      </w:r>
      <w:r>
        <w:rPr>
          <w:spacing w:val="-5"/>
          <w:u w:val="none"/>
        </w:rPr>
        <w:t> </w:t>
      </w:r>
      <w:r>
        <w:rPr>
          <w:u w:val="none"/>
        </w:rPr>
        <w:t>State</w:t>
      </w:r>
      <w:r>
        <w:rPr>
          <w:spacing w:val="-5"/>
          <w:u w:val="none"/>
        </w:rPr>
        <w:t> </w:t>
      </w:r>
      <w:r>
        <w:rPr>
          <w:u w:val="none"/>
        </w:rPr>
        <w:t>must</w:t>
      </w:r>
      <w:r>
        <w:rPr>
          <w:spacing w:val="-5"/>
          <w:u w:val="none"/>
        </w:rPr>
        <w:t> </w:t>
      </w:r>
      <w:r>
        <w:rPr>
          <w:u w:val="none"/>
        </w:rPr>
        <w:t>attach</w:t>
      </w:r>
      <w:r>
        <w:rPr>
          <w:spacing w:val="-5"/>
          <w:u w:val="none"/>
        </w:rPr>
        <w:t> </w:t>
      </w:r>
      <w:r>
        <w:rPr>
          <w:u w:val="none"/>
        </w:rPr>
        <w:t>a</w:t>
      </w:r>
      <w:r>
        <w:rPr>
          <w:spacing w:val="-5"/>
          <w:u w:val="none"/>
        </w:rPr>
        <w:t> </w:t>
      </w:r>
      <w:r>
        <w:rPr>
          <w:u w:val="none"/>
        </w:rPr>
        <w:t>copy</w:t>
      </w:r>
      <w:r>
        <w:rPr>
          <w:spacing w:val="-5"/>
          <w:u w:val="none"/>
        </w:rPr>
        <w:t> </w:t>
      </w:r>
      <w:r>
        <w:rPr>
          <w:u w:val="none"/>
        </w:rPr>
        <w:t>of</w:t>
      </w:r>
      <w:r>
        <w:rPr>
          <w:spacing w:val="-5"/>
          <w:u w:val="none"/>
        </w:rPr>
        <w:t> </w:t>
      </w:r>
      <w:r>
        <w:rPr>
          <w:u w:val="none"/>
        </w:rPr>
        <w:t>the</w:t>
      </w:r>
      <w:r>
        <w:rPr>
          <w:spacing w:val="-5"/>
          <w:u w:val="none"/>
        </w:rPr>
        <w:t> </w:t>
      </w:r>
      <w:r>
        <w:rPr>
          <w:u w:val="none"/>
        </w:rPr>
        <w:t>approved restricted indirect cost rate agreement.)</w:t>
      </w:r>
    </w:p>
    <w:p>
      <w:pPr>
        <w:pStyle w:val="BodyText"/>
        <w:tabs>
          <w:tab w:pos="1280" w:val="left" w:leader="none"/>
          <w:tab w:pos="4758" w:val="left" w:leader="none"/>
          <w:tab w:pos="10065" w:val="left" w:leader="none"/>
        </w:tabs>
        <w:spacing w:before="120"/>
        <w:ind w:left="1444" w:right="732" w:hanging="720"/>
      </w:pPr>
      <w:r>
        <w:rPr>
          <w:rFonts w:ascii="Times New Roman"/>
          <w:u w:val="single"/>
        </w:rPr>
        <w:tab/>
      </w:r>
      <w:r>
        <w:rPr>
          <w:rFonts w:ascii="Times New Roman"/>
          <w:spacing w:val="80"/>
          <w:w w:val="150"/>
          <w:u w:val="none"/>
        </w:rPr>
        <w:t> </w:t>
      </w:r>
      <w:r>
        <w:rPr>
          <w:u w:val="none"/>
        </w:rPr>
        <w:t>The lead agency is not an SEA</w:t>
      </w:r>
      <w:r>
        <w:rPr>
          <w:spacing w:val="-7"/>
          <w:u w:val="none"/>
        </w:rPr>
        <w:t> </w:t>
      </w:r>
      <w:r>
        <w:rPr>
          <w:u w:val="none"/>
        </w:rPr>
        <w:t>and has either a provisional or final restricted indirect cost rate that expires or expired on </w:t>
      </w:r>
      <w:r>
        <w:rPr>
          <w:rFonts w:ascii="Times New Roman"/>
          <w:u w:val="single"/>
        </w:rPr>
        <w:tab/>
      </w:r>
      <w:r>
        <w:rPr>
          <w:rFonts w:ascii="Times New Roman"/>
          <w:u w:val="none"/>
        </w:rPr>
        <w:t> </w:t>
      </w:r>
      <w:r>
        <w:rPr>
          <w:u w:val="none"/>
        </w:rPr>
        <w:t>and the State is in the process of negotiating a new restricted indirect cost rate agreement that will be in effect for the period </w:t>
      </w:r>
      <w:r>
        <w:rPr>
          <w:rFonts w:ascii="Times New Roman"/>
          <w:u w:val="single"/>
        </w:rPr>
        <w:tab/>
      </w:r>
      <w:r>
        <w:rPr>
          <w:rFonts w:ascii="Times New Roman"/>
          <w:u w:val="none"/>
        </w:rPr>
        <w:t> </w:t>
      </w:r>
      <w:r>
        <w:rPr>
          <w:u w:val="none"/>
        </w:rPr>
        <w:t>[please attach proposal].</w:t>
      </w:r>
      <w:r>
        <w:rPr>
          <w:u w:val="none"/>
          <w:vertAlign w:val="superscript"/>
        </w:rPr>
        <w:t>7</w:t>
      </w:r>
      <w:r>
        <w:rPr>
          <w:u w:val="none"/>
          <w:vertAlign w:val="baseline"/>
        </w:rPr>
        <w:t> The State lead agency will continue to charge or bill the Part C grant using the provisional or previously approved final restricted indirect cost rate until a new rate is negotiated and approved by the State's cognizant Federal agency, at which point the State lead</w:t>
      </w:r>
    </w:p>
    <w:p>
      <w:pPr>
        <w:pStyle w:val="BodyText"/>
        <w:spacing w:before="6"/>
        <w:rPr>
          <w:sz w:val="11"/>
        </w:rPr>
      </w:pPr>
      <w:r>
        <w:rPr>
          <w:sz w:val="11"/>
        </w:rPr>
        <mc:AlternateContent>
          <mc:Choice Requires="wps">
            <w:drawing>
              <wp:anchor distT="0" distB="0" distL="0" distR="0" allowOverlap="1" layoutInCell="1" locked="0" behindDoc="1" simplePos="0" relativeHeight="487596032">
                <wp:simplePos x="0" y="0"/>
                <wp:positionH relativeFrom="page">
                  <wp:posOffset>917520</wp:posOffset>
                </wp:positionH>
                <wp:positionV relativeFrom="paragraph">
                  <wp:posOffset>99830</wp:posOffset>
                </wp:positionV>
                <wp:extent cx="1828800"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245697pt;margin-top:7.860664pt;width:144pt;height:.48pt;mso-position-horizontal-relative:page;mso-position-vertical-relative:paragraph;z-index:-15720448;mso-wrap-distance-left:0;mso-wrap-distance-right:0" id="docshape28" filled="true" fillcolor="#000000" stroked="false">
                <v:fill type="solid"/>
                <w10:wrap type="topAndBottom"/>
              </v:rect>
            </w:pict>
          </mc:Fallback>
        </mc:AlternateContent>
      </w:r>
    </w:p>
    <w:p>
      <w:pPr>
        <w:pStyle w:val="BodyText"/>
        <w:spacing w:before="102"/>
        <w:rPr>
          <w:sz w:val="16"/>
        </w:rPr>
      </w:pPr>
    </w:p>
    <w:p>
      <w:pPr>
        <w:spacing w:line="240" w:lineRule="auto" w:before="0"/>
        <w:ind w:left="904" w:right="798" w:hanging="180"/>
        <w:jc w:val="left"/>
        <w:rPr>
          <w:sz w:val="16"/>
        </w:rPr>
      </w:pPr>
      <w:r>
        <w:rPr>
          <w:sz w:val="16"/>
          <w:vertAlign w:val="superscript"/>
        </w:rPr>
        <w:t>6</w:t>
      </w:r>
      <w:r>
        <w:rPr>
          <w:sz w:val="16"/>
          <w:vertAlign w:val="baseline"/>
        </w:rPr>
        <w:t> </w:t>
      </w:r>
      <w:r>
        <w:rPr>
          <w:color w:val="030A13"/>
          <w:sz w:val="16"/>
          <w:vertAlign w:val="baseline"/>
        </w:rPr>
        <w:t>Charging indirect costs on a “restricted” basis is a key part of implementing the IDEA Part C requirement in IDEA section 637(b)(5)(B), which requires that federal funds be used to supplement (and not supplant) “State and local funds expended for infants</w:t>
      </w:r>
      <w:r>
        <w:rPr>
          <w:color w:val="030A13"/>
          <w:spacing w:val="-2"/>
          <w:sz w:val="16"/>
          <w:vertAlign w:val="baseline"/>
        </w:rPr>
        <w:t> </w:t>
      </w:r>
      <w:r>
        <w:rPr>
          <w:color w:val="030A13"/>
          <w:sz w:val="16"/>
          <w:vertAlign w:val="baseline"/>
        </w:rPr>
        <w:t>and</w:t>
      </w:r>
      <w:r>
        <w:rPr>
          <w:color w:val="030A13"/>
          <w:spacing w:val="-2"/>
          <w:sz w:val="16"/>
          <w:vertAlign w:val="baseline"/>
        </w:rPr>
        <w:t> </w:t>
      </w:r>
      <w:r>
        <w:rPr>
          <w:color w:val="030A13"/>
          <w:sz w:val="16"/>
          <w:vertAlign w:val="baseline"/>
        </w:rPr>
        <w:t>toddlers</w:t>
      </w:r>
      <w:r>
        <w:rPr>
          <w:color w:val="030A13"/>
          <w:spacing w:val="-2"/>
          <w:sz w:val="16"/>
          <w:vertAlign w:val="baseline"/>
        </w:rPr>
        <w:t> </w:t>
      </w:r>
      <w:r>
        <w:rPr>
          <w:color w:val="030A13"/>
          <w:sz w:val="16"/>
          <w:vertAlign w:val="baseline"/>
        </w:rPr>
        <w:t>with</w:t>
      </w:r>
      <w:r>
        <w:rPr>
          <w:color w:val="030A13"/>
          <w:spacing w:val="-2"/>
          <w:sz w:val="16"/>
          <w:vertAlign w:val="baseline"/>
        </w:rPr>
        <w:t> </w:t>
      </w:r>
      <w:r>
        <w:rPr>
          <w:color w:val="030A13"/>
          <w:sz w:val="16"/>
          <w:vertAlign w:val="baseline"/>
        </w:rPr>
        <w:t>disabilities</w:t>
      </w:r>
      <w:r>
        <w:rPr>
          <w:color w:val="030A13"/>
          <w:spacing w:val="-2"/>
          <w:sz w:val="16"/>
          <w:vertAlign w:val="baseline"/>
        </w:rPr>
        <w:t> </w:t>
      </w:r>
      <w:r>
        <w:rPr>
          <w:color w:val="030A13"/>
          <w:sz w:val="16"/>
          <w:vertAlign w:val="baseline"/>
        </w:rPr>
        <w:t>and</w:t>
      </w:r>
      <w:r>
        <w:rPr>
          <w:color w:val="030A13"/>
          <w:spacing w:val="-2"/>
          <w:sz w:val="16"/>
          <w:vertAlign w:val="baseline"/>
        </w:rPr>
        <w:t> </w:t>
      </w:r>
      <w:r>
        <w:rPr>
          <w:color w:val="030A13"/>
          <w:sz w:val="16"/>
          <w:vertAlign w:val="baseline"/>
        </w:rPr>
        <w:t>their</w:t>
      </w:r>
      <w:r>
        <w:rPr>
          <w:color w:val="030A13"/>
          <w:spacing w:val="-2"/>
          <w:sz w:val="16"/>
          <w:vertAlign w:val="baseline"/>
        </w:rPr>
        <w:t> </w:t>
      </w:r>
      <w:r>
        <w:rPr>
          <w:color w:val="030A13"/>
          <w:sz w:val="16"/>
          <w:vertAlign w:val="baseline"/>
        </w:rPr>
        <w:t>families.</w:t>
      </w:r>
      <w:r>
        <w:rPr>
          <w:color w:val="030A13"/>
          <w:spacing w:val="-2"/>
          <w:sz w:val="16"/>
          <w:vertAlign w:val="baseline"/>
        </w:rPr>
        <w:t> </w:t>
      </w:r>
      <w:r>
        <w:rPr>
          <w:color w:val="030A13"/>
          <w:sz w:val="16"/>
          <w:vertAlign w:val="baseline"/>
        </w:rPr>
        <w:t>The</w:t>
      </w:r>
      <w:r>
        <w:rPr>
          <w:color w:val="030A13"/>
          <w:spacing w:val="-2"/>
          <w:sz w:val="16"/>
          <w:vertAlign w:val="baseline"/>
        </w:rPr>
        <w:t> </w:t>
      </w:r>
      <w:r>
        <w:rPr>
          <w:color w:val="030A13"/>
          <w:sz w:val="16"/>
          <w:vertAlign w:val="baseline"/>
        </w:rPr>
        <w:t>restricted</w:t>
      </w:r>
      <w:r>
        <w:rPr>
          <w:color w:val="030A13"/>
          <w:spacing w:val="-2"/>
          <w:sz w:val="16"/>
          <w:vertAlign w:val="baseline"/>
        </w:rPr>
        <w:t> </w:t>
      </w:r>
      <w:r>
        <w:rPr>
          <w:color w:val="030A13"/>
          <w:sz w:val="16"/>
          <w:vertAlign w:val="baseline"/>
        </w:rPr>
        <w:t>indirect</w:t>
      </w:r>
      <w:r>
        <w:rPr>
          <w:color w:val="030A13"/>
          <w:spacing w:val="-2"/>
          <w:sz w:val="16"/>
          <w:vertAlign w:val="baseline"/>
        </w:rPr>
        <w:t> </w:t>
      </w:r>
      <w:r>
        <w:rPr>
          <w:color w:val="030A13"/>
          <w:sz w:val="16"/>
          <w:vertAlign w:val="baseline"/>
        </w:rPr>
        <w:t>cost</w:t>
      </w:r>
      <w:r>
        <w:rPr>
          <w:color w:val="030A13"/>
          <w:spacing w:val="-2"/>
          <w:sz w:val="16"/>
          <w:vertAlign w:val="baseline"/>
        </w:rPr>
        <w:t> </w:t>
      </w:r>
      <w:r>
        <w:rPr>
          <w:color w:val="030A13"/>
          <w:sz w:val="16"/>
          <w:vertAlign w:val="baseline"/>
        </w:rPr>
        <w:t>rate</w:t>
      </w:r>
      <w:r>
        <w:rPr>
          <w:color w:val="030A13"/>
          <w:spacing w:val="-2"/>
          <w:sz w:val="16"/>
          <w:vertAlign w:val="baseline"/>
        </w:rPr>
        <w:t> </w:t>
      </w:r>
      <w:r>
        <w:rPr>
          <w:color w:val="030A13"/>
          <w:sz w:val="16"/>
          <w:vertAlign w:val="baseline"/>
        </w:rPr>
        <w:t>formula</w:t>
      </w:r>
      <w:r>
        <w:rPr>
          <w:color w:val="030A13"/>
          <w:spacing w:val="-2"/>
          <w:sz w:val="16"/>
          <w:vertAlign w:val="baseline"/>
        </w:rPr>
        <w:t> </w:t>
      </w:r>
      <w:r>
        <w:rPr>
          <w:color w:val="030A13"/>
          <w:sz w:val="16"/>
          <w:vertAlign w:val="baseline"/>
        </w:rPr>
        <w:t>is</w:t>
      </w:r>
      <w:r>
        <w:rPr>
          <w:color w:val="030A13"/>
          <w:spacing w:val="-2"/>
          <w:sz w:val="16"/>
          <w:vertAlign w:val="baseline"/>
        </w:rPr>
        <w:t> </w:t>
      </w:r>
      <w:r>
        <w:rPr>
          <w:color w:val="030A13"/>
          <w:sz w:val="16"/>
          <w:vertAlign w:val="baseline"/>
        </w:rPr>
        <w:t>described</w:t>
      </w:r>
      <w:r>
        <w:rPr>
          <w:color w:val="030A13"/>
          <w:spacing w:val="-2"/>
          <w:sz w:val="16"/>
          <w:vertAlign w:val="baseline"/>
        </w:rPr>
        <w:t> </w:t>
      </w:r>
      <w:r>
        <w:rPr>
          <w:color w:val="030A13"/>
          <w:sz w:val="16"/>
          <w:vertAlign w:val="baseline"/>
        </w:rPr>
        <w:t>at</w:t>
      </w:r>
      <w:r>
        <w:rPr>
          <w:color w:val="030A13"/>
          <w:spacing w:val="-2"/>
          <w:sz w:val="16"/>
          <w:vertAlign w:val="baseline"/>
        </w:rPr>
        <w:t> </w:t>
      </w:r>
      <w:r>
        <w:rPr>
          <w:color w:val="030A13"/>
          <w:sz w:val="16"/>
          <w:vertAlign w:val="baseline"/>
        </w:rPr>
        <w:t>34</w:t>
      </w:r>
      <w:r>
        <w:rPr>
          <w:color w:val="030A13"/>
          <w:spacing w:val="-2"/>
          <w:sz w:val="16"/>
          <w:vertAlign w:val="baseline"/>
        </w:rPr>
        <w:t> </w:t>
      </w:r>
      <w:r>
        <w:rPr>
          <w:color w:val="030A13"/>
          <w:sz w:val="16"/>
          <w:vertAlign w:val="baseline"/>
        </w:rPr>
        <w:t>CFR</w:t>
      </w:r>
      <w:r>
        <w:rPr>
          <w:color w:val="030A13"/>
          <w:spacing w:val="-1"/>
          <w:sz w:val="16"/>
          <w:vertAlign w:val="baseline"/>
        </w:rPr>
        <w:t> </w:t>
      </w:r>
      <w:r>
        <w:rPr>
          <w:color w:val="030A13"/>
          <w:sz w:val="16"/>
          <w:vertAlign w:val="baseline"/>
        </w:rPr>
        <w:t>§§75.564 and 76.565. The formula limits the general administrative costs that can be included in the indirect cost pool (numerator) and requires adjustments to the modified total direct cost (MTDC) base (denominator).</w:t>
      </w:r>
    </w:p>
    <w:p>
      <w:pPr>
        <w:pStyle w:val="BodyText"/>
        <w:spacing w:before="53"/>
        <w:rPr>
          <w:sz w:val="16"/>
        </w:rPr>
      </w:pPr>
    </w:p>
    <w:p>
      <w:pPr>
        <w:spacing w:line="240" w:lineRule="auto" w:before="0"/>
        <w:ind w:left="904" w:right="750" w:hanging="180"/>
        <w:jc w:val="left"/>
        <w:rPr>
          <w:sz w:val="16"/>
        </w:rPr>
      </w:pPr>
      <w:r>
        <w:rPr>
          <w:sz w:val="16"/>
          <w:vertAlign w:val="superscript"/>
        </w:rPr>
        <w:t>7</w:t>
      </w:r>
      <w:r>
        <w:rPr>
          <w:spacing w:val="40"/>
          <w:sz w:val="16"/>
          <w:vertAlign w:val="baseline"/>
        </w:rPr>
        <w:t> </w:t>
      </w:r>
      <w:r>
        <w:rPr>
          <w:sz w:val="16"/>
          <w:vertAlign w:val="baseline"/>
        </w:rPr>
        <w:t>A "provisional" indirect cost rate is a temporary rate established for a future prospective period of time to permit budgeting, obligations,</w:t>
      </w:r>
      <w:r>
        <w:rPr>
          <w:spacing w:val="-2"/>
          <w:sz w:val="16"/>
          <w:vertAlign w:val="baseline"/>
        </w:rPr>
        <w:t> </w:t>
      </w:r>
      <w:r>
        <w:rPr>
          <w:sz w:val="16"/>
          <w:vertAlign w:val="baseline"/>
        </w:rPr>
        <w:t>and</w:t>
      </w:r>
      <w:r>
        <w:rPr>
          <w:spacing w:val="-2"/>
          <w:sz w:val="16"/>
          <w:vertAlign w:val="baseline"/>
        </w:rPr>
        <w:t> </w:t>
      </w:r>
      <w:r>
        <w:rPr>
          <w:sz w:val="16"/>
          <w:vertAlign w:val="baseline"/>
        </w:rPr>
        <w:t>payment</w:t>
      </w:r>
      <w:r>
        <w:rPr>
          <w:spacing w:val="-2"/>
          <w:sz w:val="16"/>
          <w:vertAlign w:val="baseline"/>
        </w:rPr>
        <w:t> </w:t>
      </w:r>
      <w:r>
        <w:rPr>
          <w:sz w:val="16"/>
          <w:vertAlign w:val="baseline"/>
        </w:rPr>
        <w:t>of</w:t>
      </w:r>
      <w:r>
        <w:rPr>
          <w:spacing w:val="-2"/>
          <w:sz w:val="16"/>
          <w:vertAlign w:val="baseline"/>
        </w:rPr>
        <w:t> </w:t>
      </w:r>
      <w:r>
        <w:rPr>
          <w:sz w:val="16"/>
          <w:vertAlign w:val="baseline"/>
        </w:rPr>
        <w:t>funds</w:t>
      </w:r>
      <w:r>
        <w:rPr>
          <w:spacing w:val="-2"/>
          <w:sz w:val="16"/>
          <w:vertAlign w:val="baseline"/>
        </w:rPr>
        <w:t> </w:t>
      </w:r>
      <w:r>
        <w:rPr>
          <w:sz w:val="16"/>
          <w:vertAlign w:val="baseline"/>
        </w:rPr>
        <w:t>by</w:t>
      </w:r>
      <w:r>
        <w:rPr>
          <w:spacing w:val="-2"/>
          <w:sz w:val="16"/>
          <w:vertAlign w:val="baseline"/>
        </w:rPr>
        <w:t> </w:t>
      </w:r>
      <w:r>
        <w:rPr>
          <w:sz w:val="16"/>
          <w:vertAlign w:val="baseline"/>
        </w:rPr>
        <w:t>awarding</w:t>
      </w:r>
      <w:r>
        <w:rPr>
          <w:spacing w:val="-2"/>
          <w:sz w:val="16"/>
          <w:vertAlign w:val="baseline"/>
        </w:rPr>
        <w:t> </w:t>
      </w:r>
      <w:r>
        <w:rPr>
          <w:sz w:val="16"/>
          <w:vertAlign w:val="baseline"/>
        </w:rPr>
        <w:t>agencies</w:t>
      </w:r>
      <w:r>
        <w:rPr>
          <w:spacing w:val="-2"/>
          <w:sz w:val="16"/>
          <w:vertAlign w:val="baseline"/>
        </w:rPr>
        <w:t> </w:t>
      </w:r>
      <w:r>
        <w:rPr>
          <w:sz w:val="16"/>
          <w:vertAlign w:val="baseline"/>
        </w:rPr>
        <w:t>until</w:t>
      </w:r>
      <w:r>
        <w:rPr>
          <w:spacing w:val="-2"/>
          <w:sz w:val="16"/>
          <w:vertAlign w:val="baseline"/>
        </w:rPr>
        <w:t> </w:t>
      </w:r>
      <w:r>
        <w:rPr>
          <w:sz w:val="16"/>
          <w:vertAlign w:val="baseline"/>
        </w:rPr>
        <w:t>such</w:t>
      </w:r>
      <w:r>
        <w:rPr>
          <w:spacing w:val="-2"/>
          <w:sz w:val="16"/>
          <w:vertAlign w:val="baseline"/>
        </w:rPr>
        <w:t> </w:t>
      </w:r>
      <w:r>
        <w:rPr>
          <w:sz w:val="16"/>
          <w:vertAlign w:val="baseline"/>
        </w:rPr>
        <w:t>time</w:t>
      </w:r>
      <w:r>
        <w:rPr>
          <w:spacing w:val="-2"/>
          <w:sz w:val="16"/>
          <w:vertAlign w:val="baseline"/>
        </w:rPr>
        <w:t> </w:t>
      </w:r>
      <w:r>
        <w:rPr>
          <w:sz w:val="16"/>
          <w:vertAlign w:val="baseline"/>
        </w:rPr>
        <w:t>as</w:t>
      </w:r>
      <w:r>
        <w:rPr>
          <w:spacing w:val="-2"/>
          <w:sz w:val="16"/>
          <w:vertAlign w:val="baseline"/>
        </w:rPr>
        <w:t> </w:t>
      </w:r>
      <w:r>
        <w:rPr>
          <w:sz w:val="16"/>
          <w:vertAlign w:val="baseline"/>
        </w:rPr>
        <w:t>the</w:t>
      </w:r>
      <w:r>
        <w:rPr>
          <w:spacing w:val="-2"/>
          <w:sz w:val="16"/>
          <w:vertAlign w:val="baseline"/>
        </w:rPr>
        <w:t> </w:t>
      </w:r>
      <w:r>
        <w:rPr>
          <w:sz w:val="16"/>
          <w:vertAlign w:val="baseline"/>
        </w:rPr>
        <w:t>actual</w:t>
      </w:r>
      <w:r>
        <w:rPr>
          <w:spacing w:val="-2"/>
          <w:sz w:val="16"/>
          <w:vertAlign w:val="baseline"/>
        </w:rPr>
        <w:t> </w:t>
      </w:r>
      <w:r>
        <w:rPr>
          <w:sz w:val="16"/>
          <w:vertAlign w:val="baseline"/>
        </w:rPr>
        <w:t>indirect</w:t>
      </w:r>
      <w:r>
        <w:rPr>
          <w:spacing w:val="-2"/>
          <w:sz w:val="16"/>
          <w:vertAlign w:val="baseline"/>
        </w:rPr>
        <w:t> </w:t>
      </w:r>
      <w:r>
        <w:rPr>
          <w:sz w:val="16"/>
          <w:vertAlign w:val="baseline"/>
        </w:rPr>
        <w:t>costs</w:t>
      </w:r>
      <w:r>
        <w:rPr>
          <w:spacing w:val="-2"/>
          <w:sz w:val="16"/>
          <w:vertAlign w:val="baseline"/>
        </w:rPr>
        <w:t> </w:t>
      </w:r>
      <w:r>
        <w:rPr>
          <w:sz w:val="16"/>
          <w:vertAlign w:val="baseline"/>
        </w:rPr>
        <w:t>can</w:t>
      </w:r>
      <w:r>
        <w:rPr>
          <w:spacing w:val="-2"/>
          <w:sz w:val="16"/>
          <w:vertAlign w:val="baseline"/>
        </w:rPr>
        <w:t> </w:t>
      </w:r>
      <w:r>
        <w:rPr>
          <w:sz w:val="16"/>
          <w:vertAlign w:val="baseline"/>
        </w:rPr>
        <w:t>be</w:t>
      </w:r>
      <w:r>
        <w:rPr>
          <w:spacing w:val="-2"/>
          <w:sz w:val="16"/>
          <w:vertAlign w:val="baseline"/>
        </w:rPr>
        <w:t> </w:t>
      </w:r>
      <w:r>
        <w:rPr>
          <w:sz w:val="16"/>
          <w:vertAlign w:val="baseline"/>
        </w:rPr>
        <w:t>determined</w:t>
      </w:r>
      <w:r>
        <w:rPr>
          <w:spacing w:val="-2"/>
          <w:sz w:val="16"/>
          <w:vertAlign w:val="baseline"/>
        </w:rPr>
        <w:t> </w:t>
      </w:r>
      <w:r>
        <w:rPr>
          <w:sz w:val="16"/>
          <w:vertAlign w:val="baseline"/>
        </w:rPr>
        <w:t>and</w:t>
      </w:r>
      <w:r>
        <w:rPr>
          <w:spacing w:val="-2"/>
          <w:sz w:val="16"/>
          <w:vertAlign w:val="baseline"/>
        </w:rPr>
        <w:t> </w:t>
      </w:r>
      <w:r>
        <w:rPr>
          <w:sz w:val="16"/>
          <w:vertAlign w:val="baseline"/>
        </w:rPr>
        <w:t>a</w:t>
      </w:r>
      <w:r>
        <w:rPr>
          <w:spacing w:val="-2"/>
          <w:sz w:val="16"/>
          <w:vertAlign w:val="baseline"/>
        </w:rPr>
        <w:t> </w:t>
      </w:r>
      <w:r>
        <w:rPr>
          <w:sz w:val="16"/>
          <w:vertAlign w:val="baseline"/>
        </w:rPr>
        <w:t>final rate is established for the applicable period; provisional rates are subject to adjustment by issuance of a "final" rate based on actual indirect costs incurred for the period (usually the organization's fiscal year).</w:t>
      </w:r>
    </w:p>
    <w:p>
      <w:pPr>
        <w:spacing w:after="0" w:line="240" w:lineRule="auto"/>
        <w:jc w:val="left"/>
        <w:rPr>
          <w:sz w:val="16"/>
        </w:rPr>
        <w:sectPr>
          <w:footerReference w:type="default" r:id="rId15"/>
          <w:pgSz w:w="12240" w:h="15840"/>
          <w:pgMar w:header="0" w:footer="879" w:top="880" w:bottom="1060" w:left="720" w:right="720"/>
          <w:pgNumType w:start="1"/>
        </w:sectPr>
      </w:pPr>
    </w:p>
    <w:p>
      <w:pPr>
        <w:pStyle w:val="BodyText"/>
        <w:spacing w:before="75"/>
        <w:ind w:left="1444" w:right="785"/>
      </w:pPr>
      <w:r>
        <w:rPr/>
        <w:t>agency must make appropriate adjustments for applicable FFYs.</w:t>
      </w:r>
      <w:r>
        <w:rPr>
          <w:spacing w:val="-4"/>
        </w:rPr>
        <w:t> </w:t>
      </w:r>
      <w:r>
        <w:rPr/>
        <w:t>The State acknowledges that a final restricted indirect cost rate may result in an adjustment of the final audited expenditures allowable to be charged to the Part C grant and the Department's approval of this FFY Part C application</w:t>
      </w:r>
      <w:r>
        <w:rPr>
          <w:spacing w:val="-3"/>
        </w:rPr>
        <w:t> </w:t>
      </w:r>
      <w:r>
        <w:rPr/>
        <w:t>with</w:t>
      </w:r>
      <w:r>
        <w:rPr>
          <w:spacing w:val="-3"/>
        </w:rPr>
        <w:t> </w:t>
      </w:r>
      <w:r>
        <w:rPr/>
        <w:t>an</w:t>
      </w:r>
      <w:r>
        <w:rPr>
          <w:spacing w:val="-3"/>
        </w:rPr>
        <w:t> </w:t>
      </w:r>
      <w:r>
        <w:rPr/>
        <w:t>expired</w:t>
      </w:r>
      <w:r>
        <w:rPr>
          <w:spacing w:val="-3"/>
        </w:rPr>
        <w:t> </w:t>
      </w:r>
      <w:r>
        <w:rPr/>
        <w:t>or</w:t>
      </w:r>
      <w:r>
        <w:rPr>
          <w:spacing w:val="-3"/>
        </w:rPr>
        <w:t> </w:t>
      </w:r>
      <w:r>
        <w:rPr/>
        <w:t>provisional</w:t>
      </w:r>
      <w:r>
        <w:rPr>
          <w:spacing w:val="-3"/>
        </w:rPr>
        <w:t> </w:t>
      </w:r>
      <w:r>
        <w:rPr/>
        <w:t>restricted</w:t>
      </w:r>
      <w:r>
        <w:rPr>
          <w:spacing w:val="-3"/>
        </w:rPr>
        <w:t> </w:t>
      </w:r>
      <w:r>
        <w:rPr/>
        <w:t>indirect</w:t>
      </w:r>
      <w:r>
        <w:rPr>
          <w:spacing w:val="-3"/>
        </w:rPr>
        <w:t> </w:t>
      </w:r>
      <w:r>
        <w:rPr/>
        <w:t>cost</w:t>
      </w:r>
      <w:r>
        <w:rPr>
          <w:spacing w:val="-3"/>
        </w:rPr>
        <w:t> </w:t>
      </w:r>
      <w:r>
        <w:rPr/>
        <w:t>rate</w:t>
      </w:r>
      <w:r>
        <w:rPr>
          <w:spacing w:val="-3"/>
        </w:rPr>
        <w:t> </w:t>
      </w:r>
      <w:r>
        <w:rPr/>
        <w:t>does</w:t>
      </w:r>
      <w:r>
        <w:rPr>
          <w:spacing w:val="-3"/>
        </w:rPr>
        <w:t> </w:t>
      </w:r>
      <w:r>
        <w:rPr/>
        <w:t>not</w:t>
      </w:r>
      <w:r>
        <w:rPr>
          <w:spacing w:val="-3"/>
        </w:rPr>
        <w:t> </w:t>
      </w:r>
      <w:r>
        <w:rPr/>
        <w:t>constitute</w:t>
      </w:r>
      <w:r>
        <w:rPr>
          <w:spacing w:val="-3"/>
        </w:rPr>
        <w:t> </w:t>
      </w:r>
      <w:r>
        <w:rPr/>
        <w:t>approval of that rate as the final rate for the lead agency for this FFY. When a final restricted indirect cost rate is approved, the lead agency must submit to OSEP:</w:t>
      </w:r>
      <w:r>
        <w:rPr>
          <w:spacing w:val="40"/>
        </w:rPr>
        <w:t> </w:t>
      </w:r>
      <w:r>
        <w:rPr/>
        <w:t>(1) a copy of the "final" restricted indirect cost rate agreement; and (2) details of adjustments made to past GAPS draw downs in light of the "final" rate. (The State must attach a copy of the previously approved restricted indirect cost rate agreement.)</w:t>
      </w:r>
    </w:p>
    <w:p>
      <w:pPr>
        <w:pStyle w:val="BodyText"/>
        <w:tabs>
          <w:tab w:pos="1280" w:val="left" w:leader="none"/>
          <w:tab w:pos="5677" w:val="left" w:leader="none"/>
          <w:tab w:pos="8061" w:val="left" w:leader="none"/>
        </w:tabs>
        <w:spacing w:before="119"/>
        <w:ind w:left="1444" w:right="742" w:hanging="720"/>
      </w:pPr>
      <w:r>
        <w:rPr>
          <w:rFonts w:ascii="Times New Roman" w:hAnsi="Times New Roman"/>
          <w:u w:val="single"/>
        </w:rPr>
        <w:tab/>
      </w:r>
      <w:r>
        <w:rPr>
          <w:rFonts w:ascii="Times New Roman" w:hAnsi="Times New Roman"/>
          <w:spacing w:val="80"/>
          <w:u w:val="none"/>
        </w:rPr>
        <w:t> </w:t>
      </w:r>
      <w:r>
        <w:rPr>
          <w:u w:val="none"/>
        </w:rPr>
        <w:t>The</w:t>
      </w:r>
      <w:r>
        <w:rPr>
          <w:spacing w:val="-2"/>
          <w:u w:val="none"/>
        </w:rPr>
        <w:t> </w:t>
      </w:r>
      <w:r>
        <w:rPr>
          <w:u w:val="none"/>
        </w:rPr>
        <w:t>lead</w:t>
      </w:r>
      <w:r>
        <w:rPr>
          <w:spacing w:val="-2"/>
          <w:u w:val="none"/>
        </w:rPr>
        <w:t> </w:t>
      </w:r>
      <w:r>
        <w:rPr>
          <w:u w:val="none"/>
        </w:rPr>
        <w:t>agency</w:t>
      </w:r>
      <w:r>
        <w:rPr>
          <w:spacing w:val="-2"/>
          <w:u w:val="none"/>
        </w:rPr>
        <w:t> </w:t>
      </w:r>
      <w:r>
        <w:rPr>
          <w:u w:val="none"/>
        </w:rPr>
        <w:t>is</w:t>
      </w:r>
      <w:r>
        <w:rPr>
          <w:spacing w:val="-2"/>
          <w:u w:val="none"/>
        </w:rPr>
        <w:t> </w:t>
      </w:r>
      <w:r>
        <w:rPr>
          <w:u w:val="none"/>
        </w:rPr>
        <w:t>not</w:t>
      </w:r>
      <w:r>
        <w:rPr>
          <w:spacing w:val="-2"/>
          <w:u w:val="none"/>
        </w:rPr>
        <w:t> </w:t>
      </w:r>
      <w:r>
        <w:rPr>
          <w:u w:val="none"/>
        </w:rPr>
        <w:t>an</w:t>
      </w:r>
      <w:r>
        <w:rPr>
          <w:spacing w:val="-2"/>
          <w:u w:val="none"/>
        </w:rPr>
        <w:t> </w:t>
      </w:r>
      <w:r>
        <w:rPr>
          <w:u w:val="none"/>
        </w:rPr>
        <w:t>SEA</w:t>
      </w:r>
      <w:r>
        <w:rPr>
          <w:spacing w:val="-14"/>
          <w:u w:val="none"/>
        </w:rPr>
        <w:t> </w:t>
      </w:r>
      <w:r>
        <w:rPr>
          <w:u w:val="none"/>
        </w:rPr>
        <w:t>and</w:t>
      </w:r>
      <w:r>
        <w:rPr>
          <w:spacing w:val="-2"/>
          <w:u w:val="none"/>
        </w:rPr>
        <w:t> </w:t>
      </w:r>
      <w:r>
        <w:rPr>
          <w:u w:val="none"/>
        </w:rPr>
        <w:t>has</w:t>
      </w:r>
      <w:r>
        <w:rPr>
          <w:spacing w:val="-2"/>
          <w:u w:val="none"/>
        </w:rPr>
        <w:t> </w:t>
      </w:r>
      <w:r>
        <w:rPr>
          <w:u w:val="none"/>
        </w:rPr>
        <w:t>a</w:t>
      </w:r>
      <w:r>
        <w:rPr>
          <w:spacing w:val="-2"/>
          <w:u w:val="none"/>
        </w:rPr>
        <w:t> </w:t>
      </w:r>
      <w:r>
        <w:rPr>
          <w:u w:val="none"/>
        </w:rPr>
        <w:t>final</w:t>
      </w:r>
      <w:r>
        <w:rPr>
          <w:spacing w:val="-2"/>
          <w:u w:val="none"/>
        </w:rPr>
        <w:t> </w:t>
      </w:r>
      <w:r>
        <w:rPr>
          <w:u w:val="none"/>
        </w:rPr>
        <w:t>cost</w:t>
      </w:r>
      <w:r>
        <w:rPr>
          <w:spacing w:val="-2"/>
          <w:u w:val="none"/>
        </w:rPr>
        <w:t> </w:t>
      </w:r>
      <w:r>
        <w:rPr>
          <w:u w:val="none"/>
        </w:rPr>
        <w:t>allocation</w:t>
      </w:r>
      <w:r>
        <w:rPr>
          <w:spacing w:val="-2"/>
          <w:u w:val="none"/>
        </w:rPr>
        <w:t> </w:t>
      </w:r>
      <w:r>
        <w:rPr>
          <w:u w:val="none"/>
        </w:rPr>
        <w:t>plan</w:t>
      </w:r>
      <w:r>
        <w:rPr>
          <w:spacing w:val="-2"/>
          <w:u w:val="none"/>
        </w:rPr>
        <w:t> </w:t>
      </w:r>
      <w:r>
        <w:rPr>
          <w:u w:val="none"/>
        </w:rPr>
        <w:t>that</w:t>
      </w:r>
      <w:r>
        <w:rPr>
          <w:spacing w:val="-2"/>
          <w:u w:val="none"/>
        </w:rPr>
        <w:t> </w:t>
      </w:r>
      <w:r>
        <w:rPr>
          <w:u w:val="none"/>
        </w:rPr>
        <w:t>has</w:t>
      </w:r>
      <w:r>
        <w:rPr>
          <w:spacing w:val="-2"/>
          <w:u w:val="none"/>
        </w:rPr>
        <w:t> </w:t>
      </w:r>
      <w:r>
        <w:rPr>
          <w:u w:val="none"/>
        </w:rPr>
        <w:t>been</w:t>
      </w:r>
      <w:r>
        <w:rPr>
          <w:spacing w:val="-2"/>
          <w:u w:val="none"/>
        </w:rPr>
        <w:t> </w:t>
      </w:r>
      <w:r>
        <w:rPr>
          <w:u w:val="none"/>
        </w:rPr>
        <w:t>approved</w:t>
      </w:r>
      <w:r>
        <w:rPr>
          <w:spacing w:val="-2"/>
          <w:u w:val="none"/>
        </w:rPr>
        <w:t> </w:t>
      </w:r>
      <w:r>
        <w:rPr>
          <w:u w:val="none"/>
        </w:rPr>
        <w:t>by</w:t>
      </w:r>
      <w:r>
        <w:rPr>
          <w:spacing w:val="-2"/>
          <w:u w:val="none"/>
        </w:rPr>
        <w:t> </w:t>
      </w:r>
      <w:r>
        <w:rPr>
          <w:u w:val="none"/>
        </w:rPr>
        <w:t>the State lead agency's cognizant Federal agency, which is </w:t>
      </w:r>
      <w:r>
        <w:rPr>
          <w:rFonts w:ascii="Times New Roman" w:hAnsi="Times New Roman"/>
          <w:u w:val="single"/>
        </w:rPr>
        <w:tab/>
      </w:r>
      <w:r>
        <w:rPr>
          <w:u w:val="none"/>
        </w:rPr>
        <w:t>. The cost allocation plan charges costs only on a restricted basis and has also been approved by ED’s Indirect Cost Unit. It is in effect until </w:t>
      </w:r>
      <w:r>
        <w:rPr>
          <w:rFonts w:ascii="Times New Roman" w:hAnsi="Times New Roman"/>
          <w:u w:val="single"/>
        </w:rPr>
        <w:tab/>
      </w:r>
      <w:r>
        <w:rPr>
          <w:rFonts w:ascii="Times New Roman" w:hAnsi="Times New Roman"/>
          <w:u w:val="none"/>
        </w:rPr>
        <w:t> </w:t>
      </w:r>
      <w:r>
        <w:rPr>
          <w:u w:val="none"/>
        </w:rPr>
        <w:t>[insert date or note until amended] for this Federal fiscal year (FFY) (ending on June 30, 2023). (The State must attach a copy of the approved</w:t>
      </w:r>
      <w:r>
        <w:rPr>
          <w:spacing w:val="-2"/>
          <w:u w:val="none"/>
        </w:rPr>
        <w:t> </w:t>
      </w:r>
      <w:r>
        <w:rPr>
          <w:u w:val="none"/>
        </w:rPr>
        <w:t>cost</w:t>
      </w:r>
      <w:r>
        <w:rPr>
          <w:spacing w:val="-2"/>
          <w:u w:val="none"/>
        </w:rPr>
        <w:t> </w:t>
      </w:r>
      <w:r>
        <w:rPr>
          <w:u w:val="none"/>
        </w:rPr>
        <w:t>allocation</w:t>
      </w:r>
      <w:r>
        <w:rPr>
          <w:spacing w:val="-2"/>
          <w:u w:val="none"/>
        </w:rPr>
        <w:t> </w:t>
      </w:r>
      <w:r>
        <w:rPr>
          <w:u w:val="none"/>
        </w:rPr>
        <w:t>plan</w:t>
      </w:r>
      <w:r>
        <w:rPr>
          <w:spacing w:val="-2"/>
          <w:u w:val="none"/>
        </w:rPr>
        <w:t> </w:t>
      </w:r>
      <w:r>
        <w:rPr>
          <w:u w:val="none"/>
        </w:rPr>
        <w:t>and</w:t>
      </w:r>
      <w:r>
        <w:rPr>
          <w:spacing w:val="-2"/>
          <w:u w:val="none"/>
        </w:rPr>
        <w:t> </w:t>
      </w:r>
      <w:r>
        <w:rPr>
          <w:u w:val="none"/>
        </w:rPr>
        <w:t>approval</w:t>
      </w:r>
      <w:r>
        <w:rPr>
          <w:spacing w:val="-2"/>
          <w:u w:val="none"/>
        </w:rPr>
        <w:t> </w:t>
      </w:r>
      <w:r>
        <w:rPr>
          <w:u w:val="none"/>
        </w:rPr>
        <w:t>documentation</w:t>
      </w:r>
      <w:r>
        <w:rPr>
          <w:spacing w:val="-2"/>
          <w:u w:val="none"/>
        </w:rPr>
        <w:t> </w:t>
      </w:r>
      <w:r>
        <w:rPr>
          <w:u w:val="none"/>
        </w:rPr>
        <w:t>from</w:t>
      </w:r>
      <w:r>
        <w:rPr>
          <w:spacing w:val="-3"/>
          <w:u w:val="none"/>
        </w:rPr>
        <w:t> </w:t>
      </w:r>
      <w:r>
        <w:rPr>
          <w:u w:val="none"/>
        </w:rPr>
        <w:t>both</w:t>
      </w:r>
      <w:r>
        <w:rPr>
          <w:spacing w:val="-2"/>
          <w:u w:val="none"/>
        </w:rPr>
        <w:t> </w:t>
      </w:r>
      <w:r>
        <w:rPr>
          <w:u w:val="none"/>
        </w:rPr>
        <w:t>the</w:t>
      </w:r>
      <w:r>
        <w:rPr>
          <w:spacing w:val="-2"/>
          <w:u w:val="none"/>
        </w:rPr>
        <w:t> </w:t>
      </w:r>
      <w:r>
        <w:rPr>
          <w:u w:val="none"/>
        </w:rPr>
        <w:t>lead</w:t>
      </w:r>
      <w:r>
        <w:rPr>
          <w:spacing w:val="-2"/>
          <w:u w:val="none"/>
        </w:rPr>
        <w:t> </w:t>
      </w:r>
      <w:r>
        <w:rPr>
          <w:u w:val="none"/>
        </w:rPr>
        <w:t>agency’s</w:t>
      </w:r>
      <w:r>
        <w:rPr>
          <w:spacing w:val="-2"/>
          <w:u w:val="none"/>
        </w:rPr>
        <w:t> </w:t>
      </w:r>
      <w:r>
        <w:rPr>
          <w:u w:val="none"/>
        </w:rPr>
        <w:t>cognizant Federal agency and ED’s Indirect Cost Unit.)</w:t>
      </w:r>
    </w:p>
    <w:sectPr>
      <w:pgSz w:w="12240" w:h="15840"/>
      <w:pgMar w:header="0" w:footer="879" w:top="880" w:bottom="10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Courier New">
    <w:altName w:val="Courier New"/>
    <w:charset w:val="0"/>
    <w:family w:val="modern"/>
    <w:pitch w:val="fixed"/>
  </w:font>
  <w:font w:name="Symbol">
    <w:altName w:val="Symbol"/>
    <w:charset w:val="2"/>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173184">
              <wp:simplePos x="0" y="0"/>
              <wp:positionH relativeFrom="page">
                <wp:posOffset>904820</wp:posOffset>
              </wp:positionH>
              <wp:positionV relativeFrom="page">
                <wp:posOffset>9360356</wp:posOffset>
              </wp:positionV>
              <wp:extent cx="2274570" cy="2571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74570" cy="257175"/>
                      </a:xfrm>
                      <a:prstGeom prst="rect">
                        <a:avLst/>
                      </a:prstGeom>
                    </wps:spPr>
                    <wps:txbx>
                      <w:txbxContent>
                        <w:p>
                          <w:pPr>
                            <w:spacing w:before="13"/>
                            <w:ind w:left="20" w:right="0" w:firstLine="0"/>
                            <w:jc w:val="left"/>
                            <w:rPr>
                              <w:sz w:val="16"/>
                            </w:rPr>
                          </w:pPr>
                          <w:r>
                            <w:rPr>
                              <w:sz w:val="16"/>
                            </w:rPr>
                            <w:t>Part</w:t>
                          </w:r>
                          <w:r>
                            <w:rPr>
                              <w:spacing w:val="-3"/>
                              <w:sz w:val="16"/>
                            </w:rPr>
                            <w:t> </w:t>
                          </w:r>
                          <w:r>
                            <w:rPr>
                              <w:sz w:val="16"/>
                            </w:rPr>
                            <w:t>C</w:t>
                          </w:r>
                          <w:r>
                            <w:rPr>
                              <w:spacing w:val="-2"/>
                              <w:sz w:val="16"/>
                            </w:rPr>
                            <w:t> </w:t>
                          </w:r>
                          <w:r>
                            <w:rPr>
                              <w:sz w:val="16"/>
                            </w:rPr>
                            <w:t>Annual</w:t>
                          </w:r>
                          <w:r>
                            <w:rPr>
                              <w:spacing w:val="-3"/>
                              <w:sz w:val="16"/>
                            </w:rPr>
                            <w:t> </w:t>
                          </w:r>
                          <w:r>
                            <w:rPr>
                              <w:sz w:val="16"/>
                            </w:rPr>
                            <w:t>State</w:t>
                          </w:r>
                          <w:r>
                            <w:rPr>
                              <w:spacing w:val="-3"/>
                              <w:sz w:val="16"/>
                            </w:rPr>
                            <w:t> </w:t>
                          </w:r>
                          <w:r>
                            <w:rPr>
                              <w:sz w:val="16"/>
                            </w:rPr>
                            <w:t>Application:</w:t>
                          </w:r>
                          <w:r>
                            <w:rPr>
                              <w:spacing w:val="39"/>
                              <w:sz w:val="16"/>
                            </w:rPr>
                            <w:t> </w:t>
                          </w:r>
                          <w:r>
                            <w:rPr>
                              <w:sz w:val="16"/>
                            </w:rPr>
                            <w:t>FFY</w:t>
                          </w:r>
                          <w:r>
                            <w:rPr>
                              <w:spacing w:val="-2"/>
                              <w:sz w:val="16"/>
                            </w:rPr>
                            <w:t> </w:t>
                          </w:r>
                          <w:r>
                            <w:rPr>
                              <w:spacing w:val="-4"/>
                              <w:sz w:val="16"/>
                            </w:rPr>
                            <w:t>2022</w:t>
                          </w:r>
                        </w:p>
                        <w:p>
                          <w:pPr>
                            <w:spacing w:before="3"/>
                            <w:ind w:left="20" w:right="0" w:firstLine="0"/>
                            <w:jc w:val="left"/>
                            <w:rPr>
                              <w:sz w:val="16"/>
                            </w:rPr>
                          </w:pPr>
                          <w:r>
                            <w:rPr>
                              <w:sz w:val="16"/>
                            </w:rPr>
                            <w:t>OMB</w:t>
                          </w:r>
                          <w:r>
                            <w:rPr>
                              <w:spacing w:val="-4"/>
                              <w:sz w:val="16"/>
                            </w:rPr>
                            <w:t> </w:t>
                          </w:r>
                          <w:r>
                            <w:rPr>
                              <w:sz w:val="16"/>
                            </w:rPr>
                            <w:t>No.</w:t>
                          </w:r>
                          <w:r>
                            <w:rPr>
                              <w:spacing w:val="-4"/>
                              <w:sz w:val="16"/>
                            </w:rPr>
                            <w:t> </w:t>
                          </w:r>
                          <w:r>
                            <w:rPr>
                              <w:sz w:val="16"/>
                            </w:rPr>
                            <w:t>1820-0550/Expiration</w:t>
                          </w:r>
                          <w:r>
                            <w:rPr>
                              <w:spacing w:val="-4"/>
                              <w:sz w:val="16"/>
                            </w:rPr>
                            <w:t> </w:t>
                          </w:r>
                          <w:r>
                            <w:rPr>
                              <w:sz w:val="16"/>
                            </w:rPr>
                            <w:t>Date:</w:t>
                          </w:r>
                          <w:r>
                            <w:rPr>
                              <w:spacing w:val="37"/>
                              <w:sz w:val="16"/>
                            </w:rPr>
                            <w:t> </w:t>
                          </w:r>
                          <w:r>
                            <w:rPr>
                              <w:spacing w:val="-2"/>
                              <w:sz w:val="16"/>
                            </w:rPr>
                            <w:t>12/31/2023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245697pt;margin-top:737.03595pt;width:179.1pt;height:20.25pt;mso-position-horizontal-relative:page;mso-position-vertical-relative:page;z-index:-17143296" type="#_x0000_t202" id="docshape1" filled="false" stroked="false">
              <v:textbox inset="0,0,0,0">
                <w:txbxContent>
                  <w:p>
                    <w:pPr>
                      <w:spacing w:before="13"/>
                      <w:ind w:left="20" w:right="0" w:firstLine="0"/>
                      <w:jc w:val="left"/>
                      <w:rPr>
                        <w:sz w:val="16"/>
                      </w:rPr>
                    </w:pPr>
                    <w:r>
                      <w:rPr>
                        <w:sz w:val="16"/>
                      </w:rPr>
                      <w:t>Part</w:t>
                    </w:r>
                    <w:r>
                      <w:rPr>
                        <w:spacing w:val="-3"/>
                        <w:sz w:val="16"/>
                      </w:rPr>
                      <w:t> </w:t>
                    </w:r>
                    <w:r>
                      <w:rPr>
                        <w:sz w:val="16"/>
                      </w:rPr>
                      <w:t>C</w:t>
                    </w:r>
                    <w:r>
                      <w:rPr>
                        <w:spacing w:val="-2"/>
                        <w:sz w:val="16"/>
                      </w:rPr>
                      <w:t> </w:t>
                    </w:r>
                    <w:r>
                      <w:rPr>
                        <w:sz w:val="16"/>
                      </w:rPr>
                      <w:t>Annual</w:t>
                    </w:r>
                    <w:r>
                      <w:rPr>
                        <w:spacing w:val="-3"/>
                        <w:sz w:val="16"/>
                      </w:rPr>
                      <w:t> </w:t>
                    </w:r>
                    <w:r>
                      <w:rPr>
                        <w:sz w:val="16"/>
                      </w:rPr>
                      <w:t>State</w:t>
                    </w:r>
                    <w:r>
                      <w:rPr>
                        <w:spacing w:val="-3"/>
                        <w:sz w:val="16"/>
                      </w:rPr>
                      <w:t> </w:t>
                    </w:r>
                    <w:r>
                      <w:rPr>
                        <w:sz w:val="16"/>
                      </w:rPr>
                      <w:t>Application:</w:t>
                    </w:r>
                    <w:r>
                      <w:rPr>
                        <w:spacing w:val="39"/>
                        <w:sz w:val="16"/>
                      </w:rPr>
                      <w:t> </w:t>
                    </w:r>
                    <w:r>
                      <w:rPr>
                        <w:sz w:val="16"/>
                      </w:rPr>
                      <w:t>FFY</w:t>
                    </w:r>
                    <w:r>
                      <w:rPr>
                        <w:spacing w:val="-2"/>
                        <w:sz w:val="16"/>
                      </w:rPr>
                      <w:t> </w:t>
                    </w:r>
                    <w:r>
                      <w:rPr>
                        <w:spacing w:val="-4"/>
                        <w:sz w:val="16"/>
                      </w:rPr>
                      <w:t>2022</w:t>
                    </w:r>
                  </w:p>
                  <w:p>
                    <w:pPr>
                      <w:spacing w:before="3"/>
                      <w:ind w:left="20" w:right="0" w:firstLine="0"/>
                      <w:jc w:val="left"/>
                      <w:rPr>
                        <w:sz w:val="16"/>
                      </w:rPr>
                    </w:pPr>
                    <w:r>
                      <w:rPr>
                        <w:sz w:val="16"/>
                      </w:rPr>
                      <w:t>OMB</w:t>
                    </w:r>
                    <w:r>
                      <w:rPr>
                        <w:spacing w:val="-4"/>
                        <w:sz w:val="16"/>
                      </w:rPr>
                      <w:t> </w:t>
                    </w:r>
                    <w:r>
                      <w:rPr>
                        <w:sz w:val="16"/>
                      </w:rPr>
                      <w:t>No.</w:t>
                    </w:r>
                    <w:r>
                      <w:rPr>
                        <w:spacing w:val="-4"/>
                        <w:sz w:val="16"/>
                      </w:rPr>
                      <w:t> </w:t>
                    </w:r>
                    <w:r>
                      <w:rPr>
                        <w:sz w:val="16"/>
                      </w:rPr>
                      <w:t>1820-0550/Expiration</w:t>
                    </w:r>
                    <w:r>
                      <w:rPr>
                        <w:spacing w:val="-4"/>
                        <w:sz w:val="16"/>
                      </w:rPr>
                      <w:t> </w:t>
                    </w:r>
                    <w:r>
                      <w:rPr>
                        <w:sz w:val="16"/>
                      </w:rPr>
                      <w:t>Date:</w:t>
                    </w:r>
                    <w:r>
                      <w:rPr>
                        <w:spacing w:val="37"/>
                        <w:sz w:val="16"/>
                      </w:rPr>
                      <w:t> </w:t>
                    </w:r>
                    <w:r>
                      <w:rPr>
                        <w:spacing w:val="-2"/>
                        <w:sz w:val="16"/>
                      </w:rPr>
                      <w:t>12/31/2023</w:t>
                    </w:r>
                  </w:p>
                </w:txbxContent>
              </v:textbox>
              <w10:wrap type="none"/>
            </v:shape>
          </w:pict>
        </mc:Fallback>
      </mc:AlternateContent>
    </w:r>
    <w:r>
      <w:rPr/>
      <mc:AlternateContent>
        <mc:Choice Requires="wps">
          <w:drawing>
            <wp:anchor distT="0" distB="0" distL="0" distR="0" allowOverlap="1" layoutInCell="1" locked="0" behindDoc="1" simplePos="0" relativeHeight="486173696">
              <wp:simplePos x="0" y="0"/>
              <wp:positionH relativeFrom="page">
                <wp:posOffset>6324646</wp:posOffset>
              </wp:positionH>
              <wp:positionV relativeFrom="page">
                <wp:posOffset>9360356</wp:posOffset>
              </wp:positionV>
              <wp:extent cx="548640" cy="1377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48640" cy="137795"/>
                      </a:xfrm>
                      <a:prstGeom prst="rect">
                        <a:avLst/>
                      </a:prstGeom>
                    </wps:spPr>
                    <wps:txbx>
                      <w:txbxContent>
                        <w:p>
                          <w:pPr>
                            <w:spacing w:before="13"/>
                            <w:ind w:left="20" w:right="0" w:firstLine="0"/>
                            <w:jc w:val="left"/>
                            <w:rPr>
                              <w:sz w:val="16"/>
                            </w:rPr>
                          </w:pPr>
                          <w:r>
                            <w:rPr>
                              <w:sz w:val="16"/>
                            </w:rPr>
                            <w:t>Section</w:t>
                          </w:r>
                          <w:r>
                            <w:rPr>
                              <w:spacing w:val="-6"/>
                              <w:sz w:val="16"/>
                            </w:rPr>
                            <w:t> </w:t>
                          </w:r>
                          <w:r>
                            <w:rPr>
                              <w:sz w:val="16"/>
                            </w:rPr>
                            <w:t>I-</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8.003632pt;margin-top:737.03595pt;width:43.2pt;height:10.85pt;mso-position-horizontal-relative:page;mso-position-vertical-relative:page;z-index:-17142784" type="#_x0000_t202" id="docshape2" filled="false" stroked="false">
              <v:textbox inset="0,0,0,0">
                <w:txbxContent>
                  <w:p>
                    <w:pPr>
                      <w:spacing w:before="13"/>
                      <w:ind w:left="20" w:right="0" w:firstLine="0"/>
                      <w:jc w:val="left"/>
                      <w:rPr>
                        <w:sz w:val="16"/>
                      </w:rPr>
                    </w:pPr>
                    <w:r>
                      <w:rPr>
                        <w:sz w:val="16"/>
                      </w:rPr>
                      <w:t>Section</w:t>
                    </w:r>
                    <w:r>
                      <w:rPr>
                        <w:spacing w:val="-6"/>
                        <w:sz w:val="16"/>
                      </w:rPr>
                      <w:t> </w:t>
                    </w:r>
                    <w:r>
                      <w:rPr>
                        <w:sz w:val="16"/>
                      </w:rPr>
                      <w:t>I-</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174208">
              <wp:simplePos x="0" y="0"/>
              <wp:positionH relativeFrom="page">
                <wp:posOffset>904820</wp:posOffset>
              </wp:positionH>
              <wp:positionV relativeFrom="page">
                <wp:posOffset>9360356</wp:posOffset>
              </wp:positionV>
              <wp:extent cx="2274570" cy="25717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74570" cy="257175"/>
                      </a:xfrm>
                      <a:prstGeom prst="rect">
                        <a:avLst/>
                      </a:prstGeom>
                    </wps:spPr>
                    <wps:txbx>
                      <w:txbxContent>
                        <w:p>
                          <w:pPr>
                            <w:spacing w:before="13"/>
                            <w:ind w:left="20" w:right="0" w:firstLine="0"/>
                            <w:jc w:val="left"/>
                            <w:rPr>
                              <w:sz w:val="16"/>
                            </w:rPr>
                          </w:pPr>
                          <w:r>
                            <w:rPr>
                              <w:sz w:val="16"/>
                            </w:rPr>
                            <w:t>Part</w:t>
                          </w:r>
                          <w:r>
                            <w:rPr>
                              <w:spacing w:val="-3"/>
                              <w:sz w:val="16"/>
                            </w:rPr>
                            <w:t> </w:t>
                          </w:r>
                          <w:r>
                            <w:rPr>
                              <w:sz w:val="16"/>
                            </w:rPr>
                            <w:t>C</w:t>
                          </w:r>
                          <w:r>
                            <w:rPr>
                              <w:spacing w:val="-2"/>
                              <w:sz w:val="16"/>
                            </w:rPr>
                            <w:t> </w:t>
                          </w:r>
                          <w:r>
                            <w:rPr>
                              <w:sz w:val="16"/>
                            </w:rPr>
                            <w:t>Annual</w:t>
                          </w:r>
                          <w:r>
                            <w:rPr>
                              <w:spacing w:val="-3"/>
                              <w:sz w:val="16"/>
                            </w:rPr>
                            <w:t> </w:t>
                          </w:r>
                          <w:r>
                            <w:rPr>
                              <w:sz w:val="16"/>
                            </w:rPr>
                            <w:t>State</w:t>
                          </w:r>
                          <w:r>
                            <w:rPr>
                              <w:spacing w:val="-3"/>
                              <w:sz w:val="16"/>
                            </w:rPr>
                            <w:t> </w:t>
                          </w:r>
                          <w:r>
                            <w:rPr>
                              <w:sz w:val="16"/>
                            </w:rPr>
                            <w:t>Application:</w:t>
                          </w:r>
                          <w:r>
                            <w:rPr>
                              <w:spacing w:val="39"/>
                              <w:sz w:val="16"/>
                            </w:rPr>
                            <w:t> </w:t>
                          </w:r>
                          <w:r>
                            <w:rPr>
                              <w:sz w:val="16"/>
                            </w:rPr>
                            <w:t>FFY</w:t>
                          </w:r>
                          <w:r>
                            <w:rPr>
                              <w:spacing w:val="-2"/>
                              <w:sz w:val="16"/>
                            </w:rPr>
                            <w:t> </w:t>
                          </w:r>
                          <w:r>
                            <w:rPr>
                              <w:spacing w:val="-4"/>
                              <w:sz w:val="16"/>
                            </w:rPr>
                            <w:t>2022</w:t>
                          </w:r>
                        </w:p>
                        <w:p>
                          <w:pPr>
                            <w:spacing w:before="3"/>
                            <w:ind w:left="20" w:right="0" w:firstLine="0"/>
                            <w:jc w:val="left"/>
                            <w:rPr>
                              <w:sz w:val="16"/>
                            </w:rPr>
                          </w:pPr>
                          <w:r>
                            <w:rPr>
                              <w:sz w:val="16"/>
                            </w:rPr>
                            <w:t>OMB</w:t>
                          </w:r>
                          <w:r>
                            <w:rPr>
                              <w:spacing w:val="-4"/>
                              <w:sz w:val="16"/>
                            </w:rPr>
                            <w:t> </w:t>
                          </w:r>
                          <w:r>
                            <w:rPr>
                              <w:sz w:val="16"/>
                            </w:rPr>
                            <w:t>No.</w:t>
                          </w:r>
                          <w:r>
                            <w:rPr>
                              <w:spacing w:val="-4"/>
                              <w:sz w:val="16"/>
                            </w:rPr>
                            <w:t> </w:t>
                          </w:r>
                          <w:r>
                            <w:rPr>
                              <w:sz w:val="16"/>
                            </w:rPr>
                            <w:t>1820-0550/Expiration</w:t>
                          </w:r>
                          <w:r>
                            <w:rPr>
                              <w:spacing w:val="-4"/>
                              <w:sz w:val="16"/>
                            </w:rPr>
                            <w:t> </w:t>
                          </w:r>
                          <w:r>
                            <w:rPr>
                              <w:sz w:val="16"/>
                            </w:rPr>
                            <w:t>Date:</w:t>
                          </w:r>
                          <w:r>
                            <w:rPr>
                              <w:spacing w:val="37"/>
                              <w:sz w:val="16"/>
                            </w:rPr>
                            <w:t> </w:t>
                          </w:r>
                          <w:r>
                            <w:rPr>
                              <w:spacing w:val="-2"/>
                              <w:sz w:val="16"/>
                            </w:rPr>
                            <w:t>12/31/2023</w:t>
                          </w:r>
                        </w:p>
                      </w:txbxContent>
                    </wps:txbx>
                    <wps:bodyPr wrap="square" lIns="0" tIns="0" rIns="0" bIns="0" rtlCol="0">
                      <a:noAutofit/>
                    </wps:bodyPr>
                  </wps:wsp>
                </a:graphicData>
              </a:graphic>
            </wp:anchor>
          </w:drawing>
        </mc:Choice>
        <mc:Fallback>
          <w:pict>
            <v:shape style="position:absolute;margin-left:71.245697pt;margin-top:737.03595pt;width:179.1pt;height:20.25pt;mso-position-horizontal-relative:page;mso-position-vertical-relative:page;z-index:-17142272" type="#_x0000_t202" id="docshape5" filled="false" stroked="false">
              <v:textbox inset="0,0,0,0">
                <w:txbxContent>
                  <w:p>
                    <w:pPr>
                      <w:spacing w:before="13"/>
                      <w:ind w:left="20" w:right="0" w:firstLine="0"/>
                      <w:jc w:val="left"/>
                      <w:rPr>
                        <w:sz w:val="16"/>
                      </w:rPr>
                    </w:pPr>
                    <w:r>
                      <w:rPr>
                        <w:sz w:val="16"/>
                      </w:rPr>
                      <w:t>Part</w:t>
                    </w:r>
                    <w:r>
                      <w:rPr>
                        <w:spacing w:val="-3"/>
                        <w:sz w:val="16"/>
                      </w:rPr>
                      <w:t> </w:t>
                    </w:r>
                    <w:r>
                      <w:rPr>
                        <w:sz w:val="16"/>
                      </w:rPr>
                      <w:t>C</w:t>
                    </w:r>
                    <w:r>
                      <w:rPr>
                        <w:spacing w:val="-2"/>
                        <w:sz w:val="16"/>
                      </w:rPr>
                      <w:t> </w:t>
                    </w:r>
                    <w:r>
                      <w:rPr>
                        <w:sz w:val="16"/>
                      </w:rPr>
                      <w:t>Annual</w:t>
                    </w:r>
                    <w:r>
                      <w:rPr>
                        <w:spacing w:val="-3"/>
                        <w:sz w:val="16"/>
                      </w:rPr>
                      <w:t> </w:t>
                    </w:r>
                    <w:r>
                      <w:rPr>
                        <w:sz w:val="16"/>
                      </w:rPr>
                      <w:t>State</w:t>
                    </w:r>
                    <w:r>
                      <w:rPr>
                        <w:spacing w:val="-3"/>
                        <w:sz w:val="16"/>
                      </w:rPr>
                      <w:t> </w:t>
                    </w:r>
                    <w:r>
                      <w:rPr>
                        <w:sz w:val="16"/>
                      </w:rPr>
                      <w:t>Application:</w:t>
                    </w:r>
                    <w:r>
                      <w:rPr>
                        <w:spacing w:val="39"/>
                        <w:sz w:val="16"/>
                      </w:rPr>
                      <w:t> </w:t>
                    </w:r>
                    <w:r>
                      <w:rPr>
                        <w:sz w:val="16"/>
                      </w:rPr>
                      <w:t>FFY</w:t>
                    </w:r>
                    <w:r>
                      <w:rPr>
                        <w:spacing w:val="-2"/>
                        <w:sz w:val="16"/>
                      </w:rPr>
                      <w:t> </w:t>
                    </w:r>
                    <w:r>
                      <w:rPr>
                        <w:spacing w:val="-4"/>
                        <w:sz w:val="16"/>
                      </w:rPr>
                      <w:t>2022</w:t>
                    </w:r>
                  </w:p>
                  <w:p>
                    <w:pPr>
                      <w:spacing w:before="3"/>
                      <w:ind w:left="20" w:right="0" w:firstLine="0"/>
                      <w:jc w:val="left"/>
                      <w:rPr>
                        <w:sz w:val="16"/>
                      </w:rPr>
                    </w:pPr>
                    <w:r>
                      <w:rPr>
                        <w:sz w:val="16"/>
                      </w:rPr>
                      <w:t>OMB</w:t>
                    </w:r>
                    <w:r>
                      <w:rPr>
                        <w:spacing w:val="-4"/>
                        <w:sz w:val="16"/>
                      </w:rPr>
                      <w:t> </w:t>
                    </w:r>
                    <w:r>
                      <w:rPr>
                        <w:sz w:val="16"/>
                      </w:rPr>
                      <w:t>No.</w:t>
                    </w:r>
                    <w:r>
                      <w:rPr>
                        <w:spacing w:val="-4"/>
                        <w:sz w:val="16"/>
                      </w:rPr>
                      <w:t> </w:t>
                    </w:r>
                    <w:r>
                      <w:rPr>
                        <w:sz w:val="16"/>
                      </w:rPr>
                      <w:t>1820-0550/Expiration</w:t>
                    </w:r>
                    <w:r>
                      <w:rPr>
                        <w:spacing w:val="-4"/>
                        <w:sz w:val="16"/>
                      </w:rPr>
                      <w:t> </w:t>
                    </w:r>
                    <w:r>
                      <w:rPr>
                        <w:sz w:val="16"/>
                      </w:rPr>
                      <w:t>Date:</w:t>
                    </w:r>
                    <w:r>
                      <w:rPr>
                        <w:spacing w:val="37"/>
                        <w:sz w:val="16"/>
                      </w:rPr>
                      <w:t> </w:t>
                    </w:r>
                    <w:r>
                      <w:rPr>
                        <w:spacing w:val="-2"/>
                        <w:sz w:val="16"/>
                      </w:rPr>
                      <w:t>12/31/2023</w:t>
                    </w:r>
                  </w:p>
                </w:txbxContent>
              </v:textbox>
              <w10:wrap type="none"/>
            </v:shape>
          </w:pict>
        </mc:Fallback>
      </mc:AlternateContent>
    </w:r>
    <w:r>
      <w:rPr/>
      <mc:AlternateContent>
        <mc:Choice Requires="wps">
          <w:drawing>
            <wp:anchor distT="0" distB="0" distL="0" distR="0" allowOverlap="1" layoutInCell="1" locked="0" behindDoc="1" simplePos="0" relativeHeight="486174720">
              <wp:simplePos x="0" y="0"/>
              <wp:positionH relativeFrom="page">
                <wp:posOffset>6239911</wp:posOffset>
              </wp:positionH>
              <wp:positionV relativeFrom="page">
                <wp:posOffset>9360356</wp:posOffset>
              </wp:positionV>
              <wp:extent cx="634365" cy="1377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34365" cy="137795"/>
                      </a:xfrm>
                      <a:prstGeom prst="rect">
                        <a:avLst/>
                      </a:prstGeom>
                    </wps:spPr>
                    <wps:txbx>
                      <w:txbxContent>
                        <w:p>
                          <w:pPr>
                            <w:spacing w:before="13"/>
                            <w:ind w:left="20" w:right="0" w:firstLine="0"/>
                            <w:jc w:val="left"/>
                            <w:rPr>
                              <w:sz w:val="16"/>
                            </w:rPr>
                          </w:pPr>
                          <w:r>
                            <w:rPr>
                              <w:sz w:val="16"/>
                            </w:rPr>
                            <w:t>Section</w:t>
                          </w:r>
                          <w:r>
                            <w:rPr>
                              <w:spacing w:val="-6"/>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91.331635pt;margin-top:737.03595pt;width:49.95pt;height:10.85pt;mso-position-horizontal-relative:page;mso-position-vertical-relative:page;z-index:-17141760" type="#_x0000_t202" id="docshape6" filled="false" stroked="false">
              <v:textbox inset="0,0,0,0">
                <w:txbxContent>
                  <w:p>
                    <w:pPr>
                      <w:spacing w:before="13"/>
                      <w:ind w:left="20" w:right="0" w:firstLine="0"/>
                      <w:jc w:val="left"/>
                      <w:rPr>
                        <w:sz w:val="16"/>
                      </w:rPr>
                    </w:pPr>
                    <w:r>
                      <w:rPr>
                        <w:sz w:val="16"/>
                      </w:rPr>
                      <w:t>Section</w:t>
                    </w:r>
                    <w:r>
                      <w:rPr>
                        <w:spacing w:val="-6"/>
                        <w:sz w:val="16"/>
                      </w:rPr>
                      <w:t> </w:t>
                    </w:r>
                    <w:r>
                      <w:rPr>
                        <w:sz w:val="16"/>
                      </w:rPr>
                      <w:t>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175232">
              <wp:simplePos x="0" y="0"/>
              <wp:positionH relativeFrom="page">
                <wp:posOffset>904820</wp:posOffset>
              </wp:positionH>
              <wp:positionV relativeFrom="page">
                <wp:posOffset>9360356</wp:posOffset>
              </wp:positionV>
              <wp:extent cx="2274570" cy="25717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274570" cy="257175"/>
                      </a:xfrm>
                      <a:prstGeom prst="rect">
                        <a:avLst/>
                      </a:prstGeom>
                    </wps:spPr>
                    <wps:txbx>
                      <w:txbxContent>
                        <w:p>
                          <w:pPr>
                            <w:spacing w:before="13"/>
                            <w:ind w:left="20" w:right="0" w:firstLine="0"/>
                            <w:jc w:val="left"/>
                            <w:rPr>
                              <w:sz w:val="16"/>
                            </w:rPr>
                          </w:pPr>
                          <w:r>
                            <w:rPr>
                              <w:sz w:val="16"/>
                            </w:rPr>
                            <w:t>Part</w:t>
                          </w:r>
                          <w:r>
                            <w:rPr>
                              <w:spacing w:val="-3"/>
                              <w:sz w:val="16"/>
                            </w:rPr>
                            <w:t> </w:t>
                          </w:r>
                          <w:r>
                            <w:rPr>
                              <w:sz w:val="16"/>
                            </w:rPr>
                            <w:t>C</w:t>
                          </w:r>
                          <w:r>
                            <w:rPr>
                              <w:spacing w:val="-2"/>
                              <w:sz w:val="16"/>
                            </w:rPr>
                            <w:t> </w:t>
                          </w:r>
                          <w:r>
                            <w:rPr>
                              <w:sz w:val="16"/>
                            </w:rPr>
                            <w:t>Annual</w:t>
                          </w:r>
                          <w:r>
                            <w:rPr>
                              <w:spacing w:val="-3"/>
                              <w:sz w:val="16"/>
                            </w:rPr>
                            <w:t> </w:t>
                          </w:r>
                          <w:r>
                            <w:rPr>
                              <w:sz w:val="16"/>
                            </w:rPr>
                            <w:t>State</w:t>
                          </w:r>
                          <w:r>
                            <w:rPr>
                              <w:spacing w:val="-3"/>
                              <w:sz w:val="16"/>
                            </w:rPr>
                            <w:t> </w:t>
                          </w:r>
                          <w:r>
                            <w:rPr>
                              <w:sz w:val="16"/>
                            </w:rPr>
                            <w:t>Application:</w:t>
                          </w:r>
                          <w:r>
                            <w:rPr>
                              <w:spacing w:val="39"/>
                              <w:sz w:val="16"/>
                            </w:rPr>
                            <w:t> </w:t>
                          </w:r>
                          <w:r>
                            <w:rPr>
                              <w:sz w:val="16"/>
                            </w:rPr>
                            <w:t>FFY</w:t>
                          </w:r>
                          <w:r>
                            <w:rPr>
                              <w:spacing w:val="-2"/>
                              <w:sz w:val="16"/>
                            </w:rPr>
                            <w:t> </w:t>
                          </w:r>
                          <w:r>
                            <w:rPr>
                              <w:spacing w:val="-4"/>
                              <w:sz w:val="16"/>
                            </w:rPr>
                            <w:t>2022</w:t>
                          </w:r>
                        </w:p>
                        <w:p>
                          <w:pPr>
                            <w:spacing w:before="3"/>
                            <w:ind w:left="20" w:right="0" w:firstLine="0"/>
                            <w:jc w:val="left"/>
                            <w:rPr>
                              <w:sz w:val="16"/>
                            </w:rPr>
                          </w:pPr>
                          <w:r>
                            <w:rPr>
                              <w:sz w:val="16"/>
                            </w:rPr>
                            <w:t>OMB</w:t>
                          </w:r>
                          <w:r>
                            <w:rPr>
                              <w:spacing w:val="-4"/>
                              <w:sz w:val="16"/>
                            </w:rPr>
                            <w:t> </w:t>
                          </w:r>
                          <w:r>
                            <w:rPr>
                              <w:sz w:val="16"/>
                            </w:rPr>
                            <w:t>No.</w:t>
                          </w:r>
                          <w:r>
                            <w:rPr>
                              <w:spacing w:val="-4"/>
                              <w:sz w:val="16"/>
                            </w:rPr>
                            <w:t> </w:t>
                          </w:r>
                          <w:r>
                            <w:rPr>
                              <w:sz w:val="16"/>
                            </w:rPr>
                            <w:t>1820-0550/Expiration</w:t>
                          </w:r>
                          <w:r>
                            <w:rPr>
                              <w:spacing w:val="-4"/>
                              <w:sz w:val="16"/>
                            </w:rPr>
                            <w:t> </w:t>
                          </w:r>
                          <w:r>
                            <w:rPr>
                              <w:sz w:val="16"/>
                            </w:rPr>
                            <w:t>Date:</w:t>
                          </w:r>
                          <w:r>
                            <w:rPr>
                              <w:spacing w:val="37"/>
                              <w:sz w:val="16"/>
                            </w:rPr>
                            <w:t> </w:t>
                          </w:r>
                          <w:r>
                            <w:rPr>
                              <w:spacing w:val="-2"/>
                              <w:sz w:val="16"/>
                            </w:rPr>
                            <w:t>12/31/2023</w:t>
                          </w:r>
                        </w:p>
                      </w:txbxContent>
                    </wps:txbx>
                    <wps:bodyPr wrap="square" lIns="0" tIns="0" rIns="0" bIns="0" rtlCol="0">
                      <a:noAutofit/>
                    </wps:bodyPr>
                  </wps:wsp>
                </a:graphicData>
              </a:graphic>
            </wp:anchor>
          </w:drawing>
        </mc:Choice>
        <mc:Fallback>
          <w:pict>
            <v:shape style="position:absolute;margin-left:71.245697pt;margin-top:737.03595pt;width:179.1pt;height:20.25pt;mso-position-horizontal-relative:page;mso-position-vertical-relative:page;z-index:-17141248" type="#_x0000_t202" id="docshape11" filled="false" stroked="false">
              <v:textbox inset="0,0,0,0">
                <w:txbxContent>
                  <w:p>
                    <w:pPr>
                      <w:spacing w:before="13"/>
                      <w:ind w:left="20" w:right="0" w:firstLine="0"/>
                      <w:jc w:val="left"/>
                      <w:rPr>
                        <w:sz w:val="16"/>
                      </w:rPr>
                    </w:pPr>
                    <w:r>
                      <w:rPr>
                        <w:sz w:val="16"/>
                      </w:rPr>
                      <w:t>Part</w:t>
                    </w:r>
                    <w:r>
                      <w:rPr>
                        <w:spacing w:val="-3"/>
                        <w:sz w:val="16"/>
                      </w:rPr>
                      <w:t> </w:t>
                    </w:r>
                    <w:r>
                      <w:rPr>
                        <w:sz w:val="16"/>
                      </w:rPr>
                      <w:t>C</w:t>
                    </w:r>
                    <w:r>
                      <w:rPr>
                        <w:spacing w:val="-2"/>
                        <w:sz w:val="16"/>
                      </w:rPr>
                      <w:t> </w:t>
                    </w:r>
                    <w:r>
                      <w:rPr>
                        <w:sz w:val="16"/>
                      </w:rPr>
                      <w:t>Annual</w:t>
                    </w:r>
                    <w:r>
                      <w:rPr>
                        <w:spacing w:val="-3"/>
                        <w:sz w:val="16"/>
                      </w:rPr>
                      <w:t> </w:t>
                    </w:r>
                    <w:r>
                      <w:rPr>
                        <w:sz w:val="16"/>
                      </w:rPr>
                      <w:t>State</w:t>
                    </w:r>
                    <w:r>
                      <w:rPr>
                        <w:spacing w:val="-3"/>
                        <w:sz w:val="16"/>
                      </w:rPr>
                      <w:t> </w:t>
                    </w:r>
                    <w:r>
                      <w:rPr>
                        <w:sz w:val="16"/>
                      </w:rPr>
                      <w:t>Application:</w:t>
                    </w:r>
                    <w:r>
                      <w:rPr>
                        <w:spacing w:val="39"/>
                        <w:sz w:val="16"/>
                      </w:rPr>
                      <w:t> </w:t>
                    </w:r>
                    <w:r>
                      <w:rPr>
                        <w:sz w:val="16"/>
                      </w:rPr>
                      <w:t>FFY</w:t>
                    </w:r>
                    <w:r>
                      <w:rPr>
                        <w:spacing w:val="-2"/>
                        <w:sz w:val="16"/>
                      </w:rPr>
                      <w:t> </w:t>
                    </w:r>
                    <w:r>
                      <w:rPr>
                        <w:spacing w:val="-4"/>
                        <w:sz w:val="16"/>
                      </w:rPr>
                      <w:t>2022</w:t>
                    </w:r>
                  </w:p>
                  <w:p>
                    <w:pPr>
                      <w:spacing w:before="3"/>
                      <w:ind w:left="20" w:right="0" w:firstLine="0"/>
                      <w:jc w:val="left"/>
                      <w:rPr>
                        <w:sz w:val="16"/>
                      </w:rPr>
                    </w:pPr>
                    <w:r>
                      <w:rPr>
                        <w:sz w:val="16"/>
                      </w:rPr>
                      <w:t>OMB</w:t>
                    </w:r>
                    <w:r>
                      <w:rPr>
                        <w:spacing w:val="-4"/>
                        <w:sz w:val="16"/>
                      </w:rPr>
                      <w:t> </w:t>
                    </w:r>
                    <w:r>
                      <w:rPr>
                        <w:sz w:val="16"/>
                      </w:rPr>
                      <w:t>No.</w:t>
                    </w:r>
                    <w:r>
                      <w:rPr>
                        <w:spacing w:val="-4"/>
                        <w:sz w:val="16"/>
                      </w:rPr>
                      <w:t> </w:t>
                    </w:r>
                    <w:r>
                      <w:rPr>
                        <w:sz w:val="16"/>
                      </w:rPr>
                      <w:t>1820-0550/Expiration</w:t>
                    </w:r>
                    <w:r>
                      <w:rPr>
                        <w:spacing w:val="-4"/>
                        <w:sz w:val="16"/>
                      </w:rPr>
                      <w:t> </w:t>
                    </w:r>
                    <w:r>
                      <w:rPr>
                        <w:sz w:val="16"/>
                      </w:rPr>
                      <w:t>Date:</w:t>
                    </w:r>
                    <w:r>
                      <w:rPr>
                        <w:spacing w:val="37"/>
                        <w:sz w:val="16"/>
                      </w:rPr>
                      <w:t> </w:t>
                    </w:r>
                    <w:r>
                      <w:rPr>
                        <w:spacing w:val="-2"/>
                        <w:sz w:val="16"/>
                      </w:rPr>
                      <w:t>12/31/2023</w:t>
                    </w:r>
                  </w:p>
                </w:txbxContent>
              </v:textbox>
              <w10:wrap type="none"/>
            </v:shape>
          </w:pict>
        </mc:Fallback>
      </mc:AlternateContent>
    </w:r>
    <w:r>
      <w:rPr/>
      <mc:AlternateContent>
        <mc:Choice Requires="wps">
          <w:drawing>
            <wp:anchor distT="0" distB="0" distL="0" distR="0" allowOverlap="1" layoutInCell="1" locked="0" behindDoc="1" simplePos="0" relativeHeight="486175744">
              <wp:simplePos x="0" y="0"/>
              <wp:positionH relativeFrom="page">
                <wp:posOffset>6211684</wp:posOffset>
              </wp:positionH>
              <wp:positionV relativeFrom="page">
                <wp:posOffset>9360356</wp:posOffset>
              </wp:positionV>
              <wp:extent cx="662305" cy="13779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62305" cy="137795"/>
                      </a:xfrm>
                      <a:prstGeom prst="rect">
                        <a:avLst/>
                      </a:prstGeom>
                    </wps:spPr>
                    <wps:txbx>
                      <w:txbxContent>
                        <w:p>
                          <w:pPr>
                            <w:spacing w:before="13"/>
                            <w:ind w:left="20" w:right="0" w:firstLine="0"/>
                            <w:jc w:val="left"/>
                            <w:rPr>
                              <w:sz w:val="16"/>
                            </w:rPr>
                          </w:pPr>
                          <w:r>
                            <w:rPr>
                              <w:sz w:val="16"/>
                            </w:rPr>
                            <w:t>Section</w:t>
                          </w:r>
                          <w:r>
                            <w:rPr>
                              <w:spacing w:val="-7"/>
                              <w:sz w:val="16"/>
                            </w:rPr>
                            <w:t> </w:t>
                          </w:r>
                          <w:r>
                            <w:rPr>
                              <w:sz w:val="16"/>
                            </w:rPr>
                            <w:t>III-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489.108978pt;margin-top:737.03595pt;width:52.15pt;height:10.85pt;mso-position-horizontal-relative:page;mso-position-vertical-relative:page;z-index:-17140736" type="#_x0000_t202" id="docshape12" filled="false" stroked="false">
              <v:textbox inset="0,0,0,0">
                <w:txbxContent>
                  <w:p>
                    <w:pPr>
                      <w:spacing w:before="13"/>
                      <w:ind w:left="20" w:right="0" w:firstLine="0"/>
                      <w:jc w:val="left"/>
                      <w:rPr>
                        <w:sz w:val="16"/>
                      </w:rPr>
                    </w:pPr>
                    <w:r>
                      <w:rPr>
                        <w:sz w:val="16"/>
                      </w:rPr>
                      <w:t>Section</w:t>
                    </w:r>
                    <w:r>
                      <w:rPr>
                        <w:spacing w:val="-7"/>
                        <w:sz w:val="16"/>
                      </w:rPr>
                      <w:t> </w:t>
                    </w:r>
                    <w:r>
                      <w:rPr>
                        <w:sz w:val="16"/>
                      </w:rPr>
                      <w:t>III-</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176256">
              <wp:simplePos x="0" y="0"/>
              <wp:positionH relativeFrom="page">
                <wp:posOffset>904820</wp:posOffset>
              </wp:positionH>
              <wp:positionV relativeFrom="page">
                <wp:posOffset>9360356</wp:posOffset>
              </wp:positionV>
              <wp:extent cx="2274570" cy="25717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274570" cy="257175"/>
                      </a:xfrm>
                      <a:prstGeom prst="rect">
                        <a:avLst/>
                      </a:prstGeom>
                    </wps:spPr>
                    <wps:txbx>
                      <w:txbxContent>
                        <w:p>
                          <w:pPr>
                            <w:spacing w:before="13"/>
                            <w:ind w:left="20" w:right="0" w:firstLine="0"/>
                            <w:jc w:val="left"/>
                            <w:rPr>
                              <w:sz w:val="16"/>
                            </w:rPr>
                          </w:pPr>
                          <w:r>
                            <w:rPr>
                              <w:sz w:val="16"/>
                            </w:rPr>
                            <w:t>Part</w:t>
                          </w:r>
                          <w:r>
                            <w:rPr>
                              <w:spacing w:val="-3"/>
                              <w:sz w:val="16"/>
                            </w:rPr>
                            <w:t> </w:t>
                          </w:r>
                          <w:r>
                            <w:rPr>
                              <w:sz w:val="16"/>
                            </w:rPr>
                            <w:t>C</w:t>
                          </w:r>
                          <w:r>
                            <w:rPr>
                              <w:spacing w:val="-2"/>
                              <w:sz w:val="16"/>
                            </w:rPr>
                            <w:t> </w:t>
                          </w:r>
                          <w:r>
                            <w:rPr>
                              <w:sz w:val="16"/>
                            </w:rPr>
                            <w:t>Annual</w:t>
                          </w:r>
                          <w:r>
                            <w:rPr>
                              <w:spacing w:val="-3"/>
                              <w:sz w:val="16"/>
                            </w:rPr>
                            <w:t> </w:t>
                          </w:r>
                          <w:r>
                            <w:rPr>
                              <w:sz w:val="16"/>
                            </w:rPr>
                            <w:t>State</w:t>
                          </w:r>
                          <w:r>
                            <w:rPr>
                              <w:spacing w:val="-3"/>
                              <w:sz w:val="16"/>
                            </w:rPr>
                            <w:t> </w:t>
                          </w:r>
                          <w:r>
                            <w:rPr>
                              <w:sz w:val="16"/>
                            </w:rPr>
                            <w:t>Application:</w:t>
                          </w:r>
                          <w:r>
                            <w:rPr>
                              <w:spacing w:val="39"/>
                              <w:sz w:val="16"/>
                            </w:rPr>
                            <w:t> </w:t>
                          </w:r>
                          <w:r>
                            <w:rPr>
                              <w:sz w:val="16"/>
                            </w:rPr>
                            <w:t>FFY</w:t>
                          </w:r>
                          <w:r>
                            <w:rPr>
                              <w:spacing w:val="-2"/>
                              <w:sz w:val="16"/>
                            </w:rPr>
                            <w:t> </w:t>
                          </w:r>
                          <w:r>
                            <w:rPr>
                              <w:spacing w:val="-4"/>
                              <w:sz w:val="16"/>
                            </w:rPr>
                            <w:t>2022</w:t>
                          </w:r>
                        </w:p>
                        <w:p>
                          <w:pPr>
                            <w:spacing w:before="3"/>
                            <w:ind w:left="20" w:right="0" w:firstLine="0"/>
                            <w:jc w:val="left"/>
                            <w:rPr>
                              <w:sz w:val="16"/>
                            </w:rPr>
                          </w:pPr>
                          <w:r>
                            <w:rPr>
                              <w:sz w:val="16"/>
                            </w:rPr>
                            <w:t>OMB</w:t>
                          </w:r>
                          <w:r>
                            <w:rPr>
                              <w:spacing w:val="-4"/>
                              <w:sz w:val="16"/>
                            </w:rPr>
                            <w:t> </w:t>
                          </w:r>
                          <w:r>
                            <w:rPr>
                              <w:sz w:val="16"/>
                            </w:rPr>
                            <w:t>No.</w:t>
                          </w:r>
                          <w:r>
                            <w:rPr>
                              <w:spacing w:val="-4"/>
                              <w:sz w:val="16"/>
                            </w:rPr>
                            <w:t> </w:t>
                          </w:r>
                          <w:r>
                            <w:rPr>
                              <w:sz w:val="16"/>
                            </w:rPr>
                            <w:t>1820-0550/Expiration</w:t>
                          </w:r>
                          <w:r>
                            <w:rPr>
                              <w:spacing w:val="-4"/>
                              <w:sz w:val="16"/>
                            </w:rPr>
                            <w:t> </w:t>
                          </w:r>
                          <w:r>
                            <w:rPr>
                              <w:sz w:val="16"/>
                            </w:rPr>
                            <w:t>Date:</w:t>
                          </w:r>
                          <w:r>
                            <w:rPr>
                              <w:spacing w:val="37"/>
                              <w:sz w:val="16"/>
                            </w:rPr>
                            <w:t> </w:t>
                          </w:r>
                          <w:r>
                            <w:rPr>
                              <w:spacing w:val="-2"/>
                              <w:sz w:val="16"/>
                            </w:rPr>
                            <w:t>12/31/2023</w:t>
                          </w:r>
                        </w:p>
                      </w:txbxContent>
                    </wps:txbx>
                    <wps:bodyPr wrap="square" lIns="0" tIns="0" rIns="0" bIns="0" rtlCol="0">
                      <a:noAutofit/>
                    </wps:bodyPr>
                  </wps:wsp>
                </a:graphicData>
              </a:graphic>
            </wp:anchor>
          </w:drawing>
        </mc:Choice>
        <mc:Fallback>
          <w:pict>
            <v:shape style="position:absolute;margin-left:71.245697pt;margin-top:737.03595pt;width:179.1pt;height:20.25pt;mso-position-horizontal-relative:page;mso-position-vertical-relative:page;z-index:-17140224" type="#_x0000_t202" id="docshape25" filled="false" stroked="false">
              <v:textbox inset="0,0,0,0">
                <w:txbxContent>
                  <w:p>
                    <w:pPr>
                      <w:spacing w:before="13"/>
                      <w:ind w:left="20" w:right="0" w:firstLine="0"/>
                      <w:jc w:val="left"/>
                      <w:rPr>
                        <w:sz w:val="16"/>
                      </w:rPr>
                    </w:pPr>
                    <w:r>
                      <w:rPr>
                        <w:sz w:val="16"/>
                      </w:rPr>
                      <w:t>Part</w:t>
                    </w:r>
                    <w:r>
                      <w:rPr>
                        <w:spacing w:val="-3"/>
                        <w:sz w:val="16"/>
                      </w:rPr>
                      <w:t> </w:t>
                    </w:r>
                    <w:r>
                      <w:rPr>
                        <w:sz w:val="16"/>
                      </w:rPr>
                      <w:t>C</w:t>
                    </w:r>
                    <w:r>
                      <w:rPr>
                        <w:spacing w:val="-2"/>
                        <w:sz w:val="16"/>
                      </w:rPr>
                      <w:t> </w:t>
                    </w:r>
                    <w:r>
                      <w:rPr>
                        <w:sz w:val="16"/>
                      </w:rPr>
                      <w:t>Annual</w:t>
                    </w:r>
                    <w:r>
                      <w:rPr>
                        <w:spacing w:val="-3"/>
                        <w:sz w:val="16"/>
                      </w:rPr>
                      <w:t> </w:t>
                    </w:r>
                    <w:r>
                      <w:rPr>
                        <w:sz w:val="16"/>
                      </w:rPr>
                      <w:t>State</w:t>
                    </w:r>
                    <w:r>
                      <w:rPr>
                        <w:spacing w:val="-3"/>
                        <w:sz w:val="16"/>
                      </w:rPr>
                      <w:t> </w:t>
                    </w:r>
                    <w:r>
                      <w:rPr>
                        <w:sz w:val="16"/>
                      </w:rPr>
                      <w:t>Application:</w:t>
                    </w:r>
                    <w:r>
                      <w:rPr>
                        <w:spacing w:val="39"/>
                        <w:sz w:val="16"/>
                      </w:rPr>
                      <w:t> </w:t>
                    </w:r>
                    <w:r>
                      <w:rPr>
                        <w:sz w:val="16"/>
                      </w:rPr>
                      <w:t>FFY</w:t>
                    </w:r>
                    <w:r>
                      <w:rPr>
                        <w:spacing w:val="-2"/>
                        <w:sz w:val="16"/>
                      </w:rPr>
                      <w:t> </w:t>
                    </w:r>
                    <w:r>
                      <w:rPr>
                        <w:spacing w:val="-4"/>
                        <w:sz w:val="16"/>
                      </w:rPr>
                      <w:t>2022</w:t>
                    </w:r>
                  </w:p>
                  <w:p>
                    <w:pPr>
                      <w:spacing w:before="3"/>
                      <w:ind w:left="20" w:right="0" w:firstLine="0"/>
                      <w:jc w:val="left"/>
                      <w:rPr>
                        <w:sz w:val="16"/>
                      </w:rPr>
                    </w:pPr>
                    <w:r>
                      <w:rPr>
                        <w:sz w:val="16"/>
                      </w:rPr>
                      <w:t>OMB</w:t>
                    </w:r>
                    <w:r>
                      <w:rPr>
                        <w:spacing w:val="-4"/>
                        <w:sz w:val="16"/>
                      </w:rPr>
                      <w:t> </w:t>
                    </w:r>
                    <w:r>
                      <w:rPr>
                        <w:sz w:val="16"/>
                      </w:rPr>
                      <w:t>No.</w:t>
                    </w:r>
                    <w:r>
                      <w:rPr>
                        <w:spacing w:val="-4"/>
                        <w:sz w:val="16"/>
                      </w:rPr>
                      <w:t> </w:t>
                    </w:r>
                    <w:r>
                      <w:rPr>
                        <w:sz w:val="16"/>
                      </w:rPr>
                      <w:t>1820-0550/Expiration</w:t>
                    </w:r>
                    <w:r>
                      <w:rPr>
                        <w:spacing w:val="-4"/>
                        <w:sz w:val="16"/>
                      </w:rPr>
                      <w:t> </w:t>
                    </w:r>
                    <w:r>
                      <w:rPr>
                        <w:sz w:val="16"/>
                      </w:rPr>
                      <w:t>Date:</w:t>
                    </w:r>
                    <w:r>
                      <w:rPr>
                        <w:spacing w:val="37"/>
                        <w:sz w:val="16"/>
                      </w:rPr>
                      <w:t> </w:t>
                    </w:r>
                    <w:r>
                      <w:rPr>
                        <w:spacing w:val="-2"/>
                        <w:sz w:val="16"/>
                      </w:rPr>
                      <w:t>12/31/2023</w:t>
                    </w:r>
                  </w:p>
                </w:txbxContent>
              </v:textbox>
              <w10:wrap type="none"/>
            </v:shape>
          </w:pict>
        </mc:Fallback>
      </mc:AlternateContent>
    </w:r>
    <w:r>
      <w:rPr/>
      <mc:AlternateContent>
        <mc:Choice Requires="wps">
          <w:drawing>
            <wp:anchor distT="0" distB="0" distL="0" distR="0" allowOverlap="1" layoutInCell="1" locked="0" behindDoc="1" simplePos="0" relativeHeight="486176768">
              <wp:simplePos x="0" y="0"/>
              <wp:positionH relativeFrom="page">
                <wp:posOffset>6256876</wp:posOffset>
              </wp:positionH>
              <wp:positionV relativeFrom="page">
                <wp:posOffset>9360356</wp:posOffset>
              </wp:positionV>
              <wp:extent cx="616585" cy="13779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616585" cy="137795"/>
                      </a:xfrm>
                      <a:prstGeom prst="rect">
                        <a:avLst/>
                      </a:prstGeom>
                    </wps:spPr>
                    <wps:txbx>
                      <w:txbxContent>
                        <w:p>
                          <w:pPr>
                            <w:spacing w:before="13"/>
                            <w:ind w:left="20" w:right="0" w:firstLine="0"/>
                            <w:jc w:val="left"/>
                            <w:rPr>
                              <w:sz w:val="16"/>
                            </w:rPr>
                          </w:pPr>
                          <w:r>
                            <w:rPr>
                              <w:sz w:val="16"/>
                            </w:rPr>
                            <w:t>Section</w:t>
                          </w:r>
                          <w:r>
                            <w:rPr>
                              <w:spacing w:val="-6"/>
                              <w:sz w:val="16"/>
                            </w:rPr>
                            <w:t> </w:t>
                          </w:r>
                          <w:r>
                            <w:rPr>
                              <w:sz w:val="16"/>
                            </w:rPr>
                            <w:t>IV-</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492.66745pt;margin-top:737.03595pt;width:48.55pt;height:10.85pt;mso-position-horizontal-relative:page;mso-position-vertical-relative:page;z-index:-17139712" type="#_x0000_t202" id="docshape26" filled="false" stroked="false">
              <v:textbox inset="0,0,0,0">
                <w:txbxContent>
                  <w:p>
                    <w:pPr>
                      <w:spacing w:before="13"/>
                      <w:ind w:left="20" w:right="0" w:firstLine="0"/>
                      <w:jc w:val="left"/>
                      <w:rPr>
                        <w:sz w:val="16"/>
                      </w:rPr>
                    </w:pPr>
                    <w:r>
                      <w:rPr>
                        <w:sz w:val="16"/>
                      </w:rPr>
                      <w:t>Section</w:t>
                    </w:r>
                    <w:r>
                      <w:rPr>
                        <w:spacing w:val="-6"/>
                        <w:sz w:val="16"/>
                      </w:rPr>
                      <w:t> </w:t>
                    </w:r>
                    <w:r>
                      <w:rPr>
                        <w:sz w:val="16"/>
                      </w:rPr>
                      <w:t>IV-</w:t>
                    </w: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
      <w:numFmt w:val="upperLetter"/>
      <w:lvlText w:val="%1."/>
      <w:lvlJc w:val="left"/>
      <w:pPr>
        <w:ind w:left="1124" w:hanging="400"/>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2088" w:hanging="400"/>
      </w:pPr>
      <w:rPr>
        <w:rFonts w:hint="default"/>
        <w:lang w:val="en-US" w:eastAsia="en-US" w:bidi="ar-SA"/>
      </w:rPr>
    </w:lvl>
    <w:lvl w:ilvl="2">
      <w:start w:val="0"/>
      <w:numFmt w:val="bullet"/>
      <w:lvlText w:val="•"/>
      <w:lvlJc w:val="left"/>
      <w:pPr>
        <w:ind w:left="3056" w:hanging="400"/>
      </w:pPr>
      <w:rPr>
        <w:rFonts w:hint="default"/>
        <w:lang w:val="en-US" w:eastAsia="en-US" w:bidi="ar-SA"/>
      </w:rPr>
    </w:lvl>
    <w:lvl w:ilvl="3">
      <w:start w:val="0"/>
      <w:numFmt w:val="bullet"/>
      <w:lvlText w:val="•"/>
      <w:lvlJc w:val="left"/>
      <w:pPr>
        <w:ind w:left="4024" w:hanging="400"/>
      </w:pPr>
      <w:rPr>
        <w:rFonts w:hint="default"/>
        <w:lang w:val="en-US" w:eastAsia="en-US" w:bidi="ar-SA"/>
      </w:rPr>
    </w:lvl>
    <w:lvl w:ilvl="4">
      <w:start w:val="0"/>
      <w:numFmt w:val="bullet"/>
      <w:lvlText w:val="•"/>
      <w:lvlJc w:val="left"/>
      <w:pPr>
        <w:ind w:left="4992" w:hanging="400"/>
      </w:pPr>
      <w:rPr>
        <w:rFonts w:hint="default"/>
        <w:lang w:val="en-US" w:eastAsia="en-US" w:bidi="ar-SA"/>
      </w:rPr>
    </w:lvl>
    <w:lvl w:ilvl="5">
      <w:start w:val="0"/>
      <w:numFmt w:val="bullet"/>
      <w:lvlText w:val="•"/>
      <w:lvlJc w:val="left"/>
      <w:pPr>
        <w:ind w:left="5960" w:hanging="400"/>
      </w:pPr>
      <w:rPr>
        <w:rFonts w:hint="default"/>
        <w:lang w:val="en-US" w:eastAsia="en-US" w:bidi="ar-SA"/>
      </w:rPr>
    </w:lvl>
    <w:lvl w:ilvl="6">
      <w:start w:val="0"/>
      <w:numFmt w:val="bullet"/>
      <w:lvlText w:val="•"/>
      <w:lvlJc w:val="left"/>
      <w:pPr>
        <w:ind w:left="6928" w:hanging="400"/>
      </w:pPr>
      <w:rPr>
        <w:rFonts w:hint="default"/>
        <w:lang w:val="en-US" w:eastAsia="en-US" w:bidi="ar-SA"/>
      </w:rPr>
    </w:lvl>
    <w:lvl w:ilvl="7">
      <w:start w:val="0"/>
      <w:numFmt w:val="bullet"/>
      <w:lvlText w:val="•"/>
      <w:lvlJc w:val="left"/>
      <w:pPr>
        <w:ind w:left="7896" w:hanging="400"/>
      </w:pPr>
      <w:rPr>
        <w:rFonts w:hint="default"/>
        <w:lang w:val="en-US" w:eastAsia="en-US" w:bidi="ar-SA"/>
      </w:rPr>
    </w:lvl>
    <w:lvl w:ilvl="8">
      <w:start w:val="0"/>
      <w:numFmt w:val="bullet"/>
      <w:lvlText w:val="•"/>
      <w:lvlJc w:val="left"/>
      <w:pPr>
        <w:ind w:left="8864" w:hanging="400"/>
      </w:pPr>
      <w:rPr>
        <w:rFonts w:hint="default"/>
        <w:lang w:val="en-US" w:eastAsia="en-US" w:bidi="ar-SA"/>
      </w:rPr>
    </w:lvl>
  </w:abstractNum>
  <w:abstractNum w:abstractNumId="30">
    <w:multiLevelType w:val="hybridMultilevel"/>
    <w:lvl w:ilvl="0">
      <w:start w:val="1"/>
      <w:numFmt w:val="upperLetter"/>
      <w:lvlText w:val="%1."/>
      <w:lvlJc w:val="left"/>
      <w:pPr>
        <w:ind w:left="1124" w:hanging="400"/>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724" w:hanging="30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o"/>
      <w:lvlJc w:val="left"/>
      <w:pPr>
        <w:ind w:left="2164" w:hanging="360"/>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1440" w:hanging="360"/>
      </w:pPr>
      <w:rPr>
        <w:rFonts w:hint="default"/>
        <w:lang w:val="en-US" w:eastAsia="en-US" w:bidi="ar-SA"/>
      </w:rPr>
    </w:lvl>
    <w:lvl w:ilvl="4">
      <w:start w:val="0"/>
      <w:numFmt w:val="bullet"/>
      <w:lvlText w:val="•"/>
      <w:lvlJc w:val="left"/>
      <w:pPr>
        <w:ind w:left="1720" w:hanging="360"/>
      </w:pPr>
      <w:rPr>
        <w:rFonts w:hint="default"/>
        <w:lang w:val="en-US" w:eastAsia="en-US" w:bidi="ar-SA"/>
      </w:rPr>
    </w:lvl>
    <w:lvl w:ilvl="5">
      <w:start w:val="0"/>
      <w:numFmt w:val="bullet"/>
      <w:lvlText w:val="•"/>
      <w:lvlJc w:val="left"/>
      <w:pPr>
        <w:ind w:left="1820" w:hanging="360"/>
      </w:pPr>
      <w:rPr>
        <w:rFonts w:hint="default"/>
        <w:lang w:val="en-US" w:eastAsia="en-US" w:bidi="ar-SA"/>
      </w:rPr>
    </w:lvl>
    <w:lvl w:ilvl="6">
      <w:start w:val="0"/>
      <w:numFmt w:val="bullet"/>
      <w:lvlText w:val="•"/>
      <w:lvlJc w:val="left"/>
      <w:pPr>
        <w:ind w:left="1900" w:hanging="360"/>
      </w:pPr>
      <w:rPr>
        <w:rFonts w:hint="default"/>
        <w:lang w:val="en-US" w:eastAsia="en-US" w:bidi="ar-SA"/>
      </w:rPr>
    </w:lvl>
    <w:lvl w:ilvl="7">
      <w:start w:val="0"/>
      <w:numFmt w:val="bullet"/>
      <w:lvlText w:val="•"/>
      <w:lvlJc w:val="left"/>
      <w:pPr>
        <w:ind w:left="2160" w:hanging="360"/>
      </w:pPr>
      <w:rPr>
        <w:rFonts w:hint="default"/>
        <w:lang w:val="en-US" w:eastAsia="en-US" w:bidi="ar-SA"/>
      </w:rPr>
    </w:lvl>
    <w:lvl w:ilvl="8">
      <w:start w:val="0"/>
      <w:numFmt w:val="bullet"/>
      <w:lvlText w:val="•"/>
      <w:lvlJc w:val="left"/>
      <w:pPr>
        <w:ind w:left="5040" w:hanging="360"/>
      </w:pPr>
      <w:rPr>
        <w:rFonts w:hint="default"/>
        <w:lang w:val="en-US" w:eastAsia="en-US" w:bidi="ar-SA"/>
      </w:rPr>
    </w:lvl>
  </w:abstractNum>
  <w:abstractNum w:abstractNumId="29">
    <w:multiLevelType w:val="hybridMultilevel"/>
    <w:lvl w:ilvl="0">
      <w:start w:val="26"/>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1011" w:hanging="50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624" w:hanging="500"/>
      </w:pPr>
      <w:rPr>
        <w:rFonts w:hint="default"/>
        <w:lang w:val="en-US" w:eastAsia="en-US" w:bidi="ar-SA"/>
      </w:rPr>
    </w:lvl>
    <w:lvl w:ilvl="3">
      <w:start w:val="0"/>
      <w:numFmt w:val="bullet"/>
      <w:lvlText w:val="•"/>
      <w:lvlJc w:val="left"/>
      <w:pPr>
        <w:ind w:left="2228" w:hanging="500"/>
      </w:pPr>
      <w:rPr>
        <w:rFonts w:hint="default"/>
        <w:lang w:val="en-US" w:eastAsia="en-US" w:bidi="ar-SA"/>
      </w:rPr>
    </w:lvl>
    <w:lvl w:ilvl="4">
      <w:start w:val="0"/>
      <w:numFmt w:val="bullet"/>
      <w:lvlText w:val="•"/>
      <w:lvlJc w:val="left"/>
      <w:pPr>
        <w:ind w:left="2833" w:hanging="500"/>
      </w:pPr>
      <w:rPr>
        <w:rFonts w:hint="default"/>
        <w:lang w:val="en-US" w:eastAsia="en-US" w:bidi="ar-SA"/>
      </w:rPr>
    </w:lvl>
    <w:lvl w:ilvl="5">
      <w:start w:val="0"/>
      <w:numFmt w:val="bullet"/>
      <w:lvlText w:val="•"/>
      <w:lvlJc w:val="left"/>
      <w:pPr>
        <w:ind w:left="3437" w:hanging="500"/>
      </w:pPr>
      <w:rPr>
        <w:rFonts w:hint="default"/>
        <w:lang w:val="en-US" w:eastAsia="en-US" w:bidi="ar-SA"/>
      </w:rPr>
    </w:lvl>
    <w:lvl w:ilvl="6">
      <w:start w:val="0"/>
      <w:numFmt w:val="bullet"/>
      <w:lvlText w:val="•"/>
      <w:lvlJc w:val="left"/>
      <w:pPr>
        <w:ind w:left="4041" w:hanging="500"/>
      </w:pPr>
      <w:rPr>
        <w:rFonts w:hint="default"/>
        <w:lang w:val="en-US" w:eastAsia="en-US" w:bidi="ar-SA"/>
      </w:rPr>
    </w:lvl>
    <w:lvl w:ilvl="7">
      <w:start w:val="0"/>
      <w:numFmt w:val="bullet"/>
      <w:lvlText w:val="•"/>
      <w:lvlJc w:val="left"/>
      <w:pPr>
        <w:ind w:left="4646" w:hanging="500"/>
      </w:pPr>
      <w:rPr>
        <w:rFonts w:hint="default"/>
        <w:lang w:val="en-US" w:eastAsia="en-US" w:bidi="ar-SA"/>
      </w:rPr>
    </w:lvl>
    <w:lvl w:ilvl="8">
      <w:start w:val="0"/>
      <w:numFmt w:val="bullet"/>
      <w:lvlText w:val="•"/>
      <w:lvlJc w:val="left"/>
      <w:pPr>
        <w:ind w:left="5250" w:hanging="500"/>
      </w:pPr>
      <w:rPr>
        <w:rFonts w:hint="default"/>
        <w:lang w:val="en-US" w:eastAsia="en-US" w:bidi="ar-SA"/>
      </w:rPr>
    </w:lvl>
  </w:abstractNum>
  <w:abstractNum w:abstractNumId="28">
    <w:multiLevelType w:val="hybridMultilevel"/>
    <w:lvl w:ilvl="0">
      <w:start w:val="3"/>
      <w:numFmt w:val="lowerLetter"/>
      <w:lvlText w:val="(%1)"/>
      <w:lvlJc w:val="left"/>
      <w:pPr>
        <w:ind w:left="835" w:hanging="345"/>
        <w:jc w:val="left"/>
      </w:pPr>
      <w:rPr>
        <w:rFonts w:hint="default" w:ascii="Arial" w:hAnsi="Arial" w:eastAsia="Arial" w:cs="Arial"/>
        <w:b w:val="0"/>
        <w:bCs w:val="0"/>
        <w:i w:val="0"/>
        <w:iCs w:val="0"/>
        <w:spacing w:val="-1"/>
        <w:w w:val="100"/>
        <w:sz w:val="20"/>
        <w:szCs w:val="20"/>
        <w:lang w:val="en-US" w:eastAsia="en-US" w:bidi="ar-SA"/>
      </w:rPr>
    </w:lvl>
    <w:lvl w:ilvl="1">
      <w:start w:val="1"/>
      <w:numFmt w:val="decimal"/>
      <w:lvlText w:val="(%2)"/>
      <w:lvlJc w:val="left"/>
      <w:pPr>
        <w:ind w:left="1181" w:hanging="356"/>
        <w:jc w:val="left"/>
      </w:pPr>
      <w:rPr>
        <w:rFonts w:hint="default" w:ascii="Arial" w:hAnsi="Arial" w:eastAsia="Arial" w:cs="Arial"/>
        <w:b w:val="0"/>
        <w:bCs w:val="0"/>
        <w:i w:val="0"/>
        <w:iCs w:val="0"/>
        <w:spacing w:val="-1"/>
        <w:w w:val="100"/>
        <w:sz w:val="20"/>
        <w:szCs w:val="20"/>
        <w:lang w:val="en-US" w:eastAsia="en-US" w:bidi="ar-SA"/>
      </w:rPr>
    </w:lvl>
    <w:lvl w:ilvl="2">
      <w:start w:val="1"/>
      <w:numFmt w:val="lowerRoman"/>
      <w:lvlText w:val="(%3)"/>
      <w:lvlJc w:val="left"/>
      <w:pPr>
        <w:ind w:left="1541" w:hanging="278"/>
        <w:jc w:val="left"/>
      </w:pPr>
      <w:rPr>
        <w:rFonts w:hint="default" w:ascii="Arial" w:hAnsi="Arial" w:eastAsia="Arial" w:cs="Arial"/>
        <w:b w:val="0"/>
        <w:bCs w:val="0"/>
        <w:i w:val="0"/>
        <w:iCs w:val="0"/>
        <w:spacing w:val="-1"/>
        <w:w w:val="100"/>
        <w:sz w:val="20"/>
        <w:szCs w:val="20"/>
        <w:lang w:val="en-US" w:eastAsia="en-US" w:bidi="ar-SA"/>
      </w:rPr>
    </w:lvl>
    <w:lvl w:ilvl="3">
      <w:start w:val="0"/>
      <w:numFmt w:val="bullet"/>
      <w:lvlText w:val="•"/>
      <w:lvlJc w:val="left"/>
      <w:pPr>
        <w:ind w:left="2154" w:hanging="278"/>
      </w:pPr>
      <w:rPr>
        <w:rFonts w:hint="default"/>
        <w:lang w:val="en-US" w:eastAsia="en-US" w:bidi="ar-SA"/>
      </w:rPr>
    </w:lvl>
    <w:lvl w:ilvl="4">
      <w:start w:val="0"/>
      <w:numFmt w:val="bullet"/>
      <w:lvlText w:val="•"/>
      <w:lvlJc w:val="left"/>
      <w:pPr>
        <w:ind w:left="2769" w:hanging="278"/>
      </w:pPr>
      <w:rPr>
        <w:rFonts w:hint="default"/>
        <w:lang w:val="en-US" w:eastAsia="en-US" w:bidi="ar-SA"/>
      </w:rPr>
    </w:lvl>
    <w:lvl w:ilvl="5">
      <w:start w:val="0"/>
      <w:numFmt w:val="bullet"/>
      <w:lvlText w:val="•"/>
      <w:lvlJc w:val="left"/>
      <w:pPr>
        <w:ind w:left="3384" w:hanging="278"/>
      </w:pPr>
      <w:rPr>
        <w:rFonts w:hint="default"/>
        <w:lang w:val="en-US" w:eastAsia="en-US" w:bidi="ar-SA"/>
      </w:rPr>
    </w:lvl>
    <w:lvl w:ilvl="6">
      <w:start w:val="0"/>
      <w:numFmt w:val="bullet"/>
      <w:lvlText w:val="•"/>
      <w:lvlJc w:val="left"/>
      <w:pPr>
        <w:ind w:left="3999" w:hanging="278"/>
      </w:pPr>
      <w:rPr>
        <w:rFonts w:hint="default"/>
        <w:lang w:val="en-US" w:eastAsia="en-US" w:bidi="ar-SA"/>
      </w:rPr>
    </w:lvl>
    <w:lvl w:ilvl="7">
      <w:start w:val="0"/>
      <w:numFmt w:val="bullet"/>
      <w:lvlText w:val="•"/>
      <w:lvlJc w:val="left"/>
      <w:pPr>
        <w:ind w:left="4614" w:hanging="278"/>
      </w:pPr>
      <w:rPr>
        <w:rFonts w:hint="default"/>
        <w:lang w:val="en-US" w:eastAsia="en-US" w:bidi="ar-SA"/>
      </w:rPr>
    </w:lvl>
    <w:lvl w:ilvl="8">
      <w:start w:val="0"/>
      <w:numFmt w:val="bullet"/>
      <w:lvlText w:val="•"/>
      <w:lvlJc w:val="left"/>
      <w:pPr>
        <w:ind w:left="5229" w:hanging="278"/>
      </w:pPr>
      <w:rPr>
        <w:rFonts w:hint="default"/>
        <w:lang w:val="en-US" w:eastAsia="en-US" w:bidi="ar-SA"/>
      </w:rPr>
    </w:lvl>
  </w:abstractNum>
  <w:abstractNum w:abstractNumId="27">
    <w:multiLevelType w:val="hybridMultilevel"/>
    <w:lvl w:ilvl="0">
      <w:start w:val="1"/>
      <w:numFmt w:val="decimal"/>
      <w:lvlText w:val="(%1)"/>
      <w:lvlJc w:val="left"/>
      <w:pPr>
        <w:ind w:left="1181" w:hanging="345"/>
        <w:jc w:val="left"/>
      </w:pPr>
      <w:rPr>
        <w:rFonts w:hint="default" w:ascii="Arial" w:hAnsi="Arial" w:eastAsia="Arial" w:cs="Arial"/>
        <w:b w:val="0"/>
        <w:bCs w:val="0"/>
        <w:i w:val="0"/>
        <w:iCs w:val="0"/>
        <w:spacing w:val="-1"/>
        <w:w w:val="100"/>
        <w:sz w:val="20"/>
        <w:szCs w:val="20"/>
        <w:lang w:val="en-US" w:eastAsia="en-US" w:bidi="ar-SA"/>
      </w:rPr>
    </w:lvl>
    <w:lvl w:ilvl="1">
      <w:start w:val="0"/>
      <w:numFmt w:val="bullet"/>
      <w:lvlText w:val="•"/>
      <w:lvlJc w:val="left"/>
      <w:pPr>
        <w:ind w:left="1707" w:hanging="345"/>
      </w:pPr>
      <w:rPr>
        <w:rFonts w:hint="default"/>
        <w:lang w:val="en-US" w:eastAsia="en-US" w:bidi="ar-SA"/>
      </w:rPr>
    </w:lvl>
    <w:lvl w:ilvl="2">
      <w:start w:val="0"/>
      <w:numFmt w:val="bullet"/>
      <w:lvlText w:val="•"/>
      <w:lvlJc w:val="left"/>
      <w:pPr>
        <w:ind w:left="2235" w:hanging="345"/>
      </w:pPr>
      <w:rPr>
        <w:rFonts w:hint="default"/>
        <w:lang w:val="en-US" w:eastAsia="en-US" w:bidi="ar-SA"/>
      </w:rPr>
    </w:lvl>
    <w:lvl w:ilvl="3">
      <w:start w:val="0"/>
      <w:numFmt w:val="bullet"/>
      <w:lvlText w:val="•"/>
      <w:lvlJc w:val="left"/>
      <w:pPr>
        <w:ind w:left="2763" w:hanging="345"/>
      </w:pPr>
      <w:rPr>
        <w:rFonts w:hint="default"/>
        <w:lang w:val="en-US" w:eastAsia="en-US" w:bidi="ar-SA"/>
      </w:rPr>
    </w:lvl>
    <w:lvl w:ilvl="4">
      <w:start w:val="0"/>
      <w:numFmt w:val="bullet"/>
      <w:lvlText w:val="•"/>
      <w:lvlJc w:val="left"/>
      <w:pPr>
        <w:ind w:left="3291" w:hanging="345"/>
      </w:pPr>
      <w:rPr>
        <w:rFonts w:hint="default"/>
        <w:lang w:val="en-US" w:eastAsia="en-US" w:bidi="ar-SA"/>
      </w:rPr>
    </w:lvl>
    <w:lvl w:ilvl="5">
      <w:start w:val="0"/>
      <w:numFmt w:val="bullet"/>
      <w:lvlText w:val="•"/>
      <w:lvlJc w:val="left"/>
      <w:pPr>
        <w:ind w:left="3819" w:hanging="345"/>
      </w:pPr>
      <w:rPr>
        <w:rFonts w:hint="default"/>
        <w:lang w:val="en-US" w:eastAsia="en-US" w:bidi="ar-SA"/>
      </w:rPr>
    </w:lvl>
    <w:lvl w:ilvl="6">
      <w:start w:val="0"/>
      <w:numFmt w:val="bullet"/>
      <w:lvlText w:val="•"/>
      <w:lvlJc w:val="left"/>
      <w:pPr>
        <w:ind w:left="4347" w:hanging="345"/>
      </w:pPr>
      <w:rPr>
        <w:rFonts w:hint="default"/>
        <w:lang w:val="en-US" w:eastAsia="en-US" w:bidi="ar-SA"/>
      </w:rPr>
    </w:lvl>
    <w:lvl w:ilvl="7">
      <w:start w:val="0"/>
      <w:numFmt w:val="bullet"/>
      <w:lvlText w:val="•"/>
      <w:lvlJc w:val="left"/>
      <w:pPr>
        <w:ind w:left="4875" w:hanging="345"/>
      </w:pPr>
      <w:rPr>
        <w:rFonts w:hint="default"/>
        <w:lang w:val="en-US" w:eastAsia="en-US" w:bidi="ar-SA"/>
      </w:rPr>
    </w:lvl>
    <w:lvl w:ilvl="8">
      <w:start w:val="0"/>
      <w:numFmt w:val="bullet"/>
      <w:lvlText w:val="•"/>
      <w:lvlJc w:val="left"/>
      <w:pPr>
        <w:ind w:left="5403" w:hanging="345"/>
      </w:pPr>
      <w:rPr>
        <w:rFonts w:hint="default"/>
        <w:lang w:val="en-US" w:eastAsia="en-US" w:bidi="ar-SA"/>
      </w:rPr>
    </w:lvl>
  </w:abstractNum>
  <w:abstractNum w:abstractNumId="26">
    <w:multiLevelType w:val="hybridMultilevel"/>
    <w:lvl w:ilvl="0">
      <w:start w:val="24"/>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821" w:hanging="356"/>
        <w:jc w:val="left"/>
      </w:pPr>
      <w:rPr>
        <w:rFonts w:hint="default" w:ascii="Arial" w:hAnsi="Arial" w:eastAsia="Arial" w:cs="Arial"/>
        <w:b w:val="0"/>
        <w:bCs w:val="0"/>
        <w:i w:val="0"/>
        <w:iCs w:val="0"/>
        <w:spacing w:val="-1"/>
        <w:w w:val="100"/>
        <w:sz w:val="20"/>
        <w:szCs w:val="20"/>
        <w:lang w:val="en-US" w:eastAsia="en-US" w:bidi="ar-SA"/>
      </w:rPr>
    </w:lvl>
    <w:lvl w:ilvl="2">
      <w:start w:val="1"/>
      <w:numFmt w:val="decimal"/>
      <w:lvlText w:val="(%3)"/>
      <w:lvlJc w:val="left"/>
      <w:pPr>
        <w:ind w:left="1194" w:hanging="356"/>
        <w:jc w:val="left"/>
      </w:pPr>
      <w:rPr>
        <w:rFonts w:hint="default" w:ascii="Arial" w:hAnsi="Arial" w:eastAsia="Arial" w:cs="Arial"/>
        <w:b w:val="0"/>
        <w:bCs w:val="0"/>
        <w:i w:val="0"/>
        <w:iCs w:val="0"/>
        <w:spacing w:val="-1"/>
        <w:w w:val="100"/>
        <w:sz w:val="20"/>
        <w:szCs w:val="20"/>
        <w:lang w:val="en-US" w:eastAsia="en-US" w:bidi="ar-SA"/>
      </w:rPr>
    </w:lvl>
    <w:lvl w:ilvl="3">
      <w:start w:val="0"/>
      <w:numFmt w:val="bullet"/>
      <w:lvlText w:val="•"/>
      <w:lvlJc w:val="left"/>
      <w:pPr>
        <w:ind w:left="1857" w:hanging="356"/>
      </w:pPr>
      <w:rPr>
        <w:rFonts w:hint="default"/>
        <w:lang w:val="en-US" w:eastAsia="en-US" w:bidi="ar-SA"/>
      </w:rPr>
    </w:lvl>
    <w:lvl w:ilvl="4">
      <w:start w:val="0"/>
      <w:numFmt w:val="bullet"/>
      <w:lvlText w:val="•"/>
      <w:lvlJc w:val="left"/>
      <w:pPr>
        <w:ind w:left="2514" w:hanging="356"/>
      </w:pPr>
      <w:rPr>
        <w:rFonts w:hint="default"/>
        <w:lang w:val="en-US" w:eastAsia="en-US" w:bidi="ar-SA"/>
      </w:rPr>
    </w:lvl>
    <w:lvl w:ilvl="5">
      <w:start w:val="0"/>
      <w:numFmt w:val="bullet"/>
      <w:lvlText w:val="•"/>
      <w:lvlJc w:val="left"/>
      <w:pPr>
        <w:ind w:left="3172" w:hanging="356"/>
      </w:pPr>
      <w:rPr>
        <w:rFonts w:hint="default"/>
        <w:lang w:val="en-US" w:eastAsia="en-US" w:bidi="ar-SA"/>
      </w:rPr>
    </w:lvl>
    <w:lvl w:ilvl="6">
      <w:start w:val="0"/>
      <w:numFmt w:val="bullet"/>
      <w:lvlText w:val="•"/>
      <w:lvlJc w:val="left"/>
      <w:pPr>
        <w:ind w:left="3829" w:hanging="356"/>
      </w:pPr>
      <w:rPr>
        <w:rFonts w:hint="default"/>
        <w:lang w:val="en-US" w:eastAsia="en-US" w:bidi="ar-SA"/>
      </w:rPr>
    </w:lvl>
    <w:lvl w:ilvl="7">
      <w:start w:val="0"/>
      <w:numFmt w:val="bullet"/>
      <w:lvlText w:val="•"/>
      <w:lvlJc w:val="left"/>
      <w:pPr>
        <w:ind w:left="4487" w:hanging="356"/>
      </w:pPr>
      <w:rPr>
        <w:rFonts w:hint="default"/>
        <w:lang w:val="en-US" w:eastAsia="en-US" w:bidi="ar-SA"/>
      </w:rPr>
    </w:lvl>
    <w:lvl w:ilvl="8">
      <w:start w:val="0"/>
      <w:numFmt w:val="bullet"/>
      <w:lvlText w:val="•"/>
      <w:lvlJc w:val="left"/>
      <w:pPr>
        <w:ind w:left="5144" w:hanging="356"/>
      </w:pPr>
      <w:rPr>
        <w:rFonts w:hint="default"/>
        <w:lang w:val="en-US" w:eastAsia="en-US" w:bidi="ar-SA"/>
      </w:rPr>
    </w:lvl>
  </w:abstractNum>
  <w:abstractNum w:abstractNumId="25">
    <w:multiLevelType w:val="hybridMultilevel"/>
    <w:lvl w:ilvl="0">
      <w:start w:val="23"/>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911" w:hanging="403"/>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535" w:hanging="403"/>
      </w:pPr>
      <w:rPr>
        <w:rFonts w:hint="default"/>
        <w:lang w:val="en-US" w:eastAsia="en-US" w:bidi="ar-SA"/>
      </w:rPr>
    </w:lvl>
    <w:lvl w:ilvl="3">
      <w:start w:val="0"/>
      <w:numFmt w:val="bullet"/>
      <w:lvlText w:val="•"/>
      <w:lvlJc w:val="left"/>
      <w:pPr>
        <w:ind w:left="2151" w:hanging="403"/>
      </w:pPr>
      <w:rPr>
        <w:rFonts w:hint="default"/>
        <w:lang w:val="en-US" w:eastAsia="en-US" w:bidi="ar-SA"/>
      </w:rPr>
    </w:lvl>
    <w:lvl w:ilvl="4">
      <w:start w:val="0"/>
      <w:numFmt w:val="bullet"/>
      <w:lvlText w:val="•"/>
      <w:lvlJc w:val="left"/>
      <w:pPr>
        <w:ind w:left="2766" w:hanging="403"/>
      </w:pPr>
      <w:rPr>
        <w:rFonts w:hint="default"/>
        <w:lang w:val="en-US" w:eastAsia="en-US" w:bidi="ar-SA"/>
      </w:rPr>
    </w:lvl>
    <w:lvl w:ilvl="5">
      <w:start w:val="0"/>
      <w:numFmt w:val="bullet"/>
      <w:lvlText w:val="•"/>
      <w:lvlJc w:val="left"/>
      <w:pPr>
        <w:ind w:left="3382" w:hanging="403"/>
      </w:pPr>
      <w:rPr>
        <w:rFonts w:hint="default"/>
        <w:lang w:val="en-US" w:eastAsia="en-US" w:bidi="ar-SA"/>
      </w:rPr>
    </w:lvl>
    <w:lvl w:ilvl="6">
      <w:start w:val="0"/>
      <w:numFmt w:val="bullet"/>
      <w:lvlText w:val="•"/>
      <w:lvlJc w:val="left"/>
      <w:pPr>
        <w:ind w:left="3997" w:hanging="403"/>
      </w:pPr>
      <w:rPr>
        <w:rFonts w:hint="default"/>
        <w:lang w:val="en-US" w:eastAsia="en-US" w:bidi="ar-SA"/>
      </w:rPr>
    </w:lvl>
    <w:lvl w:ilvl="7">
      <w:start w:val="0"/>
      <w:numFmt w:val="bullet"/>
      <w:lvlText w:val="•"/>
      <w:lvlJc w:val="left"/>
      <w:pPr>
        <w:ind w:left="4613" w:hanging="403"/>
      </w:pPr>
      <w:rPr>
        <w:rFonts w:hint="default"/>
        <w:lang w:val="en-US" w:eastAsia="en-US" w:bidi="ar-SA"/>
      </w:rPr>
    </w:lvl>
    <w:lvl w:ilvl="8">
      <w:start w:val="0"/>
      <w:numFmt w:val="bullet"/>
      <w:lvlText w:val="•"/>
      <w:lvlJc w:val="left"/>
      <w:pPr>
        <w:ind w:left="5228" w:hanging="403"/>
      </w:pPr>
      <w:rPr>
        <w:rFonts w:hint="default"/>
        <w:lang w:val="en-US" w:eastAsia="en-US" w:bidi="ar-SA"/>
      </w:rPr>
    </w:lvl>
  </w:abstractNum>
  <w:abstractNum w:abstractNumId="24">
    <w:multiLevelType w:val="hybridMultilevel"/>
    <w:lvl w:ilvl="0">
      <w:start w:val="22"/>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911" w:hanging="40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535" w:hanging="400"/>
      </w:pPr>
      <w:rPr>
        <w:rFonts w:hint="default"/>
        <w:lang w:val="en-US" w:eastAsia="en-US" w:bidi="ar-SA"/>
      </w:rPr>
    </w:lvl>
    <w:lvl w:ilvl="3">
      <w:start w:val="0"/>
      <w:numFmt w:val="bullet"/>
      <w:lvlText w:val="•"/>
      <w:lvlJc w:val="left"/>
      <w:pPr>
        <w:ind w:left="2151" w:hanging="400"/>
      </w:pPr>
      <w:rPr>
        <w:rFonts w:hint="default"/>
        <w:lang w:val="en-US" w:eastAsia="en-US" w:bidi="ar-SA"/>
      </w:rPr>
    </w:lvl>
    <w:lvl w:ilvl="4">
      <w:start w:val="0"/>
      <w:numFmt w:val="bullet"/>
      <w:lvlText w:val="•"/>
      <w:lvlJc w:val="left"/>
      <w:pPr>
        <w:ind w:left="2766" w:hanging="400"/>
      </w:pPr>
      <w:rPr>
        <w:rFonts w:hint="default"/>
        <w:lang w:val="en-US" w:eastAsia="en-US" w:bidi="ar-SA"/>
      </w:rPr>
    </w:lvl>
    <w:lvl w:ilvl="5">
      <w:start w:val="0"/>
      <w:numFmt w:val="bullet"/>
      <w:lvlText w:val="•"/>
      <w:lvlJc w:val="left"/>
      <w:pPr>
        <w:ind w:left="3382" w:hanging="400"/>
      </w:pPr>
      <w:rPr>
        <w:rFonts w:hint="default"/>
        <w:lang w:val="en-US" w:eastAsia="en-US" w:bidi="ar-SA"/>
      </w:rPr>
    </w:lvl>
    <w:lvl w:ilvl="6">
      <w:start w:val="0"/>
      <w:numFmt w:val="bullet"/>
      <w:lvlText w:val="•"/>
      <w:lvlJc w:val="left"/>
      <w:pPr>
        <w:ind w:left="3997" w:hanging="400"/>
      </w:pPr>
      <w:rPr>
        <w:rFonts w:hint="default"/>
        <w:lang w:val="en-US" w:eastAsia="en-US" w:bidi="ar-SA"/>
      </w:rPr>
    </w:lvl>
    <w:lvl w:ilvl="7">
      <w:start w:val="0"/>
      <w:numFmt w:val="bullet"/>
      <w:lvlText w:val="•"/>
      <w:lvlJc w:val="left"/>
      <w:pPr>
        <w:ind w:left="4613" w:hanging="400"/>
      </w:pPr>
      <w:rPr>
        <w:rFonts w:hint="default"/>
        <w:lang w:val="en-US" w:eastAsia="en-US" w:bidi="ar-SA"/>
      </w:rPr>
    </w:lvl>
    <w:lvl w:ilvl="8">
      <w:start w:val="0"/>
      <w:numFmt w:val="bullet"/>
      <w:lvlText w:val="•"/>
      <w:lvlJc w:val="left"/>
      <w:pPr>
        <w:ind w:left="5228" w:hanging="400"/>
      </w:pPr>
      <w:rPr>
        <w:rFonts w:hint="default"/>
        <w:lang w:val="en-US" w:eastAsia="en-US" w:bidi="ar-SA"/>
      </w:rPr>
    </w:lvl>
  </w:abstractNum>
  <w:abstractNum w:abstractNumId="23">
    <w:multiLevelType w:val="hybridMultilevel"/>
    <w:lvl w:ilvl="0">
      <w:start w:val="19"/>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1011" w:hanging="50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624" w:hanging="500"/>
      </w:pPr>
      <w:rPr>
        <w:rFonts w:hint="default"/>
        <w:lang w:val="en-US" w:eastAsia="en-US" w:bidi="ar-SA"/>
      </w:rPr>
    </w:lvl>
    <w:lvl w:ilvl="3">
      <w:start w:val="0"/>
      <w:numFmt w:val="bullet"/>
      <w:lvlText w:val="•"/>
      <w:lvlJc w:val="left"/>
      <w:pPr>
        <w:ind w:left="2228" w:hanging="500"/>
      </w:pPr>
      <w:rPr>
        <w:rFonts w:hint="default"/>
        <w:lang w:val="en-US" w:eastAsia="en-US" w:bidi="ar-SA"/>
      </w:rPr>
    </w:lvl>
    <w:lvl w:ilvl="4">
      <w:start w:val="0"/>
      <w:numFmt w:val="bullet"/>
      <w:lvlText w:val="•"/>
      <w:lvlJc w:val="left"/>
      <w:pPr>
        <w:ind w:left="2833" w:hanging="500"/>
      </w:pPr>
      <w:rPr>
        <w:rFonts w:hint="default"/>
        <w:lang w:val="en-US" w:eastAsia="en-US" w:bidi="ar-SA"/>
      </w:rPr>
    </w:lvl>
    <w:lvl w:ilvl="5">
      <w:start w:val="0"/>
      <w:numFmt w:val="bullet"/>
      <w:lvlText w:val="•"/>
      <w:lvlJc w:val="left"/>
      <w:pPr>
        <w:ind w:left="3437" w:hanging="500"/>
      </w:pPr>
      <w:rPr>
        <w:rFonts w:hint="default"/>
        <w:lang w:val="en-US" w:eastAsia="en-US" w:bidi="ar-SA"/>
      </w:rPr>
    </w:lvl>
    <w:lvl w:ilvl="6">
      <w:start w:val="0"/>
      <w:numFmt w:val="bullet"/>
      <w:lvlText w:val="•"/>
      <w:lvlJc w:val="left"/>
      <w:pPr>
        <w:ind w:left="4041" w:hanging="500"/>
      </w:pPr>
      <w:rPr>
        <w:rFonts w:hint="default"/>
        <w:lang w:val="en-US" w:eastAsia="en-US" w:bidi="ar-SA"/>
      </w:rPr>
    </w:lvl>
    <w:lvl w:ilvl="7">
      <w:start w:val="0"/>
      <w:numFmt w:val="bullet"/>
      <w:lvlText w:val="•"/>
      <w:lvlJc w:val="left"/>
      <w:pPr>
        <w:ind w:left="4646" w:hanging="500"/>
      </w:pPr>
      <w:rPr>
        <w:rFonts w:hint="default"/>
        <w:lang w:val="en-US" w:eastAsia="en-US" w:bidi="ar-SA"/>
      </w:rPr>
    </w:lvl>
    <w:lvl w:ilvl="8">
      <w:start w:val="0"/>
      <w:numFmt w:val="bullet"/>
      <w:lvlText w:val="•"/>
      <w:lvlJc w:val="left"/>
      <w:pPr>
        <w:ind w:left="5250" w:hanging="500"/>
      </w:pPr>
      <w:rPr>
        <w:rFonts w:hint="default"/>
        <w:lang w:val="en-US" w:eastAsia="en-US" w:bidi="ar-SA"/>
      </w:rPr>
    </w:lvl>
  </w:abstractNum>
  <w:abstractNum w:abstractNumId="22">
    <w:multiLevelType w:val="hybridMultilevel"/>
    <w:lvl w:ilvl="0">
      <w:start w:val="14"/>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1011" w:hanging="50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624" w:hanging="500"/>
      </w:pPr>
      <w:rPr>
        <w:rFonts w:hint="default"/>
        <w:lang w:val="en-US" w:eastAsia="en-US" w:bidi="ar-SA"/>
      </w:rPr>
    </w:lvl>
    <w:lvl w:ilvl="3">
      <w:start w:val="0"/>
      <w:numFmt w:val="bullet"/>
      <w:lvlText w:val="•"/>
      <w:lvlJc w:val="left"/>
      <w:pPr>
        <w:ind w:left="2228" w:hanging="500"/>
      </w:pPr>
      <w:rPr>
        <w:rFonts w:hint="default"/>
        <w:lang w:val="en-US" w:eastAsia="en-US" w:bidi="ar-SA"/>
      </w:rPr>
    </w:lvl>
    <w:lvl w:ilvl="4">
      <w:start w:val="0"/>
      <w:numFmt w:val="bullet"/>
      <w:lvlText w:val="•"/>
      <w:lvlJc w:val="left"/>
      <w:pPr>
        <w:ind w:left="2833" w:hanging="500"/>
      </w:pPr>
      <w:rPr>
        <w:rFonts w:hint="default"/>
        <w:lang w:val="en-US" w:eastAsia="en-US" w:bidi="ar-SA"/>
      </w:rPr>
    </w:lvl>
    <w:lvl w:ilvl="5">
      <w:start w:val="0"/>
      <w:numFmt w:val="bullet"/>
      <w:lvlText w:val="•"/>
      <w:lvlJc w:val="left"/>
      <w:pPr>
        <w:ind w:left="3437" w:hanging="500"/>
      </w:pPr>
      <w:rPr>
        <w:rFonts w:hint="default"/>
        <w:lang w:val="en-US" w:eastAsia="en-US" w:bidi="ar-SA"/>
      </w:rPr>
    </w:lvl>
    <w:lvl w:ilvl="6">
      <w:start w:val="0"/>
      <w:numFmt w:val="bullet"/>
      <w:lvlText w:val="•"/>
      <w:lvlJc w:val="left"/>
      <w:pPr>
        <w:ind w:left="4041" w:hanging="500"/>
      </w:pPr>
      <w:rPr>
        <w:rFonts w:hint="default"/>
        <w:lang w:val="en-US" w:eastAsia="en-US" w:bidi="ar-SA"/>
      </w:rPr>
    </w:lvl>
    <w:lvl w:ilvl="7">
      <w:start w:val="0"/>
      <w:numFmt w:val="bullet"/>
      <w:lvlText w:val="•"/>
      <w:lvlJc w:val="left"/>
      <w:pPr>
        <w:ind w:left="4646" w:hanging="500"/>
      </w:pPr>
      <w:rPr>
        <w:rFonts w:hint="default"/>
        <w:lang w:val="en-US" w:eastAsia="en-US" w:bidi="ar-SA"/>
      </w:rPr>
    </w:lvl>
    <w:lvl w:ilvl="8">
      <w:start w:val="0"/>
      <w:numFmt w:val="bullet"/>
      <w:lvlText w:val="•"/>
      <w:lvlJc w:val="left"/>
      <w:pPr>
        <w:ind w:left="5250" w:hanging="500"/>
      </w:pPr>
      <w:rPr>
        <w:rFonts w:hint="default"/>
        <w:lang w:val="en-US" w:eastAsia="en-US" w:bidi="ar-SA"/>
      </w:rPr>
    </w:lvl>
  </w:abstractNum>
  <w:abstractNum w:abstractNumId="21">
    <w:multiLevelType w:val="hybridMultilevel"/>
    <w:lvl w:ilvl="0">
      <w:start w:val="2"/>
      <w:numFmt w:val="lowerLetter"/>
      <w:lvlText w:val="(%1)"/>
      <w:lvlJc w:val="left"/>
      <w:pPr>
        <w:ind w:left="821" w:hanging="313"/>
        <w:jc w:val="left"/>
      </w:pPr>
      <w:rPr>
        <w:rFonts w:hint="default" w:ascii="Arial" w:hAnsi="Arial" w:eastAsia="Arial" w:cs="Arial"/>
        <w:b w:val="0"/>
        <w:bCs w:val="0"/>
        <w:i w:val="0"/>
        <w:iCs w:val="0"/>
        <w:spacing w:val="-1"/>
        <w:w w:val="100"/>
        <w:sz w:val="20"/>
        <w:szCs w:val="20"/>
        <w:lang w:val="en-US" w:eastAsia="en-US" w:bidi="ar-SA"/>
      </w:rPr>
    </w:lvl>
    <w:lvl w:ilvl="1">
      <w:start w:val="0"/>
      <w:numFmt w:val="bullet"/>
      <w:lvlText w:val="•"/>
      <w:lvlJc w:val="left"/>
      <w:pPr>
        <w:ind w:left="1383" w:hanging="313"/>
      </w:pPr>
      <w:rPr>
        <w:rFonts w:hint="default"/>
        <w:lang w:val="en-US" w:eastAsia="en-US" w:bidi="ar-SA"/>
      </w:rPr>
    </w:lvl>
    <w:lvl w:ilvl="2">
      <w:start w:val="0"/>
      <w:numFmt w:val="bullet"/>
      <w:lvlText w:val="•"/>
      <w:lvlJc w:val="left"/>
      <w:pPr>
        <w:ind w:left="1947" w:hanging="313"/>
      </w:pPr>
      <w:rPr>
        <w:rFonts w:hint="default"/>
        <w:lang w:val="en-US" w:eastAsia="en-US" w:bidi="ar-SA"/>
      </w:rPr>
    </w:lvl>
    <w:lvl w:ilvl="3">
      <w:start w:val="0"/>
      <w:numFmt w:val="bullet"/>
      <w:lvlText w:val="•"/>
      <w:lvlJc w:val="left"/>
      <w:pPr>
        <w:ind w:left="2511" w:hanging="313"/>
      </w:pPr>
      <w:rPr>
        <w:rFonts w:hint="default"/>
        <w:lang w:val="en-US" w:eastAsia="en-US" w:bidi="ar-SA"/>
      </w:rPr>
    </w:lvl>
    <w:lvl w:ilvl="4">
      <w:start w:val="0"/>
      <w:numFmt w:val="bullet"/>
      <w:lvlText w:val="•"/>
      <w:lvlJc w:val="left"/>
      <w:pPr>
        <w:ind w:left="3075" w:hanging="313"/>
      </w:pPr>
      <w:rPr>
        <w:rFonts w:hint="default"/>
        <w:lang w:val="en-US" w:eastAsia="en-US" w:bidi="ar-SA"/>
      </w:rPr>
    </w:lvl>
    <w:lvl w:ilvl="5">
      <w:start w:val="0"/>
      <w:numFmt w:val="bullet"/>
      <w:lvlText w:val="•"/>
      <w:lvlJc w:val="left"/>
      <w:pPr>
        <w:ind w:left="3639" w:hanging="313"/>
      </w:pPr>
      <w:rPr>
        <w:rFonts w:hint="default"/>
        <w:lang w:val="en-US" w:eastAsia="en-US" w:bidi="ar-SA"/>
      </w:rPr>
    </w:lvl>
    <w:lvl w:ilvl="6">
      <w:start w:val="0"/>
      <w:numFmt w:val="bullet"/>
      <w:lvlText w:val="•"/>
      <w:lvlJc w:val="left"/>
      <w:pPr>
        <w:ind w:left="4203" w:hanging="313"/>
      </w:pPr>
      <w:rPr>
        <w:rFonts w:hint="default"/>
        <w:lang w:val="en-US" w:eastAsia="en-US" w:bidi="ar-SA"/>
      </w:rPr>
    </w:lvl>
    <w:lvl w:ilvl="7">
      <w:start w:val="0"/>
      <w:numFmt w:val="bullet"/>
      <w:lvlText w:val="•"/>
      <w:lvlJc w:val="left"/>
      <w:pPr>
        <w:ind w:left="4767" w:hanging="313"/>
      </w:pPr>
      <w:rPr>
        <w:rFonts w:hint="default"/>
        <w:lang w:val="en-US" w:eastAsia="en-US" w:bidi="ar-SA"/>
      </w:rPr>
    </w:lvl>
    <w:lvl w:ilvl="8">
      <w:start w:val="0"/>
      <w:numFmt w:val="bullet"/>
      <w:lvlText w:val="•"/>
      <w:lvlJc w:val="left"/>
      <w:pPr>
        <w:ind w:left="5331" w:hanging="313"/>
      </w:pPr>
      <w:rPr>
        <w:rFonts w:hint="default"/>
        <w:lang w:val="en-US" w:eastAsia="en-US" w:bidi="ar-SA"/>
      </w:rPr>
    </w:lvl>
  </w:abstractNum>
  <w:abstractNum w:abstractNumId="20">
    <w:multiLevelType w:val="hybridMultilevel"/>
    <w:lvl w:ilvl="0">
      <w:start w:val="13"/>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1091" w:hanging="313"/>
        <w:jc w:val="left"/>
      </w:pPr>
      <w:rPr>
        <w:rFonts w:hint="default" w:ascii="Arial" w:hAnsi="Arial" w:eastAsia="Arial" w:cs="Arial"/>
        <w:b w:val="0"/>
        <w:bCs w:val="0"/>
        <w:i w:val="0"/>
        <w:iCs w:val="0"/>
        <w:spacing w:val="-1"/>
        <w:w w:val="100"/>
        <w:sz w:val="20"/>
        <w:szCs w:val="20"/>
        <w:lang w:val="en-US" w:eastAsia="en-US" w:bidi="ar-SA"/>
      </w:rPr>
    </w:lvl>
    <w:lvl w:ilvl="2">
      <w:start w:val="2"/>
      <w:numFmt w:val="decimal"/>
      <w:lvlText w:val="(%3)"/>
      <w:lvlJc w:val="left"/>
      <w:pPr>
        <w:ind w:left="1091" w:hanging="270"/>
        <w:jc w:val="left"/>
      </w:pPr>
      <w:rPr>
        <w:rFonts w:hint="default" w:ascii="Arial" w:hAnsi="Arial" w:eastAsia="Arial" w:cs="Arial"/>
        <w:b w:val="0"/>
        <w:bCs w:val="0"/>
        <w:i w:val="0"/>
        <w:iCs w:val="0"/>
        <w:spacing w:val="-1"/>
        <w:w w:val="100"/>
        <w:sz w:val="20"/>
        <w:szCs w:val="20"/>
        <w:lang w:val="en-US" w:eastAsia="en-US" w:bidi="ar-SA"/>
      </w:rPr>
    </w:lvl>
    <w:lvl w:ilvl="3">
      <w:start w:val="1"/>
      <w:numFmt w:val="lowerRoman"/>
      <w:lvlText w:val="(%4)"/>
      <w:lvlJc w:val="left"/>
      <w:pPr>
        <w:ind w:left="1541" w:hanging="360"/>
        <w:jc w:val="left"/>
      </w:pPr>
      <w:rPr>
        <w:rFonts w:hint="default" w:ascii="Arial" w:hAnsi="Arial" w:eastAsia="Arial" w:cs="Arial"/>
        <w:b w:val="0"/>
        <w:bCs w:val="0"/>
        <w:i w:val="0"/>
        <w:iCs w:val="0"/>
        <w:spacing w:val="-1"/>
        <w:w w:val="100"/>
        <w:sz w:val="20"/>
        <w:szCs w:val="20"/>
        <w:lang w:val="en-US" w:eastAsia="en-US" w:bidi="ar-SA"/>
      </w:rPr>
    </w:lvl>
    <w:lvl w:ilvl="4">
      <w:start w:val="0"/>
      <w:numFmt w:val="bullet"/>
      <w:lvlText w:val="•"/>
      <w:lvlJc w:val="left"/>
      <w:pPr>
        <w:ind w:left="2769" w:hanging="360"/>
      </w:pPr>
      <w:rPr>
        <w:rFonts w:hint="default"/>
        <w:lang w:val="en-US" w:eastAsia="en-US" w:bidi="ar-SA"/>
      </w:rPr>
    </w:lvl>
    <w:lvl w:ilvl="5">
      <w:start w:val="0"/>
      <w:numFmt w:val="bullet"/>
      <w:lvlText w:val="•"/>
      <w:lvlJc w:val="left"/>
      <w:pPr>
        <w:ind w:left="3384" w:hanging="360"/>
      </w:pPr>
      <w:rPr>
        <w:rFonts w:hint="default"/>
        <w:lang w:val="en-US" w:eastAsia="en-US" w:bidi="ar-SA"/>
      </w:rPr>
    </w:lvl>
    <w:lvl w:ilvl="6">
      <w:start w:val="0"/>
      <w:numFmt w:val="bullet"/>
      <w:lvlText w:val="•"/>
      <w:lvlJc w:val="left"/>
      <w:pPr>
        <w:ind w:left="3999" w:hanging="360"/>
      </w:pPr>
      <w:rPr>
        <w:rFonts w:hint="default"/>
        <w:lang w:val="en-US" w:eastAsia="en-US" w:bidi="ar-SA"/>
      </w:rPr>
    </w:lvl>
    <w:lvl w:ilvl="7">
      <w:start w:val="0"/>
      <w:numFmt w:val="bullet"/>
      <w:lvlText w:val="•"/>
      <w:lvlJc w:val="left"/>
      <w:pPr>
        <w:ind w:left="4614" w:hanging="360"/>
      </w:pPr>
      <w:rPr>
        <w:rFonts w:hint="default"/>
        <w:lang w:val="en-US" w:eastAsia="en-US" w:bidi="ar-SA"/>
      </w:rPr>
    </w:lvl>
    <w:lvl w:ilvl="8">
      <w:start w:val="0"/>
      <w:numFmt w:val="bullet"/>
      <w:lvlText w:val="•"/>
      <w:lvlJc w:val="left"/>
      <w:pPr>
        <w:ind w:left="5229" w:hanging="360"/>
      </w:pPr>
      <w:rPr>
        <w:rFonts w:hint="default"/>
        <w:lang w:val="en-US" w:eastAsia="en-US" w:bidi="ar-SA"/>
      </w:rPr>
    </w:lvl>
  </w:abstractNum>
  <w:abstractNum w:abstractNumId="19">
    <w:multiLevelType w:val="hybridMultilevel"/>
    <w:lvl w:ilvl="0">
      <w:start w:val="11"/>
      <w:numFmt w:val="decimal"/>
      <w:lvlText w:val="%1."/>
      <w:lvlJc w:val="left"/>
      <w:pPr>
        <w:ind w:left="508" w:hanging="389"/>
        <w:jc w:val="left"/>
      </w:pPr>
      <w:rPr>
        <w:rFonts w:hint="default" w:ascii="Arial" w:hAnsi="Arial" w:eastAsia="Arial" w:cs="Arial"/>
        <w:b w:val="0"/>
        <w:bCs w:val="0"/>
        <w:i w:val="0"/>
        <w:iCs w:val="0"/>
        <w:spacing w:val="-16"/>
        <w:w w:val="100"/>
        <w:sz w:val="20"/>
        <w:szCs w:val="20"/>
        <w:lang w:val="en-US" w:eastAsia="en-US" w:bidi="ar-SA"/>
      </w:rPr>
    </w:lvl>
    <w:lvl w:ilvl="1">
      <w:start w:val="1"/>
      <w:numFmt w:val="lowerLetter"/>
      <w:lvlText w:val="(%2)"/>
      <w:lvlJc w:val="left"/>
      <w:pPr>
        <w:ind w:left="1011" w:hanging="500"/>
        <w:jc w:val="left"/>
      </w:pPr>
      <w:rPr>
        <w:rFonts w:hint="default" w:ascii="Arial" w:hAnsi="Arial" w:eastAsia="Arial" w:cs="Arial"/>
        <w:b w:val="0"/>
        <w:bCs w:val="0"/>
        <w:i w:val="0"/>
        <w:iCs w:val="0"/>
        <w:spacing w:val="-1"/>
        <w:w w:val="100"/>
        <w:sz w:val="20"/>
        <w:szCs w:val="20"/>
        <w:lang w:val="en-US" w:eastAsia="en-US" w:bidi="ar-SA"/>
      </w:rPr>
    </w:lvl>
    <w:lvl w:ilvl="2">
      <w:start w:val="1"/>
      <w:numFmt w:val="decimal"/>
      <w:lvlText w:val="(%3)"/>
      <w:lvlJc w:val="left"/>
      <w:pPr>
        <w:ind w:left="1611" w:hanging="600"/>
        <w:jc w:val="left"/>
      </w:pPr>
      <w:rPr>
        <w:rFonts w:hint="default" w:ascii="Arial" w:hAnsi="Arial" w:eastAsia="Arial" w:cs="Arial"/>
        <w:b w:val="0"/>
        <w:bCs w:val="0"/>
        <w:i w:val="0"/>
        <w:iCs w:val="0"/>
        <w:spacing w:val="-1"/>
        <w:w w:val="100"/>
        <w:sz w:val="20"/>
        <w:szCs w:val="20"/>
        <w:lang w:val="en-US" w:eastAsia="en-US" w:bidi="ar-SA"/>
      </w:rPr>
    </w:lvl>
    <w:lvl w:ilvl="3">
      <w:start w:val="0"/>
      <w:numFmt w:val="bullet"/>
      <w:lvlText w:val="•"/>
      <w:lvlJc w:val="left"/>
      <w:pPr>
        <w:ind w:left="2224" w:hanging="600"/>
      </w:pPr>
      <w:rPr>
        <w:rFonts w:hint="default"/>
        <w:lang w:val="en-US" w:eastAsia="en-US" w:bidi="ar-SA"/>
      </w:rPr>
    </w:lvl>
    <w:lvl w:ilvl="4">
      <w:start w:val="0"/>
      <w:numFmt w:val="bullet"/>
      <w:lvlText w:val="•"/>
      <w:lvlJc w:val="left"/>
      <w:pPr>
        <w:ind w:left="2829" w:hanging="600"/>
      </w:pPr>
      <w:rPr>
        <w:rFonts w:hint="default"/>
        <w:lang w:val="en-US" w:eastAsia="en-US" w:bidi="ar-SA"/>
      </w:rPr>
    </w:lvl>
    <w:lvl w:ilvl="5">
      <w:start w:val="0"/>
      <w:numFmt w:val="bullet"/>
      <w:lvlText w:val="•"/>
      <w:lvlJc w:val="left"/>
      <w:pPr>
        <w:ind w:left="3434" w:hanging="600"/>
      </w:pPr>
      <w:rPr>
        <w:rFonts w:hint="default"/>
        <w:lang w:val="en-US" w:eastAsia="en-US" w:bidi="ar-SA"/>
      </w:rPr>
    </w:lvl>
    <w:lvl w:ilvl="6">
      <w:start w:val="0"/>
      <w:numFmt w:val="bullet"/>
      <w:lvlText w:val="•"/>
      <w:lvlJc w:val="left"/>
      <w:pPr>
        <w:ind w:left="4039" w:hanging="600"/>
      </w:pPr>
      <w:rPr>
        <w:rFonts w:hint="default"/>
        <w:lang w:val="en-US" w:eastAsia="en-US" w:bidi="ar-SA"/>
      </w:rPr>
    </w:lvl>
    <w:lvl w:ilvl="7">
      <w:start w:val="0"/>
      <w:numFmt w:val="bullet"/>
      <w:lvlText w:val="•"/>
      <w:lvlJc w:val="left"/>
      <w:pPr>
        <w:ind w:left="4644" w:hanging="600"/>
      </w:pPr>
      <w:rPr>
        <w:rFonts w:hint="default"/>
        <w:lang w:val="en-US" w:eastAsia="en-US" w:bidi="ar-SA"/>
      </w:rPr>
    </w:lvl>
    <w:lvl w:ilvl="8">
      <w:start w:val="0"/>
      <w:numFmt w:val="bullet"/>
      <w:lvlText w:val="•"/>
      <w:lvlJc w:val="left"/>
      <w:pPr>
        <w:ind w:left="5249" w:hanging="600"/>
      </w:pPr>
      <w:rPr>
        <w:rFonts w:hint="default"/>
        <w:lang w:val="en-US" w:eastAsia="en-US" w:bidi="ar-SA"/>
      </w:rPr>
    </w:lvl>
  </w:abstractNum>
  <w:abstractNum w:abstractNumId="18">
    <w:multiLevelType w:val="hybridMultilevel"/>
    <w:lvl w:ilvl="0">
      <w:start w:val="2"/>
      <w:numFmt w:val="lowerLetter"/>
      <w:lvlText w:val="(%1)"/>
      <w:lvlJc w:val="left"/>
      <w:pPr>
        <w:ind w:left="1011" w:hanging="500"/>
        <w:jc w:val="left"/>
      </w:pPr>
      <w:rPr>
        <w:rFonts w:hint="default" w:ascii="Arial" w:hAnsi="Arial" w:eastAsia="Arial" w:cs="Arial"/>
        <w:b w:val="0"/>
        <w:bCs w:val="0"/>
        <w:i w:val="0"/>
        <w:iCs w:val="0"/>
        <w:spacing w:val="-1"/>
        <w:w w:val="100"/>
        <w:sz w:val="20"/>
        <w:szCs w:val="20"/>
        <w:lang w:val="en-US" w:eastAsia="en-US" w:bidi="ar-SA"/>
      </w:rPr>
    </w:lvl>
    <w:lvl w:ilvl="1">
      <w:start w:val="0"/>
      <w:numFmt w:val="bullet"/>
      <w:lvlText w:val="•"/>
      <w:lvlJc w:val="left"/>
      <w:pPr>
        <w:ind w:left="1563" w:hanging="500"/>
      </w:pPr>
      <w:rPr>
        <w:rFonts w:hint="default"/>
        <w:lang w:val="en-US" w:eastAsia="en-US" w:bidi="ar-SA"/>
      </w:rPr>
    </w:lvl>
    <w:lvl w:ilvl="2">
      <w:start w:val="0"/>
      <w:numFmt w:val="bullet"/>
      <w:lvlText w:val="•"/>
      <w:lvlJc w:val="left"/>
      <w:pPr>
        <w:ind w:left="2107" w:hanging="500"/>
      </w:pPr>
      <w:rPr>
        <w:rFonts w:hint="default"/>
        <w:lang w:val="en-US" w:eastAsia="en-US" w:bidi="ar-SA"/>
      </w:rPr>
    </w:lvl>
    <w:lvl w:ilvl="3">
      <w:start w:val="0"/>
      <w:numFmt w:val="bullet"/>
      <w:lvlText w:val="•"/>
      <w:lvlJc w:val="left"/>
      <w:pPr>
        <w:ind w:left="2651" w:hanging="500"/>
      </w:pPr>
      <w:rPr>
        <w:rFonts w:hint="default"/>
        <w:lang w:val="en-US" w:eastAsia="en-US" w:bidi="ar-SA"/>
      </w:rPr>
    </w:lvl>
    <w:lvl w:ilvl="4">
      <w:start w:val="0"/>
      <w:numFmt w:val="bullet"/>
      <w:lvlText w:val="•"/>
      <w:lvlJc w:val="left"/>
      <w:pPr>
        <w:ind w:left="3195" w:hanging="500"/>
      </w:pPr>
      <w:rPr>
        <w:rFonts w:hint="default"/>
        <w:lang w:val="en-US" w:eastAsia="en-US" w:bidi="ar-SA"/>
      </w:rPr>
    </w:lvl>
    <w:lvl w:ilvl="5">
      <w:start w:val="0"/>
      <w:numFmt w:val="bullet"/>
      <w:lvlText w:val="•"/>
      <w:lvlJc w:val="left"/>
      <w:pPr>
        <w:ind w:left="3739" w:hanging="500"/>
      </w:pPr>
      <w:rPr>
        <w:rFonts w:hint="default"/>
        <w:lang w:val="en-US" w:eastAsia="en-US" w:bidi="ar-SA"/>
      </w:rPr>
    </w:lvl>
    <w:lvl w:ilvl="6">
      <w:start w:val="0"/>
      <w:numFmt w:val="bullet"/>
      <w:lvlText w:val="•"/>
      <w:lvlJc w:val="left"/>
      <w:pPr>
        <w:ind w:left="4283" w:hanging="500"/>
      </w:pPr>
      <w:rPr>
        <w:rFonts w:hint="default"/>
        <w:lang w:val="en-US" w:eastAsia="en-US" w:bidi="ar-SA"/>
      </w:rPr>
    </w:lvl>
    <w:lvl w:ilvl="7">
      <w:start w:val="0"/>
      <w:numFmt w:val="bullet"/>
      <w:lvlText w:val="•"/>
      <w:lvlJc w:val="left"/>
      <w:pPr>
        <w:ind w:left="4827" w:hanging="500"/>
      </w:pPr>
      <w:rPr>
        <w:rFonts w:hint="default"/>
        <w:lang w:val="en-US" w:eastAsia="en-US" w:bidi="ar-SA"/>
      </w:rPr>
    </w:lvl>
    <w:lvl w:ilvl="8">
      <w:start w:val="0"/>
      <w:numFmt w:val="bullet"/>
      <w:lvlText w:val="•"/>
      <w:lvlJc w:val="left"/>
      <w:pPr>
        <w:ind w:left="5371" w:hanging="500"/>
      </w:pPr>
      <w:rPr>
        <w:rFonts w:hint="default"/>
        <w:lang w:val="en-US" w:eastAsia="en-US" w:bidi="ar-SA"/>
      </w:rPr>
    </w:lvl>
  </w:abstractNum>
  <w:abstractNum w:abstractNumId="17">
    <w:multiLevelType w:val="hybridMultilevel"/>
    <w:lvl w:ilvl="0">
      <w:start w:val="10"/>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1011" w:hanging="50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624" w:hanging="500"/>
      </w:pPr>
      <w:rPr>
        <w:rFonts w:hint="default"/>
        <w:lang w:val="en-US" w:eastAsia="en-US" w:bidi="ar-SA"/>
      </w:rPr>
    </w:lvl>
    <w:lvl w:ilvl="3">
      <w:start w:val="0"/>
      <w:numFmt w:val="bullet"/>
      <w:lvlText w:val="•"/>
      <w:lvlJc w:val="left"/>
      <w:pPr>
        <w:ind w:left="2228" w:hanging="500"/>
      </w:pPr>
      <w:rPr>
        <w:rFonts w:hint="default"/>
        <w:lang w:val="en-US" w:eastAsia="en-US" w:bidi="ar-SA"/>
      </w:rPr>
    </w:lvl>
    <w:lvl w:ilvl="4">
      <w:start w:val="0"/>
      <w:numFmt w:val="bullet"/>
      <w:lvlText w:val="•"/>
      <w:lvlJc w:val="left"/>
      <w:pPr>
        <w:ind w:left="2833" w:hanging="500"/>
      </w:pPr>
      <w:rPr>
        <w:rFonts w:hint="default"/>
        <w:lang w:val="en-US" w:eastAsia="en-US" w:bidi="ar-SA"/>
      </w:rPr>
    </w:lvl>
    <w:lvl w:ilvl="5">
      <w:start w:val="0"/>
      <w:numFmt w:val="bullet"/>
      <w:lvlText w:val="•"/>
      <w:lvlJc w:val="left"/>
      <w:pPr>
        <w:ind w:left="3437" w:hanging="500"/>
      </w:pPr>
      <w:rPr>
        <w:rFonts w:hint="default"/>
        <w:lang w:val="en-US" w:eastAsia="en-US" w:bidi="ar-SA"/>
      </w:rPr>
    </w:lvl>
    <w:lvl w:ilvl="6">
      <w:start w:val="0"/>
      <w:numFmt w:val="bullet"/>
      <w:lvlText w:val="•"/>
      <w:lvlJc w:val="left"/>
      <w:pPr>
        <w:ind w:left="4041" w:hanging="500"/>
      </w:pPr>
      <w:rPr>
        <w:rFonts w:hint="default"/>
        <w:lang w:val="en-US" w:eastAsia="en-US" w:bidi="ar-SA"/>
      </w:rPr>
    </w:lvl>
    <w:lvl w:ilvl="7">
      <w:start w:val="0"/>
      <w:numFmt w:val="bullet"/>
      <w:lvlText w:val="•"/>
      <w:lvlJc w:val="left"/>
      <w:pPr>
        <w:ind w:left="4646" w:hanging="500"/>
      </w:pPr>
      <w:rPr>
        <w:rFonts w:hint="default"/>
        <w:lang w:val="en-US" w:eastAsia="en-US" w:bidi="ar-SA"/>
      </w:rPr>
    </w:lvl>
    <w:lvl w:ilvl="8">
      <w:start w:val="0"/>
      <w:numFmt w:val="bullet"/>
      <w:lvlText w:val="•"/>
      <w:lvlJc w:val="left"/>
      <w:pPr>
        <w:ind w:left="5250" w:hanging="500"/>
      </w:pPr>
      <w:rPr>
        <w:rFonts w:hint="default"/>
        <w:lang w:val="en-US" w:eastAsia="en-US" w:bidi="ar-SA"/>
      </w:rPr>
    </w:lvl>
  </w:abstractNum>
  <w:abstractNum w:abstractNumId="16">
    <w:multiLevelType w:val="hybridMultilevel"/>
    <w:lvl w:ilvl="0">
      <w:start w:val="9"/>
      <w:numFmt w:val="decimal"/>
      <w:lvlText w:val="%1."/>
      <w:lvlJc w:val="left"/>
      <w:pPr>
        <w:ind w:left="508" w:hanging="389"/>
        <w:jc w:val="left"/>
      </w:pPr>
      <w:rPr>
        <w:rFonts w:hint="default" w:ascii="Arial" w:hAnsi="Arial" w:eastAsia="Arial" w:cs="Arial"/>
        <w:b w:val="0"/>
        <w:bCs w:val="0"/>
        <w:i w:val="0"/>
        <w:iCs w:val="0"/>
        <w:spacing w:val="-3"/>
        <w:w w:val="100"/>
        <w:sz w:val="20"/>
        <w:szCs w:val="20"/>
        <w:lang w:val="en-US" w:eastAsia="en-US" w:bidi="ar-SA"/>
      </w:rPr>
    </w:lvl>
    <w:lvl w:ilvl="1">
      <w:start w:val="1"/>
      <w:numFmt w:val="lowerLetter"/>
      <w:lvlText w:val="(%2)"/>
      <w:lvlJc w:val="left"/>
      <w:pPr>
        <w:ind w:left="1011" w:hanging="50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624" w:hanging="500"/>
      </w:pPr>
      <w:rPr>
        <w:rFonts w:hint="default"/>
        <w:lang w:val="en-US" w:eastAsia="en-US" w:bidi="ar-SA"/>
      </w:rPr>
    </w:lvl>
    <w:lvl w:ilvl="3">
      <w:start w:val="0"/>
      <w:numFmt w:val="bullet"/>
      <w:lvlText w:val="•"/>
      <w:lvlJc w:val="left"/>
      <w:pPr>
        <w:ind w:left="2228" w:hanging="500"/>
      </w:pPr>
      <w:rPr>
        <w:rFonts w:hint="default"/>
        <w:lang w:val="en-US" w:eastAsia="en-US" w:bidi="ar-SA"/>
      </w:rPr>
    </w:lvl>
    <w:lvl w:ilvl="4">
      <w:start w:val="0"/>
      <w:numFmt w:val="bullet"/>
      <w:lvlText w:val="•"/>
      <w:lvlJc w:val="left"/>
      <w:pPr>
        <w:ind w:left="2833" w:hanging="500"/>
      </w:pPr>
      <w:rPr>
        <w:rFonts w:hint="default"/>
        <w:lang w:val="en-US" w:eastAsia="en-US" w:bidi="ar-SA"/>
      </w:rPr>
    </w:lvl>
    <w:lvl w:ilvl="5">
      <w:start w:val="0"/>
      <w:numFmt w:val="bullet"/>
      <w:lvlText w:val="•"/>
      <w:lvlJc w:val="left"/>
      <w:pPr>
        <w:ind w:left="3437" w:hanging="500"/>
      </w:pPr>
      <w:rPr>
        <w:rFonts w:hint="default"/>
        <w:lang w:val="en-US" w:eastAsia="en-US" w:bidi="ar-SA"/>
      </w:rPr>
    </w:lvl>
    <w:lvl w:ilvl="6">
      <w:start w:val="0"/>
      <w:numFmt w:val="bullet"/>
      <w:lvlText w:val="•"/>
      <w:lvlJc w:val="left"/>
      <w:pPr>
        <w:ind w:left="4041" w:hanging="500"/>
      </w:pPr>
      <w:rPr>
        <w:rFonts w:hint="default"/>
        <w:lang w:val="en-US" w:eastAsia="en-US" w:bidi="ar-SA"/>
      </w:rPr>
    </w:lvl>
    <w:lvl w:ilvl="7">
      <w:start w:val="0"/>
      <w:numFmt w:val="bullet"/>
      <w:lvlText w:val="•"/>
      <w:lvlJc w:val="left"/>
      <w:pPr>
        <w:ind w:left="4646" w:hanging="500"/>
      </w:pPr>
      <w:rPr>
        <w:rFonts w:hint="default"/>
        <w:lang w:val="en-US" w:eastAsia="en-US" w:bidi="ar-SA"/>
      </w:rPr>
    </w:lvl>
    <w:lvl w:ilvl="8">
      <w:start w:val="0"/>
      <w:numFmt w:val="bullet"/>
      <w:lvlText w:val="•"/>
      <w:lvlJc w:val="left"/>
      <w:pPr>
        <w:ind w:left="5250" w:hanging="500"/>
      </w:pPr>
      <w:rPr>
        <w:rFonts w:hint="default"/>
        <w:lang w:val="en-US" w:eastAsia="en-US" w:bidi="ar-SA"/>
      </w:rPr>
    </w:lvl>
  </w:abstractNum>
  <w:abstractNum w:abstractNumId="15">
    <w:multiLevelType w:val="hybridMultilevel"/>
    <w:lvl w:ilvl="0">
      <w:start w:val="6"/>
      <w:numFmt w:val="decimal"/>
      <w:lvlText w:val="%1."/>
      <w:lvlJc w:val="left"/>
      <w:pPr>
        <w:ind w:left="511" w:hanging="392"/>
        <w:jc w:val="left"/>
      </w:pPr>
      <w:rPr>
        <w:rFonts w:hint="default" w:ascii="Arial" w:hAnsi="Arial" w:eastAsia="Arial" w:cs="Arial"/>
        <w:b w:val="0"/>
        <w:bCs w:val="0"/>
        <w:i w:val="0"/>
        <w:iCs w:val="0"/>
        <w:spacing w:val="-1"/>
        <w:w w:val="100"/>
        <w:sz w:val="20"/>
        <w:szCs w:val="20"/>
        <w:lang w:val="en-US" w:eastAsia="en-US" w:bidi="ar-SA"/>
      </w:rPr>
    </w:lvl>
    <w:lvl w:ilvl="1">
      <w:start w:val="1"/>
      <w:numFmt w:val="decimal"/>
      <w:lvlText w:val="(%2)"/>
      <w:lvlJc w:val="left"/>
      <w:pPr>
        <w:ind w:left="1487" w:hanging="504"/>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2033" w:hanging="504"/>
      </w:pPr>
      <w:rPr>
        <w:rFonts w:hint="default"/>
        <w:lang w:val="en-US" w:eastAsia="en-US" w:bidi="ar-SA"/>
      </w:rPr>
    </w:lvl>
    <w:lvl w:ilvl="3">
      <w:start w:val="0"/>
      <w:numFmt w:val="bullet"/>
      <w:lvlText w:val="•"/>
      <w:lvlJc w:val="left"/>
      <w:pPr>
        <w:ind w:left="2586" w:hanging="504"/>
      </w:pPr>
      <w:rPr>
        <w:rFonts w:hint="default"/>
        <w:lang w:val="en-US" w:eastAsia="en-US" w:bidi="ar-SA"/>
      </w:rPr>
    </w:lvl>
    <w:lvl w:ilvl="4">
      <w:start w:val="0"/>
      <w:numFmt w:val="bullet"/>
      <w:lvlText w:val="•"/>
      <w:lvlJc w:val="left"/>
      <w:pPr>
        <w:ind w:left="3139" w:hanging="504"/>
      </w:pPr>
      <w:rPr>
        <w:rFonts w:hint="default"/>
        <w:lang w:val="en-US" w:eastAsia="en-US" w:bidi="ar-SA"/>
      </w:rPr>
    </w:lvl>
    <w:lvl w:ilvl="5">
      <w:start w:val="0"/>
      <w:numFmt w:val="bullet"/>
      <w:lvlText w:val="•"/>
      <w:lvlJc w:val="left"/>
      <w:pPr>
        <w:ind w:left="3693" w:hanging="504"/>
      </w:pPr>
      <w:rPr>
        <w:rFonts w:hint="default"/>
        <w:lang w:val="en-US" w:eastAsia="en-US" w:bidi="ar-SA"/>
      </w:rPr>
    </w:lvl>
    <w:lvl w:ilvl="6">
      <w:start w:val="0"/>
      <w:numFmt w:val="bullet"/>
      <w:lvlText w:val="•"/>
      <w:lvlJc w:val="left"/>
      <w:pPr>
        <w:ind w:left="4246" w:hanging="504"/>
      </w:pPr>
      <w:rPr>
        <w:rFonts w:hint="default"/>
        <w:lang w:val="en-US" w:eastAsia="en-US" w:bidi="ar-SA"/>
      </w:rPr>
    </w:lvl>
    <w:lvl w:ilvl="7">
      <w:start w:val="0"/>
      <w:numFmt w:val="bullet"/>
      <w:lvlText w:val="•"/>
      <w:lvlJc w:val="left"/>
      <w:pPr>
        <w:ind w:left="4799" w:hanging="504"/>
      </w:pPr>
      <w:rPr>
        <w:rFonts w:hint="default"/>
        <w:lang w:val="en-US" w:eastAsia="en-US" w:bidi="ar-SA"/>
      </w:rPr>
    </w:lvl>
    <w:lvl w:ilvl="8">
      <w:start w:val="0"/>
      <w:numFmt w:val="bullet"/>
      <w:lvlText w:val="•"/>
      <w:lvlJc w:val="left"/>
      <w:pPr>
        <w:ind w:left="5352" w:hanging="504"/>
      </w:pPr>
      <w:rPr>
        <w:rFonts w:hint="default"/>
        <w:lang w:val="en-US" w:eastAsia="en-US" w:bidi="ar-SA"/>
      </w:rPr>
    </w:lvl>
  </w:abstractNum>
  <w:abstractNum w:abstractNumId="14">
    <w:multiLevelType w:val="hybridMultilevel"/>
    <w:lvl w:ilvl="0">
      <w:start w:val="5"/>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1011" w:hanging="50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624" w:hanging="500"/>
      </w:pPr>
      <w:rPr>
        <w:rFonts w:hint="default"/>
        <w:lang w:val="en-US" w:eastAsia="en-US" w:bidi="ar-SA"/>
      </w:rPr>
    </w:lvl>
    <w:lvl w:ilvl="3">
      <w:start w:val="0"/>
      <w:numFmt w:val="bullet"/>
      <w:lvlText w:val="•"/>
      <w:lvlJc w:val="left"/>
      <w:pPr>
        <w:ind w:left="2228" w:hanging="500"/>
      </w:pPr>
      <w:rPr>
        <w:rFonts w:hint="default"/>
        <w:lang w:val="en-US" w:eastAsia="en-US" w:bidi="ar-SA"/>
      </w:rPr>
    </w:lvl>
    <w:lvl w:ilvl="4">
      <w:start w:val="0"/>
      <w:numFmt w:val="bullet"/>
      <w:lvlText w:val="•"/>
      <w:lvlJc w:val="left"/>
      <w:pPr>
        <w:ind w:left="2833" w:hanging="500"/>
      </w:pPr>
      <w:rPr>
        <w:rFonts w:hint="default"/>
        <w:lang w:val="en-US" w:eastAsia="en-US" w:bidi="ar-SA"/>
      </w:rPr>
    </w:lvl>
    <w:lvl w:ilvl="5">
      <w:start w:val="0"/>
      <w:numFmt w:val="bullet"/>
      <w:lvlText w:val="•"/>
      <w:lvlJc w:val="left"/>
      <w:pPr>
        <w:ind w:left="3437" w:hanging="500"/>
      </w:pPr>
      <w:rPr>
        <w:rFonts w:hint="default"/>
        <w:lang w:val="en-US" w:eastAsia="en-US" w:bidi="ar-SA"/>
      </w:rPr>
    </w:lvl>
    <w:lvl w:ilvl="6">
      <w:start w:val="0"/>
      <w:numFmt w:val="bullet"/>
      <w:lvlText w:val="•"/>
      <w:lvlJc w:val="left"/>
      <w:pPr>
        <w:ind w:left="4041" w:hanging="500"/>
      </w:pPr>
      <w:rPr>
        <w:rFonts w:hint="default"/>
        <w:lang w:val="en-US" w:eastAsia="en-US" w:bidi="ar-SA"/>
      </w:rPr>
    </w:lvl>
    <w:lvl w:ilvl="7">
      <w:start w:val="0"/>
      <w:numFmt w:val="bullet"/>
      <w:lvlText w:val="•"/>
      <w:lvlJc w:val="left"/>
      <w:pPr>
        <w:ind w:left="4646" w:hanging="500"/>
      </w:pPr>
      <w:rPr>
        <w:rFonts w:hint="default"/>
        <w:lang w:val="en-US" w:eastAsia="en-US" w:bidi="ar-SA"/>
      </w:rPr>
    </w:lvl>
    <w:lvl w:ilvl="8">
      <w:start w:val="0"/>
      <w:numFmt w:val="bullet"/>
      <w:lvlText w:val="•"/>
      <w:lvlJc w:val="left"/>
      <w:pPr>
        <w:ind w:left="5250" w:hanging="500"/>
      </w:pPr>
      <w:rPr>
        <w:rFonts w:hint="default"/>
        <w:lang w:val="en-US" w:eastAsia="en-US" w:bidi="ar-SA"/>
      </w:rPr>
    </w:lvl>
  </w:abstractNum>
  <w:abstractNum w:abstractNumId="13">
    <w:multiLevelType w:val="hybridMultilevel"/>
    <w:lvl w:ilvl="0">
      <w:start w:val="1"/>
      <w:numFmt w:val="decimal"/>
      <w:lvlText w:val="%1."/>
      <w:lvlJc w:val="left"/>
      <w:pPr>
        <w:ind w:left="508"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1011" w:hanging="50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624" w:hanging="500"/>
      </w:pPr>
      <w:rPr>
        <w:rFonts w:hint="default"/>
        <w:lang w:val="en-US" w:eastAsia="en-US" w:bidi="ar-SA"/>
      </w:rPr>
    </w:lvl>
    <w:lvl w:ilvl="3">
      <w:start w:val="0"/>
      <w:numFmt w:val="bullet"/>
      <w:lvlText w:val="•"/>
      <w:lvlJc w:val="left"/>
      <w:pPr>
        <w:ind w:left="2228" w:hanging="500"/>
      </w:pPr>
      <w:rPr>
        <w:rFonts w:hint="default"/>
        <w:lang w:val="en-US" w:eastAsia="en-US" w:bidi="ar-SA"/>
      </w:rPr>
    </w:lvl>
    <w:lvl w:ilvl="4">
      <w:start w:val="0"/>
      <w:numFmt w:val="bullet"/>
      <w:lvlText w:val="•"/>
      <w:lvlJc w:val="left"/>
      <w:pPr>
        <w:ind w:left="2833" w:hanging="500"/>
      </w:pPr>
      <w:rPr>
        <w:rFonts w:hint="default"/>
        <w:lang w:val="en-US" w:eastAsia="en-US" w:bidi="ar-SA"/>
      </w:rPr>
    </w:lvl>
    <w:lvl w:ilvl="5">
      <w:start w:val="0"/>
      <w:numFmt w:val="bullet"/>
      <w:lvlText w:val="•"/>
      <w:lvlJc w:val="left"/>
      <w:pPr>
        <w:ind w:left="3437" w:hanging="500"/>
      </w:pPr>
      <w:rPr>
        <w:rFonts w:hint="default"/>
        <w:lang w:val="en-US" w:eastAsia="en-US" w:bidi="ar-SA"/>
      </w:rPr>
    </w:lvl>
    <w:lvl w:ilvl="6">
      <w:start w:val="0"/>
      <w:numFmt w:val="bullet"/>
      <w:lvlText w:val="•"/>
      <w:lvlJc w:val="left"/>
      <w:pPr>
        <w:ind w:left="4041" w:hanging="500"/>
      </w:pPr>
      <w:rPr>
        <w:rFonts w:hint="default"/>
        <w:lang w:val="en-US" w:eastAsia="en-US" w:bidi="ar-SA"/>
      </w:rPr>
    </w:lvl>
    <w:lvl w:ilvl="7">
      <w:start w:val="0"/>
      <w:numFmt w:val="bullet"/>
      <w:lvlText w:val="•"/>
      <w:lvlJc w:val="left"/>
      <w:pPr>
        <w:ind w:left="4646" w:hanging="500"/>
      </w:pPr>
      <w:rPr>
        <w:rFonts w:hint="default"/>
        <w:lang w:val="en-US" w:eastAsia="en-US" w:bidi="ar-SA"/>
      </w:rPr>
    </w:lvl>
    <w:lvl w:ilvl="8">
      <w:start w:val="0"/>
      <w:numFmt w:val="bullet"/>
      <w:lvlText w:val="•"/>
      <w:lvlJc w:val="left"/>
      <w:pPr>
        <w:ind w:left="5250" w:hanging="500"/>
      </w:pPr>
      <w:rPr>
        <w:rFonts w:hint="default"/>
        <w:lang w:val="en-US" w:eastAsia="en-US" w:bidi="ar-SA"/>
      </w:rPr>
    </w:lvl>
  </w:abstractNum>
  <w:abstractNum w:abstractNumId="12">
    <w:multiLevelType w:val="hybridMultilevel"/>
    <w:lvl w:ilvl="0">
      <w:start w:val="4"/>
      <w:numFmt w:val="lowerLetter"/>
      <w:lvlText w:val="(%1)"/>
      <w:lvlJc w:val="left"/>
      <w:pPr>
        <w:ind w:left="920" w:hanging="403"/>
        <w:jc w:val="left"/>
      </w:pPr>
      <w:rPr>
        <w:rFonts w:hint="default" w:ascii="Arial" w:hAnsi="Arial" w:eastAsia="Arial" w:cs="Arial"/>
        <w:b w:val="0"/>
        <w:bCs w:val="0"/>
        <w:i w:val="0"/>
        <w:iCs w:val="0"/>
        <w:spacing w:val="-1"/>
        <w:w w:val="100"/>
        <w:sz w:val="20"/>
        <w:szCs w:val="20"/>
        <w:lang w:val="en-US" w:eastAsia="en-US" w:bidi="ar-SA"/>
      </w:rPr>
    </w:lvl>
    <w:lvl w:ilvl="1">
      <w:start w:val="1"/>
      <w:numFmt w:val="decimal"/>
      <w:lvlText w:val="(%2)"/>
      <w:lvlJc w:val="left"/>
      <w:pPr>
        <w:ind w:left="1238" w:hanging="403"/>
        <w:jc w:val="righ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726" w:hanging="403"/>
      </w:pPr>
      <w:rPr>
        <w:rFonts w:hint="default"/>
        <w:lang w:val="en-US" w:eastAsia="en-US" w:bidi="ar-SA"/>
      </w:rPr>
    </w:lvl>
    <w:lvl w:ilvl="3">
      <w:start w:val="0"/>
      <w:numFmt w:val="bullet"/>
      <w:lvlText w:val="•"/>
      <w:lvlJc w:val="left"/>
      <w:pPr>
        <w:ind w:left="2213" w:hanging="403"/>
      </w:pPr>
      <w:rPr>
        <w:rFonts w:hint="default"/>
        <w:lang w:val="en-US" w:eastAsia="en-US" w:bidi="ar-SA"/>
      </w:rPr>
    </w:lvl>
    <w:lvl w:ilvl="4">
      <w:start w:val="0"/>
      <w:numFmt w:val="bullet"/>
      <w:lvlText w:val="•"/>
      <w:lvlJc w:val="left"/>
      <w:pPr>
        <w:ind w:left="2700" w:hanging="403"/>
      </w:pPr>
      <w:rPr>
        <w:rFonts w:hint="default"/>
        <w:lang w:val="en-US" w:eastAsia="en-US" w:bidi="ar-SA"/>
      </w:rPr>
    </w:lvl>
    <w:lvl w:ilvl="5">
      <w:start w:val="0"/>
      <w:numFmt w:val="bullet"/>
      <w:lvlText w:val="•"/>
      <w:lvlJc w:val="left"/>
      <w:pPr>
        <w:ind w:left="3186" w:hanging="403"/>
      </w:pPr>
      <w:rPr>
        <w:rFonts w:hint="default"/>
        <w:lang w:val="en-US" w:eastAsia="en-US" w:bidi="ar-SA"/>
      </w:rPr>
    </w:lvl>
    <w:lvl w:ilvl="6">
      <w:start w:val="0"/>
      <w:numFmt w:val="bullet"/>
      <w:lvlText w:val="•"/>
      <w:lvlJc w:val="left"/>
      <w:pPr>
        <w:ind w:left="3673" w:hanging="403"/>
      </w:pPr>
      <w:rPr>
        <w:rFonts w:hint="default"/>
        <w:lang w:val="en-US" w:eastAsia="en-US" w:bidi="ar-SA"/>
      </w:rPr>
    </w:lvl>
    <w:lvl w:ilvl="7">
      <w:start w:val="0"/>
      <w:numFmt w:val="bullet"/>
      <w:lvlText w:val="•"/>
      <w:lvlJc w:val="left"/>
      <w:pPr>
        <w:ind w:left="4160" w:hanging="403"/>
      </w:pPr>
      <w:rPr>
        <w:rFonts w:hint="default"/>
        <w:lang w:val="en-US" w:eastAsia="en-US" w:bidi="ar-SA"/>
      </w:rPr>
    </w:lvl>
    <w:lvl w:ilvl="8">
      <w:start w:val="0"/>
      <w:numFmt w:val="bullet"/>
      <w:lvlText w:val="•"/>
      <w:lvlJc w:val="left"/>
      <w:pPr>
        <w:ind w:left="4647" w:hanging="403"/>
      </w:pPr>
      <w:rPr>
        <w:rFonts w:hint="default"/>
        <w:lang w:val="en-US" w:eastAsia="en-US" w:bidi="ar-SA"/>
      </w:rPr>
    </w:lvl>
  </w:abstractNum>
  <w:abstractNum w:abstractNumId="11">
    <w:multiLevelType w:val="hybridMultilevel"/>
    <w:lvl w:ilvl="0">
      <w:start w:val="2"/>
      <w:numFmt w:val="decimal"/>
      <w:lvlText w:val="(%1)"/>
      <w:lvlJc w:val="left"/>
      <w:pPr>
        <w:ind w:left="1323" w:hanging="403"/>
        <w:jc w:val="left"/>
      </w:pPr>
      <w:rPr>
        <w:rFonts w:hint="default" w:ascii="Arial" w:hAnsi="Arial" w:eastAsia="Arial" w:cs="Arial"/>
        <w:b w:val="0"/>
        <w:bCs w:val="0"/>
        <w:i w:val="0"/>
        <w:iCs w:val="0"/>
        <w:spacing w:val="-1"/>
        <w:w w:val="100"/>
        <w:sz w:val="20"/>
        <w:szCs w:val="20"/>
        <w:lang w:val="en-US" w:eastAsia="en-US" w:bidi="ar-SA"/>
      </w:rPr>
    </w:lvl>
    <w:lvl w:ilvl="1">
      <w:start w:val="0"/>
      <w:numFmt w:val="bullet"/>
      <w:lvlText w:val="•"/>
      <w:lvlJc w:val="left"/>
      <w:pPr>
        <w:ind w:left="1750" w:hanging="403"/>
      </w:pPr>
      <w:rPr>
        <w:rFonts w:hint="default"/>
        <w:lang w:val="en-US" w:eastAsia="en-US" w:bidi="ar-SA"/>
      </w:rPr>
    </w:lvl>
    <w:lvl w:ilvl="2">
      <w:start w:val="0"/>
      <w:numFmt w:val="bullet"/>
      <w:lvlText w:val="•"/>
      <w:lvlJc w:val="left"/>
      <w:pPr>
        <w:ind w:left="2180" w:hanging="403"/>
      </w:pPr>
      <w:rPr>
        <w:rFonts w:hint="default"/>
        <w:lang w:val="en-US" w:eastAsia="en-US" w:bidi="ar-SA"/>
      </w:rPr>
    </w:lvl>
    <w:lvl w:ilvl="3">
      <w:start w:val="0"/>
      <w:numFmt w:val="bullet"/>
      <w:lvlText w:val="•"/>
      <w:lvlJc w:val="left"/>
      <w:pPr>
        <w:ind w:left="2610" w:hanging="403"/>
      </w:pPr>
      <w:rPr>
        <w:rFonts w:hint="default"/>
        <w:lang w:val="en-US" w:eastAsia="en-US" w:bidi="ar-SA"/>
      </w:rPr>
    </w:lvl>
    <w:lvl w:ilvl="4">
      <w:start w:val="0"/>
      <w:numFmt w:val="bullet"/>
      <w:lvlText w:val="•"/>
      <w:lvlJc w:val="left"/>
      <w:pPr>
        <w:ind w:left="3040" w:hanging="403"/>
      </w:pPr>
      <w:rPr>
        <w:rFonts w:hint="default"/>
        <w:lang w:val="en-US" w:eastAsia="en-US" w:bidi="ar-SA"/>
      </w:rPr>
    </w:lvl>
    <w:lvl w:ilvl="5">
      <w:start w:val="0"/>
      <w:numFmt w:val="bullet"/>
      <w:lvlText w:val="•"/>
      <w:lvlJc w:val="left"/>
      <w:pPr>
        <w:ind w:left="3470" w:hanging="403"/>
      </w:pPr>
      <w:rPr>
        <w:rFonts w:hint="default"/>
        <w:lang w:val="en-US" w:eastAsia="en-US" w:bidi="ar-SA"/>
      </w:rPr>
    </w:lvl>
    <w:lvl w:ilvl="6">
      <w:start w:val="0"/>
      <w:numFmt w:val="bullet"/>
      <w:lvlText w:val="•"/>
      <w:lvlJc w:val="left"/>
      <w:pPr>
        <w:ind w:left="3900" w:hanging="403"/>
      </w:pPr>
      <w:rPr>
        <w:rFonts w:hint="default"/>
        <w:lang w:val="en-US" w:eastAsia="en-US" w:bidi="ar-SA"/>
      </w:rPr>
    </w:lvl>
    <w:lvl w:ilvl="7">
      <w:start w:val="0"/>
      <w:numFmt w:val="bullet"/>
      <w:lvlText w:val="•"/>
      <w:lvlJc w:val="left"/>
      <w:pPr>
        <w:ind w:left="4330" w:hanging="403"/>
      </w:pPr>
      <w:rPr>
        <w:rFonts w:hint="default"/>
        <w:lang w:val="en-US" w:eastAsia="en-US" w:bidi="ar-SA"/>
      </w:rPr>
    </w:lvl>
    <w:lvl w:ilvl="8">
      <w:start w:val="0"/>
      <w:numFmt w:val="bullet"/>
      <w:lvlText w:val="•"/>
      <w:lvlJc w:val="left"/>
      <w:pPr>
        <w:ind w:left="4760" w:hanging="403"/>
      </w:pPr>
      <w:rPr>
        <w:rFonts w:hint="default"/>
        <w:lang w:val="en-US" w:eastAsia="en-US" w:bidi="ar-SA"/>
      </w:rPr>
    </w:lvl>
  </w:abstractNum>
  <w:abstractNum w:abstractNumId="10">
    <w:multiLevelType w:val="hybridMultilevel"/>
    <w:lvl w:ilvl="0">
      <w:start w:val="2"/>
      <w:numFmt w:val="lowerLetter"/>
      <w:lvlText w:val="(%1)"/>
      <w:lvlJc w:val="left"/>
      <w:pPr>
        <w:ind w:left="920" w:hanging="403"/>
        <w:jc w:val="left"/>
      </w:pPr>
      <w:rPr>
        <w:rFonts w:hint="default" w:ascii="Arial" w:hAnsi="Arial" w:eastAsia="Arial" w:cs="Arial"/>
        <w:b w:val="0"/>
        <w:bCs w:val="0"/>
        <w:i w:val="0"/>
        <w:iCs w:val="0"/>
        <w:spacing w:val="-1"/>
        <w:w w:val="100"/>
        <w:sz w:val="20"/>
        <w:szCs w:val="20"/>
        <w:lang w:val="en-US" w:eastAsia="en-US" w:bidi="ar-SA"/>
      </w:rPr>
    </w:lvl>
    <w:lvl w:ilvl="1">
      <w:start w:val="1"/>
      <w:numFmt w:val="decimal"/>
      <w:lvlText w:val="(%2)"/>
      <w:lvlJc w:val="left"/>
      <w:pPr>
        <w:ind w:left="1323" w:hanging="403"/>
        <w:jc w:val="left"/>
      </w:pPr>
      <w:rPr>
        <w:rFonts w:hint="default" w:ascii="Arial" w:hAnsi="Arial" w:eastAsia="Arial" w:cs="Arial"/>
        <w:b w:val="0"/>
        <w:bCs w:val="0"/>
        <w:i w:val="0"/>
        <w:iCs w:val="0"/>
        <w:spacing w:val="-1"/>
        <w:w w:val="100"/>
        <w:sz w:val="20"/>
        <w:szCs w:val="20"/>
        <w:lang w:val="en-US" w:eastAsia="en-US" w:bidi="ar-SA"/>
      </w:rPr>
    </w:lvl>
    <w:lvl w:ilvl="2">
      <w:start w:val="1"/>
      <w:numFmt w:val="lowerRoman"/>
      <w:lvlText w:val="(%3)"/>
      <w:lvlJc w:val="left"/>
      <w:pPr>
        <w:ind w:left="1626" w:hanging="300"/>
        <w:jc w:val="left"/>
      </w:pPr>
      <w:rPr>
        <w:rFonts w:hint="default" w:ascii="Arial" w:hAnsi="Arial" w:eastAsia="Arial" w:cs="Arial"/>
        <w:b w:val="0"/>
        <w:bCs w:val="0"/>
        <w:i w:val="0"/>
        <w:iCs w:val="0"/>
        <w:spacing w:val="-1"/>
        <w:w w:val="100"/>
        <w:sz w:val="20"/>
        <w:szCs w:val="20"/>
        <w:lang w:val="en-US" w:eastAsia="en-US" w:bidi="ar-SA"/>
      </w:rPr>
    </w:lvl>
    <w:lvl w:ilvl="3">
      <w:start w:val="1"/>
      <w:numFmt w:val="upperLetter"/>
      <w:lvlText w:val="(%4)"/>
      <w:lvlJc w:val="left"/>
      <w:pPr>
        <w:ind w:left="2065" w:hanging="319"/>
        <w:jc w:val="left"/>
      </w:pPr>
      <w:rPr>
        <w:rFonts w:hint="default" w:ascii="Arial" w:hAnsi="Arial" w:eastAsia="Arial" w:cs="Arial"/>
        <w:b w:val="0"/>
        <w:bCs w:val="0"/>
        <w:i w:val="0"/>
        <w:iCs w:val="0"/>
        <w:spacing w:val="-2"/>
        <w:w w:val="100"/>
        <w:sz w:val="20"/>
        <w:szCs w:val="20"/>
        <w:lang w:val="en-US" w:eastAsia="en-US" w:bidi="ar-SA"/>
      </w:rPr>
    </w:lvl>
    <w:lvl w:ilvl="4">
      <w:start w:val="0"/>
      <w:numFmt w:val="bullet"/>
      <w:lvlText w:val="•"/>
      <w:lvlJc w:val="left"/>
      <w:pPr>
        <w:ind w:left="2568" w:hanging="319"/>
      </w:pPr>
      <w:rPr>
        <w:rFonts w:hint="default"/>
        <w:lang w:val="en-US" w:eastAsia="en-US" w:bidi="ar-SA"/>
      </w:rPr>
    </w:lvl>
    <w:lvl w:ilvl="5">
      <w:start w:val="0"/>
      <w:numFmt w:val="bullet"/>
      <w:lvlText w:val="•"/>
      <w:lvlJc w:val="left"/>
      <w:pPr>
        <w:ind w:left="3077" w:hanging="319"/>
      </w:pPr>
      <w:rPr>
        <w:rFonts w:hint="default"/>
        <w:lang w:val="en-US" w:eastAsia="en-US" w:bidi="ar-SA"/>
      </w:rPr>
    </w:lvl>
    <w:lvl w:ilvl="6">
      <w:start w:val="0"/>
      <w:numFmt w:val="bullet"/>
      <w:lvlText w:val="•"/>
      <w:lvlJc w:val="left"/>
      <w:pPr>
        <w:ind w:left="3585" w:hanging="319"/>
      </w:pPr>
      <w:rPr>
        <w:rFonts w:hint="default"/>
        <w:lang w:val="en-US" w:eastAsia="en-US" w:bidi="ar-SA"/>
      </w:rPr>
    </w:lvl>
    <w:lvl w:ilvl="7">
      <w:start w:val="0"/>
      <w:numFmt w:val="bullet"/>
      <w:lvlText w:val="•"/>
      <w:lvlJc w:val="left"/>
      <w:pPr>
        <w:ind w:left="4094" w:hanging="319"/>
      </w:pPr>
      <w:rPr>
        <w:rFonts w:hint="default"/>
        <w:lang w:val="en-US" w:eastAsia="en-US" w:bidi="ar-SA"/>
      </w:rPr>
    </w:lvl>
    <w:lvl w:ilvl="8">
      <w:start w:val="0"/>
      <w:numFmt w:val="bullet"/>
      <w:lvlText w:val="•"/>
      <w:lvlJc w:val="left"/>
      <w:pPr>
        <w:ind w:left="4603" w:hanging="319"/>
      </w:pPr>
      <w:rPr>
        <w:rFonts w:hint="default"/>
        <w:lang w:val="en-US" w:eastAsia="en-US" w:bidi="ar-SA"/>
      </w:rPr>
    </w:lvl>
  </w:abstractNum>
  <w:abstractNum w:abstractNumId="9">
    <w:multiLevelType w:val="hybridMultilevel"/>
    <w:lvl w:ilvl="0">
      <w:start w:val="13"/>
      <w:numFmt w:val="decimal"/>
      <w:lvlText w:val="%1."/>
      <w:lvlJc w:val="left"/>
      <w:pPr>
        <w:ind w:left="459" w:hanging="345"/>
        <w:jc w:val="left"/>
      </w:pPr>
      <w:rPr>
        <w:rFonts w:hint="default" w:ascii="Arial" w:hAnsi="Arial" w:eastAsia="Arial" w:cs="Arial"/>
        <w:b w:val="0"/>
        <w:bCs w:val="0"/>
        <w:i w:val="0"/>
        <w:iCs w:val="0"/>
        <w:spacing w:val="-1"/>
        <w:w w:val="100"/>
        <w:sz w:val="20"/>
        <w:szCs w:val="20"/>
        <w:lang w:val="en-US" w:eastAsia="en-US" w:bidi="ar-SA"/>
      </w:rPr>
    </w:lvl>
    <w:lvl w:ilvl="1">
      <w:start w:val="2"/>
      <w:numFmt w:val="decimal"/>
      <w:lvlText w:val="(%2)"/>
      <w:lvlJc w:val="left"/>
      <w:pPr>
        <w:ind w:left="459" w:hanging="359"/>
        <w:jc w:val="left"/>
      </w:pPr>
      <w:rPr>
        <w:rFonts w:hint="default" w:ascii="Arial" w:hAnsi="Arial" w:eastAsia="Arial" w:cs="Arial"/>
        <w:b w:val="0"/>
        <w:bCs w:val="0"/>
        <w:i w:val="0"/>
        <w:iCs w:val="0"/>
        <w:spacing w:val="-1"/>
        <w:w w:val="100"/>
        <w:sz w:val="20"/>
        <w:szCs w:val="20"/>
        <w:lang w:val="en-US" w:eastAsia="en-US" w:bidi="ar-SA"/>
      </w:rPr>
    </w:lvl>
    <w:lvl w:ilvl="2">
      <w:start w:val="1"/>
      <w:numFmt w:val="lowerRoman"/>
      <w:lvlText w:val="(%3)"/>
      <w:lvlJc w:val="left"/>
      <w:pPr>
        <w:ind w:left="1623" w:hanging="300"/>
        <w:jc w:val="left"/>
      </w:pPr>
      <w:rPr>
        <w:rFonts w:hint="default" w:ascii="Arial" w:hAnsi="Arial" w:eastAsia="Arial" w:cs="Arial"/>
        <w:b w:val="0"/>
        <w:bCs w:val="0"/>
        <w:i w:val="0"/>
        <w:iCs w:val="0"/>
        <w:spacing w:val="-1"/>
        <w:w w:val="100"/>
        <w:sz w:val="20"/>
        <w:szCs w:val="20"/>
        <w:lang w:val="en-US" w:eastAsia="en-US" w:bidi="ar-SA"/>
      </w:rPr>
    </w:lvl>
    <w:lvl w:ilvl="3">
      <w:start w:val="0"/>
      <w:numFmt w:val="bullet"/>
      <w:lvlText w:val="•"/>
      <w:lvlJc w:val="left"/>
      <w:pPr>
        <w:ind w:left="2509" w:hanging="300"/>
      </w:pPr>
      <w:rPr>
        <w:rFonts w:hint="default"/>
        <w:lang w:val="en-US" w:eastAsia="en-US" w:bidi="ar-SA"/>
      </w:rPr>
    </w:lvl>
    <w:lvl w:ilvl="4">
      <w:start w:val="0"/>
      <w:numFmt w:val="bullet"/>
      <w:lvlText w:val="•"/>
      <w:lvlJc w:val="left"/>
      <w:pPr>
        <w:ind w:left="2953" w:hanging="300"/>
      </w:pPr>
      <w:rPr>
        <w:rFonts w:hint="default"/>
        <w:lang w:val="en-US" w:eastAsia="en-US" w:bidi="ar-SA"/>
      </w:rPr>
    </w:lvl>
    <w:lvl w:ilvl="5">
      <w:start w:val="0"/>
      <w:numFmt w:val="bullet"/>
      <w:lvlText w:val="•"/>
      <w:lvlJc w:val="left"/>
      <w:pPr>
        <w:ind w:left="3398" w:hanging="300"/>
      </w:pPr>
      <w:rPr>
        <w:rFonts w:hint="default"/>
        <w:lang w:val="en-US" w:eastAsia="en-US" w:bidi="ar-SA"/>
      </w:rPr>
    </w:lvl>
    <w:lvl w:ilvl="6">
      <w:start w:val="0"/>
      <w:numFmt w:val="bullet"/>
      <w:lvlText w:val="•"/>
      <w:lvlJc w:val="left"/>
      <w:pPr>
        <w:ind w:left="3842" w:hanging="300"/>
      </w:pPr>
      <w:rPr>
        <w:rFonts w:hint="default"/>
        <w:lang w:val="en-US" w:eastAsia="en-US" w:bidi="ar-SA"/>
      </w:rPr>
    </w:lvl>
    <w:lvl w:ilvl="7">
      <w:start w:val="0"/>
      <w:numFmt w:val="bullet"/>
      <w:lvlText w:val="•"/>
      <w:lvlJc w:val="left"/>
      <w:pPr>
        <w:ind w:left="4287" w:hanging="300"/>
      </w:pPr>
      <w:rPr>
        <w:rFonts w:hint="default"/>
        <w:lang w:val="en-US" w:eastAsia="en-US" w:bidi="ar-SA"/>
      </w:rPr>
    </w:lvl>
    <w:lvl w:ilvl="8">
      <w:start w:val="0"/>
      <w:numFmt w:val="bullet"/>
      <w:lvlText w:val="•"/>
      <w:lvlJc w:val="left"/>
      <w:pPr>
        <w:ind w:left="4731" w:hanging="300"/>
      </w:pPr>
      <w:rPr>
        <w:rFonts w:hint="default"/>
        <w:lang w:val="en-US" w:eastAsia="en-US" w:bidi="ar-SA"/>
      </w:rPr>
    </w:lvl>
  </w:abstractNum>
  <w:abstractNum w:abstractNumId="8">
    <w:multiLevelType w:val="hybridMultilevel"/>
    <w:lvl w:ilvl="0">
      <w:start w:val="5"/>
      <w:numFmt w:val="lowerLetter"/>
      <w:lvlText w:val="(%1)"/>
      <w:lvlJc w:val="left"/>
      <w:pPr>
        <w:ind w:left="863" w:hanging="403"/>
        <w:jc w:val="right"/>
      </w:pPr>
      <w:rPr>
        <w:rFonts w:hint="default" w:ascii="Arial" w:hAnsi="Arial" w:eastAsia="Arial" w:cs="Arial"/>
        <w:b w:val="0"/>
        <w:bCs w:val="0"/>
        <w:i w:val="0"/>
        <w:iCs w:val="0"/>
        <w:spacing w:val="-1"/>
        <w:w w:val="100"/>
        <w:sz w:val="20"/>
        <w:szCs w:val="20"/>
        <w:lang w:val="en-US" w:eastAsia="en-US" w:bidi="ar-SA"/>
      </w:rPr>
    </w:lvl>
    <w:lvl w:ilvl="1">
      <w:start w:val="1"/>
      <w:numFmt w:val="decimal"/>
      <w:lvlText w:val="(%2)"/>
      <w:lvlJc w:val="left"/>
      <w:pPr>
        <w:ind w:left="895" w:hanging="297"/>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424" w:hanging="297"/>
      </w:pPr>
      <w:rPr>
        <w:rFonts w:hint="default"/>
        <w:lang w:val="en-US" w:eastAsia="en-US" w:bidi="ar-SA"/>
      </w:rPr>
    </w:lvl>
    <w:lvl w:ilvl="3">
      <w:start w:val="0"/>
      <w:numFmt w:val="bullet"/>
      <w:lvlText w:val="•"/>
      <w:lvlJc w:val="left"/>
      <w:pPr>
        <w:ind w:left="1949" w:hanging="297"/>
      </w:pPr>
      <w:rPr>
        <w:rFonts w:hint="default"/>
        <w:lang w:val="en-US" w:eastAsia="en-US" w:bidi="ar-SA"/>
      </w:rPr>
    </w:lvl>
    <w:lvl w:ilvl="4">
      <w:start w:val="0"/>
      <w:numFmt w:val="bullet"/>
      <w:lvlText w:val="•"/>
      <w:lvlJc w:val="left"/>
      <w:pPr>
        <w:ind w:left="2473" w:hanging="297"/>
      </w:pPr>
      <w:rPr>
        <w:rFonts w:hint="default"/>
        <w:lang w:val="en-US" w:eastAsia="en-US" w:bidi="ar-SA"/>
      </w:rPr>
    </w:lvl>
    <w:lvl w:ilvl="5">
      <w:start w:val="0"/>
      <w:numFmt w:val="bullet"/>
      <w:lvlText w:val="•"/>
      <w:lvlJc w:val="left"/>
      <w:pPr>
        <w:ind w:left="2998" w:hanging="297"/>
      </w:pPr>
      <w:rPr>
        <w:rFonts w:hint="default"/>
        <w:lang w:val="en-US" w:eastAsia="en-US" w:bidi="ar-SA"/>
      </w:rPr>
    </w:lvl>
    <w:lvl w:ilvl="6">
      <w:start w:val="0"/>
      <w:numFmt w:val="bullet"/>
      <w:lvlText w:val="•"/>
      <w:lvlJc w:val="left"/>
      <w:pPr>
        <w:ind w:left="3522" w:hanging="297"/>
      </w:pPr>
      <w:rPr>
        <w:rFonts w:hint="default"/>
        <w:lang w:val="en-US" w:eastAsia="en-US" w:bidi="ar-SA"/>
      </w:rPr>
    </w:lvl>
    <w:lvl w:ilvl="7">
      <w:start w:val="0"/>
      <w:numFmt w:val="bullet"/>
      <w:lvlText w:val="•"/>
      <w:lvlJc w:val="left"/>
      <w:pPr>
        <w:ind w:left="4047" w:hanging="297"/>
      </w:pPr>
      <w:rPr>
        <w:rFonts w:hint="default"/>
        <w:lang w:val="en-US" w:eastAsia="en-US" w:bidi="ar-SA"/>
      </w:rPr>
    </w:lvl>
    <w:lvl w:ilvl="8">
      <w:start w:val="0"/>
      <w:numFmt w:val="bullet"/>
      <w:lvlText w:val="•"/>
      <w:lvlJc w:val="left"/>
      <w:pPr>
        <w:ind w:left="4571" w:hanging="297"/>
      </w:pPr>
      <w:rPr>
        <w:rFonts w:hint="default"/>
        <w:lang w:val="en-US" w:eastAsia="en-US" w:bidi="ar-SA"/>
      </w:rPr>
    </w:lvl>
  </w:abstractNum>
  <w:abstractNum w:abstractNumId="7">
    <w:multiLevelType w:val="hybridMultilevel"/>
    <w:lvl w:ilvl="0">
      <w:start w:val="4"/>
      <w:numFmt w:val="lowerLetter"/>
      <w:lvlText w:val="(%1)"/>
      <w:lvlJc w:val="left"/>
      <w:pPr>
        <w:ind w:left="863" w:hanging="403"/>
        <w:jc w:val="left"/>
      </w:pPr>
      <w:rPr>
        <w:rFonts w:hint="default" w:ascii="Arial" w:hAnsi="Arial" w:eastAsia="Arial" w:cs="Arial"/>
        <w:b w:val="0"/>
        <w:bCs w:val="0"/>
        <w:i w:val="0"/>
        <w:iCs w:val="0"/>
        <w:spacing w:val="-1"/>
        <w:w w:val="100"/>
        <w:sz w:val="20"/>
        <w:szCs w:val="20"/>
        <w:lang w:val="en-US" w:eastAsia="en-US" w:bidi="ar-SA"/>
      </w:rPr>
    </w:lvl>
    <w:lvl w:ilvl="1">
      <w:start w:val="2"/>
      <w:numFmt w:val="decimal"/>
      <w:lvlText w:val="(%2)"/>
      <w:lvlJc w:val="left"/>
      <w:pPr>
        <w:ind w:left="1382" w:hanging="490"/>
        <w:jc w:val="left"/>
      </w:pPr>
      <w:rPr>
        <w:rFonts w:hint="default" w:ascii="Arial" w:hAnsi="Arial" w:eastAsia="Arial" w:cs="Arial"/>
        <w:b w:val="0"/>
        <w:bCs w:val="0"/>
        <w:i w:val="0"/>
        <w:iCs w:val="0"/>
        <w:spacing w:val="-1"/>
        <w:w w:val="100"/>
        <w:sz w:val="20"/>
        <w:szCs w:val="20"/>
        <w:lang w:val="en-US" w:eastAsia="en-US" w:bidi="ar-SA"/>
      </w:rPr>
    </w:lvl>
    <w:lvl w:ilvl="2">
      <w:start w:val="1"/>
      <w:numFmt w:val="lowerRoman"/>
      <w:lvlText w:val="(%3)"/>
      <w:lvlJc w:val="left"/>
      <w:pPr>
        <w:ind w:left="1875" w:hanging="490"/>
        <w:jc w:val="left"/>
      </w:pPr>
      <w:rPr>
        <w:rFonts w:hint="default" w:ascii="Arial" w:hAnsi="Arial" w:eastAsia="Arial" w:cs="Arial"/>
        <w:b w:val="0"/>
        <w:bCs w:val="0"/>
        <w:i w:val="0"/>
        <w:iCs w:val="0"/>
        <w:spacing w:val="-1"/>
        <w:w w:val="100"/>
        <w:sz w:val="20"/>
        <w:szCs w:val="20"/>
        <w:lang w:val="en-US" w:eastAsia="en-US" w:bidi="ar-SA"/>
      </w:rPr>
    </w:lvl>
    <w:lvl w:ilvl="3">
      <w:start w:val="0"/>
      <w:numFmt w:val="bullet"/>
      <w:lvlText w:val="•"/>
      <w:lvlJc w:val="left"/>
      <w:pPr>
        <w:ind w:left="2347" w:hanging="490"/>
      </w:pPr>
      <w:rPr>
        <w:rFonts w:hint="default"/>
        <w:lang w:val="en-US" w:eastAsia="en-US" w:bidi="ar-SA"/>
      </w:rPr>
    </w:lvl>
    <w:lvl w:ilvl="4">
      <w:start w:val="0"/>
      <w:numFmt w:val="bullet"/>
      <w:lvlText w:val="•"/>
      <w:lvlJc w:val="left"/>
      <w:pPr>
        <w:ind w:left="2815" w:hanging="490"/>
      </w:pPr>
      <w:rPr>
        <w:rFonts w:hint="default"/>
        <w:lang w:val="en-US" w:eastAsia="en-US" w:bidi="ar-SA"/>
      </w:rPr>
    </w:lvl>
    <w:lvl w:ilvl="5">
      <w:start w:val="0"/>
      <w:numFmt w:val="bullet"/>
      <w:lvlText w:val="•"/>
      <w:lvlJc w:val="left"/>
      <w:pPr>
        <w:ind w:left="3282" w:hanging="490"/>
      </w:pPr>
      <w:rPr>
        <w:rFonts w:hint="default"/>
        <w:lang w:val="en-US" w:eastAsia="en-US" w:bidi="ar-SA"/>
      </w:rPr>
    </w:lvl>
    <w:lvl w:ilvl="6">
      <w:start w:val="0"/>
      <w:numFmt w:val="bullet"/>
      <w:lvlText w:val="•"/>
      <w:lvlJc w:val="left"/>
      <w:pPr>
        <w:ind w:left="3750" w:hanging="490"/>
      </w:pPr>
      <w:rPr>
        <w:rFonts w:hint="default"/>
        <w:lang w:val="en-US" w:eastAsia="en-US" w:bidi="ar-SA"/>
      </w:rPr>
    </w:lvl>
    <w:lvl w:ilvl="7">
      <w:start w:val="0"/>
      <w:numFmt w:val="bullet"/>
      <w:lvlText w:val="•"/>
      <w:lvlJc w:val="left"/>
      <w:pPr>
        <w:ind w:left="4217" w:hanging="490"/>
      </w:pPr>
      <w:rPr>
        <w:rFonts w:hint="default"/>
        <w:lang w:val="en-US" w:eastAsia="en-US" w:bidi="ar-SA"/>
      </w:rPr>
    </w:lvl>
    <w:lvl w:ilvl="8">
      <w:start w:val="0"/>
      <w:numFmt w:val="bullet"/>
      <w:lvlText w:val="•"/>
      <w:lvlJc w:val="left"/>
      <w:pPr>
        <w:ind w:left="4685" w:hanging="490"/>
      </w:pPr>
      <w:rPr>
        <w:rFonts w:hint="default"/>
        <w:lang w:val="en-US" w:eastAsia="en-US" w:bidi="ar-SA"/>
      </w:rPr>
    </w:lvl>
  </w:abstractNum>
  <w:abstractNum w:abstractNumId="6">
    <w:multiLevelType w:val="hybridMultilevel"/>
    <w:lvl w:ilvl="0">
      <w:start w:val="2"/>
      <w:numFmt w:val="lowerLetter"/>
      <w:lvlText w:val="(%1)"/>
      <w:lvlJc w:val="left"/>
      <w:pPr>
        <w:ind w:left="863" w:hanging="403"/>
        <w:jc w:val="left"/>
      </w:pPr>
      <w:rPr>
        <w:rFonts w:hint="default" w:ascii="Arial" w:hAnsi="Arial" w:eastAsia="Arial" w:cs="Arial"/>
        <w:b w:val="0"/>
        <w:bCs w:val="0"/>
        <w:i w:val="0"/>
        <w:iCs w:val="0"/>
        <w:spacing w:val="-1"/>
        <w:w w:val="100"/>
        <w:sz w:val="20"/>
        <w:szCs w:val="20"/>
        <w:lang w:val="en-US" w:eastAsia="en-US" w:bidi="ar-SA"/>
      </w:rPr>
    </w:lvl>
    <w:lvl w:ilvl="1">
      <w:start w:val="1"/>
      <w:numFmt w:val="decimal"/>
      <w:lvlText w:val="(%2)"/>
      <w:lvlJc w:val="left"/>
      <w:pPr>
        <w:ind w:left="1266" w:hanging="403"/>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380" w:hanging="403"/>
      </w:pPr>
      <w:rPr>
        <w:rFonts w:hint="default"/>
        <w:lang w:val="en-US" w:eastAsia="en-US" w:bidi="ar-SA"/>
      </w:rPr>
    </w:lvl>
    <w:lvl w:ilvl="3">
      <w:start w:val="0"/>
      <w:numFmt w:val="bullet"/>
      <w:lvlText w:val="•"/>
      <w:lvlJc w:val="left"/>
      <w:pPr>
        <w:ind w:left="1910" w:hanging="403"/>
      </w:pPr>
      <w:rPr>
        <w:rFonts w:hint="default"/>
        <w:lang w:val="en-US" w:eastAsia="en-US" w:bidi="ar-SA"/>
      </w:rPr>
    </w:lvl>
    <w:lvl w:ilvl="4">
      <w:start w:val="0"/>
      <w:numFmt w:val="bullet"/>
      <w:lvlText w:val="•"/>
      <w:lvlJc w:val="left"/>
      <w:pPr>
        <w:ind w:left="2440" w:hanging="403"/>
      </w:pPr>
      <w:rPr>
        <w:rFonts w:hint="default"/>
        <w:lang w:val="en-US" w:eastAsia="en-US" w:bidi="ar-SA"/>
      </w:rPr>
    </w:lvl>
    <w:lvl w:ilvl="5">
      <w:start w:val="0"/>
      <w:numFmt w:val="bullet"/>
      <w:lvlText w:val="•"/>
      <w:lvlJc w:val="left"/>
      <w:pPr>
        <w:ind w:left="2970" w:hanging="403"/>
      </w:pPr>
      <w:rPr>
        <w:rFonts w:hint="default"/>
        <w:lang w:val="en-US" w:eastAsia="en-US" w:bidi="ar-SA"/>
      </w:rPr>
    </w:lvl>
    <w:lvl w:ilvl="6">
      <w:start w:val="0"/>
      <w:numFmt w:val="bullet"/>
      <w:lvlText w:val="•"/>
      <w:lvlJc w:val="left"/>
      <w:pPr>
        <w:ind w:left="3500" w:hanging="403"/>
      </w:pPr>
      <w:rPr>
        <w:rFonts w:hint="default"/>
        <w:lang w:val="en-US" w:eastAsia="en-US" w:bidi="ar-SA"/>
      </w:rPr>
    </w:lvl>
    <w:lvl w:ilvl="7">
      <w:start w:val="0"/>
      <w:numFmt w:val="bullet"/>
      <w:lvlText w:val="•"/>
      <w:lvlJc w:val="left"/>
      <w:pPr>
        <w:ind w:left="4030" w:hanging="403"/>
      </w:pPr>
      <w:rPr>
        <w:rFonts w:hint="default"/>
        <w:lang w:val="en-US" w:eastAsia="en-US" w:bidi="ar-SA"/>
      </w:rPr>
    </w:lvl>
    <w:lvl w:ilvl="8">
      <w:start w:val="0"/>
      <w:numFmt w:val="bullet"/>
      <w:lvlText w:val="•"/>
      <w:lvlJc w:val="left"/>
      <w:pPr>
        <w:ind w:left="4560" w:hanging="403"/>
      </w:pPr>
      <w:rPr>
        <w:rFonts w:hint="default"/>
        <w:lang w:val="en-US" w:eastAsia="en-US" w:bidi="ar-SA"/>
      </w:rPr>
    </w:lvl>
  </w:abstractNum>
  <w:abstractNum w:abstractNumId="5">
    <w:multiLevelType w:val="hybridMultilevel"/>
    <w:lvl w:ilvl="0">
      <w:start w:val="10"/>
      <w:numFmt w:val="decimal"/>
      <w:lvlText w:val="%1."/>
      <w:lvlJc w:val="left"/>
      <w:pPr>
        <w:ind w:left="503"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decimal"/>
      <w:lvlText w:val="(%2)"/>
      <w:lvlJc w:val="left"/>
      <w:pPr>
        <w:ind w:left="1266" w:hanging="403"/>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744" w:hanging="403"/>
      </w:pPr>
      <w:rPr>
        <w:rFonts w:hint="default"/>
        <w:lang w:val="en-US" w:eastAsia="en-US" w:bidi="ar-SA"/>
      </w:rPr>
    </w:lvl>
    <w:lvl w:ilvl="3">
      <w:start w:val="0"/>
      <w:numFmt w:val="bullet"/>
      <w:lvlText w:val="•"/>
      <w:lvlJc w:val="left"/>
      <w:pPr>
        <w:ind w:left="2229" w:hanging="403"/>
      </w:pPr>
      <w:rPr>
        <w:rFonts w:hint="default"/>
        <w:lang w:val="en-US" w:eastAsia="en-US" w:bidi="ar-SA"/>
      </w:rPr>
    </w:lvl>
    <w:lvl w:ilvl="4">
      <w:start w:val="0"/>
      <w:numFmt w:val="bullet"/>
      <w:lvlText w:val="•"/>
      <w:lvlJc w:val="left"/>
      <w:pPr>
        <w:ind w:left="2713" w:hanging="403"/>
      </w:pPr>
      <w:rPr>
        <w:rFonts w:hint="default"/>
        <w:lang w:val="en-US" w:eastAsia="en-US" w:bidi="ar-SA"/>
      </w:rPr>
    </w:lvl>
    <w:lvl w:ilvl="5">
      <w:start w:val="0"/>
      <w:numFmt w:val="bullet"/>
      <w:lvlText w:val="•"/>
      <w:lvlJc w:val="left"/>
      <w:pPr>
        <w:ind w:left="3198" w:hanging="403"/>
      </w:pPr>
      <w:rPr>
        <w:rFonts w:hint="default"/>
        <w:lang w:val="en-US" w:eastAsia="en-US" w:bidi="ar-SA"/>
      </w:rPr>
    </w:lvl>
    <w:lvl w:ilvl="6">
      <w:start w:val="0"/>
      <w:numFmt w:val="bullet"/>
      <w:lvlText w:val="•"/>
      <w:lvlJc w:val="left"/>
      <w:pPr>
        <w:ind w:left="3682" w:hanging="403"/>
      </w:pPr>
      <w:rPr>
        <w:rFonts w:hint="default"/>
        <w:lang w:val="en-US" w:eastAsia="en-US" w:bidi="ar-SA"/>
      </w:rPr>
    </w:lvl>
    <w:lvl w:ilvl="7">
      <w:start w:val="0"/>
      <w:numFmt w:val="bullet"/>
      <w:lvlText w:val="•"/>
      <w:lvlJc w:val="left"/>
      <w:pPr>
        <w:ind w:left="4167" w:hanging="403"/>
      </w:pPr>
      <w:rPr>
        <w:rFonts w:hint="default"/>
        <w:lang w:val="en-US" w:eastAsia="en-US" w:bidi="ar-SA"/>
      </w:rPr>
    </w:lvl>
    <w:lvl w:ilvl="8">
      <w:start w:val="0"/>
      <w:numFmt w:val="bullet"/>
      <w:lvlText w:val="•"/>
      <w:lvlJc w:val="left"/>
      <w:pPr>
        <w:ind w:left="4651" w:hanging="403"/>
      </w:pPr>
      <w:rPr>
        <w:rFonts w:hint="default"/>
        <w:lang w:val="en-US" w:eastAsia="en-US" w:bidi="ar-SA"/>
      </w:rPr>
    </w:lvl>
  </w:abstractNum>
  <w:abstractNum w:abstractNumId="4">
    <w:multiLevelType w:val="hybridMultilevel"/>
    <w:lvl w:ilvl="0">
      <w:start w:val="1"/>
      <w:numFmt w:val="decimal"/>
      <w:lvlText w:val="(%1)"/>
      <w:lvlJc w:val="left"/>
      <w:pPr>
        <w:ind w:left="1307" w:hanging="400"/>
        <w:jc w:val="left"/>
      </w:pPr>
      <w:rPr>
        <w:rFonts w:hint="default" w:ascii="Arial" w:hAnsi="Arial" w:eastAsia="Arial" w:cs="Arial"/>
        <w:b w:val="0"/>
        <w:bCs w:val="0"/>
        <w:i w:val="0"/>
        <w:iCs w:val="0"/>
        <w:spacing w:val="-1"/>
        <w:w w:val="100"/>
        <w:sz w:val="20"/>
        <w:szCs w:val="20"/>
        <w:lang w:val="en-US" w:eastAsia="en-US" w:bidi="ar-SA"/>
      </w:rPr>
    </w:lvl>
    <w:lvl w:ilvl="1">
      <w:start w:val="0"/>
      <w:numFmt w:val="bullet"/>
      <w:lvlText w:val="•"/>
      <w:lvlJc w:val="left"/>
      <w:pPr>
        <w:ind w:left="1732" w:hanging="400"/>
      </w:pPr>
      <w:rPr>
        <w:rFonts w:hint="default"/>
        <w:lang w:val="en-US" w:eastAsia="en-US" w:bidi="ar-SA"/>
      </w:rPr>
    </w:lvl>
    <w:lvl w:ilvl="2">
      <w:start w:val="0"/>
      <w:numFmt w:val="bullet"/>
      <w:lvlText w:val="•"/>
      <w:lvlJc w:val="left"/>
      <w:pPr>
        <w:ind w:left="2164" w:hanging="400"/>
      </w:pPr>
      <w:rPr>
        <w:rFonts w:hint="default"/>
        <w:lang w:val="en-US" w:eastAsia="en-US" w:bidi="ar-SA"/>
      </w:rPr>
    </w:lvl>
    <w:lvl w:ilvl="3">
      <w:start w:val="0"/>
      <w:numFmt w:val="bullet"/>
      <w:lvlText w:val="•"/>
      <w:lvlJc w:val="left"/>
      <w:pPr>
        <w:ind w:left="2596" w:hanging="400"/>
      </w:pPr>
      <w:rPr>
        <w:rFonts w:hint="default"/>
        <w:lang w:val="en-US" w:eastAsia="en-US" w:bidi="ar-SA"/>
      </w:rPr>
    </w:lvl>
    <w:lvl w:ilvl="4">
      <w:start w:val="0"/>
      <w:numFmt w:val="bullet"/>
      <w:lvlText w:val="•"/>
      <w:lvlJc w:val="left"/>
      <w:pPr>
        <w:ind w:left="3028" w:hanging="400"/>
      </w:pPr>
      <w:rPr>
        <w:rFonts w:hint="default"/>
        <w:lang w:val="en-US" w:eastAsia="en-US" w:bidi="ar-SA"/>
      </w:rPr>
    </w:lvl>
    <w:lvl w:ilvl="5">
      <w:start w:val="0"/>
      <w:numFmt w:val="bullet"/>
      <w:lvlText w:val="•"/>
      <w:lvlJc w:val="left"/>
      <w:pPr>
        <w:ind w:left="3460" w:hanging="400"/>
      </w:pPr>
      <w:rPr>
        <w:rFonts w:hint="default"/>
        <w:lang w:val="en-US" w:eastAsia="en-US" w:bidi="ar-SA"/>
      </w:rPr>
    </w:lvl>
    <w:lvl w:ilvl="6">
      <w:start w:val="0"/>
      <w:numFmt w:val="bullet"/>
      <w:lvlText w:val="•"/>
      <w:lvlJc w:val="left"/>
      <w:pPr>
        <w:ind w:left="3892" w:hanging="400"/>
      </w:pPr>
      <w:rPr>
        <w:rFonts w:hint="default"/>
        <w:lang w:val="en-US" w:eastAsia="en-US" w:bidi="ar-SA"/>
      </w:rPr>
    </w:lvl>
    <w:lvl w:ilvl="7">
      <w:start w:val="0"/>
      <w:numFmt w:val="bullet"/>
      <w:lvlText w:val="•"/>
      <w:lvlJc w:val="left"/>
      <w:pPr>
        <w:ind w:left="4324" w:hanging="400"/>
      </w:pPr>
      <w:rPr>
        <w:rFonts w:hint="default"/>
        <w:lang w:val="en-US" w:eastAsia="en-US" w:bidi="ar-SA"/>
      </w:rPr>
    </w:lvl>
    <w:lvl w:ilvl="8">
      <w:start w:val="0"/>
      <w:numFmt w:val="bullet"/>
      <w:lvlText w:val="•"/>
      <w:lvlJc w:val="left"/>
      <w:pPr>
        <w:ind w:left="4756" w:hanging="400"/>
      </w:pPr>
      <w:rPr>
        <w:rFonts w:hint="default"/>
        <w:lang w:val="en-US" w:eastAsia="en-US" w:bidi="ar-SA"/>
      </w:rPr>
    </w:lvl>
  </w:abstractNum>
  <w:abstractNum w:abstractNumId="3">
    <w:multiLevelType w:val="hybridMultilevel"/>
    <w:lvl w:ilvl="0">
      <w:start w:val="5"/>
      <w:numFmt w:val="decimal"/>
      <w:lvlText w:val="%1."/>
      <w:lvlJc w:val="left"/>
      <w:pPr>
        <w:ind w:left="503" w:hanging="38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1007" w:hanging="504"/>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513" w:hanging="504"/>
      </w:pPr>
      <w:rPr>
        <w:rFonts w:hint="default"/>
        <w:lang w:val="en-US" w:eastAsia="en-US" w:bidi="ar-SA"/>
      </w:rPr>
    </w:lvl>
    <w:lvl w:ilvl="3">
      <w:start w:val="0"/>
      <w:numFmt w:val="bullet"/>
      <w:lvlText w:val="•"/>
      <w:lvlJc w:val="left"/>
      <w:pPr>
        <w:ind w:left="2026" w:hanging="504"/>
      </w:pPr>
      <w:rPr>
        <w:rFonts w:hint="default"/>
        <w:lang w:val="en-US" w:eastAsia="en-US" w:bidi="ar-SA"/>
      </w:rPr>
    </w:lvl>
    <w:lvl w:ilvl="4">
      <w:start w:val="0"/>
      <w:numFmt w:val="bullet"/>
      <w:lvlText w:val="•"/>
      <w:lvlJc w:val="left"/>
      <w:pPr>
        <w:ind w:left="2540" w:hanging="504"/>
      </w:pPr>
      <w:rPr>
        <w:rFonts w:hint="default"/>
        <w:lang w:val="en-US" w:eastAsia="en-US" w:bidi="ar-SA"/>
      </w:rPr>
    </w:lvl>
    <w:lvl w:ilvl="5">
      <w:start w:val="0"/>
      <w:numFmt w:val="bullet"/>
      <w:lvlText w:val="•"/>
      <w:lvlJc w:val="left"/>
      <w:pPr>
        <w:ind w:left="3053" w:hanging="504"/>
      </w:pPr>
      <w:rPr>
        <w:rFonts w:hint="default"/>
        <w:lang w:val="en-US" w:eastAsia="en-US" w:bidi="ar-SA"/>
      </w:rPr>
    </w:lvl>
    <w:lvl w:ilvl="6">
      <w:start w:val="0"/>
      <w:numFmt w:val="bullet"/>
      <w:lvlText w:val="•"/>
      <w:lvlJc w:val="left"/>
      <w:pPr>
        <w:ind w:left="3566" w:hanging="504"/>
      </w:pPr>
      <w:rPr>
        <w:rFonts w:hint="default"/>
        <w:lang w:val="en-US" w:eastAsia="en-US" w:bidi="ar-SA"/>
      </w:rPr>
    </w:lvl>
    <w:lvl w:ilvl="7">
      <w:start w:val="0"/>
      <w:numFmt w:val="bullet"/>
      <w:lvlText w:val="•"/>
      <w:lvlJc w:val="left"/>
      <w:pPr>
        <w:ind w:left="4080" w:hanging="504"/>
      </w:pPr>
      <w:rPr>
        <w:rFonts w:hint="default"/>
        <w:lang w:val="en-US" w:eastAsia="en-US" w:bidi="ar-SA"/>
      </w:rPr>
    </w:lvl>
    <w:lvl w:ilvl="8">
      <w:start w:val="0"/>
      <w:numFmt w:val="bullet"/>
      <w:lvlText w:val="•"/>
      <w:lvlJc w:val="left"/>
      <w:pPr>
        <w:ind w:left="4593" w:hanging="504"/>
      </w:pPr>
      <w:rPr>
        <w:rFonts w:hint="default"/>
        <w:lang w:val="en-US" w:eastAsia="en-US" w:bidi="ar-SA"/>
      </w:rPr>
    </w:lvl>
  </w:abstractNum>
  <w:abstractNum w:abstractNumId="2">
    <w:multiLevelType w:val="hybridMultilevel"/>
    <w:lvl w:ilvl="0">
      <w:start w:val="4"/>
      <w:numFmt w:val="decimal"/>
      <w:lvlText w:val="%1."/>
      <w:lvlJc w:val="left"/>
      <w:pPr>
        <w:ind w:left="523" w:hanging="409"/>
        <w:jc w:val="left"/>
      </w:pPr>
      <w:rPr>
        <w:rFonts w:hint="default" w:ascii="Arial" w:hAnsi="Arial" w:eastAsia="Arial" w:cs="Arial"/>
        <w:b w:val="0"/>
        <w:bCs w:val="0"/>
        <w:i w:val="0"/>
        <w:iCs w:val="0"/>
        <w:spacing w:val="-1"/>
        <w:w w:val="100"/>
        <w:sz w:val="20"/>
        <w:szCs w:val="20"/>
        <w:lang w:val="en-US" w:eastAsia="en-US" w:bidi="ar-SA"/>
      </w:rPr>
    </w:lvl>
    <w:lvl w:ilvl="1">
      <w:start w:val="1"/>
      <w:numFmt w:val="lowerLetter"/>
      <w:lvlText w:val="(%2)"/>
      <w:lvlJc w:val="left"/>
      <w:pPr>
        <w:ind w:left="920" w:hanging="403"/>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1442" w:hanging="403"/>
      </w:pPr>
      <w:rPr>
        <w:rFonts w:hint="default"/>
        <w:lang w:val="en-US" w:eastAsia="en-US" w:bidi="ar-SA"/>
      </w:rPr>
    </w:lvl>
    <w:lvl w:ilvl="3">
      <w:start w:val="0"/>
      <w:numFmt w:val="bullet"/>
      <w:lvlText w:val="•"/>
      <w:lvlJc w:val="left"/>
      <w:pPr>
        <w:ind w:left="1964" w:hanging="403"/>
      </w:pPr>
      <w:rPr>
        <w:rFonts w:hint="default"/>
        <w:lang w:val="en-US" w:eastAsia="en-US" w:bidi="ar-SA"/>
      </w:rPr>
    </w:lvl>
    <w:lvl w:ilvl="4">
      <w:start w:val="0"/>
      <w:numFmt w:val="bullet"/>
      <w:lvlText w:val="•"/>
      <w:lvlJc w:val="left"/>
      <w:pPr>
        <w:ind w:left="2486" w:hanging="403"/>
      </w:pPr>
      <w:rPr>
        <w:rFonts w:hint="default"/>
        <w:lang w:val="en-US" w:eastAsia="en-US" w:bidi="ar-SA"/>
      </w:rPr>
    </w:lvl>
    <w:lvl w:ilvl="5">
      <w:start w:val="0"/>
      <w:numFmt w:val="bullet"/>
      <w:lvlText w:val="•"/>
      <w:lvlJc w:val="left"/>
      <w:pPr>
        <w:ind w:left="3009" w:hanging="403"/>
      </w:pPr>
      <w:rPr>
        <w:rFonts w:hint="default"/>
        <w:lang w:val="en-US" w:eastAsia="en-US" w:bidi="ar-SA"/>
      </w:rPr>
    </w:lvl>
    <w:lvl w:ilvl="6">
      <w:start w:val="0"/>
      <w:numFmt w:val="bullet"/>
      <w:lvlText w:val="•"/>
      <w:lvlJc w:val="left"/>
      <w:pPr>
        <w:ind w:left="3531" w:hanging="403"/>
      </w:pPr>
      <w:rPr>
        <w:rFonts w:hint="default"/>
        <w:lang w:val="en-US" w:eastAsia="en-US" w:bidi="ar-SA"/>
      </w:rPr>
    </w:lvl>
    <w:lvl w:ilvl="7">
      <w:start w:val="0"/>
      <w:numFmt w:val="bullet"/>
      <w:lvlText w:val="•"/>
      <w:lvlJc w:val="left"/>
      <w:pPr>
        <w:ind w:left="4053" w:hanging="403"/>
      </w:pPr>
      <w:rPr>
        <w:rFonts w:hint="default"/>
        <w:lang w:val="en-US" w:eastAsia="en-US" w:bidi="ar-SA"/>
      </w:rPr>
    </w:lvl>
    <w:lvl w:ilvl="8">
      <w:start w:val="0"/>
      <w:numFmt w:val="bullet"/>
      <w:lvlText w:val="•"/>
      <w:lvlJc w:val="left"/>
      <w:pPr>
        <w:ind w:left="4575" w:hanging="403"/>
      </w:pPr>
      <w:rPr>
        <w:rFonts w:hint="default"/>
        <w:lang w:val="en-US" w:eastAsia="en-US" w:bidi="ar-SA"/>
      </w:rPr>
    </w:lvl>
  </w:abstractNum>
  <w:abstractNum w:abstractNumId="1">
    <w:multiLevelType w:val="hybridMultilevel"/>
    <w:lvl w:ilvl="0">
      <w:start w:val="1"/>
      <w:numFmt w:val="upperLetter"/>
      <w:lvlText w:val="%1."/>
      <w:lvlJc w:val="left"/>
      <w:pPr>
        <w:ind w:left="1124" w:hanging="400"/>
        <w:jc w:val="right"/>
      </w:pPr>
      <w:rPr>
        <w:rFonts w:hint="default"/>
        <w:spacing w:val="-1"/>
        <w:w w:val="100"/>
        <w:lang w:val="en-US" w:eastAsia="en-US" w:bidi="ar-SA"/>
      </w:rPr>
    </w:lvl>
    <w:lvl w:ilvl="1">
      <w:start w:val="0"/>
      <w:numFmt w:val="bullet"/>
      <w:lvlText w:val=""/>
      <w:lvlJc w:val="left"/>
      <w:pPr>
        <w:ind w:left="1444"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0">
    <w:multiLevelType w:val="hybridMultilevel"/>
    <w:lvl w:ilvl="0">
      <w:start w:val="1"/>
      <w:numFmt w:val="upperLetter"/>
      <w:lvlText w:val="%1."/>
      <w:lvlJc w:val="left"/>
      <w:pPr>
        <w:ind w:left="1124" w:hanging="400"/>
        <w:jc w:val="left"/>
      </w:pPr>
      <w:rPr>
        <w:rFonts w:hint="default" w:ascii="Arial" w:hAnsi="Arial" w:eastAsia="Arial" w:cs="Arial"/>
        <w:b/>
        <w:bCs/>
        <w:i w:val="0"/>
        <w:iCs w:val="0"/>
        <w:spacing w:val="-1"/>
        <w:w w:val="100"/>
        <w:sz w:val="22"/>
        <w:szCs w:val="22"/>
        <w:lang w:val="en-US" w:eastAsia="en-US" w:bidi="ar-SA"/>
      </w:rPr>
    </w:lvl>
    <w:lvl w:ilvl="1">
      <w:start w:val="1"/>
      <w:numFmt w:val="decimal"/>
      <w:lvlText w:val="%2."/>
      <w:lvlJc w:val="left"/>
      <w:pPr>
        <w:ind w:left="1124" w:hanging="400"/>
        <w:jc w:val="left"/>
      </w:pPr>
      <w:rPr>
        <w:rFonts w:hint="default"/>
        <w:spacing w:val="-1"/>
        <w:w w:val="100"/>
        <w:lang w:val="en-US" w:eastAsia="en-US" w:bidi="ar-SA"/>
      </w:rPr>
    </w:lvl>
    <w:lvl w:ilvl="2">
      <w:start w:val="0"/>
      <w:numFmt w:val="bullet"/>
      <w:lvlText w:val="•"/>
      <w:lvlJc w:val="left"/>
      <w:pPr>
        <w:ind w:left="2906" w:hanging="400"/>
      </w:pPr>
      <w:rPr>
        <w:rFonts w:hint="default"/>
        <w:lang w:val="en-US" w:eastAsia="en-US" w:bidi="ar-SA"/>
      </w:rPr>
    </w:lvl>
    <w:lvl w:ilvl="3">
      <w:start w:val="0"/>
      <w:numFmt w:val="bullet"/>
      <w:lvlText w:val="•"/>
      <w:lvlJc w:val="left"/>
      <w:pPr>
        <w:ind w:left="3893" w:hanging="400"/>
      </w:pPr>
      <w:rPr>
        <w:rFonts w:hint="default"/>
        <w:lang w:val="en-US" w:eastAsia="en-US" w:bidi="ar-SA"/>
      </w:rPr>
    </w:lvl>
    <w:lvl w:ilvl="4">
      <w:start w:val="0"/>
      <w:numFmt w:val="bullet"/>
      <w:lvlText w:val="•"/>
      <w:lvlJc w:val="left"/>
      <w:pPr>
        <w:ind w:left="4880" w:hanging="400"/>
      </w:pPr>
      <w:rPr>
        <w:rFonts w:hint="default"/>
        <w:lang w:val="en-US" w:eastAsia="en-US" w:bidi="ar-SA"/>
      </w:rPr>
    </w:lvl>
    <w:lvl w:ilvl="5">
      <w:start w:val="0"/>
      <w:numFmt w:val="bullet"/>
      <w:lvlText w:val="•"/>
      <w:lvlJc w:val="left"/>
      <w:pPr>
        <w:ind w:left="5866" w:hanging="400"/>
      </w:pPr>
      <w:rPr>
        <w:rFonts w:hint="default"/>
        <w:lang w:val="en-US" w:eastAsia="en-US" w:bidi="ar-SA"/>
      </w:rPr>
    </w:lvl>
    <w:lvl w:ilvl="6">
      <w:start w:val="0"/>
      <w:numFmt w:val="bullet"/>
      <w:lvlText w:val="•"/>
      <w:lvlJc w:val="left"/>
      <w:pPr>
        <w:ind w:left="6853" w:hanging="400"/>
      </w:pPr>
      <w:rPr>
        <w:rFonts w:hint="default"/>
        <w:lang w:val="en-US" w:eastAsia="en-US" w:bidi="ar-SA"/>
      </w:rPr>
    </w:lvl>
    <w:lvl w:ilvl="7">
      <w:start w:val="0"/>
      <w:numFmt w:val="bullet"/>
      <w:lvlText w:val="•"/>
      <w:lvlJc w:val="left"/>
      <w:pPr>
        <w:ind w:left="7840" w:hanging="400"/>
      </w:pPr>
      <w:rPr>
        <w:rFonts w:hint="default"/>
        <w:lang w:val="en-US" w:eastAsia="en-US" w:bidi="ar-SA"/>
      </w:rPr>
    </w:lvl>
    <w:lvl w:ilvl="8">
      <w:start w:val="0"/>
      <w:numFmt w:val="bullet"/>
      <w:lvlText w:val="•"/>
      <w:lvlJc w:val="left"/>
      <w:pPr>
        <w:ind w:left="8826" w:hanging="400"/>
      </w:pPr>
      <w:rPr>
        <w:rFonts w:hint="default"/>
        <w:lang w:val="en-US"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65"/>
      <w:ind w:left="1123" w:hanging="399"/>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1124"/>
      <w:outlineLvl w:val="2"/>
    </w:pPr>
    <w:rPr>
      <w:rFonts w:ascii="Arial" w:hAnsi="Arial" w:eastAsia="Arial" w:cs="Arial"/>
      <w:b/>
      <w:bCs/>
      <w:sz w:val="20"/>
      <w:szCs w:val="20"/>
      <w:lang w:val="en-US" w:eastAsia="en-US" w:bidi="ar-SA"/>
    </w:rPr>
  </w:style>
  <w:style w:styleId="Title" w:type="paragraph">
    <w:name w:val="Title"/>
    <w:basedOn w:val="Normal"/>
    <w:uiPriority w:val="1"/>
    <w:qFormat/>
    <w:pPr>
      <w:spacing w:before="153"/>
      <w:ind w:left="54" w:right="1"/>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123" w:hanging="39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mailto:(Emily.A.White@mass.gov" TargetMode="External"/><Relationship Id="rId8" Type="http://schemas.openxmlformats.org/officeDocument/2006/relationships/image" Target="media/image2.jpeg"/><Relationship Id="rId9" Type="http://schemas.openxmlformats.org/officeDocument/2006/relationships/hyperlink" Target="mailto:jennifer.simpson@ed.gov"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image" Target="media/image3.jpeg"/><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White</dc:creator>
  <dcterms:created xsi:type="dcterms:W3CDTF">2025-05-28T15:23:39Z</dcterms:created>
  <dcterms:modified xsi:type="dcterms:W3CDTF">2025-05-28T15:23:39Z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Acrobat Pro DC 22.1.20085</vt:lpwstr>
  </property>
  <property fmtid="{D5CDD505-2E9C-101B-9397-08002B2CF9AE}" pid="4" name="LastSaved">
    <vt:filetime>2025-05-28T00:00:00Z</vt:filetime>
  </property>
  <property fmtid="{D5CDD505-2E9C-101B-9397-08002B2CF9AE}" pid="5" name="Producer">
    <vt:lpwstr>Acrobat Pro DC 22.1.20085</vt:lpwstr>
  </property>
</Properties>
</file>