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7A931" w14:textId="77777777" w:rsidR="00E044A1" w:rsidRDefault="002E1B01">
      <w:pPr>
        <w:spacing w:before="66"/>
        <w:ind w:left="1619"/>
        <w:jc w:val="center"/>
        <w:rPr>
          <w:rFonts w:ascii="Times New Roman"/>
          <w:sz w:val="32"/>
        </w:rPr>
      </w:pPr>
      <w:r>
        <w:rPr>
          <w:noProof/>
        </w:rPr>
        <w:drawing>
          <wp:anchor distT="0" distB="0" distL="0" distR="0" simplePos="0" relativeHeight="251658240" behindDoc="0" locked="0" layoutInCell="1" allowOverlap="1" wp14:anchorId="327E08FB" wp14:editId="282B65D8">
            <wp:simplePos x="0" y="0"/>
            <wp:positionH relativeFrom="page">
              <wp:posOffset>653729</wp:posOffset>
            </wp:positionH>
            <wp:positionV relativeFrom="paragraph">
              <wp:posOffset>101869</wp:posOffset>
            </wp:positionV>
            <wp:extent cx="788677" cy="100130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88677" cy="1001307"/>
                    </a:xfrm>
                    <a:prstGeom prst="rect">
                      <a:avLst/>
                    </a:prstGeom>
                  </pic:spPr>
                </pic:pic>
              </a:graphicData>
            </a:graphic>
          </wp:anchor>
        </w:drawing>
      </w:r>
      <w:r>
        <w:rPr>
          <w:rFonts w:ascii="Times New Roman"/>
          <w:color w:val="333399"/>
          <w:sz w:val="32"/>
        </w:rPr>
        <w:t>Commonwealth</w:t>
      </w:r>
      <w:r>
        <w:rPr>
          <w:rFonts w:ascii="Times New Roman"/>
          <w:color w:val="333399"/>
          <w:spacing w:val="-5"/>
          <w:sz w:val="32"/>
        </w:rPr>
        <w:t xml:space="preserve"> </w:t>
      </w:r>
      <w:r>
        <w:rPr>
          <w:rFonts w:ascii="Times New Roman"/>
          <w:color w:val="333399"/>
          <w:sz w:val="32"/>
        </w:rPr>
        <w:t>of</w:t>
      </w:r>
      <w:r>
        <w:rPr>
          <w:rFonts w:ascii="Times New Roman"/>
          <w:color w:val="333399"/>
          <w:spacing w:val="-4"/>
          <w:sz w:val="32"/>
        </w:rPr>
        <w:t xml:space="preserve"> </w:t>
      </w:r>
      <w:r>
        <w:rPr>
          <w:rFonts w:ascii="Times New Roman"/>
          <w:color w:val="333399"/>
          <w:spacing w:val="-2"/>
          <w:sz w:val="32"/>
        </w:rPr>
        <w:t>Massachusetts</w:t>
      </w:r>
    </w:p>
    <w:p w14:paraId="55A28F4C" w14:textId="77777777" w:rsidR="00E044A1" w:rsidRDefault="002E1B01">
      <w:pPr>
        <w:pStyle w:val="Title"/>
        <w:spacing w:before="74" w:line="452" w:lineRule="exact"/>
        <w:rPr>
          <w:sz w:val="40"/>
        </w:rPr>
      </w:pPr>
      <w:r>
        <w:rPr>
          <w:color w:val="333399"/>
        </w:rPr>
        <w:t>EXECUTIVE</w:t>
      </w:r>
      <w:r>
        <w:rPr>
          <w:color w:val="333399"/>
          <w:spacing w:val="-6"/>
        </w:rPr>
        <w:t xml:space="preserve"> </w:t>
      </w:r>
      <w:r>
        <w:rPr>
          <w:color w:val="333399"/>
        </w:rPr>
        <w:t>OFFICE</w:t>
      </w:r>
      <w:r>
        <w:rPr>
          <w:color w:val="333399"/>
          <w:spacing w:val="-4"/>
        </w:rPr>
        <w:t xml:space="preserve"> </w:t>
      </w:r>
      <w:r>
        <w:rPr>
          <w:color w:val="333399"/>
          <w:sz w:val="32"/>
        </w:rPr>
        <w:t>OF</w:t>
      </w:r>
      <w:r>
        <w:rPr>
          <w:color w:val="333399"/>
          <w:spacing w:val="11"/>
          <w:sz w:val="32"/>
        </w:rPr>
        <w:t xml:space="preserve"> </w:t>
      </w:r>
      <w:r>
        <w:rPr>
          <w:color w:val="333399"/>
        </w:rPr>
        <w:t>HOUSING</w:t>
      </w:r>
      <w:r>
        <w:rPr>
          <w:color w:val="333399"/>
          <w:spacing w:val="-4"/>
        </w:rPr>
        <w:t xml:space="preserve"> </w:t>
      </w:r>
      <w:r>
        <w:rPr>
          <w:color w:val="333399"/>
          <w:spacing w:val="-10"/>
          <w:sz w:val="40"/>
        </w:rPr>
        <w:t>&amp;</w:t>
      </w:r>
    </w:p>
    <w:p w14:paraId="58602FEC" w14:textId="77777777" w:rsidR="00E044A1" w:rsidRDefault="002E1B01">
      <w:pPr>
        <w:pStyle w:val="Title"/>
      </w:pPr>
      <w:bookmarkStart w:id="0" w:name="Maura_T._Healey,_Governor______Kimberle"/>
      <w:bookmarkEnd w:id="0"/>
      <w:r>
        <w:rPr>
          <w:color w:val="333399"/>
        </w:rPr>
        <w:t>LIVABLE</w:t>
      </w:r>
      <w:r>
        <w:rPr>
          <w:color w:val="333399"/>
          <w:spacing w:val="-4"/>
        </w:rPr>
        <w:t xml:space="preserve"> </w:t>
      </w:r>
      <w:r>
        <w:rPr>
          <w:color w:val="333399"/>
          <w:spacing w:val="-2"/>
        </w:rPr>
        <w:t>COMMUNITIES</w:t>
      </w:r>
    </w:p>
    <w:p w14:paraId="7D1B5E5A" w14:textId="77777777" w:rsidR="00E044A1" w:rsidRDefault="002E1B01">
      <w:pPr>
        <w:spacing w:line="182" w:lineRule="exact"/>
        <w:ind w:left="1619" w:right="4"/>
        <w:jc w:val="center"/>
        <w:rPr>
          <w:rFonts w:ascii="Times New Roman" w:hAnsi="Times New Roman"/>
          <w:sz w:val="16"/>
        </w:rPr>
      </w:pPr>
      <w:r>
        <w:rPr>
          <w:rFonts w:ascii="Times New Roman" w:hAnsi="Times New Roman"/>
          <w:color w:val="333399"/>
          <w:sz w:val="16"/>
        </w:rPr>
        <w:t>Maura</w:t>
      </w:r>
      <w:r>
        <w:rPr>
          <w:rFonts w:ascii="Times New Roman" w:hAnsi="Times New Roman"/>
          <w:color w:val="333399"/>
          <w:spacing w:val="-4"/>
          <w:sz w:val="16"/>
        </w:rPr>
        <w:t xml:space="preserve"> </w:t>
      </w:r>
      <w:r>
        <w:rPr>
          <w:rFonts w:ascii="Times New Roman" w:hAnsi="Times New Roman"/>
          <w:color w:val="333399"/>
          <w:sz w:val="16"/>
        </w:rPr>
        <w:t>T.</w:t>
      </w:r>
      <w:r>
        <w:rPr>
          <w:rFonts w:ascii="Times New Roman" w:hAnsi="Times New Roman"/>
          <w:color w:val="333399"/>
          <w:spacing w:val="-4"/>
          <w:sz w:val="16"/>
        </w:rPr>
        <w:t xml:space="preserve"> </w:t>
      </w:r>
      <w:r>
        <w:rPr>
          <w:rFonts w:ascii="Times New Roman" w:hAnsi="Times New Roman"/>
          <w:color w:val="333399"/>
          <w:sz w:val="16"/>
        </w:rPr>
        <w:t>Healey,</w:t>
      </w:r>
      <w:r>
        <w:rPr>
          <w:rFonts w:ascii="Times New Roman" w:hAnsi="Times New Roman"/>
          <w:color w:val="333399"/>
          <w:spacing w:val="-2"/>
          <w:sz w:val="16"/>
        </w:rPr>
        <w:t xml:space="preserve"> </w:t>
      </w:r>
      <w:r>
        <w:rPr>
          <w:rFonts w:ascii="Times New Roman" w:hAnsi="Times New Roman"/>
          <w:color w:val="333399"/>
          <w:sz w:val="16"/>
        </w:rPr>
        <w:t>Governor</w:t>
      </w:r>
      <w:r>
        <w:rPr>
          <w:rFonts w:ascii="Times New Roman" w:hAnsi="Times New Roman"/>
          <w:color w:val="333399"/>
          <w:spacing w:val="67"/>
          <w:sz w:val="16"/>
        </w:rPr>
        <w:t xml:space="preserve"> </w:t>
      </w:r>
      <w:r>
        <w:rPr>
          <w:rFonts w:ascii="Wingdings" w:hAnsi="Wingdings"/>
          <w:color w:val="333399"/>
          <w:sz w:val="16"/>
        </w:rPr>
        <w:t></w:t>
      </w:r>
      <w:r>
        <w:rPr>
          <w:rFonts w:ascii="Times New Roman" w:hAnsi="Times New Roman"/>
          <w:color w:val="333399"/>
          <w:spacing w:val="69"/>
          <w:sz w:val="16"/>
        </w:rPr>
        <w:t xml:space="preserve"> </w:t>
      </w:r>
      <w:r>
        <w:rPr>
          <w:rFonts w:ascii="Times New Roman" w:hAnsi="Times New Roman"/>
          <w:color w:val="333399"/>
          <w:sz w:val="16"/>
        </w:rPr>
        <w:t>Kimberley</w:t>
      </w:r>
      <w:r>
        <w:rPr>
          <w:rFonts w:ascii="Times New Roman" w:hAnsi="Times New Roman"/>
          <w:color w:val="333399"/>
          <w:spacing w:val="-4"/>
          <w:sz w:val="16"/>
        </w:rPr>
        <w:t xml:space="preserve"> </w:t>
      </w:r>
      <w:r>
        <w:rPr>
          <w:rFonts w:ascii="Times New Roman" w:hAnsi="Times New Roman"/>
          <w:color w:val="333399"/>
          <w:sz w:val="16"/>
        </w:rPr>
        <w:t>Driscoll,</w:t>
      </w:r>
      <w:r>
        <w:rPr>
          <w:rFonts w:ascii="Times New Roman" w:hAnsi="Times New Roman"/>
          <w:color w:val="333399"/>
          <w:spacing w:val="-3"/>
          <w:sz w:val="16"/>
        </w:rPr>
        <w:t xml:space="preserve"> </w:t>
      </w:r>
      <w:r>
        <w:rPr>
          <w:rFonts w:ascii="Times New Roman" w:hAnsi="Times New Roman"/>
          <w:color w:val="333399"/>
          <w:sz w:val="16"/>
        </w:rPr>
        <w:t>Lieutenant</w:t>
      </w:r>
      <w:r>
        <w:rPr>
          <w:rFonts w:ascii="Times New Roman" w:hAnsi="Times New Roman"/>
          <w:color w:val="333399"/>
          <w:spacing w:val="-5"/>
          <w:sz w:val="16"/>
        </w:rPr>
        <w:t xml:space="preserve"> </w:t>
      </w:r>
      <w:r>
        <w:rPr>
          <w:rFonts w:ascii="Times New Roman" w:hAnsi="Times New Roman"/>
          <w:color w:val="333399"/>
          <w:sz w:val="16"/>
        </w:rPr>
        <w:t>Governor</w:t>
      </w:r>
      <w:r>
        <w:rPr>
          <w:rFonts w:ascii="Times New Roman" w:hAnsi="Times New Roman"/>
          <w:color w:val="333399"/>
          <w:spacing w:val="69"/>
          <w:sz w:val="16"/>
        </w:rPr>
        <w:t xml:space="preserve"> </w:t>
      </w:r>
      <w:r>
        <w:rPr>
          <w:rFonts w:ascii="Wingdings" w:hAnsi="Wingdings"/>
          <w:color w:val="333399"/>
          <w:sz w:val="16"/>
        </w:rPr>
        <w:t></w:t>
      </w:r>
      <w:r>
        <w:rPr>
          <w:rFonts w:ascii="Times New Roman" w:hAnsi="Times New Roman"/>
          <w:color w:val="333399"/>
          <w:spacing w:val="68"/>
          <w:sz w:val="16"/>
        </w:rPr>
        <w:t xml:space="preserve"> </w:t>
      </w:r>
      <w:r>
        <w:rPr>
          <w:rFonts w:ascii="Times New Roman" w:hAnsi="Times New Roman"/>
          <w:color w:val="333399"/>
          <w:sz w:val="16"/>
        </w:rPr>
        <w:t>Edward</w:t>
      </w:r>
      <w:r>
        <w:rPr>
          <w:rFonts w:ascii="Times New Roman" w:hAnsi="Times New Roman"/>
          <w:color w:val="333399"/>
          <w:spacing w:val="-4"/>
          <w:sz w:val="16"/>
        </w:rPr>
        <w:t xml:space="preserve"> </w:t>
      </w:r>
      <w:r>
        <w:rPr>
          <w:rFonts w:ascii="Times New Roman" w:hAnsi="Times New Roman"/>
          <w:color w:val="333399"/>
          <w:sz w:val="16"/>
        </w:rPr>
        <w:t>M.</w:t>
      </w:r>
      <w:r>
        <w:rPr>
          <w:rFonts w:ascii="Times New Roman" w:hAnsi="Times New Roman"/>
          <w:color w:val="333399"/>
          <w:spacing w:val="-4"/>
          <w:sz w:val="16"/>
        </w:rPr>
        <w:t xml:space="preserve"> </w:t>
      </w:r>
      <w:r>
        <w:rPr>
          <w:rFonts w:ascii="Times New Roman" w:hAnsi="Times New Roman"/>
          <w:color w:val="333399"/>
          <w:sz w:val="16"/>
        </w:rPr>
        <w:t>Augustus</w:t>
      </w:r>
      <w:r>
        <w:rPr>
          <w:rFonts w:ascii="Times New Roman" w:hAnsi="Times New Roman"/>
          <w:color w:val="333399"/>
          <w:spacing w:val="-5"/>
          <w:sz w:val="16"/>
        </w:rPr>
        <w:t xml:space="preserve"> </w:t>
      </w:r>
      <w:r>
        <w:rPr>
          <w:rFonts w:ascii="Times New Roman" w:hAnsi="Times New Roman"/>
          <w:color w:val="333399"/>
          <w:sz w:val="16"/>
        </w:rPr>
        <w:t>Jr.,</w:t>
      </w:r>
      <w:r>
        <w:rPr>
          <w:rFonts w:ascii="Times New Roman" w:hAnsi="Times New Roman"/>
          <w:color w:val="333399"/>
          <w:spacing w:val="-4"/>
          <w:sz w:val="16"/>
        </w:rPr>
        <w:t xml:space="preserve"> </w:t>
      </w:r>
      <w:r>
        <w:rPr>
          <w:rFonts w:ascii="Times New Roman" w:hAnsi="Times New Roman"/>
          <w:color w:val="333399"/>
          <w:spacing w:val="-2"/>
          <w:sz w:val="16"/>
        </w:rPr>
        <w:t>Secretary</w:t>
      </w:r>
    </w:p>
    <w:p w14:paraId="1DFF98EF" w14:textId="77777777" w:rsidR="00E044A1" w:rsidRDefault="00E044A1">
      <w:pPr>
        <w:pStyle w:val="BodyText"/>
        <w:rPr>
          <w:rFonts w:ascii="Times New Roman"/>
        </w:rPr>
      </w:pPr>
    </w:p>
    <w:p w14:paraId="719AD493" w14:textId="77777777" w:rsidR="00E044A1" w:rsidRDefault="00E044A1">
      <w:pPr>
        <w:pStyle w:val="BodyText"/>
        <w:rPr>
          <w:rFonts w:ascii="Times New Roman"/>
        </w:rPr>
      </w:pPr>
    </w:p>
    <w:p w14:paraId="5BD9FDBE" w14:textId="77777777" w:rsidR="00E044A1" w:rsidRDefault="00E044A1">
      <w:pPr>
        <w:pStyle w:val="BodyText"/>
        <w:rPr>
          <w:rFonts w:ascii="Times New Roman"/>
        </w:rPr>
      </w:pPr>
    </w:p>
    <w:p w14:paraId="54E8430E" w14:textId="77777777" w:rsidR="00E044A1" w:rsidRDefault="00E044A1">
      <w:pPr>
        <w:pStyle w:val="BodyText"/>
        <w:spacing w:before="132"/>
        <w:rPr>
          <w:rFonts w:ascii="Times New Roman"/>
        </w:rPr>
      </w:pPr>
    </w:p>
    <w:p w14:paraId="6D61528A" w14:textId="77777777" w:rsidR="00E044A1" w:rsidRDefault="002E1B01">
      <w:pPr>
        <w:pStyle w:val="BodyText"/>
        <w:ind w:left="580"/>
      </w:pPr>
      <w:r>
        <w:t>The</w:t>
      </w:r>
      <w:r>
        <w:rPr>
          <w:spacing w:val="-3"/>
        </w:rPr>
        <w:t xml:space="preserve"> </w:t>
      </w:r>
      <w:r>
        <w:t>Executive</w:t>
      </w:r>
      <w:r>
        <w:rPr>
          <w:spacing w:val="-3"/>
        </w:rPr>
        <w:t xml:space="preserve"> </w:t>
      </w:r>
      <w:r>
        <w:t>Office</w:t>
      </w:r>
      <w:r>
        <w:rPr>
          <w:spacing w:val="-3"/>
        </w:rPr>
        <w:t xml:space="preserve"> </w:t>
      </w:r>
      <w:r>
        <w:t>of</w:t>
      </w:r>
      <w:r>
        <w:rPr>
          <w:spacing w:val="-1"/>
        </w:rPr>
        <w:t xml:space="preserve"> </w:t>
      </w:r>
      <w:r>
        <w:t>Housing</w:t>
      </w:r>
      <w:r>
        <w:rPr>
          <w:spacing w:val="-3"/>
        </w:rPr>
        <w:t xml:space="preserve"> </w:t>
      </w:r>
      <w:r>
        <w:t>and</w:t>
      </w:r>
      <w:r>
        <w:rPr>
          <w:spacing w:val="-2"/>
        </w:rPr>
        <w:t xml:space="preserve"> </w:t>
      </w:r>
      <w:r>
        <w:t>Livable</w:t>
      </w:r>
      <w:r>
        <w:rPr>
          <w:spacing w:val="-3"/>
        </w:rPr>
        <w:t xml:space="preserve"> </w:t>
      </w:r>
      <w:r>
        <w:t>Communities</w:t>
      </w:r>
      <w:r>
        <w:rPr>
          <w:spacing w:val="-3"/>
        </w:rPr>
        <w:t xml:space="preserve"> </w:t>
      </w:r>
      <w:r>
        <w:t>(EOHLC)</w:t>
      </w:r>
      <w:r>
        <w:rPr>
          <w:spacing w:val="-3"/>
        </w:rPr>
        <w:t xml:space="preserve"> </w:t>
      </w:r>
      <w:r>
        <w:t>is</w:t>
      </w:r>
      <w:r>
        <w:rPr>
          <w:spacing w:val="-3"/>
        </w:rPr>
        <w:t xml:space="preserve"> </w:t>
      </w:r>
      <w:r>
        <w:t>proposing</w:t>
      </w:r>
      <w:r>
        <w:rPr>
          <w:spacing w:val="-3"/>
        </w:rPr>
        <w:t xml:space="preserve"> </w:t>
      </w:r>
      <w:r>
        <w:t>the</w:t>
      </w:r>
      <w:r>
        <w:rPr>
          <w:spacing w:val="-3"/>
        </w:rPr>
        <w:t xml:space="preserve"> </w:t>
      </w:r>
      <w:r>
        <w:t>following</w:t>
      </w:r>
      <w:r>
        <w:rPr>
          <w:spacing w:val="-3"/>
        </w:rPr>
        <w:t xml:space="preserve"> </w:t>
      </w:r>
      <w:r>
        <w:t>changes</w:t>
      </w:r>
      <w:r>
        <w:rPr>
          <w:spacing w:val="-3"/>
        </w:rPr>
        <w:t xml:space="preserve"> </w:t>
      </w:r>
      <w:r>
        <w:t>to</w:t>
      </w:r>
      <w:r>
        <w:rPr>
          <w:spacing w:val="-3"/>
        </w:rPr>
        <w:t xml:space="preserve"> </w:t>
      </w:r>
      <w:r>
        <w:t>the Massachusetts Community Development Block Grant (CDBG) program for FFY 2025.</w:t>
      </w:r>
    </w:p>
    <w:p w14:paraId="49A86BE6" w14:textId="77777777" w:rsidR="00E044A1" w:rsidRDefault="00E044A1">
      <w:pPr>
        <w:pStyle w:val="BodyText"/>
      </w:pPr>
    </w:p>
    <w:p w14:paraId="5D402275" w14:textId="77777777" w:rsidR="00E044A1" w:rsidRDefault="002E1B01">
      <w:pPr>
        <w:pStyle w:val="Heading1"/>
        <w:spacing w:before="1"/>
      </w:pPr>
      <w:r>
        <w:t>PERIOD</w:t>
      </w:r>
      <w:r>
        <w:rPr>
          <w:spacing w:val="-8"/>
        </w:rPr>
        <w:t xml:space="preserve"> </w:t>
      </w:r>
      <w:r>
        <w:t>OF</w:t>
      </w:r>
      <w:r>
        <w:rPr>
          <w:spacing w:val="-9"/>
        </w:rPr>
        <w:t xml:space="preserve"> </w:t>
      </w:r>
      <w:r>
        <w:rPr>
          <w:spacing w:val="-2"/>
        </w:rPr>
        <w:t>PEFORMANCE</w:t>
      </w:r>
    </w:p>
    <w:p w14:paraId="0076BC6C" w14:textId="77777777" w:rsidR="00E044A1" w:rsidRDefault="002E1B01">
      <w:pPr>
        <w:pStyle w:val="BodyText"/>
        <w:spacing w:before="249"/>
        <w:ind w:left="579" w:right="278"/>
        <w:jc w:val="both"/>
      </w:pPr>
      <w:r>
        <w:t>There</w:t>
      </w:r>
      <w:r>
        <w:rPr>
          <w:spacing w:val="-4"/>
        </w:rPr>
        <w:t xml:space="preserve"> </w:t>
      </w:r>
      <w:r>
        <w:t>will</w:t>
      </w:r>
      <w:r>
        <w:rPr>
          <w:spacing w:val="-4"/>
        </w:rPr>
        <w:t xml:space="preserve"> </w:t>
      </w:r>
      <w:r>
        <w:t>be</w:t>
      </w:r>
      <w:r>
        <w:rPr>
          <w:spacing w:val="-3"/>
        </w:rPr>
        <w:t xml:space="preserve"> </w:t>
      </w:r>
      <w:r>
        <w:t>an</w:t>
      </w:r>
      <w:r>
        <w:rPr>
          <w:spacing w:val="-3"/>
        </w:rPr>
        <w:t xml:space="preserve"> </w:t>
      </w:r>
      <w:r>
        <w:t>18-month</w:t>
      </w:r>
      <w:r>
        <w:rPr>
          <w:spacing w:val="-4"/>
        </w:rPr>
        <w:t xml:space="preserve"> </w:t>
      </w:r>
      <w:r>
        <w:t>implementation</w:t>
      </w:r>
      <w:r>
        <w:rPr>
          <w:spacing w:val="-3"/>
        </w:rPr>
        <w:t xml:space="preserve"> </w:t>
      </w:r>
      <w:r>
        <w:t>period</w:t>
      </w:r>
      <w:r>
        <w:rPr>
          <w:spacing w:val="-3"/>
        </w:rPr>
        <w:t xml:space="preserve"> </w:t>
      </w:r>
      <w:r>
        <w:t>for</w:t>
      </w:r>
      <w:r>
        <w:rPr>
          <w:spacing w:val="-5"/>
        </w:rPr>
        <w:t xml:space="preserve"> </w:t>
      </w:r>
      <w:r>
        <w:t>all</w:t>
      </w:r>
      <w:r>
        <w:rPr>
          <w:spacing w:val="-4"/>
        </w:rPr>
        <w:t xml:space="preserve"> </w:t>
      </w:r>
      <w:r>
        <w:t>the</w:t>
      </w:r>
      <w:r>
        <w:rPr>
          <w:spacing w:val="-4"/>
        </w:rPr>
        <w:t xml:space="preserve"> </w:t>
      </w:r>
      <w:r>
        <w:t>FFY</w:t>
      </w:r>
      <w:r>
        <w:rPr>
          <w:spacing w:val="-4"/>
        </w:rPr>
        <w:t xml:space="preserve"> </w:t>
      </w:r>
      <w:r>
        <w:t>2025</w:t>
      </w:r>
      <w:r>
        <w:rPr>
          <w:spacing w:val="-3"/>
        </w:rPr>
        <w:t xml:space="preserve"> </w:t>
      </w:r>
      <w:r>
        <w:t>grants</w:t>
      </w:r>
      <w:r>
        <w:rPr>
          <w:spacing w:val="-4"/>
        </w:rPr>
        <w:t xml:space="preserve"> </w:t>
      </w:r>
      <w:r>
        <w:t>(both</w:t>
      </w:r>
      <w:r>
        <w:rPr>
          <w:spacing w:val="-4"/>
        </w:rPr>
        <w:t xml:space="preserve"> </w:t>
      </w:r>
      <w:r>
        <w:t>Community</w:t>
      </w:r>
      <w:r>
        <w:rPr>
          <w:spacing w:val="-3"/>
        </w:rPr>
        <w:t xml:space="preserve"> </w:t>
      </w:r>
      <w:r>
        <w:t>Development</w:t>
      </w:r>
      <w:r>
        <w:rPr>
          <w:spacing w:val="-4"/>
        </w:rPr>
        <w:t xml:space="preserve"> </w:t>
      </w:r>
      <w:r>
        <w:t>Fund (CDF) and Mini-Entitlement).</w:t>
      </w:r>
      <w:r>
        <w:rPr>
          <w:spacing w:val="40"/>
        </w:rPr>
        <w:t xml:space="preserve"> </w:t>
      </w:r>
      <w:r>
        <w:t>For FFY 2025 grants it is anticipated that the period of performance will be from 10/01/2025 to 03/31/2027.</w:t>
      </w:r>
    </w:p>
    <w:p w14:paraId="66272D82" w14:textId="77777777" w:rsidR="00E044A1" w:rsidRDefault="00E044A1">
      <w:pPr>
        <w:pStyle w:val="BodyText"/>
      </w:pPr>
    </w:p>
    <w:p w14:paraId="0809CFDD" w14:textId="77777777" w:rsidR="00E044A1" w:rsidRDefault="002E1B01">
      <w:pPr>
        <w:pStyle w:val="BodyText"/>
        <w:spacing w:before="1"/>
        <w:ind w:left="579" w:right="278"/>
        <w:jc w:val="both"/>
      </w:pPr>
      <w:r>
        <w:rPr>
          <w:b/>
        </w:rPr>
        <w:t xml:space="preserve">Please note: </w:t>
      </w:r>
      <w:r>
        <w:t>the program start is being pushed later for this grant round to allow adequate time to roll out the upgraded Grants Management System (IGX).</w:t>
      </w:r>
    </w:p>
    <w:p w14:paraId="7B7804FB" w14:textId="77777777" w:rsidR="00E044A1" w:rsidRDefault="002E1B01">
      <w:pPr>
        <w:pStyle w:val="Heading1"/>
        <w:spacing w:before="249"/>
        <w:jc w:val="both"/>
      </w:pPr>
      <w:r>
        <w:t>AVAILABILITY</w:t>
      </w:r>
      <w:r>
        <w:rPr>
          <w:spacing w:val="-14"/>
        </w:rPr>
        <w:t xml:space="preserve"> </w:t>
      </w:r>
      <w:r>
        <w:t>OF</w:t>
      </w:r>
      <w:r>
        <w:rPr>
          <w:spacing w:val="-14"/>
        </w:rPr>
        <w:t xml:space="preserve"> </w:t>
      </w:r>
      <w:r>
        <w:t>CDBG</w:t>
      </w:r>
      <w:r>
        <w:rPr>
          <w:spacing w:val="-13"/>
        </w:rPr>
        <w:t xml:space="preserve"> </w:t>
      </w:r>
      <w:r>
        <w:t>PROGRAM</w:t>
      </w:r>
      <w:r>
        <w:rPr>
          <w:spacing w:val="-14"/>
        </w:rPr>
        <w:t xml:space="preserve"> </w:t>
      </w:r>
      <w:r>
        <w:rPr>
          <w:spacing w:val="-2"/>
        </w:rPr>
        <w:t>FUNDS</w:t>
      </w:r>
    </w:p>
    <w:p w14:paraId="46641E20" w14:textId="77777777" w:rsidR="00E044A1" w:rsidRDefault="002E1B01">
      <w:pPr>
        <w:pStyle w:val="BodyText"/>
        <w:spacing w:before="248"/>
        <w:ind w:left="580" w:right="880"/>
        <w:jc w:val="both"/>
      </w:pPr>
      <w:r>
        <w:t>Listed below are application distribution dates for each program and the corresponding due</w:t>
      </w:r>
      <w:r>
        <w:rPr>
          <w:spacing w:val="-1"/>
        </w:rPr>
        <w:t xml:space="preserve"> </w:t>
      </w:r>
      <w:r>
        <w:t>dates.</w:t>
      </w:r>
      <w:r>
        <w:rPr>
          <w:spacing w:val="40"/>
        </w:rPr>
        <w:t xml:space="preserve"> </w:t>
      </w:r>
      <w:r>
        <w:t>A Notice of Funding Availability will be issued, as appropriate, prior to the release of each Application subject to the availability of federal funds.</w:t>
      </w:r>
      <w:r>
        <w:rPr>
          <w:spacing w:val="40"/>
        </w:rPr>
        <w:t xml:space="preserve"> </w:t>
      </w:r>
      <w:r>
        <w:t>The projected timeline may be shifted later depending on when the application component of the GMS upgrade is ready to go-live</w:t>
      </w:r>
    </w:p>
    <w:p w14:paraId="09E47EBB" w14:textId="77777777" w:rsidR="00E044A1" w:rsidRDefault="00E044A1">
      <w:pPr>
        <w:pStyle w:val="BodyText"/>
        <w:rPr>
          <w:sz w:val="20"/>
        </w:rPr>
      </w:pPr>
    </w:p>
    <w:p w14:paraId="1DDE7BE4" w14:textId="77777777" w:rsidR="00E044A1" w:rsidRDefault="00E044A1">
      <w:pPr>
        <w:pStyle w:val="BodyText"/>
        <w:spacing w:before="6"/>
        <w:rPr>
          <w:sz w:val="20"/>
        </w:rPr>
      </w:pPr>
    </w:p>
    <w:tbl>
      <w:tblPr>
        <w:tblW w:w="0" w:type="auto"/>
        <w:tblInd w:w="2411"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880"/>
        <w:gridCol w:w="1620"/>
        <w:gridCol w:w="2520"/>
      </w:tblGrid>
      <w:tr w:rsidR="00E044A1" w14:paraId="4A5BC7E5" w14:textId="77777777">
        <w:trPr>
          <w:trHeight w:val="459"/>
        </w:trPr>
        <w:tc>
          <w:tcPr>
            <w:tcW w:w="2880" w:type="dxa"/>
            <w:tcBorders>
              <w:bottom w:val="single" w:sz="6" w:space="0" w:color="000000"/>
            </w:tcBorders>
          </w:tcPr>
          <w:p w14:paraId="7B4396E4" w14:textId="77777777" w:rsidR="00E044A1" w:rsidRDefault="002E1B01">
            <w:pPr>
              <w:pStyle w:val="TableParagraph"/>
              <w:spacing w:before="1"/>
              <w:ind w:left="110"/>
              <w:rPr>
                <w:b/>
                <w:sz w:val="20"/>
              </w:rPr>
            </w:pPr>
            <w:r>
              <w:rPr>
                <w:b/>
                <w:spacing w:val="-2"/>
                <w:sz w:val="20"/>
              </w:rPr>
              <w:t>Program</w:t>
            </w:r>
            <w:r>
              <w:rPr>
                <w:b/>
                <w:spacing w:val="1"/>
                <w:sz w:val="20"/>
              </w:rPr>
              <w:t xml:space="preserve"> </w:t>
            </w:r>
            <w:r>
              <w:rPr>
                <w:b/>
                <w:spacing w:val="-2"/>
                <w:sz w:val="20"/>
              </w:rPr>
              <w:t>Components</w:t>
            </w:r>
          </w:p>
        </w:tc>
        <w:tc>
          <w:tcPr>
            <w:tcW w:w="1620" w:type="dxa"/>
            <w:tcBorders>
              <w:bottom w:val="single" w:sz="6" w:space="0" w:color="000000"/>
            </w:tcBorders>
          </w:tcPr>
          <w:p w14:paraId="6B00AA74" w14:textId="77777777" w:rsidR="00E044A1" w:rsidRDefault="002E1B01">
            <w:pPr>
              <w:pStyle w:val="TableParagraph"/>
              <w:spacing w:line="230" w:lineRule="atLeast"/>
              <w:ind w:left="521" w:hanging="231"/>
              <w:rPr>
                <w:b/>
                <w:sz w:val="20"/>
              </w:rPr>
            </w:pPr>
            <w:r>
              <w:rPr>
                <w:b/>
                <w:spacing w:val="-4"/>
                <w:sz w:val="20"/>
              </w:rPr>
              <w:t xml:space="preserve">Application </w:t>
            </w:r>
            <w:r>
              <w:rPr>
                <w:b/>
                <w:spacing w:val="-2"/>
                <w:sz w:val="20"/>
              </w:rPr>
              <w:t>Issued</w:t>
            </w:r>
          </w:p>
        </w:tc>
        <w:tc>
          <w:tcPr>
            <w:tcW w:w="2520" w:type="dxa"/>
            <w:tcBorders>
              <w:bottom w:val="single" w:sz="6" w:space="0" w:color="000000"/>
            </w:tcBorders>
          </w:tcPr>
          <w:p w14:paraId="13980746" w14:textId="77777777" w:rsidR="00E044A1" w:rsidRDefault="002E1B01">
            <w:pPr>
              <w:pStyle w:val="TableParagraph"/>
              <w:spacing w:line="230" w:lineRule="atLeast"/>
              <w:ind w:left="1075" w:right="269" w:hanging="814"/>
              <w:rPr>
                <w:b/>
                <w:sz w:val="20"/>
              </w:rPr>
            </w:pPr>
            <w:r>
              <w:rPr>
                <w:b/>
                <w:spacing w:val="-2"/>
                <w:sz w:val="20"/>
              </w:rPr>
              <w:t>FFY</w:t>
            </w:r>
            <w:r>
              <w:rPr>
                <w:b/>
                <w:spacing w:val="-12"/>
                <w:sz w:val="20"/>
              </w:rPr>
              <w:t xml:space="preserve"> </w:t>
            </w:r>
            <w:r>
              <w:rPr>
                <w:b/>
                <w:spacing w:val="-2"/>
                <w:sz w:val="20"/>
              </w:rPr>
              <w:t>2025</w:t>
            </w:r>
            <w:r>
              <w:rPr>
                <w:b/>
                <w:spacing w:val="-10"/>
                <w:sz w:val="20"/>
              </w:rPr>
              <w:t xml:space="preserve"> </w:t>
            </w:r>
            <w:r>
              <w:rPr>
                <w:b/>
                <w:spacing w:val="-2"/>
                <w:sz w:val="20"/>
              </w:rPr>
              <w:t xml:space="preserve">Applications </w:t>
            </w:r>
            <w:r>
              <w:rPr>
                <w:b/>
                <w:spacing w:val="-4"/>
                <w:sz w:val="20"/>
              </w:rPr>
              <w:t>Due</w:t>
            </w:r>
          </w:p>
        </w:tc>
      </w:tr>
      <w:tr w:rsidR="00E044A1" w14:paraId="1359AA25" w14:textId="77777777">
        <w:trPr>
          <w:trHeight w:val="227"/>
        </w:trPr>
        <w:tc>
          <w:tcPr>
            <w:tcW w:w="2880" w:type="dxa"/>
            <w:tcBorders>
              <w:top w:val="single" w:sz="6" w:space="0" w:color="000000"/>
              <w:bottom w:val="single" w:sz="6" w:space="0" w:color="000000"/>
            </w:tcBorders>
          </w:tcPr>
          <w:p w14:paraId="3E107043" w14:textId="77777777" w:rsidR="00E044A1" w:rsidRDefault="002E1B01">
            <w:pPr>
              <w:pStyle w:val="TableParagraph"/>
              <w:spacing w:line="207" w:lineRule="exact"/>
              <w:ind w:left="110"/>
              <w:rPr>
                <w:sz w:val="20"/>
              </w:rPr>
            </w:pPr>
            <w:r>
              <w:rPr>
                <w:spacing w:val="-2"/>
                <w:sz w:val="20"/>
              </w:rPr>
              <w:t>Community</w:t>
            </w:r>
            <w:r>
              <w:rPr>
                <w:spacing w:val="-3"/>
                <w:sz w:val="20"/>
              </w:rPr>
              <w:t xml:space="preserve"> </w:t>
            </w:r>
            <w:r>
              <w:rPr>
                <w:spacing w:val="-2"/>
                <w:sz w:val="20"/>
              </w:rPr>
              <w:t>Development</w:t>
            </w:r>
          </w:p>
        </w:tc>
        <w:tc>
          <w:tcPr>
            <w:tcW w:w="1620" w:type="dxa"/>
            <w:tcBorders>
              <w:top w:val="single" w:sz="6" w:space="0" w:color="000000"/>
              <w:bottom w:val="single" w:sz="6" w:space="0" w:color="000000"/>
            </w:tcBorders>
          </w:tcPr>
          <w:p w14:paraId="17AF8C8A" w14:textId="77777777" w:rsidR="00E044A1" w:rsidRDefault="002E1B01">
            <w:pPr>
              <w:pStyle w:val="TableParagraph"/>
              <w:spacing w:line="207" w:lineRule="exact"/>
              <w:ind w:left="0" w:right="1"/>
              <w:jc w:val="right"/>
              <w:rPr>
                <w:sz w:val="20"/>
              </w:rPr>
            </w:pPr>
            <w:r>
              <w:rPr>
                <w:sz w:val="20"/>
              </w:rPr>
              <w:t>Late</w:t>
            </w:r>
            <w:r>
              <w:rPr>
                <w:spacing w:val="-5"/>
                <w:sz w:val="20"/>
              </w:rPr>
              <w:t xml:space="preserve"> </w:t>
            </w:r>
            <w:r>
              <w:rPr>
                <w:sz w:val="20"/>
              </w:rPr>
              <w:t>January</w:t>
            </w:r>
            <w:r>
              <w:rPr>
                <w:spacing w:val="-3"/>
                <w:sz w:val="20"/>
              </w:rPr>
              <w:t xml:space="preserve"> </w:t>
            </w:r>
            <w:r>
              <w:rPr>
                <w:spacing w:val="-4"/>
                <w:sz w:val="20"/>
              </w:rPr>
              <w:t>2025</w:t>
            </w:r>
          </w:p>
        </w:tc>
        <w:tc>
          <w:tcPr>
            <w:tcW w:w="2520" w:type="dxa"/>
            <w:tcBorders>
              <w:top w:val="single" w:sz="6" w:space="0" w:color="000000"/>
              <w:bottom w:val="single" w:sz="6" w:space="0" w:color="000000"/>
            </w:tcBorders>
          </w:tcPr>
          <w:p w14:paraId="44AF4793" w14:textId="77777777" w:rsidR="00E044A1" w:rsidRDefault="002E1B01">
            <w:pPr>
              <w:pStyle w:val="TableParagraph"/>
              <w:spacing w:line="207" w:lineRule="exact"/>
              <w:ind w:left="110"/>
              <w:rPr>
                <w:sz w:val="20"/>
              </w:rPr>
            </w:pPr>
            <w:r>
              <w:rPr>
                <w:spacing w:val="-4"/>
                <w:sz w:val="20"/>
              </w:rPr>
              <w:t>Monday,</w:t>
            </w:r>
            <w:r>
              <w:rPr>
                <w:spacing w:val="7"/>
                <w:sz w:val="20"/>
              </w:rPr>
              <w:t xml:space="preserve"> </w:t>
            </w:r>
            <w:r>
              <w:rPr>
                <w:spacing w:val="-4"/>
                <w:sz w:val="20"/>
              </w:rPr>
              <w:t>April</w:t>
            </w:r>
            <w:r>
              <w:rPr>
                <w:spacing w:val="-6"/>
                <w:sz w:val="20"/>
              </w:rPr>
              <w:t xml:space="preserve"> </w:t>
            </w:r>
            <w:r>
              <w:rPr>
                <w:spacing w:val="-4"/>
                <w:sz w:val="20"/>
              </w:rPr>
              <w:t>14, 2025</w:t>
            </w:r>
          </w:p>
        </w:tc>
      </w:tr>
      <w:tr w:rsidR="00E044A1" w14:paraId="3E0230DB" w14:textId="77777777">
        <w:trPr>
          <w:trHeight w:val="225"/>
        </w:trPr>
        <w:tc>
          <w:tcPr>
            <w:tcW w:w="2880" w:type="dxa"/>
            <w:tcBorders>
              <w:top w:val="single" w:sz="6" w:space="0" w:color="000000"/>
              <w:bottom w:val="single" w:sz="6" w:space="0" w:color="000000"/>
            </w:tcBorders>
          </w:tcPr>
          <w:p w14:paraId="71E11BD0" w14:textId="77777777" w:rsidR="00E044A1" w:rsidRDefault="002E1B01">
            <w:pPr>
              <w:pStyle w:val="TableParagraph"/>
              <w:spacing w:line="205" w:lineRule="exact"/>
              <w:ind w:left="110"/>
              <w:rPr>
                <w:sz w:val="20"/>
              </w:rPr>
            </w:pPr>
            <w:r>
              <w:rPr>
                <w:spacing w:val="-2"/>
                <w:sz w:val="20"/>
              </w:rPr>
              <w:t>Mini</w:t>
            </w:r>
            <w:r>
              <w:rPr>
                <w:sz w:val="20"/>
              </w:rPr>
              <w:t xml:space="preserve"> </w:t>
            </w:r>
            <w:r>
              <w:rPr>
                <w:spacing w:val="-2"/>
                <w:sz w:val="20"/>
              </w:rPr>
              <w:t>Entitlement</w:t>
            </w:r>
            <w:r>
              <w:rPr>
                <w:spacing w:val="1"/>
                <w:sz w:val="20"/>
              </w:rPr>
              <w:t xml:space="preserve"> </w:t>
            </w:r>
            <w:r>
              <w:rPr>
                <w:spacing w:val="-2"/>
                <w:sz w:val="20"/>
              </w:rPr>
              <w:t>Program</w:t>
            </w:r>
          </w:p>
        </w:tc>
        <w:tc>
          <w:tcPr>
            <w:tcW w:w="1620" w:type="dxa"/>
            <w:tcBorders>
              <w:top w:val="single" w:sz="6" w:space="0" w:color="000000"/>
              <w:bottom w:val="single" w:sz="6" w:space="0" w:color="000000"/>
            </w:tcBorders>
          </w:tcPr>
          <w:p w14:paraId="63F4FA9D" w14:textId="77777777" w:rsidR="00E044A1" w:rsidRDefault="002E1B01">
            <w:pPr>
              <w:pStyle w:val="TableParagraph"/>
              <w:spacing w:line="205" w:lineRule="exact"/>
              <w:ind w:left="0" w:right="1"/>
              <w:jc w:val="right"/>
              <w:rPr>
                <w:sz w:val="20"/>
              </w:rPr>
            </w:pPr>
            <w:r>
              <w:rPr>
                <w:sz w:val="20"/>
              </w:rPr>
              <w:t>Late</w:t>
            </w:r>
            <w:r>
              <w:rPr>
                <w:spacing w:val="-5"/>
                <w:sz w:val="20"/>
              </w:rPr>
              <w:t xml:space="preserve"> </w:t>
            </w:r>
            <w:r>
              <w:rPr>
                <w:sz w:val="20"/>
              </w:rPr>
              <w:t>January</w:t>
            </w:r>
            <w:r>
              <w:rPr>
                <w:spacing w:val="-3"/>
                <w:sz w:val="20"/>
              </w:rPr>
              <w:t xml:space="preserve"> </w:t>
            </w:r>
            <w:r>
              <w:rPr>
                <w:spacing w:val="-4"/>
                <w:sz w:val="20"/>
              </w:rPr>
              <w:t>2025</w:t>
            </w:r>
          </w:p>
        </w:tc>
        <w:tc>
          <w:tcPr>
            <w:tcW w:w="2520" w:type="dxa"/>
            <w:tcBorders>
              <w:top w:val="single" w:sz="6" w:space="0" w:color="000000"/>
              <w:bottom w:val="single" w:sz="6" w:space="0" w:color="000000"/>
            </w:tcBorders>
          </w:tcPr>
          <w:p w14:paraId="483F4335" w14:textId="77777777" w:rsidR="00E044A1" w:rsidRDefault="002E1B01">
            <w:pPr>
              <w:pStyle w:val="TableParagraph"/>
              <w:spacing w:line="205" w:lineRule="exact"/>
              <w:ind w:left="110"/>
              <w:rPr>
                <w:sz w:val="20"/>
              </w:rPr>
            </w:pPr>
            <w:r>
              <w:rPr>
                <w:sz w:val="20"/>
              </w:rPr>
              <w:t>Monday,</w:t>
            </w:r>
            <w:r>
              <w:rPr>
                <w:spacing w:val="-4"/>
                <w:sz w:val="20"/>
              </w:rPr>
              <w:t xml:space="preserve"> </w:t>
            </w:r>
            <w:r>
              <w:rPr>
                <w:sz w:val="20"/>
              </w:rPr>
              <w:t>April</w:t>
            </w:r>
            <w:r>
              <w:rPr>
                <w:spacing w:val="-4"/>
                <w:sz w:val="20"/>
              </w:rPr>
              <w:t xml:space="preserve"> </w:t>
            </w:r>
            <w:r>
              <w:rPr>
                <w:sz w:val="20"/>
              </w:rPr>
              <w:t>14,</w:t>
            </w:r>
            <w:r>
              <w:rPr>
                <w:spacing w:val="-8"/>
                <w:sz w:val="20"/>
              </w:rPr>
              <w:t xml:space="preserve"> </w:t>
            </w:r>
            <w:r>
              <w:rPr>
                <w:spacing w:val="-4"/>
                <w:sz w:val="20"/>
              </w:rPr>
              <w:t>2025</w:t>
            </w:r>
          </w:p>
        </w:tc>
      </w:tr>
      <w:tr w:rsidR="00E044A1" w14:paraId="449547BA" w14:textId="77777777">
        <w:trPr>
          <w:trHeight w:val="230"/>
        </w:trPr>
        <w:tc>
          <w:tcPr>
            <w:tcW w:w="2880" w:type="dxa"/>
            <w:tcBorders>
              <w:top w:val="single" w:sz="6" w:space="0" w:color="000000"/>
            </w:tcBorders>
          </w:tcPr>
          <w:p w14:paraId="75190AE9" w14:textId="77777777" w:rsidR="00E044A1" w:rsidRDefault="00E044A1">
            <w:pPr>
              <w:pStyle w:val="TableParagraph"/>
              <w:ind w:left="0"/>
              <w:rPr>
                <w:rFonts w:ascii="Times New Roman"/>
                <w:sz w:val="16"/>
              </w:rPr>
            </w:pPr>
          </w:p>
        </w:tc>
        <w:tc>
          <w:tcPr>
            <w:tcW w:w="1620" w:type="dxa"/>
            <w:tcBorders>
              <w:top w:val="single" w:sz="6" w:space="0" w:color="000000"/>
            </w:tcBorders>
          </w:tcPr>
          <w:p w14:paraId="5CC4862D" w14:textId="77777777" w:rsidR="00E044A1" w:rsidRDefault="00E044A1">
            <w:pPr>
              <w:pStyle w:val="TableParagraph"/>
              <w:ind w:left="0"/>
              <w:rPr>
                <w:rFonts w:ascii="Times New Roman"/>
                <w:sz w:val="16"/>
              </w:rPr>
            </w:pPr>
          </w:p>
        </w:tc>
        <w:tc>
          <w:tcPr>
            <w:tcW w:w="2520" w:type="dxa"/>
            <w:tcBorders>
              <w:top w:val="single" w:sz="6" w:space="0" w:color="000000"/>
            </w:tcBorders>
          </w:tcPr>
          <w:p w14:paraId="7A5C5E29" w14:textId="77777777" w:rsidR="00E044A1" w:rsidRDefault="00E044A1">
            <w:pPr>
              <w:pStyle w:val="TableParagraph"/>
              <w:ind w:left="0"/>
              <w:rPr>
                <w:rFonts w:ascii="Times New Roman"/>
                <w:sz w:val="16"/>
              </w:rPr>
            </w:pPr>
          </w:p>
        </w:tc>
      </w:tr>
    </w:tbl>
    <w:p w14:paraId="2DED75BA" w14:textId="77777777" w:rsidR="00E044A1" w:rsidRDefault="00E044A1">
      <w:pPr>
        <w:pStyle w:val="BodyText"/>
        <w:spacing w:before="206"/>
        <w:rPr>
          <w:sz w:val="28"/>
        </w:rPr>
      </w:pPr>
    </w:p>
    <w:p w14:paraId="09CA1B2B" w14:textId="77777777" w:rsidR="00E044A1" w:rsidRDefault="002E1B01">
      <w:pPr>
        <w:pStyle w:val="Heading1"/>
        <w:jc w:val="both"/>
      </w:pPr>
      <w:bookmarkStart w:id="1" w:name="LIMITATIONS_ON_USE_OF_PROGRAM_FUNDS"/>
      <w:bookmarkEnd w:id="1"/>
      <w:r>
        <w:t>LIMITATIONS</w:t>
      </w:r>
      <w:r>
        <w:rPr>
          <w:spacing w:val="-11"/>
        </w:rPr>
        <w:t xml:space="preserve"> </w:t>
      </w:r>
      <w:r>
        <w:t>ON</w:t>
      </w:r>
      <w:r>
        <w:rPr>
          <w:spacing w:val="-10"/>
        </w:rPr>
        <w:t xml:space="preserve"> </w:t>
      </w:r>
      <w:proofErr w:type="gramStart"/>
      <w:r>
        <w:t>USE</w:t>
      </w:r>
      <w:proofErr w:type="gramEnd"/>
      <w:r>
        <w:rPr>
          <w:spacing w:val="-10"/>
        </w:rPr>
        <w:t xml:space="preserve"> </w:t>
      </w:r>
      <w:r>
        <w:t>OF</w:t>
      </w:r>
      <w:r>
        <w:rPr>
          <w:spacing w:val="-9"/>
        </w:rPr>
        <w:t xml:space="preserve"> </w:t>
      </w:r>
      <w:r>
        <w:t>PROGRAM</w:t>
      </w:r>
      <w:r>
        <w:rPr>
          <w:spacing w:val="-11"/>
        </w:rPr>
        <w:t xml:space="preserve"> </w:t>
      </w:r>
      <w:r>
        <w:rPr>
          <w:spacing w:val="-2"/>
        </w:rPr>
        <w:t>FUNDS</w:t>
      </w:r>
    </w:p>
    <w:p w14:paraId="2980F5BF" w14:textId="77777777" w:rsidR="00E044A1" w:rsidRDefault="002E1B01">
      <w:pPr>
        <w:pStyle w:val="BodyText"/>
        <w:spacing w:before="249"/>
        <w:ind w:left="579" w:right="877"/>
        <w:jc w:val="both"/>
      </w:pPr>
      <w:r>
        <w:rPr>
          <w:b/>
        </w:rPr>
        <w:t xml:space="preserve">Build America Buy America requirements – </w:t>
      </w:r>
      <w:r>
        <w:t>Build America, Buy America Act (BABA) Requirements under Title</w:t>
      </w:r>
      <w:r>
        <w:rPr>
          <w:spacing w:val="-1"/>
        </w:rPr>
        <w:t xml:space="preserve"> </w:t>
      </w:r>
      <w:r>
        <w:t>IX of the</w:t>
      </w:r>
      <w:r>
        <w:rPr>
          <w:spacing w:val="-4"/>
        </w:rPr>
        <w:t xml:space="preserve"> </w:t>
      </w:r>
      <w:r>
        <w:t>Infrastructure</w:t>
      </w:r>
      <w:r>
        <w:rPr>
          <w:spacing w:val="-1"/>
        </w:rPr>
        <w:t xml:space="preserve"> </w:t>
      </w:r>
      <w:r>
        <w:t>Investment</w:t>
      </w:r>
      <w:r>
        <w:rPr>
          <w:spacing w:val="-1"/>
        </w:rPr>
        <w:t xml:space="preserve"> </w:t>
      </w:r>
      <w:r>
        <w:t>and</w:t>
      </w:r>
      <w:r>
        <w:rPr>
          <w:spacing w:val="-2"/>
        </w:rPr>
        <w:t xml:space="preserve"> </w:t>
      </w:r>
      <w:r>
        <w:t>Jobs</w:t>
      </w:r>
      <w:r>
        <w:rPr>
          <w:spacing w:val="-1"/>
        </w:rPr>
        <w:t xml:space="preserve"> </w:t>
      </w:r>
      <w:r>
        <w:t>Act</w:t>
      </w:r>
      <w:r>
        <w:rPr>
          <w:spacing w:val="-1"/>
        </w:rPr>
        <w:t xml:space="preserve"> </w:t>
      </w:r>
      <w:r>
        <w:t>(“IIJA”),</w:t>
      </w:r>
      <w:r>
        <w:rPr>
          <w:spacing w:val="-2"/>
        </w:rPr>
        <w:t xml:space="preserve"> </w:t>
      </w:r>
      <w:r>
        <w:t>Pub.</w:t>
      </w:r>
      <w:r>
        <w:rPr>
          <w:spacing w:val="-2"/>
        </w:rPr>
        <w:t xml:space="preserve"> </w:t>
      </w:r>
      <w:r>
        <w:t>L. 177-58. Absent</w:t>
      </w:r>
      <w:r>
        <w:rPr>
          <w:spacing w:val="-1"/>
        </w:rPr>
        <w:t xml:space="preserve"> </w:t>
      </w:r>
      <w:r>
        <w:t>a waiver,</w:t>
      </w:r>
      <w:r>
        <w:rPr>
          <w:spacing w:val="-1"/>
        </w:rPr>
        <w:t xml:space="preserve"> </w:t>
      </w:r>
      <w:r>
        <w:t>and</w:t>
      </w:r>
      <w:r>
        <w:rPr>
          <w:spacing w:val="-2"/>
        </w:rPr>
        <w:t xml:space="preserve"> </w:t>
      </w:r>
      <w:r>
        <w:t xml:space="preserve">provided </w:t>
      </w:r>
      <w:r>
        <w:rPr>
          <w:spacing w:val="-2"/>
        </w:rPr>
        <w:t>this</w:t>
      </w:r>
      <w:r>
        <w:rPr>
          <w:spacing w:val="-8"/>
        </w:rPr>
        <w:t xml:space="preserve"> </w:t>
      </w:r>
      <w:r>
        <w:rPr>
          <w:spacing w:val="-2"/>
        </w:rPr>
        <w:t>project is</w:t>
      </w:r>
      <w:r>
        <w:rPr>
          <w:spacing w:val="-6"/>
        </w:rPr>
        <w:t xml:space="preserve"> </w:t>
      </w:r>
      <w:r>
        <w:rPr>
          <w:spacing w:val="-2"/>
        </w:rPr>
        <w:t>receiving</w:t>
      </w:r>
      <w:r>
        <w:rPr>
          <w:spacing w:val="-6"/>
        </w:rPr>
        <w:t xml:space="preserve"> </w:t>
      </w:r>
      <w:r>
        <w:rPr>
          <w:spacing w:val="-2"/>
        </w:rPr>
        <w:t>more</w:t>
      </w:r>
      <w:r>
        <w:rPr>
          <w:spacing w:val="-6"/>
        </w:rPr>
        <w:t xml:space="preserve"> </w:t>
      </w:r>
      <w:r>
        <w:rPr>
          <w:spacing w:val="-2"/>
        </w:rPr>
        <w:t>than</w:t>
      </w:r>
      <w:r>
        <w:rPr>
          <w:spacing w:val="-5"/>
        </w:rPr>
        <w:t xml:space="preserve"> </w:t>
      </w:r>
      <w:r>
        <w:rPr>
          <w:spacing w:val="-2"/>
        </w:rPr>
        <w:t>$250,000</w:t>
      </w:r>
      <w:r>
        <w:rPr>
          <w:spacing w:val="-5"/>
        </w:rPr>
        <w:t xml:space="preserve"> </w:t>
      </w:r>
      <w:r>
        <w:rPr>
          <w:spacing w:val="-2"/>
        </w:rPr>
        <w:t>in</w:t>
      </w:r>
      <w:r>
        <w:rPr>
          <w:spacing w:val="-7"/>
        </w:rPr>
        <w:t xml:space="preserve"> </w:t>
      </w:r>
      <w:r>
        <w:rPr>
          <w:spacing w:val="-2"/>
        </w:rPr>
        <w:t>total</w:t>
      </w:r>
      <w:r>
        <w:rPr>
          <w:spacing w:val="-6"/>
        </w:rPr>
        <w:t xml:space="preserve"> </w:t>
      </w:r>
      <w:r>
        <w:rPr>
          <w:spacing w:val="-2"/>
        </w:rPr>
        <w:t>project</w:t>
      </w:r>
      <w:r>
        <w:rPr>
          <w:spacing w:val="-6"/>
        </w:rPr>
        <w:t xml:space="preserve"> </w:t>
      </w:r>
      <w:r>
        <w:rPr>
          <w:spacing w:val="-2"/>
        </w:rPr>
        <w:t>costs</w:t>
      </w:r>
      <w:r>
        <w:rPr>
          <w:spacing w:val="-6"/>
        </w:rPr>
        <w:t xml:space="preserve"> </w:t>
      </w:r>
      <w:r>
        <w:rPr>
          <w:spacing w:val="-2"/>
        </w:rPr>
        <w:t>from</w:t>
      </w:r>
      <w:r>
        <w:rPr>
          <w:spacing w:val="-7"/>
        </w:rPr>
        <w:t xml:space="preserve"> </w:t>
      </w:r>
      <w:r>
        <w:rPr>
          <w:spacing w:val="-2"/>
        </w:rPr>
        <w:t>all</w:t>
      </w:r>
      <w:r>
        <w:rPr>
          <w:spacing w:val="-6"/>
        </w:rPr>
        <w:t xml:space="preserve"> </w:t>
      </w:r>
      <w:r>
        <w:rPr>
          <w:spacing w:val="-2"/>
        </w:rPr>
        <w:t>sources,</w:t>
      </w:r>
      <w:r>
        <w:rPr>
          <w:spacing w:val="-5"/>
        </w:rPr>
        <w:t xml:space="preserve"> </w:t>
      </w:r>
      <w:r>
        <w:rPr>
          <w:spacing w:val="-2"/>
        </w:rPr>
        <w:t>all</w:t>
      </w:r>
      <w:r>
        <w:rPr>
          <w:spacing w:val="-3"/>
        </w:rPr>
        <w:t xml:space="preserve"> </w:t>
      </w:r>
      <w:r>
        <w:rPr>
          <w:spacing w:val="-2"/>
        </w:rPr>
        <w:t>iron</w:t>
      </w:r>
      <w:r>
        <w:rPr>
          <w:spacing w:val="-5"/>
        </w:rPr>
        <w:t xml:space="preserve"> </w:t>
      </w:r>
      <w:r>
        <w:rPr>
          <w:spacing w:val="-2"/>
        </w:rPr>
        <w:t>and</w:t>
      </w:r>
      <w:r>
        <w:rPr>
          <w:spacing w:val="-7"/>
        </w:rPr>
        <w:t xml:space="preserve"> </w:t>
      </w:r>
      <w:r>
        <w:rPr>
          <w:spacing w:val="-2"/>
        </w:rPr>
        <w:t>steel</w:t>
      </w:r>
      <w:r>
        <w:rPr>
          <w:spacing w:val="-6"/>
        </w:rPr>
        <w:t xml:space="preserve"> </w:t>
      </w:r>
      <w:r>
        <w:rPr>
          <w:spacing w:val="-2"/>
        </w:rPr>
        <w:t>products,</w:t>
      </w:r>
      <w:r>
        <w:rPr>
          <w:spacing w:val="7"/>
        </w:rPr>
        <w:t xml:space="preserve"> </w:t>
      </w:r>
      <w:r>
        <w:rPr>
          <w:spacing w:val="-2"/>
        </w:rPr>
        <w:t xml:space="preserve">as </w:t>
      </w:r>
      <w:r>
        <w:t>well as specific construction materials, including metals, PVC pipe, lumber and drywall, not listed construction materials (all other plastic- and polymer-based products, glass, fiber optic cable, optical fiber, engineered wood, and drywall) and manufactured products used must be produced in the United States, as further outlined by the Office of Management and Budget’s Memorandum M-22-11, Initial Implementation Guidance on Application of Buy America Preference in Federal Financial Assistance Programs for Infrastructure, April 18, 2022.</w:t>
      </w:r>
      <w:r>
        <w:rPr>
          <w:spacing w:val="40"/>
        </w:rPr>
        <w:t xml:space="preserve"> </w:t>
      </w:r>
      <w:r>
        <w:t xml:space="preserve">Municipalities must include BABA language in contracts for projects </w:t>
      </w:r>
      <w:proofErr w:type="gramStart"/>
      <w:r>
        <w:t>and also</w:t>
      </w:r>
      <w:proofErr w:type="gramEnd"/>
      <w:r>
        <w:t xml:space="preserve"> factor the requirement into the cost estimate, as applicable.</w:t>
      </w:r>
    </w:p>
    <w:p w14:paraId="536071E8" w14:textId="77777777" w:rsidR="00E044A1" w:rsidRDefault="00E044A1">
      <w:pPr>
        <w:pStyle w:val="BodyText"/>
        <w:rPr>
          <w:sz w:val="18"/>
        </w:rPr>
      </w:pPr>
    </w:p>
    <w:p w14:paraId="35FEC319" w14:textId="77777777" w:rsidR="00E044A1" w:rsidRDefault="00E044A1">
      <w:pPr>
        <w:pStyle w:val="BodyText"/>
        <w:rPr>
          <w:sz w:val="18"/>
        </w:rPr>
      </w:pPr>
    </w:p>
    <w:p w14:paraId="098F6C8E" w14:textId="77777777" w:rsidR="00E044A1" w:rsidRDefault="00E044A1">
      <w:pPr>
        <w:pStyle w:val="BodyText"/>
        <w:rPr>
          <w:sz w:val="18"/>
        </w:rPr>
      </w:pPr>
    </w:p>
    <w:p w14:paraId="5E442839" w14:textId="77777777" w:rsidR="00E044A1" w:rsidRDefault="00E044A1">
      <w:pPr>
        <w:pStyle w:val="BodyText"/>
        <w:rPr>
          <w:sz w:val="18"/>
        </w:rPr>
      </w:pPr>
    </w:p>
    <w:p w14:paraId="77C80C16" w14:textId="77777777" w:rsidR="00E044A1" w:rsidRDefault="00E044A1">
      <w:pPr>
        <w:pStyle w:val="BodyText"/>
        <w:rPr>
          <w:sz w:val="18"/>
        </w:rPr>
      </w:pPr>
    </w:p>
    <w:p w14:paraId="5084B216" w14:textId="77777777" w:rsidR="00E044A1" w:rsidRDefault="00E044A1">
      <w:pPr>
        <w:pStyle w:val="BodyText"/>
        <w:rPr>
          <w:sz w:val="18"/>
        </w:rPr>
      </w:pPr>
    </w:p>
    <w:p w14:paraId="0DB0C6D8" w14:textId="77777777" w:rsidR="00E044A1" w:rsidRDefault="00E044A1">
      <w:pPr>
        <w:pStyle w:val="BodyText"/>
        <w:spacing w:before="106"/>
        <w:rPr>
          <w:sz w:val="18"/>
        </w:rPr>
      </w:pPr>
    </w:p>
    <w:p w14:paraId="51C8FF92" w14:textId="77777777" w:rsidR="00E044A1" w:rsidRDefault="002E1B01">
      <w:pPr>
        <w:tabs>
          <w:tab w:val="left" w:pos="10043"/>
        </w:tabs>
        <w:ind w:left="115"/>
        <w:rPr>
          <w:rFonts w:ascii="Arial Narrow"/>
          <w:sz w:val="18"/>
        </w:rPr>
      </w:pPr>
      <w:r>
        <w:rPr>
          <w:rFonts w:ascii="Arial Narrow"/>
          <w:color w:val="333399"/>
          <w:spacing w:val="-2"/>
          <w:sz w:val="18"/>
        </w:rPr>
        <w:t>100</w:t>
      </w:r>
      <w:r>
        <w:rPr>
          <w:rFonts w:ascii="Arial Narrow"/>
          <w:color w:val="333399"/>
          <w:spacing w:val="-5"/>
          <w:sz w:val="18"/>
        </w:rPr>
        <w:t xml:space="preserve"> </w:t>
      </w:r>
      <w:r>
        <w:rPr>
          <w:rFonts w:ascii="Arial Narrow"/>
          <w:color w:val="333399"/>
          <w:spacing w:val="-2"/>
          <w:sz w:val="18"/>
        </w:rPr>
        <w:t>Cambridge</w:t>
      </w:r>
      <w:r>
        <w:rPr>
          <w:rFonts w:ascii="Arial Narrow"/>
          <w:color w:val="333399"/>
          <w:spacing w:val="-4"/>
          <w:sz w:val="18"/>
        </w:rPr>
        <w:t xml:space="preserve"> </w:t>
      </w:r>
      <w:r>
        <w:rPr>
          <w:rFonts w:ascii="Arial Narrow"/>
          <w:color w:val="333399"/>
          <w:spacing w:val="-2"/>
          <w:sz w:val="18"/>
        </w:rPr>
        <w:t>Street,</w:t>
      </w:r>
      <w:r>
        <w:rPr>
          <w:rFonts w:ascii="Arial Narrow"/>
          <w:color w:val="333399"/>
          <w:spacing w:val="-6"/>
          <w:sz w:val="18"/>
        </w:rPr>
        <w:t xml:space="preserve"> </w:t>
      </w:r>
      <w:r>
        <w:rPr>
          <w:rFonts w:ascii="Arial Narrow"/>
          <w:color w:val="333399"/>
          <w:spacing w:val="-2"/>
          <w:sz w:val="18"/>
        </w:rPr>
        <w:t>Suite</w:t>
      </w:r>
      <w:r>
        <w:rPr>
          <w:rFonts w:ascii="Arial Narrow"/>
          <w:color w:val="333399"/>
          <w:spacing w:val="-4"/>
          <w:sz w:val="18"/>
        </w:rPr>
        <w:t xml:space="preserve"> </w:t>
      </w:r>
      <w:r>
        <w:rPr>
          <w:rFonts w:ascii="Arial Narrow"/>
          <w:color w:val="333399"/>
          <w:spacing w:val="-5"/>
          <w:sz w:val="18"/>
        </w:rPr>
        <w:t>300</w:t>
      </w:r>
      <w:r>
        <w:rPr>
          <w:rFonts w:ascii="Arial Narrow"/>
          <w:color w:val="333399"/>
          <w:sz w:val="18"/>
        </w:rPr>
        <w:tab/>
      </w:r>
      <w:hyperlink r:id="rId9">
        <w:r w:rsidR="00E044A1">
          <w:rPr>
            <w:rFonts w:ascii="Arial Narrow"/>
            <w:color w:val="333399"/>
            <w:spacing w:val="-2"/>
            <w:sz w:val="18"/>
          </w:rPr>
          <w:t>www.mass.gov</w:t>
        </w:r>
      </w:hyperlink>
    </w:p>
    <w:p w14:paraId="2701593C" w14:textId="77777777" w:rsidR="00E044A1" w:rsidRDefault="002E1B01">
      <w:pPr>
        <w:tabs>
          <w:tab w:val="right" w:pos="11011"/>
        </w:tabs>
        <w:spacing w:before="1"/>
        <w:ind w:left="115"/>
        <w:rPr>
          <w:rFonts w:ascii="Arial Narrow"/>
          <w:sz w:val="18"/>
        </w:rPr>
      </w:pPr>
      <w:r>
        <w:rPr>
          <w:rFonts w:ascii="Arial Narrow"/>
          <w:color w:val="333399"/>
          <w:sz w:val="18"/>
        </w:rPr>
        <w:t>Boston,</w:t>
      </w:r>
      <w:r>
        <w:rPr>
          <w:rFonts w:ascii="Arial Narrow"/>
          <w:color w:val="333399"/>
          <w:spacing w:val="-5"/>
          <w:sz w:val="18"/>
        </w:rPr>
        <w:t xml:space="preserve"> </w:t>
      </w:r>
      <w:r>
        <w:rPr>
          <w:rFonts w:ascii="Arial Narrow"/>
          <w:color w:val="333399"/>
          <w:sz w:val="18"/>
        </w:rPr>
        <w:t>Massachusetts</w:t>
      </w:r>
      <w:r>
        <w:rPr>
          <w:rFonts w:ascii="Arial Narrow"/>
          <w:color w:val="333399"/>
          <w:spacing w:val="34"/>
          <w:sz w:val="18"/>
        </w:rPr>
        <w:t xml:space="preserve"> </w:t>
      </w:r>
      <w:r>
        <w:rPr>
          <w:rFonts w:ascii="Arial Narrow"/>
          <w:color w:val="333399"/>
          <w:spacing w:val="-2"/>
          <w:sz w:val="18"/>
        </w:rPr>
        <w:t>02114</w:t>
      </w:r>
      <w:r>
        <w:rPr>
          <w:rFonts w:ascii="Arial Narrow"/>
          <w:color w:val="333399"/>
          <w:sz w:val="18"/>
        </w:rPr>
        <w:tab/>
      </w:r>
      <w:r>
        <w:rPr>
          <w:rFonts w:ascii="Arial Narrow"/>
          <w:color w:val="333399"/>
          <w:spacing w:val="-2"/>
          <w:sz w:val="18"/>
        </w:rPr>
        <w:t>617.573.1100</w:t>
      </w:r>
    </w:p>
    <w:p w14:paraId="79C91A6D" w14:textId="77777777" w:rsidR="00E044A1" w:rsidRDefault="00E044A1">
      <w:pPr>
        <w:rPr>
          <w:rFonts w:ascii="Arial Narrow"/>
          <w:sz w:val="18"/>
        </w:rPr>
        <w:sectPr w:rsidR="00E044A1">
          <w:type w:val="continuous"/>
          <w:pgSz w:w="12240" w:h="15840"/>
          <w:pgMar w:top="720" w:right="620" w:bottom="280" w:left="500" w:header="720" w:footer="720" w:gutter="0"/>
          <w:cols w:space="720"/>
        </w:sectPr>
      </w:pPr>
    </w:p>
    <w:p w14:paraId="3307BA50" w14:textId="77777777" w:rsidR="00E044A1" w:rsidRDefault="002E1B01">
      <w:pPr>
        <w:pStyle w:val="Heading2"/>
        <w:spacing w:before="40"/>
        <w:ind w:left="580"/>
        <w:jc w:val="both"/>
      </w:pPr>
      <w:r>
        <w:lastRenderedPageBreak/>
        <w:t>Timely</w:t>
      </w:r>
      <w:r>
        <w:rPr>
          <w:spacing w:val="-14"/>
        </w:rPr>
        <w:t xml:space="preserve"> </w:t>
      </w:r>
      <w:r>
        <w:t>Expenditure</w:t>
      </w:r>
      <w:r>
        <w:rPr>
          <w:spacing w:val="-14"/>
        </w:rPr>
        <w:t xml:space="preserve"> </w:t>
      </w:r>
      <w:r>
        <w:rPr>
          <w:spacing w:val="-10"/>
        </w:rPr>
        <w:t>-</w:t>
      </w:r>
    </w:p>
    <w:p w14:paraId="4A836C7F" w14:textId="77777777" w:rsidR="00E044A1" w:rsidRDefault="002E1B01">
      <w:pPr>
        <w:pStyle w:val="BodyText"/>
        <w:spacing w:before="252"/>
        <w:ind w:left="580" w:right="943"/>
        <w:jc w:val="both"/>
      </w:pPr>
      <w:r>
        <w:t>Mass CDBG requires that all lead applicants with open CDBG grants comply with a timely expenditure threshold.</w:t>
      </w:r>
      <w:r>
        <w:rPr>
          <w:spacing w:val="-2"/>
        </w:rPr>
        <w:t xml:space="preserve"> </w:t>
      </w:r>
      <w:proofErr w:type="gramStart"/>
      <w:r>
        <w:t>In</w:t>
      </w:r>
      <w:r>
        <w:rPr>
          <w:spacing w:val="-1"/>
        </w:rPr>
        <w:t xml:space="preserve"> </w:t>
      </w:r>
      <w:r>
        <w:t>order</w:t>
      </w:r>
      <w:r>
        <w:rPr>
          <w:spacing w:val="-2"/>
        </w:rPr>
        <w:t xml:space="preserve"> </w:t>
      </w:r>
      <w:r>
        <w:t>to</w:t>
      </w:r>
      <w:proofErr w:type="gramEnd"/>
      <w:r>
        <w:rPr>
          <w:spacing w:val="-4"/>
        </w:rPr>
        <w:t xml:space="preserve"> </w:t>
      </w:r>
      <w:r>
        <w:t>apply</w:t>
      </w:r>
      <w:r>
        <w:rPr>
          <w:spacing w:val="-3"/>
        </w:rPr>
        <w:t xml:space="preserve"> </w:t>
      </w:r>
      <w:r>
        <w:t>for</w:t>
      </w:r>
      <w:r>
        <w:rPr>
          <w:spacing w:val="-2"/>
        </w:rPr>
        <w:t xml:space="preserve"> </w:t>
      </w:r>
      <w:r>
        <w:t>FFY</w:t>
      </w:r>
      <w:r>
        <w:rPr>
          <w:spacing w:val="-5"/>
        </w:rPr>
        <w:t xml:space="preserve"> </w:t>
      </w:r>
      <w:r>
        <w:t>2025</w:t>
      </w:r>
      <w:r>
        <w:rPr>
          <w:spacing w:val="-3"/>
        </w:rPr>
        <w:t xml:space="preserve"> </w:t>
      </w:r>
      <w:r>
        <w:t>CDBG*</w:t>
      </w:r>
      <w:r>
        <w:rPr>
          <w:spacing w:val="-2"/>
        </w:rPr>
        <w:t xml:space="preserve"> </w:t>
      </w:r>
      <w:r>
        <w:t>funding,</w:t>
      </w:r>
      <w:r>
        <w:rPr>
          <w:spacing w:val="-2"/>
        </w:rPr>
        <w:t xml:space="preserve"> </w:t>
      </w:r>
      <w:r>
        <w:t>a</w:t>
      </w:r>
      <w:r>
        <w:rPr>
          <w:spacing w:val="-1"/>
        </w:rPr>
        <w:t xml:space="preserve"> </w:t>
      </w:r>
      <w:r>
        <w:t>municipality</w:t>
      </w:r>
      <w:r>
        <w:rPr>
          <w:spacing w:val="-1"/>
        </w:rPr>
        <w:t xml:space="preserve"> </w:t>
      </w:r>
      <w:r>
        <w:t>must</w:t>
      </w:r>
      <w:r>
        <w:rPr>
          <w:spacing w:val="-2"/>
        </w:rPr>
        <w:t xml:space="preserve"> </w:t>
      </w:r>
      <w:r>
        <w:t>demonstrate,</w:t>
      </w:r>
      <w:r>
        <w:rPr>
          <w:spacing w:val="-1"/>
        </w:rPr>
        <w:t xml:space="preserve"> </w:t>
      </w:r>
      <w:r>
        <w:t>using</w:t>
      </w:r>
      <w:r>
        <w:rPr>
          <w:spacing w:val="-1"/>
        </w:rPr>
        <w:t xml:space="preserve"> </w:t>
      </w:r>
      <w:r>
        <w:t>the</w:t>
      </w:r>
      <w:r>
        <w:rPr>
          <w:spacing w:val="-2"/>
        </w:rPr>
        <w:t xml:space="preserve"> </w:t>
      </w:r>
      <w:r>
        <w:t>most recent financial status</w:t>
      </w:r>
      <w:r>
        <w:rPr>
          <w:spacing w:val="-1"/>
        </w:rPr>
        <w:t xml:space="preserve"> </w:t>
      </w:r>
      <w:r>
        <w:t>report produced</w:t>
      </w:r>
      <w:r>
        <w:rPr>
          <w:spacing w:val="-1"/>
        </w:rPr>
        <w:t xml:space="preserve"> </w:t>
      </w:r>
      <w:r>
        <w:t>by</w:t>
      </w:r>
      <w:r>
        <w:rPr>
          <w:spacing w:val="-1"/>
        </w:rPr>
        <w:t xml:space="preserve"> </w:t>
      </w:r>
      <w:r>
        <w:t>EOHLC’s</w:t>
      </w:r>
      <w:r>
        <w:rPr>
          <w:spacing w:val="-1"/>
        </w:rPr>
        <w:t xml:space="preserve"> </w:t>
      </w:r>
      <w:r>
        <w:t>grant</w:t>
      </w:r>
      <w:r>
        <w:rPr>
          <w:spacing w:val="-1"/>
        </w:rPr>
        <w:t xml:space="preserve"> </w:t>
      </w:r>
      <w:r>
        <w:t>management system, at</w:t>
      </w:r>
      <w:r>
        <w:rPr>
          <w:spacing w:val="-1"/>
        </w:rPr>
        <w:t xml:space="preserve"> </w:t>
      </w:r>
      <w:r>
        <w:t>the</w:t>
      </w:r>
      <w:r>
        <w:rPr>
          <w:spacing w:val="-3"/>
        </w:rPr>
        <w:t xml:space="preserve"> </w:t>
      </w:r>
      <w:r>
        <w:t>time</w:t>
      </w:r>
      <w:r>
        <w:rPr>
          <w:spacing w:val="-1"/>
        </w:rPr>
        <w:t xml:space="preserve"> </w:t>
      </w:r>
      <w:r>
        <w:t>of submission of application for FFY 2025 funds that:</w:t>
      </w:r>
    </w:p>
    <w:p w14:paraId="2EE63162" w14:textId="77777777" w:rsidR="00E044A1" w:rsidRDefault="00E044A1">
      <w:pPr>
        <w:pStyle w:val="BodyText"/>
        <w:spacing w:before="6"/>
      </w:pPr>
    </w:p>
    <w:p w14:paraId="50014FFF" w14:textId="77777777" w:rsidR="00E044A1" w:rsidRDefault="002E1B01">
      <w:pPr>
        <w:pStyle w:val="ListParagraph"/>
        <w:numPr>
          <w:ilvl w:val="0"/>
          <w:numId w:val="1"/>
        </w:numPr>
        <w:tabs>
          <w:tab w:val="left" w:pos="2612"/>
        </w:tabs>
        <w:ind w:right="1777" w:hanging="361"/>
      </w:pPr>
      <w:r>
        <w:t>100%</w:t>
      </w:r>
      <w:r>
        <w:rPr>
          <w:spacing w:val="-5"/>
        </w:rPr>
        <w:t xml:space="preserve"> </w:t>
      </w:r>
      <w:r>
        <w:t>of</w:t>
      </w:r>
      <w:r>
        <w:rPr>
          <w:spacing w:val="-7"/>
        </w:rPr>
        <w:t xml:space="preserve"> </w:t>
      </w:r>
      <w:r>
        <w:t>all</w:t>
      </w:r>
      <w:r>
        <w:rPr>
          <w:spacing w:val="-8"/>
        </w:rPr>
        <w:t xml:space="preserve"> </w:t>
      </w:r>
      <w:r>
        <w:t>grant</w:t>
      </w:r>
      <w:r>
        <w:rPr>
          <w:spacing w:val="-7"/>
        </w:rPr>
        <w:t xml:space="preserve"> </w:t>
      </w:r>
      <w:r>
        <w:t>funds</w:t>
      </w:r>
      <w:r>
        <w:rPr>
          <w:spacing w:val="-9"/>
        </w:rPr>
        <w:t xml:space="preserve"> </w:t>
      </w:r>
      <w:r>
        <w:t>awarded</w:t>
      </w:r>
      <w:r>
        <w:rPr>
          <w:spacing w:val="-5"/>
        </w:rPr>
        <w:t xml:space="preserve"> </w:t>
      </w:r>
      <w:r>
        <w:t>to</w:t>
      </w:r>
      <w:r>
        <w:rPr>
          <w:spacing w:val="-6"/>
        </w:rPr>
        <w:t xml:space="preserve"> </w:t>
      </w:r>
      <w:r>
        <w:t>the</w:t>
      </w:r>
      <w:r>
        <w:rPr>
          <w:spacing w:val="-5"/>
        </w:rPr>
        <w:t xml:space="preserve"> </w:t>
      </w:r>
      <w:r>
        <w:t>municipality</w:t>
      </w:r>
      <w:r>
        <w:rPr>
          <w:spacing w:val="-8"/>
        </w:rPr>
        <w:t xml:space="preserve"> </w:t>
      </w:r>
      <w:r>
        <w:t>for</w:t>
      </w:r>
      <w:r>
        <w:rPr>
          <w:spacing w:val="-7"/>
        </w:rPr>
        <w:t xml:space="preserve"> </w:t>
      </w:r>
      <w:r>
        <w:t>FFY</w:t>
      </w:r>
      <w:r>
        <w:rPr>
          <w:spacing w:val="-9"/>
        </w:rPr>
        <w:t xml:space="preserve"> </w:t>
      </w:r>
      <w:r>
        <w:t>2021</w:t>
      </w:r>
      <w:r>
        <w:rPr>
          <w:spacing w:val="-6"/>
        </w:rPr>
        <w:t xml:space="preserve"> </w:t>
      </w:r>
      <w:r>
        <w:t>and</w:t>
      </w:r>
      <w:r>
        <w:rPr>
          <w:spacing w:val="-7"/>
        </w:rPr>
        <w:t xml:space="preserve"> </w:t>
      </w:r>
      <w:r>
        <w:t xml:space="preserve">earlier FFYs have been fully </w:t>
      </w:r>
      <w:proofErr w:type="gramStart"/>
      <w:r>
        <w:t>expended;</w:t>
      </w:r>
      <w:proofErr w:type="gramEnd"/>
    </w:p>
    <w:p w14:paraId="5D66C9D8" w14:textId="77777777" w:rsidR="00E044A1" w:rsidRDefault="002E1B01">
      <w:pPr>
        <w:pStyle w:val="ListParagraph"/>
        <w:numPr>
          <w:ilvl w:val="0"/>
          <w:numId w:val="1"/>
        </w:numPr>
        <w:tabs>
          <w:tab w:val="left" w:pos="2612"/>
        </w:tabs>
        <w:ind w:hanging="362"/>
      </w:pPr>
      <w:r>
        <w:t>50%</w:t>
      </w:r>
      <w:r>
        <w:rPr>
          <w:spacing w:val="-6"/>
        </w:rPr>
        <w:t xml:space="preserve"> </w:t>
      </w:r>
      <w:r>
        <w:t>of</w:t>
      </w:r>
      <w:r>
        <w:rPr>
          <w:spacing w:val="-7"/>
        </w:rPr>
        <w:t xml:space="preserve"> </w:t>
      </w:r>
      <w:r>
        <w:t>all</w:t>
      </w:r>
      <w:r>
        <w:rPr>
          <w:spacing w:val="-8"/>
        </w:rPr>
        <w:t xml:space="preserve"> </w:t>
      </w:r>
      <w:r>
        <w:t>grant</w:t>
      </w:r>
      <w:r>
        <w:rPr>
          <w:spacing w:val="-7"/>
        </w:rPr>
        <w:t xml:space="preserve"> </w:t>
      </w:r>
      <w:r>
        <w:t>funds</w:t>
      </w:r>
      <w:r>
        <w:rPr>
          <w:spacing w:val="-8"/>
        </w:rPr>
        <w:t xml:space="preserve"> </w:t>
      </w:r>
      <w:r>
        <w:t>awarded</w:t>
      </w:r>
      <w:r>
        <w:rPr>
          <w:spacing w:val="-5"/>
        </w:rPr>
        <w:t xml:space="preserve"> </w:t>
      </w:r>
      <w:r>
        <w:t>to</w:t>
      </w:r>
      <w:r>
        <w:rPr>
          <w:spacing w:val="-7"/>
        </w:rPr>
        <w:t xml:space="preserve"> </w:t>
      </w:r>
      <w:r>
        <w:t>the</w:t>
      </w:r>
      <w:r>
        <w:rPr>
          <w:spacing w:val="-7"/>
        </w:rPr>
        <w:t xml:space="preserve"> </w:t>
      </w:r>
      <w:r>
        <w:t>municipality</w:t>
      </w:r>
      <w:r>
        <w:rPr>
          <w:spacing w:val="-8"/>
        </w:rPr>
        <w:t xml:space="preserve"> </w:t>
      </w:r>
      <w:r>
        <w:t>for</w:t>
      </w:r>
      <w:r>
        <w:rPr>
          <w:spacing w:val="-7"/>
        </w:rPr>
        <w:t xml:space="preserve"> </w:t>
      </w:r>
      <w:r>
        <w:t>FFY</w:t>
      </w:r>
      <w:r>
        <w:rPr>
          <w:spacing w:val="-8"/>
        </w:rPr>
        <w:t xml:space="preserve"> </w:t>
      </w:r>
      <w:r>
        <w:t>2022/2023</w:t>
      </w:r>
      <w:r>
        <w:rPr>
          <w:spacing w:val="-7"/>
        </w:rPr>
        <w:t xml:space="preserve"> </w:t>
      </w:r>
      <w:r>
        <w:t>have</w:t>
      </w:r>
      <w:r>
        <w:rPr>
          <w:spacing w:val="-8"/>
        </w:rPr>
        <w:t xml:space="preserve"> </w:t>
      </w:r>
      <w:r>
        <w:t>been fully expended; and</w:t>
      </w:r>
    </w:p>
    <w:p w14:paraId="4B5A4600" w14:textId="77777777" w:rsidR="00E044A1" w:rsidRDefault="002E1B01">
      <w:pPr>
        <w:pStyle w:val="ListParagraph"/>
        <w:numPr>
          <w:ilvl w:val="0"/>
          <w:numId w:val="1"/>
        </w:numPr>
        <w:tabs>
          <w:tab w:val="left" w:pos="2611"/>
        </w:tabs>
        <w:ind w:left="2611" w:right="1529" w:hanging="361"/>
      </w:pPr>
      <w:r>
        <w:rPr>
          <w:sz w:val="20"/>
        </w:rPr>
        <w:t>f</w:t>
      </w:r>
      <w:r>
        <w:t>or</w:t>
      </w:r>
      <w:r>
        <w:rPr>
          <w:spacing w:val="-4"/>
        </w:rPr>
        <w:t xml:space="preserve"> </w:t>
      </w:r>
      <w:r>
        <w:t>the</w:t>
      </w:r>
      <w:r>
        <w:rPr>
          <w:spacing w:val="-5"/>
        </w:rPr>
        <w:t xml:space="preserve"> </w:t>
      </w:r>
      <w:r>
        <w:t>municipality’s</w:t>
      </w:r>
      <w:r>
        <w:rPr>
          <w:spacing w:val="-5"/>
        </w:rPr>
        <w:t xml:space="preserve"> </w:t>
      </w:r>
      <w:r>
        <w:t>FFY</w:t>
      </w:r>
      <w:r>
        <w:rPr>
          <w:spacing w:val="-5"/>
        </w:rPr>
        <w:t xml:space="preserve"> </w:t>
      </w:r>
      <w:r>
        <w:t>2024</w:t>
      </w:r>
      <w:r>
        <w:rPr>
          <w:spacing w:val="-5"/>
        </w:rPr>
        <w:t xml:space="preserve"> </w:t>
      </w:r>
      <w:r>
        <w:t>grant</w:t>
      </w:r>
      <w:r>
        <w:rPr>
          <w:spacing w:val="-5"/>
        </w:rPr>
        <w:t xml:space="preserve"> </w:t>
      </w:r>
      <w:r>
        <w:t>funds,</w:t>
      </w:r>
      <w:r>
        <w:rPr>
          <w:spacing w:val="-5"/>
        </w:rPr>
        <w:t xml:space="preserve"> </w:t>
      </w:r>
      <w:r>
        <w:t>all</w:t>
      </w:r>
      <w:r>
        <w:rPr>
          <w:spacing w:val="-5"/>
        </w:rPr>
        <w:t xml:space="preserve"> </w:t>
      </w:r>
      <w:r>
        <w:t>required</w:t>
      </w:r>
      <w:r>
        <w:rPr>
          <w:spacing w:val="-4"/>
        </w:rPr>
        <w:t xml:space="preserve"> </w:t>
      </w:r>
      <w:r>
        <w:t>procedural</w:t>
      </w:r>
      <w:r>
        <w:rPr>
          <w:spacing w:val="-5"/>
        </w:rPr>
        <w:t xml:space="preserve"> </w:t>
      </w:r>
      <w:r>
        <w:t>clearances (environmental review, special conditions and administrative services procurement(s)) have been completed.</w:t>
      </w:r>
    </w:p>
    <w:p w14:paraId="613C425E" w14:textId="77777777" w:rsidR="00E044A1" w:rsidRDefault="00E044A1">
      <w:pPr>
        <w:pStyle w:val="BodyText"/>
        <w:spacing w:before="184"/>
      </w:pPr>
    </w:p>
    <w:p w14:paraId="5FCAFE37" w14:textId="77777777" w:rsidR="00E044A1" w:rsidRDefault="002E1B01">
      <w:pPr>
        <w:pStyle w:val="BodyText"/>
        <w:spacing w:before="1"/>
        <w:ind w:left="810" w:right="1046"/>
        <w:jc w:val="both"/>
      </w:pPr>
      <w:r>
        <w:t>*CDBG</w:t>
      </w:r>
      <w:r>
        <w:rPr>
          <w:spacing w:val="-4"/>
        </w:rPr>
        <w:t xml:space="preserve"> </w:t>
      </w:r>
      <w:r>
        <w:t>includes</w:t>
      </w:r>
      <w:r>
        <w:rPr>
          <w:spacing w:val="-4"/>
        </w:rPr>
        <w:t xml:space="preserve"> </w:t>
      </w:r>
      <w:r>
        <w:t>CDF,</w:t>
      </w:r>
      <w:r>
        <w:rPr>
          <w:spacing w:val="-3"/>
        </w:rPr>
        <w:t xml:space="preserve"> </w:t>
      </w:r>
      <w:r>
        <w:t>Mini-Entitlement,</w:t>
      </w:r>
      <w:r>
        <w:rPr>
          <w:spacing w:val="-4"/>
        </w:rPr>
        <w:t xml:space="preserve"> </w:t>
      </w:r>
      <w:r>
        <w:t>and</w:t>
      </w:r>
      <w:r>
        <w:rPr>
          <w:spacing w:val="-3"/>
        </w:rPr>
        <w:t xml:space="preserve"> </w:t>
      </w:r>
      <w:r>
        <w:t>Reserves,</w:t>
      </w:r>
      <w:r>
        <w:rPr>
          <w:spacing w:val="-3"/>
        </w:rPr>
        <w:t xml:space="preserve"> </w:t>
      </w:r>
      <w:r>
        <w:t>but</w:t>
      </w:r>
      <w:r>
        <w:rPr>
          <w:spacing w:val="-4"/>
        </w:rPr>
        <w:t xml:space="preserve"> </w:t>
      </w:r>
      <w:r>
        <w:t>for</w:t>
      </w:r>
      <w:r>
        <w:rPr>
          <w:spacing w:val="-3"/>
        </w:rPr>
        <w:t xml:space="preserve"> </w:t>
      </w:r>
      <w:r>
        <w:t>the</w:t>
      </w:r>
      <w:r>
        <w:rPr>
          <w:spacing w:val="-4"/>
        </w:rPr>
        <w:t xml:space="preserve"> </w:t>
      </w:r>
      <w:r>
        <w:t>purposes</w:t>
      </w:r>
      <w:r>
        <w:rPr>
          <w:spacing w:val="-3"/>
        </w:rPr>
        <w:t xml:space="preserve"> </w:t>
      </w:r>
      <w:r>
        <w:t>of</w:t>
      </w:r>
      <w:r>
        <w:rPr>
          <w:spacing w:val="-2"/>
        </w:rPr>
        <w:t xml:space="preserve"> </w:t>
      </w:r>
      <w:r>
        <w:t>this</w:t>
      </w:r>
      <w:r>
        <w:rPr>
          <w:spacing w:val="-4"/>
        </w:rPr>
        <w:t xml:space="preserve"> </w:t>
      </w:r>
      <w:r>
        <w:t>calculation</w:t>
      </w:r>
      <w:r>
        <w:rPr>
          <w:spacing w:val="-3"/>
        </w:rPr>
        <w:t xml:space="preserve"> </w:t>
      </w:r>
      <w:r>
        <w:t>excludes Section 108 guarantees. Planning- only grants of $50,000 or less are also excluded from this calculation.</w:t>
      </w:r>
    </w:p>
    <w:p w14:paraId="09877DAB" w14:textId="77777777" w:rsidR="00E044A1" w:rsidRDefault="00E044A1">
      <w:pPr>
        <w:pStyle w:val="BodyText"/>
        <w:spacing w:before="104"/>
      </w:pPr>
    </w:p>
    <w:p w14:paraId="2DECBC00" w14:textId="5888292B" w:rsidR="00E044A1" w:rsidRDefault="002E1B01">
      <w:pPr>
        <w:pStyle w:val="BodyText"/>
        <w:spacing w:before="1"/>
        <w:ind w:left="809" w:right="942"/>
        <w:jc w:val="both"/>
      </w:pPr>
      <w:bookmarkStart w:id="2" w:name="_Hlk182472727"/>
      <w:r>
        <w:t>On</w:t>
      </w:r>
      <w:r>
        <w:rPr>
          <w:spacing w:val="-12"/>
        </w:rPr>
        <w:t xml:space="preserve"> </w:t>
      </w:r>
      <w:r>
        <w:t>a</w:t>
      </w:r>
      <w:r>
        <w:rPr>
          <w:spacing w:val="-12"/>
        </w:rPr>
        <w:t xml:space="preserve"> </w:t>
      </w:r>
      <w:r>
        <w:t>case-by-case</w:t>
      </w:r>
      <w:r>
        <w:rPr>
          <w:spacing w:val="-12"/>
        </w:rPr>
        <w:t xml:space="preserve"> </w:t>
      </w:r>
      <w:r>
        <w:t>basis,</w:t>
      </w:r>
      <w:r>
        <w:rPr>
          <w:spacing w:val="-12"/>
        </w:rPr>
        <w:t xml:space="preserve"> </w:t>
      </w:r>
      <w:r>
        <w:t>EOHLC</w:t>
      </w:r>
      <w:r>
        <w:rPr>
          <w:spacing w:val="-11"/>
        </w:rPr>
        <w:t xml:space="preserve"> </w:t>
      </w:r>
      <w:r>
        <w:t>reserves</w:t>
      </w:r>
      <w:r>
        <w:rPr>
          <w:spacing w:val="-12"/>
        </w:rPr>
        <w:t xml:space="preserve"> </w:t>
      </w:r>
      <w:r>
        <w:t>the</w:t>
      </w:r>
      <w:r>
        <w:rPr>
          <w:spacing w:val="-12"/>
        </w:rPr>
        <w:t xml:space="preserve"> </w:t>
      </w:r>
      <w:r>
        <w:t>right</w:t>
      </w:r>
      <w:r>
        <w:rPr>
          <w:spacing w:val="-12"/>
        </w:rPr>
        <w:t xml:space="preserve"> </w:t>
      </w:r>
      <w:r>
        <w:t>to</w:t>
      </w:r>
      <w:r>
        <w:rPr>
          <w:spacing w:val="-11"/>
        </w:rPr>
        <w:t xml:space="preserve"> </w:t>
      </w:r>
      <w:r>
        <w:t>waive</w:t>
      </w:r>
      <w:r>
        <w:rPr>
          <w:spacing w:val="-12"/>
        </w:rPr>
        <w:t xml:space="preserve"> </w:t>
      </w:r>
      <w:r>
        <w:t>strict</w:t>
      </w:r>
      <w:r>
        <w:rPr>
          <w:spacing w:val="-12"/>
        </w:rPr>
        <w:t xml:space="preserve"> </w:t>
      </w:r>
      <w:r>
        <w:t>compliance</w:t>
      </w:r>
      <w:r>
        <w:rPr>
          <w:spacing w:val="-12"/>
        </w:rPr>
        <w:t xml:space="preserve"> </w:t>
      </w:r>
      <w:r>
        <w:t>with</w:t>
      </w:r>
      <w:r>
        <w:rPr>
          <w:spacing w:val="-11"/>
        </w:rPr>
        <w:t xml:space="preserve"> </w:t>
      </w:r>
      <w:r>
        <w:t>the</w:t>
      </w:r>
      <w:r>
        <w:rPr>
          <w:spacing w:val="-12"/>
        </w:rPr>
        <w:t xml:space="preserve"> </w:t>
      </w:r>
      <w:r>
        <w:t>threshold</w:t>
      </w:r>
      <w:r>
        <w:rPr>
          <w:spacing w:val="-12"/>
        </w:rPr>
        <w:t xml:space="preserve"> </w:t>
      </w:r>
      <w:r>
        <w:t xml:space="preserve">standards for events beyond the control of applicants, which the applicants have the burden to demonstrate. Please note, however, that for this grant round, </w:t>
      </w:r>
      <w:r>
        <w:rPr>
          <w:b/>
        </w:rPr>
        <w:t>if a municipality is less than 50% expended in the FFY21 award, a waiver will not be granted</w:t>
      </w:r>
      <w:r w:rsidR="00817286">
        <w:rPr>
          <w:b/>
        </w:rPr>
        <w:t>, unless</w:t>
      </w:r>
      <w:r w:rsidR="00E217C9">
        <w:rPr>
          <w:b/>
        </w:rPr>
        <w:t xml:space="preserve"> </w:t>
      </w:r>
      <w:r w:rsidR="00817286">
        <w:rPr>
          <w:b/>
        </w:rPr>
        <w:t xml:space="preserve">good cause </w:t>
      </w:r>
      <w:r w:rsidR="00E217C9">
        <w:rPr>
          <w:b/>
        </w:rPr>
        <w:t>and a plan for implementation of funds can be demonstrated</w:t>
      </w:r>
      <w:r w:rsidR="00817286">
        <w:rPr>
          <w:b/>
        </w:rPr>
        <w:t>.</w:t>
      </w:r>
      <w:r>
        <w:rPr>
          <w:b/>
          <w:spacing w:val="40"/>
        </w:rPr>
        <w:t xml:space="preserve"> </w:t>
      </w:r>
      <w:r>
        <w:t>Municipalities must contact their program representative to find out how to apply for a waiver. Waiver requests should be submitted no later than March 14, 2025, otherwise,</w:t>
      </w:r>
      <w:r>
        <w:rPr>
          <w:spacing w:val="-4"/>
        </w:rPr>
        <w:t xml:space="preserve"> </w:t>
      </w:r>
      <w:r>
        <w:t>it</w:t>
      </w:r>
      <w:r>
        <w:rPr>
          <w:spacing w:val="-4"/>
        </w:rPr>
        <w:t xml:space="preserve"> </w:t>
      </w:r>
      <w:r>
        <w:t>may</w:t>
      </w:r>
      <w:r>
        <w:rPr>
          <w:spacing w:val="-5"/>
        </w:rPr>
        <w:t xml:space="preserve"> </w:t>
      </w:r>
      <w:r>
        <w:t>not</w:t>
      </w:r>
      <w:r>
        <w:rPr>
          <w:spacing w:val="-5"/>
        </w:rPr>
        <w:t xml:space="preserve"> </w:t>
      </w:r>
      <w:r>
        <w:t>be</w:t>
      </w:r>
      <w:r>
        <w:rPr>
          <w:spacing w:val="-5"/>
        </w:rPr>
        <w:t xml:space="preserve"> </w:t>
      </w:r>
      <w:r>
        <w:t>considered.</w:t>
      </w:r>
      <w:r>
        <w:rPr>
          <w:spacing w:val="32"/>
        </w:rPr>
        <w:t xml:space="preserve"> </w:t>
      </w:r>
      <w:r>
        <w:t>EOHLC</w:t>
      </w:r>
      <w:r>
        <w:rPr>
          <w:spacing w:val="-4"/>
        </w:rPr>
        <w:t xml:space="preserve"> </w:t>
      </w:r>
      <w:r>
        <w:t>may</w:t>
      </w:r>
      <w:r>
        <w:rPr>
          <w:spacing w:val="-5"/>
        </w:rPr>
        <w:t xml:space="preserve"> </w:t>
      </w:r>
      <w:r>
        <w:t>at</w:t>
      </w:r>
      <w:r>
        <w:rPr>
          <w:spacing w:val="-4"/>
        </w:rPr>
        <w:t xml:space="preserve"> </w:t>
      </w:r>
      <w:r>
        <w:t>its</w:t>
      </w:r>
      <w:r>
        <w:rPr>
          <w:spacing w:val="-6"/>
        </w:rPr>
        <w:t xml:space="preserve"> </w:t>
      </w:r>
      <w:r>
        <w:t>discretion</w:t>
      </w:r>
      <w:r>
        <w:rPr>
          <w:spacing w:val="-4"/>
        </w:rPr>
        <w:t xml:space="preserve"> </w:t>
      </w:r>
      <w:r>
        <w:t>review</w:t>
      </w:r>
      <w:r>
        <w:rPr>
          <w:spacing w:val="-5"/>
        </w:rPr>
        <w:t xml:space="preserve"> </w:t>
      </w:r>
      <w:r>
        <w:t>waiver</w:t>
      </w:r>
      <w:r>
        <w:rPr>
          <w:spacing w:val="-5"/>
        </w:rPr>
        <w:t xml:space="preserve"> </w:t>
      </w:r>
      <w:r>
        <w:t>requests</w:t>
      </w:r>
      <w:r>
        <w:rPr>
          <w:spacing w:val="-6"/>
        </w:rPr>
        <w:t xml:space="preserve"> </w:t>
      </w:r>
      <w:r>
        <w:t>submitted</w:t>
      </w:r>
      <w:r>
        <w:rPr>
          <w:spacing w:val="-7"/>
        </w:rPr>
        <w:t xml:space="preserve"> </w:t>
      </w:r>
      <w:r>
        <w:t>after March 14, 2025,</w:t>
      </w:r>
      <w:r>
        <w:rPr>
          <w:spacing w:val="-1"/>
        </w:rPr>
        <w:t xml:space="preserve"> </w:t>
      </w:r>
      <w:r>
        <w:t>if the municipality</w:t>
      </w:r>
      <w:r>
        <w:rPr>
          <w:spacing w:val="-1"/>
        </w:rPr>
        <w:t xml:space="preserve"> </w:t>
      </w:r>
      <w:r>
        <w:t>demonstrates</w:t>
      </w:r>
      <w:r>
        <w:rPr>
          <w:spacing w:val="-1"/>
        </w:rPr>
        <w:t xml:space="preserve"> </w:t>
      </w:r>
      <w:r>
        <w:t>good</w:t>
      </w:r>
      <w:r>
        <w:rPr>
          <w:spacing w:val="-1"/>
        </w:rPr>
        <w:t xml:space="preserve"> </w:t>
      </w:r>
      <w:r>
        <w:t>cause</w:t>
      </w:r>
      <w:r>
        <w:rPr>
          <w:spacing w:val="-2"/>
        </w:rPr>
        <w:t xml:space="preserve"> </w:t>
      </w:r>
      <w:r>
        <w:t>for</w:t>
      </w:r>
      <w:r>
        <w:rPr>
          <w:spacing w:val="-2"/>
        </w:rPr>
        <w:t xml:space="preserve"> </w:t>
      </w:r>
      <w:r>
        <w:t>not submitting its request to EOHLC by such date.</w:t>
      </w:r>
    </w:p>
    <w:bookmarkEnd w:id="2"/>
    <w:p w14:paraId="6DF50C49" w14:textId="77777777" w:rsidR="00E044A1" w:rsidRDefault="00E044A1">
      <w:pPr>
        <w:pStyle w:val="BodyText"/>
        <w:spacing w:before="1"/>
      </w:pPr>
    </w:p>
    <w:p w14:paraId="6CE546E0" w14:textId="77777777" w:rsidR="00E044A1" w:rsidRDefault="002E1B01">
      <w:pPr>
        <w:pStyle w:val="BodyText"/>
        <w:ind w:left="811" w:right="942"/>
        <w:jc w:val="both"/>
      </w:pPr>
      <w:r>
        <w:t xml:space="preserve">All lead applicants must meet this threshold at the time of application for all MA CDBG components. Municipalities that do not meet this threshold will be eliminated from further MA CDBG funding consideration. </w:t>
      </w:r>
      <w:r>
        <w:rPr>
          <w:i/>
        </w:rPr>
        <w:t>Active grants</w:t>
      </w:r>
      <w:r>
        <w:rPr>
          <w:i/>
          <w:spacing w:val="40"/>
        </w:rPr>
        <w:t xml:space="preserve"> </w:t>
      </w:r>
      <w:r>
        <w:t>include those for which project activities have yet to be completed and payments</w:t>
      </w:r>
      <w:r>
        <w:rPr>
          <w:spacing w:val="-4"/>
        </w:rPr>
        <w:t xml:space="preserve"> </w:t>
      </w:r>
      <w:r>
        <w:t>are</w:t>
      </w:r>
      <w:r>
        <w:rPr>
          <w:spacing w:val="-3"/>
        </w:rPr>
        <w:t xml:space="preserve"> </w:t>
      </w:r>
      <w:r>
        <w:t>outstanding.</w:t>
      </w:r>
      <w:r>
        <w:rPr>
          <w:spacing w:val="40"/>
        </w:rPr>
        <w:t xml:space="preserve"> </w:t>
      </w:r>
      <w:r>
        <w:rPr>
          <w:i/>
        </w:rPr>
        <w:t>Unexpended</w:t>
      </w:r>
      <w:r>
        <w:rPr>
          <w:i/>
          <w:spacing w:val="-3"/>
        </w:rPr>
        <w:t xml:space="preserve"> </w:t>
      </w:r>
      <w:r>
        <w:rPr>
          <w:i/>
        </w:rPr>
        <w:t>CDBG</w:t>
      </w:r>
      <w:r>
        <w:rPr>
          <w:i/>
          <w:spacing w:val="-7"/>
        </w:rPr>
        <w:t xml:space="preserve"> </w:t>
      </w:r>
      <w:r>
        <w:rPr>
          <w:i/>
        </w:rPr>
        <w:t>funds</w:t>
      </w:r>
      <w:r>
        <w:rPr>
          <w:i/>
          <w:spacing w:val="-6"/>
        </w:rPr>
        <w:t xml:space="preserve"> </w:t>
      </w:r>
      <w:r>
        <w:t>are</w:t>
      </w:r>
      <w:r>
        <w:rPr>
          <w:spacing w:val="-5"/>
        </w:rPr>
        <w:t xml:space="preserve"> </w:t>
      </w:r>
      <w:r>
        <w:t>defined</w:t>
      </w:r>
      <w:r>
        <w:rPr>
          <w:spacing w:val="-5"/>
        </w:rPr>
        <w:t xml:space="preserve"> </w:t>
      </w:r>
      <w:r>
        <w:t>as</w:t>
      </w:r>
      <w:r>
        <w:rPr>
          <w:spacing w:val="-9"/>
        </w:rPr>
        <w:t xml:space="preserve"> </w:t>
      </w:r>
      <w:r>
        <w:t>funds</w:t>
      </w:r>
      <w:r>
        <w:rPr>
          <w:spacing w:val="-8"/>
        </w:rPr>
        <w:t xml:space="preserve"> </w:t>
      </w:r>
      <w:r>
        <w:t>awarded</w:t>
      </w:r>
      <w:r>
        <w:rPr>
          <w:spacing w:val="-4"/>
        </w:rPr>
        <w:t xml:space="preserve"> </w:t>
      </w:r>
      <w:r>
        <w:t>for</w:t>
      </w:r>
      <w:r>
        <w:rPr>
          <w:spacing w:val="-8"/>
        </w:rPr>
        <w:t xml:space="preserve"> </w:t>
      </w:r>
      <w:r>
        <w:t>eligible</w:t>
      </w:r>
      <w:r>
        <w:rPr>
          <w:spacing w:val="-5"/>
        </w:rPr>
        <w:t xml:space="preserve"> </w:t>
      </w:r>
      <w:r>
        <w:t>Massachusetts CDBG program costs but not expended.</w:t>
      </w:r>
    </w:p>
    <w:p w14:paraId="32DCF10B" w14:textId="77777777" w:rsidR="00E044A1" w:rsidRDefault="002E1B01">
      <w:pPr>
        <w:pStyle w:val="BodyText"/>
        <w:spacing w:before="244"/>
        <w:ind w:left="811" w:right="943"/>
        <w:jc w:val="both"/>
      </w:pPr>
      <w:r>
        <w:t>A</w:t>
      </w:r>
      <w:r>
        <w:rPr>
          <w:spacing w:val="-12"/>
        </w:rPr>
        <w:t xml:space="preserve"> </w:t>
      </w:r>
      <w:r>
        <w:t>Mini-Entitlement</w:t>
      </w:r>
      <w:r>
        <w:rPr>
          <w:spacing w:val="-12"/>
        </w:rPr>
        <w:t xml:space="preserve"> </w:t>
      </w:r>
      <w:r>
        <w:t>community</w:t>
      </w:r>
      <w:r>
        <w:rPr>
          <w:spacing w:val="-12"/>
        </w:rPr>
        <w:t xml:space="preserve"> </w:t>
      </w:r>
      <w:r>
        <w:t>that</w:t>
      </w:r>
      <w:r>
        <w:rPr>
          <w:spacing w:val="-12"/>
        </w:rPr>
        <w:t xml:space="preserve"> </w:t>
      </w:r>
      <w:r>
        <w:t>cannot</w:t>
      </w:r>
      <w:r>
        <w:rPr>
          <w:spacing w:val="-11"/>
        </w:rPr>
        <w:t xml:space="preserve"> </w:t>
      </w:r>
      <w:r>
        <w:t>meet</w:t>
      </w:r>
      <w:r>
        <w:rPr>
          <w:spacing w:val="-12"/>
        </w:rPr>
        <w:t xml:space="preserve"> </w:t>
      </w:r>
      <w:r>
        <w:t>this</w:t>
      </w:r>
      <w:r>
        <w:rPr>
          <w:spacing w:val="-12"/>
        </w:rPr>
        <w:t xml:space="preserve"> </w:t>
      </w:r>
      <w:r>
        <w:t>threshold</w:t>
      </w:r>
      <w:r>
        <w:rPr>
          <w:spacing w:val="-12"/>
        </w:rPr>
        <w:t xml:space="preserve"> </w:t>
      </w:r>
      <w:r>
        <w:t>may</w:t>
      </w:r>
      <w:r>
        <w:rPr>
          <w:spacing w:val="-11"/>
        </w:rPr>
        <w:t xml:space="preserve"> </w:t>
      </w:r>
      <w:r>
        <w:t>have</w:t>
      </w:r>
      <w:r>
        <w:rPr>
          <w:spacing w:val="-12"/>
        </w:rPr>
        <w:t xml:space="preserve"> </w:t>
      </w:r>
      <w:r>
        <w:t>its</w:t>
      </w:r>
      <w:r>
        <w:rPr>
          <w:spacing w:val="-12"/>
        </w:rPr>
        <w:t xml:space="preserve"> </w:t>
      </w:r>
      <w:r>
        <w:t>award</w:t>
      </w:r>
      <w:r>
        <w:rPr>
          <w:spacing w:val="-12"/>
        </w:rPr>
        <w:t xml:space="preserve"> </w:t>
      </w:r>
      <w:r>
        <w:t>amount</w:t>
      </w:r>
      <w:r>
        <w:rPr>
          <w:spacing w:val="-11"/>
        </w:rPr>
        <w:t xml:space="preserve"> </w:t>
      </w:r>
      <w:r>
        <w:t>reduced</w:t>
      </w:r>
      <w:r>
        <w:rPr>
          <w:spacing w:val="-12"/>
        </w:rPr>
        <w:t xml:space="preserve"> </w:t>
      </w:r>
      <w:r>
        <w:t>based on defined grant limitations.</w:t>
      </w:r>
    </w:p>
    <w:p w14:paraId="6117FB9A" w14:textId="77777777" w:rsidR="00E044A1" w:rsidRDefault="00E044A1">
      <w:pPr>
        <w:pStyle w:val="BodyText"/>
        <w:spacing w:before="209"/>
      </w:pPr>
    </w:p>
    <w:p w14:paraId="701C1D28" w14:textId="77777777" w:rsidR="00E044A1" w:rsidRDefault="002E1B01">
      <w:pPr>
        <w:pStyle w:val="Heading2"/>
        <w:spacing w:before="1"/>
        <w:jc w:val="both"/>
      </w:pPr>
      <w:r>
        <w:rPr>
          <w:spacing w:val="-2"/>
        </w:rPr>
        <w:t>Community-Based</w:t>
      </w:r>
      <w:r>
        <w:rPr>
          <w:spacing w:val="4"/>
        </w:rPr>
        <w:t xml:space="preserve"> </w:t>
      </w:r>
      <w:r>
        <w:rPr>
          <w:spacing w:val="-2"/>
        </w:rPr>
        <w:t>Planning</w:t>
      </w:r>
      <w:r>
        <w:rPr>
          <w:spacing w:val="4"/>
        </w:rPr>
        <w:t xml:space="preserve"> </w:t>
      </w:r>
      <w:r>
        <w:rPr>
          <w:spacing w:val="-2"/>
        </w:rPr>
        <w:t>Requirement</w:t>
      </w:r>
      <w:r>
        <w:rPr>
          <w:spacing w:val="3"/>
        </w:rPr>
        <w:t xml:space="preserve"> </w:t>
      </w:r>
      <w:r>
        <w:rPr>
          <w:spacing w:val="-10"/>
        </w:rPr>
        <w:t>–</w:t>
      </w:r>
    </w:p>
    <w:p w14:paraId="01977C0D" w14:textId="77777777" w:rsidR="00E044A1" w:rsidRDefault="002E1B01">
      <w:pPr>
        <w:pStyle w:val="BodyText"/>
        <w:spacing w:before="104"/>
        <w:ind w:left="811" w:right="942"/>
        <w:jc w:val="both"/>
      </w:pPr>
      <w:r>
        <w:t>Community Development Strategies are a requirement of the application for Mini-Entitlement communities.</w:t>
      </w:r>
      <w:r>
        <w:rPr>
          <w:spacing w:val="40"/>
        </w:rPr>
        <w:t xml:space="preserve"> </w:t>
      </w:r>
      <w:r>
        <w:t>They</w:t>
      </w:r>
      <w:r>
        <w:rPr>
          <w:spacing w:val="-2"/>
        </w:rPr>
        <w:t xml:space="preserve"> </w:t>
      </w:r>
      <w:r>
        <w:t>are</w:t>
      </w:r>
      <w:r>
        <w:rPr>
          <w:spacing w:val="-2"/>
        </w:rPr>
        <w:t xml:space="preserve"> </w:t>
      </w:r>
      <w:r>
        <w:t>valid</w:t>
      </w:r>
      <w:r>
        <w:rPr>
          <w:spacing w:val="-2"/>
        </w:rPr>
        <w:t xml:space="preserve"> </w:t>
      </w:r>
      <w:r>
        <w:t>for</w:t>
      </w:r>
      <w:r>
        <w:rPr>
          <w:spacing w:val="-2"/>
        </w:rPr>
        <w:t xml:space="preserve"> </w:t>
      </w:r>
      <w:r>
        <w:t>a</w:t>
      </w:r>
      <w:r>
        <w:rPr>
          <w:spacing w:val="-2"/>
        </w:rPr>
        <w:t xml:space="preserve"> </w:t>
      </w:r>
      <w:r>
        <w:t>three-year</w:t>
      </w:r>
      <w:r>
        <w:rPr>
          <w:spacing w:val="-2"/>
        </w:rPr>
        <w:t xml:space="preserve"> </w:t>
      </w:r>
      <w:r>
        <w:t>period</w:t>
      </w:r>
      <w:r>
        <w:rPr>
          <w:spacing w:val="-2"/>
        </w:rPr>
        <w:t xml:space="preserve"> </w:t>
      </w:r>
      <w:r>
        <w:t>beginning</w:t>
      </w:r>
      <w:r>
        <w:rPr>
          <w:spacing w:val="-2"/>
        </w:rPr>
        <w:t xml:space="preserve"> </w:t>
      </w:r>
      <w:r>
        <w:t>with</w:t>
      </w:r>
      <w:r>
        <w:rPr>
          <w:spacing w:val="-2"/>
        </w:rPr>
        <w:t xml:space="preserve"> </w:t>
      </w:r>
      <w:r>
        <w:t>the</w:t>
      </w:r>
      <w:r>
        <w:rPr>
          <w:spacing w:val="-3"/>
        </w:rPr>
        <w:t xml:space="preserve"> </w:t>
      </w:r>
      <w:r>
        <w:t>strategy</w:t>
      </w:r>
      <w:r>
        <w:rPr>
          <w:spacing w:val="-1"/>
        </w:rPr>
        <w:t xml:space="preserve"> </w:t>
      </w:r>
      <w:r>
        <w:t>that</w:t>
      </w:r>
      <w:r>
        <w:rPr>
          <w:spacing w:val="-2"/>
        </w:rPr>
        <w:t xml:space="preserve"> </w:t>
      </w:r>
      <w:r>
        <w:t>was</w:t>
      </w:r>
      <w:r>
        <w:rPr>
          <w:spacing w:val="-3"/>
        </w:rPr>
        <w:t xml:space="preserve"> </w:t>
      </w:r>
      <w:r>
        <w:t>submitted</w:t>
      </w:r>
      <w:r>
        <w:rPr>
          <w:spacing w:val="-2"/>
        </w:rPr>
        <w:t xml:space="preserve"> </w:t>
      </w:r>
      <w:r>
        <w:t>with the last application (FFY24).</w:t>
      </w:r>
    </w:p>
    <w:p w14:paraId="2B7E9D38" w14:textId="77777777" w:rsidR="00E044A1" w:rsidRDefault="00E044A1">
      <w:pPr>
        <w:pStyle w:val="BodyText"/>
      </w:pPr>
    </w:p>
    <w:p w14:paraId="3362446A" w14:textId="77777777" w:rsidR="00E044A1" w:rsidRDefault="002E1B01">
      <w:pPr>
        <w:pStyle w:val="Heading2"/>
        <w:spacing w:before="1"/>
        <w:jc w:val="both"/>
      </w:pPr>
      <w:r>
        <w:rPr>
          <w:spacing w:val="-2"/>
        </w:rPr>
        <w:t>Regional</w:t>
      </w:r>
      <w:r>
        <w:rPr>
          <w:spacing w:val="3"/>
        </w:rPr>
        <w:t xml:space="preserve"> </w:t>
      </w:r>
      <w:r>
        <w:rPr>
          <w:spacing w:val="-2"/>
        </w:rPr>
        <w:t>Applications</w:t>
      </w:r>
      <w:r>
        <w:rPr>
          <w:spacing w:val="2"/>
        </w:rPr>
        <w:t xml:space="preserve"> </w:t>
      </w:r>
      <w:r>
        <w:rPr>
          <w:spacing w:val="-10"/>
        </w:rPr>
        <w:t>–</w:t>
      </w:r>
    </w:p>
    <w:p w14:paraId="5BE75808" w14:textId="77777777" w:rsidR="00E044A1" w:rsidRDefault="002E1B01">
      <w:pPr>
        <w:pStyle w:val="BodyText"/>
        <w:spacing w:before="320"/>
        <w:ind w:left="811" w:right="879"/>
        <w:jc w:val="both"/>
      </w:pPr>
      <w:r>
        <w:t xml:space="preserve">Each community in a regional application must comply with the same requirements as individual municipalities in individual applications, </w:t>
      </w:r>
      <w:proofErr w:type="gramStart"/>
      <w:r>
        <w:t>in order to</w:t>
      </w:r>
      <w:proofErr w:type="gramEnd"/>
      <w:r>
        <w:t xml:space="preserve"> participate in a regional grant. For example, each participating municipality must have been identified and be part of the required public participation/hearing process and the community must submit all required signatures. The exception to this is the timely expenditure requirement which just applies to lead municipalities. Municipalities that fail to comply will be dropped from consideration as a regional participant and the application will be reviewed</w:t>
      </w:r>
      <w:r>
        <w:rPr>
          <w:spacing w:val="-8"/>
        </w:rPr>
        <w:t xml:space="preserve"> </w:t>
      </w:r>
      <w:r>
        <w:t>with</w:t>
      </w:r>
      <w:r>
        <w:rPr>
          <w:spacing w:val="-8"/>
        </w:rPr>
        <w:t xml:space="preserve"> </w:t>
      </w:r>
      <w:r>
        <w:t>only</w:t>
      </w:r>
      <w:r>
        <w:rPr>
          <w:spacing w:val="-8"/>
        </w:rPr>
        <w:t xml:space="preserve"> </w:t>
      </w:r>
      <w:r>
        <w:t>those</w:t>
      </w:r>
      <w:r>
        <w:rPr>
          <w:spacing w:val="-8"/>
        </w:rPr>
        <w:t xml:space="preserve"> </w:t>
      </w:r>
      <w:r>
        <w:t>municipalities</w:t>
      </w:r>
      <w:r>
        <w:rPr>
          <w:spacing w:val="-9"/>
        </w:rPr>
        <w:t xml:space="preserve"> </w:t>
      </w:r>
      <w:r>
        <w:t>that</w:t>
      </w:r>
      <w:r>
        <w:rPr>
          <w:spacing w:val="-8"/>
        </w:rPr>
        <w:t xml:space="preserve"> </w:t>
      </w:r>
      <w:r>
        <w:t>have</w:t>
      </w:r>
      <w:r>
        <w:rPr>
          <w:spacing w:val="-9"/>
        </w:rPr>
        <w:t xml:space="preserve"> </w:t>
      </w:r>
      <w:r>
        <w:t>complied</w:t>
      </w:r>
      <w:r>
        <w:rPr>
          <w:spacing w:val="-8"/>
        </w:rPr>
        <w:t xml:space="preserve"> </w:t>
      </w:r>
      <w:r>
        <w:t>with</w:t>
      </w:r>
      <w:r>
        <w:rPr>
          <w:spacing w:val="-8"/>
        </w:rPr>
        <w:t xml:space="preserve"> </w:t>
      </w:r>
      <w:r>
        <w:t>the</w:t>
      </w:r>
      <w:r>
        <w:rPr>
          <w:spacing w:val="-9"/>
        </w:rPr>
        <w:t xml:space="preserve"> </w:t>
      </w:r>
      <w:r>
        <w:t>requirements.</w:t>
      </w:r>
      <w:r>
        <w:rPr>
          <w:spacing w:val="-9"/>
        </w:rPr>
        <w:t xml:space="preserve"> </w:t>
      </w:r>
      <w:r>
        <w:t>As</w:t>
      </w:r>
      <w:r>
        <w:rPr>
          <w:spacing w:val="-9"/>
        </w:rPr>
        <w:t xml:space="preserve"> </w:t>
      </w:r>
      <w:r>
        <w:t>a</w:t>
      </w:r>
      <w:r>
        <w:rPr>
          <w:spacing w:val="-7"/>
        </w:rPr>
        <w:t xml:space="preserve"> </w:t>
      </w:r>
      <w:r>
        <w:t>result,</w:t>
      </w:r>
      <w:r>
        <w:rPr>
          <w:spacing w:val="-9"/>
        </w:rPr>
        <w:t xml:space="preserve"> </w:t>
      </w:r>
      <w:r>
        <w:t>the</w:t>
      </w:r>
      <w:r>
        <w:rPr>
          <w:spacing w:val="-8"/>
        </w:rPr>
        <w:t xml:space="preserve"> </w:t>
      </w:r>
      <w:r>
        <w:t>number</w:t>
      </w:r>
    </w:p>
    <w:p w14:paraId="552911F8" w14:textId="77777777" w:rsidR="00E044A1" w:rsidRDefault="00E044A1">
      <w:pPr>
        <w:jc w:val="both"/>
        <w:sectPr w:rsidR="00E044A1">
          <w:pgSz w:w="12240" w:h="15840"/>
          <w:pgMar w:top="860" w:right="620" w:bottom="280" w:left="500" w:header="720" w:footer="720" w:gutter="0"/>
          <w:cols w:space="720"/>
        </w:sectPr>
      </w:pPr>
    </w:p>
    <w:p w14:paraId="23A33E32" w14:textId="77777777" w:rsidR="00E044A1" w:rsidRDefault="002E1B01">
      <w:pPr>
        <w:pStyle w:val="BodyText"/>
        <w:spacing w:before="79"/>
        <w:ind w:left="811" w:right="879"/>
        <w:jc w:val="both"/>
      </w:pPr>
      <w:r>
        <w:lastRenderedPageBreak/>
        <w:t>of</w:t>
      </w:r>
      <w:r>
        <w:rPr>
          <w:spacing w:val="-11"/>
        </w:rPr>
        <w:t xml:space="preserve"> </w:t>
      </w:r>
      <w:r>
        <w:t>participating</w:t>
      </w:r>
      <w:r>
        <w:rPr>
          <w:spacing w:val="-11"/>
        </w:rPr>
        <w:t xml:space="preserve"> </w:t>
      </w:r>
      <w:r>
        <w:t>municipalities</w:t>
      </w:r>
      <w:r>
        <w:rPr>
          <w:spacing w:val="-12"/>
        </w:rPr>
        <w:t xml:space="preserve"> </w:t>
      </w:r>
      <w:r>
        <w:t>and/or</w:t>
      </w:r>
      <w:r>
        <w:rPr>
          <w:spacing w:val="-10"/>
        </w:rPr>
        <w:t xml:space="preserve"> </w:t>
      </w:r>
      <w:r>
        <w:t>the</w:t>
      </w:r>
      <w:r>
        <w:rPr>
          <w:spacing w:val="-11"/>
        </w:rPr>
        <w:t xml:space="preserve"> </w:t>
      </w:r>
      <w:r>
        <w:t>dollar</w:t>
      </w:r>
      <w:r>
        <w:rPr>
          <w:spacing w:val="-10"/>
        </w:rPr>
        <w:t xml:space="preserve"> </w:t>
      </w:r>
      <w:r>
        <w:t>amount</w:t>
      </w:r>
      <w:r>
        <w:rPr>
          <w:spacing w:val="-11"/>
        </w:rPr>
        <w:t xml:space="preserve"> </w:t>
      </w:r>
      <w:r>
        <w:t>requested</w:t>
      </w:r>
      <w:r>
        <w:rPr>
          <w:spacing w:val="-10"/>
        </w:rPr>
        <w:t xml:space="preserve"> </w:t>
      </w:r>
      <w:r>
        <w:t>in</w:t>
      </w:r>
      <w:r>
        <w:rPr>
          <w:spacing w:val="-11"/>
        </w:rPr>
        <w:t xml:space="preserve"> </w:t>
      </w:r>
      <w:r>
        <w:t>a</w:t>
      </w:r>
      <w:r>
        <w:rPr>
          <w:spacing w:val="-10"/>
        </w:rPr>
        <w:t xml:space="preserve"> </w:t>
      </w:r>
      <w:r>
        <w:t>regional</w:t>
      </w:r>
      <w:r>
        <w:rPr>
          <w:spacing w:val="-11"/>
        </w:rPr>
        <w:t xml:space="preserve"> </w:t>
      </w:r>
      <w:r>
        <w:t>application</w:t>
      </w:r>
      <w:r>
        <w:rPr>
          <w:spacing w:val="-11"/>
        </w:rPr>
        <w:t xml:space="preserve"> </w:t>
      </w:r>
      <w:r>
        <w:t>may</w:t>
      </w:r>
      <w:r>
        <w:rPr>
          <w:spacing w:val="-10"/>
        </w:rPr>
        <w:t xml:space="preserve"> </w:t>
      </w:r>
      <w:r>
        <w:t>be</w:t>
      </w:r>
      <w:r>
        <w:rPr>
          <w:spacing w:val="-11"/>
        </w:rPr>
        <w:t xml:space="preserve"> </w:t>
      </w:r>
      <w:r>
        <w:t>reduced during the review process.</w:t>
      </w:r>
    </w:p>
    <w:p w14:paraId="4895DB9B" w14:textId="77777777" w:rsidR="00E044A1" w:rsidRDefault="00E044A1">
      <w:pPr>
        <w:pStyle w:val="BodyText"/>
      </w:pPr>
    </w:p>
    <w:p w14:paraId="3816A22D" w14:textId="77777777" w:rsidR="00E044A1" w:rsidRDefault="002E1B01">
      <w:pPr>
        <w:pStyle w:val="Heading2"/>
        <w:jc w:val="both"/>
      </w:pPr>
      <w:r>
        <w:t>Architectural</w:t>
      </w:r>
      <w:r>
        <w:rPr>
          <w:spacing w:val="-15"/>
        </w:rPr>
        <w:t xml:space="preserve"> </w:t>
      </w:r>
      <w:r>
        <w:t>Barrier</w:t>
      </w:r>
      <w:r>
        <w:rPr>
          <w:spacing w:val="-15"/>
        </w:rPr>
        <w:t xml:space="preserve"> </w:t>
      </w:r>
      <w:r>
        <w:t>Removal</w:t>
      </w:r>
      <w:r>
        <w:rPr>
          <w:spacing w:val="-14"/>
        </w:rPr>
        <w:t xml:space="preserve"> </w:t>
      </w:r>
      <w:r>
        <w:rPr>
          <w:spacing w:val="-10"/>
        </w:rPr>
        <w:t>–</w:t>
      </w:r>
    </w:p>
    <w:p w14:paraId="57585C28" w14:textId="77777777" w:rsidR="00E044A1" w:rsidRDefault="00E044A1">
      <w:pPr>
        <w:pStyle w:val="BodyText"/>
        <w:rPr>
          <w:b/>
          <w:sz w:val="28"/>
        </w:rPr>
      </w:pPr>
    </w:p>
    <w:p w14:paraId="73D45321" w14:textId="4ED906BD" w:rsidR="00E044A1" w:rsidRDefault="002E1B01">
      <w:pPr>
        <w:pStyle w:val="BodyText"/>
        <w:ind w:left="811" w:right="879"/>
        <w:jc w:val="both"/>
      </w:pPr>
      <w:r>
        <w:t>Applications</w:t>
      </w:r>
      <w:r>
        <w:rPr>
          <w:spacing w:val="-7"/>
        </w:rPr>
        <w:t xml:space="preserve"> </w:t>
      </w:r>
      <w:r>
        <w:t>for</w:t>
      </w:r>
      <w:r>
        <w:rPr>
          <w:spacing w:val="-6"/>
        </w:rPr>
        <w:t xml:space="preserve"> </w:t>
      </w:r>
      <w:r>
        <w:t>Architectural</w:t>
      </w:r>
      <w:r>
        <w:rPr>
          <w:spacing w:val="-3"/>
        </w:rPr>
        <w:t xml:space="preserve"> </w:t>
      </w:r>
      <w:r>
        <w:t>Barrier</w:t>
      </w:r>
      <w:r>
        <w:rPr>
          <w:spacing w:val="-5"/>
        </w:rPr>
        <w:t xml:space="preserve"> </w:t>
      </w:r>
      <w:r>
        <w:t>Removal</w:t>
      </w:r>
      <w:r>
        <w:rPr>
          <w:spacing w:val="-7"/>
        </w:rPr>
        <w:t xml:space="preserve"> </w:t>
      </w:r>
      <w:r>
        <w:t>projects</w:t>
      </w:r>
      <w:r>
        <w:rPr>
          <w:spacing w:val="-6"/>
        </w:rPr>
        <w:t xml:space="preserve"> </w:t>
      </w:r>
      <w:r>
        <w:t>with</w:t>
      </w:r>
      <w:r>
        <w:rPr>
          <w:spacing w:val="-7"/>
        </w:rPr>
        <w:t xml:space="preserve"> </w:t>
      </w:r>
      <w:r>
        <w:t>a</w:t>
      </w:r>
      <w:r>
        <w:rPr>
          <w:spacing w:val="-4"/>
        </w:rPr>
        <w:t xml:space="preserve"> </w:t>
      </w:r>
      <w:r>
        <w:t>total</w:t>
      </w:r>
      <w:r>
        <w:rPr>
          <w:spacing w:val="-8"/>
        </w:rPr>
        <w:t xml:space="preserve"> </w:t>
      </w:r>
      <w:r>
        <w:rPr>
          <w:u w:val="single"/>
        </w:rPr>
        <w:t>construction</w:t>
      </w:r>
      <w:r>
        <w:rPr>
          <w:spacing w:val="-5"/>
        </w:rPr>
        <w:t xml:space="preserve"> </w:t>
      </w:r>
      <w:r>
        <w:t>cost</w:t>
      </w:r>
      <w:r>
        <w:rPr>
          <w:spacing w:val="-5"/>
        </w:rPr>
        <w:t xml:space="preserve"> </w:t>
      </w:r>
      <w:r>
        <w:t>of</w:t>
      </w:r>
      <w:r>
        <w:rPr>
          <w:spacing w:val="-4"/>
        </w:rPr>
        <w:t xml:space="preserve"> </w:t>
      </w:r>
      <w:r>
        <w:t>$200,000</w:t>
      </w:r>
      <w:r>
        <w:rPr>
          <w:spacing w:val="-5"/>
        </w:rPr>
        <w:t xml:space="preserve"> </w:t>
      </w:r>
      <w:r>
        <w:t>or</w:t>
      </w:r>
      <w:r>
        <w:rPr>
          <w:spacing w:val="-5"/>
        </w:rPr>
        <w:t xml:space="preserve"> </w:t>
      </w:r>
      <w:r>
        <w:t>more require bid-ready plans and a letter signed by the project architect or engineer attesting to the fact that a complete set of specifications</w:t>
      </w:r>
      <w:r>
        <w:rPr>
          <w:spacing w:val="-1"/>
        </w:rPr>
        <w:t xml:space="preserve"> </w:t>
      </w:r>
      <w:r>
        <w:t>has been prepared and is bid-ready in each copy of the application.</w:t>
      </w:r>
      <w:r>
        <w:rPr>
          <w:spacing w:val="40"/>
        </w:rPr>
        <w:t xml:space="preserve"> </w:t>
      </w:r>
      <w:r>
        <w:t>Projects less than $200,000 but more than $</w:t>
      </w:r>
      <w:r w:rsidR="00CD1311">
        <w:t>25,000</w:t>
      </w:r>
      <w:r>
        <w:t xml:space="preserve"> require design development drawings.</w:t>
      </w:r>
    </w:p>
    <w:p w14:paraId="338608B5" w14:textId="77777777" w:rsidR="00E044A1" w:rsidRDefault="00E044A1">
      <w:pPr>
        <w:pStyle w:val="BodyText"/>
        <w:spacing w:before="160"/>
      </w:pPr>
    </w:p>
    <w:p w14:paraId="3808DB00" w14:textId="77777777" w:rsidR="00E044A1" w:rsidRDefault="002E1B01">
      <w:pPr>
        <w:pStyle w:val="Heading2"/>
        <w:rPr>
          <w:b w:val="0"/>
        </w:rPr>
      </w:pPr>
      <w:r>
        <w:t>Bid-ready</w:t>
      </w:r>
      <w:r>
        <w:rPr>
          <w:spacing w:val="-13"/>
        </w:rPr>
        <w:t xml:space="preserve"> </w:t>
      </w:r>
      <w:r>
        <w:t>Plans</w:t>
      </w:r>
      <w:r>
        <w:rPr>
          <w:spacing w:val="-12"/>
        </w:rPr>
        <w:t xml:space="preserve"> </w:t>
      </w:r>
      <w:r>
        <w:t>and</w:t>
      </w:r>
      <w:r>
        <w:rPr>
          <w:spacing w:val="-13"/>
        </w:rPr>
        <w:t xml:space="preserve"> </w:t>
      </w:r>
      <w:r>
        <w:t>Specifications</w:t>
      </w:r>
      <w:r>
        <w:rPr>
          <w:spacing w:val="-14"/>
        </w:rPr>
        <w:t xml:space="preserve"> </w:t>
      </w:r>
      <w:r>
        <w:rPr>
          <w:b w:val="0"/>
          <w:spacing w:val="-10"/>
        </w:rPr>
        <w:t>–</w:t>
      </w:r>
    </w:p>
    <w:p w14:paraId="46C66145" w14:textId="77777777" w:rsidR="00E044A1" w:rsidRDefault="00E044A1">
      <w:pPr>
        <w:pStyle w:val="BodyText"/>
        <w:spacing w:before="93"/>
        <w:rPr>
          <w:sz w:val="28"/>
        </w:rPr>
      </w:pPr>
    </w:p>
    <w:p w14:paraId="438E7ED7" w14:textId="77777777" w:rsidR="00E044A1" w:rsidRDefault="002E1B01">
      <w:pPr>
        <w:pStyle w:val="BodyText"/>
        <w:ind w:left="811" w:right="879"/>
        <w:jc w:val="both"/>
      </w:pPr>
      <w:r>
        <w:t>Bid-ready</w:t>
      </w:r>
      <w:r>
        <w:rPr>
          <w:spacing w:val="-4"/>
        </w:rPr>
        <w:t xml:space="preserve"> </w:t>
      </w:r>
      <w:r>
        <w:t>plans</w:t>
      </w:r>
      <w:r>
        <w:rPr>
          <w:spacing w:val="-5"/>
        </w:rPr>
        <w:t xml:space="preserve"> </w:t>
      </w:r>
      <w:r>
        <w:t>and</w:t>
      </w:r>
      <w:r>
        <w:rPr>
          <w:spacing w:val="-4"/>
        </w:rPr>
        <w:t xml:space="preserve"> </w:t>
      </w:r>
      <w:r>
        <w:t>a</w:t>
      </w:r>
      <w:r>
        <w:rPr>
          <w:spacing w:val="-3"/>
        </w:rPr>
        <w:t xml:space="preserve"> </w:t>
      </w:r>
      <w:r>
        <w:t>letter</w:t>
      </w:r>
      <w:r>
        <w:rPr>
          <w:spacing w:val="-4"/>
        </w:rPr>
        <w:t xml:space="preserve"> </w:t>
      </w:r>
      <w:r>
        <w:t>signed</w:t>
      </w:r>
      <w:r>
        <w:rPr>
          <w:spacing w:val="-3"/>
        </w:rPr>
        <w:t xml:space="preserve"> </w:t>
      </w:r>
      <w:r>
        <w:t>by</w:t>
      </w:r>
      <w:r>
        <w:rPr>
          <w:spacing w:val="-4"/>
        </w:rPr>
        <w:t xml:space="preserve"> </w:t>
      </w:r>
      <w:r>
        <w:t>the</w:t>
      </w:r>
      <w:r>
        <w:rPr>
          <w:spacing w:val="-5"/>
        </w:rPr>
        <w:t xml:space="preserve"> </w:t>
      </w:r>
      <w:r>
        <w:t>project</w:t>
      </w:r>
      <w:r>
        <w:rPr>
          <w:spacing w:val="-4"/>
        </w:rPr>
        <w:t xml:space="preserve"> </w:t>
      </w:r>
      <w:r>
        <w:t>architect</w:t>
      </w:r>
      <w:r>
        <w:rPr>
          <w:spacing w:val="-4"/>
        </w:rPr>
        <w:t xml:space="preserve"> </w:t>
      </w:r>
      <w:r>
        <w:t>or</w:t>
      </w:r>
      <w:r>
        <w:rPr>
          <w:spacing w:val="-4"/>
        </w:rPr>
        <w:t xml:space="preserve"> </w:t>
      </w:r>
      <w:r>
        <w:t>engineer</w:t>
      </w:r>
      <w:r>
        <w:rPr>
          <w:spacing w:val="-4"/>
        </w:rPr>
        <w:t xml:space="preserve"> </w:t>
      </w:r>
      <w:r>
        <w:t>attesting</w:t>
      </w:r>
      <w:r>
        <w:rPr>
          <w:spacing w:val="-3"/>
        </w:rPr>
        <w:t xml:space="preserve"> </w:t>
      </w:r>
      <w:r>
        <w:t>to</w:t>
      </w:r>
      <w:r>
        <w:rPr>
          <w:spacing w:val="-4"/>
        </w:rPr>
        <w:t xml:space="preserve"> </w:t>
      </w:r>
      <w:r>
        <w:t>the</w:t>
      </w:r>
      <w:r>
        <w:rPr>
          <w:spacing w:val="-3"/>
        </w:rPr>
        <w:t xml:space="preserve"> </w:t>
      </w:r>
      <w:r>
        <w:t>fact</w:t>
      </w:r>
      <w:r>
        <w:rPr>
          <w:spacing w:val="-4"/>
        </w:rPr>
        <w:t xml:space="preserve"> </w:t>
      </w:r>
      <w:r>
        <w:t>that</w:t>
      </w:r>
      <w:r>
        <w:rPr>
          <w:spacing w:val="-4"/>
        </w:rPr>
        <w:t xml:space="preserve"> </w:t>
      </w:r>
      <w:r>
        <w:t>a</w:t>
      </w:r>
      <w:r>
        <w:rPr>
          <w:spacing w:val="-4"/>
        </w:rPr>
        <w:t xml:space="preserve"> </w:t>
      </w:r>
      <w:r>
        <w:t>complete set</w:t>
      </w:r>
      <w:r>
        <w:rPr>
          <w:spacing w:val="-11"/>
        </w:rPr>
        <w:t xml:space="preserve"> </w:t>
      </w:r>
      <w:r>
        <w:t>of</w:t>
      </w:r>
      <w:r>
        <w:rPr>
          <w:spacing w:val="-11"/>
        </w:rPr>
        <w:t xml:space="preserve"> </w:t>
      </w:r>
      <w:r>
        <w:t>specifications</w:t>
      </w:r>
      <w:r>
        <w:rPr>
          <w:spacing w:val="-12"/>
        </w:rPr>
        <w:t xml:space="preserve"> </w:t>
      </w:r>
      <w:r>
        <w:t>has</w:t>
      </w:r>
      <w:r>
        <w:rPr>
          <w:spacing w:val="-12"/>
        </w:rPr>
        <w:t xml:space="preserve"> </w:t>
      </w:r>
      <w:r>
        <w:t>been</w:t>
      </w:r>
      <w:r>
        <w:rPr>
          <w:spacing w:val="-11"/>
        </w:rPr>
        <w:t xml:space="preserve"> </w:t>
      </w:r>
      <w:r>
        <w:t>prepared</w:t>
      </w:r>
      <w:r>
        <w:rPr>
          <w:spacing w:val="-11"/>
        </w:rPr>
        <w:t xml:space="preserve"> </w:t>
      </w:r>
      <w:r>
        <w:t>and</w:t>
      </w:r>
      <w:r>
        <w:rPr>
          <w:spacing w:val="-11"/>
        </w:rPr>
        <w:t xml:space="preserve"> </w:t>
      </w:r>
      <w:r>
        <w:t>is</w:t>
      </w:r>
      <w:r>
        <w:rPr>
          <w:spacing w:val="-12"/>
        </w:rPr>
        <w:t xml:space="preserve"> </w:t>
      </w:r>
      <w:r>
        <w:t>bid-ready</w:t>
      </w:r>
      <w:r>
        <w:rPr>
          <w:spacing w:val="-11"/>
        </w:rPr>
        <w:t xml:space="preserve"> </w:t>
      </w:r>
      <w:r>
        <w:t>are</w:t>
      </w:r>
      <w:r>
        <w:rPr>
          <w:spacing w:val="-12"/>
        </w:rPr>
        <w:t xml:space="preserve"> </w:t>
      </w:r>
      <w:r>
        <w:t>required</w:t>
      </w:r>
      <w:r>
        <w:rPr>
          <w:spacing w:val="-12"/>
        </w:rPr>
        <w:t xml:space="preserve"> </w:t>
      </w:r>
      <w:r>
        <w:t>for</w:t>
      </w:r>
      <w:r>
        <w:rPr>
          <w:spacing w:val="-11"/>
        </w:rPr>
        <w:t xml:space="preserve"> </w:t>
      </w:r>
      <w:r>
        <w:t>all</w:t>
      </w:r>
      <w:r>
        <w:rPr>
          <w:spacing w:val="-11"/>
        </w:rPr>
        <w:t xml:space="preserve"> </w:t>
      </w:r>
      <w:r>
        <w:t>public</w:t>
      </w:r>
      <w:r>
        <w:rPr>
          <w:spacing w:val="-11"/>
        </w:rPr>
        <w:t xml:space="preserve"> </w:t>
      </w:r>
      <w:r>
        <w:t>facilities</w:t>
      </w:r>
      <w:r>
        <w:rPr>
          <w:spacing w:val="-12"/>
        </w:rPr>
        <w:t xml:space="preserve"> </w:t>
      </w:r>
      <w:r>
        <w:t>and</w:t>
      </w:r>
      <w:r>
        <w:rPr>
          <w:spacing w:val="-12"/>
        </w:rPr>
        <w:t xml:space="preserve"> </w:t>
      </w:r>
      <w:r>
        <w:t>architectural barrier removal projects with a construction cost of $200,000 or more. Design development drawings are required for public facilities and architectural barrier removal projects, with a total construction cost of more than $25,000 but less than $200,000.</w:t>
      </w:r>
    </w:p>
    <w:p w14:paraId="4CA4D1BA" w14:textId="77777777" w:rsidR="00E044A1" w:rsidRDefault="00E044A1">
      <w:pPr>
        <w:pStyle w:val="BodyText"/>
        <w:spacing w:before="162"/>
      </w:pPr>
    </w:p>
    <w:p w14:paraId="6A0E9B51" w14:textId="77777777" w:rsidR="00E044A1" w:rsidRDefault="002E1B01">
      <w:pPr>
        <w:pStyle w:val="Heading2"/>
      </w:pPr>
      <w:r>
        <w:rPr>
          <w:spacing w:val="-2"/>
        </w:rPr>
        <w:t>Housing</w:t>
      </w:r>
      <w:r>
        <w:rPr>
          <w:spacing w:val="-4"/>
        </w:rPr>
        <w:t xml:space="preserve"> </w:t>
      </w:r>
      <w:r>
        <w:rPr>
          <w:spacing w:val="-2"/>
        </w:rPr>
        <w:t>Rehabilitation</w:t>
      </w:r>
      <w:r>
        <w:rPr>
          <w:spacing w:val="-1"/>
        </w:rPr>
        <w:t xml:space="preserve"> </w:t>
      </w:r>
      <w:r>
        <w:rPr>
          <w:spacing w:val="-2"/>
        </w:rPr>
        <w:t>Funds</w:t>
      </w:r>
      <w:r>
        <w:rPr>
          <w:spacing w:val="-5"/>
        </w:rPr>
        <w:t xml:space="preserve"> </w:t>
      </w:r>
      <w:r>
        <w:rPr>
          <w:spacing w:val="-2"/>
        </w:rPr>
        <w:t>– Prior</w:t>
      </w:r>
      <w:r>
        <w:rPr>
          <w:spacing w:val="-4"/>
        </w:rPr>
        <w:t xml:space="preserve"> </w:t>
      </w:r>
      <w:r>
        <w:rPr>
          <w:spacing w:val="-2"/>
        </w:rPr>
        <w:t>Performance</w:t>
      </w:r>
      <w:r>
        <w:rPr>
          <w:spacing w:val="-5"/>
        </w:rPr>
        <w:t xml:space="preserve"> </w:t>
      </w:r>
      <w:r>
        <w:rPr>
          <w:spacing w:val="-10"/>
        </w:rPr>
        <w:t>–</w:t>
      </w:r>
    </w:p>
    <w:p w14:paraId="4D696EF5" w14:textId="77777777" w:rsidR="00E044A1" w:rsidRDefault="002E1B01">
      <w:pPr>
        <w:pStyle w:val="BodyText"/>
        <w:spacing w:before="320"/>
        <w:ind w:left="811" w:right="877"/>
        <w:jc w:val="both"/>
      </w:pPr>
      <w:r>
        <w:t>Lead applicants must provide a one-page rationale, including status update of recent HR programs if applicable, to justify requested amount. The rationale should be uploaded as an attachment to the miscellaneous tab.</w:t>
      </w:r>
      <w:r>
        <w:rPr>
          <w:spacing w:val="40"/>
        </w:rPr>
        <w:t xml:space="preserve"> </w:t>
      </w:r>
      <w:r>
        <w:t>Applicants should ensure that the amount requested does not exceed the funding required for an 18-month implementation period and that the amount of funding identified connects to an existing, defined need.</w:t>
      </w:r>
    </w:p>
    <w:p w14:paraId="60D2827F" w14:textId="77777777" w:rsidR="00E044A1" w:rsidRDefault="00E044A1">
      <w:pPr>
        <w:pStyle w:val="BodyText"/>
        <w:spacing w:before="26"/>
      </w:pPr>
    </w:p>
    <w:p w14:paraId="06E525A5" w14:textId="77777777" w:rsidR="00E044A1" w:rsidRDefault="002E1B01">
      <w:pPr>
        <w:pStyle w:val="BodyText"/>
        <w:ind w:left="810" w:right="941" w:firstLine="1"/>
        <w:jc w:val="both"/>
      </w:pPr>
      <w:r>
        <w:t>If an applicant is applying for a Housing Rehabilitation activity, EOHLC reserves the right to reduce the amount requested.</w:t>
      </w:r>
      <w:r>
        <w:rPr>
          <w:spacing w:val="40"/>
        </w:rPr>
        <w:t xml:space="preserve"> </w:t>
      </w:r>
      <w:r>
        <w:t>EOHLC will consider the past performance in the management of state grants, including but not limited to CDBG, by the applicant community and its administering agency or project sponsor, including continuing prior performance issues such program extension requests, program amendments and requests to re- program past grant funds due to inability to complete the originally awarded activities. EOHLC may also reduce an award based on the amount of HR funds remaining in previous grants.</w:t>
      </w:r>
      <w:r>
        <w:rPr>
          <w:spacing w:val="40"/>
        </w:rPr>
        <w:t xml:space="preserve"> </w:t>
      </w:r>
      <w:r>
        <w:t>Please note, if the lead municipality is less than 40% expended as reflected in GMS for their housing rehabilitation activity from a FFY21 CDF grant at the time the application opens, the municipality may not apply for this activity.</w:t>
      </w:r>
    </w:p>
    <w:p w14:paraId="1FE1E6D0" w14:textId="77777777" w:rsidR="00E044A1" w:rsidRDefault="00E044A1">
      <w:pPr>
        <w:pStyle w:val="BodyText"/>
      </w:pPr>
    </w:p>
    <w:p w14:paraId="3860720F" w14:textId="77777777" w:rsidR="00E044A1" w:rsidRDefault="002E1B01">
      <w:pPr>
        <w:pStyle w:val="Heading1"/>
        <w:ind w:left="810"/>
      </w:pPr>
      <w:r>
        <w:t>ALLOCATION</w:t>
      </w:r>
      <w:r>
        <w:rPr>
          <w:spacing w:val="-10"/>
        </w:rPr>
        <w:t xml:space="preserve"> </w:t>
      </w:r>
      <w:r>
        <w:t>OF</w:t>
      </w:r>
      <w:r>
        <w:rPr>
          <w:spacing w:val="-8"/>
        </w:rPr>
        <w:t xml:space="preserve"> </w:t>
      </w:r>
      <w:r>
        <w:t>CDBG</w:t>
      </w:r>
      <w:r>
        <w:rPr>
          <w:spacing w:val="-10"/>
        </w:rPr>
        <w:t xml:space="preserve"> </w:t>
      </w:r>
      <w:r>
        <w:t>FUNDS</w:t>
      </w:r>
      <w:r>
        <w:rPr>
          <w:spacing w:val="-9"/>
        </w:rPr>
        <w:t xml:space="preserve"> </w:t>
      </w:r>
      <w:r>
        <w:t>TO</w:t>
      </w:r>
      <w:r>
        <w:rPr>
          <w:spacing w:val="-9"/>
        </w:rPr>
        <w:t xml:space="preserve"> </w:t>
      </w:r>
      <w:r>
        <w:t>THE</w:t>
      </w:r>
      <w:r>
        <w:rPr>
          <w:spacing w:val="-8"/>
        </w:rPr>
        <w:t xml:space="preserve"> </w:t>
      </w:r>
      <w:r>
        <w:rPr>
          <w:spacing w:val="-2"/>
        </w:rPr>
        <w:t>COMMONWEALTH:</w:t>
      </w:r>
    </w:p>
    <w:p w14:paraId="670481A3" w14:textId="77777777" w:rsidR="00E044A1" w:rsidRDefault="002E1B01">
      <w:pPr>
        <w:pStyle w:val="BodyText"/>
        <w:spacing w:before="250"/>
        <w:ind w:left="810"/>
      </w:pPr>
      <w:r>
        <w:t>EOHLC</w:t>
      </w:r>
      <w:r>
        <w:rPr>
          <w:spacing w:val="-6"/>
        </w:rPr>
        <w:t xml:space="preserve"> </w:t>
      </w:r>
      <w:r>
        <w:t>proposes</w:t>
      </w:r>
      <w:r>
        <w:rPr>
          <w:spacing w:val="-7"/>
        </w:rPr>
        <w:t xml:space="preserve"> </w:t>
      </w:r>
      <w:r>
        <w:t>the</w:t>
      </w:r>
      <w:r>
        <w:rPr>
          <w:spacing w:val="-7"/>
        </w:rPr>
        <w:t xml:space="preserve"> </w:t>
      </w:r>
      <w:r>
        <w:t>following</w:t>
      </w:r>
      <w:r>
        <w:rPr>
          <w:spacing w:val="-7"/>
        </w:rPr>
        <w:t xml:space="preserve"> </w:t>
      </w:r>
      <w:r>
        <w:t>allocation</w:t>
      </w:r>
      <w:r>
        <w:rPr>
          <w:spacing w:val="-7"/>
        </w:rPr>
        <w:t xml:space="preserve"> </w:t>
      </w:r>
      <w:r>
        <w:t>of</w:t>
      </w:r>
      <w:r>
        <w:rPr>
          <w:spacing w:val="-7"/>
        </w:rPr>
        <w:t xml:space="preserve"> </w:t>
      </w:r>
      <w:r>
        <w:t>2025</w:t>
      </w:r>
      <w:r>
        <w:rPr>
          <w:spacing w:val="-6"/>
        </w:rPr>
        <w:t xml:space="preserve"> </w:t>
      </w:r>
      <w:r>
        <w:t>funds</w:t>
      </w:r>
      <w:r>
        <w:rPr>
          <w:spacing w:val="-8"/>
        </w:rPr>
        <w:t xml:space="preserve"> </w:t>
      </w:r>
      <w:r>
        <w:t>based</w:t>
      </w:r>
      <w:r>
        <w:rPr>
          <w:spacing w:val="-6"/>
        </w:rPr>
        <w:t xml:space="preserve"> </w:t>
      </w:r>
      <w:r>
        <w:t>on</w:t>
      </w:r>
      <w:r>
        <w:rPr>
          <w:spacing w:val="-6"/>
        </w:rPr>
        <w:t xml:space="preserve"> </w:t>
      </w:r>
      <w:r>
        <w:t>level</w:t>
      </w:r>
      <w:r>
        <w:rPr>
          <w:spacing w:val="-7"/>
        </w:rPr>
        <w:t xml:space="preserve"> </w:t>
      </w:r>
      <w:r>
        <w:t>funding</w:t>
      </w:r>
      <w:r>
        <w:rPr>
          <w:spacing w:val="-7"/>
        </w:rPr>
        <w:t xml:space="preserve"> </w:t>
      </w:r>
      <w:r>
        <w:t>from</w:t>
      </w:r>
      <w:r>
        <w:rPr>
          <w:spacing w:val="-8"/>
        </w:rPr>
        <w:t xml:space="preserve"> </w:t>
      </w:r>
      <w:r>
        <w:rPr>
          <w:spacing w:val="-2"/>
        </w:rPr>
        <w:t>FFY24:</w:t>
      </w:r>
    </w:p>
    <w:p w14:paraId="32EE4267" w14:textId="77777777" w:rsidR="00E044A1" w:rsidRDefault="00E044A1">
      <w:pPr>
        <w:pStyle w:val="BodyText"/>
        <w:spacing w:before="38"/>
        <w:rPr>
          <w:sz w:val="20"/>
        </w:rPr>
      </w:pPr>
    </w:p>
    <w:tbl>
      <w:tblPr>
        <w:tblW w:w="0" w:type="auto"/>
        <w:tblInd w:w="90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6948"/>
        <w:gridCol w:w="2742"/>
      </w:tblGrid>
      <w:tr w:rsidR="00E044A1" w14:paraId="7843C224" w14:textId="77777777">
        <w:trPr>
          <w:trHeight w:val="560"/>
        </w:trPr>
        <w:tc>
          <w:tcPr>
            <w:tcW w:w="6948" w:type="dxa"/>
            <w:tcBorders>
              <w:bottom w:val="single" w:sz="6" w:space="0" w:color="000000"/>
              <w:right w:val="single" w:sz="6" w:space="0" w:color="000000"/>
            </w:tcBorders>
          </w:tcPr>
          <w:p w14:paraId="79762A61" w14:textId="77777777" w:rsidR="00E044A1" w:rsidRDefault="002E1B01">
            <w:pPr>
              <w:pStyle w:val="TableParagraph"/>
              <w:rPr>
                <w:b/>
              </w:rPr>
            </w:pPr>
            <w:r>
              <w:rPr>
                <w:b/>
              </w:rPr>
              <w:t>MA</w:t>
            </w:r>
            <w:r>
              <w:rPr>
                <w:b/>
                <w:spacing w:val="-8"/>
              </w:rPr>
              <w:t xml:space="preserve"> </w:t>
            </w:r>
            <w:r>
              <w:rPr>
                <w:b/>
              </w:rPr>
              <w:t>CDBG</w:t>
            </w:r>
            <w:r>
              <w:rPr>
                <w:b/>
                <w:spacing w:val="-6"/>
              </w:rPr>
              <w:t xml:space="preserve"> </w:t>
            </w:r>
            <w:r>
              <w:rPr>
                <w:b/>
              </w:rPr>
              <w:t>PROGRAM</w:t>
            </w:r>
            <w:r>
              <w:rPr>
                <w:b/>
                <w:spacing w:val="-8"/>
              </w:rPr>
              <w:t xml:space="preserve"> </w:t>
            </w:r>
            <w:r>
              <w:rPr>
                <w:b/>
                <w:spacing w:val="-2"/>
              </w:rPr>
              <w:t>COMPONENT</w:t>
            </w:r>
          </w:p>
        </w:tc>
        <w:tc>
          <w:tcPr>
            <w:tcW w:w="2742" w:type="dxa"/>
            <w:tcBorders>
              <w:left w:val="single" w:sz="6" w:space="0" w:color="000000"/>
              <w:bottom w:val="single" w:sz="6" w:space="0" w:color="000000"/>
            </w:tcBorders>
          </w:tcPr>
          <w:p w14:paraId="4544B796" w14:textId="77777777" w:rsidR="00E044A1" w:rsidRDefault="002E1B01">
            <w:pPr>
              <w:pStyle w:val="TableParagraph"/>
              <w:rPr>
                <w:b/>
              </w:rPr>
            </w:pPr>
            <w:r>
              <w:rPr>
                <w:b/>
              </w:rPr>
              <w:t>FFY</w:t>
            </w:r>
            <w:r>
              <w:rPr>
                <w:b/>
                <w:spacing w:val="-6"/>
              </w:rPr>
              <w:t xml:space="preserve"> </w:t>
            </w:r>
            <w:r>
              <w:rPr>
                <w:b/>
              </w:rPr>
              <w:t>2025</w:t>
            </w:r>
            <w:r>
              <w:rPr>
                <w:b/>
                <w:spacing w:val="-6"/>
              </w:rPr>
              <w:t xml:space="preserve"> </w:t>
            </w:r>
            <w:r>
              <w:rPr>
                <w:b/>
                <w:spacing w:val="-2"/>
              </w:rPr>
              <w:t>ALLOCATION</w:t>
            </w:r>
          </w:p>
        </w:tc>
      </w:tr>
      <w:tr w:rsidR="00E044A1" w14:paraId="44184C51" w14:textId="77777777">
        <w:trPr>
          <w:trHeight w:val="252"/>
        </w:trPr>
        <w:tc>
          <w:tcPr>
            <w:tcW w:w="6948" w:type="dxa"/>
            <w:tcBorders>
              <w:top w:val="single" w:sz="6" w:space="0" w:color="000000"/>
              <w:bottom w:val="single" w:sz="6" w:space="0" w:color="000000"/>
              <w:right w:val="single" w:sz="6" w:space="0" w:color="000000"/>
            </w:tcBorders>
          </w:tcPr>
          <w:p w14:paraId="5A7BD850" w14:textId="77777777" w:rsidR="00E044A1" w:rsidRDefault="002E1B01">
            <w:pPr>
              <w:pStyle w:val="TableParagraph"/>
              <w:spacing w:line="233" w:lineRule="exact"/>
              <w:rPr>
                <w:b/>
              </w:rPr>
            </w:pPr>
            <w:r>
              <w:rPr>
                <w:b/>
                <w:spacing w:val="-2"/>
              </w:rPr>
              <w:t>Community</w:t>
            </w:r>
            <w:r>
              <w:rPr>
                <w:b/>
                <w:spacing w:val="4"/>
              </w:rPr>
              <w:t xml:space="preserve"> </w:t>
            </w:r>
            <w:r>
              <w:rPr>
                <w:b/>
                <w:spacing w:val="-2"/>
              </w:rPr>
              <w:t>Development</w:t>
            </w:r>
            <w:r>
              <w:rPr>
                <w:b/>
                <w:spacing w:val="5"/>
              </w:rPr>
              <w:t xml:space="preserve"> </w:t>
            </w:r>
            <w:r>
              <w:rPr>
                <w:b/>
                <w:spacing w:val="-4"/>
              </w:rPr>
              <w:t>Fund</w:t>
            </w:r>
          </w:p>
        </w:tc>
        <w:tc>
          <w:tcPr>
            <w:tcW w:w="2742" w:type="dxa"/>
            <w:tcBorders>
              <w:top w:val="single" w:sz="6" w:space="0" w:color="000000"/>
              <w:left w:val="single" w:sz="6" w:space="0" w:color="000000"/>
              <w:bottom w:val="single" w:sz="6" w:space="0" w:color="000000"/>
            </w:tcBorders>
          </w:tcPr>
          <w:p w14:paraId="5C264B01" w14:textId="77777777" w:rsidR="00E044A1" w:rsidRDefault="002E1B01">
            <w:pPr>
              <w:pStyle w:val="TableParagraph"/>
              <w:spacing w:line="233" w:lineRule="exact"/>
              <w:ind w:left="53"/>
            </w:pPr>
            <w:r>
              <w:rPr>
                <w:spacing w:val="-2"/>
              </w:rPr>
              <w:t>$23,687,133</w:t>
            </w:r>
          </w:p>
        </w:tc>
      </w:tr>
      <w:tr w:rsidR="00E044A1" w14:paraId="650DEB19" w14:textId="77777777">
        <w:trPr>
          <w:trHeight w:val="249"/>
        </w:trPr>
        <w:tc>
          <w:tcPr>
            <w:tcW w:w="6948" w:type="dxa"/>
            <w:tcBorders>
              <w:top w:val="single" w:sz="6" w:space="0" w:color="000000"/>
              <w:bottom w:val="single" w:sz="6" w:space="0" w:color="000000"/>
              <w:right w:val="single" w:sz="6" w:space="0" w:color="000000"/>
            </w:tcBorders>
          </w:tcPr>
          <w:p w14:paraId="733488ED" w14:textId="77777777" w:rsidR="00E044A1" w:rsidRDefault="00E044A1">
            <w:pPr>
              <w:pStyle w:val="TableParagraph"/>
              <w:ind w:left="0"/>
              <w:rPr>
                <w:rFonts w:ascii="Times New Roman"/>
                <w:sz w:val="18"/>
              </w:rPr>
            </w:pPr>
          </w:p>
        </w:tc>
        <w:tc>
          <w:tcPr>
            <w:tcW w:w="2742" w:type="dxa"/>
            <w:tcBorders>
              <w:top w:val="single" w:sz="6" w:space="0" w:color="000000"/>
              <w:left w:val="single" w:sz="6" w:space="0" w:color="000000"/>
              <w:bottom w:val="single" w:sz="6" w:space="0" w:color="000000"/>
            </w:tcBorders>
          </w:tcPr>
          <w:p w14:paraId="4175F391" w14:textId="77777777" w:rsidR="00E044A1" w:rsidRDefault="00E044A1">
            <w:pPr>
              <w:pStyle w:val="TableParagraph"/>
              <w:ind w:left="0"/>
              <w:rPr>
                <w:rFonts w:ascii="Times New Roman"/>
                <w:sz w:val="18"/>
              </w:rPr>
            </w:pPr>
          </w:p>
        </w:tc>
      </w:tr>
      <w:tr w:rsidR="00E044A1" w14:paraId="6EBECF5A" w14:textId="77777777">
        <w:trPr>
          <w:trHeight w:val="253"/>
        </w:trPr>
        <w:tc>
          <w:tcPr>
            <w:tcW w:w="6948" w:type="dxa"/>
            <w:tcBorders>
              <w:top w:val="single" w:sz="6" w:space="0" w:color="000000"/>
              <w:bottom w:val="single" w:sz="6" w:space="0" w:color="000000"/>
              <w:right w:val="single" w:sz="6" w:space="0" w:color="000000"/>
            </w:tcBorders>
          </w:tcPr>
          <w:p w14:paraId="62010DB9" w14:textId="77777777" w:rsidR="00E044A1" w:rsidRDefault="002E1B01">
            <w:pPr>
              <w:pStyle w:val="TableParagraph"/>
              <w:spacing w:line="233" w:lineRule="exact"/>
              <w:rPr>
                <w:b/>
              </w:rPr>
            </w:pPr>
            <w:r>
              <w:rPr>
                <w:b/>
                <w:spacing w:val="-2"/>
              </w:rPr>
              <w:t>Mini-Entitlement</w:t>
            </w:r>
            <w:r>
              <w:rPr>
                <w:b/>
                <w:spacing w:val="11"/>
              </w:rPr>
              <w:t xml:space="preserve"> </w:t>
            </w:r>
            <w:r>
              <w:rPr>
                <w:b/>
                <w:spacing w:val="-2"/>
              </w:rPr>
              <w:t>Program</w:t>
            </w:r>
          </w:p>
        </w:tc>
        <w:tc>
          <w:tcPr>
            <w:tcW w:w="2742" w:type="dxa"/>
            <w:tcBorders>
              <w:top w:val="single" w:sz="6" w:space="0" w:color="000000"/>
              <w:left w:val="single" w:sz="6" w:space="0" w:color="000000"/>
              <w:bottom w:val="single" w:sz="6" w:space="0" w:color="000000"/>
            </w:tcBorders>
          </w:tcPr>
          <w:p w14:paraId="5D7864C5" w14:textId="77777777" w:rsidR="00E044A1" w:rsidRDefault="002E1B01">
            <w:pPr>
              <w:pStyle w:val="TableParagraph"/>
              <w:spacing w:line="233" w:lineRule="exact"/>
              <w:ind w:left="53"/>
            </w:pPr>
            <w:r>
              <w:rPr>
                <w:spacing w:val="-2"/>
              </w:rPr>
              <w:t>$9,500,000</w:t>
            </w:r>
          </w:p>
        </w:tc>
      </w:tr>
      <w:tr w:rsidR="00E044A1" w14:paraId="5F1BDE62" w14:textId="77777777">
        <w:trPr>
          <w:trHeight w:val="1064"/>
        </w:trPr>
        <w:tc>
          <w:tcPr>
            <w:tcW w:w="6948" w:type="dxa"/>
            <w:tcBorders>
              <w:top w:val="single" w:sz="6" w:space="0" w:color="000000"/>
              <w:bottom w:val="single" w:sz="6" w:space="0" w:color="000000"/>
              <w:right w:val="single" w:sz="6" w:space="0" w:color="000000"/>
            </w:tcBorders>
          </w:tcPr>
          <w:p w14:paraId="29259E37" w14:textId="77777777" w:rsidR="00E044A1" w:rsidRDefault="00E044A1">
            <w:pPr>
              <w:pStyle w:val="TableParagraph"/>
              <w:spacing w:before="249"/>
              <w:ind w:left="0"/>
            </w:pPr>
          </w:p>
          <w:p w14:paraId="23337AD3" w14:textId="77777777" w:rsidR="00E044A1" w:rsidRDefault="002E1B01">
            <w:pPr>
              <w:pStyle w:val="TableParagraph"/>
              <w:rPr>
                <w:b/>
              </w:rPr>
            </w:pPr>
            <w:r>
              <w:rPr>
                <w:b/>
              </w:rPr>
              <w:t>-Section</w:t>
            </w:r>
            <w:r>
              <w:rPr>
                <w:b/>
                <w:spacing w:val="-9"/>
              </w:rPr>
              <w:t xml:space="preserve"> </w:t>
            </w:r>
            <w:r>
              <w:rPr>
                <w:b/>
              </w:rPr>
              <w:t>108</w:t>
            </w:r>
            <w:r>
              <w:rPr>
                <w:b/>
                <w:spacing w:val="-7"/>
              </w:rPr>
              <w:t xml:space="preserve"> </w:t>
            </w:r>
            <w:r>
              <w:rPr>
                <w:b/>
              </w:rPr>
              <w:t>Loan</w:t>
            </w:r>
            <w:r>
              <w:rPr>
                <w:b/>
                <w:spacing w:val="-8"/>
              </w:rPr>
              <w:t xml:space="preserve"> </w:t>
            </w:r>
            <w:r>
              <w:rPr>
                <w:b/>
                <w:spacing w:val="-2"/>
              </w:rPr>
              <w:t>Guarantee*</w:t>
            </w:r>
          </w:p>
        </w:tc>
        <w:tc>
          <w:tcPr>
            <w:tcW w:w="2742" w:type="dxa"/>
            <w:tcBorders>
              <w:top w:val="single" w:sz="6" w:space="0" w:color="000000"/>
              <w:left w:val="single" w:sz="6" w:space="0" w:color="000000"/>
              <w:bottom w:val="single" w:sz="6" w:space="0" w:color="000000"/>
            </w:tcBorders>
          </w:tcPr>
          <w:p w14:paraId="08FBB823" w14:textId="77777777" w:rsidR="00E044A1" w:rsidRDefault="00E044A1">
            <w:pPr>
              <w:pStyle w:val="TableParagraph"/>
              <w:ind w:left="0"/>
            </w:pPr>
          </w:p>
          <w:p w14:paraId="3BD3D521" w14:textId="77777777" w:rsidR="00E044A1" w:rsidRDefault="00E044A1">
            <w:pPr>
              <w:pStyle w:val="TableParagraph"/>
              <w:spacing w:before="249"/>
              <w:ind w:left="0"/>
            </w:pPr>
          </w:p>
          <w:p w14:paraId="48A43897" w14:textId="77777777" w:rsidR="00E044A1" w:rsidRDefault="002E1B01">
            <w:pPr>
              <w:pStyle w:val="TableParagraph"/>
              <w:rPr>
                <w:i/>
              </w:rPr>
            </w:pPr>
            <w:r>
              <w:rPr>
                <w:i/>
                <w:spacing w:val="-2"/>
              </w:rPr>
              <w:t>$10,000,000</w:t>
            </w:r>
          </w:p>
        </w:tc>
      </w:tr>
    </w:tbl>
    <w:p w14:paraId="4B2F3429" w14:textId="77777777" w:rsidR="00E044A1" w:rsidRDefault="00E044A1">
      <w:pPr>
        <w:sectPr w:rsidR="00E044A1">
          <w:pgSz w:w="12240" w:h="15840"/>
          <w:pgMar w:top="820" w:right="620" w:bottom="1216" w:left="500" w:header="720" w:footer="720" w:gutter="0"/>
          <w:cols w:space="720"/>
        </w:sectPr>
      </w:pPr>
    </w:p>
    <w:tbl>
      <w:tblPr>
        <w:tblW w:w="0" w:type="auto"/>
        <w:tblInd w:w="90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6948"/>
        <w:gridCol w:w="2742"/>
      </w:tblGrid>
      <w:tr w:rsidR="00E044A1" w14:paraId="61142D94" w14:textId="77777777">
        <w:trPr>
          <w:trHeight w:val="560"/>
        </w:trPr>
        <w:tc>
          <w:tcPr>
            <w:tcW w:w="6948" w:type="dxa"/>
            <w:tcBorders>
              <w:bottom w:val="single" w:sz="6" w:space="0" w:color="000000"/>
              <w:right w:val="single" w:sz="6" w:space="0" w:color="000000"/>
            </w:tcBorders>
          </w:tcPr>
          <w:p w14:paraId="6CF0EB93" w14:textId="77777777" w:rsidR="00E044A1" w:rsidRDefault="002E1B01">
            <w:pPr>
              <w:pStyle w:val="TableParagraph"/>
              <w:spacing w:before="1"/>
              <w:rPr>
                <w:b/>
              </w:rPr>
            </w:pPr>
            <w:r>
              <w:rPr>
                <w:b/>
              </w:rPr>
              <w:lastRenderedPageBreak/>
              <w:t>MA</w:t>
            </w:r>
            <w:r>
              <w:rPr>
                <w:b/>
                <w:spacing w:val="-8"/>
              </w:rPr>
              <w:t xml:space="preserve"> </w:t>
            </w:r>
            <w:r>
              <w:rPr>
                <w:b/>
              </w:rPr>
              <w:t>CDBG</w:t>
            </w:r>
            <w:r>
              <w:rPr>
                <w:b/>
                <w:spacing w:val="-6"/>
              </w:rPr>
              <w:t xml:space="preserve"> </w:t>
            </w:r>
            <w:r>
              <w:rPr>
                <w:b/>
              </w:rPr>
              <w:t>PROGRAM</w:t>
            </w:r>
            <w:r>
              <w:rPr>
                <w:b/>
                <w:spacing w:val="-8"/>
              </w:rPr>
              <w:t xml:space="preserve"> </w:t>
            </w:r>
            <w:r>
              <w:rPr>
                <w:b/>
                <w:spacing w:val="-2"/>
              </w:rPr>
              <w:t>COMPONENT</w:t>
            </w:r>
          </w:p>
        </w:tc>
        <w:tc>
          <w:tcPr>
            <w:tcW w:w="2742" w:type="dxa"/>
            <w:tcBorders>
              <w:left w:val="single" w:sz="6" w:space="0" w:color="000000"/>
              <w:bottom w:val="single" w:sz="6" w:space="0" w:color="000000"/>
            </w:tcBorders>
          </w:tcPr>
          <w:p w14:paraId="718A48B5" w14:textId="77777777" w:rsidR="00E044A1" w:rsidRDefault="002E1B01">
            <w:pPr>
              <w:pStyle w:val="TableParagraph"/>
              <w:spacing w:before="1"/>
              <w:rPr>
                <w:b/>
              </w:rPr>
            </w:pPr>
            <w:r>
              <w:rPr>
                <w:b/>
              </w:rPr>
              <w:t>FFY</w:t>
            </w:r>
            <w:r>
              <w:rPr>
                <w:b/>
                <w:spacing w:val="-6"/>
              </w:rPr>
              <w:t xml:space="preserve"> </w:t>
            </w:r>
            <w:r>
              <w:rPr>
                <w:b/>
              </w:rPr>
              <w:t>2025</w:t>
            </w:r>
            <w:r>
              <w:rPr>
                <w:b/>
                <w:spacing w:val="-6"/>
              </w:rPr>
              <w:t xml:space="preserve"> </w:t>
            </w:r>
            <w:r>
              <w:rPr>
                <w:b/>
                <w:spacing w:val="-2"/>
              </w:rPr>
              <w:t>ALLOCATION</w:t>
            </w:r>
          </w:p>
        </w:tc>
      </w:tr>
      <w:tr w:rsidR="00E044A1" w14:paraId="44112DE7" w14:textId="77777777">
        <w:trPr>
          <w:trHeight w:val="252"/>
        </w:trPr>
        <w:tc>
          <w:tcPr>
            <w:tcW w:w="6948" w:type="dxa"/>
            <w:tcBorders>
              <w:top w:val="single" w:sz="6" w:space="0" w:color="000000"/>
              <w:bottom w:val="single" w:sz="6" w:space="0" w:color="000000"/>
              <w:right w:val="single" w:sz="6" w:space="0" w:color="000000"/>
            </w:tcBorders>
          </w:tcPr>
          <w:p w14:paraId="5E258146" w14:textId="77777777" w:rsidR="00E044A1" w:rsidRDefault="002E1B01">
            <w:pPr>
              <w:pStyle w:val="TableParagraph"/>
              <w:spacing w:line="232" w:lineRule="exact"/>
              <w:rPr>
                <w:b/>
              </w:rPr>
            </w:pPr>
            <w:r>
              <w:rPr>
                <w:b/>
                <w:spacing w:val="-2"/>
              </w:rPr>
              <w:t>Reserves</w:t>
            </w:r>
          </w:p>
        </w:tc>
        <w:tc>
          <w:tcPr>
            <w:tcW w:w="2742" w:type="dxa"/>
            <w:tcBorders>
              <w:top w:val="single" w:sz="6" w:space="0" w:color="000000"/>
              <w:left w:val="single" w:sz="6" w:space="0" w:color="000000"/>
              <w:bottom w:val="single" w:sz="6" w:space="0" w:color="000000"/>
            </w:tcBorders>
          </w:tcPr>
          <w:p w14:paraId="5FDD3398" w14:textId="77777777" w:rsidR="00E044A1" w:rsidRDefault="002E1B01">
            <w:pPr>
              <w:pStyle w:val="TableParagraph"/>
              <w:spacing w:line="232" w:lineRule="exact"/>
            </w:pPr>
            <w:r>
              <w:rPr>
                <w:spacing w:val="-2"/>
              </w:rPr>
              <w:t>$250,000</w:t>
            </w:r>
          </w:p>
        </w:tc>
      </w:tr>
      <w:tr w:rsidR="00E044A1" w14:paraId="4B6C2BB5" w14:textId="77777777">
        <w:trPr>
          <w:trHeight w:val="252"/>
        </w:trPr>
        <w:tc>
          <w:tcPr>
            <w:tcW w:w="6948" w:type="dxa"/>
            <w:tcBorders>
              <w:top w:val="single" w:sz="6" w:space="0" w:color="000000"/>
              <w:bottom w:val="single" w:sz="6" w:space="0" w:color="000000"/>
              <w:right w:val="single" w:sz="6" w:space="0" w:color="000000"/>
            </w:tcBorders>
          </w:tcPr>
          <w:p w14:paraId="621ACF08" w14:textId="77777777" w:rsidR="00E044A1" w:rsidRDefault="002E1B01">
            <w:pPr>
              <w:pStyle w:val="TableParagraph"/>
              <w:spacing w:line="233" w:lineRule="exact"/>
            </w:pPr>
            <w:r>
              <w:rPr>
                <w:b/>
              </w:rPr>
              <w:t>Section</w:t>
            </w:r>
            <w:r>
              <w:rPr>
                <w:b/>
                <w:spacing w:val="-10"/>
              </w:rPr>
              <w:t xml:space="preserve"> </w:t>
            </w:r>
            <w:r>
              <w:rPr>
                <w:b/>
              </w:rPr>
              <w:t>108</w:t>
            </w:r>
            <w:r>
              <w:rPr>
                <w:b/>
                <w:spacing w:val="-7"/>
              </w:rPr>
              <w:t xml:space="preserve"> </w:t>
            </w:r>
            <w:r>
              <w:rPr>
                <w:b/>
              </w:rPr>
              <w:t>Loan</w:t>
            </w:r>
            <w:r>
              <w:rPr>
                <w:b/>
                <w:spacing w:val="-9"/>
              </w:rPr>
              <w:t xml:space="preserve"> </w:t>
            </w:r>
            <w:r>
              <w:rPr>
                <w:b/>
              </w:rPr>
              <w:t>Repayments**</w:t>
            </w:r>
            <w:r>
              <w:rPr>
                <w:b/>
                <w:spacing w:val="-8"/>
              </w:rPr>
              <w:t xml:space="preserve"> </w:t>
            </w:r>
            <w:r>
              <w:t>(No.</w:t>
            </w:r>
            <w:r>
              <w:rPr>
                <w:spacing w:val="-9"/>
              </w:rPr>
              <w:t xml:space="preserve"> </w:t>
            </w:r>
            <w:r>
              <w:t>Adams,</w:t>
            </w:r>
            <w:r>
              <w:rPr>
                <w:spacing w:val="-9"/>
              </w:rPr>
              <w:t xml:space="preserve"> </w:t>
            </w:r>
            <w:r>
              <w:rPr>
                <w:spacing w:val="-2"/>
              </w:rPr>
              <w:t>Everett)</w:t>
            </w:r>
          </w:p>
        </w:tc>
        <w:tc>
          <w:tcPr>
            <w:tcW w:w="2742" w:type="dxa"/>
            <w:tcBorders>
              <w:top w:val="single" w:sz="6" w:space="0" w:color="000000"/>
              <w:left w:val="single" w:sz="6" w:space="0" w:color="000000"/>
              <w:bottom w:val="single" w:sz="6" w:space="0" w:color="000000"/>
            </w:tcBorders>
          </w:tcPr>
          <w:p w14:paraId="39855720" w14:textId="77777777" w:rsidR="00E044A1" w:rsidRDefault="002E1B01">
            <w:pPr>
              <w:pStyle w:val="TableParagraph"/>
              <w:spacing w:line="233" w:lineRule="exact"/>
            </w:pPr>
            <w:r>
              <w:rPr>
                <w:spacing w:val="-2"/>
              </w:rPr>
              <w:t>$336,622</w:t>
            </w:r>
          </w:p>
        </w:tc>
      </w:tr>
      <w:tr w:rsidR="00E044A1" w14:paraId="0629ADC3" w14:textId="77777777">
        <w:trPr>
          <w:trHeight w:val="252"/>
        </w:trPr>
        <w:tc>
          <w:tcPr>
            <w:tcW w:w="6948" w:type="dxa"/>
            <w:tcBorders>
              <w:top w:val="single" w:sz="6" w:space="0" w:color="000000"/>
              <w:bottom w:val="single" w:sz="6" w:space="0" w:color="000000"/>
              <w:right w:val="single" w:sz="6" w:space="0" w:color="000000"/>
            </w:tcBorders>
          </w:tcPr>
          <w:p w14:paraId="0FD5AABB" w14:textId="77777777" w:rsidR="00E044A1" w:rsidRDefault="002E1B01">
            <w:pPr>
              <w:pStyle w:val="TableParagraph"/>
              <w:spacing w:line="232" w:lineRule="exact"/>
              <w:rPr>
                <w:b/>
              </w:rPr>
            </w:pPr>
            <w:r>
              <w:rPr>
                <w:b/>
              </w:rPr>
              <w:t>Administration</w:t>
            </w:r>
            <w:r>
              <w:rPr>
                <w:b/>
                <w:spacing w:val="-13"/>
              </w:rPr>
              <w:t xml:space="preserve"> </w:t>
            </w:r>
            <w:r>
              <w:rPr>
                <w:b/>
              </w:rPr>
              <w:t>and</w:t>
            </w:r>
            <w:r>
              <w:rPr>
                <w:b/>
                <w:spacing w:val="-12"/>
              </w:rPr>
              <w:t xml:space="preserve"> </w:t>
            </w:r>
            <w:r>
              <w:rPr>
                <w:b/>
              </w:rPr>
              <w:t>Technical</w:t>
            </w:r>
            <w:r>
              <w:rPr>
                <w:b/>
                <w:spacing w:val="-12"/>
              </w:rPr>
              <w:t xml:space="preserve"> </w:t>
            </w:r>
            <w:r>
              <w:rPr>
                <w:b/>
                <w:spacing w:val="-2"/>
              </w:rPr>
              <w:t>Assistance</w:t>
            </w:r>
          </w:p>
        </w:tc>
        <w:tc>
          <w:tcPr>
            <w:tcW w:w="2742" w:type="dxa"/>
            <w:tcBorders>
              <w:top w:val="single" w:sz="6" w:space="0" w:color="000000"/>
              <w:left w:val="single" w:sz="6" w:space="0" w:color="000000"/>
              <w:bottom w:val="single" w:sz="6" w:space="0" w:color="000000"/>
            </w:tcBorders>
          </w:tcPr>
          <w:p w14:paraId="13037199" w14:textId="77777777" w:rsidR="00E044A1" w:rsidRDefault="002E1B01">
            <w:pPr>
              <w:pStyle w:val="TableParagraph"/>
              <w:spacing w:line="232" w:lineRule="exact"/>
            </w:pPr>
            <w:r>
              <w:rPr>
                <w:spacing w:val="-2"/>
              </w:rPr>
              <w:t>$1,146,095</w:t>
            </w:r>
          </w:p>
        </w:tc>
      </w:tr>
      <w:tr w:rsidR="00E044A1" w14:paraId="18C93718" w14:textId="77777777">
        <w:trPr>
          <w:trHeight w:val="868"/>
        </w:trPr>
        <w:tc>
          <w:tcPr>
            <w:tcW w:w="6948" w:type="dxa"/>
            <w:tcBorders>
              <w:top w:val="single" w:sz="6" w:space="0" w:color="000000"/>
              <w:bottom w:val="single" w:sz="6" w:space="0" w:color="000000"/>
              <w:right w:val="single" w:sz="6" w:space="0" w:color="000000"/>
            </w:tcBorders>
          </w:tcPr>
          <w:p w14:paraId="07FBC7A4" w14:textId="77777777" w:rsidR="00E044A1" w:rsidRDefault="002E1B01">
            <w:pPr>
              <w:pStyle w:val="TableParagraph"/>
              <w:spacing w:line="252" w:lineRule="exact"/>
              <w:rPr>
                <w:b/>
              </w:rPr>
            </w:pPr>
            <w:r>
              <w:rPr>
                <w:b/>
              </w:rPr>
              <w:t>TOTAL</w:t>
            </w:r>
            <w:r>
              <w:rPr>
                <w:b/>
                <w:spacing w:val="-9"/>
              </w:rPr>
              <w:t xml:space="preserve"> </w:t>
            </w:r>
            <w:r>
              <w:rPr>
                <w:b/>
                <w:spacing w:val="-2"/>
              </w:rPr>
              <w:t>AVAILABLE</w:t>
            </w:r>
          </w:p>
          <w:p w14:paraId="6126A216" w14:textId="77777777" w:rsidR="00E044A1" w:rsidRDefault="002E1B01">
            <w:pPr>
              <w:pStyle w:val="TableParagraph"/>
              <w:spacing w:line="250" w:lineRule="exact"/>
            </w:pPr>
            <w:r>
              <w:rPr>
                <w:spacing w:val="-2"/>
              </w:rPr>
              <w:t>(</w:t>
            </w:r>
            <w:proofErr w:type="gramStart"/>
            <w:r>
              <w:rPr>
                <w:spacing w:val="-2"/>
              </w:rPr>
              <w:t>includes</w:t>
            </w:r>
            <w:proofErr w:type="gramEnd"/>
            <w:r>
              <w:rPr>
                <w:spacing w:val="5"/>
              </w:rPr>
              <w:t xml:space="preserve"> </w:t>
            </w:r>
            <w:r>
              <w:rPr>
                <w:spacing w:val="-2"/>
              </w:rPr>
              <w:t>$34,869,850</w:t>
            </w:r>
          </w:p>
          <w:p w14:paraId="22251916" w14:textId="77777777" w:rsidR="00E044A1" w:rsidRDefault="002E1B01">
            <w:pPr>
              <w:pStyle w:val="TableParagraph"/>
            </w:pPr>
            <w:r>
              <w:t>allocation</w:t>
            </w:r>
            <w:r>
              <w:rPr>
                <w:spacing w:val="-7"/>
              </w:rPr>
              <w:t xml:space="preserve"> </w:t>
            </w:r>
            <w:r>
              <w:t>plus</w:t>
            </w:r>
            <w:r>
              <w:rPr>
                <w:spacing w:val="-8"/>
              </w:rPr>
              <w:t xml:space="preserve"> </w:t>
            </w:r>
            <w:r>
              <w:t>$50,000</w:t>
            </w:r>
            <w:r>
              <w:rPr>
                <w:spacing w:val="-7"/>
              </w:rPr>
              <w:t xml:space="preserve"> </w:t>
            </w:r>
            <w:r>
              <w:t>in</w:t>
            </w:r>
            <w:r>
              <w:rPr>
                <w:spacing w:val="-8"/>
              </w:rPr>
              <w:t xml:space="preserve"> </w:t>
            </w:r>
            <w:r>
              <w:t>program</w:t>
            </w:r>
            <w:r>
              <w:rPr>
                <w:spacing w:val="-8"/>
              </w:rPr>
              <w:t xml:space="preserve"> </w:t>
            </w:r>
            <w:r>
              <w:rPr>
                <w:spacing w:val="-2"/>
              </w:rPr>
              <w:t>income)</w:t>
            </w:r>
          </w:p>
        </w:tc>
        <w:tc>
          <w:tcPr>
            <w:tcW w:w="2742" w:type="dxa"/>
            <w:tcBorders>
              <w:top w:val="single" w:sz="6" w:space="0" w:color="000000"/>
              <w:left w:val="single" w:sz="6" w:space="0" w:color="000000"/>
              <w:bottom w:val="single" w:sz="6" w:space="0" w:color="000000"/>
            </w:tcBorders>
          </w:tcPr>
          <w:p w14:paraId="04401479" w14:textId="77777777" w:rsidR="00E044A1" w:rsidRDefault="00E044A1">
            <w:pPr>
              <w:pStyle w:val="TableParagraph"/>
              <w:ind w:left="0"/>
            </w:pPr>
          </w:p>
          <w:p w14:paraId="295E1144" w14:textId="77777777" w:rsidR="00E044A1" w:rsidRDefault="002E1B01">
            <w:pPr>
              <w:pStyle w:val="TableParagraph"/>
            </w:pPr>
            <w:r>
              <w:rPr>
                <w:spacing w:val="-2"/>
              </w:rPr>
              <w:t>$34,919,850</w:t>
            </w:r>
          </w:p>
        </w:tc>
      </w:tr>
      <w:tr w:rsidR="00E044A1" w14:paraId="5BCC2D02" w14:textId="77777777">
        <w:trPr>
          <w:trHeight w:val="1250"/>
        </w:trPr>
        <w:tc>
          <w:tcPr>
            <w:tcW w:w="6948" w:type="dxa"/>
            <w:tcBorders>
              <w:top w:val="single" w:sz="6" w:space="0" w:color="000000"/>
              <w:right w:val="single" w:sz="6" w:space="0" w:color="000000"/>
            </w:tcBorders>
          </w:tcPr>
          <w:p w14:paraId="7A5361F1" w14:textId="77777777" w:rsidR="00E044A1" w:rsidRDefault="002E1B01">
            <w:pPr>
              <w:pStyle w:val="TableParagraph"/>
              <w:ind w:right="14"/>
            </w:pPr>
            <w:r>
              <w:t>*Section</w:t>
            </w:r>
            <w:r>
              <w:rPr>
                <w:spacing w:val="-4"/>
              </w:rPr>
              <w:t xml:space="preserve"> </w:t>
            </w:r>
            <w:r>
              <w:t>108</w:t>
            </w:r>
            <w:r>
              <w:rPr>
                <w:spacing w:val="-4"/>
              </w:rPr>
              <w:t xml:space="preserve"> </w:t>
            </w:r>
            <w:r>
              <w:t>Loan</w:t>
            </w:r>
            <w:r>
              <w:rPr>
                <w:spacing w:val="-4"/>
              </w:rPr>
              <w:t xml:space="preserve"> </w:t>
            </w:r>
            <w:r>
              <w:t>Program</w:t>
            </w:r>
            <w:r>
              <w:rPr>
                <w:spacing w:val="-5"/>
              </w:rPr>
              <w:t xml:space="preserve"> </w:t>
            </w:r>
            <w:r>
              <w:t>allocation</w:t>
            </w:r>
            <w:r>
              <w:rPr>
                <w:spacing w:val="-4"/>
              </w:rPr>
              <w:t xml:space="preserve"> </w:t>
            </w:r>
            <w:r>
              <w:t>does</w:t>
            </w:r>
            <w:r>
              <w:rPr>
                <w:spacing w:val="-5"/>
              </w:rPr>
              <w:t xml:space="preserve"> </w:t>
            </w:r>
            <w:r>
              <w:t>not</w:t>
            </w:r>
            <w:r>
              <w:rPr>
                <w:spacing w:val="-5"/>
              </w:rPr>
              <w:t xml:space="preserve"> </w:t>
            </w:r>
            <w:r>
              <w:t>impact</w:t>
            </w:r>
            <w:r>
              <w:rPr>
                <w:spacing w:val="-5"/>
              </w:rPr>
              <w:t xml:space="preserve"> </w:t>
            </w:r>
            <w:r>
              <w:t>the</w:t>
            </w:r>
            <w:r>
              <w:rPr>
                <w:spacing w:val="-5"/>
              </w:rPr>
              <w:t xml:space="preserve"> </w:t>
            </w:r>
            <w:r>
              <w:t>FFY</w:t>
            </w:r>
            <w:r>
              <w:rPr>
                <w:spacing w:val="-5"/>
              </w:rPr>
              <w:t xml:space="preserve"> </w:t>
            </w:r>
            <w:r>
              <w:t xml:space="preserve">2025 </w:t>
            </w:r>
            <w:r>
              <w:rPr>
                <w:spacing w:val="-2"/>
              </w:rPr>
              <w:t>Allocation</w:t>
            </w:r>
          </w:p>
          <w:p w14:paraId="6BE14CAA" w14:textId="77777777" w:rsidR="00E044A1" w:rsidRDefault="002E1B01">
            <w:pPr>
              <w:pStyle w:val="TableParagraph"/>
            </w:pPr>
            <w:r>
              <w:t>**Section 108 Loan Repayments are budgeted but not necessarily required. This</w:t>
            </w:r>
            <w:r>
              <w:rPr>
                <w:spacing w:val="-4"/>
              </w:rPr>
              <w:t xml:space="preserve"> </w:t>
            </w:r>
            <w:r>
              <w:t>is</w:t>
            </w:r>
            <w:r>
              <w:rPr>
                <w:spacing w:val="-4"/>
              </w:rPr>
              <w:t xml:space="preserve"> </w:t>
            </w:r>
            <w:r>
              <w:t>an</w:t>
            </w:r>
            <w:r>
              <w:rPr>
                <w:spacing w:val="-3"/>
              </w:rPr>
              <w:t xml:space="preserve"> </w:t>
            </w:r>
            <w:r>
              <w:t>“up</w:t>
            </w:r>
            <w:r>
              <w:rPr>
                <w:spacing w:val="-3"/>
              </w:rPr>
              <w:t xml:space="preserve"> </w:t>
            </w:r>
            <w:r>
              <w:t>to”</w:t>
            </w:r>
            <w:r>
              <w:rPr>
                <w:spacing w:val="-4"/>
              </w:rPr>
              <w:t xml:space="preserve"> </w:t>
            </w:r>
            <w:r>
              <w:t>amount.</w:t>
            </w:r>
            <w:r>
              <w:rPr>
                <w:spacing w:val="-3"/>
              </w:rPr>
              <w:t xml:space="preserve"> </w:t>
            </w:r>
            <w:r>
              <w:t>Amounts</w:t>
            </w:r>
            <w:r>
              <w:rPr>
                <w:spacing w:val="-4"/>
              </w:rPr>
              <w:t xml:space="preserve"> </w:t>
            </w:r>
            <w:r>
              <w:t>not</w:t>
            </w:r>
            <w:r>
              <w:rPr>
                <w:spacing w:val="-2"/>
              </w:rPr>
              <w:t xml:space="preserve"> </w:t>
            </w:r>
            <w:r>
              <w:t>required</w:t>
            </w:r>
            <w:r>
              <w:rPr>
                <w:spacing w:val="-3"/>
              </w:rPr>
              <w:t xml:space="preserve"> </w:t>
            </w:r>
            <w:r>
              <w:t>for</w:t>
            </w:r>
            <w:r>
              <w:rPr>
                <w:spacing w:val="-3"/>
              </w:rPr>
              <w:t xml:space="preserve"> </w:t>
            </w:r>
            <w:r>
              <w:t>repayment</w:t>
            </w:r>
            <w:r>
              <w:rPr>
                <w:spacing w:val="-4"/>
              </w:rPr>
              <w:t xml:space="preserve"> </w:t>
            </w:r>
            <w:r>
              <w:t>to</w:t>
            </w:r>
            <w:r>
              <w:rPr>
                <w:spacing w:val="-2"/>
              </w:rPr>
              <w:t xml:space="preserve"> </w:t>
            </w:r>
            <w:r>
              <w:t>HUD</w:t>
            </w:r>
            <w:r>
              <w:rPr>
                <w:spacing w:val="-4"/>
              </w:rPr>
              <w:t xml:space="preserve"> </w:t>
            </w:r>
            <w:r>
              <w:t>will</w:t>
            </w:r>
          </w:p>
          <w:p w14:paraId="3D47082C" w14:textId="77777777" w:rsidR="00E044A1" w:rsidRDefault="002E1B01">
            <w:pPr>
              <w:pStyle w:val="TableParagraph"/>
              <w:spacing w:line="231" w:lineRule="exact"/>
            </w:pPr>
            <w:r>
              <w:t>be</w:t>
            </w:r>
            <w:r>
              <w:rPr>
                <w:spacing w:val="-7"/>
              </w:rPr>
              <w:t xml:space="preserve"> </w:t>
            </w:r>
            <w:r>
              <w:t>reallocated</w:t>
            </w:r>
            <w:r>
              <w:rPr>
                <w:spacing w:val="-6"/>
              </w:rPr>
              <w:t xml:space="preserve"> </w:t>
            </w:r>
            <w:r>
              <w:t>to</w:t>
            </w:r>
            <w:r>
              <w:rPr>
                <w:spacing w:val="-6"/>
              </w:rPr>
              <w:t xml:space="preserve"> </w:t>
            </w:r>
            <w:r>
              <w:t>other</w:t>
            </w:r>
            <w:r>
              <w:rPr>
                <w:spacing w:val="-6"/>
              </w:rPr>
              <w:t xml:space="preserve"> </w:t>
            </w:r>
            <w:r>
              <w:rPr>
                <w:spacing w:val="-2"/>
              </w:rPr>
              <w:t>components.</w:t>
            </w:r>
          </w:p>
        </w:tc>
        <w:tc>
          <w:tcPr>
            <w:tcW w:w="2742" w:type="dxa"/>
            <w:tcBorders>
              <w:top w:val="single" w:sz="6" w:space="0" w:color="000000"/>
              <w:left w:val="single" w:sz="6" w:space="0" w:color="000000"/>
            </w:tcBorders>
          </w:tcPr>
          <w:p w14:paraId="691167E8" w14:textId="77777777" w:rsidR="00E044A1" w:rsidRDefault="00E044A1">
            <w:pPr>
              <w:pStyle w:val="TableParagraph"/>
              <w:ind w:left="0"/>
              <w:rPr>
                <w:rFonts w:ascii="Times New Roman"/>
              </w:rPr>
            </w:pPr>
          </w:p>
        </w:tc>
      </w:tr>
    </w:tbl>
    <w:p w14:paraId="42E79DFD" w14:textId="77777777" w:rsidR="00E044A1" w:rsidRDefault="00E044A1">
      <w:pPr>
        <w:pStyle w:val="BodyText"/>
        <w:rPr>
          <w:sz w:val="28"/>
        </w:rPr>
      </w:pPr>
    </w:p>
    <w:p w14:paraId="4AA4BAD7" w14:textId="77777777" w:rsidR="00E044A1" w:rsidRDefault="00E044A1">
      <w:pPr>
        <w:pStyle w:val="BodyText"/>
        <w:spacing w:before="118"/>
        <w:rPr>
          <w:sz w:val="28"/>
        </w:rPr>
      </w:pPr>
    </w:p>
    <w:p w14:paraId="2CA0B255" w14:textId="77777777" w:rsidR="00E044A1" w:rsidRDefault="002E1B01">
      <w:pPr>
        <w:pStyle w:val="Heading1"/>
        <w:ind w:left="940"/>
      </w:pPr>
      <w:r>
        <w:t>CITIZEN</w:t>
      </w:r>
      <w:r>
        <w:rPr>
          <w:spacing w:val="-9"/>
        </w:rPr>
        <w:t xml:space="preserve"> </w:t>
      </w:r>
      <w:r>
        <w:t>PARTICIPATION</w:t>
      </w:r>
      <w:r>
        <w:rPr>
          <w:spacing w:val="-9"/>
        </w:rPr>
        <w:t xml:space="preserve"> </w:t>
      </w:r>
      <w:r>
        <w:t>REQUIREMENTS</w:t>
      </w:r>
      <w:r>
        <w:rPr>
          <w:spacing w:val="-8"/>
        </w:rPr>
        <w:t xml:space="preserve"> </w:t>
      </w:r>
      <w:r>
        <w:t>FOR</w:t>
      </w:r>
      <w:r>
        <w:rPr>
          <w:spacing w:val="-9"/>
        </w:rPr>
        <w:t xml:space="preserve"> </w:t>
      </w:r>
      <w:r>
        <w:t>APPLICANTS</w:t>
      </w:r>
      <w:r>
        <w:rPr>
          <w:spacing w:val="-9"/>
        </w:rPr>
        <w:t xml:space="preserve"> </w:t>
      </w:r>
      <w:r>
        <w:t xml:space="preserve">AND </w:t>
      </w:r>
      <w:r>
        <w:rPr>
          <w:spacing w:val="-2"/>
        </w:rPr>
        <w:t>GRANTEES</w:t>
      </w:r>
    </w:p>
    <w:p w14:paraId="2BE633C2" w14:textId="77777777" w:rsidR="00E044A1" w:rsidRDefault="00E044A1">
      <w:pPr>
        <w:pStyle w:val="BodyText"/>
        <w:spacing w:before="6"/>
        <w:rPr>
          <w:b/>
          <w:sz w:val="28"/>
        </w:rPr>
      </w:pPr>
    </w:p>
    <w:p w14:paraId="395C5AE4" w14:textId="77777777" w:rsidR="00E044A1" w:rsidRDefault="002E1B01">
      <w:pPr>
        <w:pStyle w:val="BodyText"/>
        <w:ind w:left="939" w:right="877"/>
        <w:jc w:val="both"/>
        <w:rPr>
          <w:b/>
        </w:rPr>
      </w:pPr>
      <w:r>
        <w:rPr>
          <w:b/>
        </w:rPr>
        <w:t xml:space="preserve">A minimum of 2 public hearings, </w:t>
      </w:r>
      <w:r>
        <w:t>each at a different stage of the program (development and implementation), to obtain citizen views and to respond to proposals and questions at all stages of the community</w:t>
      </w:r>
      <w:r>
        <w:rPr>
          <w:spacing w:val="-1"/>
        </w:rPr>
        <w:t xml:space="preserve"> </w:t>
      </w:r>
      <w:r>
        <w:t>development</w:t>
      </w:r>
      <w:r>
        <w:rPr>
          <w:spacing w:val="-1"/>
        </w:rPr>
        <w:t xml:space="preserve"> </w:t>
      </w:r>
      <w:r>
        <w:t>program,</w:t>
      </w:r>
      <w:r>
        <w:rPr>
          <w:spacing w:val="-2"/>
        </w:rPr>
        <w:t xml:space="preserve"> </w:t>
      </w:r>
      <w:r>
        <w:t>including</w:t>
      </w:r>
      <w:r>
        <w:rPr>
          <w:spacing w:val="-1"/>
        </w:rPr>
        <w:t xml:space="preserve"> </w:t>
      </w:r>
      <w:r>
        <w:t>at</w:t>
      </w:r>
      <w:r>
        <w:rPr>
          <w:spacing w:val="-1"/>
        </w:rPr>
        <w:t xml:space="preserve"> </w:t>
      </w:r>
      <w:r>
        <w:rPr>
          <w:i/>
        </w:rPr>
        <w:t>a</w:t>
      </w:r>
      <w:r>
        <w:rPr>
          <w:i/>
          <w:spacing w:val="-3"/>
        </w:rPr>
        <w:t xml:space="preserve"> </w:t>
      </w:r>
      <w:r>
        <w:rPr>
          <w:i/>
        </w:rPr>
        <w:t>minimum</w:t>
      </w:r>
      <w:r>
        <w:rPr>
          <w:i/>
          <w:spacing w:val="-1"/>
        </w:rPr>
        <w:t xml:space="preserve"> </w:t>
      </w:r>
      <w:r>
        <w:t>(a)</w:t>
      </w:r>
      <w:r>
        <w:rPr>
          <w:spacing w:val="-6"/>
        </w:rPr>
        <w:t xml:space="preserve"> </w:t>
      </w:r>
      <w:r>
        <w:t>the</w:t>
      </w:r>
      <w:r>
        <w:rPr>
          <w:spacing w:val="-3"/>
        </w:rPr>
        <w:t xml:space="preserve"> </w:t>
      </w:r>
      <w:r>
        <w:t>development</w:t>
      </w:r>
      <w:r>
        <w:rPr>
          <w:spacing w:val="-1"/>
        </w:rPr>
        <w:t xml:space="preserve"> </w:t>
      </w:r>
      <w:r>
        <w:t>of</w:t>
      </w:r>
      <w:r>
        <w:rPr>
          <w:spacing w:val="-1"/>
        </w:rPr>
        <w:t xml:space="preserve"> </w:t>
      </w:r>
      <w:r>
        <w:t>needs,</w:t>
      </w:r>
      <w:r>
        <w:rPr>
          <w:spacing w:val="-2"/>
        </w:rPr>
        <w:t xml:space="preserve"> </w:t>
      </w:r>
      <w:r>
        <w:t>(b)</w:t>
      </w:r>
      <w:r>
        <w:rPr>
          <w:spacing w:val="-4"/>
        </w:rPr>
        <w:t xml:space="preserve"> </w:t>
      </w:r>
      <w:r>
        <w:t>the</w:t>
      </w:r>
      <w:r>
        <w:rPr>
          <w:spacing w:val="-3"/>
        </w:rPr>
        <w:t xml:space="preserve"> </w:t>
      </w:r>
      <w:r>
        <w:t>review</w:t>
      </w:r>
      <w:r>
        <w:rPr>
          <w:spacing w:val="-1"/>
        </w:rPr>
        <w:t xml:space="preserve"> </w:t>
      </w:r>
      <w:r>
        <w:t>of proposed activities, and (c) review of program performance.</w:t>
      </w:r>
      <w:r>
        <w:rPr>
          <w:spacing w:val="40"/>
        </w:rPr>
        <w:t xml:space="preserve"> </w:t>
      </w:r>
      <w:r>
        <w:t>These hearings shall be held after adequate notice</w:t>
      </w:r>
      <w:r>
        <w:rPr>
          <w:spacing w:val="-8"/>
        </w:rPr>
        <w:t xml:space="preserve"> </w:t>
      </w:r>
      <w:r>
        <w:t>(minimum</w:t>
      </w:r>
      <w:r>
        <w:rPr>
          <w:spacing w:val="-8"/>
        </w:rPr>
        <w:t xml:space="preserve"> </w:t>
      </w:r>
      <w:r>
        <w:t>of</w:t>
      </w:r>
      <w:r>
        <w:rPr>
          <w:spacing w:val="-7"/>
        </w:rPr>
        <w:t xml:space="preserve"> </w:t>
      </w:r>
      <w:r>
        <w:t>15</w:t>
      </w:r>
      <w:r>
        <w:rPr>
          <w:spacing w:val="-7"/>
        </w:rPr>
        <w:t xml:space="preserve"> </w:t>
      </w:r>
      <w:r>
        <w:t>days,</w:t>
      </w:r>
      <w:r>
        <w:rPr>
          <w:spacing w:val="-8"/>
        </w:rPr>
        <w:t xml:space="preserve"> </w:t>
      </w:r>
      <w:r>
        <w:t>per</w:t>
      </w:r>
      <w:r>
        <w:rPr>
          <w:spacing w:val="-6"/>
        </w:rPr>
        <w:t xml:space="preserve"> </w:t>
      </w:r>
      <w:r>
        <w:t>HUD),</w:t>
      </w:r>
      <w:r>
        <w:rPr>
          <w:spacing w:val="-8"/>
        </w:rPr>
        <w:t xml:space="preserve"> </w:t>
      </w:r>
      <w:r>
        <w:t>at</w:t>
      </w:r>
      <w:r>
        <w:rPr>
          <w:spacing w:val="-7"/>
        </w:rPr>
        <w:t xml:space="preserve"> </w:t>
      </w:r>
      <w:r>
        <w:t>times</w:t>
      </w:r>
      <w:r>
        <w:rPr>
          <w:spacing w:val="-8"/>
        </w:rPr>
        <w:t xml:space="preserve"> </w:t>
      </w:r>
      <w:r>
        <w:t>and</w:t>
      </w:r>
      <w:r>
        <w:rPr>
          <w:spacing w:val="-6"/>
        </w:rPr>
        <w:t xml:space="preserve"> </w:t>
      </w:r>
      <w:r>
        <w:t>accessible</w:t>
      </w:r>
      <w:r>
        <w:rPr>
          <w:spacing w:val="-8"/>
        </w:rPr>
        <w:t xml:space="preserve"> </w:t>
      </w:r>
      <w:r>
        <w:t>locations</w:t>
      </w:r>
      <w:r>
        <w:rPr>
          <w:spacing w:val="-8"/>
        </w:rPr>
        <w:t xml:space="preserve"> </w:t>
      </w:r>
      <w:r>
        <w:t>convenient</w:t>
      </w:r>
      <w:r>
        <w:rPr>
          <w:spacing w:val="-7"/>
        </w:rPr>
        <w:t xml:space="preserve"> </w:t>
      </w:r>
      <w:r>
        <w:t>to</w:t>
      </w:r>
      <w:r>
        <w:rPr>
          <w:spacing w:val="-7"/>
        </w:rPr>
        <w:t xml:space="preserve"> </w:t>
      </w:r>
      <w:r>
        <w:t>potential</w:t>
      </w:r>
      <w:r>
        <w:rPr>
          <w:spacing w:val="-8"/>
        </w:rPr>
        <w:t xml:space="preserve"> </w:t>
      </w:r>
      <w:r>
        <w:t>or</w:t>
      </w:r>
      <w:r>
        <w:rPr>
          <w:spacing w:val="-7"/>
        </w:rPr>
        <w:t xml:space="preserve"> </w:t>
      </w:r>
      <w:r>
        <w:t>actual beneficiaries,</w:t>
      </w:r>
      <w:r>
        <w:rPr>
          <w:spacing w:val="-4"/>
        </w:rPr>
        <w:t xml:space="preserve"> </w:t>
      </w:r>
      <w:r>
        <w:t>and</w:t>
      </w:r>
      <w:r>
        <w:rPr>
          <w:spacing w:val="-4"/>
        </w:rPr>
        <w:t xml:space="preserve"> </w:t>
      </w:r>
      <w:r>
        <w:t>with</w:t>
      </w:r>
      <w:r>
        <w:rPr>
          <w:spacing w:val="-4"/>
        </w:rPr>
        <w:t xml:space="preserve"> </w:t>
      </w:r>
      <w:r>
        <w:t>accommodations</w:t>
      </w:r>
      <w:r>
        <w:rPr>
          <w:spacing w:val="-4"/>
        </w:rPr>
        <w:t xml:space="preserve"> </w:t>
      </w:r>
      <w:r>
        <w:t>for</w:t>
      </w:r>
      <w:r>
        <w:rPr>
          <w:spacing w:val="-4"/>
        </w:rPr>
        <w:t xml:space="preserve"> </w:t>
      </w:r>
      <w:r>
        <w:t>persons</w:t>
      </w:r>
      <w:r>
        <w:rPr>
          <w:spacing w:val="-4"/>
        </w:rPr>
        <w:t xml:space="preserve"> </w:t>
      </w:r>
      <w:r>
        <w:t>with</w:t>
      </w:r>
      <w:r>
        <w:rPr>
          <w:spacing w:val="-4"/>
        </w:rPr>
        <w:t xml:space="preserve"> </w:t>
      </w:r>
      <w:r>
        <w:t>disabilities,</w:t>
      </w:r>
      <w:r>
        <w:rPr>
          <w:spacing w:val="-4"/>
        </w:rPr>
        <w:t xml:space="preserve"> </w:t>
      </w:r>
      <w:r>
        <w:t>and</w:t>
      </w:r>
      <w:r>
        <w:rPr>
          <w:spacing w:val="-4"/>
        </w:rPr>
        <w:t xml:space="preserve"> </w:t>
      </w:r>
      <w:r>
        <w:t>allow</w:t>
      </w:r>
      <w:r>
        <w:rPr>
          <w:spacing w:val="-4"/>
        </w:rPr>
        <w:t xml:space="preserve"> </w:t>
      </w:r>
      <w:r>
        <w:t>for</w:t>
      </w:r>
      <w:r>
        <w:rPr>
          <w:spacing w:val="-4"/>
        </w:rPr>
        <w:t xml:space="preserve"> </w:t>
      </w:r>
      <w:r>
        <w:t>written</w:t>
      </w:r>
      <w:r>
        <w:rPr>
          <w:spacing w:val="-4"/>
        </w:rPr>
        <w:t xml:space="preserve"> </w:t>
      </w:r>
      <w:r>
        <w:t>comments</w:t>
      </w:r>
      <w:r>
        <w:rPr>
          <w:spacing w:val="-4"/>
        </w:rPr>
        <w:t xml:space="preserve"> </w:t>
      </w:r>
      <w:r>
        <w:t>to be submitted. In cases of joint applications, all applicant municipalities must be included in the notice and participate in the public hearing.</w:t>
      </w:r>
      <w:r>
        <w:rPr>
          <w:spacing w:val="40"/>
        </w:rPr>
        <w:t xml:space="preserve"> </w:t>
      </w:r>
      <w:r>
        <w:t>At least one public hearing must be held at least 14 days prior to submittal</w:t>
      </w:r>
      <w:r>
        <w:rPr>
          <w:spacing w:val="-7"/>
        </w:rPr>
        <w:t xml:space="preserve"> </w:t>
      </w:r>
      <w:r>
        <w:t>of</w:t>
      </w:r>
      <w:r>
        <w:rPr>
          <w:spacing w:val="-6"/>
        </w:rPr>
        <w:t xml:space="preserve"> </w:t>
      </w:r>
      <w:r>
        <w:t>an</w:t>
      </w:r>
      <w:r>
        <w:rPr>
          <w:spacing w:val="-6"/>
        </w:rPr>
        <w:t xml:space="preserve"> </w:t>
      </w:r>
      <w:r>
        <w:t>application;</w:t>
      </w:r>
      <w:r>
        <w:rPr>
          <w:spacing w:val="-8"/>
        </w:rPr>
        <w:t xml:space="preserve"> </w:t>
      </w:r>
      <w:r>
        <w:t>a</w:t>
      </w:r>
      <w:r>
        <w:rPr>
          <w:spacing w:val="-6"/>
        </w:rPr>
        <w:t xml:space="preserve"> </w:t>
      </w:r>
      <w:r>
        <w:t>second</w:t>
      </w:r>
      <w:r>
        <w:rPr>
          <w:spacing w:val="-6"/>
        </w:rPr>
        <w:t xml:space="preserve"> </w:t>
      </w:r>
      <w:r>
        <w:t>must</w:t>
      </w:r>
      <w:r>
        <w:rPr>
          <w:spacing w:val="-6"/>
        </w:rPr>
        <w:t xml:space="preserve"> </w:t>
      </w:r>
      <w:r>
        <w:t>be</w:t>
      </w:r>
      <w:r>
        <w:rPr>
          <w:spacing w:val="-7"/>
        </w:rPr>
        <w:t xml:space="preserve"> </w:t>
      </w:r>
      <w:r>
        <w:t>held</w:t>
      </w:r>
      <w:r>
        <w:rPr>
          <w:spacing w:val="-6"/>
        </w:rPr>
        <w:t xml:space="preserve"> </w:t>
      </w:r>
      <w:proofErr w:type="gramStart"/>
      <w:r>
        <w:t>during</w:t>
      </w:r>
      <w:r>
        <w:rPr>
          <w:spacing w:val="-6"/>
        </w:rPr>
        <w:t xml:space="preserve"> </w:t>
      </w:r>
      <w:r>
        <w:t>the</w:t>
      </w:r>
      <w:r>
        <w:rPr>
          <w:spacing w:val="-7"/>
        </w:rPr>
        <w:t xml:space="preserve"> </w:t>
      </w:r>
      <w:r>
        <w:t>course</w:t>
      </w:r>
      <w:r>
        <w:rPr>
          <w:spacing w:val="-6"/>
        </w:rPr>
        <w:t xml:space="preserve"> </w:t>
      </w:r>
      <w:r>
        <w:t>of</w:t>
      </w:r>
      <w:proofErr w:type="gramEnd"/>
      <w:r>
        <w:rPr>
          <w:spacing w:val="-6"/>
        </w:rPr>
        <w:t xml:space="preserve"> </w:t>
      </w:r>
      <w:r>
        <w:t>the</w:t>
      </w:r>
      <w:r>
        <w:rPr>
          <w:spacing w:val="-7"/>
        </w:rPr>
        <w:t xml:space="preserve"> </w:t>
      </w:r>
      <w:r>
        <w:t>grant</w:t>
      </w:r>
      <w:r>
        <w:rPr>
          <w:spacing w:val="-6"/>
        </w:rPr>
        <w:t xml:space="preserve"> </w:t>
      </w:r>
      <w:r>
        <w:t>year;</w:t>
      </w:r>
      <w:r>
        <w:rPr>
          <w:spacing w:val="-6"/>
        </w:rPr>
        <w:t xml:space="preserve"> </w:t>
      </w:r>
      <w:r>
        <w:t>both</w:t>
      </w:r>
      <w:r>
        <w:rPr>
          <w:spacing w:val="-6"/>
        </w:rPr>
        <w:t xml:space="preserve"> </w:t>
      </w:r>
      <w:r>
        <w:rPr>
          <w:b/>
        </w:rPr>
        <w:t>must</w:t>
      </w:r>
      <w:r>
        <w:rPr>
          <w:b/>
          <w:spacing w:val="-6"/>
        </w:rPr>
        <w:t xml:space="preserve"> </w:t>
      </w:r>
      <w:r>
        <w:rPr>
          <w:b/>
        </w:rPr>
        <w:t>provide the process for the submission of written comments.</w:t>
      </w:r>
    </w:p>
    <w:p w14:paraId="2717A642" w14:textId="77777777" w:rsidR="00E044A1" w:rsidRDefault="002E1B01">
      <w:pPr>
        <w:pStyle w:val="Heading2"/>
        <w:spacing w:before="249"/>
        <w:ind w:left="940"/>
      </w:pPr>
      <w:bookmarkStart w:id="3" w:name="COMMUNITY_DEVELOPMENT_FUND_–_Grant_Award"/>
      <w:bookmarkEnd w:id="3"/>
      <w:r>
        <w:t>COMMUNITY</w:t>
      </w:r>
      <w:r>
        <w:rPr>
          <w:spacing w:val="-12"/>
        </w:rPr>
        <w:t xml:space="preserve"> </w:t>
      </w:r>
      <w:r>
        <w:t>DEVELOPMENT</w:t>
      </w:r>
      <w:r>
        <w:rPr>
          <w:spacing w:val="-11"/>
        </w:rPr>
        <w:t xml:space="preserve"> </w:t>
      </w:r>
      <w:r>
        <w:t>FUND</w:t>
      </w:r>
      <w:r>
        <w:rPr>
          <w:spacing w:val="-12"/>
        </w:rPr>
        <w:t xml:space="preserve"> </w:t>
      </w:r>
      <w:r>
        <w:t>–</w:t>
      </w:r>
      <w:r>
        <w:rPr>
          <w:spacing w:val="-11"/>
        </w:rPr>
        <w:t xml:space="preserve"> </w:t>
      </w:r>
      <w:r>
        <w:t>Grant</w:t>
      </w:r>
      <w:r>
        <w:rPr>
          <w:spacing w:val="-12"/>
        </w:rPr>
        <w:t xml:space="preserve"> </w:t>
      </w:r>
      <w:r>
        <w:t>Award</w:t>
      </w:r>
      <w:r>
        <w:rPr>
          <w:spacing w:val="-12"/>
        </w:rPr>
        <w:t xml:space="preserve"> </w:t>
      </w:r>
      <w:r>
        <w:rPr>
          <w:spacing w:val="-2"/>
        </w:rPr>
        <w:t>Amounts</w:t>
      </w:r>
    </w:p>
    <w:p w14:paraId="51520C1D" w14:textId="77777777" w:rsidR="00E044A1" w:rsidRDefault="002E1B01">
      <w:pPr>
        <w:pStyle w:val="BodyText"/>
        <w:spacing w:before="231"/>
        <w:ind w:left="940" w:right="138" w:hanging="1"/>
      </w:pPr>
      <w:r>
        <w:t>EOHLC</w:t>
      </w:r>
      <w:r>
        <w:rPr>
          <w:spacing w:val="-1"/>
        </w:rPr>
        <w:t xml:space="preserve"> </w:t>
      </w:r>
      <w:r>
        <w:t>proposes</w:t>
      </w:r>
      <w:r>
        <w:rPr>
          <w:spacing w:val="-1"/>
        </w:rPr>
        <w:t xml:space="preserve"> </w:t>
      </w:r>
      <w:r>
        <w:t>the following grant</w:t>
      </w:r>
      <w:r>
        <w:rPr>
          <w:spacing w:val="-1"/>
        </w:rPr>
        <w:t xml:space="preserve"> </w:t>
      </w:r>
      <w:r>
        <w:t>limits below for the</w:t>
      </w:r>
      <w:r>
        <w:rPr>
          <w:spacing w:val="-3"/>
        </w:rPr>
        <w:t xml:space="preserve"> </w:t>
      </w:r>
      <w:r>
        <w:t>FFY</w:t>
      </w:r>
      <w:r>
        <w:rPr>
          <w:spacing w:val="-1"/>
        </w:rPr>
        <w:t xml:space="preserve"> </w:t>
      </w:r>
      <w:r>
        <w:t>2025</w:t>
      </w:r>
      <w:r>
        <w:rPr>
          <w:spacing w:val="-1"/>
        </w:rPr>
        <w:t xml:space="preserve"> </w:t>
      </w:r>
      <w:r>
        <w:t>program.</w:t>
      </w:r>
      <w:r>
        <w:rPr>
          <w:spacing w:val="-3"/>
        </w:rPr>
        <w:t xml:space="preserve"> </w:t>
      </w:r>
      <w:r>
        <w:t>Applicants</w:t>
      </w:r>
      <w:r>
        <w:rPr>
          <w:spacing w:val="-11"/>
        </w:rPr>
        <w:t xml:space="preserve"> </w:t>
      </w:r>
      <w:r>
        <w:t>for</w:t>
      </w:r>
      <w:r>
        <w:rPr>
          <w:spacing w:val="-9"/>
        </w:rPr>
        <w:t xml:space="preserve"> </w:t>
      </w:r>
      <w:r>
        <w:t>a</w:t>
      </w:r>
      <w:r>
        <w:rPr>
          <w:spacing w:val="-4"/>
        </w:rPr>
        <w:t xml:space="preserve"> </w:t>
      </w:r>
      <w:r>
        <w:t>CDBG</w:t>
      </w:r>
      <w:r>
        <w:rPr>
          <w:spacing w:val="-9"/>
        </w:rPr>
        <w:t xml:space="preserve"> </w:t>
      </w:r>
      <w:r>
        <w:t>grant</w:t>
      </w:r>
      <w:r>
        <w:rPr>
          <w:spacing w:val="-8"/>
        </w:rPr>
        <w:t xml:space="preserve"> </w:t>
      </w:r>
      <w:r>
        <w:t>will be eligible</w:t>
      </w:r>
      <w:r>
        <w:rPr>
          <w:spacing w:val="-3"/>
        </w:rPr>
        <w:t xml:space="preserve"> </w:t>
      </w:r>
      <w:r>
        <w:t>to</w:t>
      </w:r>
      <w:r>
        <w:rPr>
          <w:spacing w:val="-2"/>
        </w:rPr>
        <w:t xml:space="preserve"> </w:t>
      </w:r>
      <w:r>
        <w:t>receive</w:t>
      </w:r>
      <w:r>
        <w:rPr>
          <w:spacing w:val="-4"/>
        </w:rPr>
        <w:t xml:space="preserve"> </w:t>
      </w:r>
      <w:r>
        <w:t>up</w:t>
      </w:r>
      <w:r>
        <w:rPr>
          <w:spacing w:val="-1"/>
        </w:rPr>
        <w:t xml:space="preserve"> </w:t>
      </w:r>
      <w:r>
        <w:t>to</w:t>
      </w:r>
      <w:r>
        <w:rPr>
          <w:spacing w:val="-1"/>
        </w:rPr>
        <w:t xml:space="preserve"> </w:t>
      </w:r>
      <w:r>
        <w:t>the</w:t>
      </w:r>
      <w:r>
        <w:rPr>
          <w:spacing w:val="-1"/>
        </w:rPr>
        <w:t xml:space="preserve"> </w:t>
      </w:r>
      <w:r>
        <w:t>following</w:t>
      </w:r>
      <w:r>
        <w:rPr>
          <w:spacing w:val="-2"/>
        </w:rPr>
        <w:t xml:space="preserve"> </w:t>
      </w:r>
      <w:r>
        <w:t>amounts</w:t>
      </w:r>
      <w:r>
        <w:rPr>
          <w:spacing w:val="-1"/>
        </w:rPr>
        <w:t xml:space="preserve"> </w:t>
      </w:r>
      <w:r>
        <w:t>based on</w:t>
      </w:r>
      <w:r>
        <w:rPr>
          <w:spacing w:val="-2"/>
        </w:rPr>
        <w:t xml:space="preserve"> </w:t>
      </w:r>
      <w:r>
        <w:t>the</w:t>
      </w:r>
      <w:r>
        <w:rPr>
          <w:spacing w:val="-3"/>
        </w:rPr>
        <w:t xml:space="preserve"> </w:t>
      </w:r>
      <w:r>
        <w:t>type</w:t>
      </w:r>
      <w:r>
        <w:rPr>
          <w:spacing w:val="-3"/>
        </w:rPr>
        <w:t xml:space="preserve"> </w:t>
      </w:r>
      <w:r>
        <w:t>of application</w:t>
      </w:r>
      <w:r>
        <w:rPr>
          <w:spacing w:val="-4"/>
        </w:rPr>
        <w:t xml:space="preserve"> </w:t>
      </w:r>
      <w:r>
        <w:t>submitted:</w:t>
      </w:r>
    </w:p>
    <w:p w14:paraId="53A7A214" w14:textId="77777777" w:rsidR="00E044A1" w:rsidRDefault="00E044A1">
      <w:pPr>
        <w:pStyle w:val="BodyText"/>
        <w:spacing w:before="71"/>
        <w:rPr>
          <w:sz w:val="20"/>
        </w:rPr>
      </w:pPr>
    </w:p>
    <w:tbl>
      <w:tblPr>
        <w:tblW w:w="0" w:type="auto"/>
        <w:tblInd w:w="15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709"/>
        <w:gridCol w:w="2520"/>
        <w:gridCol w:w="2699"/>
      </w:tblGrid>
      <w:tr w:rsidR="00E044A1" w14:paraId="21A56D1F" w14:textId="77777777">
        <w:trPr>
          <w:trHeight w:val="456"/>
        </w:trPr>
        <w:tc>
          <w:tcPr>
            <w:tcW w:w="3709" w:type="dxa"/>
            <w:tcBorders>
              <w:bottom w:val="single" w:sz="6" w:space="0" w:color="000000"/>
              <w:right w:val="single" w:sz="6" w:space="0" w:color="000000"/>
            </w:tcBorders>
          </w:tcPr>
          <w:p w14:paraId="6101C888" w14:textId="77777777" w:rsidR="00E044A1" w:rsidRDefault="002E1B01">
            <w:pPr>
              <w:pStyle w:val="TableParagraph"/>
              <w:spacing w:before="217" w:line="219" w:lineRule="exact"/>
              <w:ind w:left="0" w:right="294"/>
              <w:jc w:val="center"/>
              <w:rPr>
                <w:b/>
                <w:sz w:val="20"/>
              </w:rPr>
            </w:pPr>
            <w:r>
              <w:rPr>
                <w:b/>
                <w:spacing w:val="-2"/>
                <w:sz w:val="20"/>
              </w:rPr>
              <w:t>Category</w:t>
            </w:r>
          </w:p>
        </w:tc>
        <w:tc>
          <w:tcPr>
            <w:tcW w:w="2520" w:type="dxa"/>
            <w:tcBorders>
              <w:left w:val="single" w:sz="6" w:space="0" w:color="000000"/>
              <w:bottom w:val="single" w:sz="6" w:space="0" w:color="000000"/>
              <w:right w:val="single" w:sz="6" w:space="0" w:color="000000"/>
            </w:tcBorders>
          </w:tcPr>
          <w:p w14:paraId="1C76FF7F" w14:textId="77777777" w:rsidR="00E044A1" w:rsidRDefault="002E1B01">
            <w:pPr>
              <w:pStyle w:val="TableParagraph"/>
              <w:spacing w:before="13" w:line="212" w:lineRule="exact"/>
              <w:ind w:left="409" w:hanging="57"/>
              <w:rPr>
                <w:b/>
                <w:sz w:val="20"/>
              </w:rPr>
            </w:pPr>
            <w:r>
              <w:rPr>
                <w:b/>
                <w:spacing w:val="-2"/>
                <w:sz w:val="20"/>
              </w:rPr>
              <w:t>Minimum</w:t>
            </w:r>
            <w:r>
              <w:rPr>
                <w:b/>
                <w:spacing w:val="-10"/>
                <w:sz w:val="20"/>
              </w:rPr>
              <w:t xml:space="preserve"> </w:t>
            </w:r>
            <w:r>
              <w:rPr>
                <w:b/>
                <w:spacing w:val="-2"/>
                <w:sz w:val="20"/>
              </w:rPr>
              <w:t>Grant</w:t>
            </w:r>
            <w:r>
              <w:rPr>
                <w:b/>
                <w:spacing w:val="-9"/>
                <w:sz w:val="20"/>
              </w:rPr>
              <w:t xml:space="preserve"> </w:t>
            </w:r>
            <w:r>
              <w:rPr>
                <w:b/>
                <w:spacing w:val="-2"/>
                <w:sz w:val="20"/>
              </w:rPr>
              <w:t xml:space="preserve">from </w:t>
            </w:r>
            <w:r>
              <w:rPr>
                <w:b/>
                <w:sz w:val="20"/>
              </w:rPr>
              <w:t>Competitive</w:t>
            </w:r>
            <w:r>
              <w:rPr>
                <w:b/>
                <w:spacing w:val="-12"/>
                <w:sz w:val="20"/>
              </w:rPr>
              <w:t xml:space="preserve"> </w:t>
            </w:r>
            <w:r>
              <w:rPr>
                <w:b/>
                <w:sz w:val="20"/>
              </w:rPr>
              <w:t>Round:</w:t>
            </w:r>
          </w:p>
        </w:tc>
        <w:tc>
          <w:tcPr>
            <w:tcW w:w="2699" w:type="dxa"/>
            <w:tcBorders>
              <w:left w:val="single" w:sz="6" w:space="0" w:color="000000"/>
              <w:bottom w:val="single" w:sz="6" w:space="0" w:color="000000"/>
            </w:tcBorders>
          </w:tcPr>
          <w:p w14:paraId="1C3468CE" w14:textId="77777777" w:rsidR="00E044A1" w:rsidRDefault="002E1B01">
            <w:pPr>
              <w:pStyle w:val="TableParagraph"/>
              <w:spacing w:before="13" w:line="212" w:lineRule="exact"/>
              <w:ind w:left="497" w:hanging="74"/>
              <w:rPr>
                <w:b/>
                <w:sz w:val="20"/>
              </w:rPr>
            </w:pPr>
            <w:r>
              <w:rPr>
                <w:b/>
                <w:spacing w:val="-2"/>
                <w:sz w:val="20"/>
              </w:rPr>
              <w:t>Maximum</w:t>
            </w:r>
            <w:r>
              <w:rPr>
                <w:b/>
                <w:spacing w:val="-10"/>
                <w:sz w:val="20"/>
              </w:rPr>
              <w:t xml:space="preserve"> </w:t>
            </w:r>
            <w:r>
              <w:rPr>
                <w:b/>
                <w:spacing w:val="-2"/>
                <w:sz w:val="20"/>
              </w:rPr>
              <w:t>Grant</w:t>
            </w:r>
            <w:r>
              <w:rPr>
                <w:b/>
                <w:spacing w:val="-9"/>
                <w:sz w:val="20"/>
              </w:rPr>
              <w:t xml:space="preserve"> </w:t>
            </w:r>
            <w:r>
              <w:rPr>
                <w:b/>
                <w:spacing w:val="-2"/>
                <w:sz w:val="20"/>
              </w:rPr>
              <w:t xml:space="preserve">from </w:t>
            </w:r>
            <w:r>
              <w:rPr>
                <w:b/>
                <w:sz w:val="20"/>
              </w:rPr>
              <w:t>Competitive</w:t>
            </w:r>
            <w:r>
              <w:rPr>
                <w:b/>
                <w:spacing w:val="-12"/>
                <w:sz w:val="20"/>
              </w:rPr>
              <w:t xml:space="preserve"> </w:t>
            </w:r>
            <w:r>
              <w:rPr>
                <w:b/>
                <w:sz w:val="20"/>
              </w:rPr>
              <w:t>Round:</w:t>
            </w:r>
          </w:p>
        </w:tc>
      </w:tr>
      <w:tr w:rsidR="00E044A1" w14:paraId="115C63A2" w14:textId="77777777">
        <w:trPr>
          <w:trHeight w:val="228"/>
        </w:trPr>
        <w:tc>
          <w:tcPr>
            <w:tcW w:w="3709" w:type="dxa"/>
            <w:tcBorders>
              <w:top w:val="single" w:sz="6" w:space="0" w:color="000000"/>
              <w:bottom w:val="single" w:sz="6" w:space="0" w:color="000000"/>
              <w:right w:val="single" w:sz="6" w:space="0" w:color="000000"/>
            </w:tcBorders>
          </w:tcPr>
          <w:p w14:paraId="62580046" w14:textId="77777777" w:rsidR="00E044A1" w:rsidRDefault="002E1B01">
            <w:pPr>
              <w:pStyle w:val="TableParagraph"/>
              <w:spacing w:line="209" w:lineRule="exact"/>
              <w:ind w:left="121"/>
              <w:rPr>
                <w:sz w:val="20"/>
              </w:rPr>
            </w:pPr>
            <w:r>
              <w:rPr>
                <w:spacing w:val="-2"/>
                <w:sz w:val="20"/>
              </w:rPr>
              <w:t>Single</w:t>
            </w:r>
            <w:r>
              <w:rPr>
                <w:spacing w:val="1"/>
                <w:sz w:val="20"/>
              </w:rPr>
              <w:t xml:space="preserve"> </w:t>
            </w:r>
            <w:r>
              <w:rPr>
                <w:spacing w:val="-2"/>
                <w:sz w:val="20"/>
              </w:rPr>
              <w:t>Municipality</w:t>
            </w:r>
          </w:p>
        </w:tc>
        <w:tc>
          <w:tcPr>
            <w:tcW w:w="2520" w:type="dxa"/>
            <w:tcBorders>
              <w:top w:val="single" w:sz="6" w:space="0" w:color="000000"/>
              <w:left w:val="single" w:sz="6" w:space="0" w:color="000000"/>
              <w:bottom w:val="single" w:sz="6" w:space="0" w:color="000000"/>
              <w:right w:val="single" w:sz="6" w:space="0" w:color="000000"/>
            </w:tcBorders>
          </w:tcPr>
          <w:p w14:paraId="650F583E" w14:textId="77777777" w:rsidR="00E044A1" w:rsidRDefault="002E1B01">
            <w:pPr>
              <w:pStyle w:val="TableParagraph"/>
              <w:spacing w:line="209" w:lineRule="exact"/>
              <w:ind w:left="352"/>
              <w:rPr>
                <w:b/>
                <w:sz w:val="20"/>
              </w:rPr>
            </w:pPr>
            <w:r>
              <w:rPr>
                <w:b/>
                <w:sz w:val="20"/>
              </w:rPr>
              <w:t>$</w:t>
            </w:r>
            <w:r>
              <w:rPr>
                <w:b/>
                <w:spacing w:val="-4"/>
                <w:sz w:val="20"/>
              </w:rPr>
              <w:t xml:space="preserve"> </w:t>
            </w:r>
            <w:r>
              <w:rPr>
                <w:b/>
                <w:spacing w:val="-2"/>
                <w:sz w:val="20"/>
              </w:rPr>
              <w:t>100,000</w:t>
            </w:r>
          </w:p>
        </w:tc>
        <w:tc>
          <w:tcPr>
            <w:tcW w:w="2699" w:type="dxa"/>
            <w:tcBorders>
              <w:top w:val="single" w:sz="6" w:space="0" w:color="000000"/>
              <w:left w:val="single" w:sz="6" w:space="0" w:color="000000"/>
              <w:bottom w:val="single" w:sz="6" w:space="0" w:color="000000"/>
            </w:tcBorders>
          </w:tcPr>
          <w:p w14:paraId="18B9220F" w14:textId="77777777" w:rsidR="00E044A1" w:rsidRDefault="002E1B01">
            <w:pPr>
              <w:pStyle w:val="TableParagraph"/>
              <w:spacing w:line="209" w:lineRule="exact"/>
              <w:ind w:left="352"/>
              <w:rPr>
                <w:b/>
                <w:sz w:val="20"/>
              </w:rPr>
            </w:pPr>
            <w:r>
              <w:rPr>
                <w:b/>
                <w:spacing w:val="-2"/>
                <w:sz w:val="20"/>
              </w:rPr>
              <w:t>$850,000</w:t>
            </w:r>
          </w:p>
        </w:tc>
      </w:tr>
      <w:tr w:rsidR="00E044A1" w14:paraId="14215FFF" w14:textId="77777777">
        <w:trPr>
          <w:trHeight w:val="228"/>
        </w:trPr>
        <w:tc>
          <w:tcPr>
            <w:tcW w:w="3709" w:type="dxa"/>
            <w:tcBorders>
              <w:top w:val="single" w:sz="6" w:space="0" w:color="000000"/>
              <w:bottom w:val="single" w:sz="6" w:space="0" w:color="000000"/>
              <w:right w:val="single" w:sz="6" w:space="0" w:color="000000"/>
            </w:tcBorders>
          </w:tcPr>
          <w:p w14:paraId="2066EA96" w14:textId="77777777" w:rsidR="00E044A1" w:rsidRDefault="00E044A1">
            <w:pPr>
              <w:pStyle w:val="TableParagraph"/>
              <w:ind w:left="0"/>
              <w:rPr>
                <w:rFonts w:ascii="Times New Roman"/>
                <w:sz w:val="16"/>
              </w:rPr>
            </w:pPr>
          </w:p>
        </w:tc>
        <w:tc>
          <w:tcPr>
            <w:tcW w:w="2520" w:type="dxa"/>
            <w:tcBorders>
              <w:top w:val="single" w:sz="6" w:space="0" w:color="000000"/>
              <w:left w:val="single" w:sz="6" w:space="0" w:color="000000"/>
              <w:bottom w:val="single" w:sz="6" w:space="0" w:color="000000"/>
              <w:right w:val="single" w:sz="6" w:space="0" w:color="000000"/>
            </w:tcBorders>
          </w:tcPr>
          <w:p w14:paraId="274240D4" w14:textId="77777777" w:rsidR="00E044A1" w:rsidRDefault="00E044A1">
            <w:pPr>
              <w:pStyle w:val="TableParagraph"/>
              <w:ind w:left="0"/>
              <w:rPr>
                <w:rFonts w:ascii="Times New Roman"/>
                <w:sz w:val="16"/>
              </w:rPr>
            </w:pPr>
          </w:p>
        </w:tc>
        <w:tc>
          <w:tcPr>
            <w:tcW w:w="2699" w:type="dxa"/>
            <w:tcBorders>
              <w:top w:val="single" w:sz="6" w:space="0" w:color="000000"/>
              <w:left w:val="single" w:sz="6" w:space="0" w:color="000000"/>
              <w:bottom w:val="single" w:sz="6" w:space="0" w:color="000000"/>
            </w:tcBorders>
          </w:tcPr>
          <w:p w14:paraId="33BDD1AB" w14:textId="77777777" w:rsidR="00E044A1" w:rsidRDefault="00E044A1">
            <w:pPr>
              <w:pStyle w:val="TableParagraph"/>
              <w:ind w:left="0"/>
              <w:rPr>
                <w:rFonts w:ascii="Times New Roman"/>
                <w:sz w:val="16"/>
              </w:rPr>
            </w:pPr>
          </w:p>
        </w:tc>
      </w:tr>
      <w:tr w:rsidR="00E044A1" w14:paraId="01581A39" w14:textId="77777777">
        <w:trPr>
          <w:trHeight w:val="229"/>
        </w:trPr>
        <w:tc>
          <w:tcPr>
            <w:tcW w:w="3709" w:type="dxa"/>
            <w:tcBorders>
              <w:top w:val="single" w:sz="6" w:space="0" w:color="000000"/>
              <w:bottom w:val="single" w:sz="6" w:space="0" w:color="000000"/>
              <w:right w:val="single" w:sz="6" w:space="0" w:color="000000"/>
            </w:tcBorders>
          </w:tcPr>
          <w:p w14:paraId="5F6C6911" w14:textId="77777777" w:rsidR="00E044A1" w:rsidRDefault="002E1B01">
            <w:pPr>
              <w:pStyle w:val="TableParagraph"/>
              <w:spacing w:line="210" w:lineRule="exact"/>
              <w:ind w:left="121"/>
              <w:rPr>
                <w:sz w:val="20"/>
              </w:rPr>
            </w:pPr>
            <w:r>
              <w:rPr>
                <w:spacing w:val="-2"/>
                <w:sz w:val="20"/>
              </w:rPr>
              <w:t>Two</w:t>
            </w:r>
            <w:r>
              <w:rPr>
                <w:spacing w:val="2"/>
                <w:sz w:val="20"/>
              </w:rPr>
              <w:t xml:space="preserve"> </w:t>
            </w:r>
            <w:r>
              <w:rPr>
                <w:spacing w:val="-2"/>
                <w:sz w:val="20"/>
              </w:rPr>
              <w:t>Municipalities</w:t>
            </w:r>
            <w:r>
              <w:rPr>
                <w:spacing w:val="5"/>
                <w:sz w:val="20"/>
              </w:rPr>
              <w:t xml:space="preserve"> </w:t>
            </w:r>
            <w:r>
              <w:rPr>
                <w:spacing w:val="-2"/>
                <w:sz w:val="20"/>
              </w:rPr>
              <w:t>(Regional)</w:t>
            </w:r>
          </w:p>
        </w:tc>
        <w:tc>
          <w:tcPr>
            <w:tcW w:w="2520" w:type="dxa"/>
            <w:tcBorders>
              <w:top w:val="single" w:sz="6" w:space="0" w:color="000000"/>
              <w:left w:val="single" w:sz="6" w:space="0" w:color="000000"/>
              <w:bottom w:val="single" w:sz="6" w:space="0" w:color="000000"/>
              <w:right w:val="single" w:sz="6" w:space="0" w:color="000000"/>
            </w:tcBorders>
          </w:tcPr>
          <w:p w14:paraId="5D078A30" w14:textId="77777777" w:rsidR="00E044A1" w:rsidRDefault="002E1B01">
            <w:pPr>
              <w:pStyle w:val="TableParagraph"/>
              <w:spacing w:line="210" w:lineRule="exact"/>
              <w:ind w:left="352"/>
              <w:rPr>
                <w:b/>
                <w:sz w:val="20"/>
              </w:rPr>
            </w:pPr>
            <w:r>
              <w:rPr>
                <w:b/>
                <w:sz w:val="20"/>
              </w:rPr>
              <w:t>$</w:t>
            </w:r>
            <w:r>
              <w:rPr>
                <w:b/>
                <w:spacing w:val="-4"/>
                <w:sz w:val="20"/>
              </w:rPr>
              <w:t xml:space="preserve"> </w:t>
            </w:r>
            <w:r>
              <w:rPr>
                <w:b/>
                <w:spacing w:val="-2"/>
                <w:sz w:val="20"/>
              </w:rPr>
              <w:t>100,000</w:t>
            </w:r>
          </w:p>
        </w:tc>
        <w:tc>
          <w:tcPr>
            <w:tcW w:w="2699" w:type="dxa"/>
            <w:tcBorders>
              <w:top w:val="single" w:sz="6" w:space="0" w:color="000000"/>
              <w:left w:val="single" w:sz="6" w:space="0" w:color="000000"/>
              <w:bottom w:val="single" w:sz="6" w:space="0" w:color="000000"/>
            </w:tcBorders>
          </w:tcPr>
          <w:p w14:paraId="054D4B8D" w14:textId="3BC0159D" w:rsidR="00E044A1" w:rsidRDefault="002E1B01">
            <w:pPr>
              <w:pStyle w:val="TableParagraph"/>
              <w:spacing w:line="210" w:lineRule="exact"/>
              <w:ind w:left="352"/>
              <w:rPr>
                <w:b/>
                <w:sz w:val="20"/>
              </w:rPr>
            </w:pPr>
            <w:r>
              <w:rPr>
                <w:b/>
                <w:spacing w:val="-2"/>
                <w:sz w:val="20"/>
              </w:rPr>
              <w:t>$</w:t>
            </w:r>
            <w:r w:rsidR="00337BF5">
              <w:rPr>
                <w:b/>
                <w:spacing w:val="-2"/>
                <w:sz w:val="20"/>
              </w:rPr>
              <w:t>1,050,000</w:t>
            </w:r>
          </w:p>
        </w:tc>
      </w:tr>
      <w:tr w:rsidR="00E044A1" w14:paraId="036BD617" w14:textId="77777777">
        <w:trPr>
          <w:trHeight w:val="453"/>
        </w:trPr>
        <w:tc>
          <w:tcPr>
            <w:tcW w:w="3709" w:type="dxa"/>
            <w:tcBorders>
              <w:top w:val="single" w:sz="6" w:space="0" w:color="000000"/>
              <w:bottom w:val="single" w:sz="6" w:space="0" w:color="000000"/>
              <w:right w:val="single" w:sz="6" w:space="0" w:color="000000"/>
            </w:tcBorders>
          </w:tcPr>
          <w:p w14:paraId="2BF2A073" w14:textId="77777777" w:rsidR="00E044A1" w:rsidRDefault="002E1B01">
            <w:pPr>
              <w:pStyle w:val="TableParagraph"/>
              <w:spacing w:before="13" w:line="210" w:lineRule="exact"/>
              <w:ind w:left="121" w:right="414"/>
              <w:rPr>
                <w:sz w:val="20"/>
              </w:rPr>
            </w:pPr>
            <w:r>
              <w:rPr>
                <w:spacing w:val="-2"/>
                <w:sz w:val="20"/>
              </w:rPr>
              <w:t>Three</w:t>
            </w:r>
            <w:r>
              <w:rPr>
                <w:spacing w:val="-9"/>
                <w:sz w:val="20"/>
              </w:rPr>
              <w:t xml:space="preserve"> </w:t>
            </w:r>
            <w:r>
              <w:rPr>
                <w:spacing w:val="-2"/>
                <w:sz w:val="20"/>
              </w:rPr>
              <w:t>or</w:t>
            </w:r>
            <w:r>
              <w:rPr>
                <w:spacing w:val="-8"/>
                <w:sz w:val="20"/>
              </w:rPr>
              <w:t xml:space="preserve"> </w:t>
            </w:r>
            <w:r>
              <w:rPr>
                <w:spacing w:val="-2"/>
                <w:sz w:val="20"/>
              </w:rPr>
              <w:t>More</w:t>
            </w:r>
            <w:r>
              <w:rPr>
                <w:spacing w:val="-8"/>
                <w:sz w:val="20"/>
              </w:rPr>
              <w:t xml:space="preserve"> </w:t>
            </w:r>
            <w:r>
              <w:rPr>
                <w:spacing w:val="-2"/>
                <w:sz w:val="20"/>
              </w:rPr>
              <w:t>Municipalities (Regional)</w:t>
            </w:r>
          </w:p>
        </w:tc>
        <w:tc>
          <w:tcPr>
            <w:tcW w:w="2520" w:type="dxa"/>
            <w:tcBorders>
              <w:top w:val="single" w:sz="6" w:space="0" w:color="000000"/>
              <w:left w:val="single" w:sz="6" w:space="0" w:color="000000"/>
              <w:bottom w:val="single" w:sz="6" w:space="0" w:color="000000"/>
              <w:right w:val="single" w:sz="6" w:space="0" w:color="000000"/>
            </w:tcBorders>
          </w:tcPr>
          <w:p w14:paraId="160227E9" w14:textId="77777777" w:rsidR="00E044A1" w:rsidRDefault="002E1B01">
            <w:pPr>
              <w:pStyle w:val="TableParagraph"/>
              <w:ind w:left="352"/>
              <w:rPr>
                <w:b/>
                <w:sz w:val="20"/>
              </w:rPr>
            </w:pPr>
            <w:r>
              <w:rPr>
                <w:b/>
                <w:sz w:val="20"/>
              </w:rPr>
              <w:t>$</w:t>
            </w:r>
            <w:r>
              <w:rPr>
                <w:b/>
                <w:spacing w:val="-4"/>
                <w:sz w:val="20"/>
              </w:rPr>
              <w:t xml:space="preserve"> </w:t>
            </w:r>
            <w:r>
              <w:rPr>
                <w:b/>
                <w:spacing w:val="-2"/>
                <w:sz w:val="20"/>
              </w:rPr>
              <w:t>100,000</w:t>
            </w:r>
          </w:p>
        </w:tc>
        <w:tc>
          <w:tcPr>
            <w:tcW w:w="2699" w:type="dxa"/>
            <w:tcBorders>
              <w:top w:val="single" w:sz="6" w:space="0" w:color="000000"/>
              <w:left w:val="single" w:sz="6" w:space="0" w:color="000000"/>
              <w:bottom w:val="single" w:sz="6" w:space="0" w:color="000000"/>
            </w:tcBorders>
          </w:tcPr>
          <w:p w14:paraId="6BC1C33C" w14:textId="77777777" w:rsidR="00E044A1" w:rsidRDefault="002E1B01">
            <w:pPr>
              <w:pStyle w:val="TableParagraph"/>
              <w:ind w:left="352"/>
              <w:rPr>
                <w:b/>
                <w:sz w:val="20"/>
              </w:rPr>
            </w:pPr>
            <w:r>
              <w:rPr>
                <w:b/>
                <w:spacing w:val="-2"/>
                <w:sz w:val="20"/>
              </w:rPr>
              <w:t>$1,250,000</w:t>
            </w:r>
          </w:p>
        </w:tc>
      </w:tr>
      <w:tr w:rsidR="00E044A1" w14:paraId="0FD28EA7" w14:textId="77777777">
        <w:trPr>
          <w:trHeight w:val="231"/>
        </w:trPr>
        <w:tc>
          <w:tcPr>
            <w:tcW w:w="3709" w:type="dxa"/>
            <w:tcBorders>
              <w:top w:val="single" w:sz="6" w:space="0" w:color="000000"/>
              <w:right w:val="single" w:sz="6" w:space="0" w:color="000000"/>
            </w:tcBorders>
          </w:tcPr>
          <w:p w14:paraId="5B00E0D5" w14:textId="77777777" w:rsidR="00E044A1" w:rsidRDefault="002E1B01">
            <w:pPr>
              <w:pStyle w:val="TableParagraph"/>
              <w:spacing w:line="211" w:lineRule="exact"/>
              <w:ind w:left="121"/>
              <w:rPr>
                <w:sz w:val="20"/>
              </w:rPr>
            </w:pPr>
            <w:r>
              <w:rPr>
                <w:spacing w:val="-2"/>
                <w:sz w:val="20"/>
              </w:rPr>
              <w:t>Planning-</w:t>
            </w:r>
            <w:r>
              <w:rPr>
                <w:sz w:val="20"/>
              </w:rPr>
              <w:t xml:space="preserve"> </w:t>
            </w:r>
            <w:r>
              <w:rPr>
                <w:spacing w:val="-2"/>
                <w:sz w:val="20"/>
              </w:rPr>
              <w:t>or</w:t>
            </w:r>
            <w:r>
              <w:rPr>
                <w:spacing w:val="4"/>
                <w:sz w:val="20"/>
              </w:rPr>
              <w:t xml:space="preserve"> </w:t>
            </w:r>
            <w:r>
              <w:rPr>
                <w:spacing w:val="-2"/>
                <w:sz w:val="20"/>
              </w:rPr>
              <w:t>Design-only</w:t>
            </w:r>
            <w:r>
              <w:rPr>
                <w:spacing w:val="2"/>
                <w:sz w:val="20"/>
              </w:rPr>
              <w:t xml:space="preserve"> </w:t>
            </w:r>
            <w:r>
              <w:rPr>
                <w:spacing w:val="-2"/>
                <w:sz w:val="20"/>
              </w:rPr>
              <w:t>grants</w:t>
            </w:r>
          </w:p>
        </w:tc>
        <w:tc>
          <w:tcPr>
            <w:tcW w:w="2520" w:type="dxa"/>
            <w:tcBorders>
              <w:top w:val="single" w:sz="6" w:space="0" w:color="000000"/>
              <w:left w:val="single" w:sz="6" w:space="0" w:color="000000"/>
              <w:right w:val="single" w:sz="6" w:space="0" w:color="000000"/>
            </w:tcBorders>
          </w:tcPr>
          <w:p w14:paraId="4BBE3939" w14:textId="77777777" w:rsidR="00E044A1" w:rsidRDefault="002E1B01">
            <w:pPr>
              <w:pStyle w:val="TableParagraph"/>
              <w:spacing w:line="211" w:lineRule="exact"/>
              <w:ind w:left="352"/>
              <w:rPr>
                <w:b/>
                <w:sz w:val="20"/>
              </w:rPr>
            </w:pPr>
            <w:r>
              <w:rPr>
                <w:b/>
                <w:sz w:val="20"/>
              </w:rPr>
              <w:t>$</w:t>
            </w:r>
            <w:r>
              <w:rPr>
                <w:b/>
                <w:spacing w:val="67"/>
                <w:w w:val="150"/>
                <w:sz w:val="20"/>
              </w:rPr>
              <w:t xml:space="preserve"> </w:t>
            </w:r>
            <w:r>
              <w:rPr>
                <w:b/>
                <w:spacing w:val="-2"/>
                <w:sz w:val="20"/>
              </w:rPr>
              <w:t>10,000</w:t>
            </w:r>
          </w:p>
        </w:tc>
        <w:tc>
          <w:tcPr>
            <w:tcW w:w="2699" w:type="dxa"/>
            <w:tcBorders>
              <w:top w:val="single" w:sz="6" w:space="0" w:color="000000"/>
              <w:left w:val="single" w:sz="6" w:space="0" w:color="000000"/>
            </w:tcBorders>
          </w:tcPr>
          <w:p w14:paraId="5BA6247C" w14:textId="77777777" w:rsidR="00E044A1" w:rsidRDefault="002E1B01">
            <w:pPr>
              <w:pStyle w:val="TableParagraph"/>
              <w:spacing w:line="211" w:lineRule="exact"/>
              <w:ind w:left="491"/>
              <w:rPr>
                <w:b/>
                <w:sz w:val="20"/>
              </w:rPr>
            </w:pPr>
            <w:r>
              <w:rPr>
                <w:b/>
                <w:spacing w:val="-4"/>
                <w:sz w:val="20"/>
              </w:rPr>
              <w:t>-----</w:t>
            </w:r>
            <w:r>
              <w:rPr>
                <w:b/>
                <w:spacing w:val="-10"/>
                <w:sz w:val="20"/>
              </w:rPr>
              <w:t>-</w:t>
            </w:r>
          </w:p>
        </w:tc>
      </w:tr>
    </w:tbl>
    <w:p w14:paraId="1BB75BD6" w14:textId="77777777" w:rsidR="00E044A1" w:rsidRDefault="00E044A1">
      <w:pPr>
        <w:pStyle w:val="BodyText"/>
        <w:spacing w:before="42"/>
      </w:pPr>
    </w:p>
    <w:p w14:paraId="644AD8F0" w14:textId="77777777" w:rsidR="00E044A1" w:rsidRDefault="002E1B01">
      <w:pPr>
        <w:pStyle w:val="Heading2"/>
        <w:ind w:left="940"/>
      </w:pPr>
      <w:bookmarkStart w:id="4" w:name="MINI-ENTITLEMENT_PROGRAM_–_Grant_Award_A"/>
      <w:bookmarkEnd w:id="4"/>
      <w:r>
        <w:t>MINI-ENTITLEMENT</w:t>
      </w:r>
      <w:r>
        <w:rPr>
          <w:spacing w:val="-13"/>
        </w:rPr>
        <w:t xml:space="preserve"> </w:t>
      </w:r>
      <w:r>
        <w:t>PROGRAM</w:t>
      </w:r>
      <w:r>
        <w:rPr>
          <w:spacing w:val="-12"/>
        </w:rPr>
        <w:t xml:space="preserve"> </w:t>
      </w:r>
      <w:r>
        <w:t>–</w:t>
      </w:r>
      <w:r>
        <w:rPr>
          <w:spacing w:val="-11"/>
        </w:rPr>
        <w:t xml:space="preserve"> </w:t>
      </w:r>
      <w:r>
        <w:t>Grant</w:t>
      </w:r>
      <w:r>
        <w:rPr>
          <w:spacing w:val="-13"/>
        </w:rPr>
        <w:t xml:space="preserve"> </w:t>
      </w:r>
      <w:r>
        <w:t>Award</w:t>
      </w:r>
      <w:r>
        <w:rPr>
          <w:spacing w:val="-13"/>
        </w:rPr>
        <w:t xml:space="preserve"> </w:t>
      </w:r>
      <w:r>
        <w:t>Amounts</w:t>
      </w:r>
      <w:r>
        <w:rPr>
          <w:spacing w:val="-13"/>
        </w:rPr>
        <w:t xml:space="preserve"> </w:t>
      </w:r>
      <w:r>
        <w:t>and</w:t>
      </w:r>
      <w:r>
        <w:rPr>
          <w:spacing w:val="-11"/>
        </w:rPr>
        <w:t xml:space="preserve"> </w:t>
      </w:r>
      <w:r>
        <w:rPr>
          <w:spacing w:val="-2"/>
        </w:rPr>
        <w:t>Requirements</w:t>
      </w:r>
    </w:p>
    <w:p w14:paraId="267151DF" w14:textId="77777777" w:rsidR="00E044A1" w:rsidRDefault="002E1B01">
      <w:pPr>
        <w:pStyle w:val="BodyText"/>
        <w:spacing w:before="252"/>
        <w:ind w:left="940" w:right="879" w:hanging="1"/>
        <w:jc w:val="both"/>
      </w:pPr>
      <w:r>
        <w:rPr>
          <w:spacing w:val="-2"/>
        </w:rPr>
        <w:t>Mini-Entitlement</w:t>
      </w:r>
      <w:r>
        <w:rPr>
          <w:spacing w:val="-10"/>
        </w:rPr>
        <w:t xml:space="preserve"> </w:t>
      </w:r>
      <w:r>
        <w:rPr>
          <w:spacing w:val="-2"/>
        </w:rPr>
        <w:t>communities</w:t>
      </w:r>
      <w:r>
        <w:rPr>
          <w:spacing w:val="-10"/>
        </w:rPr>
        <w:t xml:space="preserve"> </w:t>
      </w:r>
      <w:r>
        <w:rPr>
          <w:spacing w:val="-2"/>
        </w:rPr>
        <w:t>are</w:t>
      </w:r>
      <w:r>
        <w:rPr>
          <w:spacing w:val="-10"/>
        </w:rPr>
        <w:t xml:space="preserve"> </w:t>
      </w:r>
      <w:r>
        <w:rPr>
          <w:spacing w:val="-2"/>
        </w:rPr>
        <w:t>eligible</w:t>
      </w:r>
      <w:r>
        <w:rPr>
          <w:spacing w:val="-10"/>
        </w:rPr>
        <w:t xml:space="preserve"> </w:t>
      </w:r>
      <w:r>
        <w:rPr>
          <w:spacing w:val="-2"/>
        </w:rPr>
        <w:t>for</w:t>
      </w:r>
      <w:r>
        <w:rPr>
          <w:spacing w:val="-9"/>
        </w:rPr>
        <w:t xml:space="preserve"> </w:t>
      </w:r>
      <w:r>
        <w:rPr>
          <w:spacing w:val="-2"/>
        </w:rPr>
        <w:t>a</w:t>
      </w:r>
      <w:r>
        <w:rPr>
          <w:spacing w:val="-10"/>
        </w:rPr>
        <w:t xml:space="preserve"> </w:t>
      </w:r>
      <w:r>
        <w:rPr>
          <w:spacing w:val="-2"/>
        </w:rPr>
        <w:t>minimum</w:t>
      </w:r>
      <w:r>
        <w:rPr>
          <w:spacing w:val="-10"/>
        </w:rPr>
        <w:t xml:space="preserve"> </w:t>
      </w:r>
      <w:r>
        <w:rPr>
          <w:spacing w:val="-2"/>
        </w:rPr>
        <w:t>award</w:t>
      </w:r>
      <w:r>
        <w:rPr>
          <w:spacing w:val="-10"/>
        </w:rPr>
        <w:t xml:space="preserve"> </w:t>
      </w:r>
      <w:r>
        <w:rPr>
          <w:spacing w:val="-2"/>
        </w:rPr>
        <w:t>of</w:t>
      </w:r>
      <w:r>
        <w:rPr>
          <w:spacing w:val="-9"/>
        </w:rPr>
        <w:t xml:space="preserve"> </w:t>
      </w:r>
      <w:r>
        <w:rPr>
          <w:spacing w:val="-2"/>
        </w:rPr>
        <w:t>$850,000</w:t>
      </w:r>
      <w:r>
        <w:rPr>
          <w:spacing w:val="-10"/>
        </w:rPr>
        <w:t xml:space="preserve"> </w:t>
      </w:r>
      <w:r>
        <w:rPr>
          <w:spacing w:val="-2"/>
        </w:rPr>
        <w:t>based</w:t>
      </w:r>
      <w:r>
        <w:rPr>
          <w:spacing w:val="-10"/>
        </w:rPr>
        <w:t xml:space="preserve"> </w:t>
      </w:r>
      <w:r>
        <w:rPr>
          <w:spacing w:val="-2"/>
        </w:rPr>
        <w:t>upon</w:t>
      </w:r>
      <w:r>
        <w:rPr>
          <w:spacing w:val="-10"/>
        </w:rPr>
        <w:t xml:space="preserve"> </w:t>
      </w:r>
      <w:r>
        <w:rPr>
          <w:spacing w:val="-2"/>
        </w:rPr>
        <w:t>prior</w:t>
      </w:r>
      <w:r>
        <w:rPr>
          <w:spacing w:val="-9"/>
        </w:rPr>
        <w:t xml:space="preserve"> </w:t>
      </w:r>
      <w:r>
        <w:rPr>
          <w:spacing w:val="-2"/>
        </w:rPr>
        <w:t xml:space="preserve">performance </w:t>
      </w:r>
      <w:r>
        <w:t>including</w:t>
      </w:r>
      <w:r>
        <w:rPr>
          <w:spacing w:val="-12"/>
        </w:rPr>
        <w:t xml:space="preserve"> </w:t>
      </w:r>
      <w:r>
        <w:t>effective</w:t>
      </w:r>
      <w:r>
        <w:rPr>
          <w:spacing w:val="-12"/>
        </w:rPr>
        <w:t xml:space="preserve"> </w:t>
      </w:r>
      <w:r>
        <w:t>implementation</w:t>
      </w:r>
      <w:r>
        <w:rPr>
          <w:spacing w:val="-12"/>
        </w:rPr>
        <w:t xml:space="preserve"> </w:t>
      </w:r>
      <w:r>
        <w:t>of</w:t>
      </w:r>
      <w:r>
        <w:rPr>
          <w:spacing w:val="-12"/>
        </w:rPr>
        <w:t xml:space="preserve"> </w:t>
      </w:r>
      <w:r>
        <w:t>activities,</w:t>
      </w:r>
      <w:r>
        <w:rPr>
          <w:spacing w:val="-11"/>
        </w:rPr>
        <w:t xml:space="preserve"> </w:t>
      </w:r>
      <w:r>
        <w:t>timely</w:t>
      </w:r>
      <w:r>
        <w:rPr>
          <w:spacing w:val="-12"/>
        </w:rPr>
        <w:t xml:space="preserve"> </w:t>
      </w:r>
      <w:r>
        <w:t>expenditure</w:t>
      </w:r>
      <w:r>
        <w:rPr>
          <w:spacing w:val="-12"/>
        </w:rPr>
        <w:t xml:space="preserve"> </w:t>
      </w:r>
      <w:r>
        <w:t>of</w:t>
      </w:r>
      <w:r>
        <w:rPr>
          <w:spacing w:val="-12"/>
        </w:rPr>
        <w:t xml:space="preserve"> </w:t>
      </w:r>
      <w:r>
        <w:t>funds</w:t>
      </w:r>
      <w:r>
        <w:rPr>
          <w:spacing w:val="-11"/>
        </w:rPr>
        <w:t xml:space="preserve"> </w:t>
      </w:r>
      <w:r>
        <w:t>and</w:t>
      </w:r>
      <w:r>
        <w:rPr>
          <w:spacing w:val="-12"/>
        </w:rPr>
        <w:t xml:space="preserve"> </w:t>
      </w:r>
      <w:r>
        <w:t>performance</w:t>
      </w:r>
      <w:r>
        <w:rPr>
          <w:spacing w:val="-12"/>
        </w:rPr>
        <w:t xml:space="preserve"> </w:t>
      </w:r>
      <w:r>
        <w:t>as</w:t>
      </w:r>
      <w:r>
        <w:rPr>
          <w:spacing w:val="-12"/>
        </w:rPr>
        <w:t xml:space="preserve"> </w:t>
      </w:r>
      <w:r>
        <w:t>indicated in monitoring reports, along with, the</w:t>
      </w:r>
      <w:r>
        <w:rPr>
          <w:spacing w:val="-2"/>
        </w:rPr>
        <w:t xml:space="preserve"> </w:t>
      </w:r>
      <w:r>
        <w:t>community’s</w:t>
      </w:r>
      <w:r>
        <w:rPr>
          <w:spacing w:val="-1"/>
        </w:rPr>
        <w:t xml:space="preserve"> </w:t>
      </w:r>
      <w:r>
        <w:t>ability to identify eligible, feasible</w:t>
      </w:r>
      <w:r>
        <w:rPr>
          <w:spacing w:val="-1"/>
        </w:rPr>
        <w:t xml:space="preserve"> </w:t>
      </w:r>
      <w:r>
        <w:t>activities</w:t>
      </w:r>
      <w:r>
        <w:rPr>
          <w:spacing w:val="-3"/>
        </w:rPr>
        <w:t xml:space="preserve"> </w:t>
      </w:r>
      <w:r>
        <w:t>that</w:t>
      </w:r>
      <w:r>
        <w:rPr>
          <w:spacing w:val="-1"/>
        </w:rPr>
        <w:t xml:space="preserve"> </w:t>
      </w:r>
      <w:r>
        <w:t xml:space="preserve">can </w:t>
      </w:r>
      <w:r>
        <w:rPr>
          <w:spacing w:val="-4"/>
        </w:rPr>
        <w:t>be completed in a timely</w:t>
      </w:r>
      <w:r>
        <w:rPr>
          <w:spacing w:val="9"/>
        </w:rPr>
        <w:t xml:space="preserve"> </w:t>
      </w:r>
      <w:r>
        <w:rPr>
          <w:spacing w:val="-4"/>
        </w:rPr>
        <w:t>manner.</w:t>
      </w:r>
      <w:r>
        <w:rPr>
          <w:spacing w:val="40"/>
        </w:rPr>
        <w:t xml:space="preserve"> </w:t>
      </w:r>
      <w:r>
        <w:rPr>
          <w:spacing w:val="-4"/>
        </w:rPr>
        <w:t>A</w:t>
      </w:r>
      <w:r>
        <w:rPr>
          <w:spacing w:val="-13"/>
        </w:rPr>
        <w:t xml:space="preserve"> </w:t>
      </w:r>
      <w:r>
        <w:rPr>
          <w:spacing w:val="-4"/>
        </w:rPr>
        <w:t>maximum</w:t>
      </w:r>
      <w:r>
        <w:rPr>
          <w:spacing w:val="-14"/>
        </w:rPr>
        <w:t xml:space="preserve"> </w:t>
      </w:r>
      <w:r>
        <w:rPr>
          <w:spacing w:val="-4"/>
        </w:rPr>
        <w:t>award</w:t>
      </w:r>
      <w:r>
        <w:rPr>
          <w:spacing w:val="-13"/>
        </w:rPr>
        <w:t xml:space="preserve"> </w:t>
      </w:r>
      <w:r>
        <w:rPr>
          <w:spacing w:val="-4"/>
        </w:rPr>
        <w:t>of</w:t>
      </w:r>
      <w:r>
        <w:rPr>
          <w:spacing w:val="-13"/>
        </w:rPr>
        <w:t xml:space="preserve"> </w:t>
      </w:r>
      <w:r>
        <w:rPr>
          <w:spacing w:val="-4"/>
        </w:rPr>
        <w:t>$950,000</w:t>
      </w:r>
      <w:r>
        <w:rPr>
          <w:spacing w:val="-13"/>
        </w:rPr>
        <w:t xml:space="preserve"> </w:t>
      </w:r>
      <w:r>
        <w:rPr>
          <w:spacing w:val="-4"/>
        </w:rPr>
        <w:t>will</w:t>
      </w:r>
      <w:r>
        <w:rPr>
          <w:spacing w:val="-14"/>
        </w:rPr>
        <w:t xml:space="preserve"> </w:t>
      </w:r>
      <w:r>
        <w:rPr>
          <w:spacing w:val="-4"/>
        </w:rPr>
        <w:t>be</w:t>
      </w:r>
      <w:r>
        <w:rPr>
          <w:spacing w:val="-13"/>
        </w:rPr>
        <w:t xml:space="preserve"> </w:t>
      </w:r>
      <w:r>
        <w:rPr>
          <w:spacing w:val="-4"/>
        </w:rPr>
        <w:t>available</w:t>
      </w:r>
      <w:r>
        <w:rPr>
          <w:spacing w:val="-13"/>
        </w:rPr>
        <w:t xml:space="preserve"> </w:t>
      </w:r>
      <w:r>
        <w:rPr>
          <w:spacing w:val="-4"/>
        </w:rPr>
        <w:t>to</w:t>
      </w:r>
      <w:r>
        <w:rPr>
          <w:spacing w:val="-15"/>
        </w:rPr>
        <w:t xml:space="preserve"> </w:t>
      </w:r>
      <w:r>
        <w:rPr>
          <w:spacing w:val="-4"/>
        </w:rPr>
        <w:t>Mini-Entitlements</w:t>
      </w:r>
      <w:r>
        <w:rPr>
          <w:spacing w:val="8"/>
        </w:rPr>
        <w:t xml:space="preserve"> </w:t>
      </w:r>
      <w:r>
        <w:rPr>
          <w:spacing w:val="-4"/>
        </w:rPr>
        <w:t>who</w:t>
      </w:r>
    </w:p>
    <w:p w14:paraId="645E93F4" w14:textId="77777777" w:rsidR="00E044A1" w:rsidRDefault="00E044A1">
      <w:pPr>
        <w:jc w:val="both"/>
        <w:sectPr w:rsidR="00E044A1">
          <w:type w:val="continuous"/>
          <w:pgSz w:w="12240" w:h="15840"/>
          <w:pgMar w:top="900" w:right="620" w:bottom="280" w:left="500" w:header="720" w:footer="720" w:gutter="0"/>
          <w:cols w:space="720"/>
        </w:sectPr>
      </w:pPr>
    </w:p>
    <w:p w14:paraId="1B5EDD79" w14:textId="029D5644" w:rsidR="00E044A1" w:rsidRDefault="002E1B01">
      <w:pPr>
        <w:pStyle w:val="BodyText"/>
        <w:spacing w:before="79"/>
        <w:ind w:left="940" w:right="879"/>
        <w:jc w:val="both"/>
      </w:pPr>
      <w:r>
        <w:lastRenderedPageBreak/>
        <w:t>are 100% expended in their FFY21 grant and earlier and over 70% expended in their FFY22/23 grant as reflected in GMS by January 17, 2025.</w:t>
      </w:r>
      <w:r>
        <w:rPr>
          <w:spacing w:val="80"/>
        </w:rPr>
        <w:t xml:space="preserve"> </w:t>
      </w:r>
      <w:r>
        <w:t>Mini-Entitlements should reach out to EOHLC in January to determine</w:t>
      </w:r>
      <w:r>
        <w:rPr>
          <w:spacing w:val="-12"/>
        </w:rPr>
        <w:t xml:space="preserve"> </w:t>
      </w:r>
      <w:r>
        <w:t>which</w:t>
      </w:r>
      <w:r>
        <w:rPr>
          <w:spacing w:val="-12"/>
        </w:rPr>
        <w:t xml:space="preserve"> </w:t>
      </w:r>
      <w:r>
        <w:t>funding</w:t>
      </w:r>
      <w:r>
        <w:rPr>
          <w:spacing w:val="-12"/>
        </w:rPr>
        <w:t xml:space="preserve"> </w:t>
      </w:r>
      <w:r>
        <w:t>amount</w:t>
      </w:r>
      <w:r>
        <w:rPr>
          <w:spacing w:val="-12"/>
        </w:rPr>
        <w:t xml:space="preserve"> </w:t>
      </w:r>
      <w:r>
        <w:t>they</w:t>
      </w:r>
      <w:r>
        <w:rPr>
          <w:spacing w:val="-11"/>
        </w:rPr>
        <w:t xml:space="preserve"> </w:t>
      </w:r>
      <w:r>
        <w:t>qualify</w:t>
      </w:r>
      <w:r>
        <w:rPr>
          <w:spacing w:val="-12"/>
        </w:rPr>
        <w:t xml:space="preserve"> </w:t>
      </w:r>
      <w:r>
        <w:t>for</w:t>
      </w:r>
      <w:r>
        <w:rPr>
          <w:spacing w:val="-12"/>
        </w:rPr>
        <w:t xml:space="preserve"> </w:t>
      </w:r>
      <w:r>
        <w:t>if</w:t>
      </w:r>
      <w:r>
        <w:rPr>
          <w:spacing w:val="-12"/>
        </w:rPr>
        <w:t xml:space="preserve"> </w:t>
      </w:r>
      <w:r>
        <w:t>uncertain.</w:t>
      </w:r>
      <w:r>
        <w:rPr>
          <w:spacing w:val="24"/>
        </w:rPr>
        <w:t xml:space="preserve"> </w:t>
      </w:r>
      <w:r>
        <w:t>Mini-Entitlement</w:t>
      </w:r>
      <w:r>
        <w:rPr>
          <w:spacing w:val="-12"/>
        </w:rPr>
        <w:t xml:space="preserve"> </w:t>
      </w:r>
      <w:r w:rsidR="00D74477">
        <w:t>applications will</w:t>
      </w:r>
      <w:r>
        <w:rPr>
          <w:spacing w:val="-12"/>
        </w:rPr>
        <w:t xml:space="preserve"> </w:t>
      </w:r>
      <w:r>
        <w:t>contain an 18-month implementation plan. Mini-Entitlement grantees must comply with standards for timely expenditure and available program income (see Applicant/Project Thresholds above and #3 directly below).</w:t>
      </w:r>
      <w:r>
        <w:rPr>
          <w:spacing w:val="35"/>
        </w:rPr>
        <w:t xml:space="preserve"> </w:t>
      </w:r>
      <w:r>
        <w:t>FFY</w:t>
      </w:r>
      <w:r>
        <w:rPr>
          <w:spacing w:val="-2"/>
        </w:rPr>
        <w:t xml:space="preserve"> </w:t>
      </w:r>
      <w:r>
        <w:t>2025</w:t>
      </w:r>
      <w:r>
        <w:rPr>
          <w:spacing w:val="-2"/>
        </w:rPr>
        <w:t xml:space="preserve"> </w:t>
      </w:r>
      <w:r>
        <w:t>Mini-Entitlement</w:t>
      </w:r>
      <w:r>
        <w:rPr>
          <w:spacing w:val="-2"/>
        </w:rPr>
        <w:t xml:space="preserve"> </w:t>
      </w:r>
      <w:r>
        <w:t>awards</w:t>
      </w:r>
      <w:r>
        <w:rPr>
          <w:spacing w:val="-3"/>
        </w:rPr>
        <w:t xml:space="preserve"> </w:t>
      </w:r>
      <w:r>
        <w:t>to</w:t>
      </w:r>
      <w:r>
        <w:rPr>
          <w:spacing w:val="-2"/>
        </w:rPr>
        <w:t xml:space="preserve"> </w:t>
      </w:r>
      <w:r>
        <w:t>Grantees</w:t>
      </w:r>
      <w:r>
        <w:rPr>
          <w:spacing w:val="-3"/>
        </w:rPr>
        <w:t xml:space="preserve"> </w:t>
      </w:r>
      <w:r>
        <w:t>that</w:t>
      </w:r>
      <w:r>
        <w:rPr>
          <w:spacing w:val="-2"/>
        </w:rPr>
        <w:t xml:space="preserve"> </w:t>
      </w:r>
      <w:r>
        <w:t>do</w:t>
      </w:r>
      <w:r>
        <w:rPr>
          <w:spacing w:val="-2"/>
        </w:rPr>
        <w:t xml:space="preserve"> </w:t>
      </w:r>
      <w:r>
        <w:t>not</w:t>
      </w:r>
      <w:r>
        <w:rPr>
          <w:spacing w:val="-2"/>
        </w:rPr>
        <w:t xml:space="preserve"> </w:t>
      </w:r>
      <w:r>
        <w:t>meet</w:t>
      </w:r>
      <w:r>
        <w:rPr>
          <w:spacing w:val="-2"/>
        </w:rPr>
        <w:t xml:space="preserve"> </w:t>
      </w:r>
      <w:r>
        <w:t>the</w:t>
      </w:r>
      <w:r>
        <w:rPr>
          <w:spacing w:val="-2"/>
        </w:rPr>
        <w:t xml:space="preserve"> </w:t>
      </w:r>
      <w:r>
        <w:t>required</w:t>
      </w:r>
      <w:r>
        <w:rPr>
          <w:spacing w:val="-2"/>
        </w:rPr>
        <w:t xml:space="preserve"> </w:t>
      </w:r>
      <w:r>
        <w:t>standards</w:t>
      </w:r>
      <w:r>
        <w:rPr>
          <w:spacing w:val="-3"/>
        </w:rPr>
        <w:t xml:space="preserve"> </w:t>
      </w:r>
      <w:r>
        <w:t>will</w:t>
      </w:r>
      <w:r>
        <w:rPr>
          <w:spacing w:val="-3"/>
        </w:rPr>
        <w:t xml:space="preserve"> </w:t>
      </w:r>
      <w:r>
        <w:t>be reduced by an amount necessary to bring the grantee into compliance.</w:t>
      </w:r>
    </w:p>
    <w:p w14:paraId="216318AA" w14:textId="7D0FA7B7" w:rsidR="00E044A1" w:rsidRDefault="002E1B01">
      <w:pPr>
        <w:pStyle w:val="BodyText"/>
        <w:spacing w:before="80"/>
        <w:ind w:left="939" w:right="882"/>
        <w:jc w:val="both"/>
      </w:pPr>
      <w:r>
        <w:t>Mini-Entitlement</w:t>
      </w:r>
      <w:r>
        <w:rPr>
          <w:spacing w:val="-12"/>
        </w:rPr>
        <w:t xml:space="preserve"> </w:t>
      </w:r>
      <w:r>
        <w:t>communities</w:t>
      </w:r>
      <w:r>
        <w:rPr>
          <w:spacing w:val="-12"/>
        </w:rPr>
        <w:t xml:space="preserve"> </w:t>
      </w:r>
      <w:r>
        <w:t>were</w:t>
      </w:r>
      <w:r>
        <w:rPr>
          <w:spacing w:val="-12"/>
        </w:rPr>
        <w:t xml:space="preserve"> </w:t>
      </w:r>
      <w:r>
        <w:t>guaranteed</w:t>
      </w:r>
      <w:r>
        <w:rPr>
          <w:spacing w:val="-12"/>
        </w:rPr>
        <w:t xml:space="preserve"> </w:t>
      </w:r>
      <w:r>
        <w:t>an</w:t>
      </w:r>
      <w:r>
        <w:rPr>
          <w:spacing w:val="-11"/>
        </w:rPr>
        <w:t xml:space="preserve"> </w:t>
      </w:r>
      <w:r>
        <w:t>annual</w:t>
      </w:r>
      <w:r>
        <w:rPr>
          <w:spacing w:val="-12"/>
        </w:rPr>
        <w:t xml:space="preserve"> </w:t>
      </w:r>
      <w:r>
        <w:t>commitment</w:t>
      </w:r>
      <w:r>
        <w:rPr>
          <w:spacing w:val="-12"/>
        </w:rPr>
        <w:t xml:space="preserve"> </w:t>
      </w:r>
      <w:r>
        <w:t>of</w:t>
      </w:r>
      <w:r>
        <w:rPr>
          <w:spacing w:val="-12"/>
        </w:rPr>
        <w:t xml:space="preserve"> </w:t>
      </w:r>
      <w:r>
        <w:t>funds</w:t>
      </w:r>
      <w:r>
        <w:rPr>
          <w:spacing w:val="-11"/>
        </w:rPr>
        <w:t xml:space="preserve"> </w:t>
      </w:r>
      <w:r>
        <w:t>for</w:t>
      </w:r>
      <w:r>
        <w:rPr>
          <w:spacing w:val="-12"/>
        </w:rPr>
        <w:t xml:space="preserve"> </w:t>
      </w:r>
      <w:r>
        <w:t>a</w:t>
      </w:r>
      <w:r>
        <w:rPr>
          <w:spacing w:val="-12"/>
        </w:rPr>
        <w:t xml:space="preserve"> </w:t>
      </w:r>
      <w:r>
        <w:t>three-funding</w:t>
      </w:r>
      <w:r>
        <w:rPr>
          <w:spacing w:val="-12"/>
        </w:rPr>
        <w:t xml:space="preserve"> </w:t>
      </w:r>
      <w:r>
        <w:t xml:space="preserve">cycle period that ended with FFY 2021. The Mini Entitlement program and the formula to determine communities selected for the program </w:t>
      </w:r>
      <w:r w:rsidR="00CD1311">
        <w:t>were</w:t>
      </w:r>
      <w:r>
        <w:t xml:space="preserve"> re-evaluated for the FFY 2022/2023 program and will be in place through the FFY25 round.</w:t>
      </w:r>
      <w:r>
        <w:rPr>
          <w:spacing w:val="40"/>
        </w:rPr>
        <w:t xml:space="preserve"> </w:t>
      </w:r>
      <w:r>
        <w:t>Mini Entitlements will be re-evaluated again in advance of the FFY26 CDBG application.</w:t>
      </w:r>
    </w:p>
    <w:p w14:paraId="71B603F4" w14:textId="77777777" w:rsidR="00E044A1" w:rsidRDefault="00E044A1">
      <w:pPr>
        <w:pStyle w:val="BodyText"/>
        <w:spacing w:before="80"/>
      </w:pPr>
    </w:p>
    <w:p w14:paraId="6EC28B71" w14:textId="77777777" w:rsidR="00E044A1" w:rsidRDefault="002E1B01">
      <w:pPr>
        <w:pStyle w:val="Heading1"/>
        <w:spacing w:before="1"/>
        <w:ind w:left="940"/>
        <w:jc w:val="both"/>
      </w:pPr>
      <w:r>
        <w:t>PUBLIC</w:t>
      </w:r>
      <w:r>
        <w:rPr>
          <w:spacing w:val="-13"/>
        </w:rPr>
        <w:t xml:space="preserve"> </w:t>
      </w:r>
      <w:r>
        <w:rPr>
          <w:spacing w:val="-2"/>
        </w:rPr>
        <w:t>PARTICIPATION:</w:t>
      </w:r>
    </w:p>
    <w:p w14:paraId="32C1EDD1" w14:textId="2717D13F" w:rsidR="003210A6" w:rsidRPr="00E5042D" w:rsidRDefault="002E1B01" w:rsidP="00D74477">
      <w:pPr>
        <w:pStyle w:val="ListParagraph"/>
        <w:widowControl/>
        <w:autoSpaceDE/>
        <w:autoSpaceDN/>
        <w:ind w:left="939" w:right="864" w:firstLine="0"/>
        <w:jc w:val="both"/>
        <w:rPr>
          <w:rFonts w:ascii="Aptos" w:eastAsia="Times New Roman" w:hAnsi="Aptos" w:cs="Aptos"/>
        </w:rPr>
      </w:pPr>
      <w:r>
        <w:t>EOHLC</w:t>
      </w:r>
      <w:r w:rsidRPr="00096392">
        <w:rPr>
          <w:spacing w:val="-9"/>
        </w:rPr>
        <w:t xml:space="preserve"> </w:t>
      </w:r>
      <w:r>
        <w:t>h</w:t>
      </w:r>
      <w:r w:rsidR="000D6DE2">
        <w:t>e</w:t>
      </w:r>
      <w:r>
        <w:t>ld</w:t>
      </w:r>
      <w:r w:rsidRPr="00096392">
        <w:rPr>
          <w:spacing w:val="-11"/>
        </w:rPr>
        <w:t xml:space="preserve"> </w:t>
      </w:r>
      <w:r>
        <w:t>a</w:t>
      </w:r>
      <w:r w:rsidRPr="00096392">
        <w:rPr>
          <w:spacing w:val="-10"/>
        </w:rPr>
        <w:t xml:space="preserve"> </w:t>
      </w:r>
      <w:r>
        <w:t>virtual</w:t>
      </w:r>
      <w:r w:rsidRPr="00096392">
        <w:rPr>
          <w:spacing w:val="-11"/>
        </w:rPr>
        <w:t xml:space="preserve"> </w:t>
      </w:r>
      <w:r>
        <w:t>public</w:t>
      </w:r>
      <w:r w:rsidRPr="00096392">
        <w:rPr>
          <w:spacing w:val="-10"/>
        </w:rPr>
        <w:t xml:space="preserve"> </w:t>
      </w:r>
      <w:r>
        <w:t>information</w:t>
      </w:r>
      <w:r w:rsidRPr="00096392">
        <w:rPr>
          <w:spacing w:val="-11"/>
        </w:rPr>
        <w:t xml:space="preserve"> </w:t>
      </w:r>
      <w:r>
        <w:t>session</w:t>
      </w:r>
      <w:r w:rsidRPr="00096392">
        <w:rPr>
          <w:spacing w:val="-9"/>
        </w:rPr>
        <w:t xml:space="preserve"> </w:t>
      </w:r>
      <w:r>
        <w:t>on</w:t>
      </w:r>
      <w:r w:rsidRPr="00096392">
        <w:rPr>
          <w:spacing w:val="-10"/>
        </w:rPr>
        <w:t xml:space="preserve"> </w:t>
      </w:r>
      <w:r>
        <w:t>September</w:t>
      </w:r>
      <w:r w:rsidRPr="00096392">
        <w:rPr>
          <w:spacing w:val="-9"/>
        </w:rPr>
        <w:t xml:space="preserve"> </w:t>
      </w:r>
      <w:r>
        <w:t>10,</w:t>
      </w:r>
      <w:r w:rsidRPr="00096392">
        <w:rPr>
          <w:spacing w:val="-11"/>
        </w:rPr>
        <w:t xml:space="preserve"> </w:t>
      </w:r>
      <w:r>
        <w:t>2024,</w:t>
      </w:r>
      <w:r w:rsidRPr="00096392">
        <w:rPr>
          <w:spacing w:val="-11"/>
        </w:rPr>
        <w:t xml:space="preserve"> </w:t>
      </w:r>
      <w:r>
        <w:t>at</w:t>
      </w:r>
      <w:r w:rsidRPr="00096392">
        <w:rPr>
          <w:spacing w:val="-11"/>
        </w:rPr>
        <w:t xml:space="preserve"> </w:t>
      </w:r>
      <w:r>
        <w:t>10:00</w:t>
      </w:r>
      <w:r w:rsidRPr="00096392">
        <w:rPr>
          <w:spacing w:val="-10"/>
        </w:rPr>
        <w:t xml:space="preserve"> </w:t>
      </w:r>
      <w:r>
        <w:t>am</w:t>
      </w:r>
      <w:r w:rsidRPr="00096392">
        <w:rPr>
          <w:spacing w:val="-11"/>
        </w:rPr>
        <w:t xml:space="preserve"> </w:t>
      </w:r>
      <w:r>
        <w:t>on</w:t>
      </w:r>
      <w:r w:rsidRPr="00096392">
        <w:rPr>
          <w:spacing w:val="-10"/>
        </w:rPr>
        <w:t xml:space="preserve"> </w:t>
      </w:r>
      <w:r w:rsidR="00E5042D">
        <w:t>proposed</w:t>
      </w:r>
      <w:r>
        <w:t xml:space="preserve"> changes</w:t>
      </w:r>
      <w:r w:rsidRPr="00096392">
        <w:rPr>
          <w:spacing w:val="-12"/>
        </w:rPr>
        <w:t xml:space="preserve"> </w:t>
      </w:r>
      <w:r>
        <w:t>for</w:t>
      </w:r>
      <w:r w:rsidRPr="00096392">
        <w:rPr>
          <w:spacing w:val="-12"/>
        </w:rPr>
        <w:t xml:space="preserve"> </w:t>
      </w:r>
      <w:r>
        <w:t>the</w:t>
      </w:r>
      <w:r w:rsidRPr="00096392">
        <w:rPr>
          <w:spacing w:val="-12"/>
        </w:rPr>
        <w:t xml:space="preserve"> </w:t>
      </w:r>
      <w:r>
        <w:t>FFY25</w:t>
      </w:r>
      <w:r w:rsidRPr="00096392">
        <w:rPr>
          <w:spacing w:val="-12"/>
        </w:rPr>
        <w:t xml:space="preserve"> </w:t>
      </w:r>
      <w:r>
        <w:t>One</w:t>
      </w:r>
      <w:r w:rsidRPr="00096392">
        <w:rPr>
          <w:spacing w:val="-11"/>
        </w:rPr>
        <w:t xml:space="preserve"> </w:t>
      </w:r>
      <w:r>
        <w:t>Year</w:t>
      </w:r>
      <w:r w:rsidRPr="00096392">
        <w:rPr>
          <w:spacing w:val="-12"/>
        </w:rPr>
        <w:t xml:space="preserve"> </w:t>
      </w:r>
      <w:r>
        <w:t>Action</w:t>
      </w:r>
      <w:r w:rsidRPr="00096392">
        <w:rPr>
          <w:spacing w:val="-12"/>
        </w:rPr>
        <w:t xml:space="preserve"> </w:t>
      </w:r>
      <w:r>
        <w:t>plan.</w:t>
      </w:r>
      <w:r w:rsidRPr="00096392">
        <w:rPr>
          <w:spacing w:val="-12"/>
        </w:rPr>
        <w:t xml:space="preserve"> </w:t>
      </w:r>
      <w:r w:rsidR="00B25E8D" w:rsidRPr="00096392">
        <w:rPr>
          <w:spacing w:val="-12"/>
        </w:rPr>
        <w:t xml:space="preserve">There were </w:t>
      </w:r>
      <w:r w:rsidR="00250156" w:rsidRPr="00096392">
        <w:rPr>
          <w:spacing w:val="-12"/>
        </w:rPr>
        <w:t>60 participants</w:t>
      </w:r>
      <w:r w:rsidR="006802BA" w:rsidRPr="00096392">
        <w:rPr>
          <w:spacing w:val="-12"/>
        </w:rPr>
        <w:t xml:space="preserve">. </w:t>
      </w:r>
      <w:r w:rsidR="007A4131" w:rsidRPr="00096392">
        <w:rPr>
          <w:spacing w:val="-12"/>
        </w:rPr>
        <w:t xml:space="preserve">There was a question about </w:t>
      </w:r>
      <w:r w:rsidR="006B2B58" w:rsidRPr="00096392">
        <w:rPr>
          <w:spacing w:val="-12"/>
        </w:rPr>
        <w:t xml:space="preserve">whether the January 17, </w:t>
      </w:r>
      <w:r w:rsidR="00D46886" w:rsidRPr="00096392">
        <w:rPr>
          <w:spacing w:val="-12"/>
        </w:rPr>
        <w:t>2025,</w:t>
      </w:r>
      <w:r w:rsidR="00F7357C" w:rsidRPr="00096392">
        <w:rPr>
          <w:spacing w:val="-12"/>
        </w:rPr>
        <w:t xml:space="preserve"> expenditure</w:t>
      </w:r>
      <w:r w:rsidR="007251C7" w:rsidRPr="00096392">
        <w:rPr>
          <w:spacing w:val="-12"/>
        </w:rPr>
        <w:t xml:space="preserve"> deadline </w:t>
      </w:r>
      <w:r w:rsidR="00172BCD" w:rsidRPr="00096392">
        <w:rPr>
          <w:spacing w:val="-12"/>
        </w:rPr>
        <w:t xml:space="preserve">for the </w:t>
      </w:r>
      <w:r w:rsidR="007251C7" w:rsidRPr="00096392">
        <w:rPr>
          <w:spacing w:val="-12"/>
        </w:rPr>
        <w:t>Mini</w:t>
      </w:r>
      <w:r w:rsidR="009C1733" w:rsidRPr="00096392">
        <w:rPr>
          <w:spacing w:val="-12"/>
        </w:rPr>
        <w:t xml:space="preserve">-Entitlements </w:t>
      </w:r>
      <w:r w:rsidR="004857BC" w:rsidRPr="00096392">
        <w:rPr>
          <w:spacing w:val="-12"/>
        </w:rPr>
        <w:t>grantee</w:t>
      </w:r>
      <w:r w:rsidR="00172BCD" w:rsidRPr="00096392">
        <w:rPr>
          <w:spacing w:val="-12"/>
        </w:rPr>
        <w:t xml:space="preserve"> would be adjusted if the grant due date was </w:t>
      </w:r>
      <w:r w:rsidR="00630619" w:rsidRPr="00096392">
        <w:rPr>
          <w:spacing w:val="-12"/>
        </w:rPr>
        <w:t>extended</w:t>
      </w:r>
      <w:r w:rsidR="00551CCE" w:rsidRPr="00096392">
        <w:rPr>
          <w:spacing w:val="-12"/>
        </w:rPr>
        <w:t>, and EOHLC will consider this</w:t>
      </w:r>
      <w:r w:rsidR="00F7357C" w:rsidRPr="00096392">
        <w:rPr>
          <w:spacing w:val="-12"/>
        </w:rPr>
        <w:t xml:space="preserve"> adjustmen</w:t>
      </w:r>
      <w:r w:rsidR="00E41717" w:rsidRPr="00096392">
        <w:rPr>
          <w:spacing w:val="-12"/>
        </w:rPr>
        <w:t>t</w:t>
      </w:r>
      <w:r w:rsidR="00F7357C" w:rsidRPr="00096392">
        <w:rPr>
          <w:spacing w:val="-12"/>
        </w:rPr>
        <w:t xml:space="preserve">. </w:t>
      </w:r>
      <w:r w:rsidR="00E41717" w:rsidRPr="00096392">
        <w:rPr>
          <w:spacing w:val="-12"/>
        </w:rPr>
        <w:t xml:space="preserve"> </w:t>
      </w:r>
      <w:r w:rsidR="004C1655" w:rsidRPr="00096392">
        <w:rPr>
          <w:spacing w:val="-12"/>
        </w:rPr>
        <w:t xml:space="preserve">A question was asked about a </w:t>
      </w:r>
      <w:r w:rsidR="0018660A" w:rsidRPr="00096392">
        <w:rPr>
          <w:spacing w:val="-12"/>
        </w:rPr>
        <w:t xml:space="preserve">prior $1.35 million cap </w:t>
      </w:r>
      <w:r w:rsidR="0061571F" w:rsidRPr="00096392">
        <w:rPr>
          <w:spacing w:val="-12"/>
        </w:rPr>
        <w:t xml:space="preserve">on funds that a community could receive during two </w:t>
      </w:r>
      <w:r w:rsidR="00A93ADD" w:rsidRPr="00096392">
        <w:rPr>
          <w:spacing w:val="-12"/>
        </w:rPr>
        <w:t xml:space="preserve">consecutive </w:t>
      </w:r>
      <w:r w:rsidR="00350C95" w:rsidRPr="00096392">
        <w:rPr>
          <w:spacing w:val="-12"/>
        </w:rPr>
        <w:t>fund</w:t>
      </w:r>
      <w:r w:rsidR="00A93ADD" w:rsidRPr="00096392">
        <w:rPr>
          <w:spacing w:val="-12"/>
        </w:rPr>
        <w:t xml:space="preserve">ing </w:t>
      </w:r>
      <w:r w:rsidR="00A636FC" w:rsidRPr="00096392">
        <w:rPr>
          <w:spacing w:val="-12"/>
        </w:rPr>
        <w:t>years</w:t>
      </w:r>
      <w:r w:rsidR="008519FA" w:rsidRPr="00096392">
        <w:rPr>
          <w:spacing w:val="-12"/>
        </w:rPr>
        <w:t xml:space="preserve">; EOHLC has waived this cap for this year. </w:t>
      </w:r>
      <w:r w:rsidR="004B04F8" w:rsidRPr="00096392">
        <w:rPr>
          <w:spacing w:val="-12"/>
        </w:rPr>
        <w:t>However,</w:t>
      </w:r>
      <w:r w:rsidR="00544C03" w:rsidRPr="00096392">
        <w:rPr>
          <w:spacing w:val="-12"/>
        </w:rPr>
        <w:t xml:space="preserve"> </w:t>
      </w:r>
      <w:r w:rsidR="00457992" w:rsidRPr="00096392">
        <w:rPr>
          <w:spacing w:val="-12"/>
        </w:rPr>
        <w:t xml:space="preserve">EOHLC stated that </w:t>
      </w:r>
      <w:r w:rsidR="00544C03" w:rsidRPr="00096392">
        <w:rPr>
          <w:spacing w:val="-12"/>
        </w:rPr>
        <w:t xml:space="preserve">there is a cap </w:t>
      </w:r>
      <w:r w:rsidR="00457992" w:rsidRPr="00096392">
        <w:rPr>
          <w:spacing w:val="-12"/>
        </w:rPr>
        <w:t>o</w:t>
      </w:r>
      <w:r w:rsidR="00544C03" w:rsidRPr="00096392">
        <w:rPr>
          <w:spacing w:val="-12"/>
        </w:rPr>
        <w:t xml:space="preserve">f $1.3 m </w:t>
      </w:r>
      <w:r w:rsidR="00456E9F" w:rsidRPr="00096392">
        <w:rPr>
          <w:spacing w:val="-12"/>
        </w:rPr>
        <w:t>per community, if a community parti</w:t>
      </w:r>
      <w:r w:rsidR="00457992" w:rsidRPr="00096392">
        <w:rPr>
          <w:spacing w:val="-12"/>
        </w:rPr>
        <w:t xml:space="preserve">cipates in a “single” and “regional” application. </w:t>
      </w:r>
      <w:r w:rsidR="005B3251" w:rsidRPr="00096392">
        <w:rPr>
          <w:spacing w:val="-12"/>
        </w:rPr>
        <w:t xml:space="preserve"> A written comment was received about </w:t>
      </w:r>
      <w:r w:rsidR="00082E35" w:rsidRPr="00096392">
        <w:rPr>
          <w:spacing w:val="-12"/>
        </w:rPr>
        <w:t>raising the administrative caps on applications given the increased regulatory</w:t>
      </w:r>
      <w:r w:rsidR="00213EB2" w:rsidRPr="00096392">
        <w:rPr>
          <w:spacing w:val="-12"/>
        </w:rPr>
        <w:t xml:space="preserve"> burden</w:t>
      </w:r>
      <w:r w:rsidR="00454D50" w:rsidRPr="00096392">
        <w:rPr>
          <w:spacing w:val="-12"/>
        </w:rPr>
        <w:t xml:space="preserve"> </w:t>
      </w:r>
      <w:r w:rsidR="00C46BE6" w:rsidRPr="00096392">
        <w:rPr>
          <w:spacing w:val="-12"/>
        </w:rPr>
        <w:t xml:space="preserve">in implementing </w:t>
      </w:r>
      <w:r w:rsidR="00725567" w:rsidRPr="00096392">
        <w:rPr>
          <w:spacing w:val="-12"/>
        </w:rPr>
        <w:t>CDBG</w:t>
      </w:r>
      <w:r w:rsidR="00C46BE6" w:rsidRPr="00096392">
        <w:rPr>
          <w:spacing w:val="-12"/>
        </w:rPr>
        <w:t xml:space="preserve"> funds. </w:t>
      </w:r>
      <w:r w:rsidR="00725567" w:rsidRPr="00096392">
        <w:rPr>
          <w:spacing w:val="-12"/>
        </w:rPr>
        <w:t xml:space="preserve">EOHLC </w:t>
      </w:r>
      <w:r w:rsidR="001148C4" w:rsidRPr="00096392">
        <w:rPr>
          <w:spacing w:val="-12"/>
        </w:rPr>
        <w:t xml:space="preserve">recently raised </w:t>
      </w:r>
      <w:r w:rsidR="00511522">
        <w:t xml:space="preserve">the general </w:t>
      </w:r>
      <w:r w:rsidR="00166460">
        <w:t xml:space="preserve">administrative </w:t>
      </w:r>
      <w:r w:rsidR="001148C4">
        <w:t xml:space="preserve">and program delivery cap </w:t>
      </w:r>
      <w:r w:rsidR="004B04F8">
        <w:t>from</w:t>
      </w:r>
      <w:r w:rsidR="001148C4">
        <w:t xml:space="preserve"> 27% to 30% of the grant a</w:t>
      </w:r>
      <w:r w:rsidR="009B3BE2">
        <w:t>nd does not have evidence that this is insufficient.</w:t>
      </w:r>
      <w:r w:rsidR="00B2220F">
        <w:t xml:space="preserve"> A written comment was received about </w:t>
      </w:r>
      <w:r w:rsidR="00B2220F" w:rsidRPr="00096392">
        <w:rPr>
          <w:rFonts w:eastAsia="Times New Roman"/>
        </w:rPr>
        <w:t>increasing the proposed dollar limit for single-town grants to facilitate projects that can’t reasonably be spread across multiple phases, particularly public building projects</w:t>
      </w:r>
      <w:r w:rsidR="00096392">
        <w:rPr>
          <w:rFonts w:eastAsia="Times New Roman"/>
        </w:rPr>
        <w:t xml:space="preserve">. EOHLC has </w:t>
      </w:r>
      <w:r w:rsidR="00B545C3">
        <w:rPr>
          <w:rFonts w:eastAsia="Times New Roman"/>
        </w:rPr>
        <w:t xml:space="preserve">maintained the </w:t>
      </w:r>
      <w:r w:rsidR="005F0F00">
        <w:rPr>
          <w:rFonts w:eastAsia="Times New Roman"/>
        </w:rPr>
        <w:t xml:space="preserve">proposed grant level </w:t>
      </w:r>
      <w:r w:rsidR="003210A6">
        <w:rPr>
          <w:rFonts w:eastAsia="Times New Roman"/>
        </w:rPr>
        <w:t>to</w:t>
      </w:r>
      <w:r w:rsidR="005F0F00">
        <w:rPr>
          <w:rFonts w:eastAsia="Times New Roman"/>
        </w:rPr>
        <w:t xml:space="preserve"> </w:t>
      </w:r>
      <w:r w:rsidR="00BA16D7">
        <w:rPr>
          <w:rFonts w:eastAsia="Times New Roman"/>
        </w:rPr>
        <w:t xml:space="preserve">more widely distribute the funds. </w:t>
      </w:r>
      <w:r w:rsidR="00E32453">
        <w:rPr>
          <w:rFonts w:eastAsia="Times New Roman"/>
        </w:rPr>
        <w:t xml:space="preserve">A written comment to consider raising the two-town cap to a $200,000 increase, or $1,050,000 application, to allow for these partnerships to include larger projects was received. EOHLC </w:t>
      </w:r>
      <w:r w:rsidR="006824ED">
        <w:rPr>
          <w:rFonts w:eastAsia="Times New Roman"/>
        </w:rPr>
        <w:t xml:space="preserve">made this change to increase the maximum available to </w:t>
      </w:r>
      <w:r w:rsidR="00BA734A">
        <w:rPr>
          <w:rFonts w:eastAsia="Times New Roman"/>
        </w:rPr>
        <w:t xml:space="preserve">regional </w:t>
      </w:r>
      <w:r w:rsidR="00E5042D">
        <w:rPr>
          <w:rFonts w:eastAsia="Times New Roman"/>
        </w:rPr>
        <w:t>applications</w:t>
      </w:r>
      <w:r w:rsidR="00BA734A">
        <w:rPr>
          <w:rFonts w:eastAsia="Times New Roman"/>
        </w:rPr>
        <w:t xml:space="preserve"> </w:t>
      </w:r>
      <w:r w:rsidR="00E5042D">
        <w:rPr>
          <w:rFonts w:eastAsia="Times New Roman"/>
        </w:rPr>
        <w:t>that include two towns.</w:t>
      </w:r>
      <w:r w:rsidR="004857BC">
        <w:rPr>
          <w:rFonts w:eastAsia="Times New Roman"/>
        </w:rPr>
        <w:t xml:space="preserve"> EOHLC has also revised the requirements to allow communities that do not have 50% of FFY 2021 grant funds expended submit a timely expenditure waiver request.  </w:t>
      </w:r>
    </w:p>
    <w:p w14:paraId="386C6C28" w14:textId="72293ACE" w:rsidR="00E044A1" w:rsidRDefault="002E1B01" w:rsidP="00E5042D">
      <w:pPr>
        <w:pStyle w:val="ListParagraph"/>
        <w:widowControl/>
        <w:autoSpaceDE/>
        <w:autoSpaceDN/>
        <w:spacing w:before="249"/>
        <w:ind w:left="939" w:right="909" w:firstLine="0"/>
        <w:jc w:val="both"/>
      </w:pPr>
      <w:r>
        <w:t>There will also be a public hearing to receive comments on the FFY 2025 One Year Action Plan prior to its</w:t>
      </w:r>
      <w:r>
        <w:rPr>
          <w:spacing w:val="-3"/>
        </w:rPr>
        <w:t xml:space="preserve"> </w:t>
      </w:r>
      <w:r>
        <w:t>submission</w:t>
      </w:r>
      <w:r>
        <w:rPr>
          <w:spacing w:val="-2"/>
        </w:rPr>
        <w:t xml:space="preserve"> </w:t>
      </w:r>
      <w:r>
        <w:t>to</w:t>
      </w:r>
      <w:r>
        <w:rPr>
          <w:spacing w:val="-2"/>
        </w:rPr>
        <w:t xml:space="preserve"> </w:t>
      </w:r>
      <w:r>
        <w:t>the</w:t>
      </w:r>
      <w:r>
        <w:rPr>
          <w:spacing w:val="-2"/>
        </w:rPr>
        <w:t xml:space="preserve"> </w:t>
      </w:r>
      <w:r>
        <w:t>US</w:t>
      </w:r>
      <w:r>
        <w:rPr>
          <w:spacing w:val="-1"/>
        </w:rPr>
        <w:t xml:space="preserve"> </w:t>
      </w:r>
      <w:r>
        <w:t>Department</w:t>
      </w:r>
      <w:r>
        <w:rPr>
          <w:spacing w:val="-2"/>
        </w:rPr>
        <w:t xml:space="preserve"> </w:t>
      </w:r>
      <w:r>
        <w:t>of Housing</w:t>
      </w:r>
      <w:r>
        <w:rPr>
          <w:spacing w:val="-2"/>
        </w:rPr>
        <w:t xml:space="preserve"> </w:t>
      </w:r>
      <w:r>
        <w:t>and</w:t>
      </w:r>
      <w:r>
        <w:rPr>
          <w:spacing w:val="-1"/>
        </w:rPr>
        <w:t xml:space="preserve"> </w:t>
      </w:r>
      <w:r>
        <w:t>Urban</w:t>
      </w:r>
      <w:r>
        <w:rPr>
          <w:spacing w:val="-2"/>
        </w:rPr>
        <w:t xml:space="preserve"> </w:t>
      </w:r>
      <w:r>
        <w:t>Development</w:t>
      </w:r>
      <w:r>
        <w:rPr>
          <w:spacing w:val="-1"/>
        </w:rPr>
        <w:t xml:space="preserve"> </w:t>
      </w:r>
      <w:r>
        <w:t>(HUD).</w:t>
      </w:r>
      <w:r>
        <w:rPr>
          <w:spacing w:val="-3"/>
        </w:rPr>
        <w:t xml:space="preserve"> </w:t>
      </w:r>
      <w:r>
        <w:t>Interested</w:t>
      </w:r>
      <w:r>
        <w:rPr>
          <w:spacing w:val="-2"/>
        </w:rPr>
        <w:t xml:space="preserve"> </w:t>
      </w:r>
      <w:r>
        <w:t>parties</w:t>
      </w:r>
      <w:r>
        <w:rPr>
          <w:spacing w:val="-3"/>
        </w:rPr>
        <w:t xml:space="preserve"> </w:t>
      </w:r>
      <w:r w:rsidR="007C6F8B">
        <w:t>were encouraged</w:t>
      </w:r>
      <w:r>
        <w:t xml:space="preserve"> to submit comments, in writing or via email, in advance of the public session and by September 25, 2024. Comments w</w:t>
      </w:r>
      <w:r w:rsidR="00CB7506">
        <w:t>ere</w:t>
      </w:r>
      <w:r>
        <w:t xml:space="preserve"> accepted directly to EOHLC prior to, </w:t>
      </w:r>
      <w:r w:rsidR="00CB7506">
        <w:t xml:space="preserve">and </w:t>
      </w:r>
      <w:r>
        <w:t>at the</w:t>
      </w:r>
      <w:r>
        <w:rPr>
          <w:spacing w:val="-1"/>
        </w:rPr>
        <w:t xml:space="preserve"> </w:t>
      </w:r>
      <w:r>
        <w:t>scheduled hearing. Comments</w:t>
      </w:r>
      <w:r w:rsidR="00CB7506">
        <w:t xml:space="preserve"> were </w:t>
      </w:r>
      <w:r>
        <w:t xml:space="preserve">sent by email to Kathryn McNelis, Community Development Manager, at </w:t>
      </w:r>
      <w:hyperlink r:id="rId10">
        <w:r w:rsidR="00E044A1">
          <w:rPr>
            <w:color w:val="0000FF"/>
          </w:rPr>
          <w:t>kathryn.mcnelis@mass.gov</w:t>
        </w:r>
        <w:r w:rsidR="00E044A1">
          <w:t>.</w:t>
        </w:r>
      </w:hyperlink>
    </w:p>
    <w:sectPr w:rsidR="00E044A1">
      <w:pgSz w:w="12240" w:h="15840"/>
      <w:pgMar w:top="820" w:right="6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653CCF"/>
    <w:multiLevelType w:val="hybridMultilevel"/>
    <w:tmpl w:val="3E965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A275CEA"/>
    <w:multiLevelType w:val="hybridMultilevel"/>
    <w:tmpl w:val="90CED136"/>
    <w:lvl w:ilvl="0" w:tplc="91B8C94C">
      <w:start w:val="1"/>
      <w:numFmt w:val="decimal"/>
      <w:lvlText w:val="%1."/>
      <w:lvlJc w:val="left"/>
      <w:pPr>
        <w:ind w:left="2612" w:hanging="360"/>
        <w:jc w:val="left"/>
      </w:pPr>
      <w:rPr>
        <w:rFonts w:ascii="Californian FB" w:eastAsia="Californian FB" w:hAnsi="Californian FB" w:cs="Californian FB" w:hint="default"/>
        <w:b w:val="0"/>
        <w:bCs w:val="0"/>
        <w:i w:val="0"/>
        <w:iCs w:val="0"/>
        <w:spacing w:val="-2"/>
        <w:w w:val="99"/>
        <w:sz w:val="22"/>
        <w:szCs w:val="22"/>
        <w:lang w:val="en-US" w:eastAsia="en-US" w:bidi="ar-SA"/>
      </w:rPr>
    </w:lvl>
    <w:lvl w:ilvl="1" w:tplc="1F823358">
      <w:numFmt w:val="bullet"/>
      <w:lvlText w:val="•"/>
      <w:lvlJc w:val="left"/>
      <w:pPr>
        <w:ind w:left="3470" w:hanging="360"/>
      </w:pPr>
      <w:rPr>
        <w:rFonts w:hint="default"/>
        <w:lang w:val="en-US" w:eastAsia="en-US" w:bidi="ar-SA"/>
      </w:rPr>
    </w:lvl>
    <w:lvl w:ilvl="2" w:tplc="2B525EE4">
      <w:numFmt w:val="bullet"/>
      <w:lvlText w:val="•"/>
      <w:lvlJc w:val="left"/>
      <w:pPr>
        <w:ind w:left="4320" w:hanging="360"/>
      </w:pPr>
      <w:rPr>
        <w:rFonts w:hint="default"/>
        <w:lang w:val="en-US" w:eastAsia="en-US" w:bidi="ar-SA"/>
      </w:rPr>
    </w:lvl>
    <w:lvl w:ilvl="3" w:tplc="B274B79E">
      <w:numFmt w:val="bullet"/>
      <w:lvlText w:val="•"/>
      <w:lvlJc w:val="left"/>
      <w:pPr>
        <w:ind w:left="5170" w:hanging="360"/>
      </w:pPr>
      <w:rPr>
        <w:rFonts w:hint="default"/>
        <w:lang w:val="en-US" w:eastAsia="en-US" w:bidi="ar-SA"/>
      </w:rPr>
    </w:lvl>
    <w:lvl w:ilvl="4" w:tplc="C45697A0">
      <w:numFmt w:val="bullet"/>
      <w:lvlText w:val="•"/>
      <w:lvlJc w:val="left"/>
      <w:pPr>
        <w:ind w:left="6020" w:hanging="360"/>
      </w:pPr>
      <w:rPr>
        <w:rFonts w:hint="default"/>
        <w:lang w:val="en-US" w:eastAsia="en-US" w:bidi="ar-SA"/>
      </w:rPr>
    </w:lvl>
    <w:lvl w:ilvl="5" w:tplc="68A8514E">
      <w:numFmt w:val="bullet"/>
      <w:lvlText w:val="•"/>
      <w:lvlJc w:val="left"/>
      <w:pPr>
        <w:ind w:left="6870" w:hanging="360"/>
      </w:pPr>
      <w:rPr>
        <w:rFonts w:hint="default"/>
        <w:lang w:val="en-US" w:eastAsia="en-US" w:bidi="ar-SA"/>
      </w:rPr>
    </w:lvl>
    <w:lvl w:ilvl="6" w:tplc="9C668BB0">
      <w:numFmt w:val="bullet"/>
      <w:lvlText w:val="•"/>
      <w:lvlJc w:val="left"/>
      <w:pPr>
        <w:ind w:left="7720" w:hanging="360"/>
      </w:pPr>
      <w:rPr>
        <w:rFonts w:hint="default"/>
        <w:lang w:val="en-US" w:eastAsia="en-US" w:bidi="ar-SA"/>
      </w:rPr>
    </w:lvl>
    <w:lvl w:ilvl="7" w:tplc="87CE63AC">
      <w:numFmt w:val="bullet"/>
      <w:lvlText w:val="•"/>
      <w:lvlJc w:val="left"/>
      <w:pPr>
        <w:ind w:left="8570" w:hanging="360"/>
      </w:pPr>
      <w:rPr>
        <w:rFonts w:hint="default"/>
        <w:lang w:val="en-US" w:eastAsia="en-US" w:bidi="ar-SA"/>
      </w:rPr>
    </w:lvl>
    <w:lvl w:ilvl="8" w:tplc="476E97B4">
      <w:numFmt w:val="bullet"/>
      <w:lvlText w:val="•"/>
      <w:lvlJc w:val="left"/>
      <w:pPr>
        <w:ind w:left="9420" w:hanging="360"/>
      </w:pPr>
      <w:rPr>
        <w:rFonts w:hint="default"/>
        <w:lang w:val="en-US" w:eastAsia="en-US" w:bidi="ar-SA"/>
      </w:rPr>
    </w:lvl>
  </w:abstractNum>
  <w:num w:numId="1" w16cid:durableId="1189873237">
    <w:abstractNumId w:val="1"/>
  </w:num>
  <w:num w:numId="2" w16cid:durableId="82937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4A1"/>
    <w:rsid w:val="00082E35"/>
    <w:rsid w:val="00096392"/>
    <w:rsid w:val="000D6DE2"/>
    <w:rsid w:val="000D74A3"/>
    <w:rsid w:val="000E1678"/>
    <w:rsid w:val="000F0184"/>
    <w:rsid w:val="001148C4"/>
    <w:rsid w:val="00166460"/>
    <w:rsid w:val="00172BCD"/>
    <w:rsid w:val="0018660A"/>
    <w:rsid w:val="00194F1F"/>
    <w:rsid w:val="00213EB2"/>
    <w:rsid w:val="00250156"/>
    <w:rsid w:val="002E1B01"/>
    <w:rsid w:val="003210A6"/>
    <w:rsid w:val="00337BF5"/>
    <w:rsid w:val="00350C95"/>
    <w:rsid w:val="0037508B"/>
    <w:rsid w:val="00454D50"/>
    <w:rsid w:val="00456E9F"/>
    <w:rsid w:val="00457992"/>
    <w:rsid w:val="004679E7"/>
    <w:rsid w:val="00481E6B"/>
    <w:rsid w:val="004857BC"/>
    <w:rsid w:val="004A1AF1"/>
    <w:rsid w:val="004B04F8"/>
    <w:rsid w:val="004C1655"/>
    <w:rsid w:val="00511522"/>
    <w:rsid w:val="00544C03"/>
    <w:rsid w:val="00551CCE"/>
    <w:rsid w:val="00553724"/>
    <w:rsid w:val="005B3251"/>
    <w:rsid w:val="005F0F00"/>
    <w:rsid w:val="0061571F"/>
    <w:rsid w:val="00630619"/>
    <w:rsid w:val="006802BA"/>
    <w:rsid w:val="006824ED"/>
    <w:rsid w:val="006B2B58"/>
    <w:rsid w:val="007251C7"/>
    <w:rsid w:val="00725567"/>
    <w:rsid w:val="00743B33"/>
    <w:rsid w:val="007A4131"/>
    <w:rsid w:val="007C6F8B"/>
    <w:rsid w:val="007D70EE"/>
    <w:rsid w:val="00817286"/>
    <w:rsid w:val="00827775"/>
    <w:rsid w:val="008519FA"/>
    <w:rsid w:val="008729FF"/>
    <w:rsid w:val="009A092C"/>
    <w:rsid w:val="009B3BE2"/>
    <w:rsid w:val="009C1733"/>
    <w:rsid w:val="00A636FC"/>
    <w:rsid w:val="00A66257"/>
    <w:rsid w:val="00A93ADD"/>
    <w:rsid w:val="00AD0591"/>
    <w:rsid w:val="00B2220F"/>
    <w:rsid w:val="00B25E8D"/>
    <w:rsid w:val="00B545C3"/>
    <w:rsid w:val="00BA09B5"/>
    <w:rsid w:val="00BA16D7"/>
    <w:rsid w:val="00BA734A"/>
    <w:rsid w:val="00C06AEA"/>
    <w:rsid w:val="00C46BE6"/>
    <w:rsid w:val="00CB7506"/>
    <w:rsid w:val="00CD1311"/>
    <w:rsid w:val="00D46886"/>
    <w:rsid w:val="00D74477"/>
    <w:rsid w:val="00E044A1"/>
    <w:rsid w:val="00E217C9"/>
    <w:rsid w:val="00E32453"/>
    <w:rsid w:val="00E41717"/>
    <w:rsid w:val="00E5042D"/>
    <w:rsid w:val="00F7357C"/>
    <w:rsid w:val="00F824F6"/>
    <w:rsid w:val="00FC5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492B"/>
  <w15:docId w15:val="{4D330282-74F2-47A3-8567-6CA6F6E6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fornian FB" w:eastAsia="Californian FB" w:hAnsi="Californian FB" w:cs="Californian FB"/>
    </w:rPr>
  </w:style>
  <w:style w:type="paragraph" w:styleId="Heading1">
    <w:name w:val="heading 1"/>
    <w:basedOn w:val="Normal"/>
    <w:uiPriority w:val="9"/>
    <w:qFormat/>
    <w:pPr>
      <w:ind w:left="580"/>
      <w:outlineLvl w:val="0"/>
    </w:pPr>
    <w:rPr>
      <w:b/>
      <w:bCs/>
      <w:sz w:val="28"/>
      <w:szCs w:val="28"/>
    </w:rPr>
  </w:style>
  <w:style w:type="paragraph" w:styleId="Heading2">
    <w:name w:val="heading 2"/>
    <w:basedOn w:val="Normal"/>
    <w:uiPriority w:val="9"/>
    <w:unhideWhenUsed/>
    <w:qFormat/>
    <w:pPr>
      <w:ind w:left="811"/>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427" w:lineRule="exact"/>
      <w:ind w:left="1619" w:right="2"/>
      <w:jc w:val="center"/>
    </w:pPr>
    <w:rPr>
      <w:rFonts w:ascii="Times New Roman" w:eastAsia="Times New Roman" w:hAnsi="Times New Roman" w:cs="Times New Roman"/>
      <w:sz w:val="38"/>
      <w:szCs w:val="38"/>
    </w:rPr>
  </w:style>
  <w:style w:type="paragraph" w:styleId="ListParagraph">
    <w:name w:val="List Paragraph"/>
    <w:basedOn w:val="Normal"/>
    <w:uiPriority w:val="34"/>
    <w:qFormat/>
    <w:pPr>
      <w:ind w:left="2612" w:right="1394" w:hanging="361"/>
    </w:pPr>
  </w:style>
  <w:style w:type="paragraph" w:customStyle="1" w:styleId="TableParagraph">
    <w:name w:val="Table Paragraph"/>
    <w:basedOn w:val="Normal"/>
    <w:uiPriority w:val="1"/>
    <w:qFormat/>
    <w:pPr>
      <w:ind w:left="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13750">
      <w:bodyDiv w:val="1"/>
      <w:marLeft w:val="0"/>
      <w:marRight w:val="0"/>
      <w:marTop w:val="0"/>
      <w:marBottom w:val="0"/>
      <w:divBdr>
        <w:top w:val="none" w:sz="0" w:space="0" w:color="auto"/>
        <w:left w:val="none" w:sz="0" w:space="0" w:color="auto"/>
        <w:bottom w:val="none" w:sz="0" w:space="0" w:color="auto"/>
        <w:right w:val="none" w:sz="0" w:space="0" w:color="auto"/>
      </w:divBdr>
    </w:div>
    <w:div w:id="1254243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kathryn.mcnelis@mass.gov" TargetMode="External"/><Relationship Id="rId4" Type="http://schemas.openxmlformats.org/officeDocument/2006/relationships/numbering" Target="numbering.xml"/><Relationship Id="rId9" Type="http://schemas.openxmlformats.org/officeDocument/2006/relationships/hyperlink" Target="http://www.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5741674DAB3C4A91D4D4EAF8471F21" ma:contentTypeVersion="16" ma:contentTypeDescription="Create a new document." ma:contentTypeScope="" ma:versionID="3c02c0a9ceb7d158aed5f69aa36c9e38">
  <xsd:schema xmlns:xsd="http://www.w3.org/2001/XMLSchema" xmlns:xs="http://www.w3.org/2001/XMLSchema" xmlns:p="http://schemas.microsoft.com/office/2006/metadata/properties" xmlns:ns2="284a69f8-a849-4d4f-929d-22bdf9b66af6" xmlns:ns3="7b83dbe2-6fd2-449a-a932-0d75829bf641" targetNamespace="http://schemas.microsoft.com/office/2006/metadata/properties" ma:root="true" ma:fieldsID="0f8377d835ce2e0809c4b125fbcb22ef" ns2:_="" ns3:_="">
    <xsd:import namespace="284a69f8-a849-4d4f-929d-22bdf9b66af6"/>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a69f8-a849-4d4f-929d-22bdf9b66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a28a53-363d-41fc-951b-6724d144b251}"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4a69f8-a849-4d4f-929d-22bdf9b66af6">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C158B0D3-D627-426F-A9EC-82D99645D498}">
  <ds:schemaRefs>
    <ds:schemaRef ds:uri="http://schemas.microsoft.com/sharepoint/v3/contenttype/forms"/>
  </ds:schemaRefs>
</ds:datastoreItem>
</file>

<file path=customXml/itemProps2.xml><?xml version="1.0" encoding="utf-8"?>
<ds:datastoreItem xmlns:ds="http://schemas.openxmlformats.org/officeDocument/2006/customXml" ds:itemID="{0CEA37DB-3CA0-4374-8486-727914322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a69f8-a849-4d4f-929d-22bdf9b66af6"/>
    <ds:schemaRef ds:uri="7b83dbe2-6fd2-449a-a932-0d75829bf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89CDB1-6967-48B2-AEA0-BA824FEAB239}">
  <ds:schemaRefs>
    <ds:schemaRef ds:uri="http://schemas.microsoft.com/office/2006/metadata/properties"/>
    <ds:schemaRef ds:uri="http://schemas.microsoft.com/office/infopath/2007/PartnerControls"/>
    <ds:schemaRef ds:uri="284a69f8-a849-4d4f-929d-22bdf9b66af6"/>
    <ds:schemaRef ds:uri="7b83dbe2-6fd2-449a-a932-0d75829bf64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2188</Words>
  <Characters>12474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OCD</Company>
  <LinksUpToDate>false</LinksUpToDate>
  <CharactersWithSpaces>14633</CharactersWithSpaces>
  <SharedDoc>false</SharedDoc>
  <HLinks>
    <vt:vector size="12" baseType="variant">
      <vt:variant>
        <vt:i4>2228302</vt:i4>
      </vt:variant>
      <vt:variant>
        <vt:i4>3</vt:i4>
      </vt:variant>
      <vt:variant>
        <vt:i4>0</vt:i4>
      </vt:variant>
      <vt:variant>
        <vt:i4>5</vt:i4>
      </vt:variant>
      <vt:variant>
        <vt:lpwstr>mailto:kathryn.mcnelis@mass.gov</vt:lpwstr>
      </vt:variant>
      <vt:variant>
        <vt:lpwstr/>
      </vt:variant>
      <vt:variant>
        <vt:i4>5963859</vt:i4>
      </vt:variant>
      <vt:variant>
        <vt:i4>0</vt:i4>
      </vt:variant>
      <vt:variant>
        <vt:i4>0</vt:i4>
      </vt:variant>
      <vt:variant>
        <vt:i4>5</vt:i4>
      </vt:variant>
      <vt:variant>
        <vt:lpwstr>http://www.mass.gov/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Duffy, Evelyn (OCD)</dc:creator>
  <cp:lastModifiedBy>Roushanaei, Patricia (EOHLC)</cp:lastModifiedBy>
  <cp:revision>2</cp:revision>
  <dcterms:created xsi:type="dcterms:W3CDTF">2024-11-18T14:11:00Z</dcterms:created>
  <dcterms:modified xsi:type="dcterms:W3CDTF">2024-11-18T14:11:00Z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0x010100F75741674DAB3C4A91D4D4EAF8471F21</vt:lpwstr>
  </property>
  <property fmtid="{D5CDD505-2E9C-101B-9397-08002B2CF9AE}" pid="3" name="Created">
    <vt:filetime>2024-08-20T00:00:00Z</vt:filetime>
  </property>
  <property fmtid="{D5CDD505-2E9C-101B-9397-08002B2CF9AE}" pid="4" name="Creator">
    <vt:lpwstr>Acrobat PDFMaker 24 for Word</vt:lpwstr>
  </property>
  <property fmtid="{D5CDD505-2E9C-101B-9397-08002B2CF9AE}" pid="5" name="LastSaved">
    <vt:filetime>2024-10-17T00:00:00Z</vt:filetime>
  </property>
  <property fmtid="{D5CDD505-2E9C-101B-9397-08002B2CF9AE}" pid="6" name="MediaServiceImageTags">
    <vt:lpwstr/>
  </property>
  <property fmtid="{D5CDD505-2E9C-101B-9397-08002B2CF9AE}" pid="7" name="Producer">
    <vt:lpwstr>Adobe PDF Library 24.2.255</vt:lpwstr>
  </property>
  <property fmtid="{D5CDD505-2E9C-101B-9397-08002B2CF9AE}" pid="8" name="SourceModified">
    <vt:lpwstr/>
  </property>
</Properties>
</file>