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9B03" w14:textId="77777777" w:rsidR="00BE7247" w:rsidRPr="00546959" w:rsidRDefault="00BE7247" w:rsidP="00F343FD">
      <w:pPr>
        <w:rPr>
          <w:b/>
          <w:strike/>
        </w:rPr>
      </w:pPr>
    </w:p>
    <w:p w14:paraId="730A916F" w14:textId="3A821862" w:rsidR="002C67F0" w:rsidRPr="00896548" w:rsidRDefault="009553A6" w:rsidP="002C67F0">
      <w:pPr>
        <w:rPr>
          <w:b/>
        </w:rPr>
      </w:pPr>
      <w:r>
        <w:rPr>
          <w:b/>
        </w:rPr>
        <w:t xml:space="preserve">Note </w:t>
      </w:r>
      <w:r w:rsidR="00B15EA3">
        <w:rPr>
          <w:b/>
        </w:rPr>
        <w:t>1</w:t>
      </w:r>
      <w:r w:rsidR="002C67F0">
        <w:rPr>
          <w:b/>
        </w:rPr>
        <w:t xml:space="preserve">: </w:t>
      </w:r>
      <w:r w:rsidR="002C67F0" w:rsidRPr="002C06FE">
        <w:rPr>
          <w:b/>
        </w:rPr>
        <w:t>SUPPLEMENTAL COMPENSATION EXHIBIT</w:t>
      </w:r>
      <w:r w:rsidR="002C67F0">
        <w:rPr>
          <w:b/>
        </w:rPr>
        <w:t xml:space="preserve"> </w:t>
      </w:r>
      <w:r w:rsidR="002C67F0">
        <w:rPr>
          <w:b/>
        </w:rPr>
        <w:br/>
        <w:t xml:space="preserve">         </w:t>
      </w:r>
      <w:proofErr w:type="gramStart"/>
      <w:r w:rsidR="002C67F0">
        <w:rPr>
          <w:b/>
        </w:rPr>
        <w:t xml:space="preserve">   </w:t>
      </w:r>
      <w:r w:rsidR="002C67F0" w:rsidRPr="00896548">
        <w:rPr>
          <w:b/>
        </w:rPr>
        <w:t>(</w:t>
      </w:r>
      <w:proofErr w:type="gramEnd"/>
      <w:r w:rsidR="002C67F0" w:rsidRPr="00896548">
        <w:rPr>
          <w:b/>
        </w:rPr>
        <w:t>Domestic Companies Only)</w:t>
      </w:r>
    </w:p>
    <w:p w14:paraId="6AFF1F6C" w14:textId="2B918C1D" w:rsidR="00F343FD" w:rsidRDefault="00061CF9" w:rsidP="008F4E96">
      <w:pPr>
        <w:ind w:left="720"/>
      </w:pPr>
      <w:r>
        <w:t>All</w:t>
      </w:r>
      <w:r w:rsidR="00E33D0E">
        <w:rPr>
          <w:b/>
        </w:rPr>
        <w:t xml:space="preserve"> </w:t>
      </w:r>
      <w:r w:rsidR="00E33D0E">
        <w:t xml:space="preserve">Massachusetts domestic insurance companies </w:t>
      </w:r>
      <w:r w:rsidR="008F4E96">
        <w:t>are required to file this exhibit</w:t>
      </w:r>
      <w:r w:rsidR="00E33D0E">
        <w:t xml:space="preserve"> with the Massachusetts Division of Insurance as part of their Annual Statement filing</w:t>
      </w:r>
      <w:r w:rsidR="00B51D44">
        <w:t xml:space="preserve"> to </w:t>
      </w:r>
      <w:hyperlink r:id="rId11" w:history="1">
        <w:r w:rsidR="00B51D44" w:rsidRPr="00B51D44">
          <w:rPr>
            <w:rStyle w:val="Hyperlink"/>
          </w:rPr>
          <w:t>doi.domestic.companies@mass.gov</w:t>
        </w:r>
      </w:hyperlink>
      <w:r w:rsidR="00E33D0E">
        <w:t>.</w:t>
      </w:r>
      <w:r>
        <w:t xml:space="preserve">  Each domestic insurer shall file the most recent version of the exhibit, as provided by the National Association of Insurance Commissioner: </w:t>
      </w:r>
      <w:r>
        <w:rPr>
          <w:u w:val="single"/>
        </w:rPr>
        <w:t>Supplemental Compensation Exhibit</w:t>
      </w:r>
    </w:p>
    <w:p w14:paraId="586556B6" w14:textId="77777777" w:rsidR="00061CF9" w:rsidRDefault="00061CF9" w:rsidP="008F4E96">
      <w:pPr>
        <w:ind w:left="720"/>
      </w:pPr>
    </w:p>
    <w:p w14:paraId="42BC7449" w14:textId="77777777" w:rsidR="00053879" w:rsidRDefault="00053879" w:rsidP="00053879">
      <w:pPr>
        <w:autoSpaceDE w:val="0"/>
        <w:autoSpaceDN w:val="0"/>
        <w:adjustRightInd w:val="0"/>
        <w:ind w:left="720"/>
      </w:pPr>
      <w:r w:rsidRPr="00053879">
        <w:t xml:space="preserve">Compensation shall consist of </w:t>
      </w:r>
      <w:proofErr w:type="gramStart"/>
      <w:r w:rsidRPr="00053879">
        <w:t>any and all</w:t>
      </w:r>
      <w:proofErr w:type="gramEnd"/>
      <w:r w:rsidRPr="00053879">
        <w:t xml:space="preserve"> remuneration paid to or on behalf of an officer, employee, or director covered by</w:t>
      </w:r>
      <w:r>
        <w:t xml:space="preserve"> </w:t>
      </w:r>
      <w:r w:rsidRPr="00053879">
        <w:t>this requirement, including, but not limited to, wages, salaries, bonuses, commissions, st</w:t>
      </w:r>
      <w:r>
        <w:t>o</w:t>
      </w:r>
      <w:r w:rsidRPr="00053879">
        <w:t xml:space="preserve">ck grants, </w:t>
      </w:r>
      <w:r w:rsidR="0093658C" w:rsidRPr="00053879">
        <w:t>and gains</w:t>
      </w:r>
      <w:r w:rsidRPr="00053879">
        <w:t xml:space="preserve"> from the exercise of</w:t>
      </w:r>
      <w:r>
        <w:t xml:space="preserve"> </w:t>
      </w:r>
      <w:r w:rsidRPr="00053879">
        <w:t>stock options, and any other emolument.</w:t>
      </w:r>
    </w:p>
    <w:p w14:paraId="52C5EB23" w14:textId="77777777" w:rsidR="00053879" w:rsidRDefault="00053879" w:rsidP="00053879">
      <w:pPr>
        <w:autoSpaceDE w:val="0"/>
        <w:autoSpaceDN w:val="0"/>
        <w:adjustRightInd w:val="0"/>
        <w:ind w:left="720"/>
      </w:pPr>
    </w:p>
    <w:p w14:paraId="0DDA76A8" w14:textId="7DF85DF5" w:rsidR="00053879" w:rsidRPr="00053879" w:rsidRDefault="00B512C6" w:rsidP="00053879">
      <w:pPr>
        <w:autoSpaceDE w:val="0"/>
        <w:autoSpaceDN w:val="0"/>
        <w:adjustRightInd w:val="0"/>
        <w:ind w:left="720"/>
      </w:pPr>
      <w:r>
        <w:t xml:space="preserve">The reporting </w:t>
      </w:r>
      <w:r w:rsidR="00DF3E72">
        <w:t>insurer</w:t>
      </w:r>
      <w:r>
        <w:t xml:space="preserve"> shall provide</w:t>
      </w:r>
      <w:r w:rsidR="00053879" w:rsidRPr="00053879">
        <w:t xml:space="preserve"> a narrative description of any material factors necessary to gain an understanding of the information</w:t>
      </w:r>
      <w:r>
        <w:t xml:space="preserve"> </w:t>
      </w:r>
      <w:r w:rsidR="00053879" w:rsidRPr="00053879">
        <w:t>disclosed in the tables in Part 4.</w:t>
      </w:r>
    </w:p>
    <w:p w14:paraId="1106D5D0" w14:textId="77777777" w:rsidR="00053879" w:rsidRPr="00053879" w:rsidRDefault="00053879" w:rsidP="00053879">
      <w:pPr>
        <w:autoSpaceDE w:val="0"/>
        <w:autoSpaceDN w:val="0"/>
        <w:adjustRightInd w:val="0"/>
        <w:ind w:left="720"/>
      </w:pPr>
    </w:p>
    <w:p w14:paraId="4E454AAD" w14:textId="77777777" w:rsidR="00061CF9" w:rsidRDefault="00061CF9" w:rsidP="008F4E96">
      <w:pPr>
        <w:ind w:left="720"/>
        <w:rPr>
          <w:b/>
        </w:rPr>
      </w:pPr>
      <w:r>
        <w:rPr>
          <w:b/>
        </w:rPr>
        <w:t>Instructions specific to “PART 1 – INTERROGATORIES”:</w:t>
      </w:r>
    </w:p>
    <w:p w14:paraId="534EBEF1" w14:textId="77777777" w:rsidR="006A6698" w:rsidRDefault="006A6698" w:rsidP="008F4E96">
      <w:pPr>
        <w:ind w:left="720"/>
      </w:pPr>
      <w:r>
        <w:t>Question 1 – If there is an allocation to each insurer within the group, provide a description of the allocation methodology on the exhibit.</w:t>
      </w:r>
    </w:p>
    <w:p w14:paraId="0EFFF334" w14:textId="77777777" w:rsidR="006A6698" w:rsidRDefault="006A6698" w:rsidP="008F4E96">
      <w:pPr>
        <w:ind w:left="720"/>
      </w:pPr>
    </w:p>
    <w:p w14:paraId="0C21C897" w14:textId="77777777" w:rsidR="006A6698" w:rsidRDefault="006A6698" w:rsidP="008F4E96">
      <w:pPr>
        <w:ind w:left="720"/>
      </w:pPr>
      <w:r>
        <w:t>Question 2 – If the answer is “Yes’, provide the commission as part of “All Other Compensation” reported in Column 5 of Part 2, or Column 3 of Part 3 on the exhibit.</w:t>
      </w:r>
    </w:p>
    <w:p w14:paraId="07191343" w14:textId="77777777" w:rsidR="006A6698" w:rsidRDefault="006A6698" w:rsidP="008F4E96">
      <w:pPr>
        <w:ind w:left="720"/>
      </w:pPr>
    </w:p>
    <w:p w14:paraId="6804B2FA" w14:textId="77777777" w:rsidR="006A6698" w:rsidRDefault="006A6698" w:rsidP="008F4E96">
      <w:pPr>
        <w:ind w:left="720"/>
      </w:pPr>
      <w:r>
        <w:t>Question 3 – If the answer is “Yes”, provide a description of any salary, compensation or emolument that will extend beyond a period of 12 months of the date of the agreement on the exhibit.</w:t>
      </w:r>
    </w:p>
    <w:p w14:paraId="1752FF28" w14:textId="77777777" w:rsidR="006A6698" w:rsidRDefault="006A6698" w:rsidP="008F4E96">
      <w:pPr>
        <w:ind w:left="720"/>
      </w:pPr>
    </w:p>
    <w:p w14:paraId="66136F4E" w14:textId="77777777" w:rsidR="006A6698" w:rsidRDefault="006A6698" w:rsidP="008F4E96">
      <w:pPr>
        <w:ind w:left="720"/>
        <w:rPr>
          <w:b/>
        </w:rPr>
      </w:pPr>
      <w:r>
        <w:rPr>
          <w:b/>
        </w:rPr>
        <w:t>Instructions specific to “PART 2 – OFFICERS and EMPLOYEES COMPENSATION”:</w:t>
      </w:r>
    </w:p>
    <w:p w14:paraId="12A1F202" w14:textId="77777777" w:rsidR="00D01217" w:rsidRDefault="006A6698" w:rsidP="008F4E96">
      <w:pPr>
        <w:ind w:left="720"/>
      </w:pPr>
      <w:r>
        <w:t xml:space="preserve">The reporting insurer shall provide compensation information </w:t>
      </w:r>
      <w:proofErr w:type="gramStart"/>
      <w:r w:rsidR="00DF3E72">
        <w:t>of</w:t>
      </w:r>
      <w:proofErr w:type="gramEnd"/>
      <w:r w:rsidR="00DF3E72">
        <w:t>:</w:t>
      </w:r>
    </w:p>
    <w:p w14:paraId="69CDF511" w14:textId="3C39774A" w:rsidR="00D01217" w:rsidRDefault="0093658C" w:rsidP="0093658C">
      <w:pPr>
        <w:numPr>
          <w:ilvl w:val="0"/>
          <w:numId w:val="1"/>
        </w:numPr>
      </w:pPr>
      <w:r>
        <w:t>T</w:t>
      </w:r>
      <w:r w:rsidR="006A6698">
        <w:t xml:space="preserve">he </w:t>
      </w:r>
      <w:r w:rsidR="000A5FAA">
        <w:t xml:space="preserve">individual acting as the principal </w:t>
      </w:r>
      <w:r w:rsidR="006A6698">
        <w:t xml:space="preserve">executive officer or </w:t>
      </w:r>
      <w:r w:rsidR="000A5FAA">
        <w:t>acting in a similar capacity</w:t>
      </w:r>
      <w:r w:rsidR="00D01217">
        <w:t xml:space="preserve"> during the last </w:t>
      </w:r>
      <w:proofErr w:type="gramStart"/>
      <w:r w:rsidR="00D01217">
        <w:t>completed</w:t>
      </w:r>
      <w:proofErr w:type="gramEnd"/>
      <w:r w:rsidR="00D01217">
        <w:t xml:space="preserve"> fiscal </w:t>
      </w:r>
      <w:proofErr w:type="gramStart"/>
      <w:r w:rsidR="00D01217">
        <w:t>year</w:t>
      </w:r>
      <w:r w:rsidR="00871503">
        <w:t>;</w:t>
      </w:r>
      <w:proofErr w:type="gramEnd"/>
      <w:r w:rsidR="000A5FAA">
        <w:t xml:space="preserve"> </w:t>
      </w:r>
    </w:p>
    <w:p w14:paraId="1D3F6BD0" w14:textId="03A23252" w:rsidR="00871503" w:rsidRDefault="0093658C" w:rsidP="00D01217">
      <w:pPr>
        <w:numPr>
          <w:ilvl w:val="0"/>
          <w:numId w:val="1"/>
        </w:numPr>
      </w:pPr>
      <w:r>
        <w:t>T</w:t>
      </w:r>
      <w:r w:rsidR="000A5FAA">
        <w:t xml:space="preserve">he </w:t>
      </w:r>
      <w:r w:rsidR="00D01217">
        <w:t xml:space="preserve">individual acting as the </w:t>
      </w:r>
      <w:r w:rsidR="000A5FAA">
        <w:t>principal financial officer or acting in a similar capacity</w:t>
      </w:r>
      <w:r w:rsidR="00D01217" w:rsidRPr="00D01217">
        <w:t xml:space="preserve"> </w:t>
      </w:r>
      <w:r w:rsidR="00D01217">
        <w:t xml:space="preserve">during the last completed fiscal </w:t>
      </w:r>
      <w:proofErr w:type="gramStart"/>
      <w:r w:rsidR="00D01217">
        <w:t>year</w:t>
      </w:r>
      <w:r w:rsidR="00871503">
        <w:t>;</w:t>
      </w:r>
      <w:proofErr w:type="gramEnd"/>
    </w:p>
    <w:p w14:paraId="2517CDDA" w14:textId="00711E81" w:rsidR="00871503" w:rsidRDefault="0093658C" w:rsidP="00871503">
      <w:pPr>
        <w:numPr>
          <w:ilvl w:val="0"/>
          <w:numId w:val="1"/>
        </w:numPr>
      </w:pPr>
      <w:r>
        <w:t>T</w:t>
      </w:r>
      <w:r w:rsidR="006A6698">
        <w:t xml:space="preserve">he next </w:t>
      </w:r>
      <w:r w:rsidR="000A5FAA">
        <w:t xml:space="preserve">three </w:t>
      </w:r>
      <w:r w:rsidR="006A6698">
        <w:t>most highly compensated other officers of the company</w:t>
      </w:r>
      <w:r w:rsidR="00D01217">
        <w:t xml:space="preserve"> </w:t>
      </w:r>
      <w:r w:rsidR="000A5FAA">
        <w:t xml:space="preserve">who were serving as executive officers at the end of the last completed fiscal </w:t>
      </w:r>
      <w:proofErr w:type="gramStart"/>
      <w:r w:rsidR="000A5FAA">
        <w:t>year</w:t>
      </w:r>
      <w:r w:rsidR="00871503">
        <w:t>;</w:t>
      </w:r>
      <w:proofErr w:type="gramEnd"/>
    </w:p>
    <w:p w14:paraId="1D40DC05" w14:textId="0EABDC82" w:rsidR="006A6698" w:rsidRDefault="0093658C" w:rsidP="00871503">
      <w:pPr>
        <w:numPr>
          <w:ilvl w:val="0"/>
          <w:numId w:val="1"/>
        </w:numPr>
      </w:pPr>
      <w:r>
        <w:t>T</w:t>
      </w:r>
      <w:r w:rsidR="006A6698">
        <w:t xml:space="preserve">he next five most highly compensated employees of the </w:t>
      </w:r>
      <w:proofErr w:type="gramStart"/>
      <w:r w:rsidR="006A6698">
        <w:t>company</w:t>
      </w:r>
      <w:proofErr w:type="gramEnd"/>
      <w:r w:rsidR="006A6698">
        <w:t xml:space="preserve"> whose individual pre-allocation total compensation exceeds $100,000.</w:t>
      </w:r>
      <w:r w:rsidR="00D01217">
        <w:t xml:space="preserve">  </w:t>
      </w:r>
      <w:r w:rsidR="000A5FAA">
        <w:t xml:space="preserve">Any former officer or employee whose total compensation </w:t>
      </w:r>
      <w:proofErr w:type="gramStart"/>
      <w:r w:rsidR="000A5FAA">
        <w:t>meet</w:t>
      </w:r>
      <w:proofErr w:type="gramEnd"/>
      <w:r w:rsidR="000A5FAA">
        <w:t xml:space="preserve"> this criterion shall be included </w:t>
      </w:r>
      <w:proofErr w:type="gramStart"/>
      <w:r w:rsidR="000A5FAA">
        <w:t>on</w:t>
      </w:r>
      <w:proofErr w:type="gramEnd"/>
      <w:r w:rsidR="000A5FAA">
        <w:t xml:space="preserve"> this exhibit, even if such officer of employee was not an officer or employee of the company at year-end.  Any former officers or employees included on the exhibit shall be identified as “Former”.</w:t>
      </w:r>
    </w:p>
    <w:p w14:paraId="5C456BA7" w14:textId="77777777" w:rsidR="00B512C6" w:rsidRDefault="00B512C6" w:rsidP="00B512C6">
      <w:pPr>
        <w:ind w:left="720"/>
      </w:pPr>
    </w:p>
    <w:p w14:paraId="6E3FDC94" w14:textId="77777777" w:rsidR="00B512C6" w:rsidRDefault="00B512C6" w:rsidP="00B512C6">
      <w:pPr>
        <w:autoSpaceDE w:val="0"/>
        <w:autoSpaceDN w:val="0"/>
        <w:adjustRightInd w:val="0"/>
        <w:ind w:left="720"/>
      </w:pPr>
      <w:r w:rsidRPr="00B537BC">
        <w:rPr>
          <w:b/>
        </w:rPr>
        <w:t>Definitions</w:t>
      </w:r>
      <w:r w:rsidRPr="00B512C6">
        <w:t>. For purposes of this disclosure:</w:t>
      </w:r>
    </w:p>
    <w:p w14:paraId="22FDFDB9" w14:textId="77777777" w:rsidR="00B512C6" w:rsidRPr="00B512C6" w:rsidRDefault="00B512C6" w:rsidP="00B512C6">
      <w:pPr>
        <w:autoSpaceDE w:val="0"/>
        <w:autoSpaceDN w:val="0"/>
        <w:adjustRightInd w:val="0"/>
        <w:ind w:left="1260" w:hanging="540"/>
      </w:pPr>
      <w:r w:rsidRPr="00B512C6">
        <w:lastRenderedPageBreak/>
        <w:t xml:space="preserve">1. </w:t>
      </w:r>
      <w:r>
        <w:tab/>
      </w:r>
      <w:r w:rsidRPr="00B512C6">
        <w:t>The term “stock” means instruments such as common stock, restricted stock, restricted stock units, phantom stock,</w:t>
      </w:r>
      <w:r>
        <w:t xml:space="preserve"> </w:t>
      </w:r>
      <w:r w:rsidRPr="00B512C6">
        <w:t>phantom stock units, common stock equivalent units or any similar instruments that do not have option-like features,</w:t>
      </w:r>
      <w:r>
        <w:t xml:space="preserve"> </w:t>
      </w:r>
      <w:r w:rsidRPr="00B512C6">
        <w:t>and the term option means instruments such as stock options, stock appreciation righ</w:t>
      </w:r>
      <w:r>
        <w:t>t</w:t>
      </w:r>
      <w:r w:rsidRPr="00B512C6">
        <w:t>s and similar instruments with</w:t>
      </w:r>
      <w:r>
        <w:t xml:space="preserve"> </w:t>
      </w:r>
      <w:r w:rsidRPr="00B512C6">
        <w:t>option-like features. The term stock appreciation rights (</w:t>
      </w:r>
      <w:r w:rsidR="00DF3E72" w:rsidRPr="00B512C6">
        <w:t>SARs)</w:t>
      </w:r>
      <w:r w:rsidRPr="00B512C6">
        <w:t xml:space="preserve"> </w:t>
      </w:r>
      <w:proofErr w:type="gramStart"/>
      <w:r w:rsidRPr="00B512C6">
        <w:t>refers</w:t>
      </w:r>
      <w:proofErr w:type="gramEnd"/>
      <w:r w:rsidRPr="00B512C6">
        <w:t xml:space="preserve"> to SARs payable in cash or stock, including</w:t>
      </w:r>
      <w:r>
        <w:t xml:space="preserve"> </w:t>
      </w:r>
      <w:r w:rsidRPr="00B512C6">
        <w:t>SARs payable in cash or stock at the election of the registrant or a named executive officer. The term “equity” is</w:t>
      </w:r>
      <w:r>
        <w:t xml:space="preserve"> </w:t>
      </w:r>
      <w:r w:rsidRPr="00B512C6">
        <w:t>used to refer generally to stock and/or options.</w:t>
      </w:r>
    </w:p>
    <w:p w14:paraId="04FB61AD" w14:textId="77777777" w:rsidR="00B512C6" w:rsidRDefault="00B512C6" w:rsidP="00B512C6">
      <w:pPr>
        <w:autoSpaceDE w:val="0"/>
        <w:autoSpaceDN w:val="0"/>
        <w:adjustRightInd w:val="0"/>
        <w:ind w:left="1260" w:hanging="540"/>
      </w:pPr>
      <w:r w:rsidRPr="00B512C6">
        <w:t xml:space="preserve">2. </w:t>
      </w:r>
      <w:r>
        <w:tab/>
      </w:r>
      <w:r w:rsidRPr="00B512C6">
        <w:t>The terms “date of grant” or “grant date” refer to the grant date determined for financial statement reporting</w:t>
      </w:r>
      <w:r>
        <w:t xml:space="preserve"> </w:t>
      </w:r>
      <w:r w:rsidRPr="00B512C6">
        <w:t>purposes pursuant to SSAP No. 104R, Share-Based Payments.</w:t>
      </w:r>
    </w:p>
    <w:p w14:paraId="3ADED78E" w14:textId="77777777" w:rsidR="00B512C6" w:rsidRPr="00B512C6" w:rsidRDefault="00B512C6" w:rsidP="00B512C6">
      <w:pPr>
        <w:autoSpaceDE w:val="0"/>
        <w:autoSpaceDN w:val="0"/>
        <w:adjustRightInd w:val="0"/>
        <w:ind w:left="720"/>
      </w:pPr>
    </w:p>
    <w:p w14:paraId="120034C9" w14:textId="77777777" w:rsidR="00B512C6" w:rsidRDefault="00B512C6" w:rsidP="00B512C6">
      <w:pPr>
        <w:autoSpaceDE w:val="0"/>
        <w:autoSpaceDN w:val="0"/>
        <w:adjustRightInd w:val="0"/>
        <w:ind w:left="720"/>
      </w:pPr>
      <w:r w:rsidRPr="00B537BC">
        <w:rPr>
          <w:i/>
        </w:rPr>
        <w:t>Column 3 – Salary</w:t>
      </w:r>
      <w:r>
        <w:t xml:space="preserve">: </w:t>
      </w:r>
      <w:r w:rsidRPr="00B512C6">
        <w:t>The dollar value of the base salary (cash and non-cash) paid to the named officer or employee during</w:t>
      </w:r>
      <w:r>
        <w:t xml:space="preserve"> </w:t>
      </w:r>
      <w:r w:rsidRPr="00B512C6">
        <w:t>the fiscal year covered.</w:t>
      </w:r>
    </w:p>
    <w:p w14:paraId="2CF5C076" w14:textId="77777777" w:rsidR="000228EA" w:rsidRPr="00B512C6" w:rsidRDefault="000228EA" w:rsidP="00B512C6">
      <w:pPr>
        <w:autoSpaceDE w:val="0"/>
        <w:autoSpaceDN w:val="0"/>
        <w:adjustRightInd w:val="0"/>
        <w:ind w:left="720"/>
      </w:pPr>
    </w:p>
    <w:p w14:paraId="6AE5469B" w14:textId="77777777" w:rsidR="00B512C6" w:rsidRDefault="00B512C6" w:rsidP="00B512C6">
      <w:pPr>
        <w:autoSpaceDE w:val="0"/>
        <w:autoSpaceDN w:val="0"/>
        <w:adjustRightInd w:val="0"/>
        <w:ind w:left="720"/>
      </w:pPr>
      <w:r w:rsidRPr="00B537BC">
        <w:rPr>
          <w:i/>
        </w:rPr>
        <w:t>Column 4 – Bonus</w:t>
      </w:r>
      <w:r w:rsidR="000228EA">
        <w:t xml:space="preserve">: </w:t>
      </w:r>
      <w:r w:rsidRPr="00B512C6">
        <w:t xml:space="preserve">The dollar value of any bonus (cash and non-cash) paid to the named officer or employee </w:t>
      </w:r>
      <w:r w:rsidR="000228EA">
        <w:t>d</w:t>
      </w:r>
      <w:r w:rsidRPr="00B512C6">
        <w:t>uring the</w:t>
      </w:r>
      <w:r w:rsidR="000228EA">
        <w:t xml:space="preserve"> </w:t>
      </w:r>
      <w:r w:rsidRPr="00B512C6">
        <w:t>fiscal year covered.</w:t>
      </w:r>
    </w:p>
    <w:p w14:paraId="78D29D0B" w14:textId="77777777" w:rsidR="000228EA" w:rsidRPr="00B512C6" w:rsidRDefault="000228EA" w:rsidP="00B512C6">
      <w:pPr>
        <w:autoSpaceDE w:val="0"/>
        <w:autoSpaceDN w:val="0"/>
        <w:adjustRightInd w:val="0"/>
        <w:ind w:left="720"/>
      </w:pPr>
    </w:p>
    <w:p w14:paraId="42DFAF33" w14:textId="77777777" w:rsidR="00B512C6" w:rsidRPr="00B512C6" w:rsidRDefault="00B512C6" w:rsidP="00B512C6">
      <w:pPr>
        <w:autoSpaceDE w:val="0"/>
        <w:autoSpaceDN w:val="0"/>
        <w:adjustRightInd w:val="0"/>
        <w:ind w:left="720"/>
      </w:pPr>
      <w:r w:rsidRPr="00B537BC">
        <w:rPr>
          <w:i/>
        </w:rPr>
        <w:t>Column 5 – Stock Awards</w:t>
      </w:r>
      <w:r w:rsidR="000228EA">
        <w:t xml:space="preserve">: </w:t>
      </w:r>
      <w:r w:rsidRPr="00B512C6">
        <w:t>For awards of stock, the aggregate grant date value computed in accordance with SSAP No. 104R,</w:t>
      </w:r>
      <w:r w:rsidR="000228EA">
        <w:t xml:space="preserve"> </w:t>
      </w:r>
      <w:r w:rsidRPr="00B512C6">
        <w:t>Share-Based Payments.</w:t>
      </w:r>
    </w:p>
    <w:p w14:paraId="1A510947" w14:textId="77777777" w:rsidR="000228EA" w:rsidRDefault="000228EA" w:rsidP="00B512C6">
      <w:pPr>
        <w:autoSpaceDE w:val="0"/>
        <w:autoSpaceDN w:val="0"/>
        <w:adjustRightInd w:val="0"/>
        <w:ind w:left="720"/>
      </w:pPr>
    </w:p>
    <w:p w14:paraId="31DDA2CA" w14:textId="77777777" w:rsidR="00B512C6" w:rsidRPr="00B512C6" w:rsidRDefault="00B512C6" w:rsidP="00B512C6">
      <w:pPr>
        <w:autoSpaceDE w:val="0"/>
        <w:autoSpaceDN w:val="0"/>
        <w:adjustRightInd w:val="0"/>
        <w:ind w:left="720"/>
      </w:pPr>
      <w:r w:rsidRPr="00B537BC">
        <w:rPr>
          <w:i/>
        </w:rPr>
        <w:t>Column 6 – Option Awards</w:t>
      </w:r>
      <w:r w:rsidR="000228EA">
        <w:t xml:space="preserve">: </w:t>
      </w:r>
      <w:r w:rsidRPr="00B512C6">
        <w:t>For awards of options, with or without tandem SARs (including awards that subsequently have been</w:t>
      </w:r>
      <w:r w:rsidR="000228EA">
        <w:t xml:space="preserve"> </w:t>
      </w:r>
      <w:r w:rsidRPr="00B512C6">
        <w:t>transferred), the aggregate grant date value computed in accordance with SSAP No. 104R, Share-Based Payments.</w:t>
      </w:r>
    </w:p>
    <w:p w14:paraId="1EBAE97D" w14:textId="77777777" w:rsidR="000228EA" w:rsidRDefault="000228EA" w:rsidP="00B512C6">
      <w:pPr>
        <w:autoSpaceDE w:val="0"/>
        <w:autoSpaceDN w:val="0"/>
        <w:adjustRightInd w:val="0"/>
        <w:ind w:left="720"/>
      </w:pPr>
    </w:p>
    <w:p w14:paraId="039C2C8B" w14:textId="77777777" w:rsidR="00B512C6" w:rsidRDefault="00B512C6" w:rsidP="00B512C6">
      <w:pPr>
        <w:autoSpaceDE w:val="0"/>
        <w:autoSpaceDN w:val="0"/>
        <w:adjustRightInd w:val="0"/>
        <w:ind w:left="720"/>
      </w:pPr>
      <w:r w:rsidRPr="00B537BC">
        <w:rPr>
          <w:i/>
        </w:rPr>
        <w:t>Column 7 – Sign-on Payments</w:t>
      </w:r>
      <w:r w:rsidR="000228EA">
        <w:t xml:space="preserve">: </w:t>
      </w:r>
      <w:r w:rsidRPr="00B512C6">
        <w:t xml:space="preserve">All compensation received </w:t>
      </w:r>
      <w:proofErr w:type="gramStart"/>
      <w:r w:rsidRPr="00B512C6">
        <w:t>as a result of</w:t>
      </w:r>
      <w:proofErr w:type="gramEnd"/>
      <w:r w:rsidRPr="00B512C6">
        <w:t xml:space="preserve"> the acceptance of an employment offer.</w:t>
      </w:r>
    </w:p>
    <w:p w14:paraId="19657297" w14:textId="77777777" w:rsidR="000228EA" w:rsidRPr="00B512C6" w:rsidRDefault="000228EA" w:rsidP="00B512C6">
      <w:pPr>
        <w:autoSpaceDE w:val="0"/>
        <w:autoSpaceDN w:val="0"/>
        <w:adjustRightInd w:val="0"/>
        <w:ind w:left="720"/>
      </w:pPr>
    </w:p>
    <w:p w14:paraId="63E9D721" w14:textId="77777777" w:rsidR="00B512C6" w:rsidRPr="00B512C6" w:rsidRDefault="00B512C6" w:rsidP="00B512C6">
      <w:pPr>
        <w:autoSpaceDE w:val="0"/>
        <w:autoSpaceDN w:val="0"/>
        <w:adjustRightInd w:val="0"/>
        <w:ind w:left="720"/>
      </w:pPr>
      <w:r w:rsidRPr="00B537BC">
        <w:rPr>
          <w:i/>
        </w:rPr>
        <w:t>Column 8 – Severance Payments</w:t>
      </w:r>
      <w:r w:rsidR="000228EA">
        <w:t xml:space="preserve">: </w:t>
      </w:r>
      <w:r w:rsidRPr="00B512C6">
        <w:t xml:space="preserve">Any termination, including without limitation through retirement, resignation, severance </w:t>
      </w:r>
      <w:r w:rsidR="000228EA">
        <w:t>o</w:t>
      </w:r>
      <w:r w:rsidRPr="00B512C6">
        <w:t>r</w:t>
      </w:r>
      <w:r w:rsidR="000228EA">
        <w:t xml:space="preserve"> </w:t>
      </w:r>
      <w:r w:rsidRPr="00B512C6">
        <w:t>constructive termination (including a change in responsibilities) of such executive officer’s</w:t>
      </w:r>
      <w:r w:rsidR="000228EA">
        <w:t xml:space="preserve"> </w:t>
      </w:r>
      <w:r w:rsidRPr="00B512C6">
        <w:t xml:space="preserve">employment with the reporting </w:t>
      </w:r>
      <w:proofErr w:type="gramStart"/>
      <w:r w:rsidRPr="00B512C6">
        <w:t>entity’s</w:t>
      </w:r>
      <w:proofErr w:type="gramEnd"/>
      <w:r w:rsidRPr="00B512C6">
        <w:t xml:space="preserve"> and its subsidiaries</w:t>
      </w:r>
      <w:r w:rsidR="000228EA">
        <w:t>.</w:t>
      </w:r>
    </w:p>
    <w:p w14:paraId="1CEF09BF" w14:textId="77777777" w:rsidR="000228EA" w:rsidRDefault="000228EA" w:rsidP="00B512C6">
      <w:pPr>
        <w:autoSpaceDE w:val="0"/>
        <w:autoSpaceDN w:val="0"/>
        <w:adjustRightInd w:val="0"/>
        <w:ind w:left="720"/>
      </w:pPr>
    </w:p>
    <w:p w14:paraId="1955A86D" w14:textId="77777777" w:rsidR="00B512C6" w:rsidRPr="00B512C6" w:rsidRDefault="00B512C6" w:rsidP="00B512C6">
      <w:pPr>
        <w:autoSpaceDE w:val="0"/>
        <w:autoSpaceDN w:val="0"/>
        <w:adjustRightInd w:val="0"/>
        <w:ind w:left="720"/>
      </w:pPr>
      <w:r w:rsidRPr="00B537BC">
        <w:rPr>
          <w:i/>
        </w:rPr>
        <w:t>Column 9 – All Other Compensation</w:t>
      </w:r>
      <w:r w:rsidR="000228EA">
        <w:t xml:space="preserve">: </w:t>
      </w:r>
      <w:r w:rsidRPr="00B512C6">
        <w:t>All other compensation for the covered fiscal year that the reporting entity could not properly report in</w:t>
      </w:r>
      <w:r w:rsidR="000228EA">
        <w:t xml:space="preserve"> </w:t>
      </w:r>
      <w:r w:rsidRPr="00B512C6">
        <w:t xml:space="preserve">any other column. Each compensation item that is not properly reportable in other columns, </w:t>
      </w:r>
      <w:proofErr w:type="gramStart"/>
      <w:r w:rsidRPr="00B512C6">
        <w:t>regardless</w:t>
      </w:r>
      <w:r w:rsidR="000228EA">
        <w:t xml:space="preserve"> </w:t>
      </w:r>
      <w:r w:rsidRPr="00B512C6">
        <w:t>of the amount</w:t>
      </w:r>
      <w:proofErr w:type="gramEnd"/>
      <w:r w:rsidRPr="00B512C6">
        <w:t xml:space="preserve"> of the compensation item, must be included.</w:t>
      </w:r>
      <w:r w:rsidR="000228EA">
        <w:t xml:space="preserve"> </w:t>
      </w:r>
      <w:r w:rsidRPr="00B512C6">
        <w:t>Such compensation must include, but is not limited to:</w:t>
      </w:r>
    </w:p>
    <w:p w14:paraId="062B0E61" w14:textId="77777777" w:rsidR="00B512C6" w:rsidRDefault="00B512C6" w:rsidP="000228EA">
      <w:pPr>
        <w:autoSpaceDE w:val="0"/>
        <w:autoSpaceDN w:val="0"/>
        <w:adjustRightInd w:val="0"/>
        <w:spacing w:before="60" w:after="60"/>
        <w:ind w:left="1440" w:hanging="450"/>
      </w:pPr>
      <w:r w:rsidRPr="00B512C6">
        <w:t>•</w:t>
      </w:r>
      <w:r w:rsidR="000228EA">
        <w:tab/>
      </w:r>
      <w:r w:rsidRPr="00B512C6">
        <w:t>Perquisites and other personal benefits, or property, unless the aggregate amount of such</w:t>
      </w:r>
      <w:r w:rsidR="000228EA">
        <w:t xml:space="preserve"> </w:t>
      </w:r>
      <w:r w:rsidRPr="00B512C6">
        <w:t xml:space="preserve">compensation is less than </w:t>
      </w:r>
      <w:proofErr w:type="gramStart"/>
      <w:r w:rsidRPr="00B512C6">
        <w:t>$10,000;</w:t>
      </w:r>
      <w:proofErr w:type="gramEnd"/>
    </w:p>
    <w:p w14:paraId="3CD35C3B" w14:textId="77777777" w:rsidR="00B512C6" w:rsidRPr="00B512C6" w:rsidRDefault="00B512C6" w:rsidP="000228EA">
      <w:pPr>
        <w:numPr>
          <w:ilvl w:val="0"/>
          <w:numId w:val="2"/>
        </w:numPr>
        <w:autoSpaceDE w:val="0"/>
        <w:autoSpaceDN w:val="0"/>
        <w:adjustRightInd w:val="0"/>
        <w:spacing w:before="60" w:after="60"/>
      </w:pPr>
      <w:r w:rsidRPr="00B512C6">
        <w:t>All “</w:t>
      </w:r>
      <w:proofErr w:type="gramStart"/>
      <w:r w:rsidRPr="00B512C6">
        <w:t>gross-ups</w:t>
      </w:r>
      <w:proofErr w:type="gramEnd"/>
      <w:r w:rsidRPr="00B512C6">
        <w:t xml:space="preserve">” or other amounts reimbursed during the fiscal year for the payment of </w:t>
      </w:r>
      <w:proofErr w:type="gramStart"/>
      <w:r w:rsidRPr="00B512C6">
        <w:t>taxes;</w:t>
      </w:r>
      <w:proofErr w:type="gramEnd"/>
    </w:p>
    <w:p w14:paraId="138617BB" w14:textId="77777777" w:rsidR="00B512C6" w:rsidRPr="00B512C6" w:rsidRDefault="00B512C6" w:rsidP="000228EA">
      <w:pPr>
        <w:numPr>
          <w:ilvl w:val="0"/>
          <w:numId w:val="2"/>
        </w:numPr>
        <w:autoSpaceDE w:val="0"/>
        <w:autoSpaceDN w:val="0"/>
        <w:adjustRightInd w:val="0"/>
        <w:spacing w:before="60" w:after="60"/>
      </w:pPr>
      <w:r w:rsidRPr="00B512C6">
        <w:t>Reporting entity contributions or other allocations to vested and unvested defined contribution</w:t>
      </w:r>
      <w:r w:rsidR="000228EA">
        <w:t xml:space="preserve"> </w:t>
      </w:r>
      <w:proofErr w:type="gramStart"/>
      <w:r w:rsidRPr="00B512C6">
        <w:t>plans;</w:t>
      </w:r>
      <w:proofErr w:type="gramEnd"/>
    </w:p>
    <w:p w14:paraId="1A4921AD" w14:textId="77777777" w:rsidR="00B512C6" w:rsidRPr="00B512C6" w:rsidRDefault="00B512C6" w:rsidP="000228EA">
      <w:pPr>
        <w:numPr>
          <w:ilvl w:val="0"/>
          <w:numId w:val="2"/>
        </w:numPr>
        <w:autoSpaceDE w:val="0"/>
        <w:autoSpaceDN w:val="0"/>
        <w:adjustRightInd w:val="0"/>
        <w:spacing w:before="60" w:after="60"/>
      </w:pPr>
      <w:r w:rsidRPr="00B512C6">
        <w:t xml:space="preserve">A change in control of the reporting </w:t>
      </w:r>
      <w:proofErr w:type="gramStart"/>
      <w:r w:rsidRPr="00B512C6">
        <w:t>entity;</w:t>
      </w:r>
      <w:proofErr w:type="gramEnd"/>
    </w:p>
    <w:p w14:paraId="029D9AEE" w14:textId="77777777" w:rsidR="00B512C6" w:rsidRPr="00B512C6" w:rsidRDefault="00B512C6" w:rsidP="000228EA">
      <w:pPr>
        <w:numPr>
          <w:ilvl w:val="0"/>
          <w:numId w:val="2"/>
        </w:numPr>
        <w:autoSpaceDE w:val="0"/>
        <w:autoSpaceDN w:val="0"/>
        <w:adjustRightInd w:val="0"/>
        <w:spacing w:before="60" w:after="60"/>
      </w:pPr>
      <w:r w:rsidRPr="00B512C6">
        <w:lastRenderedPageBreak/>
        <w:t>The dollar value of any insurance premiums paid by, or on behalf of, the reporting entity during</w:t>
      </w:r>
      <w:r w:rsidR="000228EA">
        <w:t xml:space="preserve"> </w:t>
      </w:r>
      <w:r w:rsidRPr="00B512C6">
        <w:t>the covered fiscal year with respect to life insurance for the benefit of a named officer or</w:t>
      </w:r>
      <w:r w:rsidR="000228EA">
        <w:t xml:space="preserve"> </w:t>
      </w:r>
      <w:r w:rsidRPr="00B512C6">
        <w:t>employee; and</w:t>
      </w:r>
    </w:p>
    <w:p w14:paraId="734D4EF6" w14:textId="77777777" w:rsidR="00B512C6" w:rsidRPr="00B512C6" w:rsidRDefault="00B512C6" w:rsidP="000228EA">
      <w:pPr>
        <w:numPr>
          <w:ilvl w:val="0"/>
          <w:numId w:val="2"/>
        </w:numPr>
        <w:autoSpaceDE w:val="0"/>
        <w:autoSpaceDN w:val="0"/>
        <w:adjustRightInd w:val="0"/>
        <w:spacing w:before="60" w:after="60"/>
      </w:pPr>
      <w:r w:rsidRPr="00B512C6">
        <w:t>The dollar value of any dividends or other earnings paid on stock or option awards, when those</w:t>
      </w:r>
      <w:r w:rsidR="000228EA">
        <w:t xml:space="preserve"> </w:t>
      </w:r>
      <w:r w:rsidRPr="00B512C6">
        <w:t>amounts were not factored into the grant date fair value required to be reported for the stock or</w:t>
      </w:r>
      <w:r w:rsidR="000228EA">
        <w:t xml:space="preserve"> </w:t>
      </w:r>
      <w:r w:rsidRPr="00B512C6">
        <w:t>option award</w:t>
      </w:r>
    </w:p>
    <w:p w14:paraId="77DB1D8A" w14:textId="77777777" w:rsidR="00D01217" w:rsidRDefault="00D01217" w:rsidP="008F4E96">
      <w:pPr>
        <w:ind w:left="720"/>
      </w:pPr>
    </w:p>
    <w:p w14:paraId="2C0936BD" w14:textId="77777777" w:rsidR="006A6698" w:rsidRDefault="006A6698" w:rsidP="008F4E96">
      <w:pPr>
        <w:ind w:left="720"/>
        <w:rPr>
          <w:b/>
        </w:rPr>
      </w:pPr>
      <w:r>
        <w:rPr>
          <w:b/>
        </w:rPr>
        <w:t>Instructions specific to “PART 3 – DIRECTOR COMPENSATION”:</w:t>
      </w:r>
    </w:p>
    <w:p w14:paraId="7885B105" w14:textId="77777777" w:rsidR="00BE7247" w:rsidRDefault="00BE7247" w:rsidP="008F4E96">
      <w:pPr>
        <w:ind w:left="720"/>
      </w:pPr>
      <w:r>
        <w:t xml:space="preserve">All </w:t>
      </w:r>
      <w:proofErr w:type="gramStart"/>
      <w:r>
        <w:t>persons</w:t>
      </w:r>
      <w:proofErr w:type="gramEnd"/>
      <w:r>
        <w:t xml:space="preserve"> who serve as </w:t>
      </w:r>
      <w:proofErr w:type="gramStart"/>
      <w:r>
        <w:t>a Director</w:t>
      </w:r>
      <w:proofErr w:type="gramEnd"/>
      <w:r>
        <w:t xml:space="preserve"> of the reporting insurer during the reporting year, whether compensated or uncompensated, shall be provided in Part 3, including employees who served as </w:t>
      </w:r>
      <w:proofErr w:type="gramStart"/>
      <w:r>
        <w:t>a Director</w:t>
      </w:r>
      <w:proofErr w:type="gramEnd"/>
      <w:r>
        <w:t xml:space="preserve"> during the reporting year.  The Director’s name and principal position or occupation shall be provided on the exhibit.</w:t>
      </w:r>
    </w:p>
    <w:p w14:paraId="3BE50E25" w14:textId="77777777" w:rsidR="00B537BC" w:rsidRDefault="00B537BC" w:rsidP="008F4E96">
      <w:pPr>
        <w:ind w:left="720"/>
      </w:pPr>
    </w:p>
    <w:p w14:paraId="5D5C68B2" w14:textId="77777777" w:rsidR="00B537BC" w:rsidRDefault="00B537BC" w:rsidP="00B537BC">
      <w:pPr>
        <w:ind w:left="720"/>
        <w:rPr>
          <w:b/>
        </w:rPr>
      </w:pPr>
      <w:r>
        <w:rPr>
          <w:b/>
        </w:rPr>
        <w:t>Instructions specific to “PART 4 – NARRATIVE DESCRIPTION OF MATERIAL FACTORS</w:t>
      </w:r>
      <w:r w:rsidR="000B7364">
        <w:rPr>
          <w:b/>
        </w:rPr>
        <w:t>”</w:t>
      </w:r>
    </w:p>
    <w:p w14:paraId="3D296AE7" w14:textId="77777777" w:rsidR="00B537BC" w:rsidRDefault="00B537BC" w:rsidP="00B537BC">
      <w:pPr>
        <w:autoSpaceDE w:val="0"/>
        <w:autoSpaceDN w:val="0"/>
        <w:adjustRightInd w:val="0"/>
        <w:ind w:left="720"/>
      </w:pPr>
      <w:r w:rsidRPr="00B537BC">
        <w:t>Provide a narrative description of any material factors necessary to gain an understanding of the information disclosed in the</w:t>
      </w:r>
      <w:r>
        <w:t xml:space="preserve"> </w:t>
      </w:r>
      <w:r w:rsidRPr="00B537BC">
        <w:t>Part 2 and Part 3 tables.</w:t>
      </w:r>
    </w:p>
    <w:p w14:paraId="78F6EB84" w14:textId="77777777" w:rsidR="00B537BC" w:rsidRPr="00BE7247" w:rsidRDefault="00B537BC" w:rsidP="008F4E96">
      <w:pPr>
        <w:ind w:left="720"/>
      </w:pPr>
    </w:p>
    <w:p w14:paraId="33B631B9" w14:textId="7237300E" w:rsidR="002146A5" w:rsidRDefault="002146A5" w:rsidP="00F343FD">
      <w:pPr>
        <w:rPr>
          <w:b/>
        </w:rPr>
      </w:pPr>
    </w:p>
    <w:p w14:paraId="6F9E48F7" w14:textId="42C99C1B" w:rsidR="00F343FD" w:rsidRDefault="00F343FD" w:rsidP="00F343FD">
      <w:pPr>
        <w:rPr>
          <w:b/>
        </w:rPr>
      </w:pPr>
      <w:r w:rsidRPr="002C06FE">
        <w:rPr>
          <w:b/>
        </w:rPr>
        <w:t xml:space="preserve">Note </w:t>
      </w:r>
      <w:r w:rsidR="00B15EA3">
        <w:rPr>
          <w:b/>
        </w:rPr>
        <w:t>2</w:t>
      </w:r>
      <w:r w:rsidR="002C67F0">
        <w:rPr>
          <w:b/>
        </w:rPr>
        <w:t>: Premium Taxes</w:t>
      </w:r>
    </w:p>
    <w:p w14:paraId="4B769984" w14:textId="77777777" w:rsidR="002C67F0" w:rsidRPr="002C06FE" w:rsidRDefault="002C67F0" w:rsidP="00F343FD">
      <w:pPr>
        <w:rPr>
          <w:b/>
        </w:rPr>
      </w:pPr>
    </w:p>
    <w:p w14:paraId="1E536C20" w14:textId="77777777" w:rsidR="00F343FD" w:rsidRDefault="00F343FD" w:rsidP="00083B86">
      <w:pPr>
        <w:ind w:left="720"/>
      </w:pPr>
      <w:r>
        <w:t xml:space="preserve">Premium tax forms and/or payments are NOT to be filed with the Division of Insurance.  </w:t>
      </w:r>
      <w:r w:rsidR="002C06FE">
        <w:t>A</w:t>
      </w:r>
      <w:r>
        <w:t>ll tax matters</w:t>
      </w:r>
      <w:r w:rsidR="002C06FE">
        <w:t xml:space="preserve"> </w:t>
      </w:r>
      <w:r>
        <w:t>in Massachusetts, other than surplus lines premium taxes, are under the supervision of the Commissioner</w:t>
      </w:r>
      <w:r w:rsidR="002C06FE">
        <w:t xml:space="preserve"> </w:t>
      </w:r>
      <w:r>
        <w:t>of Revenue.  For information regarding premium tax forms and/or payments, please contact:</w:t>
      </w:r>
    </w:p>
    <w:p w14:paraId="0167BD21" w14:textId="77777777" w:rsidR="005D6952" w:rsidRPr="00070648" w:rsidRDefault="005D6952" w:rsidP="00083B86">
      <w:pPr>
        <w:ind w:left="720"/>
      </w:pPr>
    </w:p>
    <w:p w14:paraId="03CF42A1" w14:textId="77777777" w:rsidR="00F343FD" w:rsidRDefault="00F343FD" w:rsidP="00900E1D">
      <w:pPr>
        <w:ind w:left="2880"/>
      </w:pPr>
      <w:r>
        <w:t>Commissioner of Revenue</w:t>
      </w:r>
    </w:p>
    <w:p w14:paraId="413BD156" w14:textId="77777777" w:rsidR="007F5874" w:rsidRDefault="00AE54E9" w:rsidP="00900E1D">
      <w:pPr>
        <w:ind w:left="2880"/>
      </w:pPr>
      <w:r>
        <w:t>Audit Division</w:t>
      </w:r>
    </w:p>
    <w:p w14:paraId="2EDAB415" w14:textId="77777777" w:rsidR="00F343FD" w:rsidRDefault="007F5874" w:rsidP="00900E1D">
      <w:pPr>
        <w:ind w:left="2880"/>
      </w:pPr>
      <w:r>
        <w:t>Banking &amp; Insurance Unit</w:t>
      </w:r>
    </w:p>
    <w:p w14:paraId="173B4A12" w14:textId="77777777" w:rsidR="00F343FD" w:rsidRDefault="007F5874" w:rsidP="00900E1D">
      <w:pPr>
        <w:ind w:left="2880"/>
      </w:pPr>
      <w:r>
        <w:t>PO Box 7052</w:t>
      </w:r>
    </w:p>
    <w:p w14:paraId="5895501B" w14:textId="77777777" w:rsidR="00F343FD" w:rsidRDefault="007F5874" w:rsidP="00900E1D">
      <w:pPr>
        <w:ind w:left="2880"/>
      </w:pPr>
      <w:r>
        <w:t>Boston, MA  02204</w:t>
      </w:r>
    </w:p>
    <w:p w14:paraId="732F0528" w14:textId="77777777" w:rsidR="00F343FD" w:rsidRDefault="00F343FD" w:rsidP="00900E1D">
      <w:pPr>
        <w:ind w:left="2880"/>
      </w:pPr>
      <w:r>
        <w:t>Telephone: 617-887-</w:t>
      </w:r>
      <w:r w:rsidR="00F8370B">
        <w:t>6710</w:t>
      </w:r>
    </w:p>
    <w:p w14:paraId="6DE5B834" w14:textId="77777777" w:rsidR="00F343FD" w:rsidRPr="00070648" w:rsidRDefault="00F343FD" w:rsidP="00F343FD"/>
    <w:p w14:paraId="4B85F8F4" w14:textId="0301D49A" w:rsidR="000029C9" w:rsidRDefault="00C40EAD" w:rsidP="00C40EAD">
      <w:pPr>
        <w:tabs>
          <w:tab w:val="left" w:pos="-1440"/>
        </w:tabs>
        <w:ind w:hanging="720"/>
      </w:pPr>
      <w:r>
        <w:rPr>
          <w:b/>
        </w:rPr>
        <w:tab/>
      </w:r>
      <w:r w:rsidR="00F343FD" w:rsidRPr="002C06FE">
        <w:rPr>
          <w:b/>
        </w:rPr>
        <w:t xml:space="preserve">Note </w:t>
      </w:r>
      <w:r w:rsidR="00B15EA3">
        <w:rPr>
          <w:b/>
        </w:rPr>
        <w:t>3</w:t>
      </w:r>
      <w:r w:rsidR="002C67F0">
        <w:rPr>
          <w:b/>
        </w:rPr>
        <w:t xml:space="preserve">: </w:t>
      </w:r>
      <w:r w:rsidR="002C67F0" w:rsidRPr="002C06FE">
        <w:rPr>
          <w:b/>
        </w:rPr>
        <w:t>State Filing Fees and License Renewal Application</w:t>
      </w:r>
      <w:r>
        <w:rPr>
          <w:b/>
        </w:rPr>
        <w:t xml:space="preserve"> </w:t>
      </w:r>
      <w:r w:rsidR="002C67F0">
        <w:rPr>
          <w:b/>
        </w:rPr>
        <w:br/>
      </w:r>
      <w:r w:rsidR="000029C9">
        <w:t>The</w:t>
      </w:r>
      <w:r w:rsidR="000029C9" w:rsidRPr="00997530">
        <w:t xml:space="preserve"> </w:t>
      </w:r>
      <w:r w:rsidR="000029C9">
        <w:t>Massachusetts Division of Insurance</w:t>
      </w:r>
      <w:r w:rsidR="000029C9" w:rsidRPr="00C47615">
        <w:rPr>
          <w:b/>
        </w:rPr>
        <w:t xml:space="preserve"> </w:t>
      </w:r>
      <w:r w:rsidR="000029C9">
        <w:t>has implemented OPT</w:t>
      </w:r>
      <w:r w:rsidR="000029C9" w:rsidRPr="00D11A67">
        <w:rPr>
          <w:i/>
        </w:rPr>
        <w:t>ins</w:t>
      </w:r>
      <w:r w:rsidR="000029C9">
        <w:t xml:space="preserve">, a product of the NAIC, for insurers filing and paying of Massachusetts company renewal and filing fees. </w:t>
      </w:r>
    </w:p>
    <w:p w14:paraId="066CEEA5" w14:textId="77777777" w:rsidR="000029C9" w:rsidRDefault="000029C9" w:rsidP="000029C9"/>
    <w:p w14:paraId="1C0BD0FD" w14:textId="77777777" w:rsidR="000029C9" w:rsidRDefault="000029C9" w:rsidP="000029C9"/>
    <w:p w14:paraId="0C5D315C" w14:textId="10FCA376" w:rsidR="000029C9" w:rsidRDefault="000029C9" w:rsidP="000029C9">
      <w:r>
        <w:t xml:space="preserve">All Payments for license renewal and filing fees are to be sent to </w:t>
      </w:r>
      <w:hyperlink r:id="rId12" w:history="1">
        <w:r w:rsidR="00AB1FE0">
          <w:rPr>
            <w:rStyle w:val="Hyperlink"/>
          </w:rPr>
          <w:t>NAIC</w:t>
        </w:r>
        <w:r w:rsidR="005F2FF5">
          <w:rPr>
            <w:rStyle w:val="Hyperlink"/>
          </w:rPr>
          <w:t xml:space="preserve"> OPT</w:t>
        </w:r>
        <w:r w:rsidR="00451CB3">
          <w:rPr>
            <w:rStyle w:val="Hyperlink"/>
          </w:rPr>
          <w:t>i</w:t>
        </w:r>
        <w:r w:rsidR="005F2FF5">
          <w:rPr>
            <w:rStyle w:val="Hyperlink"/>
          </w:rPr>
          <w:t>ns</w:t>
        </w:r>
      </w:hyperlink>
      <w:r w:rsidR="005F2FF5">
        <w:t xml:space="preserve"> .</w:t>
      </w:r>
    </w:p>
    <w:p w14:paraId="6E3B59C8" w14:textId="77777777" w:rsidR="000029C9" w:rsidRDefault="000029C9" w:rsidP="000029C9"/>
    <w:p w14:paraId="75F032CE" w14:textId="479602F9" w:rsidR="000029C9" w:rsidRPr="00C25844" w:rsidRDefault="000029C9" w:rsidP="000029C9">
      <w:r>
        <w:t xml:space="preserve">All </w:t>
      </w:r>
      <w:r w:rsidR="00A14A3A">
        <w:t xml:space="preserve">foreign company </w:t>
      </w:r>
      <w:r>
        <w:t xml:space="preserve">renewal documents are to be emailed to </w:t>
      </w:r>
      <w:hyperlink r:id="rId13" w:history="1">
        <w:r w:rsidRPr="00E53976">
          <w:rPr>
            <w:rStyle w:val="Hyperlink"/>
          </w:rPr>
          <w:t>Companies.Mailbox@mass.gov</w:t>
        </w:r>
      </w:hyperlink>
      <w:r>
        <w:t>. This address is to be used for all</w:t>
      </w:r>
      <w:r w:rsidR="00A14A3A">
        <w:t xml:space="preserve"> </w:t>
      </w:r>
      <w:proofErr w:type="gramStart"/>
      <w:r w:rsidR="00A14A3A">
        <w:t xml:space="preserve">foreign </w:t>
      </w:r>
      <w:r>
        <w:t xml:space="preserve"> regulatory</w:t>
      </w:r>
      <w:proofErr w:type="gramEnd"/>
      <w:r>
        <w:t xml:space="preserve"> filings </w:t>
      </w:r>
      <w:r w:rsidR="00A14A3A">
        <w:t xml:space="preserve">and documents </w:t>
      </w:r>
      <w:r>
        <w:rPr>
          <w:b/>
        </w:rPr>
        <w:t xml:space="preserve">except </w:t>
      </w:r>
      <w:r>
        <w:rPr>
          <w:bCs/>
        </w:rPr>
        <w:t xml:space="preserve">payments. </w:t>
      </w:r>
    </w:p>
    <w:p w14:paraId="1ADA116F" w14:textId="77777777" w:rsidR="000029C9" w:rsidRDefault="000029C9" w:rsidP="000029C9">
      <w:pPr>
        <w:rPr>
          <w:bCs/>
        </w:rPr>
      </w:pPr>
    </w:p>
    <w:p w14:paraId="4A38B589" w14:textId="77777777" w:rsidR="00A44BA9" w:rsidRDefault="00A44BA9" w:rsidP="00F343FD">
      <w:pPr>
        <w:rPr>
          <w:b/>
        </w:rPr>
      </w:pPr>
    </w:p>
    <w:p w14:paraId="341373D4" w14:textId="77777777" w:rsidR="002C67F0" w:rsidRPr="002C06FE" w:rsidRDefault="00F343FD" w:rsidP="004E6605">
      <w:pPr>
        <w:rPr>
          <w:b/>
        </w:rPr>
      </w:pPr>
      <w:r w:rsidRPr="002C06FE">
        <w:rPr>
          <w:b/>
        </w:rPr>
        <w:t xml:space="preserve">Note </w:t>
      </w:r>
      <w:r w:rsidR="00B15EA3">
        <w:rPr>
          <w:b/>
        </w:rPr>
        <w:t>4</w:t>
      </w:r>
      <w:r w:rsidR="002C67F0">
        <w:rPr>
          <w:b/>
        </w:rPr>
        <w:t xml:space="preserve">: </w:t>
      </w:r>
      <w:r w:rsidR="002C67F0" w:rsidRPr="002C06FE">
        <w:rPr>
          <w:b/>
        </w:rPr>
        <w:t>Claims in Suit</w:t>
      </w:r>
    </w:p>
    <w:p w14:paraId="7C992DC5" w14:textId="017946CA" w:rsidR="00F343FD" w:rsidRPr="002C06FE" w:rsidRDefault="007520D0" w:rsidP="007520D0">
      <w:pPr>
        <w:tabs>
          <w:tab w:val="left" w:pos="5690"/>
        </w:tabs>
        <w:rPr>
          <w:b/>
        </w:rPr>
      </w:pPr>
      <w:r>
        <w:rPr>
          <w:b/>
        </w:rPr>
        <w:tab/>
      </w:r>
    </w:p>
    <w:p w14:paraId="45FD8724" w14:textId="772AF498" w:rsidR="00F343FD" w:rsidRDefault="00F343FD" w:rsidP="00A16420">
      <w:pPr>
        <w:ind w:left="720"/>
      </w:pPr>
      <w:r w:rsidRPr="004A4B85">
        <w:lastRenderedPageBreak/>
        <w:t>M.G.L. Chapter 175, Section 27</w:t>
      </w:r>
      <w:r>
        <w:t>, requires that the Company prepare a schedule showing all Massachusetts</w:t>
      </w:r>
      <w:r w:rsidR="002C06FE">
        <w:t xml:space="preserve"> </w:t>
      </w:r>
      <w:r>
        <w:t>claims in suit during the year, including suits disposed of during the year and those</w:t>
      </w:r>
      <w:r w:rsidR="002C06FE">
        <w:t xml:space="preserve"> </w:t>
      </w:r>
      <w:r>
        <w:t>outstanding at year end.  This schedule relates only to policyholders' suits against the Company.  Do not</w:t>
      </w:r>
      <w:r w:rsidR="002C06FE">
        <w:t xml:space="preserve"> </w:t>
      </w:r>
      <w:r>
        <w:t>include suits against an insured defended by the Company under liability policies.  Insert the amount</w:t>
      </w:r>
      <w:r w:rsidR="002C06FE">
        <w:t xml:space="preserve"> </w:t>
      </w:r>
      <w:r>
        <w:t>presented in the proof of claim if Ad Damnum and amount claimed differ.  For companies writing fidelity</w:t>
      </w:r>
      <w:r w:rsidR="002C06FE">
        <w:t xml:space="preserve"> </w:t>
      </w:r>
      <w:r>
        <w:t>and surety lines, the schedule must show all suits against bonds issued by the Company. The schedule</w:t>
      </w:r>
      <w:r w:rsidR="002C06FE">
        <w:t xml:space="preserve"> </w:t>
      </w:r>
      <w:r>
        <w:t>shall reflect the following information:</w:t>
      </w:r>
    </w:p>
    <w:p w14:paraId="2A3656BB" w14:textId="77777777" w:rsidR="00900E1D" w:rsidRDefault="00900E1D" w:rsidP="006A1F02">
      <w:pPr>
        <w:ind w:left="720"/>
      </w:pPr>
    </w:p>
    <w:p w14:paraId="01AA17EF" w14:textId="77777777" w:rsidR="00F343FD" w:rsidRDefault="00F343FD" w:rsidP="00900E1D">
      <w:pPr>
        <w:ind w:left="2074"/>
      </w:pPr>
      <w:r>
        <w:t>1</w:t>
      </w:r>
      <w:r>
        <w:tab/>
        <w:t>Policy/Bond Number</w:t>
      </w:r>
    </w:p>
    <w:p w14:paraId="7564D0B0" w14:textId="77777777" w:rsidR="00F343FD" w:rsidRDefault="00F343FD" w:rsidP="00900E1D">
      <w:pPr>
        <w:ind w:left="2074"/>
      </w:pPr>
      <w:r>
        <w:t>2</w:t>
      </w:r>
      <w:r>
        <w:tab/>
        <w:t>Date of Loss</w:t>
      </w:r>
    </w:p>
    <w:p w14:paraId="37A6D7DD" w14:textId="77777777" w:rsidR="00F343FD" w:rsidRDefault="00F343FD" w:rsidP="00900E1D">
      <w:pPr>
        <w:ind w:left="2074"/>
      </w:pPr>
      <w:r>
        <w:t>3</w:t>
      </w:r>
      <w:r>
        <w:tab/>
        <w:t>Date of Notice of Suit</w:t>
      </w:r>
    </w:p>
    <w:p w14:paraId="16B41C45" w14:textId="77777777" w:rsidR="00F343FD" w:rsidRDefault="00F343FD" w:rsidP="00900E1D">
      <w:pPr>
        <w:ind w:left="2074"/>
      </w:pPr>
      <w:r>
        <w:t>4</w:t>
      </w:r>
      <w:r>
        <w:tab/>
        <w:t>Amount Claimed</w:t>
      </w:r>
    </w:p>
    <w:p w14:paraId="16AD3486" w14:textId="77777777" w:rsidR="00F343FD" w:rsidRDefault="00F343FD" w:rsidP="00900E1D">
      <w:pPr>
        <w:ind w:left="2074"/>
      </w:pPr>
      <w:r>
        <w:t>5</w:t>
      </w:r>
      <w:r>
        <w:tab/>
        <w:t>Amount Paid to Claimant to Date</w:t>
      </w:r>
    </w:p>
    <w:p w14:paraId="0DC4A7AA" w14:textId="77777777" w:rsidR="00F343FD" w:rsidRDefault="00F343FD" w:rsidP="00900E1D">
      <w:pPr>
        <w:ind w:left="2074"/>
      </w:pPr>
      <w:r>
        <w:t>6</w:t>
      </w:r>
      <w:r>
        <w:tab/>
        <w:t>Name of Local Attorney in Charge of Case</w:t>
      </w:r>
    </w:p>
    <w:p w14:paraId="4C60D3F6" w14:textId="77777777" w:rsidR="00F343FD" w:rsidRDefault="00F343FD" w:rsidP="00900E1D">
      <w:pPr>
        <w:ind w:left="2074"/>
      </w:pPr>
      <w:r>
        <w:t>7</w:t>
      </w:r>
      <w:r>
        <w:tab/>
        <w:t>Reason for Resisting Claim</w:t>
      </w:r>
    </w:p>
    <w:p w14:paraId="39B06ED7" w14:textId="77777777" w:rsidR="00F343FD" w:rsidRPr="00070648" w:rsidRDefault="00F343FD" w:rsidP="006A1F02">
      <w:pPr>
        <w:ind w:left="720"/>
      </w:pPr>
    </w:p>
    <w:p w14:paraId="1C8F2BDA" w14:textId="77777777" w:rsidR="00E203FD" w:rsidRDefault="00F343FD" w:rsidP="006A1F02">
      <w:pPr>
        <w:ind w:left="720"/>
      </w:pPr>
      <w:r>
        <w:t>If there are no suits in process, the schedule must so indicate.</w:t>
      </w:r>
    </w:p>
    <w:p w14:paraId="6B477AF2" w14:textId="77777777" w:rsidR="00E203FD" w:rsidRDefault="00E203FD" w:rsidP="006A1F02">
      <w:pPr>
        <w:ind w:left="720"/>
      </w:pPr>
    </w:p>
    <w:p w14:paraId="6E675B21" w14:textId="3BECAB67" w:rsidR="00147296" w:rsidRPr="00147296" w:rsidRDefault="00147296" w:rsidP="006A1F02">
      <w:pPr>
        <w:ind w:left="720"/>
        <w:rPr>
          <w:b/>
          <w:bCs/>
        </w:rPr>
      </w:pPr>
      <w:r w:rsidRPr="00147296">
        <w:rPr>
          <w:b/>
          <w:bCs/>
        </w:rPr>
        <w:t xml:space="preserve">Domestic insurers should submit this filing to </w:t>
      </w:r>
      <w:hyperlink r:id="rId14" w:history="1"/>
      <w:r w:rsidRPr="00147296">
        <w:rPr>
          <w:b/>
          <w:bCs/>
        </w:rPr>
        <w:t xml:space="preserve"> </w:t>
      </w:r>
      <w:hyperlink r:id="rId15" w:history="1">
        <w:r w:rsidRPr="00147296">
          <w:rPr>
            <w:rStyle w:val="Hyperlink"/>
            <w:b/>
            <w:bCs/>
          </w:rPr>
          <w:t>doi.domestic.companies@mass.gov</w:t>
        </w:r>
      </w:hyperlink>
      <w:r w:rsidRPr="00147296">
        <w:rPr>
          <w:b/>
          <w:bCs/>
        </w:rPr>
        <w:t>.</w:t>
      </w:r>
    </w:p>
    <w:p w14:paraId="12BDF8CC" w14:textId="77777777" w:rsidR="00147296" w:rsidRPr="00147296" w:rsidRDefault="00147296" w:rsidP="006A1F02">
      <w:pPr>
        <w:ind w:left="720"/>
        <w:rPr>
          <w:b/>
          <w:bCs/>
        </w:rPr>
      </w:pPr>
    </w:p>
    <w:p w14:paraId="40990C37" w14:textId="46688306" w:rsidR="00F343FD" w:rsidRPr="00147296" w:rsidRDefault="00147296" w:rsidP="006A1F02">
      <w:pPr>
        <w:ind w:left="720"/>
        <w:rPr>
          <w:b/>
          <w:bCs/>
        </w:rPr>
      </w:pPr>
      <w:r w:rsidRPr="00147296">
        <w:rPr>
          <w:b/>
          <w:bCs/>
        </w:rPr>
        <w:t xml:space="preserve">Foreign insurers should submit this filing to </w:t>
      </w:r>
      <w:hyperlink r:id="rId16" w:history="1">
        <w:r w:rsidRPr="00147296">
          <w:rPr>
            <w:rStyle w:val="Hyperlink"/>
            <w:b/>
            <w:bCs/>
          </w:rPr>
          <w:t>companies.mailbox@mass.gov</w:t>
        </w:r>
      </w:hyperlink>
      <w:r w:rsidRPr="00147296">
        <w:rPr>
          <w:b/>
          <w:bCs/>
        </w:rPr>
        <w:t xml:space="preserve">. </w:t>
      </w:r>
    </w:p>
    <w:p w14:paraId="6F320216" w14:textId="77777777" w:rsidR="00147296" w:rsidRPr="00147296" w:rsidRDefault="00147296" w:rsidP="006A1F02">
      <w:pPr>
        <w:ind w:left="720"/>
        <w:rPr>
          <w:b/>
          <w:bCs/>
        </w:rPr>
      </w:pPr>
    </w:p>
    <w:p w14:paraId="4A767937" w14:textId="77777777" w:rsidR="00B0602E" w:rsidRDefault="00B0602E" w:rsidP="00F343FD">
      <w:pPr>
        <w:rPr>
          <w:b/>
        </w:rPr>
      </w:pPr>
    </w:p>
    <w:p w14:paraId="557B7C21" w14:textId="77777777" w:rsidR="002C67F0" w:rsidRPr="002C06FE" w:rsidRDefault="00F343FD" w:rsidP="001A1146">
      <w:pPr>
        <w:rPr>
          <w:b/>
        </w:rPr>
      </w:pPr>
      <w:r w:rsidRPr="002C06FE">
        <w:rPr>
          <w:b/>
        </w:rPr>
        <w:t xml:space="preserve">Note </w:t>
      </w:r>
      <w:r w:rsidR="00B15EA3">
        <w:rPr>
          <w:b/>
        </w:rPr>
        <w:t>5</w:t>
      </w:r>
      <w:r w:rsidR="002C67F0">
        <w:rPr>
          <w:b/>
        </w:rPr>
        <w:t xml:space="preserve">: </w:t>
      </w:r>
      <w:r w:rsidR="002C67F0" w:rsidRPr="002C06FE">
        <w:rPr>
          <w:b/>
        </w:rPr>
        <w:t>Form AR - 1 Certificate of Assuming Insurer</w:t>
      </w:r>
    </w:p>
    <w:p w14:paraId="3E1507A6" w14:textId="7D55E2C3" w:rsidR="00F343FD" w:rsidRPr="002C06FE" w:rsidRDefault="00F343FD" w:rsidP="00F343FD">
      <w:pPr>
        <w:rPr>
          <w:b/>
        </w:rPr>
      </w:pPr>
    </w:p>
    <w:p w14:paraId="10861D4E" w14:textId="1CE7E386" w:rsidR="00F343FD" w:rsidRDefault="00F343FD" w:rsidP="00803390">
      <w:pPr>
        <w:ind w:left="720"/>
      </w:pPr>
      <w:r>
        <w:t>This form is required to be filed by those companies that are Accredited Reinsurers only</w:t>
      </w:r>
      <w:r w:rsidR="0064705B">
        <w:t xml:space="preserve"> and should be submitted to </w:t>
      </w:r>
      <w:hyperlink r:id="rId17" w:history="1">
        <w:r w:rsidR="00210EA1" w:rsidRPr="001F7A66">
          <w:rPr>
            <w:rStyle w:val="Hyperlink"/>
          </w:rPr>
          <w:t>companies.mailbox@mass.gov</w:t>
        </w:r>
      </w:hyperlink>
      <w:r w:rsidR="00210EA1">
        <w:t xml:space="preserve">. </w:t>
      </w:r>
    </w:p>
    <w:p w14:paraId="42CBE3AF" w14:textId="77777777" w:rsidR="00210EA1" w:rsidRDefault="00210EA1" w:rsidP="00803390">
      <w:pPr>
        <w:ind w:left="720"/>
      </w:pPr>
    </w:p>
    <w:p w14:paraId="041EEDB7" w14:textId="77777777" w:rsidR="00B0602E" w:rsidRPr="00070648" w:rsidRDefault="00B0602E" w:rsidP="00F343FD"/>
    <w:p w14:paraId="097AA2A7" w14:textId="77777777" w:rsidR="002C67F0" w:rsidRPr="002C06FE" w:rsidRDefault="00F343FD" w:rsidP="001A1146">
      <w:pPr>
        <w:rPr>
          <w:b/>
        </w:rPr>
      </w:pPr>
      <w:r w:rsidRPr="002C06FE">
        <w:rPr>
          <w:b/>
        </w:rPr>
        <w:t xml:space="preserve">Note </w:t>
      </w:r>
      <w:r w:rsidR="00B15EA3">
        <w:rPr>
          <w:b/>
        </w:rPr>
        <w:t>6</w:t>
      </w:r>
      <w:r w:rsidR="002C67F0">
        <w:rPr>
          <w:b/>
        </w:rPr>
        <w:t xml:space="preserve">: </w:t>
      </w:r>
      <w:r w:rsidR="002C67F0" w:rsidRPr="002C06FE">
        <w:rPr>
          <w:b/>
        </w:rPr>
        <w:t>Workers' Compensation Schedule C - 1</w:t>
      </w:r>
    </w:p>
    <w:p w14:paraId="319237AF" w14:textId="40BE9C9C" w:rsidR="00F343FD" w:rsidRPr="002C06FE" w:rsidRDefault="00F343FD" w:rsidP="00F343FD">
      <w:pPr>
        <w:rPr>
          <w:b/>
        </w:rPr>
      </w:pPr>
    </w:p>
    <w:p w14:paraId="2ACE1E19" w14:textId="77777777" w:rsidR="00F343FD" w:rsidRDefault="00F343FD" w:rsidP="00A16420">
      <w:pPr>
        <w:ind w:left="720"/>
      </w:pPr>
      <w:r>
        <w:t>This form is required to be filed by any foreign Company authorized for Workers' Compensation in</w:t>
      </w:r>
      <w:r w:rsidR="002C06FE">
        <w:t xml:space="preserve"> </w:t>
      </w:r>
      <w:r>
        <w:t>Massachusetts that has an AM Best Rating of "B++" or lower.</w:t>
      </w:r>
    </w:p>
    <w:p w14:paraId="40656CF0" w14:textId="77777777" w:rsidR="00F343FD" w:rsidRPr="00070648" w:rsidRDefault="00F343FD" w:rsidP="00A16420">
      <w:pPr>
        <w:ind w:left="720"/>
      </w:pPr>
    </w:p>
    <w:p w14:paraId="0BF0DB1C" w14:textId="5C4B01C6" w:rsidR="00446FB9" w:rsidRPr="00B0602E" w:rsidRDefault="002C06FE" w:rsidP="00F93AC5">
      <w:r>
        <w:t xml:space="preserve">This form is not required to be filed by any foreign Company authorized for Workers' Compensation in Massachusetts that has an AM Best Rating of "A-" or higher.  </w:t>
      </w:r>
      <w:r w:rsidR="00F343FD">
        <w:t>The required Workers' Compensation</w:t>
      </w:r>
      <w:r>
        <w:t xml:space="preserve"> </w:t>
      </w:r>
      <w:r w:rsidR="00F343FD">
        <w:t>deposit for these companies is $50,0</w:t>
      </w:r>
      <w:r w:rsidR="00446FB9">
        <w:t>00.00.</w:t>
      </w:r>
    </w:p>
    <w:p w14:paraId="478683D7" w14:textId="4585D25A" w:rsidR="1F1302FE" w:rsidRDefault="1F1302FE" w:rsidP="1F1302FE"/>
    <w:p w14:paraId="7513AB26" w14:textId="77777777" w:rsidR="002C67F0" w:rsidRPr="002C06FE" w:rsidRDefault="00F343FD" w:rsidP="001A1146">
      <w:pPr>
        <w:rPr>
          <w:b/>
        </w:rPr>
      </w:pPr>
      <w:r w:rsidRPr="002C06FE">
        <w:rPr>
          <w:b/>
        </w:rPr>
        <w:t xml:space="preserve">Note </w:t>
      </w:r>
      <w:r w:rsidR="00B15EA3">
        <w:rPr>
          <w:b/>
        </w:rPr>
        <w:t>7</w:t>
      </w:r>
      <w:r w:rsidR="002C67F0">
        <w:rPr>
          <w:b/>
        </w:rPr>
        <w:t xml:space="preserve">: </w:t>
      </w:r>
      <w:r w:rsidR="002C67F0" w:rsidRPr="002C06FE">
        <w:rPr>
          <w:b/>
        </w:rPr>
        <w:t xml:space="preserve">Holding Company Registration Statement (Except for </w:t>
      </w:r>
      <w:proofErr w:type="gramStart"/>
      <w:r w:rsidR="002C67F0" w:rsidRPr="002C06FE">
        <w:rPr>
          <w:b/>
        </w:rPr>
        <w:t>HMO's</w:t>
      </w:r>
      <w:proofErr w:type="gramEnd"/>
      <w:r w:rsidR="002C67F0" w:rsidRPr="002C06FE">
        <w:rPr>
          <w:b/>
        </w:rPr>
        <w:t>)</w:t>
      </w:r>
    </w:p>
    <w:p w14:paraId="0E99BE47" w14:textId="25A598A7" w:rsidR="002C67F0" w:rsidRPr="002C06FE" w:rsidRDefault="002C67F0" w:rsidP="002C67F0">
      <w:pPr>
        <w:ind w:left="720"/>
        <w:rPr>
          <w:b/>
        </w:rPr>
      </w:pPr>
      <w:r>
        <w:rPr>
          <w:b/>
        </w:rPr>
        <w:t xml:space="preserve"> </w:t>
      </w:r>
      <w:r w:rsidRPr="002C06FE">
        <w:rPr>
          <w:b/>
        </w:rPr>
        <w:t xml:space="preserve">Holding Company Registration Statement Affidavit (Except for </w:t>
      </w:r>
      <w:proofErr w:type="gramStart"/>
      <w:r w:rsidRPr="002C06FE">
        <w:rPr>
          <w:b/>
        </w:rPr>
        <w:t>HMO's</w:t>
      </w:r>
      <w:proofErr w:type="gramEnd"/>
      <w:r w:rsidRPr="002C06FE">
        <w:rPr>
          <w:b/>
        </w:rPr>
        <w:t>)</w:t>
      </w:r>
    </w:p>
    <w:p w14:paraId="7849E58B" w14:textId="3B256BCE" w:rsidR="00F343FD" w:rsidRPr="002C06FE" w:rsidRDefault="00F343FD" w:rsidP="00F343FD">
      <w:pPr>
        <w:rPr>
          <w:b/>
        </w:rPr>
      </w:pPr>
    </w:p>
    <w:p w14:paraId="0A06E819" w14:textId="77777777" w:rsidR="00F343FD" w:rsidRDefault="00F343FD" w:rsidP="00A16420">
      <w:pPr>
        <w:ind w:left="720"/>
      </w:pPr>
      <w:r w:rsidRPr="00F745B1">
        <w:t>M.G.L. Chapter 175, Section 206C</w:t>
      </w:r>
      <w:r>
        <w:t>, requires every insurer that is authorized to do business in</w:t>
      </w:r>
      <w:r w:rsidR="002C06FE">
        <w:t xml:space="preserve"> </w:t>
      </w:r>
      <w:proofErr w:type="gramStart"/>
      <w:r>
        <w:t>Massachusetts</w:t>
      </w:r>
      <w:proofErr w:type="gramEnd"/>
      <w:r>
        <w:t xml:space="preserve"> and which is a member of an insurance holding company system to register with</w:t>
      </w:r>
      <w:r w:rsidR="002C06FE">
        <w:t xml:space="preserve"> </w:t>
      </w:r>
      <w:r>
        <w:t>the Commissioner.  Foreign companies that file a registration statement under the laws of their</w:t>
      </w:r>
      <w:r w:rsidR="002C06FE">
        <w:t xml:space="preserve"> </w:t>
      </w:r>
      <w:r>
        <w:t xml:space="preserve">domiciliary state, with disclosure requirements and </w:t>
      </w:r>
      <w:r>
        <w:lastRenderedPageBreak/>
        <w:t xml:space="preserve">standards substantially </w:t>
      </w:r>
      <w:proofErr w:type="gramStart"/>
      <w:r>
        <w:t>similar to</w:t>
      </w:r>
      <w:proofErr w:type="gramEnd"/>
      <w:r>
        <w:t xml:space="preserve"> those prescribed</w:t>
      </w:r>
      <w:r w:rsidR="002C06FE">
        <w:t xml:space="preserve"> </w:t>
      </w:r>
      <w:r>
        <w:t>in Section 206C, are exempt from the filing requirement provided the domiciliary state grants a similar</w:t>
      </w:r>
      <w:r w:rsidR="002C06FE">
        <w:t xml:space="preserve"> </w:t>
      </w:r>
      <w:r>
        <w:t>exemption for insurers domiciled in Massachusetts.</w:t>
      </w:r>
    </w:p>
    <w:p w14:paraId="4602B71C" w14:textId="77777777" w:rsidR="00F343FD" w:rsidRPr="00070648" w:rsidRDefault="00F343FD" w:rsidP="00A16420">
      <w:pPr>
        <w:ind w:left="720"/>
      </w:pPr>
    </w:p>
    <w:p w14:paraId="71379791" w14:textId="11B72318" w:rsidR="00F343FD" w:rsidRDefault="00F343FD" w:rsidP="00803390">
      <w:pPr>
        <w:ind w:left="720"/>
      </w:pPr>
      <w:r>
        <w:t xml:space="preserve">Foreign companies qualifying for this exemption must complete the </w:t>
      </w:r>
      <w:r w:rsidRPr="002C06FE">
        <w:rPr>
          <w:b/>
        </w:rPr>
        <w:t>Holding Company Registration</w:t>
      </w:r>
      <w:r w:rsidR="002C06FE" w:rsidRPr="002C06FE">
        <w:rPr>
          <w:b/>
        </w:rPr>
        <w:t xml:space="preserve"> </w:t>
      </w:r>
      <w:r w:rsidRPr="002C06FE">
        <w:rPr>
          <w:b/>
        </w:rPr>
        <w:t>Statement Affidavit</w:t>
      </w:r>
      <w:r>
        <w:t xml:space="preserve">, attesting that a registration statement has been filed with </w:t>
      </w:r>
      <w:proofErr w:type="gramStart"/>
      <w:r>
        <w:t>an appropriate</w:t>
      </w:r>
      <w:proofErr w:type="gramEnd"/>
      <w:r>
        <w:t xml:space="preserve"> state</w:t>
      </w:r>
      <w:r w:rsidR="002C06FE">
        <w:t xml:space="preserve"> </w:t>
      </w:r>
      <w:r>
        <w:t>regulatory authority.  The affidavit must be signed by an officer of the Company</w:t>
      </w:r>
      <w:r w:rsidR="00F14759">
        <w:t xml:space="preserve"> and submitted to </w:t>
      </w:r>
      <w:hyperlink r:id="rId18" w:history="1">
        <w:r w:rsidR="00F14759" w:rsidRPr="001F7A66">
          <w:rPr>
            <w:rStyle w:val="Hyperlink"/>
          </w:rPr>
          <w:t>companies.mailbox@mass.gov</w:t>
        </w:r>
      </w:hyperlink>
    </w:p>
    <w:p w14:paraId="7CBE932D" w14:textId="77777777" w:rsidR="00F343FD" w:rsidRPr="00070648" w:rsidRDefault="00F343FD" w:rsidP="00803390">
      <w:pPr>
        <w:ind w:left="720"/>
      </w:pPr>
    </w:p>
    <w:p w14:paraId="36212F24" w14:textId="6B656AE7" w:rsidR="00F343FD" w:rsidRDefault="00F343FD" w:rsidP="00803390">
      <w:pPr>
        <w:ind w:left="720"/>
      </w:pPr>
      <w:r>
        <w:t>Non-exempt foreign companies shall prepare and submit the registration statement required by Section 206C</w:t>
      </w:r>
      <w:r w:rsidR="005C1548">
        <w:t xml:space="preserve"> to </w:t>
      </w:r>
      <w:hyperlink r:id="rId19" w:history="1">
        <w:r w:rsidR="005C1548" w:rsidRPr="001F7A66">
          <w:rPr>
            <w:rStyle w:val="Hyperlink"/>
          </w:rPr>
          <w:t>companies.mailbox@mass.gov</w:t>
        </w:r>
      </w:hyperlink>
      <w:r w:rsidR="005C1548">
        <w:t xml:space="preserve">. </w:t>
      </w:r>
    </w:p>
    <w:p w14:paraId="7F557B3B" w14:textId="77777777" w:rsidR="005C1548" w:rsidRDefault="005C1548" w:rsidP="00803390">
      <w:pPr>
        <w:ind w:left="720"/>
      </w:pPr>
    </w:p>
    <w:p w14:paraId="321A536B" w14:textId="77777777" w:rsidR="00F343FD" w:rsidRPr="00070648" w:rsidRDefault="00F343FD" w:rsidP="00A16420">
      <w:pPr>
        <w:ind w:left="720"/>
      </w:pPr>
    </w:p>
    <w:p w14:paraId="36FEF375" w14:textId="77777777" w:rsidR="00F343FD" w:rsidRDefault="00F343FD" w:rsidP="00A16420">
      <w:pPr>
        <w:ind w:left="720"/>
      </w:pPr>
      <w:r>
        <w:t>If the filing of a holding company registration statement or affidavit does not apply to the Company, it should</w:t>
      </w:r>
      <w:r w:rsidR="002C06FE">
        <w:t xml:space="preserve"> </w:t>
      </w:r>
      <w:r>
        <w:t>be so reported along with the reason(s) for non-applicability.</w:t>
      </w:r>
    </w:p>
    <w:p w14:paraId="6DCEA332" w14:textId="77777777" w:rsidR="00BE7247" w:rsidRDefault="00BE7247" w:rsidP="00F343FD"/>
    <w:p w14:paraId="2B57B13F" w14:textId="77777777" w:rsidR="00F343FD" w:rsidRPr="002C06FE" w:rsidRDefault="00F343FD" w:rsidP="00803390">
      <w:pPr>
        <w:ind w:left="720"/>
        <w:rPr>
          <w:b/>
        </w:rPr>
      </w:pPr>
      <w:r w:rsidRPr="002C06FE">
        <w:rPr>
          <w:b/>
        </w:rPr>
        <w:t>HMO Holding Company Registration Statement</w:t>
      </w:r>
    </w:p>
    <w:p w14:paraId="5E378FEF" w14:textId="77777777" w:rsidR="00F343FD" w:rsidRDefault="00F343FD" w:rsidP="00803390">
      <w:pPr>
        <w:ind w:left="720"/>
      </w:pPr>
      <w:r w:rsidRPr="004A4B85">
        <w:t>M.G.L. Chapter 176G, Section 28,</w:t>
      </w:r>
      <w:r>
        <w:t xml:space="preserve"> requires every health maintenance organization </w:t>
      </w:r>
      <w:r w:rsidR="002C06FE">
        <w:t>t</w:t>
      </w:r>
      <w:r>
        <w:t>hat is authorized to do</w:t>
      </w:r>
      <w:r w:rsidR="002C06FE">
        <w:t xml:space="preserve"> </w:t>
      </w:r>
      <w:r>
        <w:t xml:space="preserve">business in </w:t>
      </w:r>
      <w:proofErr w:type="gramStart"/>
      <w:r>
        <w:t>Massachusetts</w:t>
      </w:r>
      <w:proofErr w:type="gramEnd"/>
      <w:r>
        <w:t xml:space="preserve"> and which is a member of a health maintenance organization holding company</w:t>
      </w:r>
      <w:r w:rsidR="002C06FE">
        <w:t xml:space="preserve"> </w:t>
      </w:r>
      <w:r>
        <w:t>system to register with the Commissioner.  Foreign health maintenance organizations that file a registration</w:t>
      </w:r>
      <w:r w:rsidR="002C06FE">
        <w:t xml:space="preserve"> </w:t>
      </w:r>
      <w:r>
        <w:t>statement under the laws of their domiciliary state, with disclosure requirements and standards substantially</w:t>
      </w:r>
      <w:r w:rsidR="002C06FE">
        <w:t xml:space="preserve"> </w:t>
      </w:r>
      <w:proofErr w:type="gramStart"/>
      <w:r>
        <w:t>similar to</w:t>
      </w:r>
      <w:proofErr w:type="gramEnd"/>
      <w:r>
        <w:t xml:space="preserve"> those prescribed in Section 28, are exempt from the filing requirement.</w:t>
      </w:r>
    </w:p>
    <w:p w14:paraId="149999B2" w14:textId="77777777" w:rsidR="00F343FD" w:rsidRPr="00070648" w:rsidRDefault="00F343FD" w:rsidP="00803390">
      <w:pPr>
        <w:ind w:left="720"/>
      </w:pPr>
    </w:p>
    <w:p w14:paraId="63A9FB48" w14:textId="77777777" w:rsidR="00F343FD" w:rsidRDefault="00F343FD" w:rsidP="00803390">
      <w:pPr>
        <w:ind w:left="720"/>
      </w:pPr>
      <w:r>
        <w:t>If the filing of a holding company registration statement does not apply to the HMO, it should be so reported</w:t>
      </w:r>
      <w:r w:rsidR="002C06FE">
        <w:t xml:space="preserve"> </w:t>
      </w:r>
      <w:r>
        <w:t>along with the reason(s) for non-applicability.</w:t>
      </w:r>
    </w:p>
    <w:p w14:paraId="0B19ED26" w14:textId="77777777" w:rsidR="002146A5" w:rsidRDefault="002146A5" w:rsidP="00803390">
      <w:pPr>
        <w:ind w:left="720"/>
      </w:pPr>
    </w:p>
    <w:p w14:paraId="7CAB852C" w14:textId="77777777" w:rsidR="00F343FD" w:rsidRDefault="002146A5" w:rsidP="004F5AF4">
      <w:pPr>
        <w:ind w:left="720"/>
      </w:pPr>
      <w:r w:rsidRPr="00D85C0C">
        <w:t xml:space="preserve">Form F is a state filing </w:t>
      </w:r>
      <w:r w:rsidRPr="004F5AF4">
        <w:rPr>
          <w:u w:val="single"/>
        </w:rPr>
        <w:t>only</w:t>
      </w:r>
      <w:r w:rsidRPr="00D85C0C">
        <w:t xml:space="preserve"> and should </w:t>
      </w:r>
      <w:r w:rsidRPr="00D85C0C">
        <w:rPr>
          <w:u w:val="single"/>
        </w:rPr>
        <w:t>not</w:t>
      </w:r>
      <w:r w:rsidRPr="00D85C0C">
        <w:t xml:space="preserve"> be submitted by the company to the NAIC.  Note </w:t>
      </w:r>
      <w:r>
        <w:t>as well</w:t>
      </w:r>
      <w:r w:rsidRPr="00D85C0C">
        <w:t xml:space="preserve"> that this filing is intended to be submitted to </w:t>
      </w:r>
      <w:r>
        <w:t xml:space="preserve">only </w:t>
      </w:r>
      <w:r w:rsidRPr="00D85C0C">
        <w:t xml:space="preserve">the lead state.  For more information on lead states, see the following NAIC URL: </w:t>
      </w:r>
      <w:hyperlink r:id="rId20" w:history="1">
        <w:r w:rsidRPr="00AD7C67">
          <w:rPr>
            <w:rStyle w:val="Hyperlink"/>
          </w:rPr>
          <w:t>http://www.naic.org/public_lead_state_report.htm</w:t>
        </w:r>
      </w:hyperlink>
    </w:p>
    <w:p w14:paraId="634B6D6C" w14:textId="77777777" w:rsidR="00C87159" w:rsidRDefault="00C87159" w:rsidP="004F5AF4">
      <w:pPr>
        <w:ind w:left="720"/>
      </w:pPr>
    </w:p>
    <w:p w14:paraId="656F1D56" w14:textId="794D4D6A" w:rsidR="00C87159" w:rsidRPr="00147296" w:rsidRDefault="00C87159" w:rsidP="00C87159">
      <w:pPr>
        <w:ind w:left="720"/>
        <w:rPr>
          <w:b/>
          <w:bCs/>
        </w:rPr>
      </w:pPr>
      <w:r w:rsidRPr="00147296">
        <w:rPr>
          <w:b/>
          <w:bCs/>
        </w:rPr>
        <w:t xml:space="preserve">Domestic </w:t>
      </w:r>
      <w:r w:rsidR="00D9482B">
        <w:rPr>
          <w:b/>
          <w:bCs/>
        </w:rPr>
        <w:t>Health Maintenance Organizations</w:t>
      </w:r>
      <w:r w:rsidRPr="00147296">
        <w:rPr>
          <w:b/>
          <w:bCs/>
        </w:rPr>
        <w:t xml:space="preserve"> should submit this filing to </w:t>
      </w:r>
      <w:hyperlink r:id="rId21" w:history="1"/>
      <w:r w:rsidRPr="00147296">
        <w:rPr>
          <w:b/>
          <w:bCs/>
        </w:rPr>
        <w:t xml:space="preserve"> </w:t>
      </w:r>
      <w:hyperlink r:id="rId22" w:history="1">
        <w:r w:rsidRPr="00147296">
          <w:rPr>
            <w:rStyle w:val="Hyperlink"/>
            <w:b/>
            <w:bCs/>
          </w:rPr>
          <w:t>doi.domestic.companies@mass.gov</w:t>
        </w:r>
      </w:hyperlink>
      <w:r w:rsidRPr="00147296">
        <w:rPr>
          <w:b/>
          <w:bCs/>
        </w:rPr>
        <w:t>.</w:t>
      </w:r>
    </w:p>
    <w:p w14:paraId="72C54A46" w14:textId="77777777" w:rsidR="00C87159" w:rsidRPr="00147296" w:rsidRDefault="00C87159" w:rsidP="00C87159">
      <w:pPr>
        <w:ind w:left="720"/>
        <w:rPr>
          <w:b/>
          <w:bCs/>
        </w:rPr>
      </w:pPr>
    </w:p>
    <w:p w14:paraId="15BF5E10" w14:textId="12FC4EDE" w:rsidR="00C87159" w:rsidRPr="00147296" w:rsidRDefault="00C87159" w:rsidP="00C87159">
      <w:pPr>
        <w:ind w:left="720"/>
        <w:rPr>
          <w:b/>
          <w:bCs/>
        </w:rPr>
      </w:pPr>
      <w:r w:rsidRPr="00147296">
        <w:rPr>
          <w:b/>
          <w:bCs/>
        </w:rPr>
        <w:t xml:space="preserve">Foreign </w:t>
      </w:r>
      <w:r w:rsidR="00D9482B">
        <w:rPr>
          <w:b/>
          <w:bCs/>
        </w:rPr>
        <w:t>Health Maintenance Organizations</w:t>
      </w:r>
      <w:r w:rsidR="00D9482B" w:rsidRPr="00147296">
        <w:rPr>
          <w:b/>
          <w:bCs/>
        </w:rPr>
        <w:t xml:space="preserve"> </w:t>
      </w:r>
      <w:r w:rsidRPr="00147296">
        <w:rPr>
          <w:b/>
          <w:bCs/>
        </w:rPr>
        <w:t xml:space="preserve">should submit this filing to </w:t>
      </w:r>
      <w:hyperlink r:id="rId23" w:history="1">
        <w:r w:rsidRPr="00147296">
          <w:rPr>
            <w:rStyle w:val="Hyperlink"/>
            <w:b/>
            <w:bCs/>
          </w:rPr>
          <w:t>companies.mailbox@mass.gov</w:t>
        </w:r>
      </w:hyperlink>
      <w:r w:rsidRPr="00147296">
        <w:rPr>
          <w:b/>
          <w:bCs/>
        </w:rPr>
        <w:t xml:space="preserve">. </w:t>
      </w:r>
    </w:p>
    <w:p w14:paraId="69883E63" w14:textId="77777777" w:rsidR="00C87159" w:rsidRPr="00147296" w:rsidRDefault="00C87159" w:rsidP="00C87159">
      <w:pPr>
        <w:ind w:left="720"/>
        <w:rPr>
          <w:b/>
          <w:bCs/>
        </w:rPr>
      </w:pPr>
    </w:p>
    <w:p w14:paraId="5B20D5EE" w14:textId="77777777" w:rsidR="002146A5" w:rsidRPr="00070648" w:rsidRDefault="002146A5" w:rsidP="00C87159"/>
    <w:p w14:paraId="4A70F4F5" w14:textId="77777777" w:rsidR="009E3E05" w:rsidRDefault="00F343FD" w:rsidP="00F343FD">
      <w:pPr>
        <w:rPr>
          <w:b/>
        </w:rPr>
      </w:pPr>
      <w:r w:rsidRPr="002C06FE">
        <w:rPr>
          <w:b/>
        </w:rPr>
        <w:t xml:space="preserve">Note </w:t>
      </w:r>
      <w:r w:rsidR="00B15EA3">
        <w:rPr>
          <w:b/>
        </w:rPr>
        <w:t>8</w:t>
      </w:r>
      <w:r w:rsidR="009E3E05">
        <w:rPr>
          <w:b/>
        </w:rPr>
        <w:t>: Jurat Page</w:t>
      </w:r>
    </w:p>
    <w:p w14:paraId="15BBE980" w14:textId="03F433B9" w:rsidR="00F343FD" w:rsidRPr="002C06FE" w:rsidRDefault="00F343FD" w:rsidP="00F343FD">
      <w:pPr>
        <w:rPr>
          <w:b/>
        </w:rPr>
      </w:pPr>
      <w:r w:rsidRPr="002C06FE">
        <w:rPr>
          <w:b/>
        </w:rPr>
        <w:tab/>
      </w:r>
    </w:p>
    <w:p w14:paraId="05105329" w14:textId="5FE69890" w:rsidR="00F343FD" w:rsidRPr="00611E49" w:rsidRDefault="00F343FD" w:rsidP="00611E49">
      <w:pPr>
        <w:ind w:left="720"/>
        <w:rPr>
          <w:rStyle w:val="Hyperlink"/>
          <w:color w:val="auto"/>
          <w:sz w:val="16"/>
          <w:szCs w:val="16"/>
          <w:u w:val="none"/>
        </w:rPr>
      </w:pPr>
      <w:r>
        <w:t xml:space="preserve">Massachusetts </w:t>
      </w:r>
      <w:r w:rsidR="00CF1887">
        <w:t>does not require</w:t>
      </w:r>
      <w:r>
        <w:t xml:space="preserve"> </w:t>
      </w:r>
      <w:r w:rsidR="00852C2D">
        <w:t>electronic</w:t>
      </w:r>
      <w:r>
        <w:t xml:space="preserve"> copies of annual statements and related filings for </w:t>
      </w:r>
      <w:r w:rsidR="002C06FE">
        <w:t>a</w:t>
      </w:r>
      <w:r>
        <w:t>ll foreign</w:t>
      </w:r>
      <w:r w:rsidR="002C06FE">
        <w:t xml:space="preserve"> </w:t>
      </w:r>
      <w:r>
        <w:t xml:space="preserve">companies licensed or authorized in Massachusetts except Fraternal Benefit Societies and Health Maintenance Organizations. In lieu of </w:t>
      </w:r>
      <w:r w:rsidR="00852C2D">
        <w:t>electronic</w:t>
      </w:r>
      <w:r>
        <w:t xml:space="preserve"> copies, companies are required to file a Signed Jurat Page</w:t>
      </w:r>
      <w:r w:rsidR="002C06FE">
        <w:t xml:space="preserve"> </w:t>
      </w:r>
      <w:r>
        <w:t xml:space="preserve">on or before March </w:t>
      </w:r>
      <w:r w:rsidR="000A5816">
        <w:t>1</w:t>
      </w:r>
      <w:r>
        <w:t xml:space="preserve">, </w:t>
      </w:r>
      <w:r w:rsidR="005C58A3">
        <w:t>20</w:t>
      </w:r>
      <w:r w:rsidR="007E54BF">
        <w:t>2</w:t>
      </w:r>
      <w:r w:rsidR="00942BEB">
        <w:t>5</w:t>
      </w:r>
      <w:r>
        <w:t>.</w:t>
      </w:r>
      <w:r w:rsidR="002C06FE">
        <w:t xml:space="preserve">  </w:t>
      </w:r>
      <w:r>
        <w:t xml:space="preserve">The </w:t>
      </w:r>
      <w:r w:rsidR="00852C2D">
        <w:t xml:space="preserve">email </w:t>
      </w:r>
      <w:r>
        <w:t>address for the Signed Jurat Page is:</w:t>
      </w:r>
      <w:r w:rsidR="00611E49">
        <w:rPr>
          <w:sz w:val="16"/>
          <w:szCs w:val="16"/>
        </w:rPr>
        <w:t xml:space="preserve"> </w:t>
      </w:r>
      <w:hyperlink r:id="rId24" w:history="1">
        <w:r w:rsidR="00611E49" w:rsidRPr="001F7A66">
          <w:rPr>
            <w:rStyle w:val="Hyperlink"/>
          </w:rPr>
          <w:t>companies.mailbox@mass.gov</w:t>
        </w:r>
      </w:hyperlink>
      <w:r w:rsidR="00611E49">
        <w:t xml:space="preserve">. </w:t>
      </w:r>
    </w:p>
    <w:p w14:paraId="5E530A4F" w14:textId="77777777" w:rsidR="00B0602E" w:rsidRDefault="00B0602E" w:rsidP="00070648">
      <w:pPr>
        <w:rPr>
          <w:b/>
        </w:rPr>
      </w:pPr>
    </w:p>
    <w:p w14:paraId="2137CBB9" w14:textId="239B2F69" w:rsidR="002F7529" w:rsidRDefault="00070648" w:rsidP="003776B6">
      <w:pPr>
        <w:rPr>
          <w:b/>
        </w:rPr>
      </w:pPr>
      <w:r w:rsidRPr="002C06FE">
        <w:rPr>
          <w:b/>
        </w:rPr>
        <w:t xml:space="preserve">Note </w:t>
      </w:r>
      <w:r w:rsidR="00B15EA3">
        <w:rPr>
          <w:b/>
        </w:rPr>
        <w:t>9</w:t>
      </w:r>
      <w:r w:rsidR="009E3E05">
        <w:rPr>
          <w:b/>
        </w:rPr>
        <w:t>:</w:t>
      </w:r>
      <w:r w:rsidR="009E3E05" w:rsidRPr="009E3E05">
        <w:rPr>
          <w:b/>
        </w:rPr>
        <w:t xml:space="preserve"> </w:t>
      </w:r>
      <w:r w:rsidR="009E3E05">
        <w:rPr>
          <w:b/>
        </w:rPr>
        <w:t>Request to File Consolidated Audited Annual Statemen</w:t>
      </w:r>
      <w:r w:rsidR="002F7529">
        <w:rPr>
          <w:b/>
        </w:rPr>
        <w:t>t</w:t>
      </w:r>
      <w:r w:rsidR="003D0AF0">
        <w:rPr>
          <w:b/>
        </w:rPr>
        <w:t>s</w:t>
      </w:r>
    </w:p>
    <w:p w14:paraId="56212E0F" w14:textId="006797D1" w:rsidR="00070648" w:rsidRDefault="00070648" w:rsidP="00070648">
      <w:pPr>
        <w:ind w:firstLine="720"/>
        <w:rPr>
          <w:b/>
        </w:rPr>
      </w:pPr>
      <w:r>
        <w:rPr>
          <w:b/>
        </w:rPr>
        <w:t>Domestic Companies</w:t>
      </w:r>
    </w:p>
    <w:p w14:paraId="7F489423" w14:textId="49526629" w:rsidR="00070648" w:rsidRDefault="00070648" w:rsidP="00C40EAD">
      <w:pPr>
        <w:ind w:left="720"/>
      </w:pPr>
      <w:r>
        <w:t xml:space="preserve">Requests from domestic companies to file consolidated audited annual statements must include a statement of justification for the request (100% pooling or 100% reinsurance) and should be </w:t>
      </w:r>
      <w:r w:rsidR="00852C2D">
        <w:t>e</w:t>
      </w:r>
      <w:r>
        <w:t xml:space="preserve">mailed </w:t>
      </w:r>
      <w:r w:rsidR="00C40EAD">
        <w:t xml:space="preserve">by March 1 </w:t>
      </w:r>
      <w:r>
        <w:t>to:</w:t>
      </w:r>
    </w:p>
    <w:p w14:paraId="45FFC324" w14:textId="41064582" w:rsidR="000C1F70" w:rsidRDefault="00611E49" w:rsidP="000C1F70">
      <w:pPr>
        <w:ind w:left="2880"/>
      </w:pPr>
      <w:hyperlink r:id="rId25" w:history="1">
        <w:r w:rsidRPr="00611E49">
          <w:rPr>
            <w:rStyle w:val="Hyperlink"/>
          </w:rPr>
          <w:t>Doi.domestic.companies@mass.gov</w:t>
        </w:r>
      </w:hyperlink>
    </w:p>
    <w:p w14:paraId="1E681234" w14:textId="1376A517" w:rsidR="00070648" w:rsidRPr="004E6605" w:rsidRDefault="00070648" w:rsidP="00327970">
      <w:pPr>
        <w:ind w:left="2880"/>
        <w:rPr>
          <w:rStyle w:val="Hyperlink"/>
        </w:rPr>
      </w:pPr>
    </w:p>
    <w:p w14:paraId="198F28BD" w14:textId="77777777" w:rsidR="00070648" w:rsidRDefault="00070648" w:rsidP="00070648">
      <w:pPr>
        <w:ind w:left="720"/>
        <w:rPr>
          <w:b/>
        </w:rPr>
      </w:pPr>
      <w:r>
        <w:rPr>
          <w:b/>
        </w:rPr>
        <w:t>Foreign Companies</w:t>
      </w:r>
    </w:p>
    <w:p w14:paraId="241A97F4" w14:textId="50C5664C" w:rsidR="00070648" w:rsidRDefault="00070648" w:rsidP="00070648">
      <w:pPr>
        <w:ind w:left="720"/>
      </w:pPr>
      <w:r>
        <w:t xml:space="preserve">Requests from foreign companies to file consolidated audited annual statements must include both a statement of justification for the request (100% pooling or 100% reinsurance) </w:t>
      </w:r>
      <w:r w:rsidRPr="00CA290A">
        <w:rPr>
          <w:b/>
        </w:rPr>
        <w:t>and</w:t>
      </w:r>
      <w:r>
        <w:t xml:space="preserve"> copies of approvals to file consolidated audited annual statements in states of domicile for the companies in the pool; and should be </w:t>
      </w:r>
      <w:r w:rsidR="00061C23">
        <w:t>e</w:t>
      </w:r>
      <w:r>
        <w:t xml:space="preserve">mailed </w:t>
      </w:r>
      <w:r w:rsidR="00C40EAD">
        <w:t xml:space="preserve">by March 1 </w:t>
      </w:r>
      <w:proofErr w:type="gramStart"/>
      <w:r w:rsidR="00C40EAD">
        <w:t>t</w:t>
      </w:r>
      <w:r>
        <w:t>o</w:t>
      </w:r>
      <w:proofErr w:type="gramEnd"/>
      <w:r>
        <w:t>:</w:t>
      </w:r>
    </w:p>
    <w:bookmarkStart w:id="0" w:name="_Hlk120712388"/>
    <w:p w14:paraId="1ACC7069" w14:textId="7FB9E736" w:rsidR="00D85C0C" w:rsidRDefault="00DA01BA" w:rsidP="00C40EAD">
      <w:pPr>
        <w:ind w:left="1440" w:firstLine="720"/>
      </w:pPr>
      <w:r>
        <w:fldChar w:fldCharType="begin"/>
      </w:r>
      <w:r>
        <w:instrText>HYPERLINK "mailto:</w:instrText>
      </w:r>
      <w:r w:rsidRPr="00DA01BA">
        <w:instrText>Companies.mailbox@mass.gov</w:instrText>
      </w:r>
      <w:r>
        <w:instrText>"</w:instrText>
      </w:r>
      <w:r>
        <w:fldChar w:fldCharType="separate"/>
      </w:r>
      <w:r w:rsidRPr="00F45537">
        <w:rPr>
          <w:rStyle w:val="Hyperlink"/>
        </w:rPr>
        <w:t>Companies.mailbox@mass.gov</w:t>
      </w:r>
      <w:r>
        <w:fldChar w:fldCharType="end"/>
      </w:r>
    </w:p>
    <w:bookmarkEnd w:id="0"/>
    <w:p w14:paraId="0E13664B" w14:textId="1947F476" w:rsidR="00984EB9" w:rsidRDefault="00984EB9" w:rsidP="002146A5">
      <w:pPr>
        <w:ind w:left="2880"/>
      </w:pPr>
    </w:p>
    <w:p w14:paraId="787A0298" w14:textId="7BC2761B" w:rsidR="00984EB9" w:rsidRDefault="00984EB9" w:rsidP="002146A5">
      <w:pPr>
        <w:ind w:left="2880"/>
      </w:pPr>
    </w:p>
    <w:p w14:paraId="0A8169EA" w14:textId="5E266794" w:rsidR="003F714A" w:rsidRDefault="00984EB9" w:rsidP="00F12768">
      <w:pPr>
        <w:rPr>
          <w:b/>
        </w:rPr>
      </w:pPr>
      <w:r w:rsidRPr="002C06FE">
        <w:rPr>
          <w:b/>
        </w:rPr>
        <w:t xml:space="preserve">Note </w:t>
      </w:r>
      <w:r w:rsidR="00DE6DC6">
        <w:rPr>
          <w:b/>
        </w:rPr>
        <w:t>10:</w:t>
      </w:r>
      <w:r w:rsidR="003F714A">
        <w:rPr>
          <w:b/>
        </w:rPr>
        <w:t xml:space="preserve"> Group Capital Calculation Filing</w:t>
      </w:r>
    </w:p>
    <w:p w14:paraId="3B247142" w14:textId="21C8F4A6" w:rsidR="00984EB9" w:rsidRPr="002C06FE" w:rsidRDefault="00984EB9" w:rsidP="00984EB9">
      <w:pPr>
        <w:rPr>
          <w:b/>
        </w:rPr>
      </w:pPr>
      <w:r w:rsidRPr="002C06FE">
        <w:rPr>
          <w:b/>
        </w:rPr>
        <w:tab/>
      </w:r>
    </w:p>
    <w:p w14:paraId="7DD7B8C7" w14:textId="4FD96A22" w:rsidR="003F6953" w:rsidRDefault="00984EB9" w:rsidP="00F12768">
      <w:pPr>
        <w:ind w:firstLine="720"/>
        <w:rPr>
          <w:b/>
        </w:rPr>
      </w:pPr>
      <w:r>
        <w:rPr>
          <w:b/>
        </w:rPr>
        <w:t>Domestic Companies</w:t>
      </w:r>
      <w:r w:rsidR="008A0B26">
        <w:rPr>
          <w:b/>
        </w:rPr>
        <w:t xml:space="preserve"> (to be filed with </w:t>
      </w:r>
      <w:r w:rsidR="004B059D">
        <w:rPr>
          <w:b/>
        </w:rPr>
        <w:t>lead state only)</w:t>
      </w:r>
    </w:p>
    <w:p w14:paraId="0A2BF7F4" w14:textId="77777777" w:rsidR="00F12768" w:rsidRPr="00F12768" w:rsidRDefault="00F12768" w:rsidP="00F12768">
      <w:pPr>
        <w:ind w:firstLine="720"/>
        <w:rPr>
          <w:b/>
        </w:rPr>
      </w:pPr>
    </w:p>
    <w:p w14:paraId="115AA477" w14:textId="0E0A694B" w:rsidR="00E472CD" w:rsidRDefault="003F6B06" w:rsidP="00DC0F0D">
      <w:pPr>
        <w:autoSpaceDE w:val="0"/>
        <w:autoSpaceDN w:val="0"/>
        <w:adjustRightInd w:val="0"/>
        <w:ind w:left="720"/>
      </w:pPr>
      <w:r>
        <w:t xml:space="preserve">Year </w:t>
      </w:r>
      <w:r w:rsidR="001C1A6E">
        <w:t>End 202</w:t>
      </w:r>
      <w:r w:rsidR="00FF489A">
        <w:t>5</w:t>
      </w:r>
      <w:r w:rsidR="001C1A6E">
        <w:t xml:space="preserve"> Group Capital Calculation Instructions </w:t>
      </w:r>
      <w:r w:rsidR="003F6953" w:rsidRPr="00F745B1">
        <w:t>are avail</w:t>
      </w:r>
      <w:r w:rsidR="00CA5462">
        <w:t>able at:</w:t>
      </w:r>
    </w:p>
    <w:p w14:paraId="5B138443" w14:textId="77777777" w:rsidR="007B75A7" w:rsidRDefault="007B75A7" w:rsidP="003C5540">
      <w:pPr>
        <w:autoSpaceDE w:val="0"/>
        <w:autoSpaceDN w:val="0"/>
        <w:adjustRightInd w:val="0"/>
        <w:ind w:firstLine="720"/>
      </w:pPr>
    </w:p>
    <w:p w14:paraId="76CB3147" w14:textId="3D287139" w:rsidR="00C15E3F" w:rsidRDefault="00C15E3F" w:rsidP="003C5540">
      <w:pPr>
        <w:autoSpaceDE w:val="0"/>
        <w:autoSpaceDN w:val="0"/>
        <w:adjustRightInd w:val="0"/>
        <w:ind w:firstLine="720"/>
      </w:pPr>
      <w:hyperlink r:id="rId26" w:tooltip="https://content.naic.org/committees/e/group-capital-calculation-wg" w:history="1">
        <w:r w:rsidR="00DD635C">
          <w:rPr>
            <w:rStyle w:val="Hyperlink"/>
          </w:rPr>
          <w:t xml:space="preserve">2025 Group Capital Calculation Instructions and </w:t>
        </w:r>
        <w:r w:rsidR="003F1376">
          <w:rPr>
            <w:rStyle w:val="Hyperlink"/>
          </w:rPr>
          <w:t>Template</w:t>
        </w:r>
      </w:hyperlink>
    </w:p>
    <w:sectPr w:rsidR="00C15E3F" w:rsidSect="006E000E">
      <w:headerReference w:type="default" r:id="rId27"/>
      <w:footerReference w:type="default" r:id="rId2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7649" w14:textId="77777777" w:rsidR="00E94D7B" w:rsidRDefault="00E94D7B">
      <w:r>
        <w:separator/>
      </w:r>
    </w:p>
  </w:endnote>
  <w:endnote w:type="continuationSeparator" w:id="0">
    <w:p w14:paraId="2B0281EE" w14:textId="77777777" w:rsidR="00E94D7B" w:rsidRDefault="00E94D7B">
      <w:r>
        <w:continuationSeparator/>
      </w:r>
    </w:p>
  </w:endnote>
  <w:endnote w:type="continuationNotice" w:id="1">
    <w:p w14:paraId="0CA4373A" w14:textId="77777777" w:rsidR="00E94D7B" w:rsidRDefault="00E94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BCCD" w14:textId="77777777" w:rsidR="00431D63" w:rsidRDefault="00431D63" w:rsidP="00F65273">
    <w:pPr>
      <w:pStyle w:val="Footer"/>
      <w:jc w:val="right"/>
      <w:rPr>
        <w:sz w:val="20"/>
        <w:szCs w:val="20"/>
      </w:rPr>
    </w:pPr>
    <w:smartTag w:uri="urn:schemas-microsoft-com:office:smarttags" w:element="place">
      <w:smartTag w:uri="urn:schemas-microsoft-com:office:smarttags" w:element="State">
        <w:r>
          <w:rPr>
            <w:sz w:val="20"/>
            <w:szCs w:val="20"/>
          </w:rPr>
          <w:t>Massachusetts</w:t>
        </w:r>
      </w:smartTag>
    </w:smartTag>
    <w:r>
      <w:rPr>
        <w:sz w:val="20"/>
        <w:szCs w:val="20"/>
      </w:rPr>
      <w:t xml:space="preserve"> Division of Insurance</w:t>
    </w:r>
  </w:p>
  <w:p w14:paraId="40F7F863" w14:textId="07EDAF0D" w:rsidR="00431D63" w:rsidRPr="00F65273" w:rsidRDefault="00261C66" w:rsidP="0093658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December 19,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CD81" w14:textId="77777777" w:rsidR="00E94D7B" w:rsidRDefault="00E94D7B">
      <w:r>
        <w:separator/>
      </w:r>
    </w:p>
  </w:footnote>
  <w:footnote w:type="continuationSeparator" w:id="0">
    <w:p w14:paraId="0D494B7A" w14:textId="77777777" w:rsidR="00E94D7B" w:rsidRDefault="00E94D7B">
      <w:r>
        <w:continuationSeparator/>
      </w:r>
    </w:p>
  </w:footnote>
  <w:footnote w:type="continuationNotice" w:id="1">
    <w:p w14:paraId="10A1BE60" w14:textId="77777777" w:rsidR="00E94D7B" w:rsidRDefault="00E94D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383A" w14:textId="77777777" w:rsidR="00431D63" w:rsidRDefault="00431D63" w:rsidP="004819AE">
    <w:pPr>
      <w:pStyle w:val="Header"/>
      <w:jc w:val="center"/>
      <w:rPr>
        <w:b/>
      </w:rPr>
    </w:pPr>
  </w:p>
  <w:p w14:paraId="3416FB69" w14:textId="320536F5" w:rsidR="00431D63" w:rsidRPr="004819AE" w:rsidRDefault="0093658C" w:rsidP="004819AE">
    <w:pPr>
      <w:pStyle w:val="Header"/>
      <w:jc w:val="center"/>
      <w:rPr>
        <w:b/>
      </w:rPr>
    </w:pPr>
    <w:r>
      <w:rPr>
        <w:b/>
      </w:rPr>
      <w:t>20</w:t>
    </w:r>
    <w:r w:rsidR="000A5816">
      <w:rPr>
        <w:b/>
      </w:rPr>
      <w:t>2</w:t>
    </w:r>
    <w:r w:rsidR="00261C66">
      <w:rPr>
        <w:b/>
      </w:rPr>
      <w:t>5</w:t>
    </w:r>
    <w:r w:rsidR="005C58A3">
      <w:rPr>
        <w:b/>
      </w:rPr>
      <w:t xml:space="preserve"> </w:t>
    </w:r>
    <w:r w:rsidR="00431D63">
      <w:rPr>
        <w:b/>
      </w:rPr>
      <w:t>Annual Statement Filing Checklist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E63"/>
    <w:multiLevelType w:val="hybridMultilevel"/>
    <w:tmpl w:val="CD640B5C"/>
    <w:lvl w:ilvl="0" w:tplc="F16C6798">
      <w:start w:val="2"/>
      <w:numFmt w:val="bullet"/>
      <w:lvlText w:val="•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3C2106F"/>
    <w:multiLevelType w:val="hybridMultilevel"/>
    <w:tmpl w:val="D87A7DC8"/>
    <w:lvl w:ilvl="0" w:tplc="CDF6E68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9559502">
    <w:abstractNumId w:val="1"/>
  </w:num>
  <w:num w:numId="2" w16cid:durableId="28858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FD"/>
    <w:rsid w:val="000029C9"/>
    <w:rsid w:val="00003267"/>
    <w:rsid w:val="000109B1"/>
    <w:rsid w:val="00014D48"/>
    <w:rsid w:val="000228EA"/>
    <w:rsid w:val="000276E6"/>
    <w:rsid w:val="00040EEA"/>
    <w:rsid w:val="00053879"/>
    <w:rsid w:val="0005641B"/>
    <w:rsid w:val="0005686C"/>
    <w:rsid w:val="00061C23"/>
    <w:rsid w:val="00061CF9"/>
    <w:rsid w:val="00070648"/>
    <w:rsid w:val="00083B86"/>
    <w:rsid w:val="000A5816"/>
    <w:rsid w:val="000A5FAA"/>
    <w:rsid w:val="000B6B8A"/>
    <w:rsid w:val="000B7364"/>
    <w:rsid w:val="000C1F70"/>
    <w:rsid w:val="000F5D07"/>
    <w:rsid w:val="00114195"/>
    <w:rsid w:val="00115A16"/>
    <w:rsid w:val="00146A5A"/>
    <w:rsid w:val="00147296"/>
    <w:rsid w:val="00147598"/>
    <w:rsid w:val="00157937"/>
    <w:rsid w:val="00175458"/>
    <w:rsid w:val="00177361"/>
    <w:rsid w:val="0018035F"/>
    <w:rsid w:val="00180B6B"/>
    <w:rsid w:val="001A1146"/>
    <w:rsid w:val="001C1A6E"/>
    <w:rsid w:val="001C416A"/>
    <w:rsid w:val="001C480C"/>
    <w:rsid w:val="001D42CF"/>
    <w:rsid w:val="001D6865"/>
    <w:rsid w:val="001E67B6"/>
    <w:rsid w:val="0020152F"/>
    <w:rsid w:val="00210EA1"/>
    <w:rsid w:val="00213F88"/>
    <w:rsid w:val="002146A5"/>
    <w:rsid w:val="00215FA1"/>
    <w:rsid w:val="00220336"/>
    <w:rsid w:val="00220F46"/>
    <w:rsid w:val="0022722E"/>
    <w:rsid w:val="0023219F"/>
    <w:rsid w:val="00241D29"/>
    <w:rsid w:val="002444FB"/>
    <w:rsid w:val="002558AD"/>
    <w:rsid w:val="00256CA9"/>
    <w:rsid w:val="00261C66"/>
    <w:rsid w:val="00266EE6"/>
    <w:rsid w:val="00292323"/>
    <w:rsid w:val="00297797"/>
    <w:rsid w:val="002A12EA"/>
    <w:rsid w:val="002A34F5"/>
    <w:rsid w:val="002B1929"/>
    <w:rsid w:val="002C06FE"/>
    <w:rsid w:val="002C0EB1"/>
    <w:rsid w:val="002C18B1"/>
    <w:rsid w:val="002C67F0"/>
    <w:rsid w:val="002D1F2A"/>
    <w:rsid w:val="002D2767"/>
    <w:rsid w:val="002E6991"/>
    <w:rsid w:val="002F2912"/>
    <w:rsid w:val="002F5508"/>
    <w:rsid w:val="002F7529"/>
    <w:rsid w:val="00327970"/>
    <w:rsid w:val="00327ACD"/>
    <w:rsid w:val="003375E1"/>
    <w:rsid w:val="00337A12"/>
    <w:rsid w:val="00340857"/>
    <w:rsid w:val="00341CB6"/>
    <w:rsid w:val="00343032"/>
    <w:rsid w:val="00353B21"/>
    <w:rsid w:val="003776B6"/>
    <w:rsid w:val="00396839"/>
    <w:rsid w:val="003A0C75"/>
    <w:rsid w:val="003A230E"/>
    <w:rsid w:val="003A7D28"/>
    <w:rsid w:val="003C23B3"/>
    <w:rsid w:val="003C5540"/>
    <w:rsid w:val="003D0AF0"/>
    <w:rsid w:val="003D1D6A"/>
    <w:rsid w:val="003E2632"/>
    <w:rsid w:val="003E5C7D"/>
    <w:rsid w:val="003F1376"/>
    <w:rsid w:val="003F6953"/>
    <w:rsid w:val="003F6B06"/>
    <w:rsid w:val="003F714A"/>
    <w:rsid w:val="00400912"/>
    <w:rsid w:val="00410A90"/>
    <w:rsid w:val="00431D63"/>
    <w:rsid w:val="00446FB9"/>
    <w:rsid w:val="004474B2"/>
    <w:rsid w:val="00451CB3"/>
    <w:rsid w:val="00464FE9"/>
    <w:rsid w:val="004674A3"/>
    <w:rsid w:val="004819AE"/>
    <w:rsid w:val="004A47A7"/>
    <w:rsid w:val="004A4B85"/>
    <w:rsid w:val="004A79E0"/>
    <w:rsid w:val="004B059D"/>
    <w:rsid w:val="004B41C9"/>
    <w:rsid w:val="004B4E5D"/>
    <w:rsid w:val="004E6605"/>
    <w:rsid w:val="004F5AF4"/>
    <w:rsid w:val="005054C6"/>
    <w:rsid w:val="00505EFA"/>
    <w:rsid w:val="00510950"/>
    <w:rsid w:val="0051170C"/>
    <w:rsid w:val="00536F58"/>
    <w:rsid w:val="00546959"/>
    <w:rsid w:val="00550F08"/>
    <w:rsid w:val="00573626"/>
    <w:rsid w:val="00596671"/>
    <w:rsid w:val="005A27FB"/>
    <w:rsid w:val="005B0840"/>
    <w:rsid w:val="005C1548"/>
    <w:rsid w:val="005C58A3"/>
    <w:rsid w:val="005D6952"/>
    <w:rsid w:val="005F167C"/>
    <w:rsid w:val="005F2FF5"/>
    <w:rsid w:val="0060647D"/>
    <w:rsid w:val="00611E49"/>
    <w:rsid w:val="0064705B"/>
    <w:rsid w:val="006566E0"/>
    <w:rsid w:val="00664D51"/>
    <w:rsid w:val="00677E8F"/>
    <w:rsid w:val="00683CA7"/>
    <w:rsid w:val="006A1F02"/>
    <w:rsid w:val="006A31E5"/>
    <w:rsid w:val="006A5422"/>
    <w:rsid w:val="006A6698"/>
    <w:rsid w:val="006B0B62"/>
    <w:rsid w:val="006C4262"/>
    <w:rsid w:val="006D1B3A"/>
    <w:rsid w:val="006D3CCD"/>
    <w:rsid w:val="006D56BE"/>
    <w:rsid w:val="006E000E"/>
    <w:rsid w:val="006F5835"/>
    <w:rsid w:val="00726453"/>
    <w:rsid w:val="0073557D"/>
    <w:rsid w:val="00744E85"/>
    <w:rsid w:val="007520D0"/>
    <w:rsid w:val="0076225F"/>
    <w:rsid w:val="00767751"/>
    <w:rsid w:val="00787DE4"/>
    <w:rsid w:val="0079796E"/>
    <w:rsid w:val="007B635D"/>
    <w:rsid w:val="007B75A7"/>
    <w:rsid w:val="007E54BF"/>
    <w:rsid w:val="007F5874"/>
    <w:rsid w:val="007F72EB"/>
    <w:rsid w:val="00803390"/>
    <w:rsid w:val="008208DC"/>
    <w:rsid w:val="00824429"/>
    <w:rsid w:val="00843F27"/>
    <w:rsid w:val="00852C2D"/>
    <w:rsid w:val="008557CC"/>
    <w:rsid w:val="00866E74"/>
    <w:rsid w:val="00870F96"/>
    <w:rsid w:val="00871503"/>
    <w:rsid w:val="0087736F"/>
    <w:rsid w:val="0089613D"/>
    <w:rsid w:val="00896548"/>
    <w:rsid w:val="008A0B26"/>
    <w:rsid w:val="008A5393"/>
    <w:rsid w:val="008B04B5"/>
    <w:rsid w:val="008C104D"/>
    <w:rsid w:val="008C4EB1"/>
    <w:rsid w:val="008C6168"/>
    <w:rsid w:val="008E000E"/>
    <w:rsid w:val="008E73EF"/>
    <w:rsid w:val="008F19E1"/>
    <w:rsid w:val="008F4E96"/>
    <w:rsid w:val="00900E1D"/>
    <w:rsid w:val="0092298E"/>
    <w:rsid w:val="0093658C"/>
    <w:rsid w:val="00942BEB"/>
    <w:rsid w:val="009529BE"/>
    <w:rsid w:val="00953CCF"/>
    <w:rsid w:val="00955177"/>
    <w:rsid w:val="009553A6"/>
    <w:rsid w:val="00971ABF"/>
    <w:rsid w:val="00984EB9"/>
    <w:rsid w:val="009A1B9B"/>
    <w:rsid w:val="009A4DC0"/>
    <w:rsid w:val="009A63CB"/>
    <w:rsid w:val="009E3E05"/>
    <w:rsid w:val="009F4EC8"/>
    <w:rsid w:val="00A14A3A"/>
    <w:rsid w:val="00A16420"/>
    <w:rsid w:val="00A44BA9"/>
    <w:rsid w:val="00A47F3C"/>
    <w:rsid w:val="00A56AF5"/>
    <w:rsid w:val="00A56B87"/>
    <w:rsid w:val="00A7721F"/>
    <w:rsid w:val="00A85DC6"/>
    <w:rsid w:val="00A861D8"/>
    <w:rsid w:val="00A97EA2"/>
    <w:rsid w:val="00AB1FE0"/>
    <w:rsid w:val="00AB268A"/>
    <w:rsid w:val="00AD3834"/>
    <w:rsid w:val="00AE54E9"/>
    <w:rsid w:val="00AF3D18"/>
    <w:rsid w:val="00AF6D1B"/>
    <w:rsid w:val="00B0602E"/>
    <w:rsid w:val="00B1483B"/>
    <w:rsid w:val="00B15EA3"/>
    <w:rsid w:val="00B224C6"/>
    <w:rsid w:val="00B451E3"/>
    <w:rsid w:val="00B512C6"/>
    <w:rsid w:val="00B51D44"/>
    <w:rsid w:val="00B52189"/>
    <w:rsid w:val="00B537BC"/>
    <w:rsid w:val="00B56171"/>
    <w:rsid w:val="00B5676B"/>
    <w:rsid w:val="00B62A3F"/>
    <w:rsid w:val="00B66106"/>
    <w:rsid w:val="00B82D22"/>
    <w:rsid w:val="00B851CA"/>
    <w:rsid w:val="00BA6B5F"/>
    <w:rsid w:val="00BB51B9"/>
    <w:rsid w:val="00BC0AD8"/>
    <w:rsid w:val="00BE1A3B"/>
    <w:rsid w:val="00BE3E63"/>
    <w:rsid w:val="00BE7247"/>
    <w:rsid w:val="00BF13CE"/>
    <w:rsid w:val="00C15E3F"/>
    <w:rsid w:val="00C25F84"/>
    <w:rsid w:val="00C2632E"/>
    <w:rsid w:val="00C30FA2"/>
    <w:rsid w:val="00C40EAD"/>
    <w:rsid w:val="00C641A9"/>
    <w:rsid w:val="00C76A41"/>
    <w:rsid w:val="00C77321"/>
    <w:rsid w:val="00C87159"/>
    <w:rsid w:val="00CA5462"/>
    <w:rsid w:val="00CB04E3"/>
    <w:rsid w:val="00CB6C7D"/>
    <w:rsid w:val="00CD2A7B"/>
    <w:rsid w:val="00CD42FF"/>
    <w:rsid w:val="00CE3D6D"/>
    <w:rsid w:val="00CE3F3E"/>
    <w:rsid w:val="00CF1887"/>
    <w:rsid w:val="00D01217"/>
    <w:rsid w:val="00D02E44"/>
    <w:rsid w:val="00D1602C"/>
    <w:rsid w:val="00D57FC5"/>
    <w:rsid w:val="00D71836"/>
    <w:rsid w:val="00D765F0"/>
    <w:rsid w:val="00D85C0C"/>
    <w:rsid w:val="00D87982"/>
    <w:rsid w:val="00D9482B"/>
    <w:rsid w:val="00DA01BA"/>
    <w:rsid w:val="00DB5AE7"/>
    <w:rsid w:val="00DC0F0D"/>
    <w:rsid w:val="00DD3351"/>
    <w:rsid w:val="00DD635C"/>
    <w:rsid w:val="00DE6DC6"/>
    <w:rsid w:val="00DF0C88"/>
    <w:rsid w:val="00DF30D4"/>
    <w:rsid w:val="00DF3E72"/>
    <w:rsid w:val="00E12FC5"/>
    <w:rsid w:val="00E1662E"/>
    <w:rsid w:val="00E203FD"/>
    <w:rsid w:val="00E21BF8"/>
    <w:rsid w:val="00E22A4E"/>
    <w:rsid w:val="00E26211"/>
    <w:rsid w:val="00E33D0E"/>
    <w:rsid w:val="00E428EF"/>
    <w:rsid w:val="00E43A5D"/>
    <w:rsid w:val="00E4435C"/>
    <w:rsid w:val="00E472CD"/>
    <w:rsid w:val="00E47541"/>
    <w:rsid w:val="00E7724E"/>
    <w:rsid w:val="00E80861"/>
    <w:rsid w:val="00E86476"/>
    <w:rsid w:val="00E94D7B"/>
    <w:rsid w:val="00EC784A"/>
    <w:rsid w:val="00EE6A02"/>
    <w:rsid w:val="00EE713D"/>
    <w:rsid w:val="00EF231D"/>
    <w:rsid w:val="00F12768"/>
    <w:rsid w:val="00F14759"/>
    <w:rsid w:val="00F343FD"/>
    <w:rsid w:val="00F3719C"/>
    <w:rsid w:val="00F45E96"/>
    <w:rsid w:val="00F62639"/>
    <w:rsid w:val="00F65273"/>
    <w:rsid w:val="00F745B1"/>
    <w:rsid w:val="00F82254"/>
    <w:rsid w:val="00F8282D"/>
    <w:rsid w:val="00F8370B"/>
    <w:rsid w:val="00F90EEC"/>
    <w:rsid w:val="00F93AC5"/>
    <w:rsid w:val="00FA2E3E"/>
    <w:rsid w:val="00FD242A"/>
    <w:rsid w:val="00FD3F29"/>
    <w:rsid w:val="00FE1735"/>
    <w:rsid w:val="00FE4F8B"/>
    <w:rsid w:val="00FE7E2E"/>
    <w:rsid w:val="00FF489A"/>
    <w:rsid w:val="00FF4DBC"/>
    <w:rsid w:val="03BD51B9"/>
    <w:rsid w:val="161C1BAC"/>
    <w:rsid w:val="17BC2AEF"/>
    <w:rsid w:val="1D77329D"/>
    <w:rsid w:val="1F1302FE"/>
    <w:rsid w:val="21A29652"/>
    <w:rsid w:val="22330CF8"/>
    <w:rsid w:val="28F48F0B"/>
    <w:rsid w:val="2A81E6DC"/>
    <w:rsid w:val="2E67F0FD"/>
    <w:rsid w:val="34D73281"/>
    <w:rsid w:val="44F543D1"/>
    <w:rsid w:val="4536E51E"/>
    <w:rsid w:val="482CE493"/>
    <w:rsid w:val="4A95173E"/>
    <w:rsid w:val="56611020"/>
    <w:rsid w:val="5DAB624B"/>
    <w:rsid w:val="5EA10F0A"/>
    <w:rsid w:val="64472D3D"/>
    <w:rsid w:val="646D4597"/>
    <w:rsid w:val="6AB6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C7C26B"/>
  <w15:chartTrackingRefBased/>
  <w15:docId w15:val="{A01B89AD-93E0-488E-B850-B2155903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E263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4819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19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9654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85C0C"/>
    <w:rPr>
      <w:rFonts w:ascii="Times New Roman" w:hAnsi="Times New Roman" w:cs="Times New Roman" w:hint="default"/>
      <w:color w:val="000000"/>
      <w:u w:val="single"/>
    </w:rPr>
  </w:style>
  <w:style w:type="character" w:styleId="UnresolvedMention">
    <w:name w:val="Unresolved Mention"/>
    <w:uiPriority w:val="99"/>
    <w:semiHidden/>
    <w:unhideWhenUsed/>
    <w:rsid w:val="00984EB9"/>
    <w:rPr>
      <w:color w:val="605E5C"/>
      <w:shd w:val="clear" w:color="auto" w:fill="E1DFDD"/>
    </w:rPr>
  </w:style>
  <w:style w:type="character" w:styleId="FollowedHyperlink">
    <w:name w:val="FollowedHyperlink"/>
    <w:rsid w:val="003F6953"/>
    <w:rPr>
      <w:color w:val="954F72"/>
      <w:u w:val="single"/>
    </w:rPr>
  </w:style>
  <w:style w:type="paragraph" w:styleId="Revision">
    <w:name w:val="Revision"/>
    <w:hidden/>
    <w:uiPriority w:val="99"/>
    <w:semiHidden/>
    <w:rsid w:val="00F745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anies.Mailbox@mass.gov" TargetMode="External"/><Relationship Id="rId18" Type="http://schemas.openxmlformats.org/officeDocument/2006/relationships/hyperlink" Target="mailto:companies.mailbox@mass.gov" TargetMode="External"/><Relationship Id="rId26" Type="http://schemas.openxmlformats.org/officeDocument/2006/relationships/hyperlink" Target="https://content.naic.org/committees/e/group-capital-calculation-w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oi.domestic.companes@mass.gov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ontent.naic.org/industry/optins" TargetMode="External"/><Relationship Id="rId17" Type="http://schemas.openxmlformats.org/officeDocument/2006/relationships/hyperlink" Target="mailto:companies.mailbox@mass.gov" TargetMode="External"/><Relationship Id="rId25" Type="http://schemas.openxmlformats.org/officeDocument/2006/relationships/hyperlink" Target="file:///C:\Users\Robert.Wilbur\Downloads\Doi.domestic.companies@mas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mpanies.mailbox@mass.gov" TargetMode="External"/><Relationship Id="rId20" Type="http://schemas.openxmlformats.org/officeDocument/2006/relationships/hyperlink" Target="http://www.naic.org/public_lead_state_report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Robert.Wilbur\Downloads\doi.domestic.companies@mass.gov" TargetMode="External"/><Relationship Id="rId24" Type="http://schemas.openxmlformats.org/officeDocument/2006/relationships/hyperlink" Target="mailto:companies.mailbox@mass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Robert.Wilbur\Downloads\doi.domestic.companies@mass.gov" TargetMode="External"/><Relationship Id="rId23" Type="http://schemas.openxmlformats.org/officeDocument/2006/relationships/hyperlink" Target="mailto:companies.mailbox@mass.gov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companies.mailbox@mass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i.domestic.companes@mass.gov" TargetMode="External"/><Relationship Id="rId22" Type="http://schemas.openxmlformats.org/officeDocument/2006/relationships/hyperlink" Target="file:///C:\Users\Robert.Wilbur\Downloads\doi.domestic.companies@mass.gov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413DC9396414788A0571B52761EC3" ma:contentTypeVersion="18" ma:contentTypeDescription="Create a new document." ma:contentTypeScope="" ma:versionID="64ce9e119d01d05c60efa83d6e05e09e">
  <xsd:schema xmlns:xsd="http://www.w3.org/2001/XMLSchema" xmlns:xs="http://www.w3.org/2001/XMLSchema" xmlns:p="http://schemas.microsoft.com/office/2006/metadata/properties" xmlns:ns2="219cc07e-c1da-4270-a78f-3a6ce23ab0a8" xmlns:ns3="85471739-20a3-405f-8957-71a2abecc360" targetNamespace="http://schemas.microsoft.com/office/2006/metadata/properties" ma:root="true" ma:fieldsID="af287d5fabe2c5d05a5a3658eb2cd64b" ns2:_="" ns3:_="">
    <xsd:import namespace="219cc07e-c1da-4270-a78f-3a6ce23ab0a8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c07e-c1da-4270-a78f-3a6ce23ab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ea883f-a43d-4557-89a5-87954ab456b0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219cc07e-c1da-4270-a78f-3a6ce23ab0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27145B-952C-4FE4-94B4-876240BD7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46C1B6-8514-48FF-B7C1-B90CE356A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5DA25-3DB3-4A26-8B8A-3269579AF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cc07e-c1da-4270-a78f-3a6ce23ab0a8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65230-706C-4B1C-95EF-5AE687C22B2C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219cc07e-c1da-4270-a78f-3a6ce23ab0a8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2061</Words>
  <Characters>11748</Characters>
  <Application>Microsoft Office Word</Application>
  <DocSecurity>0</DocSecurity>
  <Lines>97</Lines>
  <Paragraphs>27</Paragraphs>
  <ScaleCrop>false</ScaleCrop>
  <Company>DOI</Company>
  <LinksUpToDate>false</LinksUpToDate>
  <CharactersWithSpaces>13782</CharactersWithSpaces>
  <SharedDoc>false</SharedDoc>
  <HLinks>
    <vt:vector size="36" baseType="variant">
      <vt:variant>
        <vt:i4>3538963</vt:i4>
      </vt:variant>
      <vt:variant>
        <vt:i4>15</vt:i4>
      </vt:variant>
      <vt:variant>
        <vt:i4>0</vt:i4>
      </vt:variant>
      <vt:variant>
        <vt:i4>5</vt:i4>
      </vt:variant>
      <vt:variant>
        <vt:lpwstr>https://content.naic.org/sites/default/files/inline-files/2024 Instructions_0.pdf</vt:lpwstr>
      </vt:variant>
      <vt:variant>
        <vt:lpwstr/>
      </vt:variant>
      <vt:variant>
        <vt:i4>5636135</vt:i4>
      </vt:variant>
      <vt:variant>
        <vt:i4>12</vt:i4>
      </vt:variant>
      <vt:variant>
        <vt:i4>0</vt:i4>
      </vt:variant>
      <vt:variant>
        <vt:i4>5</vt:i4>
      </vt:variant>
      <vt:variant>
        <vt:lpwstr>mailto:Companies.mailbox@mass.gov</vt:lpwstr>
      </vt:variant>
      <vt:variant>
        <vt:lpwstr/>
      </vt:variant>
      <vt:variant>
        <vt:i4>5636135</vt:i4>
      </vt:variant>
      <vt:variant>
        <vt:i4>9</vt:i4>
      </vt:variant>
      <vt:variant>
        <vt:i4>0</vt:i4>
      </vt:variant>
      <vt:variant>
        <vt:i4>5</vt:i4>
      </vt:variant>
      <vt:variant>
        <vt:lpwstr>mailto:Companies.mailbox@mass.gov</vt:lpwstr>
      </vt:variant>
      <vt:variant>
        <vt:lpwstr/>
      </vt:variant>
      <vt:variant>
        <vt:i4>5636135</vt:i4>
      </vt:variant>
      <vt:variant>
        <vt:i4>6</vt:i4>
      </vt:variant>
      <vt:variant>
        <vt:i4>0</vt:i4>
      </vt:variant>
      <vt:variant>
        <vt:i4>5</vt:i4>
      </vt:variant>
      <vt:variant>
        <vt:lpwstr>mailto:companies.mailbox@mass.gov</vt:lpwstr>
      </vt:variant>
      <vt:variant>
        <vt:lpwstr/>
      </vt:variant>
      <vt:variant>
        <vt:i4>5439522</vt:i4>
      </vt:variant>
      <vt:variant>
        <vt:i4>3</vt:i4>
      </vt:variant>
      <vt:variant>
        <vt:i4>0</vt:i4>
      </vt:variant>
      <vt:variant>
        <vt:i4>5</vt:i4>
      </vt:variant>
      <vt:variant>
        <vt:lpwstr>http://www.naic.org/public_lead_state_report.htm</vt:lpwstr>
      </vt:variant>
      <vt:variant>
        <vt:lpwstr/>
      </vt:variant>
      <vt:variant>
        <vt:i4>5636135</vt:i4>
      </vt:variant>
      <vt:variant>
        <vt:i4>0</vt:i4>
      </vt:variant>
      <vt:variant>
        <vt:i4>0</vt:i4>
      </vt:variant>
      <vt:variant>
        <vt:i4>5</vt:i4>
      </vt:variant>
      <vt:variant>
        <vt:lpwstr>mailto:Companies.Mailbox@mass.gov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1</dc:title>
  <dc:subject/>
  <dc:creator>dkaplan</dc:creator>
  <cp:keywords/>
  <cp:lastModifiedBy>Wilbur, Robert (DOI)</cp:lastModifiedBy>
  <cp:revision>2</cp:revision>
  <cp:lastPrinted>2017-12-06T03:23:00Z</cp:lastPrinted>
  <dcterms:created xsi:type="dcterms:W3CDTF">2026-01-30T15:38:00Z</dcterms:created>
  <dcterms:modified xsi:type="dcterms:W3CDTF">2026-01-30T15:38:00Z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0x0101009DE413DC9396414788A0571B52761EC3</vt:lpwstr>
  </property>
  <property fmtid="{D5CDD505-2E9C-101B-9397-08002B2CF9AE}" pid="3" name="MediaServiceImageTags">
    <vt:lpwstr/>
  </property>
</Properties>
</file>