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CDF" w:rsidRDefault="00901CDF" w:rsidP="00901CDF">
      <w:pPr>
        <w:jc w:val="center"/>
      </w:pPr>
      <w:bookmarkStart w:id="0" w:name="_GoBack"/>
      <w:bookmarkEnd w:id="0"/>
      <w:r>
        <w:t>COMMONWEALTH OF MASSACHUSETTS</w:t>
      </w:r>
    </w:p>
    <w:p w:rsidR="00901CDF" w:rsidRDefault="00901CDF" w:rsidP="00901CDF">
      <w:pPr>
        <w:jc w:val="center"/>
      </w:pPr>
    </w:p>
    <w:p w:rsidR="00901CDF" w:rsidRDefault="00901CDF" w:rsidP="00901CDF">
      <w:proofErr w:type="gramStart"/>
      <w:r>
        <w:t>Suffolk, ss.</w:t>
      </w:r>
      <w:proofErr w:type="gramEnd"/>
      <w:r>
        <w:tab/>
      </w:r>
      <w:r>
        <w:tab/>
      </w:r>
      <w:r>
        <w:tab/>
      </w:r>
      <w:r>
        <w:tab/>
      </w:r>
      <w:r>
        <w:tab/>
      </w:r>
      <w:r w:rsidRPr="005C47AD">
        <w:rPr>
          <w:b/>
        </w:rPr>
        <w:t>Division of Administrative Law Appeals</w:t>
      </w:r>
    </w:p>
    <w:p w:rsidR="00901CDF" w:rsidRDefault="00901CDF" w:rsidP="00901CDF"/>
    <w:p w:rsidR="00120FA7" w:rsidRDefault="00120FA7" w:rsidP="00901CDF">
      <w:pPr>
        <w:rPr>
          <w:b/>
        </w:rPr>
      </w:pPr>
    </w:p>
    <w:p w:rsidR="00901CDF" w:rsidRDefault="00085F01" w:rsidP="00901CDF">
      <w:r>
        <w:rPr>
          <w:b/>
        </w:rPr>
        <w:t xml:space="preserve">Rosetta </w:t>
      </w:r>
      <w:proofErr w:type="spellStart"/>
      <w:r>
        <w:rPr>
          <w:b/>
        </w:rPr>
        <w:t>Filkins</w:t>
      </w:r>
      <w:proofErr w:type="spellEnd"/>
      <w:r w:rsidR="00901CDF">
        <w:t>,</w:t>
      </w:r>
    </w:p>
    <w:p w:rsidR="00901CDF" w:rsidRDefault="00901CDF" w:rsidP="00901CDF">
      <w:r>
        <w:tab/>
        <w:t>Petitioner</w:t>
      </w:r>
    </w:p>
    <w:p w:rsidR="00901CDF" w:rsidRDefault="00901CDF" w:rsidP="00901CDF"/>
    <w:p w:rsidR="00901CDF" w:rsidRDefault="00901CDF" w:rsidP="00901CDF">
      <w:r>
        <w:t>v.</w:t>
      </w:r>
      <w:r>
        <w:tab/>
      </w:r>
      <w:r>
        <w:tab/>
      </w:r>
      <w:r>
        <w:tab/>
      </w:r>
      <w:r>
        <w:tab/>
      </w:r>
      <w:r>
        <w:tab/>
      </w:r>
      <w:r>
        <w:tab/>
        <w:t xml:space="preserve">Docket No. </w:t>
      </w:r>
      <w:r w:rsidR="005777CD">
        <w:tab/>
      </w:r>
      <w:r w:rsidR="00367362">
        <w:t>CR-1</w:t>
      </w:r>
      <w:r w:rsidR="00085F01">
        <w:t>1</w:t>
      </w:r>
      <w:r>
        <w:t>-</w:t>
      </w:r>
      <w:r w:rsidR="00085F01">
        <w:t>715</w:t>
      </w:r>
    </w:p>
    <w:p w:rsidR="00542558" w:rsidRDefault="00212BBF" w:rsidP="00901CDF">
      <w:r>
        <w:tab/>
      </w:r>
      <w:r>
        <w:tab/>
      </w:r>
      <w:r>
        <w:tab/>
      </w:r>
      <w:r>
        <w:tab/>
      </w:r>
      <w:r>
        <w:tab/>
      </w:r>
      <w:r>
        <w:tab/>
        <w:t xml:space="preserve">Date Issued: </w:t>
      </w:r>
      <w:r w:rsidR="005777CD">
        <w:tab/>
      </w:r>
      <w:r w:rsidR="00DE3053">
        <w:t>June 10</w:t>
      </w:r>
      <w:r w:rsidR="00120FA7">
        <w:t>, 201</w:t>
      </w:r>
      <w:r w:rsidR="003D3DAF">
        <w:t>6</w:t>
      </w:r>
    </w:p>
    <w:p w:rsidR="00901CDF" w:rsidRPr="000D4ACD" w:rsidRDefault="00085F01" w:rsidP="00901CDF">
      <w:pPr>
        <w:rPr>
          <w:b/>
        </w:rPr>
      </w:pPr>
      <w:r>
        <w:rPr>
          <w:b/>
        </w:rPr>
        <w:t>State Board</w:t>
      </w:r>
      <w:r w:rsidR="006E39BE">
        <w:rPr>
          <w:b/>
        </w:rPr>
        <w:t xml:space="preserve"> </w:t>
      </w:r>
      <w:r w:rsidR="00561FC7">
        <w:rPr>
          <w:b/>
        </w:rPr>
        <w:t>o</w:t>
      </w:r>
      <w:r w:rsidR="006E39BE">
        <w:rPr>
          <w:b/>
        </w:rPr>
        <w:t>f Retirement</w:t>
      </w:r>
      <w:r w:rsidR="00901CDF">
        <w:t>,</w:t>
      </w:r>
    </w:p>
    <w:p w:rsidR="00901CDF" w:rsidRDefault="00901CDF" w:rsidP="00901CDF">
      <w:r>
        <w:tab/>
        <w:t>Respondent</w:t>
      </w:r>
    </w:p>
    <w:p w:rsidR="00901CDF" w:rsidRDefault="00901CDF" w:rsidP="00901CDF"/>
    <w:p w:rsidR="00901CDF" w:rsidRDefault="00901CDF" w:rsidP="00901CDF"/>
    <w:p w:rsidR="00901CDF" w:rsidRPr="005C47AD" w:rsidRDefault="00901CDF" w:rsidP="00901CDF">
      <w:pPr>
        <w:rPr>
          <w:b/>
        </w:rPr>
      </w:pPr>
      <w:r w:rsidRPr="005C47AD">
        <w:rPr>
          <w:b/>
        </w:rPr>
        <w:t>Appearance for Petitioner:</w:t>
      </w:r>
      <w:r w:rsidRPr="005C47AD">
        <w:rPr>
          <w:b/>
        </w:rPr>
        <w:tab/>
      </w:r>
      <w:r w:rsidRPr="005C47AD">
        <w:rPr>
          <w:b/>
        </w:rPr>
        <w:tab/>
      </w:r>
      <w:r w:rsidRPr="005C47AD">
        <w:rPr>
          <w:b/>
        </w:rPr>
        <w:tab/>
      </w:r>
    </w:p>
    <w:p w:rsidR="00901CDF" w:rsidRDefault="00901CDF" w:rsidP="00901CDF"/>
    <w:p w:rsidR="00014B75" w:rsidRDefault="006E39BE" w:rsidP="005777CD">
      <w:pPr>
        <w:ind w:firstLine="720"/>
        <w:rPr>
          <w:i/>
        </w:rPr>
      </w:pPr>
      <w:r>
        <w:t xml:space="preserve">Rosetta </w:t>
      </w:r>
      <w:proofErr w:type="spellStart"/>
      <w:r>
        <w:t>Fi</w:t>
      </w:r>
      <w:r w:rsidR="00E6593C">
        <w:t>l</w:t>
      </w:r>
      <w:r>
        <w:t>kins</w:t>
      </w:r>
      <w:proofErr w:type="spellEnd"/>
      <w:r>
        <w:t xml:space="preserve">, </w:t>
      </w:r>
      <w:r w:rsidR="00542558" w:rsidRPr="00542558">
        <w:rPr>
          <w:i/>
        </w:rPr>
        <w:t>Pro se</w:t>
      </w:r>
    </w:p>
    <w:p w:rsidR="006E39BE" w:rsidRDefault="006E39BE" w:rsidP="005777CD">
      <w:pPr>
        <w:ind w:firstLine="720"/>
      </w:pPr>
      <w:r>
        <w:t>15A Crapo Street</w:t>
      </w:r>
    </w:p>
    <w:p w:rsidR="006E39BE" w:rsidRPr="007C3C0F" w:rsidRDefault="006E39BE" w:rsidP="005777CD">
      <w:pPr>
        <w:ind w:firstLine="720"/>
        <w:rPr>
          <w:highlight w:val="yellow"/>
        </w:rPr>
      </w:pPr>
      <w:r>
        <w:t>New Bedford, MA 02740</w:t>
      </w:r>
    </w:p>
    <w:p w:rsidR="00901CDF" w:rsidRDefault="00014B75" w:rsidP="00014B75">
      <w:pPr>
        <w:tabs>
          <w:tab w:val="left" w:pos="2025"/>
        </w:tabs>
      </w:pPr>
      <w:r>
        <w:tab/>
      </w:r>
    </w:p>
    <w:p w:rsidR="00901CDF" w:rsidRPr="005C47AD" w:rsidRDefault="00901CDF" w:rsidP="00901CDF">
      <w:pPr>
        <w:rPr>
          <w:b/>
        </w:rPr>
      </w:pPr>
      <w:r w:rsidRPr="005C47AD">
        <w:rPr>
          <w:b/>
        </w:rPr>
        <w:t>Appearance for Respondent:</w:t>
      </w:r>
      <w:r w:rsidRPr="005C47AD">
        <w:rPr>
          <w:b/>
        </w:rPr>
        <w:tab/>
      </w:r>
      <w:r w:rsidRPr="005C47AD">
        <w:rPr>
          <w:b/>
        </w:rPr>
        <w:tab/>
      </w:r>
      <w:r w:rsidRPr="005C47AD">
        <w:rPr>
          <w:b/>
        </w:rPr>
        <w:tab/>
      </w:r>
    </w:p>
    <w:p w:rsidR="00901CDF" w:rsidRDefault="00901CDF" w:rsidP="00901CDF"/>
    <w:p w:rsidR="00085F01" w:rsidRDefault="00085F01" w:rsidP="00901CDF">
      <w:r>
        <w:tab/>
        <w:t>Melinda Troy, Esq.</w:t>
      </w:r>
    </w:p>
    <w:p w:rsidR="00901CDF" w:rsidRDefault="00085F01" w:rsidP="00901CDF">
      <w:r>
        <w:tab/>
        <w:t>State Board of Retirement</w:t>
      </w:r>
    </w:p>
    <w:p w:rsidR="00085F01" w:rsidRDefault="00085F01" w:rsidP="00901CDF">
      <w:r>
        <w:tab/>
        <w:t>One Winter Street, 8</w:t>
      </w:r>
      <w:r w:rsidRPr="00085F01">
        <w:rPr>
          <w:vertAlign w:val="superscript"/>
        </w:rPr>
        <w:t>th</w:t>
      </w:r>
      <w:r>
        <w:t xml:space="preserve"> Floor</w:t>
      </w:r>
    </w:p>
    <w:p w:rsidR="00085F01" w:rsidRDefault="00085F01" w:rsidP="00901CDF">
      <w:r>
        <w:tab/>
        <w:t>Boston, MA 02108</w:t>
      </w:r>
    </w:p>
    <w:p w:rsidR="00EA4825" w:rsidRDefault="00EA4825" w:rsidP="00901CDF"/>
    <w:p w:rsidR="00901CDF" w:rsidRPr="005C47AD" w:rsidRDefault="00901CDF" w:rsidP="00901CDF">
      <w:pPr>
        <w:rPr>
          <w:b/>
        </w:rPr>
      </w:pPr>
      <w:r w:rsidRPr="005C47AD">
        <w:rPr>
          <w:b/>
        </w:rPr>
        <w:t>Magistrate:</w:t>
      </w:r>
      <w:r w:rsidRPr="005C47AD">
        <w:rPr>
          <w:b/>
        </w:rPr>
        <w:tab/>
      </w:r>
      <w:r w:rsidRPr="005C47AD">
        <w:rPr>
          <w:b/>
        </w:rPr>
        <w:tab/>
      </w:r>
      <w:r w:rsidR="00D03ABD">
        <w:rPr>
          <w:b/>
        </w:rPr>
        <w:t xml:space="preserve"> </w:t>
      </w:r>
      <w:r w:rsidRPr="005C47AD">
        <w:rPr>
          <w:b/>
        </w:rPr>
        <w:tab/>
      </w:r>
    </w:p>
    <w:p w:rsidR="00901CDF" w:rsidRDefault="00901CDF" w:rsidP="00901CDF"/>
    <w:p w:rsidR="00901CDF" w:rsidRDefault="00085F01" w:rsidP="00901CDF">
      <w:pPr>
        <w:ind w:firstLine="720"/>
      </w:pPr>
      <w:r w:rsidRPr="00120FA7">
        <w:t>Edward McGrath</w:t>
      </w:r>
      <w:r w:rsidR="00901CDF" w:rsidRPr="00120FA7">
        <w:t>, Esq.</w:t>
      </w:r>
    </w:p>
    <w:p w:rsidR="00120FA7" w:rsidRPr="00120FA7" w:rsidRDefault="00120FA7" w:rsidP="00901CDF">
      <w:pPr>
        <w:ind w:firstLine="720"/>
      </w:pPr>
      <w:r w:rsidRPr="00120FA7">
        <w:t>Chief Administrative</w:t>
      </w:r>
      <w:r w:rsidR="00B13ADA">
        <w:t xml:space="preserve"> Magistrate</w:t>
      </w:r>
    </w:p>
    <w:p w:rsidR="00120FA7" w:rsidRDefault="00120FA7" w:rsidP="00901CDF"/>
    <w:p w:rsidR="000E2F86" w:rsidRDefault="000E2F86" w:rsidP="00901CDF"/>
    <w:p w:rsidR="00600181" w:rsidRDefault="00901CDF" w:rsidP="00494531">
      <w:pPr>
        <w:jc w:val="center"/>
        <w:rPr>
          <w:b/>
        </w:rPr>
      </w:pPr>
      <w:r w:rsidRPr="005C47AD">
        <w:rPr>
          <w:b/>
        </w:rPr>
        <w:t>SUMMARY OF DECISION</w:t>
      </w:r>
    </w:p>
    <w:p w:rsidR="00494531" w:rsidRPr="00494531" w:rsidRDefault="00494531" w:rsidP="00494531">
      <w:pPr>
        <w:jc w:val="center"/>
        <w:rPr>
          <w:b/>
        </w:rPr>
      </w:pPr>
    </w:p>
    <w:p w:rsidR="00F264EF" w:rsidRDefault="007C64AF" w:rsidP="00120FA7">
      <w:pPr>
        <w:ind w:firstLine="720"/>
      </w:pPr>
      <w:r>
        <w:t>The Respondent’s decision to deny the Petitioner’s request to purchase time as creditable service is affirmed, because t</w:t>
      </w:r>
      <w:r w:rsidR="00B73937">
        <w:t xml:space="preserve">he Petitioner </w:t>
      </w:r>
      <w:r w:rsidR="007F0FA3">
        <w:t>did</w:t>
      </w:r>
      <w:r w:rsidR="00DE3053">
        <w:t xml:space="preserve"> </w:t>
      </w:r>
      <w:r w:rsidR="00B73937">
        <w:t xml:space="preserve">not met her burden of establishing that she was an employee of </w:t>
      </w:r>
      <w:r w:rsidR="00684DA1">
        <w:t>a governmental unit</w:t>
      </w:r>
      <w:r w:rsidR="00B73937">
        <w:t xml:space="preserve"> so as to be entitled to credible service pursuant to G.L. c. 32, </w:t>
      </w:r>
      <w:r w:rsidR="000F7F41">
        <w:t>§</w:t>
      </w:r>
      <w:r w:rsidR="00B73937">
        <w:t>3(5</w:t>
      </w:r>
      <w:r w:rsidR="009E34E7">
        <w:t>)</w:t>
      </w:r>
      <w:r w:rsidR="001F3746">
        <w:t>.</w:t>
      </w:r>
      <w:r w:rsidR="00AD4348">
        <w:t xml:space="preserve">  </w:t>
      </w:r>
      <w:r w:rsidR="001733CF">
        <w:t>In addition, t</w:t>
      </w:r>
      <w:r w:rsidR="001F3746">
        <w:t xml:space="preserve">he Respondent did not issue an appealable decision with regard to the Petitioner’s application to purchase her service at Job Training and Employment Corp. </w:t>
      </w:r>
      <w:r w:rsidR="00763DE8">
        <w:t>and,</w:t>
      </w:r>
      <w:r w:rsidR="00744E09">
        <w:t xml:space="preserve"> </w:t>
      </w:r>
      <w:r w:rsidR="00763DE8">
        <w:t>w</w:t>
      </w:r>
      <w:r w:rsidR="00AD4348">
        <w:t>ith respect</w:t>
      </w:r>
      <w:r w:rsidR="00120FA7">
        <w:t xml:space="preserve"> to the P</w:t>
      </w:r>
      <w:r w:rsidR="00494531">
        <w:t xml:space="preserve">etitioner’s employment with the Manpower Area Planning </w:t>
      </w:r>
      <w:proofErr w:type="gramStart"/>
      <w:r w:rsidR="00494531">
        <w:t>Council</w:t>
      </w:r>
      <w:r w:rsidR="00A34A67">
        <w:t>,</w:t>
      </w:r>
      <w:proofErr w:type="gramEnd"/>
      <w:r w:rsidR="001A62CE">
        <w:t xml:space="preserve"> </w:t>
      </w:r>
      <w:r w:rsidR="00256F75">
        <w:t xml:space="preserve">the Petitioner </w:t>
      </w:r>
      <w:r w:rsidR="007F0FA3">
        <w:t>did</w:t>
      </w:r>
      <w:r w:rsidR="00256F75">
        <w:t xml:space="preserve"> not provid</w:t>
      </w:r>
      <w:r w:rsidR="007F0FA3">
        <w:t>e</w:t>
      </w:r>
      <w:r w:rsidR="00256F75">
        <w:t xml:space="preserve"> </w:t>
      </w:r>
      <w:r w:rsidR="007F0FA3">
        <w:t xml:space="preserve">the </w:t>
      </w:r>
      <w:r w:rsidR="00A34A67">
        <w:t>R</w:t>
      </w:r>
      <w:r w:rsidR="007F0FA3">
        <w:t xml:space="preserve">espondent with </w:t>
      </w:r>
      <w:r w:rsidR="00256F75">
        <w:t>sufficient documentation verifying her dates of employment and salary information.</w:t>
      </w:r>
    </w:p>
    <w:p w:rsidR="00B26084" w:rsidRPr="00B73937" w:rsidRDefault="00B26084" w:rsidP="00B10C77">
      <w:pPr>
        <w:rPr>
          <w:b/>
        </w:rPr>
      </w:pPr>
    </w:p>
    <w:p w:rsidR="001A2B4E" w:rsidRDefault="001A2B4E" w:rsidP="004D73AE">
      <w:pPr>
        <w:jc w:val="center"/>
        <w:rPr>
          <w:b/>
        </w:rPr>
      </w:pPr>
    </w:p>
    <w:p w:rsidR="001A2B4E" w:rsidRDefault="001A2B4E" w:rsidP="004D73AE">
      <w:pPr>
        <w:jc w:val="center"/>
        <w:rPr>
          <w:b/>
        </w:rPr>
      </w:pPr>
    </w:p>
    <w:p w:rsidR="005E05D3" w:rsidRDefault="005E05D3" w:rsidP="004D73AE">
      <w:pPr>
        <w:jc w:val="center"/>
        <w:rPr>
          <w:b/>
        </w:rPr>
      </w:pPr>
      <w:r w:rsidRPr="000E2F86">
        <w:rPr>
          <w:b/>
        </w:rPr>
        <w:lastRenderedPageBreak/>
        <w:t>DECISION</w:t>
      </w:r>
    </w:p>
    <w:p w:rsidR="00C531A8" w:rsidRPr="000E2F86" w:rsidRDefault="00C531A8" w:rsidP="001A2B4E">
      <w:pPr>
        <w:rPr>
          <w:b/>
        </w:rPr>
      </w:pPr>
    </w:p>
    <w:p w:rsidR="00504594" w:rsidRDefault="009E7FD2" w:rsidP="00504594">
      <w:pPr>
        <w:spacing w:line="480" w:lineRule="auto"/>
      </w:pPr>
      <w:r>
        <w:tab/>
      </w:r>
      <w:r w:rsidR="00AC462A">
        <w:t xml:space="preserve">Pursuant to G.L. c. 32 </w:t>
      </w:r>
      <w:r w:rsidR="00B26084" w:rsidRPr="00CD5BA7">
        <w:t>§</w:t>
      </w:r>
      <w:r w:rsidR="00A34A67">
        <w:t xml:space="preserve"> </w:t>
      </w:r>
      <w:r w:rsidR="00AC462A">
        <w:t xml:space="preserve">16(4), the Petitioner, Rosetta </w:t>
      </w:r>
      <w:proofErr w:type="spellStart"/>
      <w:r w:rsidR="00AC462A">
        <w:t>Filkins</w:t>
      </w:r>
      <w:proofErr w:type="spellEnd"/>
      <w:r w:rsidR="00AC462A">
        <w:t>, appeals</w:t>
      </w:r>
      <w:r w:rsidR="00AC1502">
        <w:t xml:space="preserve"> the State Board of Retirement’s</w:t>
      </w:r>
      <w:r w:rsidR="00E65298">
        <w:t xml:space="preserve"> </w:t>
      </w:r>
      <w:r w:rsidR="00AC462A">
        <w:t>November 8, 2011 decision denying her request to purchase credible servic</w:t>
      </w:r>
      <w:r w:rsidR="00C03A60">
        <w:t>e for the period from July 27, 1</w:t>
      </w:r>
      <w:r w:rsidR="00AC462A">
        <w:t>975 to August 19, 2009</w:t>
      </w:r>
      <w:r w:rsidR="00B03011">
        <w:t xml:space="preserve">. During this period, </w:t>
      </w:r>
      <w:r w:rsidR="00AC462A">
        <w:t>she worked for various employers funded by</w:t>
      </w:r>
      <w:r w:rsidR="00B03011">
        <w:t xml:space="preserve"> several iterations of a federal law </w:t>
      </w:r>
      <w:r w:rsidR="00E43A63">
        <w:t xml:space="preserve">that provided funding </w:t>
      </w:r>
      <w:r w:rsidR="00B03011">
        <w:t>aimed at training low income populations for work in the public sector</w:t>
      </w:r>
      <w:r w:rsidR="00394A03" w:rsidRPr="00394A03">
        <w:t xml:space="preserve">.  </w:t>
      </w:r>
      <w:r w:rsidR="00C03A60">
        <w:t xml:space="preserve">On November 21, 2011, </w:t>
      </w:r>
      <w:proofErr w:type="spellStart"/>
      <w:r w:rsidR="00C03A60">
        <w:t>Filkins</w:t>
      </w:r>
      <w:proofErr w:type="spellEnd"/>
      <w:r w:rsidR="00C03A60">
        <w:t xml:space="preserve"> filed a timely appeal of th</w:t>
      </w:r>
      <w:r w:rsidR="00E3106E">
        <w:t>e Respondent’s</w:t>
      </w:r>
      <w:r w:rsidR="00C03A60">
        <w:t xml:space="preserve"> decision in accordance with the provisions of G.L. c. 32</w:t>
      </w:r>
      <w:r w:rsidR="00B26084">
        <w:t xml:space="preserve"> </w:t>
      </w:r>
      <w:r w:rsidR="00B26084" w:rsidRPr="00CD5BA7">
        <w:t>§</w:t>
      </w:r>
      <w:r w:rsidR="00C03A60">
        <w:t xml:space="preserve"> 16(4</w:t>
      </w:r>
      <w:r w:rsidR="009E34E7">
        <w:t>)</w:t>
      </w:r>
      <w:r w:rsidR="002D0B4B">
        <w:t>.</w:t>
      </w:r>
      <w:r w:rsidR="00C03A60">
        <w:t xml:space="preserve"> (Ex. 2</w:t>
      </w:r>
      <w:r w:rsidR="009E34E7">
        <w:t>)</w:t>
      </w:r>
      <w:r w:rsidR="00C03A60">
        <w:t xml:space="preserve">  </w:t>
      </w:r>
    </w:p>
    <w:p w:rsidR="00605D5E" w:rsidRDefault="00605D5E" w:rsidP="00504594">
      <w:pPr>
        <w:spacing w:line="480" w:lineRule="auto"/>
      </w:pPr>
      <w:r>
        <w:tab/>
        <w:t xml:space="preserve">On May 12, 2015, I issued a pre-hearing order requiring the parties to submit any proposed exhibits and to file pre-hearing memoranda.  Both parties complied with this order. </w:t>
      </w:r>
      <w:r w:rsidR="00B13ADA">
        <w:t>The Petitioner’s Pre-hearing M</w:t>
      </w:r>
      <w:r w:rsidR="00901361">
        <w:t>emorandum wa</w:t>
      </w:r>
      <w:r w:rsidR="0082694F">
        <w:t>s marked “A” and the Respondent’s “B”.</w:t>
      </w:r>
      <w:r>
        <w:t xml:space="preserve"> </w:t>
      </w:r>
    </w:p>
    <w:p w:rsidR="00542558" w:rsidRPr="00A5132A" w:rsidRDefault="00605D5E" w:rsidP="00504594">
      <w:pPr>
        <w:spacing w:line="480" w:lineRule="auto"/>
      </w:pPr>
      <w:r>
        <w:tab/>
        <w:t xml:space="preserve">A hearing on the merits of the appeal was held September 15, 2015 at the offices of the Division of Administrative Law Appeals, </w:t>
      </w:r>
      <w:r w:rsidR="0032525E">
        <w:t>One Congress Street, 11</w:t>
      </w:r>
      <w:r w:rsidR="0032525E" w:rsidRPr="0032525E">
        <w:rPr>
          <w:vertAlign w:val="superscript"/>
        </w:rPr>
        <w:t>th</w:t>
      </w:r>
      <w:r w:rsidR="0032525E">
        <w:t xml:space="preserve"> Floor, </w:t>
      </w:r>
      <w:proofErr w:type="gramStart"/>
      <w:r w:rsidR="0032525E">
        <w:t>Boston</w:t>
      </w:r>
      <w:proofErr w:type="gramEnd"/>
      <w:r w:rsidR="0032525E">
        <w:t xml:space="preserve">, Massachusetts.  I accepted 37 </w:t>
      </w:r>
      <w:r w:rsidR="006F1DDE">
        <w:t>exhibits into evidence</w:t>
      </w:r>
      <w:r w:rsidR="0082694F">
        <w:t>.</w:t>
      </w:r>
      <w:r w:rsidR="00742754">
        <w:t xml:space="preserve"> (Ex. </w:t>
      </w:r>
      <w:r w:rsidR="00253C86">
        <w:t>Pa-</w:t>
      </w:r>
      <w:proofErr w:type="spellStart"/>
      <w:r w:rsidR="00253C86">
        <w:t>Pv</w:t>
      </w:r>
      <w:proofErr w:type="spellEnd"/>
      <w:r w:rsidR="00253C86">
        <w:t xml:space="preserve"> and R</w:t>
      </w:r>
      <w:r w:rsidR="00742754">
        <w:t>1-</w:t>
      </w:r>
      <w:r w:rsidR="00B13ADA">
        <w:t>R</w:t>
      </w:r>
      <w:r w:rsidR="00253C86">
        <w:t>15</w:t>
      </w:r>
      <w:r w:rsidR="009E34E7">
        <w:t>)</w:t>
      </w:r>
      <w:r w:rsidR="006F1DDE">
        <w:t xml:space="preserve">  </w:t>
      </w:r>
      <w:proofErr w:type="spellStart"/>
      <w:r w:rsidR="00E42D66">
        <w:t>Filkins</w:t>
      </w:r>
      <w:proofErr w:type="spellEnd"/>
      <w:r w:rsidR="00777048">
        <w:t xml:space="preserve"> </w:t>
      </w:r>
      <w:r w:rsidR="00A5132A">
        <w:t xml:space="preserve">testified on her own behalf.  </w:t>
      </w:r>
      <w:r w:rsidR="0082694F">
        <w:t xml:space="preserve">She was the only witness. </w:t>
      </w:r>
      <w:r w:rsidR="00A5132A">
        <w:t>I recorded the hearing on digital media.</w:t>
      </w:r>
      <w:r w:rsidR="0082694F">
        <w:t xml:space="preserve">  The Par</w:t>
      </w:r>
      <w:r w:rsidR="003D3DAF">
        <w:t>ties submitted closing briefs. The P</w:t>
      </w:r>
      <w:r w:rsidR="00901361">
        <w:t>eti</w:t>
      </w:r>
      <w:r w:rsidR="00561FC7">
        <w:t>ti</w:t>
      </w:r>
      <w:r w:rsidR="00901361">
        <w:t>oner’s Closing B</w:t>
      </w:r>
      <w:r w:rsidR="0082694F">
        <w:t>rief was marked “C” and the Respondent’s “D.”</w:t>
      </w:r>
      <w:r w:rsidR="00253C86">
        <w:t xml:space="preserve"> On November 3, 2015, I closed the record.</w:t>
      </w:r>
    </w:p>
    <w:p w:rsidR="009E7FD2" w:rsidRDefault="009E7FD2" w:rsidP="009E7FD2">
      <w:pPr>
        <w:spacing w:line="480" w:lineRule="auto"/>
        <w:jc w:val="center"/>
        <w:rPr>
          <w:b/>
          <w:u w:val="single"/>
        </w:rPr>
      </w:pPr>
      <w:r w:rsidRPr="009E7FD2">
        <w:rPr>
          <w:b/>
          <w:u w:val="single"/>
        </w:rPr>
        <w:t>FINDINGS OF FACT</w:t>
      </w:r>
    </w:p>
    <w:p w:rsidR="00F62766" w:rsidRPr="00F62766" w:rsidRDefault="00F62766" w:rsidP="00243D5E">
      <w:pPr>
        <w:spacing w:line="480" w:lineRule="auto"/>
        <w:ind w:firstLine="720"/>
      </w:pPr>
      <w:r>
        <w:t>Based on the</w:t>
      </w:r>
      <w:r w:rsidR="00243D5E">
        <w:t xml:space="preserve"> documents entered into evidence and the testimony of </w:t>
      </w:r>
      <w:r w:rsidR="00435243">
        <w:t xml:space="preserve">the </w:t>
      </w:r>
      <w:r w:rsidR="00243D5E">
        <w:t>Petitioner</w:t>
      </w:r>
      <w:r>
        <w:t>, I make the following findings of fact:</w:t>
      </w:r>
    </w:p>
    <w:p w:rsidR="004A72D5" w:rsidRPr="004A72D5" w:rsidRDefault="00E42D66" w:rsidP="00720DDA">
      <w:pPr>
        <w:numPr>
          <w:ilvl w:val="0"/>
          <w:numId w:val="1"/>
        </w:numPr>
        <w:spacing w:line="480" w:lineRule="auto"/>
        <w:rPr>
          <w:b/>
          <w:u w:val="single"/>
        </w:rPr>
      </w:pPr>
      <w:r>
        <w:t xml:space="preserve">Rosetta A. </w:t>
      </w:r>
      <w:proofErr w:type="spellStart"/>
      <w:r>
        <w:t>Filkins</w:t>
      </w:r>
      <w:proofErr w:type="spellEnd"/>
      <w:r w:rsidR="004A72D5">
        <w:t xml:space="preserve"> is currently employed by the Executive Office of Labor and Workforce Development and has been so employed since August 20, 2009.  (Ex</w:t>
      </w:r>
      <w:r w:rsidR="00E41907">
        <w:t>.</w:t>
      </w:r>
      <w:r w:rsidR="004A72D5">
        <w:t xml:space="preserve"> </w:t>
      </w:r>
      <w:r w:rsidR="00301439">
        <w:t>R</w:t>
      </w:r>
      <w:r w:rsidR="004A72D5">
        <w:t>3</w:t>
      </w:r>
      <w:r w:rsidR="009E34E7">
        <w:t>)</w:t>
      </w:r>
      <w:r w:rsidR="004A72D5">
        <w:t xml:space="preserve">  </w:t>
      </w:r>
      <w:r w:rsidR="003F68E6" w:rsidRPr="002B2E66">
        <w:lastRenderedPageBreak/>
        <w:t xml:space="preserve">She became a member of the State Employees’ Retirement System (“SERS”) at that time.  </w:t>
      </w:r>
      <w:r w:rsidR="00E41907" w:rsidRPr="002B2E66">
        <w:t>(</w:t>
      </w:r>
      <w:proofErr w:type="spellStart"/>
      <w:r w:rsidR="002B2E66" w:rsidRPr="002B2E66">
        <w:t>Filkins</w:t>
      </w:r>
      <w:proofErr w:type="spellEnd"/>
      <w:r w:rsidR="002B2E66" w:rsidRPr="002B2E66">
        <w:t xml:space="preserve"> </w:t>
      </w:r>
      <w:r w:rsidR="003F68E6" w:rsidRPr="002B2E66">
        <w:t>Testimony</w:t>
      </w:r>
      <w:r w:rsidR="009E34E7">
        <w:t>)</w:t>
      </w:r>
    </w:p>
    <w:p w:rsidR="003F68E6" w:rsidRPr="003F68E6" w:rsidRDefault="003F68E6" w:rsidP="00720DDA">
      <w:pPr>
        <w:numPr>
          <w:ilvl w:val="0"/>
          <w:numId w:val="1"/>
        </w:numPr>
        <w:spacing w:line="480" w:lineRule="auto"/>
        <w:rPr>
          <w:b/>
          <w:u w:val="single"/>
        </w:rPr>
      </w:pPr>
      <w:r>
        <w:t xml:space="preserve">Prior to becoming a Commonwealth employee in 2009, </w:t>
      </w:r>
      <w:r w:rsidR="001A2B4E">
        <w:t xml:space="preserve"> </w:t>
      </w:r>
      <w:proofErr w:type="spellStart"/>
      <w:r>
        <w:t>Filkins</w:t>
      </w:r>
      <w:proofErr w:type="spellEnd"/>
      <w:r>
        <w:t xml:space="preserve"> worked for various employers funded by The Comprehensive Employment and Training Act (“CETA”),</w:t>
      </w:r>
      <w:r w:rsidR="005A687D">
        <w:t xml:space="preserve"> The Job Training Partnership Act of 1982</w:t>
      </w:r>
      <w:r>
        <w:t xml:space="preserve"> </w:t>
      </w:r>
      <w:r w:rsidR="005A687D">
        <w:t>(“</w:t>
      </w:r>
      <w:r>
        <w:t>JTPA</w:t>
      </w:r>
      <w:r w:rsidR="005A687D">
        <w:t>”)</w:t>
      </w:r>
      <w:r>
        <w:t xml:space="preserve"> and </w:t>
      </w:r>
      <w:r w:rsidR="005A687D">
        <w:t>The Workforce Investment Act of 1998</w:t>
      </w:r>
      <w:r w:rsidR="00533E13">
        <w:t>.</w:t>
      </w:r>
      <w:r w:rsidR="005A687D">
        <w:t xml:space="preserve"> (“</w:t>
      </w:r>
      <w:r>
        <w:t>WIA</w:t>
      </w:r>
      <w:r w:rsidR="005A687D">
        <w:t>”</w:t>
      </w:r>
      <w:r w:rsidR="009E34E7">
        <w:t>)</w:t>
      </w:r>
      <w:r>
        <w:t xml:space="preserve"> </w:t>
      </w:r>
      <w:r w:rsidR="00E41907">
        <w:t xml:space="preserve">(Ex. </w:t>
      </w:r>
      <w:r w:rsidR="00253C86">
        <w:t>R</w:t>
      </w:r>
      <w:r w:rsidR="00E41907">
        <w:t>3</w:t>
      </w:r>
      <w:r w:rsidR="009E34E7">
        <w:t>)</w:t>
      </w:r>
      <w:r w:rsidR="00E41907">
        <w:t xml:space="preserve">  </w:t>
      </w:r>
      <w:proofErr w:type="spellStart"/>
      <w:r w:rsidR="00E41907">
        <w:t>Filkins</w:t>
      </w:r>
      <w:proofErr w:type="spellEnd"/>
      <w:r w:rsidR="00E41907">
        <w:t xml:space="preserve"> worked for the Manpower Area Planning Council, which was funded by CETA, from July 27, 1975 to September 30, 198</w:t>
      </w:r>
      <w:r w:rsidR="00563B6A">
        <w:t>2</w:t>
      </w:r>
      <w:r w:rsidR="00E41907">
        <w:t>.</w:t>
      </w:r>
      <w:r w:rsidR="00120FA7" w:rsidRPr="00120FA7">
        <w:rPr>
          <w:rStyle w:val="FootnoteReference"/>
        </w:rPr>
        <w:t xml:space="preserve"> </w:t>
      </w:r>
      <w:r w:rsidR="00E41907">
        <w:t xml:space="preserve">(Ex. </w:t>
      </w:r>
      <w:r w:rsidR="00253C86">
        <w:t>R</w:t>
      </w:r>
      <w:r w:rsidR="00E41907">
        <w:t>3, Testimony</w:t>
      </w:r>
      <w:r w:rsidR="009E34E7">
        <w:t>)</w:t>
      </w:r>
      <w:r w:rsidR="00E41907">
        <w:t xml:space="preserve">  </w:t>
      </w:r>
      <w:proofErr w:type="spellStart"/>
      <w:r w:rsidR="007E32B0">
        <w:t>Filkins</w:t>
      </w:r>
      <w:proofErr w:type="spellEnd"/>
      <w:r w:rsidR="007E32B0">
        <w:t xml:space="preserve"> then worked for Job Training Employment Corp., </w:t>
      </w:r>
      <w:r w:rsidR="00320861">
        <w:t>a non-profit</w:t>
      </w:r>
      <w:r w:rsidR="00A34A67">
        <w:t>,</w:t>
      </w:r>
      <w:r w:rsidR="00320861">
        <w:t xml:space="preserve"> </w:t>
      </w:r>
      <w:r w:rsidR="007E32B0">
        <w:t xml:space="preserve">which was funded by JTPA, from October 1, 1983 to June 30, 1993.  (Ex. </w:t>
      </w:r>
      <w:r w:rsidR="003D3DAF">
        <w:t>R</w:t>
      </w:r>
      <w:r w:rsidR="007E32B0">
        <w:t>3, Testimony</w:t>
      </w:r>
      <w:r w:rsidR="009E34E7">
        <w:t>)</w:t>
      </w:r>
      <w:r w:rsidR="007E32B0">
        <w:t xml:space="preserve">   </w:t>
      </w:r>
      <w:proofErr w:type="spellStart"/>
      <w:r w:rsidR="007E32B0">
        <w:t>Filkins</w:t>
      </w:r>
      <w:proofErr w:type="spellEnd"/>
      <w:r w:rsidR="007E32B0">
        <w:t xml:space="preserve"> </w:t>
      </w:r>
      <w:r w:rsidR="00533E13">
        <w:t xml:space="preserve">next </w:t>
      </w:r>
      <w:r w:rsidR="007E32B0">
        <w:t xml:space="preserve">worked for New Directions, which was funded by JTPA from July 1, 1993 to August 31, 1998 and was funded by WIA from September 1, 1998 to June 30, 2007.  (Ex. </w:t>
      </w:r>
      <w:r w:rsidR="00253C86">
        <w:t>R</w:t>
      </w:r>
      <w:r w:rsidR="007E32B0">
        <w:t>3</w:t>
      </w:r>
      <w:r w:rsidR="009E34E7">
        <w:t>)</w:t>
      </w:r>
      <w:r w:rsidR="007E32B0">
        <w:t xml:space="preserve">   </w:t>
      </w:r>
      <w:proofErr w:type="spellStart"/>
      <w:r w:rsidR="007E32B0">
        <w:t>Filkins</w:t>
      </w:r>
      <w:proofErr w:type="spellEnd"/>
      <w:r w:rsidR="007E32B0">
        <w:t xml:space="preserve"> </w:t>
      </w:r>
      <w:r w:rsidR="006E2937">
        <w:t xml:space="preserve">next </w:t>
      </w:r>
      <w:r w:rsidR="007E32B0">
        <w:t xml:space="preserve">worked for Greater New Bedford Workforce Investment Board, Inc., which was funded by WIA, from July 1, 2007 to August 20, 2009.  </w:t>
      </w:r>
      <w:r w:rsidR="00FE6D7B">
        <w:t xml:space="preserve">(Ex. </w:t>
      </w:r>
      <w:r w:rsidR="00253C86">
        <w:t>R</w:t>
      </w:r>
      <w:r w:rsidR="00FE6D7B">
        <w:t>3</w:t>
      </w:r>
      <w:r w:rsidR="009E34E7">
        <w:t>)</w:t>
      </w:r>
    </w:p>
    <w:p w:rsidR="00EF4CEE" w:rsidRPr="002B2E66" w:rsidRDefault="00EF4CEE" w:rsidP="00D71EFE">
      <w:pPr>
        <w:numPr>
          <w:ilvl w:val="0"/>
          <w:numId w:val="1"/>
        </w:numPr>
        <w:spacing w:line="480" w:lineRule="auto"/>
        <w:rPr>
          <w:b/>
          <w:u w:val="single"/>
        </w:rPr>
      </w:pPr>
      <w:r w:rsidRPr="002B2E66">
        <w:t xml:space="preserve">From October 1, 1983 until May 21, 1993, </w:t>
      </w:r>
      <w:proofErr w:type="spellStart"/>
      <w:r w:rsidRPr="002B2E66">
        <w:t>Filkins</w:t>
      </w:r>
      <w:proofErr w:type="spellEnd"/>
      <w:r w:rsidRPr="002B2E66">
        <w:t xml:space="preserve"> worked for Job Training and Employment Corp. as a payroll clerk/bookkeeper.  (Ex. </w:t>
      </w:r>
      <w:r w:rsidR="003D3DAF">
        <w:t>R</w:t>
      </w:r>
      <w:r w:rsidR="006E7A48" w:rsidRPr="002B2E66">
        <w:t>9</w:t>
      </w:r>
      <w:r w:rsidR="009E34E7">
        <w:t>)</w:t>
      </w:r>
      <w:r w:rsidR="006E7A48" w:rsidRPr="002B2E66">
        <w:t xml:space="preserve">  </w:t>
      </w:r>
    </w:p>
    <w:p w:rsidR="006E7A48" w:rsidRDefault="006E7A48" w:rsidP="006E7A48">
      <w:pPr>
        <w:numPr>
          <w:ilvl w:val="0"/>
          <w:numId w:val="1"/>
        </w:numPr>
        <w:spacing w:line="480" w:lineRule="auto"/>
      </w:pPr>
      <w:r w:rsidRPr="006E7A48">
        <w:t xml:space="preserve">While employed </w:t>
      </w:r>
      <w:r w:rsidR="00A34A67">
        <w:t>with</w:t>
      </w:r>
      <w:r w:rsidRPr="006E7A48">
        <w:t xml:space="preserve"> the Manpower Area </w:t>
      </w:r>
      <w:r w:rsidR="00FB075B">
        <w:t xml:space="preserve">Planning Council, </w:t>
      </w:r>
      <w:proofErr w:type="spellStart"/>
      <w:r w:rsidR="00FB075B">
        <w:t>Filkins</w:t>
      </w:r>
      <w:proofErr w:type="spellEnd"/>
      <w:r w:rsidR="00FB075B">
        <w:t xml:space="preserve"> worked as a payroll clerk and a bookkeeper.  (Ex. </w:t>
      </w:r>
      <w:r w:rsidR="003D3DAF">
        <w:t>R</w:t>
      </w:r>
      <w:r w:rsidR="00FB075B">
        <w:t>9</w:t>
      </w:r>
      <w:r w:rsidR="009E34E7">
        <w:t>)</w:t>
      </w:r>
    </w:p>
    <w:p w:rsidR="00796DF4" w:rsidRPr="006E7A48" w:rsidRDefault="00796DF4" w:rsidP="006E7A48">
      <w:pPr>
        <w:numPr>
          <w:ilvl w:val="0"/>
          <w:numId w:val="1"/>
        </w:numPr>
        <w:spacing w:line="480" w:lineRule="auto"/>
      </w:pPr>
      <w:r>
        <w:t>From May 21</w:t>
      </w:r>
      <w:r w:rsidR="00A34A67">
        <w:t>,</w:t>
      </w:r>
      <w:r>
        <w:t xml:space="preserve"> 1993 until June 1993, </w:t>
      </w:r>
      <w:proofErr w:type="spellStart"/>
      <w:r>
        <w:t>Filkins</w:t>
      </w:r>
      <w:proofErr w:type="spellEnd"/>
      <w:r>
        <w:t xml:space="preserve"> worked for the City of New Bedford while </w:t>
      </w:r>
      <w:r w:rsidR="00FB0613">
        <w:t>“</w:t>
      </w:r>
      <w:r>
        <w:t>working on the startup of New Directions to replace JTEC.” (Ex. R9)</w:t>
      </w:r>
    </w:p>
    <w:p w:rsidR="006E7A48" w:rsidRDefault="006E7A48" w:rsidP="006E7A48">
      <w:pPr>
        <w:numPr>
          <w:ilvl w:val="0"/>
          <w:numId w:val="1"/>
        </w:numPr>
        <w:spacing w:line="480" w:lineRule="auto"/>
      </w:pPr>
      <w:r w:rsidRPr="006E7A48">
        <w:t xml:space="preserve"> </w:t>
      </w:r>
      <w:proofErr w:type="spellStart"/>
      <w:r w:rsidRPr="006E7A48">
        <w:t>Filkins</w:t>
      </w:r>
      <w:proofErr w:type="spellEnd"/>
      <w:r w:rsidRPr="006E7A48">
        <w:t xml:space="preserve"> held numerous positions during her tenure at New Directions </w:t>
      </w:r>
      <w:r>
        <w:t xml:space="preserve">including Assistant Manager of Financial Services (May 1993-November 1993), the Manager of Financial Services (November 1993-July 1996), Assistant Accounts Manager </w:t>
      </w:r>
      <w:r>
        <w:lastRenderedPageBreak/>
        <w:t>(July 1996-September 1998), and Fiscal Accounts Manager (September 1998-June 2003</w:t>
      </w:r>
      <w:r w:rsidR="009E34E7">
        <w:t>)</w:t>
      </w:r>
      <w:r>
        <w:t xml:space="preserve">  (Ex. </w:t>
      </w:r>
      <w:r w:rsidR="0055417C">
        <w:t>R</w:t>
      </w:r>
      <w:r>
        <w:t>9</w:t>
      </w:r>
      <w:r w:rsidR="009E34E7">
        <w:t>)</w:t>
      </w:r>
    </w:p>
    <w:p w:rsidR="006E7A48" w:rsidRDefault="003D3DAF" w:rsidP="00446A8A">
      <w:pPr>
        <w:numPr>
          <w:ilvl w:val="0"/>
          <w:numId w:val="1"/>
        </w:numPr>
        <w:spacing w:line="480" w:lineRule="auto"/>
      </w:pPr>
      <w:r>
        <w:t xml:space="preserve">The </w:t>
      </w:r>
      <w:r w:rsidR="006E7A48">
        <w:t xml:space="preserve">New Directions offices </w:t>
      </w:r>
      <w:r w:rsidR="00350DE8">
        <w:t xml:space="preserve">where </w:t>
      </w:r>
      <w:proofErr w:type="spellStart"/>
      <w:r w:rsidR="00E56969">
        <w:t>Filkins</w:t>
      </w:r>
      <w:proofErr w:type="spellEnd"/>
      <w:r w:rsidR="00350DE8">
        <w:t xml:space="preserve"> </w:t>
      </w:r>
      <w:r w:rsidR="009E3920">
        <w:t xml:space="preserve">worked </w:t>
      </w:r>
      <w:r w:rsidR="006E7A48">
        <w:t>were located in buildings owned by the City of New Bedford</w:t>
      </w:r>
      <w:r w:rsidR="00796DF4">
        <w:t xml:space="preserve"> and </w:t>
      </w:r>
      <w:r w:rsidR="00FB0613">
        <w:t>these buildings housed “other city departments</w:t>
      </w:r>
      <w:r w:rsidR="006E7A48">
        <w:t>.</w:t>
      </w:r>
      <w:r w:rsidR="00FB0613">
        <w:t>”</w:t>
      </w:r>
      <w:r w:rsidR="006E7A48">
        <w:t xml:space="preserve">  (Ex. </w:t>
      </w:r>
      <w:r w:rsidR="009E3920">
        <w:t>R</w:t>
      </w:r>
      <w:r w:rsidR="006E7A48">
        <w:t>9</w:t>
      </w:r>
      <w:r w:rsidR="009E34E7">
        <w:t>)</w:t>
      </w:r>
      <w:r w:rsidR="006E7A48">
        <w:t xml:space="preserve">  </w:t>
      </w:r>
    </w:p>
    <w:p w:rsidR="00E56969" w:rsidRPr="002B2E66" w:rsidRDefault="00E56969" w:rsidP="006E7A48">
      <w:pPr>
        <w:numPr>
          <w:ilvl w:val="0"/>
          <w:numId w:val="1"/>
        </w:numPr>
        <w:spacing w:line="480" w:lineRule="auto"/>
      </w:pPr>
      <w:r w:rsidRPr="002B2E66">
        <w:t xml:space="preserve"> </w:t>
      </w:r>
      <w:proofErr w:type="spellStart"/>
      <w:r w:rsidRPr="002B2E66">
        <w:t>Filkins</w:t>
      </w:r>
      <w:proofErr w:type="spellEnd"/>
      <w:r w:rsidRPr="002B2E66">
        <w:t xml:space="preserve"> was paid under the City of New Bedford’s Tax Id</w:t>
      </w:r>
      <w:r w:rsidR="00941D00" w:rsidRPr="002B2E66">
        <w:t>ent</w:t>
      </w:r>
      <w:r w:rsidR="0030048F" w:rsidRPr="002B2E66">
        <w:t xml:space="preserve">ification Number and </w:t>
      </w:r>
      <w:r w:rsidRPr="002B2E66">
        <w:t>the treasurer of the City of New Bedfor</w:t>
      </w:r>
      <w:r w:rsidR="00941D00" w:rsidRPr="002B2E66">
        <w:t>d signed her paychecks</w:t>
      </w:r>
      <w:r w:rsidR="00672C0F" w:rsidRPr="002B2E66">
        <w:t xml:space="preserve">. (Ex. </w:t>
      </w:r>
      <w:proofErr w:type="spellStart"/>
      <w:r w:rsidR="009E3920">
        <w:t>P</w:t>
      </w:r>
      <w:r w:rsidR="00672C0F" w:rsidRPr="002B2E66">
        <w:t>k</w:t>
      </w:r>
      <w:proofErr w:type="spellEnd"/>
      <w:r w:rsidR="00672C0F" w:rsidRPr="002B2E66">
        <w:t xml:space="preserve">, </w:t>
      </w:r>
      <w:proofErr w:type="spellStart"/>
      <w:r w:rsidR="002B2E66" w:rsidRPr="002B2E66">
        <w:t>Filkins</w:t>
      </w:r>
      <w:proofErr w:type="spellEnd"/>
      <w:r w:rsidR="002B2E66" w:rsidRPr="002B2E66">
        <w:t xml:space="preserve"> </w:t>
      </w:r>
      <w:r w:rsidR="00672C0F" w:rsidRPr="002B2E66">
        <w:t>Testimony</w:t>
      </w:r>
      <w:r w:rsidR="009E34E7">
        <w:t>)</w:t>
      </w:r>
      <w:r w:rsidR="00672C0F" w:rsidRPr="002B2E66">
        <w:t xml:space="preserve"> </w:t>
      </w:r>
      <w:r w:rsidR="00941D00" w:rsidRPr="002B2E66">
        <w:t xml:space="preserve"> </w:t>
      </w:r>
      <w:proofErr w:type="spellStart"/>
      <w:r w:rsidR="00941D00" w:rsidRPr="002B2E66">
        <w:t>Filkins</w:t>
      </w:r>
      <w:proofErr w:type="spellEnd"/>
      <w:r w:rsidR="00941D00" w:rsidRPr="002B2E66">
        <w:t xml:space="preserve"> also received health and life insurance </w:t>
      </w:r>
      <w:r w:rsidRPr="002B2E66">
        <w:t xml:space="preserve">through the City of New Bedford.  (Ex. </w:t>
      </w:r>
      <w:proofErr w:type="spellStart"/>
      <w:r w:rsidR="009E3920">
        <w:t>P</w:t>
      </w:r>
      <w:r w:rsidRPr="002B2E66">
        <w:t>k</w:t>
      </w:r>
      <w:proofErr w:type="spellEnd"/>
      <w:r w:rsidR="009E34E7">
        <w:t>)</w:t>
      </w:r>
    </w:p>
    <w:p w:rsidR="00FB0613" w:rsidRDefault="0058248E" w:rsidP="006E7A48">
      <w:pPr>
        <w:numPr>
          <w:ilvl w:val="0"/>
          <w:numId w:val="1"/>
        </w:numPr>
        <w:spacing w:line="480" w:lineRule="auto"/>
      </w:pPr>
      <w:r>
        <w:t>The City of New Bedford</w:t>
      </w:r>
      <w:r w:rsidR="008E042B">
        <w:t>’s</w:t>
      </w:r>
      <w:r>
        <w:t xml:space="preserve"> CFO was a signatory on the New Directions payroll account until New Directions became an independent </w:t>
      </w:r>
      <w:r w:rsidR="008A6FF4">
        <w:t>501</w:t>
      </w:r>
      <w:r w:rsidR="00763DE8">
        <w:t>(c)</w:t>
      </w:r>
      <w:r w:rsidR="00FB0613">
        <w:t>(</w:t>
      </w:r>
      <w:r w:rsidR="008A6FF4">
        <w:t>3</w:t>
      </w:r>
      <w:r w:rsidR="00FB0613">
        <w:t>)</w:t>
      </w:r>
      <w:r w:rsidR="008A6FF4">
        <w:t xml:space="preserve"> in October 2006.  (Ex. </w:t>
      </w:r>
      <w:r w:rsidR="009E3920">
        <w:t>R</w:t>
      </w:r>
      <w:r w:rsidR="008A6FF4">
        <w:t>9</w:t>
      </w:r>
      <w:r w:rsidR="009E34E7">
        <w:t>)</w:t>
      </w:r>
      <w:r w:rsidR="008A6FF4">
        <w:t xml:space="preserve"> </w:t>
      </w:r>
    </w:p>
    <w:p w:rsidR="0058248E" w:rsidRPr="006E7A48" w:rsidRDefault="00FB0613" w:rsidP="006E7A48">
      <w:pPr>
        <w:numPr>
          <w:ilvl w:val="0"/>
          <w:numId w:val="1"/>
        </w:numPr>
        <w:spacing w:line="480" w:lineRule="auto"/>
      </w:pPr>
      <w:r>
        <w:t xml:space="preserve">“New Directions was part of the City of New </w:t>
      </w:r>
      <w:r w:rsidR="00744E09">
        <w:t>B</w:t>
      </w:r>
      <w:r>
        <w:t>edford’s A-133 Audit.”</w:t>
      </w:r>
      <w:r w:rsidR="008A6FF4">
        <w:t xml:space="preserve"> </w:t>
      </w:r>
      <w:r>
        <w:t xml:space="preserve"> (Ex. R2)</w:t>
      </w:r>
      <w:r w:rsidR="001A5B35">
        <w:rPr>
          <w:rStyle w:val="FootnoteReference"/>
        </w:rPr>
        <w:footnoteReference w:id="1"/>
      </w:r>
    </w:p>
    <w:p w:rsidR="00066FA7" w:rsidRDefault="00FE6D7B" w:rsidP="0019423B">
      <w:pPr>
        <w:numPr>
          <w:ilvl w:val="0"/>
          <w:numId w:val="1"/>
        </w:numPr>
        <w:spacing w:line="480" w:lineRule="auto"/>
        <w:rPr>
          <w:b/>
          <w:color w:val="FF0000"/>
          <w:u w:val="single"/>
        </w:rPr>
      </w:pPr>
      <w:r>
        <w:t xml:space="preserve">The New Bedford Contributory Retirement System will not accept liability for </w:t>
      </w:r>
      <w:proofErr w:type="spellStart"/>
      <w:r>
        <w:t>Filkins</w:t>
      </w:r>
      <w:proofErr w:type="spellEnd"/>
      <w:r>
        <w:t xml:space="preserve"> for the time she was not making contributions to their system, includ</w:t>
      </w:r>
      <w:r w:rsidR="003D3DAF">
        <w:t>ing the period</w:t>
      </w:r>
      <w:r>
        <w:t xml:space="preserve"> </w:t>
      </w:r>
      <w:r w:rsidR="003D3DAF">
        <w:t xml:space="preserve">from </w:t>
      </w:r>
      <w:r>
        <w:t xml:space="preserve">January 1, </w:t>
      </w:r>
      <w:r w:rsidR="00E56969">
        <w:t xml:space="preserve">1994 to August 19, 2009.  (Ex. </w:t>
      </w:r>
      <w:r w:rsidR="009E3920">
        <w:t>P</w:t>
      </w:r>
      <w:r w:rsidR="00E56969">
        <w:t>i</w:t>
      </w:r>
      <w:r w:rsidR="009E34E7">
        <w:t>)</w:t>
      </w:r>
      <w:r>
        <w:t xml:space="preserve">  </w:t>
      </w:r>
      <w:r w:rsidR="00A41E48">
        <w:t>None of the New Directions employees were permitted to become members of the City of New Bedford Retirement System.  (</w:t>
      </w:r>
      <w:proofErr w:type="spellStart"/>
      <w:r w:rsidR="002B2E66">
        <w:t>Filkins</w:t>
      </w:r>
      <w:proofErr w:type="spellEnd"/>
      <w:r w:rsidR="002B2E66">
        <w:t xml:space="preserve"> </w:t>
      </w:r>
      <w:r w:rsidR="00A41E48">
        <w:t>Testimony)</w:t>
      </w:r>
    </w:p>
    <w:p w:rsidR="00E23BE5" w:rsidRDefault="00E23BE5" w:rsidP="00D71EFE">
      <w:pPr>
        <w:numPr>
          <w:ilvl w:val="0"/>
          <w:numId w:val="1"/>
        </w:numPr>
        <w:spacing w:line="480" w:lineRule="auto"/>
      </w:pPr>
      <w:r>
        <w:t xml:space="preserve"> </w:t>
      </w:r>
      <w:proofErr w:type="spellStart"/>
      <w:r>
        <w:t>Filkins</w:t>
      </w:r>
      <w:proofErr w:type="spellEnd"/>
      <w:r>
        <w:t xml:space="preserve"> submitted a buy back request form on November 25, 2009 </w:t>
      </w:r>
      <w:r w:rsidR="00A34A67">
        <w:t xml:space="preserve">to the Respondent State Board of Retirement </w:t>
      </w:r>
      <w:r>
        <w:t xml:space="preserve">requesting that she be allowed to buy back her service for her employment with Manpower Area Planning Council, Job Training </w:t>
      </w:r>
      <w:r>
        <w:lastRenderedPageBreak/>
        <w:t xml:space="preserve">Employment Corp, New Directions, and Greater New </w:t>
      </w:r>
      <w:r w:rsidRPr="00E65298">
        <w:t xml:space="preserve">Bedford Workforce Investment Board, Inc. (Ex. </w:t>
      </w:r>
      <w:r w:rsidR="009E3920">
        <w:t>R</w:t>
      </w:r>
      <w:r w:rsidRPr="00E65298">
        <w:t>3</w:t>
      </w:r>
      <w:r w:rsidR="009E34E7">
        <w:t>)</w:t>
      </w:r>
    </w:p>
    <w:p w:rsidR="00901361" w:rsidRDefault="00901361" w:rsidP="00D71EFE">
      <w:pPr>
        <w:numPr>
          <w:ilvl w:val="0"/>
          <w:numId w:val="1"/>
        </w:numPr>
        <w:spacing w:line="480" w:lineRule="auto"/>
      </w:pPr>
      <w:r>
        <w:t>On October 15, 2010, the Respondent wrote to the Petitioner and asked for more information. (Ex. R7</w:t>
      </w:r>
      <w:r w:rsidR="009E34E7">
        <w:t>)</w:t>
      </w:r>
    </w:p>
    <w:p w:rsidR="00901361" w:rsidRDefault="0038104A" w:rsidP="00D71EFE">
      <w:pPr>
        <w:numPr>
          <w:ilvl w:val="0"/>
          <w:numId w:val="1"/>
        </w:numPr>
        <w:spacing w:line="480" w:lineRule="auto"/>
      </w:pPr>
      <w:r>
        <w:t xml:space="preserve">On </w:t>
      </w:r>
      <w:r w:rsidR="00901361">
        <w:t>October 22, 2010</w:t>
      </w:r>
      <w:r w:rsidR="00E3106E">
        <w:t>,</w:t>
      </w:r>
      <w:r w:rsidR="00901361">
        <w:t xml:space="preserve"> </w:t>
      </w:r>
      <w:r w:rsidR="006E39BE">
        <w:t>the Petitioner</w:t>
      </w:r>
      <w:r w:rsidR="00F71B47">
        <w:t xml:space="preserve"> </w:t>
      </w:r>
      <w:r w:rsidR="00901361">
        <w:t xml:space="preserve">wrote a letter to the Respondent explaining the history of her </w:t>
      </w:r>
      <w:r w:rsidR="006E39BE">
        <w:t>employers</w:t>
      </w:r>
      <w:r w:rsidR="00901361">
        <w:t xml:space="preserve"> and promising to provide </w:t>
      </w:r>
      <w:r w:rsidR="006E2937">
        <w:t>written</w:t>
      </w:r>
      <w:r w:rsidR="00D851DC">
        <w:t xml:space="preserve"> </w:t>
      </w:r>
      <w:r w:rsidR="00901361">
        <w:t>documentation as soon as possible. (Ex. R8</w:t>
      </w:r>
      <w:r w:rsidR="009E34E7">
        <w:t>)</w:t>
      </w:r>
    </w:p>
    <w:p w:rsidR="0038104A" w:rsidRDefault="00901361" w:rsidP="00D71EFE">
      <w:pPr>
        <w:numPr>
          <w:ilvl w:val="0"/>
          <w:numId w:val="1"/>
        </w:numPr>
        <w:spacing w:line="480" w:lineRule="auto"/>
      </w:pPr>
      <w:r>
        <w:t xml:space="preserve">On </w:t>
      </w:r>
      <w:r w:rsidR="0038104A">
        <w:t xml:space="preserve">February 17, 2011, in response to the </w:t>
      </w:r>
      <w:r w:rsidR="001B69C4">
        <w:t>Respondent</w:t>
      </w:r>
      <w:r w:rsidR="0038104A">
        <w:t xml:space="preserve">’s October 15, 2010 request for additional information, the Board received records from </w:t>
      </w:r>
      <w:proofErr w:type="spellStart"/>
      <w:r w:rsidR="0038104A">
        <w:t>Filkins</w:t>
      </w:r>
      <w:proofErr w:type="spellEnd"/>
      <w:r w:rsidR="0038104A">
        <w:t xml:space="preserve"> detailing her employment history. </w:t>
      </w:r>
      <w:r>
        <w:t>(Ex. R9</w:t>
      </w:r>
      <w:r w:rsidR="009E34E7">
        <w:t>)</w:t>
      </w:r>
    </w:p>
    <w:p w:rsidR="001B69C4" w:rsidRDefault="00795380" w:rsidP="00667F66">
      <w:pPr>
        <w:pStyle w:val="ListParagraph"/>
        <w:numPr>
          <w:ilvl w:val="0"/>
          <w:numId w:val="1"/>
        </w:numPr>
        <w:spacing w:line="480" w:lineRule="auto"/>
      </w:pPr>
      <w:r>
        <w:t xml:space="preserve">A November 19, 2009 letter from the Greater New Bedford Workforce Investment Board’s CFO, Steven Grant, states that </w:t>
      </w:r>
      <w:proofErr w:type="spellStart"/>
      <w:r w:rsidR="0038104A" w:rsidRPr="0038104A">
        <w:t>Filkins</w:t>
      </w:r>
      <w:proofErr w:type="spellEnd"/>
      <w:r w:rsidR="0038104A" w:rsidRPr="0038104A">
        <w:t>’ salary information for</w:t>
      </w:r>
      <w:r w:rsidR="004167BE">
        <w:t xml:space="preserve"> the years 1977 through 1979</w:t>
      </w:r>
      <w:r w:rsidR="004F387C">
        <w:t xml:space="preserve"> and 1987 </w:t>
      </w:r>
      <w:r w:rsidR="004167BE">
        <w:t>is</w:t>
      </w:r>
      <w:r>
        <w:t xml:space="preserve"> unavailable</w:t>
      </w:r>
      <w:r w:rsidR="0038104A" w:rsidRPr="0038104A">
        <w:t xml:space="preserve">.  (Ex. </w:t>
      </w:r>
      <w:proofErr w:type="spellStart"/>
      <w:r w:rsidR="009E3920">
        <w:t>P</w:t>
      </w:r>
      <w:r w:rsidR="0038104A" w:rsidRPr="0038104A">
        <w:t>b</w:t>
      </w:r>
      <w:proofErr w:type="spellEnd"/>
      <w:r w:rsidR="009E34E7">
        <w:t>)</w:t>
      </w:r>
      <w:r w:rsidR="0038104A" w:rsidRPr="0038104A">
        <w:t xml:space="preserve">  </w:t>
      </w:r>
      <w:r w:rsidR="004F387C">
        <w:t>T</w:t>
      </w:r>
      <w:r w:rsidR="008E042B">
        <w:t>he</w:t>
      </w:r>
      <w:r w:rsidR="0038104A" w:rsidRPr="0038104A">
        <w:t xml:space="preserve"> letter </w:t>
      </w:r>
      <w:proofErr w:type="gramStart"/>
      <w:r w:rsidR="00A34A67">
        <w:t xml:space="preserve">states </w:t>
      </w:r>
      <w:r w:rsidR="0038104A" w:rsidRPr="0038104A">
        <w:t xml:space="preserve"> that</w:t>
      </w:r>
      <w:proofErr w:type="gramEnd"/>
      <w:r w:rsidR="0038104A" w:rsidRPr="0038104A">
        <w:t xml:space="preserve"> </w:t>
      </w:r>
      <w:r w:rsidR="004F387C">
        <w:t xml:space="preserve">although only </w:t>
      </w:r>
      <w:r w:rsidR="00097354">
        <w:t>$</w:t>
      </w:r>
      <w:r w:rsidR="004F387C">
        <w:t>2</w:t>
      </w:r>
      <w:r w:rsidR="00744E09">
        <w:t>,</w:t>
      </w:r>
      <w:r w:rsidR="004F387C">
        <w:t>564 and $2</w:t>
      </w:r>
      <w:r w:rsidR="00744E09">
        <w:t>,</w:t>
      </w:r>
      <w:r w:rsidR="004F387C">
        <w:t>882 were listed as wages in 1975 and 1</w:t>
      </w:r>
      <w:r w:rsidR="00097354">
        <w:t>9</w:t>
      </w:r>
      <w:r w:rsidR="004F387C">
        <w:t xml:space="preserve">76 respectively, </w:t>
      </w:r>
      <w:proofErr w:type="spellStart"/>
      <w:r w:rsidR="004F387C">
        <w:t>Filkins</w:t>
      </w:r>
      <w:proofErr w:type="spellEnd"/>
      <w:r w:rsidR="004F387C">
        <w:t xml:space="preserve"> worked 35 hours a week.</w:t>
      </w:r>
      <w:r w:rsidR="0038104A" w:rsidRPr="0038104A">
        <w:t xml:space="preserve"> (Ex. </w:t>
      </w:r>
      <w:proofErr w:type="spellStart"/>
      <w:r w:rsidR="009E3920">
        <w:t>P</w:t>
      </w:r>
      <w:r w:rsidR="0038104A" w:rsidRPr="0038104A">
        <w:t>b</w:t>
      </w:r>
      <w:proofErr w:type="spellEnd"/>
      <w:r w:rsidR="009E34E7">
        <w:t>)</w:t>
      </w:r>
    </w:p>
    <w:p w:rsidR="001F6C00" w:rsidRDefault="0038104A" w:rsidP="00667F66">
      <w:pPr>
        <w:pStyle w:val="ListParagraph"/>
        <w:numPr>
          <w:ilvl w:val="0"/>
          <w:numId w:val="1"/>
        </w:numPr>
        <w:spacing w:line="480" w:lineRule="auto"/>
      </w:pPr>
      <w:r w:rsidRPr="0038104A">
        <w:t xml:space="preserve">   </w:t>
      </w:r>
      <w:r w:rsidR="00A34A67">
        <w:t>T</w:t>
      </w:r>
      <w:r w:rsidRPr="0038104A">
        <w:t>he discrepancies</w:t>
      </w:r>
      <w:r w:rsidR="001B69C4">
        <w:t xml:space="preserve"> </w:t>
      </w:r>
      <w:r w:rsidR="004F387C">
        <w:t xml:space="preserve">in </w:t>
      </w:r>
      <w:proofErr w:type="spellStart"/>
      <w:r w:rsidR="00A34A67">
        <w:t>Filkins</w:t>
      </w:r>
      <w:proofErr w:type="spellEnd"/>
      <w:r w:rsidR="00A34A67">
        <w:t>’</w:t>
      </w:r>
      <w:r w:rsidR="004F387C">
        <w:t xml:space="preserve"> wages </w:t>
      </w:r>
      <w:r w:rsidR="001B69C4">
        <w:t>concern</w:t>
      </w:r>
      <w:r w:rsidRPr="0038104A">
        <w:t xml:space="preserve"> years in which she transitioned into a new position, which would have affected her salary records at the previous position. (Testimony</w:t>
      </w:r>
      <w:r w:rsidR="009E34E7">
        <w:t>)</w:t>
      </w:r>
    </w:p>
    <w:p w:rsidR="00F8028C" w:rsidRDefault="00F8028C" w:rsidP="00667F66">
      <w:pPr>
        <w:pStyle w:val="ListParagraph"/>
        <w:numPr>
          <w:ilvl w:val="0"/>
          <w:numId w:val="1"/>
        </w:numPr>
        <w:spacing w:line="480" w:lineRule="auto"/>
      </w:pPr>
      <w:r>
        <w:t>Greater New Bedford Workforce Investment Board was “the fiscal agent for workforce development funds for the City of New Bedford.” (Ex. R.9</w:t>
      </w:r>
      <w:r w:rsidRPr="00F8028C">
        <w:t xml:space="preserve"> </w:t>
      </w:r>
      <w:r>
        <w:t>Letter dated December 16, 2010 from Carlene LeBlanc)</w:t>
      </w:r>
    </w:p>
    <w:p w:rsidR="0060364C" w:rsidRPr="0060364C" w:rsidRDefault="00066FA7" w:rsidP="00D71EFE">
      <w:pPr>
        <w:numPr>
          <w:ilvl w:val="0"/>
          <w:numId w:val="1"/>
        </w:numPr>
        <w:spacing w:line="480" w:lineRule="auto"/>
        <w:rPr>
          <w:b/>
          <w:color w:val="FF0000"/>
          <w:u w:val="single"/>
        </w:rPr>
      </w:pPr>
      <w:r>
        <w:t xml:space="preserve">In a letter dated November 8, 2011, the </w:t>
      </w:r>
      <w:r w:rsidR="001B69C4">
        <w:t>Respondent</w:t>
      </w:r>
      <w:r>
        <w:t xml:space="preserve"> denied </w:t>
      </w:r>
      <w:proofErr w:type="spellStart"/>
      <w:r>
        <w:t>Filkins</w:t>
      </w:r>
      <w:proofErr w:type="spellEnd"/>
      <w:r w:rsidR="00301439">
        <w:t>’</w:t>
      </w:r>
      <w:r>
        <w:t xml:space="preserve"> request to purchase as credible service the period from July 27, 1975 to August 19, 2009, </w:t>
      </w:r>
      <w:r>
        <w:lastRenderedPageBreak/>
        <w:t xml:space="preserve">when she worked for various agencies funded by CETA, JTPA, and WIA, respectively.  </w:t>
      </w:r>
      <w:r w:rsidR="00667F66">
        <w:t xml:space="preserve">(Ex. </w:t>
      </w:r>
      <w:r w:rsidR="003D3DAF">
        <w:t>P</w:t>
      </w:r>
      <w:r w:rsidR="00667F66">
        <w:t>a</w:t>
      </w:r>
      <w:r w:rsidR="009E34E7">
        <w:t>)</w:t>
      </w:r>
      <w:r w:rsidR="00667F66">
        <w:t xml:space="preserve">  However, the Board concluded that she was eligible </w:t>
      </w:r>
      <w:r w:rsidR="003D3DAF">
        <w:t xml:space="preserve">to </w:t>
      </w:r>
      <w:r w:rsidR="00667F66">
        <w:t>purchase time for her employment at the Job Training Employment Corp</w:t>
      </w:r>
      <w:r w:rsidR="001B69C4">
        <w:t>.</w:t>
      </w:r>
      <w:r w:rsidR="00667F66">
        <w:t xml:space="preserve"> from October 1, 1983 to May 21, 1993, pending the </w:t>
      </w:r>
      <w:r w:rsidR="001B69C4">
        <w:t>Respondent</w:t>
      </w:r>
      <w:r w:rsidR="00667F66">
        <w:t xml:space="preserve">’s receipt of records confirming her annual salary during this period.  (Ex. </w:t>
      </w:r>
      <w:r w:rsidR="009E3920">
        <w:t>P</w:t>
      </w:r>
      <w:r w:rsidR="00667F66">
        <w:t>a</w:t>
      </w:r>
      <w:r w:rsidR="009E34E7">
        <w:t>)</w:t>
      </w:r>
    </w:p>
    <w:p w:rsidR="00066FA7" w:rsidRPr="00066FA7" w:rsidRDefault="00667F66" w:rsidP="00D71EFE">
      <w:pPr>
        <w:numPr>
          <w:ilvl w:val="0"/>
          <w:numId w:val="1"/>
        </w:numPr>
        <w:spacing w:line="480" w:lineRule="auto"/>
        <w:rPr>
          <w:b/>
          <w:color w:val="FF0000"/>
          <w:u w:val="single"/>
        </w:rPr>
      </w:pPr>
      <w:r>
        <w:t xml:space="preserve">  </w:t>
      </w:r>
      <w:r w:rsidR="00066FA7">
        <w:t xml:space="preserve">The </w:t>
      </w:r>
      <w:r w:rsidR="001B69C4">
        <w:t xml:space="preserve">Respondent </w:t>
      </w:r>
      <w:r w:rsidR="00066FA7">
        <w:t xml:space="preserve">denied </w:t>
      </w:r>
      <w:r w:rsidR="004F387C">
        <w:t xml:space="preserve">the Petitioner’s </w:t>
      </w:r>
      <w:r w:rsidR="00066FA7">
        <w:t>request to purchase her service at Manpower Area Planning Council from July 27, 1975 to September 30, 1982</w:t>
      </w:r>
      <w:r w:rsidR="001B69C4">
        <w:t>,</w:t>
      </w:r>
      <w:r w:rsidR="00066FA7">
        <w:t xml:space="preserve"> because she failed to provide the </w:t>
      </w:r>
      <w:r w:rsidR="001B69C4">
        <w:t>Respondent</w:t>
      </w:r>
      <w:r w:rsidR="00066FA7">
        <w:t xml:space="preserve"> with sufficient documentation</w:t>
      </w:r>
      <w:r w:rsidR="00A34A67">
        <w:t xml:space="preserve"> concerning the council or </w:t>
      </w:r>
      <w:proofErr w:type="spellStart"/>
      <w:r w:rsidR="00A34A67">
        <w:t>Filkins</w:t>
      </w:r>
      <w:proofErr w:type="spellEnd"/>
      <w:r w:rsidR="00A34A67">
        <w:t xml:space="preserve"> employment there</w:t>
      </w:r>
      <w:r w:rsidR="00066FA7">
        <w:t>.</w:t>
      </w:r>
      <w:r w:rsidR="001F6C00">
        <w:t xml:space="preserve">  </w:t>
      </w:r>
      <w:r>
        <w:t xml:space="preserve">The </w:t>
      </w:r>
      <w:r w:rsidR="006E39BE">
        <w:t>R</w:t>
      </w:r>
      <w:r w:rsidR="001B69C4">
        <w:t>espondent also</w:t>
      </w:r>
      <w:r>
        <w:t xml:space="preserve"> denied </w:t>
      </w:r>
      <w:proofErr w:type="spellStart"/>
      <w:r>
        <w:t>Filkin</w:t>
      </w:r>
      <w:r w:rsidR="009C156F">
        <w:t>s</w:t>
      </w:r>
      <w:proofErr w:type="spellEnd"/>
      <w:r>
        <w:t>’ request to purchase time for her employment with New Directions</w:t>
      </w:r>
      <w:r w:rsidR="003D3DAF">
        <w:t>,</w:t>
      </w:r>
      <w:r>
        <w:t xml:space="preserve"> </w:t>
      </w:r>
      <w:r w:rsidR="00E271B4">
        <w:t>because</w:t>
      </w:r>
      <w:r w:rsidR="004D7161">
        <w:t xml:space="preserve"> it said</w:t>
      </w:r>
      <w:r w:rsidR="00E271B4">
        <w:t xml:space="preserve"> New Directions is not</w:t>
      </w:r>
      <w:r w:rsidR="004F387C">
        <w:t xml:space="preserve"> </w:t>
      </w:r>
      <w:r w:rsidR="00E271B4">
        <w:t>a “governmental unit” as defined in G.L. c</w:t>
      </w:r>
      <w:r w:rsidR="001A62CE">
        <w:t>.</w:t>
      </w:r>
      <w:r w:rsidR="00E271B4">
        <w:t xml:space="preserve"> 32, §</w:t>
      </w:r>
      <w:r w:rsidR="0064509E">
        <w:t>1</w:t>
      </w:r>
      <w:r w:rsidR="00332A2A">
        <w:t>,</w:t>
      </w:r>
      <w:r w:rsidR="0064509E">
        <w:t xml:space="preserve"> and</w:t>
      </w:r>
      <w:r w:rsidR="004D7161">
        <w:t>,</w:t>
      </w:r>
      <w:r w:rsidR="0064509E">
        <w:t xml:space="preserve"> she was not erroneously excluded from membership in the New Bedford Contributory Retirement </w:t>
      </w:r>
      <w:r w:rsidR="002D0B4B">
        <w:t>S</w:t>
      </w:r>
      <w:r w:rsidR="0064509E">
        <w:t xml:space="preserve">ystem. (Ex. </w:t>
      </w:r>
      <w:r w:rsidR="009E3920">
        <w:t>P</w:t>
      </w:r>
      <w:r w:rsidR="0064509E">
        <w:t xml:space="preserve">a, Ex. </w:t>
      </w:r>
      <w:r w:rsidR="009E3920">
        <w:t>R</w:t>
      </w:r>
      <w:r w:rsidR="00763755">
        <w:t>1</w:t>
      </w:r>
      <w:r w:rsidR="009E34E7">
        <w:t>)</w:t>
      </w:r>
      <w:r w:rsidR="0064509E">
        <w:t xml:space="preserve">  </w:t>
      </w:r>
    </w:p>
    <w:p w:rsidR="00E23BE5" w:rsidRPr="002B2E66" w:rsidRDefault="00E65298" w:rsidP="00D71EFE">
      <w:pPr>
        <w:numPr>
          <w:ilvl w:val="0"/>
          <w:numId w:val="1"/>
        </w:numPr>
        <w:spacing w:line="480" w:lineRule="auto"/>
        <w:rPr>
          <w:b/>
          <w:u w:val="single"/>
        </w:rPr>
      </w:pPr>
      <w:r w:rsidRPr="002B2E66">
        <w:t xml:space="preserve"> </w:t>
      </w:r>
      <w:proofErr w:type="spellStart"/>
      <w:r w:rsidRPr="002B2E66">
        <w:t>Filkins</w:t>
      </w:r>
      <w:proofErr w:type="spellEnd"/>
      <w:r w:rsidRPr="002B2E66">
        <w:t xml:space="preserve"> timely appealed </w:t>
      </w:r>
      <w:r w:rsidR="001B69C4">
        <w:t xml:space="preserve">to DALA </w:t>
      </w:r>
      <w:r w:rsidRPr="002B2E66">
        <w:t xml:space="preserve">by letter dated November </w:t>
      </w:r>
      <w:r w:rsidR="002E02AC">
        <w:t>21</w:t>
      </w:r>
      <w:r w:rsidRPr="002B2E66">
        <w:t>, 2011</w:t>
      </w:r>
      <w:r w:rsidR="002E02AC">
        <w:t xml:space="preserve">and received </w:t>
      </w:r>
      <w:r w:rsidR="00763755">
        <w:t xml:space="preserve">by DALA </w:t>
      </w:r>
      <w:r w:rsidR="002E02AC">
        <w:t>on November 22, 201</w:t>
      </w:r>
      <w:r w:rsidR="00763755">
        <w:t>1</w:t>
      </w:r>
      <w:r w:rsidRPr="002B2E66">
        <w:t xml:space="preserve">. (Ex. </w:t>
      </w:r>
      <w:r w:rsidR="009E3920">
        <w:t>R</w:t>
      </w:r>
      <w:r w:rsidRPr="002B2E66">
        <w:t>2)</w:t>
      </w:r>
    </w:p>
    <w:p w:rsidR="00D053B6" w:rsidRPr="002B2E66" w:rsidRDefault="00D053B6" w:rsidP="00916F2A">
      <w:pPr>
        <w:jc w:val="center"/>
        <w:rPr>
          <w:b/>
          <w:u w:val="single"/>
        </w:rPr>
      </w:pPr>
      <w:r w:rsidRPr="002B2E66">
        <w:rPr>
          <w:b/>
          <w:u w:val="single"/>
        </w:rPr>
        <w:t>CONCLUSION AND ORDER</w:t>
      </w:r>
    </w:p>
    <w:p w:rsidR="00916F2A" w:rsidRDefault="00916F2A" w:rsidP="00916F2A">
      <w:pPr>
        <w:rPr>
          <w:b/>
          <w:color w:val="FF0000"/>
          <w:u w:val="single"/>
        </w:rPr>
      </w:pPr>
    </w:p>
    <w:p w:rsidR="00CD5BA7" w:rsidRPr="007C3C0F" w:rsidRDefault="00426FEB" w:rsidP="00F3454A">
      <w:pPr>
        <w:spacing w:line="480" w:lineRule="auto"/>
        <w:rPr>
          <w:lang w:val="en"/>
        </w:rPr>
      </w:pPr>
      <w:r>
        <w:rPr>
          <w:color w:val="FF0000"/>
        </w:rPr>
        <w:tab/>
      </w:r>
      <w:r>
        <w:t xml:space="preserve">The Petitioner is not entitled to prevail in this appeal.  </w:t>
      </w:r>
      <w:bookmarkStart w:id="1" w:name="hit1"/>
      <w:bookmarkEnd w:id="1"/>
      <w:r w:rsidR="00FB2113">
        <w:t xml:space="preserve">Chapter 32 </w:t>
      </w:r>
      <w:r w:rsidR="002D4FBD" w:rsidRPr="004167BE">
        <w:t>§</w:t>
      </w:r>
      <w:r w:rsidR="00FB2113">
        <w:t xml:space="preserve"> 3(5) </w:t>
      </w:r>
      <w:r w:rsidR="00763DE8">
        <w:t>provides for the purchase of creditable service under certain</w:t>
      </w:r>
      <w:r w:rsidR="00763755">
        <w:t xml:space="preserve"> </w:t>
      </w:r>
      <w:r w:rsidR="00763DE8">
        <w:t xml:space="preserve">circumstances. It </w:t>
      </w:r>
      <w:r w:rsidR="00FB2113">
        <w:t xml:space="preserve">allows </w:t>
      </w:r>
      <w:r w:rsidR="00CD5BA7" w:rsidRPr="007C3C0F">
        <w:rPr>
          <w:lang w:val="en"/>
        </w:rPr>
        <w:t xml:space="preserve">a retirement system’s member </w:t>
      </w:r>
    </w:p>
    <w:p w:rsidR="00301439" w:rsidRDefault="00CD5BA7" w:rsidP="001B69C4">
      <w:pPr>
        <w:ind w:left="720" w:right="1008"/>
        <w:rPr>
          <w:lang w:val="en"/>
        </w:rPr>
      </w:pPr>
      <w:r w:rsidRPr="001B69C4">
        <w:rPr>
          <w:lang w:val="en"/>
        </w:rPr>
        <w:t>who had rendered service as an employee of any governmental unit other than that by which he is presently employed, for any previous period during which the first governmental unit had no contributory retirement system or during which he had inchoate rights to a non-contributory pension or in a position which was not subject to an existing retirement system, or which was specifically excluded therefrom…</w:t>
      </w:r>
    </w:p>
    <w:p w:rsidR="00561FC7" w:rsidRDefault="00561FC7" w:rsidP="001B69C4">
      <w:pPr>
        <w:ind w:left="720" w:right="1008"/>
        <w:rPr>
          <w:lang w:val="en"/>
        </w:rPr>
      </w:pPr>
    </w:p>
    <w:p w:rsidR="006F7015" w:rsidRDefault="001728BA" w:rsidP="00DC1105">
      <w:pPr>
        <w:spacing w:line="480" w:lineRule="auto"/>
        <w:ind w:right="1008"/>
        <w:rPr>
          <w:lang w:val="en"/>
        </w:rPr>
      </w:pPr>
      <w:proofErr w:type="gramStart"/>
      <w:r>
        <w:rPr>
          <w:lang w:val="en"/>
        </w:rPr>
        <w:lastRenderedPageBreak/>
        <w:t>to</w:t>
      </w:r>
      <w:proofErr w:type="gramEnd"/>
      <w:r>
        <w:rPr>
          <w:lang w:val="en"/>
        </w:rPr>
        <w:t xml:space="preserve"> pu</w:t>
      </w:r>
      <w:r w:rsidR="00684DA1">
        <w:rPr>
          <w:lang w:val="en"/>
        </w:rPr>
        <w:t>r</w:t>
      </w:r>
      <w:r>
        <w:rPr>
          <w:lang w:val="en"/>
        </w:rPr>
        <w:t xml:space="preserve">chase service. </w:t>
      </w:r>
      <w:proofErr w:type="gramStart"/>
      <w:r w:rsidR="00301439" w:rsidRPr="002A7174">
        <w:rPr>
          <w:lang w:val="en"/>
        </w:rPr>
        <w:t>G.L. c. 32</w:t>
      </w:r>
      <w:r w:rsidR="00684DA1">
        <w:rPr>
          <w:lang w:val="en"/>
        </w:rPr>
        <w:t xml:space="preserve"> </w:t>
      </w:r>
      <w:r w:rsidR="00301439" w:rsidRPr="00CD5BA7">
        <w:t>§ 3(5</w:t>
      </w:r>
      <w:r w:rsidR="009E34E7">
        <w:t>)</w:t>
      </w:r>
      <w:r w:rsidR="002D0B4B">
        <w:rPr>
          <w:lang w:val="en"/>
        </w:rPr>
        <w:t>.</w:t>
      </w:r>
      <w:proofErr w:type="gramEnd"/>
      <w:r w:rsidR="002D0B4B">
        <w:rPr>
          <w:lang w:val="en"/>
        </w:rPr>
        <w:t xml:space="preserve"> </w:t>
      </w:r>
      <w:r w:rsidR="00CD5BA7" w:rsidRPr="001B69C4">
        <w:rPr>
          <w:lang w:val="en"/>
        </w:rPr>
        <w:t>The same section mandates that</w:t>
      </w:r>
      <w:r w:rsidR="00B226C1">
        <w:rPr>
          <w:lang w:val="en"/>
        </w:rPr>
        <w:t>,</w:t>
      </w:r>
      <w:r w:rsidR="00CD5BA7" w:rsidRPr="001B69C4">
        <w:rPr>
          <w:lang w:val="en"/>
        </w:rPr>
        <w:t xml:space="preserve"> “</w:t>
      </w:r>
      <w:r w:rsidR="00763755">
        <w:rPr>
          <w:lang w:val="en"/>
        </w:rPr>
        <w:t>s</w:t>
      </w:r>
      <w:r w:rsidR="00CD5BA7" w:rsidRPr="001B69C4">
        <w:rPr>
          <w:lang w:val="en"/>
        </w:rPr>
        <w:t xml:space="preserve">uch member shall furnish the board with such information as it shall require </w:t>
      </w:r>
      <w:proofErr w:type="gramStart"/>
      <w:r w:rsidR="00CD5BA7" w:rsidRPr="001B69C4">
        <w:rPr>
          <w:lang w:val="en"/>
        </w:rPr>
        <w:t>to determine</w:t>
      </w:r>
      <w:proofErr w:type="gramEnd"/>
      <w:r w:rsidR="00CD5BA7" w:rsidRPr="001B69C4">
        <w:rPr>
          <w:lang w:val="en"/>
        </w:rPr>
        <w:t xml:space="preserve"> the amount to be paid and the credit to be allowed under this subdivision.</w:t>
      </w:r>
      <w:r w:rsidR="006E39BE">
        <w:rPr>
          <w:lang w:val="en"/>
        </w:rPr>
        <w:t>”</w:t>
      </w:r>
      <w:r w:rsidR="00301439">
        <w:rPr>
          <w:lang w:val="en"/>
        </w:rPr>
        <w:t xml:space="preserve"> (</w:t>
      </w:r>
      <w:r w:rsidR="00301439" w:rsidRPr="001B69C4">
        <w:rPr>
          <w:i/>
          <w:lang w:val="en"/>
        </w:rPr>
        <w:t>Id.</w:t>
      </w:r>
      <w:r w:rsidR="00301439">
        <w:rPr>
          <w:lang w:val="en"/>
        </w:rPr>
        <w:t>)</w:t>
      </w:r>
    </w:p>
    <w:p w:rsidR="001F3746" w:rsidRPr="002B75A6" w:rsidRDefault="001F3746" w:rsidP="002B75A6">
      <w:pPr>
        <w:pStyle w:val="ListParagraph"/>
        <w:numPr>
          <w:ilvl w:val="0"/>
          <w:numId w:val="7"/>
        </w:numPr>
        <w:ind w:right="1008"/>
        <w:jc w:val="center"/>
        <w:rPr>
          <w:b/>
        </w:rPr>
      </w:pPr>
      <w:r w:rsidRPr="002B75A6">
        <w:rPr>
          <w:b/>
        </w:rPr>
        <w:t>Manpower Area Planning Cou</w:t>
      </w:r>
      <w:r w:rsidR="003752E8" w:rsidRPr="002B75A6">
        <w:rPr>
          <w:b/>
        </w:rPr>
        <w:t xml:space="preserve">ncil </w:t>
      </w:r>
      <w:r w:rsidRPr="002B75A6">
        <w:rPr>
          <w:b/>
        </w:rPr>
        <w:t>July 27, 1975 to September 30, 1983</w:t>
      </w:r>
    </w:p>
    <w:p w:rsidR="009F74F5" w:rsidRDefault="009F74F5" w:rsidP="009F74F5">
      <w:pPr>
        <w:ind w:left="360"/>
      </w:pPr>
    </w:p>
    <w:p w:rsidR="00561FC7" w:rsidRDefault="00301439" w:rsidP="00301439">
      <w:pPr>
        <w:spacing w:line="480" w:lineRule="auto"/>
        <w:ind w:left="360" w:firstLine="360"/>
      </w:pPr>
      <w:r>
        <w:t xml:space="preserve">The Respondent does not dispute </w:t>
      </w:r>
      <w:proofErr w:type="gramStart"/>
      <w:r>
        <w:t>that</w:t>
      </w:r>
      <w:r w:rsidR="00097354">
        <w:t xml:space="preserve"> </w:t>
      </w:r>
      <w:r>
        <w:t>employees</w:t>
      </w:r>
      <w:proofErr w:type="gramEnd"/>
      <w:r>
        <w:t xml:space="preserve"> of the Manpower Area</w:t>
      </w:r>
    </w:p>
    <w:p w:rsidR="001B4987" w:rsidRDefault="00301439" w:rsidP="00561FC7">
      <w:pPr>
        <w:spacing w:line="480" w:lineRule="auto"/>
      </w:pPr>
      <w:r>
        <w:t xml:space="preserve">Planning Council, which was funded by CETA, </w:t>
      </w:r>
      <w:r w:rsidR="00C2445B">
        <w:t>may be</w:t>
      </w:r>
      <w:r w:rsidR="00984811">
        <w:t xml:space="preserve"> </w:t>
      </w:r>
      <w:r>
        <w:t>entitled to purchase credible service for thei</w:t>
      </w:r>
      <w:r w:rsidR="001B69C4">
        <w:t>r employment.  Rather, the Respondent</w:t>
      </w:r>
      <w:r>
        <w:t xml:space="preserve"> argues that the </w:t>
      </w:r>
      <w:r w:rsidR="007F0FA3">
        <w:t xml:space="preserve">Petitioner’s </w:t>
      </w:r>
      <w:r>
        <w:t>request must be denied</w:t>
      </w:r>
      <w:r w:rsidR="001B69C4">
        <w:t>,</w:t>
      </w:r>
      <w:r>
        <w:t xml:space="preserve"> because </w:t>
      </w:r>
      <w:r w:rsidR="007F0FA3">
        <w:t>she</w:t>
      </w:r>
      <w:r>
        <w:t xml:space="preserve"> failed to provide sufficient documentation detailing the dates of her service through CETA</w:t>
      </w:r>
      <w:r w:rsidR="001B4987">
        <w:t xml:space="preserve"> and her salary</w:t>
      </w:r>
      <w:r w:rsidR="00763755">
        <w:t xml:space="preserve"> amount</w:t>
      </w:r>
      <w:r>
        <w:t>.</w:t>
      </w:r>
    </w:p>
    <w:p w:rsidR="00B35D2C" w:rsidRDefault="00301439" w:rsidP="00126F9A">
      <w:pPr>
        <w:spacing w:line="480" w:lineRule="auto"/>
        <w:ind w:firstLine="720"/>
      </w:pPr>
      <w:r>
        <w:t xml:space="preserve"> </w:t>
      </w:r>
      <w:r w:rsidR="009F74F5">
        <w:t xml:space="preserve">As a current member of SERS, </w:t>
      </w:r>
      <w:proofErr w:type="spellStart"/>
      <w:r w:rsidR="009F74F5">
        <w:t>Filkins</w:t>
      </w:r>
      <w:proofErr w:type="spellEnd"/>
      <w:r w:rsidR="009F74F5">
        <w:t xml:space="preserve"> </w:t>
      </w:r>
      <w:r w:rsidR="00320861">
        <w:t>may be</w:t>
      </w:r>
      <w:r w:rsidR="009F74F5">
        <w:t xml:space="preserve"> entitled to purchase</w:t>
      </w:r>
      <w:r w:rsidR="00481106">
        <w:t xml:space="preserve"> credible service for past service rendered in the CETA program.  </w:t>
      </w:r>
      <w:r w:rsidR="00481106" w:rsidRPr="001B69C4">
        <w:rPr>
          <w:i/>
        </w:rPr>
        <w:t>See Gomes v. CRAB</w:t>
      </w:r>
      <w:r w:rsidR="00481106">
        <w:t xml:space="preserve">, </w:t>
      </w:r>
      <w:r w:rsidR="001B69C4">
        <w:t>CA-94-5927-B (</w:t>
      </w:r>
      <w:r w:rsidR="00481106">
        <w:t>Middlesex</w:t>
      </w:r>
      <w:r w:rsidR="001B69C4">
        <w:t xml:space="preserve"> Sup. Ct. </w:t>
      </w:r>
      <w:r w:rsidR="00936DDD">
        <w:t xml:space="preserve"> </w:t>
      </w:r>
      <w:r w:rsidR="001B69C4">
        <w:t>10/</w:t>
      </w:r>
      <w:r w:rsidR="00936DDD">
        <w:t>11</w:t>
      </w:r>
      <w:r w:rsidR="001B69C4">
        <w:t>/</w:t>
      </w:r>
      <w:r w:rsidR="00936DDD">
        <w:t>1995</w:t>
      </w:r>
      <w:r w:rsidR="001B69C4">
        <w:t>)</w:t>
      </w:r>
      <w:r w:rsidR="00936DDD">
        <w:t xml:space="preserve"> (</w:t>
      </w:r>
      <w:r w:rsidR="009F74F5">
        <w:t>"[A]</w:t>
      </w:r>
      <w:proofErr w:type="spellStart"/>
      <w:r w:rsidR="009F74F5">
        <w:t>lthough</w:t>
      </w:r>
      <w:proofErr w:type="spellEnd"/>
      <w:r w:rsidR="009F74F5">
        <w:t xml:space="preserve"> the CETA program is </w:t>
      </w:r>
      <w:r w:rsidR="00763755">
        <w:t xml:space="preserve">a </w:t>
      </w:r>
      <w:r w:rsidR="009F74F5">
        <w:t xml:space="preserve">federal program, it was applied for </w:t>
      </w:r>
      <w:r w:rsidR="00936DDD">
        <w:t xml:space="preserve">and administered by </w:t>
      </w:r>
      <w:r w:rsidR="009F74F5">
        <w:t>Commonwealth...[s]</w:t>
      </w:r>
      <w:proofErr w:type="spellStart"/>
      <w:r w:rsidR="009F74F5">
        <w:t>ince</w:t>
      </w:r>
      <w:proofErr w:type="spellEnd"/>
      <w:r w:rsidR="009F74F5">
        <w:t xml:space="preserve"> there is no doubt that the Commonwealth is a governmental unit, it follows that someone working for the state administered CETA program is someone who is providing </w:t>
      </w:r>
      <w:r w:rsidR="00936DDD">
        <w:t>services for the Commonwealth."</w:t>
      </w:r>
      <w:r w:rsidR="009E34E7">
        <w:t>)</w:t>
      </w:r>
      <w:r w:rsidR="00BB3EBF">
        <w:t xml:space="preserve">  </w:t>
      </w:r>
      <w:proofErr w:type="spellStart"/>
      <w:r w:rsidR="004167BE">
        <w:t>Filkins</w:t>
      </w:r>
      <w:proofErr w:type="spellEnd"/>
      <w:r w:rsidR="00097354">
        <w:t>, however,</w:t>
      </w:r>
      <w:r w:rsidR="004167BE">
        <w:t xml:space="preserve"> </w:t>
      </w:r>
      <w:r w:rsidR="00763755">
        <w:t xml:space="preserve">still </w:t>
      </w:r>
      <w:r w:rsidR="004167BE">
        <w:t>has the burden of “furnish[</w:t>
      </w:r>
      <w:proofErr w:type="spellStart"/>
      <w:r w:rsidR="004167BE">
        <w:t>ing</w:t>
      </w:r>
      <w:proofErr w:type="spellEnd"/>
      <w:r w:rsidR="004167BE">
        <w:t xml:space="preserve">] the Board with such information as it shall require to determine the amount to be paid and the credit to be allowed under this subdivision.”  </w:t>
      </w:r>
      <w:proofErr w:type="gramStart"/>
      <w:r w:rsidR="004167BE">
        <w:t>Ch</w:t>
      </w:r>
      <w:r w:rsidR="00763755">
        <w:t>apter</w:t>
      </w:r>
      <w:r w:rsidR="004167BE">
        <w:t xml:space="preserve"> 32 </w:t>
      </w:r>
      <w:r w:rsidR="004167BE" w:rsidRPr="004167BE">
        <w:t>§</w:t>
      </w:r>
      <w:r w:rsidR="004167BE">
        <w:t>3</w:t>
      </w:r>
      <w:r w:rsidR="001B69C4">
        <w:t xml:space="preserve"> </w:t>
      </w:r>
      <w:r w:rsidR="004167BE">
        <w:t>(5</w:t>
      </w:r>
      <w:r w:rsidR="009E34E7">
        <w:t>)</w:t>
      </w:r>
      <w:r w:rsidR="009C156F">
        <w:t>.</w:t>
      </w:r>
      <w:proofErr w:type="gramEnd"/>
      <w:r w:rsidR="006B7591">
        <w:t xml:space="preserve"> </w:t>
      </w:r>
      <w:r w:rsidR="00B35D2C">
        <w:t>G.L. c. 32</w:t>
      </w:r>
      <w:r w:rsidR="009C156F">
        <w:t xml:space="preserve"> </w:t>
      </w:r>
      <w:r w:rsidR="009C156F" w:rsidRPr="004167BE">
        <w:t>§</w:t>
      </w:r>
      <w:r w:rsidR="00B35D2C">
        <w:t>20(5</w:t>
      </w:r>
      <w:proofErr w:type="gramStart"/>
      <w:r w:rsidR="00B35D2C">
        <w:t>)(</w:t>
      </w:r>
      <w:proofErr w:type="gramEnd"/>
      <w:r w:rsidR="00B35D2C">
        <w:t xml:space="preserve">c)(1) </w:t>
      </w:r>
      <w:r w:rsidR="00763755">
        <w:t xml:space="preserve">further </w:t>
      </w:r>
      <w:r w:rsidR="00B35D2C">
        <w:t xml:space="preserve">provides in pertinent part that:  </w:t>
      </w:r>
    </w:p>
    <w:p w:rsidR="00F1066F" w:rsidRDefault="00B35D2C" w:rsidP="001B69C4">
      <w:pPr>
        <w:ind w:left="720" w:right="1008"/>
      </w:pPr>
      <w:r>
        <w:t xml:space="preserve">Whenever any such board shall find it impossible or impracticable to consult an original record to determine the date of birth, length of service, amount of regular compensation or other pertinent fact with regard to any member, it </w:t>
      </w:r>
      <w:r w:rsidRPr="007F47CE">
        <w:rPr>
          <w:b/>
        </w:rPr>
        <w:t>may</w:t>
      </w:r>
      <w:r>
        <w:t xml:space="preserve">, subject to the approval of the actuary, </w:t>
      </w:r>
      <w:r>
        <w:lastRenderedPageBreak/>
        <w:t xml:space="preserve">use estimates thereof on any basis which </w:t>
      </w:r>
      <w:r w:rsidRPr="007F47CE">
        <w:rPr>
          <w:b/>
        </w:rPr>
        <w:t>in its judgment</w:t>
      </w:r>
      <w:r>
        <w:t xml:space="preserve"> is fair and just...</w:t>
      </w:r>
    </w:p>
    <w:p w:rsidR="00561FC7" w:rsidRDefault="00561FC7" w:rsidP="001B69C4">
      <w:pPr>
        <w:ind w:left="720" w:right="1008"/>
      </w:pPr>
    </w:p>
    <w:p w:rsidR="00B35D2C" w:rsidRPr="00DC1105" w:rsidRDefault="00B35D2C" w:rsidP="007C3C0F">
      <w:pPr>
        <w:spacing w:line="480" w:lineRule="auto"/>
        <w:ind w:right="1008"/>
      </w:pPr>
      <w:r>
        <w:t>(</w:t>
      </w:r>
      <w:r w:rsidR="00F1066F">
        <w:t>E</w:t>
      </w:r>
      <w:r>
        <w:t xml:space="preserve">mphasis </w:t>
      </w:r>
      <w:r w:rsidR="00F1066F">
        <w:t>added</w:t>
      </w:r>
      <w:r w:rsidR="009E34E7">
        <w:t>)</w:t>
      </w:r>
      <w:r w:rsidR="007F47CE">
        <w:t>.</w:t>
      </w:r>
      <w:r w:rsidR="00F1066F">
        <w:t xml:space="preserve">  While this statute allows the </w:t>
      </w:r>
      <w:r w:rsidR="006E2937">
        <w:t xml:space="preserve">Respondent </w:t>
      </w:r>
      <w:r w:rsidR="00F1066F">
        <w:t xml:space="preserve">to use estimates of dates of service and regular compensation subject to the actuary’s approval, it does not require the </w:t>
      </w:r>
      <w:r w:rsidR="006E2937">
        <w:t xml:space="preserve">Respondent </w:t>
      </w:r>
      <w:r w:rsidR="00F1066F">
        <w:t xml:space="preserve">to do so.  </w:t>
      </w:r>
      <w:r w:rsidR="00561FC7">
        <w:t>The sta</w:t>
      </w:r>
      <w:r w:rsidR="004D5B08">
        <w:t>t</w:t>
      </w:r>
      <w:r w:rsidR="00561FC7">
        <w:t>ute says it “</w:t>
      </w:r>
      <w:proofErr w:type="gramStart"/>
      <w:r w:rsidR="00561FC7" w:rsidRPr="007F47CE">
        <w:t>may</w:t>
      </w:r>
      <w:proofErr w:type="gramEnd"/>
      <w:r w:rsidR="002D0B4B">
        <w:t>”</w:t>
      </w:r>
      <w:r w:rsidR="00561FC7">
        <w:t xml:space="preserve"> use estimates “which </w:t>
      </w:r>
      <w:r w:rsidR="00561FC7" w:rsidRPr="004D5B08">
        <w:t>in</w:t>
      </w:r>
      <w:r w:rsidR="00561FC7" w:rsidRPr="002D0B4B">
        <w:rPr>
          <w:b/>
        </w:rPr>
        <w:t xml:space="preserve"> </w:t>
      </w:r>
      <w:r w:rsidR="00561FC7" w:rsidRPr="007F47CE">
        <w:t>its judgment</w:t>
      </w:r>
      <w:r w:rsidR="00561FC7" w:rsidRPr="002D0B4B">
        <w:t xml:space="preserve"> </w:t>
      </w:r>
      <w:r w:rsidR="00561FC7">
        <w:t>are fair and just</w:t>
      </w:r>
      <w:r w:rsidR="009C7826">
        <w:t>.</w:t>
      </w:r>
      <w:r w:rsidR="00561FC7">
        <w:t>”</w:t>
      </w:r>
      <w:r w:rsidR="009E34E7">
        <w:t xml:space="preserve"> </w:t>
      </w:r>
      <w:r w:rsidR="00561FC7">
        <w:t xml:space="preserve"> </w:t>
      </w:r>
      <w:r w:rsidR="009C7826" w:rsidRPr="00DC1105">
        <w:rPr>
          <w:i/>
        </w:rPr>
        <w:t xml:space="preserve">See Bristol </w:t>
      </w:r>
      <w:proofErr w:type="spellStart"/>
      <w:r w:rsidR="009C7826" w:rsidRPr="00DC1105">
        <w:rPr>
          <w:i/>
        </w:rPr>
        <w:t>Cnty</w:t>
      </w:r>
      <w:proofErr w:type="spellEnd"/>
      <w:r w:rsidR="00FF7509">
        <w:rPr>
          <w:i/>
        </w:rPr>
        <w:t>.</w:t>
      </w:r>
      <w:r w:rsidR="009C7826" w:rsidRPr="00DC1105">
        <w:rPr>
          <w:i/>
        </w:rPr>
        <w:t xml:space="preserve"> Ret</w:t>
      </w:r>
      <w:r w:rsidR="003A3D97">
        <w:rPr>
          <w:i/>
        </w:rPr>
        <w:t>.</w:t>
      </w:r>
      <w:r w:rsidR="009C7826" w:rsidRPr="00DC1105">
        <w:rPr>
          <w:i/>
        </w:rPr>
        <w:t xml:space="preserve"> </w:t>
      </w:r>
      <w:proofErr w:type="spellStart"/>
      <w:r w:rsidR="009C7826" w:rsidRPr="00DC1105">
        <w:rPr>
          <w:i/>
        </w:rPr>
        <w:t>Brd</w:t>
      </w:r>
      <w:proofErr w:type="spellEnd"/>
      <w:r w:rsidR="00FF7509">
        <w:rPr>
          <w:i/>
        </w:rPr>
        <w:t>.</w:t>
      </w:r>
      <w:r w:rsidR="009C7826" w:rsidRPr="00DC1105">
        <w:rPr>
          <w:i/>
        </w:rPr>
        <w:t xml:space="preserve"> v. CRAB, </w:t>
      </w:r>
      <w:r w:rsidR="009C7826" w:rsidRPr="00DC1105">
        <w:t>65 Mass. App. Ct. 443</w:t>
      </w:r>
      <w:r w:rsidR="009C7826">
        <w:t>,</w:t>
      </w:r>
      <w:r w:rsidR="009C7826" w:rsidRPr="00DC1105">
        <w:t xml:space="preserve"> 451- 452 (2006) </w:t>
      </w:r>
      <w:r w:rsidR="009C7826" w:rsidRPr="00561FC7">
        <w:rPr>
          <w:color w:val="333333"/>
          <w:lang w:val="en"/>
        </w:rPr>
        <w:t>(use of “may” in G. L. c. 32, s. 20(5)(c)(3) means authority granted board is permissive</w:t>
      </w:r>
      <w:r w:rsidR="009C7826">
        <w:rPr>
          <w:color w:val="333333"/>
          <w:lang w:val="en"/>
        </w:rPr>
        <w:t xml:space="preserve"> </w:t>
      </w:r>
      <w:r w:rsidR="009C7826" w:rsidRPr="00561FC7">
        <w:rPr>
          <w:color w:val="333333"/>
          <w:lang w:val="en"/>
        </w:rPr>
        <w:t>not mandatory</w:t>
      </w:r>
      <w:r w:rsidR="009C7826">
        <w:rPr>
          <w:color w:val="333333"/>
          <w:lang w:val="en"/>
        </w:rPr>
        <w:t>).</w:t>
      </w:r>
      <w:r w:rsidR="00097354">
        <w:rPr>
          <w:color w:val="333333"/>
          <w:lang w:val="en"/>
        </w:rPr>
        <w:t xml:space="preserve"> </w:t>
      </w:r>
      <w:r w:rsidR="00F1066F">
        <w:t>Therefore, the Board’s decision to require the documentation is affirmed.</w:t>
      </w:r>
      <w:r w:rsidR="0037287E">
        <w:t xml:space="preserve"> </w:t>
      </w:r>
      <w:r w:rsidR="004D5B08">
        <w:t xml:space="preserve">Moreover, even if I decided that </w:t>
      </w:r>
      <w:r w:rsidR="009C7826">
        <w:t xml:space="preserve">I </w:t>
      </w:r>
      <w:r w:rsidR="004D5B08">
        <w:t xml:space="preserve">had the authority to review the Respondent’s decision concerning the documentation, the Petitioner failed to satisfy her burden that the Board’s decision was an abuse of its discretion. </w:t>
      </w:r>
      <w:r w:rsidR="00202A0A">
        <w:t>E</w:t>
      </w:r>
      <w:r w:rsidR="00684DA1">
        <w:t>x</w:t>
      </w:r>
      <w:r w:rsidR="00763755">
        <w:t>hibit</w:t>
      </w:r>
      <w:r w:rsidR="00684DA1">
        <w:t xml:space="preserve"> </w:t>
      </w:r>
      <w:proofErr w:type="spellStart"/>
      <w:r w:rsidR="00684DA1">
        <w:t>P</w:t>
      </w:r>
      <w:r w:rsidR="00202A0A">
        <w:t>b</w:t>
      </w:r>
      <w:proofErr w:type="spellEnd"/>
      <w:r w:rsidR="00684DA1">
        <w:t xml:space="preserve"> and the Petitioner’s test</w:t>
      </w:r>
      <w:r w:rsidR="00CF7590">
        <w:t>imony support the R</w:t>
      </w:r>
      <w:r w:rsidR="00684DA1">
        <w:t>espondent’s decision, because there is confusion over the amount of the Petitioner’s salary.</w:t>
      </w:r>
      <w:r w:rsidR="00763755">
        <w:rPr>
          <w:rStyle w:val="FootnoteReference"/>
        </w:rPr>
        <w:footnoteReference w:id="2"/>
      </w:r>
    </w:p>
    <w:p w:rsidR="00022416" w:rsidRPr="002B75A6" w:rsidRDefault="003752E8" w:rsidP="002B75A6">
      <w:pPr>
        <w:pStyle w:val="ListParagraph"/>
        <w:numPr>
          <w:ilvl w:val="0"/>
          <w:numId w:val="7"/>
        </w:numPr>
        <w:jc w:val="center"/>
        <w:rPr>
          <w:b/>
        </w:rPr>
      </w:pPr>
      <w:r w:rsidRPr="002B75A6">
        <w:rPr>
          <w:b/>
        </w:rPr>
        <w:t>Job Training Employment Corp.</w:t>
      </w:r>
      <w:r w:rsidR="001B4987" w:rsidRPr="002B75A6">
        <w:rPr>
          <w:b/>
        </w:rPr>
        <w:t xml:space="preserve"> </w:t>
      </w:r>
      <w:r w:rsidRPr="002B75A6">
        <w:rPr>
          <w:b/>
        </w:rPr>
        <w:t>October 1, 1983 to June 30, 1993</w:t>
      </w:r>
    </w:p>
    <w:p w:rsidR="007C64AF" w:rsidRDefault="007C64AF" w:rsidP="007C64AF">
      <w:r>
        <w:tab/>
      </w:r>
    </w:p>
    <w:p w:rsidR="001408D3" w:rsidRDefault="00F31965" w:rsidP="001408D3">
      <w:pPr>
        <w:spacing w:line="480" w:lineRule="auto"/>
        <w:ind w:firstLine="720"/>
      </w:pPr>
      <w:r>
        <w:t>The R</w:t>
      </w:r>
      <w:r w:rsidR="00433071">
        <w:t xml:space="preserve">espondent did not deny </w:t>
      </w:r>
      <w:r>
        <w:t>the Pet</w:t>
      </w:r>
      <w:r w:rsidR="002D6F3F">
        <w:t>i</w:t>
      </w:r>
      <w:r>
        <w:t>tioner’s request to purchase the service she rendered from</w:t>
      </w:r>
      <w:r w:rsidR="00433071">
        <w:t xml:space="preserve"> </w:t>
      </w:r>
      <w:r>
        <w:t>October 1, 19</w:t>
      </w:r>
      <w:r w:rsidR="002E02AC">
        <w:t>8</w:t>
      </w:r>
      <w:r>
        <w:t>3 until June 30, 1993</w:t>
      </w:r>
      <w:r w:rsidR="00FF7509">
        <w:t xml:space="preserve"> at the non-profit Job Training Employment Corp</w:t>
      </w:r>
      <w:r>
        <w:t xml:space="preserve">. </w:t>
      </w:r>
      <w:r w:rsidR="00433071">
        <w:t xml:space="preserve">In fact, the Respondent wrote in its </w:t>
      </w:r>
      <w:r w:rsidR="004037AF">
        <w:t>letter dated November</w:t>
      </w:r>
      <w:r w:rsidR="007C64AF">
        <w:t xml:space="preserve"> 8, 2011</w:t>
      </w:r>
      <w:r w:rsidR="002D6F3F">
        <w:t xml:space="preserve">, </w:t>
      </w:r>
      <w:r w:rsidR="00433071">
        <w:t>“Please just provide to the board documentation confirming your annual salary during this period so that the Board staff can calculate your purchase and begin to process your request.”</w:t>
      </w:r>
      <w:r w:rsidR="00627FA6">
        <w:t xml:space="preserve"> </w:t>
      </w:r>
      <w:r w:rsidR="002D6F3F">
        <w:t>I find that t</w:t>
      </w:r>
      <w:r w:rsidR="004037AF">
        <w:t>he Respondent did not issue</w:t>
      </w:r>
      <w:r w:rsidR="007C64AF">
        <w:t xml:space="preserve"> an appe</w:t>
      </w:r>
      <w:r w:rsidR="004037AF">
        <w:t>a</w:t>
      </w:r>
      <w:r w:rsidR="007C64AF">
        <w:t>lable decision</w:t>
      </w:r>
      <w:r w:rsidR="004037AF">
        <w:t xml:space="preserve"> concerning that aspect of the P</w:t>
      </w:r>
      <w:r w:rsidR="007C64AF">
        <w:t>etitioner’</w:t>
      </w:r>
      <w:r w:rsidR="004037AF">
        <w:t>s claim and, therefore, I do n</w:t>
      </w:r>
      <w:r w:rsidR="00681500">
        <w:t xml:space="preserve">ot decide it.  </w:t>
      </w:r>
      <w:r w:rsidR="00627FA6" w:rsidRPr="00097354">
        <w:rPr>
          <w:i/>
        </w:rPr>
        <w:t xml:space="preserve">See </w:t>
      </w:r>
      <w:proofErr w:type="spellStart"/>
      <w:r w:rsidR="00627FA6" w:rsidRPr="00097354">
        <w:rPr>
          <w:i/>
        </w:rPr>
        <w:t>Decie</w:t>
      </w:r>
      <w:proofErr w:type="spellEnd"/>
      <w:r w:rsidR="00627FA6" w:rsidRPr="00097354">
        <w:rPr>
          <w:i/>
        </w:rPr>
        <w:t xml:space="preserve"> v. Essex Reg. Ret. </w:t>
      </w:r>
      <w:proofErr w:type="spellStart"/>
      <w:r w:rsidR="00627FA6" w:rsidRPr="00097354">
        <w:rPr>
          <w:i/>
        </w:rPr>
        <w:t>Brd</w:t>
      </w:r>
      <w:proofErr w:type="spellEnd"/>
      <w:r w:rsidR="00627FA6" w:rsidRPr="00097354">
        <w:rPr>
          <w:i/>
        </w:rPr>
        <w:t>.</w:t>
      </w:r>
      <w:r w:rsidR="00627FA6">
        <w:t xml:space="preserve">, </w:t>
      </w:r>
      <w:r w:rsidR="00627FA6" w:rsidRPr="00290A8F">
        <w:t>CR-09-862 * 4 (CRAB 2013) (</w:t>
      </w:r>
      <w:r w:rsidR="00097354" w:rsidRPr="00290A8F">
        <w:rPr>
          <w:color w:val="333333"/>
          <w:lang w:val="en"/>
        </w:rPr>
        <w:t>c</w:t>
      </w:r>
      <w:r w:rsidR="00627FA6" w:rsidRPr="00290A8F">
        <w:rPr>
          <w:color w:val="333333"/>
          <w:lang w:val="en"/>
        </w:rPr>
        <w:t xml:space="preserve">larity </w:t>
      </w:r>
      <w:r w:rsidR="00AD1F63" w:rsidRPr="00290A8F">
        <w:rPr>
          <w:color w:val="333333"/>
          <w:lang w:val="en"/>
        </w:rPr>
        <w:t xml:space="preserve">concerning </w:t>
      </w:r>
      <w:r w:rsidR="00C02A09" w:rsidRPr="00290A8F">
        <w:rPr>
          <w:color w:val="333333"/>
          <w:lang w:val="en"/>
        </w:rPr>
        <w:t xml:space="preserve">what constitutes </w:t>
      </w:r>
      <w:r w:rsidR="00AD1F63" w:rsidRPr="00290A8F">
        <w:rPr>
          <w:color w:val="333333"/>
          <w:lang w:val="en"/>
        </w:rPr>
        <w:t xml:space="preserve">appealable </w:t>
      </w:r>
      <w:r w:rsidR="00AD1F63" w:rsidRPr="00290A8F">
        <w:rPr>
          <w:color w:val="333333"/>
          <w:lang w:val="en"/>
        </w:rPr>
        <w:lastRenderedPageBreak/>
        <w:t xml:space="preserve">decision </w:t>
      </w:r>
      <w:r w:rsidR="00627FA6" w:rsidRPr="00290A8F">
        <w:rPr>
          <w:color w:val="333333"/>
          <w:lang w:val="en"/>
        </w:rPr>
        <w:t xml:space="preserve">especially important); </w:t>
      </w:r>
      <w:r w:rsidR="00627FA6" w:rsidRPr="00290A8F">
        <w:rPr>
          <w:i/>
          <w:color w:val="333333"/>
          <w:lang w:val="en"/>
        </w:rPr>
        <w:t>citing</w:t>
      </w:r>
      <w:r w:rsidR="00627FA6" w:rsidRPr="00290A8F">
        <w:rPr>
          <w:color w:val="333333"/>
          <w:lang w:val="en"/>
        </w:rPr>
        <w:t xml:space="preserve"> </w:t>
      </w:r>
      <w:r w:rsidR="00681500" w:rsidRPr="00290A8F">
        <w:rPr>
          <w:i/>
        </w:rPr>
        <w:t xml:space="preserve">Barnstable </w:t>
      </w:r>
      <w:proofErr w:type="spellStart"/>
      <w:r w:rsidR="00681500" w:rsidRPr="00290A8F">
        <w:rPr>
          <w:i/>
        </w:rPr>
        <w:t>Cty</w:t>
      </w:r>
      <w:proofErr w:type="spellEnd"/>
      <w:r w:rsidR="00681500" w:rsidRPr="00290A8F">
        <w:rPr>
          <w:i/>
        </w:rPr>
        <w:t xml:space="preserve"> Ret.</w:t>
      </w:r>
      <w:r w:rsidR="004037AF" w:rsidRPr="00290A8F">
        <w:rPr>
          <w:i/>
        </w:rPr>
        <w:t xml:space="preserve"> Bd. v. PERAC</w:t>
      </w:r>
      <w:r w:rsidR="00681500" w:rsidRPr="00290A8F">
        <w:rPr>
          <w:i/>
        </w:rPr>
        <w:t>,</w:t>
      </w:r>
      <w:r w:rsidR="004037AF" w:rsidRPr="00290A8F">
        <w:t xml:space="preserve"> CR-07-163</w:t>
      </w:r>
      <w:r w:rsidR="00C02A09" w:rsidRPr="00290A8F">
        <w:t xml:space="preserve"> (2012)</w:t>
      </w:r>
      <w:r w:rsidR="00D851DC" w:rsidRPr="00290A8F">
        <w:t>.</w:t>
      </w:r>
      <w:r w:rsidR="007C64AF" w:rsidRPr="00290A8F">
        <w:t xml:space="preserve">  </w:t>
      </w:r>
    </w:p>
    <w:p w:rsidR="003752E8" w:rsidRPr="002B75A6" w:rsidRDefault="003752E8" w:rsidP="002B75A6">
      <w:pPr>
        <w:pStyle w:val="ListParagraph"/>
        <w:numPr>
          <w:ilvl w:val="0"/>
          <w:numId w:val="7"/>
        </w:numPr>
        <w:jc w:val="center"/>
        <w:rPr>
          <w:b/>
        </w:rPr>
      </w:pPr>
      <w:r w:rsidRPr="002B75A6">
        <w:rPr>
          <w:b/>
        </w:rPr>
        <w:t>New Directions July 1, 1993 to June 30, 2007</w:t>
      </w:r>
    </w:p>
    <w:p w:rsidR="001408D3" w:rsidRDefault="001408D3" w:rsidP="001408D3">
      <w:pPr>
        <w:ind w:firstLine="360"/>
      </w:pPr>
    </w:p>
    <w:p w:rsidR="001408D3" w:rsidRDefault="00E527C6" w:rsidP="003A3D97">
      <w:pPr>
        <w:spacing w:line="480" w:lineRule="auto"/>
        <w:ind w:firstLine="360"/>
      </w:pPr>
      <w:r>
        <w:t xml:space="preserve">The </w:t>
      </w:r>
      <w:r w:rsidR="00CD5BA7">
        <w:t>Respondent’s</w:t>
      </w:r>
      <w:r>
        <w:t xml:space="preserve"> decision </w:t>
      </w:r>
      <w:r w:rsidR="00FC13D0">
        <w:t>to deny</w:t>
      </w:r>
      <w:r w:rsidR="00B226C1">
        <w:t xml:space="preserve"> </w:t>
      </w:r>
      <w:r w:rsidR="00C02A09">
        <w:t>Petitioner’s</w:t>
      </w:r>
      <w:r>
        <w:t xml:space="preserve"> </w:t>
      </w:r>
      <w:r w:rsidR="00FC13D0">
        <w:t>request</w:t>
      </w:r>
      <w:r w:rsidR="00B226C1">
        <w:t xml:space="preserve"> </w:t>
      </w:r>
      <w:r>
        <w:t>to buy back her pre-</w:t>
      </w:r>
    </w:p>
    <w:p w:rsidR="007F47CE" w:rsidRPr="00126F9A" w:rsidRDefault="00E527C6" w:rsidP="003A3D97">
      <w:pPr>
        <w:spacing w:line="480" w:lineRule="auto"/>
        <w:rPr>
          <w:color w:val="444444"/>
          <w:lang w:val="en"/>
        </w:rPr>
      </w:pPr>
      <w:proofErr w:type="gramStart"/>
      <w:r>
        <w:t>membership</w:t>
      </w:r>
      <w:proofErr w:type="gramEnd"/>
      <w:r>
        <w:t xml:space="preserve"> service </w:t>
      </w:r>
      <w:r w:rsidR="00DC1105">
        <w:t xml:space="preserve">at New Directions </w:t>
      </w:r>
      <w:r>
        <w:t>is affirmed</w:t>
      </w:r>
      <w:r w:rsidR="00D61008">
        <w:t>,</w:t>
      </w:r>
      <w:r>
        <w:t xml:space="preserve"> because </w:t>
      </w:r>
      <w:r w:rsidR="0050528C">
        <w:t>the P</w:t>
      </w:r>
      <w:r w:rsidR="00FF7509">
        <w:t xml:space="preserve">etitioner failed to meet her burden of proof that </w:t>
      </w:r>
      <w:r>
        <w:t xml:space="preserve">New Directions </w:t>
      </w:r>
      <w:r w:rsidR="009437A5">
        <w:rPr>
          <w:lang w:val="en"/>
        </w:rPr>
        <w:t>was a governmental unit</w:t>
      </w:r>
      <w:r w:rsidR="00C02A09">
        <w:rPr>
          <w:lang w:val="en"/>
        </w:rPr>
        <w:t>.</w:t>
      </w:r>
      <w:r w:rsidR="00FC13D0">
        <w:rPr>
          <w:lang w:val="en"/>
        </w:rPr>
        <w:t xml:space="preserve"> </w:t>
      </w:r>
      <w:r>
        <w:t xml:space="preserve"> Pursuant to G.L. c.</w:t>
      </w:r>
      <w:r w:rsidR="00F3454A">
        <w:t xml:space="preserve"> </w:t>
      </w:r>
      <w:r>
        <w:t>32 §</w:t>
      </w:r>
      <w:r w:rsidR="00F3454A">
        <w:t xml:space="preserve"> </w:t>
      </w:r>
      <w:r>
        <w:t>4(1)(a), “[a]</w:t>
      </w:r>
      <w:proofErr w:type="spellStart"/>
      <w:r>
        <w:t>ny</w:t>
      </w:r>
      <w:proofErr w:type="spellEnd"/>
      <w:r>
        <w:t xml:space="preserve"> member in service shall, s</w:t>
      </w:r>
      <w:r w:rsidR="00E07797">
        <w:t xml:space="preserve">ubject to the provisions and limitations of section one to twenty-eight inclusive, be credited with all service rendered by him as an employee in any governmental unit after becoming a member of the system pertaining thereto.”  </w:t>
      </w:r>
      <w:r w:rsidR="00085D92">
        <w:t xml:space="preserve">The burden of proving each element of a benefit claim is on the applicant by a preponderance of the evidence.  </w:t>
      </w:r>
      <w:proofErr w:type="gramStart"/>
      <w:r w:rsidR="00085D92" w:rsidRPr="001B69C4">
        <w:rPr>
          <w:i/>
        </w:rPr>
        <w:t>Lisbon v. Contributory Ret</w:t>
      </w:r>
      <w:r w:rsidR="00F3454A">
        <w:rPr>
          <w:i/>
        </w:rPr>
        <w:t>.</w:t>
      </w:r>
      <w:r w:rsidR="00085D92" w:rsidRPr="001B69C4">
        <w:rPr>
          <w:i/>
        </w:rPr>
        <w:t xml:space="preserve"> App</w:t>
      </w:r>
      <w:r w:rsidR="00F3454A">
        <w:rPr>
          <w:i/>
        </w:rPr>
        <w:t>.</w:t>
      </w:r>
      <w:r w:rsidR="00085D92" w:rsidRPr="001B69C4">
        <w:rPr>
          <w:i/>
        </w:rPr>
        <w:t xml:space="preserve"> </w:t>
      </w:r>
      <w:proofErr w:type="spellStart"/>
      <w:r w:rsidR="00085D92" w:rsidRPr="001B69C4">
        <w:rPr>
          <w:i/>
        </w:rPr>
        <w:t>Brd</w:t>
      </w:r>
      <w:proofErr w:type="spellEnd"/>
      <w:r w:rsidR="00F3454A">
        <w:rPr>
          <w:i/>
        </w:rPr>
        <w:t>.</w:t>
      </w:r>
      <w:r w:rsidR="00085D92">
        <w:t xml:space="preserve">, </w:t>
      </w:r>
      <w:r w:rsidR="002D4FBD">
        <w:t xml:space="preserve">41 Mass. App. Ct. 246, 255 </w:t>
      </w:r>
      <w:r w:rsidR="00085D92">
        <w:t>670 N.E.2d 392, 399</w:t>
      </w:r>
      <w:r w:rsidR="002D4FBD" w:rsidRPr="002D4FBD">
        <w:t xml:space="preserve"> </w:t>
      </w:r>
      <w:r w:rsidR="002D4FBD">
        <w:t>(1996</w:t>
      </w:r>
      <w:r w:rsidR="009E34E7">
        <w:t>)</w:t>
      </w:r>
      <w:r w:rsidR="007F47CE">
        <w:t>.</w:t>
      </w:r>
      <w:proofErr w:type="gramEnd"/>
      <w:r w:rsidR="002D4FBD">
        <w:t xml:space="preserve"> </w:t>
      </w:r>
      <w:r w:rsidR="00E07797" w:rsidRPr="00085D92">
        <w:t>Thus</w:t>
      </w:r>
      <w:r w:rsidR="00E07797">
        <w:t xml:space="preserve">, in order to </w:t>
      </w:r>
      <w:r w:rsidR="000257BB">
        <w:t>be entitled to buy</w:t>
      </w:r>
      <w:r w:rsidR="00F3454A">
        <w:t xml:space="preserve"> </w:t>
      </w:r>
      <w:r w:rsidR="000257BB">
        <w:t xml:space="preserve">back her service, </w:t>
      </w:r>
      <w:proofErr w:type="spellStart"/>
      <w:r w:rsidR="002D4FBD">
        <w:t>Filkins</w:t>
      </w:r>
      <w:proofErr w:type="spellEnd"/>
      <w:r w:rsidR="002D4FBD">
        <w:t xml:space="preserve"> </w:t>
      </w:r>
      <w:r w:rsidR="00F3454A">
        <w:t xml:space="preserve">had to </w:t>
      </w:r>
      <w:r w:rsidR="009437A5">
        <w:t xml:space="preserve">prove that she was </w:t>
      </w:r>
      <w:r w:rsidR="000257BB">
        <w:t>an “employee” of a “governmental unit,” as those terms are defined in G.L. c.</w:t>
      </w:r>
      <w:r w:rsidR="00F3454A">
        <w:t xml:space="preserve"> </w:t>
      </w:r>
      <w:r w:rsidR="000257BB">
        <w:t>32 §1</w:t>
      </w:r>
      <w:r w:rsidR="0037287E">
        <w:t xml:space="preserve"> </w:t>
      </w:r>
      <w:r w:rsidR="000257BB">
        <w:t>while she was employed with New Directions.</w:t>
      </w:r>
      <w:r w:rsidR="007F47CE">
        <w:t xml:space="preserve">  </w:t>
      </w:r>
      <w:r w:rsidR="009C156F" w:rsidRPr="00126F9A">
        <w:rPr>
          <w:color w:val="444444"/>
          <w:lang w:val="en"/>
        </w:rPr>
        <w:t xml:space="preserve">Governmental unit is defined as “the commonwealth or any political subdivision thereof…” </w:t>
      </w:r>
      <w:proofErr w:type="gramStart"/>
      <w:r w:rsidR="007F47CE" w:rsidRPr="00CD3765">
        <w:t>G.L. c.32 §1.</w:t>
      </w:r>
      <w:proofErr w:type="gramEnd"/>
    </w:p>
    <w:p w:rsidR="00F3454A" w:rsidRDefault="00FC13D0" w:rsidP="00F3454A">
      <w:pPr>
        <w:spacing w:line="480" w:lineRule="auto"/>
        <w:ind w:firstLine="360"/>
      </w:pPr>
      <w:r>
        <w:t>New</w:t>
      </w:r>
      <w:r w:rsidR="00B226C1">
        <w:t xml:space="preserve"> </w:t>
      </w:r>
      <w:r>
        <w:t xml:space="preserve">Directions </w:t>
      </w:r>
      <w:r w:rsidR="007F47CE">
        <w:t>wa</w:t>
      </w:r>
      <w:r>
        <w:t xml:space="preserve">s a separate legal entity and its employees </w:t>
      </w:r>
      <w:r w:rsidR="007F47CE">
        <w:t>we</w:t>
      </w:r>
      <w:r>
        <w:t xml:space="preserve">re not employees of the City of New Bedford.  </w:t>
      </w:r>
      <w:proofErr w:type="spellStart"/>
      <w:r>
        <w:t>Filkins</w:t>
      </w:r>
      <w:proofErr w:type="spellEnd"/>
      <w:r>
        <w:t xml:space="preserve"> present</w:t>
      </w:r>
      <w:r w:rsidR="007F47CE">
        <w:t>ed</w:t>
      </w:r>
      <w:r>
        <w:t xml:space="preserve"> evidence that her checks were paid under the City of New Bedford Tax ID number, her paychecks said “City of New Bedford”, and her office was in a building owned by the City of New Bedford.  However, the evidence </w:t>
      </w:r>
      <w:r w:rsidR="007F47CE">
        <w:t>wa</w:t>
      </w:r>
      <w:r>
        <w:t xml:space="preserve">s insufficient to show that </w:t>
      </w:r>
      <w:proofErr w:type="spellStart"/>
      <w:r>
        <w:t>Filkins</w:t>
      </w:r>
      <w:proofErr w:type="spellEnd"/>
      <w:r>
        <w:t xml:space="preserve"> was an employee of the </w:t>
      </w:r>
      <w:r w:rsidR="0060364C">
        <w:t>C</w:t>
      </w:r>
      <w:r>
        <w:t>ity of New Bedford.  Rather, the evidence establishe</w:t>
      </w:r>
      <w:r w:rsidR="007F47CE">
        <w:t>d</w:t>
      </w:r>
      <w:r w:rsidR="00F3454A" w:rsidRPr="00F3454A">
        <w:t xml:space="preserve"> </w:t>
      </w:r>
      <w:r w:rsidR="00F3454A">
        <w:t>only</w:t>
      </w:r>
      <w:r>
        <w:t xml:space="preserve"> that the City of New Bedford may have been the “fiscal agent” for New Directions.  A fiscal agent is generally defined as “[a] bank or </w:t>
      </w:r>
      <w:r>
        <w:lastRenderedPageBreak/>
        <w:t>other financial institution that collects and disburses money and serves as a depositary of private and public funds on another’s behalf.”  Garner B.A. Black’s Law Dictionary, p. 69 (8</w:t>
      </w:r>
      <w:r w:rsidRPr="001D1800">
        <w:t>th</w:t>
      </w:r>
      <w:r>
        <w:t xml:space="preserve"> ed. 2004</w:t>
      </w:r>
      <w:r w:rsidR="009E34E7">
        <w:t>)</w:t>
      </w:r>
      <w:r w:rsidR="009C156F">
        <w:t>.</w:t>
      </w:r>
      <w:r>
        <w:t xml:space="preserve">  In this relationship, the agent, the City of New Bedford, and the principal, New Directions, </w:t>
      </w:r>
      <w:r w:rsidR="007F47CE">
        <w:t>we</w:t>
      </w:r>
      <w:r>
        <w:t xml:space="preserve">re two separate legal entities. </w:t>
      </w:r>
      <w:proofErr w:type="spellStart"/>
      <w:r w:rsidRPr="001B69C4">
        <w:rPr>
          <w:i/>
        </w:rPr>
        <w:t>Wrobleski</w:t>
      </w:r>
      <w:proofErr w:type="spellEnd"/>
      <w:r w:rsidR="001617F0">
        <w:rPr>
          <w:i/>
        </w:rPr>
        <w:t xml:space="preserve"> v</w:t>
      </w:r>
      <w:r w:rsidR="00B91E5C">
        <w:rPr>
          <w:i/>
        </w:rPr>
        <w:t>.</w:t>
      </w:r>
      <w:r w:rsidR="001617F0">
        <w:rPr>
          <w:i/>
        </w:rPr>
        <w:t xml:space="preserve"> State Board </w:t>
      </w:r>
      <w:proofErr w:type="gramStart"/>
      <w:r w:rsidR="001617F0">
        <w:rPr>
          <w:i/>
        </w:rPr>
        <w:t>Of</w:t>
      </w:r>
      <w:proofErr w:type="gramEnd"/>
      <w:r w:rsidR="001617F0">
        <w:rPr>
          <w:i/>
        </w:rPr>
        <w:t xml:space="preserve"> Retirement</w:t>
      </w:r>
      <w:r w:rsidRPr="00F44E7D">
        <w:t>, CR-09-338</w:t>
      </w:r>
      <w:r w:rsidR="00B226C1">
        <w:t xml:space="preserve"> *</w:t>
      </w:r>
      <w:r w:rsidRPr="00F44E7D">
        <w:t xml:space="preserve"> </w:t>
      </w:r>
      <w:r w:rsidR="001617F0">
        <w:t xml:space="preserve">9-10 </w:t>
      </w:r>
      <w:r w:rsidRPr="00F44E7D">
        <w:t>(</w:t>
      </w:r>
      <w:r>
        <w:t xml:space="preserve">DALA </w:t>
      </w:r>
      <w:r w:rsidR="00290A8F">
        <w:t>D</w:t>
      </w:r>
      <w:r>
        <w:t xml:space="preserve">ec. 5/6/10; no CRAB </w:t>
      </w:r>
      <w:r w:rsidR="00A22A2A">
        <w:t>D</w:t>
      </w:r>
      <w:r>
        <w:t>ec.</w:t>
      </w:r>
      <w:r w:rsidR="009E34E7">
        <w:t>)</w:t>
      </w:r>
    </w:p>
    <w:p w:rsidR="003752E8" w:rsidRDefault="00FC13D0" w:rsidP="00F3454A">
      <w:pPr>
        <w:spacing w:line="480" w:lineRule="auto"/>
        <w:ind w:firstLine="360"/>
      </w:pPr>
      <w:r>
        <w:t xml:space="preserve">While </w:t>
      </w:r>
      <w:proofErr w:type="spellStart"/>
      <w:r>
        <w:t>Filkins</w:t>
      </w:r>
      <w:proofErr w:type="spellEnd"/>
      <w:r>
        <w:t xml:space="preserve"> submitted evidence that the City of New Bedford performed other services for New Directions, such as auditing </w:t>
      </w:r>
      <w:r w:rsidR="007C3C0F">
        <w:t xml:space="preserve">its </w:t>
      </w:r>
      <w:r>
        <w:t>financial statements</w:t>
      </w:r>
      <w:r w:rsidR="009E34E7">
        <w:t xml:space="preserve"> </w:t>
      </w:r>
      <w:r>
        <w:t xml:space="preserve">(Ex. </w:t>
      </w:r>
      <w:r w:rsidR="00B226C1">
        <w:t>Pl</w:t>
      </w:r>
      <w:r>
        <w:t>)</w:t>
      </w:r>
      <w:r w:rsidR="007C3C0F">
        <w:t>;</w:t>
      </w:r>
      <w:r w:rsidR="00B226C1">
        <w:t xml:space="preserve"> </w:t>
      </w:r>
      <w:r w:rsidR="007C3C0F">
        <w:t xml:space="preserve">she did not meet her burden of proof and establish that </w:t>
      </w:r>
      <w:r w:rsidR="00B226C1">
        <w:t>t</w:t>
      </w:r>
      <w:r>
        <w:t xml:space="preserve">hese services were </w:t>
      </w:r>
      <w:r w:rsidR="00F3454A">
        <w:t>performed</w:t>
      </w:r>
      <w:r>
        <w:t xml:space="preserve"> </w:t>
      </w:r>
      <w:r w:rsidR="007C3C0F">
        <w:t xml:space="preserve">because New Directions was a </w:t>
      </w:r>
      <w:proofErr w:type="gramStart"/>
      <w:r w:rsidR="00F3454A">
        <w:t xml:space="preserve">unit </w:t>
      </w:r>
      <w:r w:rsidR="007C3C0F">
        <w:t xml:space="preserve"> of</w:t>
      </w:r>
      <w:proofErr w:type="gramEnd"/>
      <w:r w:rsidR="007C3C0F">
        <w:t xml:space="preserve"> the </w:t>
      </w:r>
      <w:r w:rsidR="00F3454A">
        <w:t>government</w:t>
      </w:r>
      <w:r w:rsidR="007C3C0F">
        <w:t xml:space="preserve"> rather than</w:t>
      </w:r>
      <w:r w:rsidR="00F3454A">
        <w:t xml:space="preserve"> a separate entity which provided services</w:t>
      </w:r>
      <w:r w:rsidR="007C3C0F">
        <w:t xml:space="preserve"> </w:t>
      </w:r>
      <w:r>
        <w:t>on a contractual basis</w:t>
      </w:r>
      <w:r w:rsidR="007C3C0F">
        <w:t>.</w:t>
      </w:r>
      <w:r w:rsidR="009E34E7">
        <w:t xml:space="preserve"> </w:t>
      </w:r>
      <w:r w:rsidR="00202A0A">
        <w:t>While New Directions stated</w:t>
      </w:r>
      <w:r w:rsidR="009A292D">
        <w:t>,</w:t>
      </w:r>
      <w:r w:rsidR="00202A0A">
        <w:t xml:space="preserve"> in 2005</w:t>
      </w:r>
      <w:r w:rsidR="009A292D">
        <w:t>,</w:t>
      </w:r>
      <w:r w:rsidR="00202A0A">
        <w:t xml:space="preserve"> that it was a “component unit of the City of New Bedford</w:t>
      </w:r>
      <w:r w:rsidR="00C2445B">
        <w:t>,</w:t>
      </w:r>
      <w:r w:rsidR="00202A0A">
        <w:t xml:space="preserve">” </w:t>
      </w:r>
      <w:r w:rsidR="00C2445B">
        <w:t>a</w:t>
      </w:r>
      <w:r w:rsidR="002D4FBD">
        <w:t xml:space="preserve">s the </w:t>
      </w:r>
      <w:r w:rsidR="00B226C1">
        <w:t>m</w:t>
      </w:r>
      <w:r w:rsidR="002D4FBD">
        <w:t xml:space="preserve">agistrate wrote in </w:t>
      </w:r>
      <w:proofErr w:type="spellStart"/>
      <w:r w:rsidR="002D4FBD" w:rsidRPr="002A7174">
        <w:rPr>
          <w:i/>
        </w:rPr>
        <w:t>Wrobleski</w:t>
      </w:r>
      <w:proofErr w:type="spellEnd"/>
      <w:r>
        <w:t>,</w:t>
      </w:r>
      <w:r w:rsidR="002D4FBD">
        <w:t xml:space="preserve"> </w:t>
      </w:r>
      <w:r w:rsidR="009437A5">
        <w:t xml:space="preserve">section 3 (5) of </w:t>
      </w:r>
      <w:r w:rsidR="00F3454A">
        <w:t>C</w:t>
      </w:r>
      <w:r w:rsidR="009437A5">
        <w:t>hapter 32</w:t>
      </w:r>
      <w:r>
        <w:t xml:space="preserve"> </w:t>
      </w:r>
      <w:r w:rsidR="009437A5">
        <w:t>“</w:t>
      </w:r>
      <w:r w:rsidR="000257BB">
        <w:t xml:space="preserve">does not apply to pre-membership service in every political subdivision of the commonwealth, but only to pre-membership services in those political subdivisions that later establish a Chapter 32 retirement system” </w:t>
      </w:r>
      <w:r>
        <w:t>and New Directions has not done so</w:t>
      </w:r>
      <w:r w:rsidR="007C3C0F">
        <w:t>.</w:t>
      </w:r>
      <w:r w:rsidRPr="001B69C4" w:rsidDel="00FC13D0">
        <w:rPr>
          <w:i/>
        </w:rPr>
        <w:t xml:space="preserve"> </w:t>
      </w:r>
      <w:proofErr w:type="spellStart"/>
      <w:proofErr w:type="gramStart"/>
      <w:r w:rsidR="000257BB" w:rsidRPr="001B69C4">
        <w:rPr>
          <w:i/>
        </w:rPr>
        <w:t>Wrobleski</w:t>
      </w:r>
      <w:proofErr w:type="spellEnd"/>
      <w:r w:rsidR="000257BB" w:rsidRPr="001B69C4">
        <w:rPr>
          <w:i/>
        </w:rPr>
        <w:t xml:space="preserve"> </w:t>
      </w:r>
      <w:r>
        <w:t>supra *</w:t>
      </w:r>
      <w:r w:rsidR="001617F0">
        <w:t xml:space="preserve"> 6</w:t>
      </w:r>
      <w:r w:rsidR="003C0919">
        <w:t>.</w:t>
      </w:r>
      <w:proofErr w:type="gramEnd"/>
      <w:r w:rsidR="003C0919">
        <w:t xml:space="preserve"> </w:t>
      </w:r>
      <w:r w:rsidR="00A02C1E">
        <w:t>In addition</w:t>
      </w:r>
      <w:r w:rsidR="00143438">
        <w:t xml:space="preserve">,  a </w:t>
      </w:r>
      <w:r w:rsidR="00A02C1E">
        <w:t>letter dated December 14, 2010 f</w:t>
      </w:r>
      <w:r w:rsidR="00143438">
        <w:t>rom Albert J. Roy of JTEC stated</w:t>
      </w:r>
      <w:r w:rsidR="00A02C1E">
        <w:t xml:space="preserve"> that</w:t>
      </w:r>
      <w:r w:rsidR="00143438">
        <w:t xml:space="preserve"> “</w:t>
      </w:r>
      <w:proofErr w:type="spellStart"/>
      <w:r w:rsidR="00143438">
        <w:t>Filkins</w:t>
      </w:r>
      <w:proofErr w:type="spellEnd"/>
      <w:r w:rsidR="00143438">
        <w:t xml:space="preserve"> was hired…for the Office of Job Partnerships…as part of the New Bedford Consortium which operated </w:t>
      </w:r>
      <w:r w:rsidR="00143438" w:rsidRPr="00B26084">
        <w:rPr>
          <w:b/>
        </w:rPr>
        <w:t xml:space="preserve">in part </w:t>
      </w:r>
      <w:r w:rsidR="00143438">
        <w:t>under the Chief elected official in New Bedford.</w:t>
      </w:r>
      <w:r w:rsidR="00F3454A">
        <w:t>”</w:t>
      </w:r>
      <w:r w:rsidR="00143438">
        <w:t xml:space="preserve"> (</w:t>
      </w:r>
      <w:r w:rsidR="009A292D">
        <w:t>Ex R</w:t>
      </w:r>
      <w:r w:rsidR="00143438">
        <w:t>9 emphasis added)</w:t>
      </w:r>
      <w:r w:rsidR="009A292D">
        <w:t xml:space="preserve"> </w:t>
      </w:r>
    </w:p>
    <w:p w:rsidR="009E44CE" w:rsidRPr="009E44CE" w:rsidRDefault="009E44CE" w:rsidP="001A2B4E">
      <w:pPr>
        <w:spacing w:line="480" w:lineRule="auto"/>
        <w:ind w:firstLine="360"/>
        <w:rPr>
          <w:rFonts w:eastAsiaTheme="minorHAnsi"/>
          <w:color w:val="444444"/>
          <w:lang w:val="en"/>
        </w:rPr>
      </w:pPr>
      <w:r w:rsidRPr="009E44CE">
        <w:rPr>
          <w:rFonts w:eastAsiaTheme="minorHAnsi"/>
          <w:color w:val="444444"/>
          <w:lang w:val="en"/>
        </w:rPr>
        <w:t xml:space="preserve"> </w:t>
      </w:r>
      <w:r w:rsidRPr="009E44CE">
        <w:rPr>
          <w:rFonts w:eastAsiaTheme="minorHAnsi"/>
          <w:i/>
          <w:color w:val="444444"/>
          <w:lang w:val="en"/>
        </w:rPr>
        <w:t>Carter v. Mass. Teachers’ Retirement System</w:t>
      </w:r>
      <w:r w:rsidRPr="009E44CE">
        <w:rPr>
          <w:rFonts w:eastAsiaTheme="minorHAnsi"/>
          <w:color w:val="444444"/>
          <w:lang w:val="en"/>
        </w:rPr>
        <w:t xml:space="preserve">, CR-07-1155 (DALA </w:t>
      </w:r>
      <w:r w:rsidR="001408D3">
        <w:rPr>
          <w:rFonts w:eastAsiaTheme="minorHAnsi"/>
          <w:color w:val="444444"/>
          <w:lang w:val="en"/>
        </w:rPr>
        <w:t>4/</w:t>
      </w:r>
      <w:r w:rsidRPr="009E44CE">
        <w:rPr>
          <w:rFonts w:eastAsiaTheme="minorHAnsi"/>
          <w:color w:val="444444"/>
          <w:lang w:val="en"/>
        </w:rPr>
        <w:t>27</w:t>
      </w:r>
      <w:r w:rsidR="001408D3">
        <w:rPr>
          <w:rFonts w:eastAsiaTheme="minorHAnsi"/>
          <w:color w:val="444444"/>
          <w:lang w:val="en"/>
        </w:rPr>
        <w:t>/</w:t>
      </w:r>
      <w:r w:rsidRPr="009E44CE">
        <w:rPr>
          <w:rFonts w:eastAsiaTheme="minorHAnsi"/>
          <w:color w:val="444444"/>
          <w:lang w:val="en"/>
        </w:rPr>
        <w:t xml:space="preserve">2012), </w:t>
      </w:r>
      <w:r w:rsidR="00F3454A">
        <w:rPr>
          <w:rFonts w:eastAsiaTheme="minorHAnsi"/>
          <w:color w:val="444444"/>
          <w:lang w:val="en"/>
        </w:rPr>
        <w:t xml:space="preserve">held that </w:t>
      </w:r>
      <w:r w:rsidRPr="009E44CE">
        <w:rPr>
          <w:rFonts w:eastAsiaTheme="minorHAnsi"/>
          <w:color w:val="444444"/>
          <w:lang w:val="en"/>
        </w:rPr>
        <w:t>Ms. Carter’s prior employment with non-profits was found not to be employment with a governmental unit or political subdivision</w:t>
      </w:r>
      <w:r w:rsidR="007F0FA3">
        <w:rPr>
          <w:rFonts w:eastAsiaTheme="minorHAnsi"/>
          <w:color w:val="444444"/>
          <w:lang w:val="en"/>
        </w:rPr>
        <w:t>, because</w:t>
      </w:r>
      <w:r w:rsidR="00E76BA8">
        <w:rPr>
          <w:rFonts w:eastAsiaTheme="minorHAnsi"/>
          <w:color w:val="444444"/>
          <w:lang w:val="en"/>
        </w:rPr>
        <w:t xml:space="preserve"> “</w:t>
      </w:r>
      <w:r w:rsidR="007F0FA3">
        <w:rPr>
          <w:rFonts w:eastAsiaTheme="minorHAnsi"/>
          <w:color w:val="333333"/>
          <w:lang w:val="en"/>
        </w:rPr>
        <w:t>t</w:t>
      </w:r>
      <w:r w:rsidRPr="009E44CE">
        <w:rPr>
          <w:rFonts w:eastAsiaTheme="minorHAnsi"/>
          <w:color w:val="333333"/>
          <w:lang w:val="en"/>
        </w:rPr>
        <w:t xml:space="preserve">he independence of an organization from the Commonwealth, or independence from a recognized political subdivision of the Commonwealth, is well-established as an indicator that the </w:t>
      </w:r>
      <w:r w:rsidRPr="009E44CE">
        <w:rPr>
          <w:rFonts w:eastAsiaTheme="minorHAnsi"/>
          <w:color w:val="333333"/>
          <w:lang w:val="en"/>
        </w:rPr>
        <w:lastRenderedPageBreak/>
        <w:t>organization is not a governmental unit.</w:t>
      </w:r>
      <w:r w:rsidR="00E76BA8">
        <w:rPr>
          <w:rFonts w:eastAsiaTheme="minorHAnsi"/>
          <w:color w:val="333333"/>
          <w:lang w:val="en"/>
        </w:rPr>
        <w:t>”</w:t>
      </w:r>
      <w:r w:rsidRPr="009E44CE">
        <w:rPr>
          <w:rFonts w:eastAsiaTheme="minorHAnsi"/>
          <w:color w:val="333333"/>
          <w:lang w:val="en"/>
        </w:rPr>
        <w:t xml:space="preserve">  See </w:t>
      </w:r>
      <w:proofErr w:type="spellStart"/>
      <w:r w:rsidRPr="009E44CE">
        <w:rPr>
          <w:rFonts w:eastAsiaTheme="minorHAnsi"/>
          <w:i/>
          <w:color w:val="333333"/>
          <w:lang w:val="en"/>
        </w:rPr>
        <w:t>Popeo</w:t>
      </w:r>
      <w:proofErr w:type="spellEnd"/>
      <w:r w:rsidRPr="009E44CE">
        <w:rPr>
          <w:rFonts w:eastAsiaTheme="minorHAnsi"/>
          <w:i/>
          <w:color w:val="333333"/>
          <w:lang w:val="en"/>
        </w:rPr>
        <w:t xml:space="preserve"> v. State Ret</w:t>
      </w:r>
      <w:r w:rsidR="003A3D97">
        <w:rPr>
          <w:rFonts w:eastAsiaTheme="minorHAnsi"/>
          <w:i/>
          <w:color w:val="333333"/>
          <w:lang w:val="en"/>
        </w:rPr>
        <w:t>.</w:t>
      </w:r>
      <w:r w:rsidRPr="009E44CE">
        <w:rPr>
          <w:rFonts w:eastAsiaTheme="minorHAnsi"/>
          <w:i/>
          <w:color w:val="333333"/>
          <w:lang w:val="en"/>
        </w:rPr>
        <w:t xml:space="preserve">t </w:t>
      </w:r>
      <w:proofErr w:type="spellStart"/>
      <w:r w:rsidRPr="009E44CE">
        <w:rPr>
          <w:rFonts w:eastAsiaTheme="minorHAnsi"/>
          <w:i/>
          <w:color w:val="333333"/>
          <w:lang w:val="en"/>
        </w:rPr>
        <w:t>Brd</w:t>
      </w:r>
      <w:proofErr w:type="spellEnd"/>
      <w:r w:rsidR="003A3D97">
        <w:rPr>
          <w:rFonts w:eastAsiaTheme="minorHAnsi"/>
          <w:i/>
          <w:color w:val="333333"/>
          <w:lang w:val="en"/>
        </w:rPr>
        <w:t>.</w:t>
      </w:r>
      <w:r w:rsidRPr="009E44CE">
        <w:rPr>
          <w:rFonts w:eastAsiaTheme="minorHAnsi"/>
          <w:color w:val="333333"/>
          <w:lang w:val="en"/>
        </w:rPr>
        <w:t>, CR-95-645 (</w:t>
      </w:r>
      <w:r w:rsidR="003E29B1">
        <w:rPr>
          <w:rFonts w:eastAsiaTheme="minorHAnsi"/>
          <w:color w:val="333333"/>
          <w:lang w:val="en"/>
        </w:rPr>
        <w:t>DALA</w:t>
      </w:r>
      <w:r w:rsidRPr="009E44CE">
        <w:rPr>
          <w:rFonts w:eastAsiaTheme="minorHAnsi"/>
          <w:color w:val="333333"/>
          <w:lang w:val="en"/>
        </w:rPr>
        <w:t xml:space="preserve"> </w:t>
      </w:r>
      <w:r w:rsidR="003E29B1">
        <w:rPr>
          <w:rFonts w:eastAsiaTheme="minorHAnsi"/>
          <w:color w:val="333333"/>
          <w:lang w:val="en"/>
        </w:rPr>
        <w:t>6/6/</w:t>
      </w:r>
      <w:r w:rsidRPr="009E44CE">
        <w:rPr>
          <w:rFonts w:eastAsiaTheme="minorHAnsi"/>
          <w:color w:val="333333"/>
          <w:lang w:val="en"/>
        </w:rPr>
        <w:t xml:space="preserve">1996) (board of directors was independent from the City of Worcester); </w:t>
      </w:r>
      <w:r w:rsidRPr="009E44CE">
        <w:rPr>
          <w:rFonts w:eastAsiaTheme="minorHAnsi"/>
          <w:i/>
          <w:color w:val="333333"/>
          <w:lang w:val="en"/>
        </w:rPr>
        <w:t>Castellano v. Springfield Ret</w:t>
      </w:r>
      <w:r w:rsidR="003A3D97">
        <w:rPr>
          <w:rFonts w:eastAsiaTheme="minorHAnsi"/>
          <w:i/>
          <w:color w:val="333333"/>
          <w:lang w:val="en"/>
        </w:rPr>
        <w:t>.</w:t>
      </w:r>
      <w:r w:rsidRPr="009E44CE">
        <w:rPr>
          <w:rFonts w:eastAsiaTheme="minorHAnsi"/>
          <w:i/>
          <w:color w:val="333333"/>
          <w:lang w:val="en"/>
        </w:rPr>
        <w:t xml:space="preserve"> </w:t>
      </w:r>
      <w:proofErr w:type="spellStart"/>
      <w:r w:rsidRPr="009E44CE">
        <w:rPr>
          <w:rFonts w:eastAsiaTheme="minorHAnsi"/>
          <w:i/>
          <w:color w:val="333333"/>
          <w:lang w:val="en"/>
        </w:rPr>
        <w:t>Brd</w:t>
      </w:r>
      <w:proofErr w:type="spellEnd"/>
      <w:r w:rsidR="003A3D97">
        <w:rPr>
          <w:rFonts w:eastAsiaTheme="minorHAnsi"/>
          <w:i/>
          <w:color w:val="333333"/>
          <w:lang w:val="en"/>
        </w:rPr>
        <w:t>.</w:t>
      </w:r>
      <w:r w:rsidRPr="009E44CE">
        <w:rPr>
          <w:rFonts w:eastAsiaTheme="minorHAnsi"/>
          <w:color w:val="333333"/>
          <w:lang w:val="en"/>
        </w:rPr>
        <w:t>, CR-04-1118 (</w:t>
      </w:r>
      <w:r w:rsidR="003E29B1">
        <w:rPr>
          <w:rFonts w:eastAsiaTheme="minorHAnsi"/>
          <w:color w:val="333333"/>
          <w:lang w:val="en"/>
        </w:rPr>
        <w:t>DALA 6/</w:t>
      </w:r>
      <w:r w:rsidRPr="009E44CE">
        <w:rPr>
          <w:rFonts w:eastAsiaTheme="minorHAnsi"/>
          <w:color w:val="333333"/>
          <w:lang w:val="en"/>
        </w:rPr>
        <w:t>2</w:t>
      </w:r>
      <w:r w:rsidR="003E29B1">
        <w:rPr>
          <w:rFonts w:eastAsiaTheme="minorHAnsi"/>
          <w:color w:val="333333"/>
          <w:lang w:val="en"/>
        </w:rPr>
        <w:t>/</w:t>
      </w:r>
      <w:r w:rsidRPr="009E44CE">
        <w:rPr>
          <w:rFonts w:eastAsiaTheme="minorHAnsi"/>
          <w:color w:val="333333"/>
          <w:lang w:val="en"/>
        </w:rPr>
        <w:t xml:space="preserve">2006) (no governmental unit when the organization was a non-profit corporation and employees contributed to Social Security); </w:t>
      </w:r>
      <w:proofErr w:type="spellStart"/>
      <w:r w:rsidRPr="009E44CE">
        <w:rPr>
          <w:rFonts w:eastAsiaTheme="minorHAnsi"/>
          <w:i/>
          <w:color w:val="333333"/>
          <w:lang w:val="en"/>
        </w:rPr>
        <w:t>Mol</w:t>
      </w:r>
      <w:proofErr w:type="spellEnd"/>
      <w:r w:rsidRPr="009E44CE">
        <w:rPr>
          <w:rFonts w:eastAsiaTheme="minorHAnsi"/>
          <w:i/>
          <w:color w:val="333333"/>
          <w:lang w:val="en"/>
        </w:rPr>
        <w:t xml:space="preserve"> v. Teachers' Ret</w:t>
      </w:r>
      <w:r w:rsidR="003A3D97">
        <w:rPr>
          <w:rFonts w:eastAsiaTheme="minorHAnsi"/>
          <w:i/>
          <w:color w:val="333333"/>
          <w:lang w:val="en"/>
        </w:rPr>
        <w:t>.</w:t>
      </w:r>
      <w:r w:rsidRPr="009E44CE">
        <w:rPr>
          <w:rFonts w:eastAsiaTheme="minorHAnsi"/>
          <w:i/>
          <w:color w:val="333333"/>
          <w:lang w:val="en"/>
        </w:rPr>
        <w:t xml:space="preserve"> </w:t>
      </w:r>
      <w:proofErr w:type="spellStart"/>
      <w:r w:rsidRPr="009E44CE">
        <w:rPr>
          <w:rFonts w:eastAsiaTheme="minorHAnsi"/>
          <w:i/>
          <w:color w:val="333333"/>
          <w:lang w:val="en"/>
        </w:rPr>
        <w:t>Brd</w:t>
      </w:r>
      <w:proofErr w:type="spellEnd"/>
      <w:r w:rsidR="003A3D97">
        <w:rPr>
          <w:rFonts w:eastAsiaTheme="minorHAnsi"/>
          <w:i/>
          <w:color w:val="333333"/>
          <w:lang w:val="en"/>
        </w:rPr>
        <w:t>.</w:t>
      </w:r>
      <w:r w:rsidRPr="009E44CE">
        <w:rPr>
          <w:rFonts w:eastAsiaTheme="minorHAnsi"/>
          <w:color w:val="333333"/>
          <w:lang w:val="en"/>
        </w:rPr>
        <w:t>, CR-01-719 (</w:t>
      </w:r>
      <w:r w:rsidR="003E29B1">
        <w:rPr>
          <w:rFonts w:eastAsiaTheme="minorHAnsi"/>
          <w:color w:val="333333"/>
          <w:lang w:val="en"/>
        </w:rPr>
        <w:t>DALA</w:t>
      </w:r>
      <w:r w:rsidRPr="009E44CE">
        <w:rPr>
          <w:rFonts w:eastAsiaTheme="minorHAnsi"/>
          <w:color w:val="333333"/>
          <w:lang w:val="en"/>
        </w:rPr>
        <w:t xml:space="preserve"> </w:t>
      </w:r>
      <w:r w:rsidR="003E29B1">
        <w:rPr>
          <w:rFonts w:eastAsiaTheme="minorHAnsi"/>
          <w:color w:val="333333"/>
          <w:lang w:val="en"/>
        </w:rPr>
        <w:t>10/</w:t>
      </w:r>
      <w:r w:rsidRPr="009E44CE">
        <w:rPr>
          <w:rFonts w:eastAsiaTheme="minorHAnsi"/>
          <w:color w:val="333333"/>
          <w:lang w:val="en"/>
        </w:rPr>
        <w:t>5</w:t>
      </w:r>
      <w:r w:rsidR="003E29B1">
        <w:rPr>
          <w:rFonts w:eastAsiaTheme="minorHAnsi"/>
          <w:color w:val="333333"/>
          <w:lang w:val="en"/>
        </w:rPr>
        <w:t>/</w:t>
      </w:r>
      <w:r w:rsidRPr="009E44CE">
        <w:rPr>
          <w:rFonts w:eastAsiaTheme="minorHAnsi"/>
          <w:color w:val="333333"/>
          <w:lang w:val="en"/>
        </w:rPr>
        <w:t xml:space="preserve">2001) (insufficient statutory authority to establish a link between an organization and a recognized governmental unit).  In this same vein, work for a non-profit corporation that makes independent hiring decisions, even when it provides services to a governmental unit, is not work for a governmental unit that would entitle an employee to </w:t>
      </w:r>
      <w:bookmarkStart w:id="2" w:name="hit17"/>
      <w:bookmarkEnd w:id="2"/>
      <w:r w:rsidRPr="009E44CE">
        <w:rPr>
          <w:rFonts w:eastAsiaTheme="minorHAnsi"/>
          <w:noProof/>
          <w:color w:val="1D1D1D"/>
        </w:rPr>
        <w:t>creditable service</w:t>
      </w:r>
      <w:r w:rsidRPr="009E44CE">
        <w:rPr>
          <w:rFonts w:eastAsiaTheme="minorHAnsi"/>
          <w:noProof/>
          <w:color w:val="1D1D1D"/>
        </w:rPr>
        <w:drawing>
          <wp:inline distT="0" distB="0" distL="0" distR="0" wp14:anchorId="45319407" wp14:editId="1A0899E7">
            <wp:extent cx="8255" cy="8255"/>
            <wp:effectExtent l="0" t="0" r="0" b="0"/>
            <wp:docPr id="2" name="Picture 2"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bookmarkStart w:id="3" w:name="hit18"/>
      <w:bookmarkEnd w:id="3"/>
      <w:r w:rsidRPr="009E44CE">
        <w:rPr>
          <w:rFonts w:eastAsiaTheme="minorHAnsi"/>
          <w:color w:val="333333"/>
          <w:lang w:val="en"/>
        </w:rPr>
        <w:t xml:space="preserve">.  </w:t>
      </w:r>
      <w:bookmarkStart w:id="4" w:name="hit24"/>
      <w:bookmarkStart w:id="5" w:name="hit25"/>
      <w:bookmarkStart w:id="6" w:name="hit26"/>
      <w:bookmarkStart w:id="7" w:name="hit27"/>
      <w:bookmarkEnd w:id="4"/>
      <w:bookmarkEnd w:id="5"/>
      <w:bookmarkEnd w:id="6"/>
      <w:bookmarkEnd w:id="7"/>
      <w:r w:rsidR="003E29B1">
        <w:rPr>
          <w:rFonts w:eastAsiaTheme="minorHAnsi"/>
          <w:color w:val="444444"/>
          <w:lang w:val="en"/>
        </w:rPr>
        <w:t>I</w:t>
      </w:r>
      <w:r w:rsidRPr="009E44CE">
        <w:rPr>
          <w:rFonts w:eastAsiaTheme="minorHAnsi"/>
          <w:color w:val="444444"/>
          <w:lang w:val="en"/>
        </w:rPr>
        <w:t xml:space="preserve">n </w:t>
      </w:r>
      <w:r w:rsidRPr="009E44CE">
        <w:rPr>
          <w:rFonts w:eastAsiaTheme="minorHAnsi"/>
          <w:i/>
          <w:color w:val="444444"/>
          <w:lang w:val="en"/>
        </w:rPr>
        <w:t>Fawcett v. Mass. Teachers’ Retirement System</w:t>
      </w:r>
      <w:r w:rsidRPr="009E44CE">
        <w:rPr>
          <w:rFonts w:eastAsiaTheme="minorHAnsi"/>
          <w:color w:val="444444"/>
          <w:lang w:val="en"/>
        </w:rPr>
        <w:t xml:space="preserve">, CR-07-225 (DALA </w:t>
      </w:r>
      <w:r w:rsidR="003E29B1">
        <w:rPr>
          <w:rFonts w:eastAsiaTheme="minorHAnsi"/>
          <w:color w:val="444444"/>
          <w:lang w:val="en"/>
        </w:rPr>
        <w:t>12/10/</w:t>
      </w:r>
      <w:r w:rsidRPr="009E44CE">
        <w:rPr>
          <w:rFonts w:eastAsiaTheme="minorHAnsi"/>
          <w:color w:val="444444"/>
          <w:lang w:val="en"/>
        </w:rPr>
        <w:t>2010), Fawcett’s work directly be</w:t>
      </w:r>
      <w:r w:rsidR="001A2B4E">
        <w:rPr>
          <w:rFonts w:eastAsiaTheme="minorHAnsi"/>
          <w:color w:val="444444"/>
          <w:lang w:val="en"/>
        </w:rPr>
        <w:t>nefitted the City of Lowell, although</w:t>
      </w:r>
      <w:r w:rsidRPr="009E44CE">
        <w:rPr>
          <w:rFonts w:eastAsiaTheme="minorHAnsi"/>
          <w:color w:val="444444"/>
          <w:lang w:val="en"/>
        </w:rPr>
        <w:t xml:space="preserve"> he worked for the Neighborhood Youth Corps, a non-profit, receiving federal grant money used to pay him.  Fawcett was hired by the non-profit to help carry-out its mission.  </w:t>
      </w:r>
      <w:proofErr w:type="gramStart"/>
      <w:r w:rsidRPr="009E44CE">
        <w:rPr>
          <w:rFonts w:eastAsiaTheme="minorHAnsi"/>
          <w:color w:val="444444"/>
          <w:lang w:val="en"/>
        </w:rPr>
        <w:t>“The City of Lowell was simply the beneficiary of the work” of the non-profit.</w:t>
      </w:r>
      <w:proofErr w:type="gramEnd"/>
      <w:r w:rsidRPr="009E44CE">
        <w:rPr>
          <w:rFonts w:eastAsiaTheme="minorHAnsi"/>
          <w:color w:val="444444"/>
          <w:lang w:val="en"/>
        </w:rPr>
        <w:t xml:space="preserve"> </w:t>
      </w:r>
      <w:r w:rsidR="003E29B1" w:rsidRPr="007E55DC">
        <w:rPr>
          <w:rFonts w:eastAsiaTheme="minorHAnsi"/>
          <w:i/>
          <w:color w:val="444444"/>
          <w:lang w:val="en"/>
        </w:rPr>
        <w:t>Id.</w:t>
      </w:r>
    </w:p>
    <w:p w:rsidR="007E55DC" w:rsidRDefault="007F0FA3" w:rsidP="007E55DC">
      <w:pPr>
        <w:spacing w:line="480" w:lineRule="auto"/>
        <w:rPr>
          <w:rFonts w:eastAsiaTheme="minorHAnsi"/>
          <w:color w:val="333333"/>
          <w:lang w:val="en"/>
        </w:rPr>
      </w:pPr>
      <w:r>
        <w:rPr>
          <w:rFonts w:eastAsiaTheme="minorHAnsi"/>
          <w:color w:val="444444"/>
          <w:lang w:val="en"/>
        </w:rPr>
        <w:tab/>
      </w:r>
      <w:r w:rsidR="00E76BA8">
        <w:rPr>
          <w:rFonts w:eastAsiaTheme="minorHAnsi"/>
          <w:color w:val="444444"/>
          <w:lang w:val="en"/>
        </w:rPr>
        <w:t xml:space="preserve">There must be a link between the service and the governmental unit. </w:t>
      </w:r>
      <w:proofErr w:type="gramStart"/>
      <w:r w:rsidR="00E76BA8">
        <w:rPr>
          <w:rFonts w:eastAsiaTheme="minorHAnsi"/>
          <w:color w:val="444444"/>
          <w:lang w:val="en"/>
        </w:rPr>
        <w:t xml:space="preserve">For example, </w:t>
      </w:r>
      <w:r w:rsidR="009E44CE" w:rsidRPr="009E44CE">
        <w:rPr>
          <w:rFonts w:eastAsiaTheme="minorHAnsi"/>
          <w:color w:val="444444"/>
          <w:lang w:val="en"/>
        </w:rPr>
        <w:t xml:space="preserve">in the case of </w:t>
      </w:r>
      <w:proofErr w:type="spellStart"/>
      <w:r w:rsidR="009E44CE" w:rsidRPr="009E44CE">
        <w:rPr>
          <w:rFonts w:eastAsiaTheme="minorHAnsi"/>
          <w:i/>
          <w:color w:val="444444"/>
          <w:lang w:val="en"/>
        </w:rPr>
        <w:t>Sennott</w:t>
      </w:r>
      <w:proofErr w:type="spellEnd"/>
      <w:r w:rsidR="009E44CE" w:rsidRPr="009E44CE">
        <w:rPr>
          <w:rFonts w:eastAsiaTheme="minorHAnsi"/>
          <w:i/>
          <w:color w:val="444444"/>
          <w:lang w:val="en"/>
        </w:rPr>
        <w:t xml:space="preserve"> v. Mass. Teachers’ Retirement System</w:t>
      </w:r>
      <w:r w:rsidR="009E44CE" w:rsidRPr="009E44CE">
        <w:rPr>
          <w:rFonts w:eastAsiaTheme="minorHAnsi"/>
          <w:color w:val="444444"/>
          <w:lang w:val="en"/>
        </w:rPr>
        <w:t>, CR-03-688 (DALA, 2003).</w:t>
      </w:r>
      <w:proofErr w:type="gramEnd"/>
      <w:r w:rsidR="001A2B4E">
        <w:rPr>
          <w:rFonts w:eastAsiaTheme="minorHAnsi"/>
          <w:color w:val="444444"/>
          <w:lang w:val="en"/>
        </w:rPr>
        <w:t xml:space="preserve"> </w:t>
      </w:r>
      <w:r w:rsidR="009E44CE" w:rsidRPr="009E44CE">
        <w:rPr>
          <w:rFonts w:eastAsiaTheme="minorHAnsi"/>
          <w:color w:val="333333"/>
          <w:lang w:val="en"/>
        </w:rPr>
        <w:t xml:space="preserve">Ms. </w:t>
      </w:r>
      <w:proofErr w:type="spellStart"/>
      <w:r w:rsidR="009E44CE" w:rsidRPr="009E44CE">
        <w:rPr>
          <w:rFonts w:eastAsiaTheme="minorHAnsi"/>
          <w:color w:val="333333"/>
          <w:lang w:val="en"/>
        </w:rPr>
        <w:t>Sennott</w:t>
      </w:r>
      <w:proofErr w:type="spellEnd"/>
      <w:r w:rsidR="009E44CE" w:rsidRPr="009E44CE">
        <w:rPr>
          <w:rFonts w:eastAsiaTheme="minorHAnsi"/>
          <w:color w:val="333333"/>
          <w:lang w:val="en"/>
        </w:rPr>
        <w:t xml:space="preserve"> was paid by </w:t>
      </w:r>
      <w:proofErr w:type="spellStart"/>
      <w:r w:rsidR="009E44CE" w:rsidRPr="009E44CE">
        <w:rPr>
          <w:rFonts w:eastAsiaTheme="minorHAnsi"/>
          <w:color w:val="333333"/>
          <w:lang w:val="en"/>
        </w:rPr>
        <w:t>Montachusett</w:t>
      </w:r>
      <w:proofErr w:type="spellEnd"/>
      <w:r w:rsidR="009E44CE" w:rsidRPr="009E44CE">
        <w:rPr>
          <w:rFonts w:eastAsiaTheme="minorHAnsi"/>
          <w:color w:val="333333"/>
          <w:lang w:val="en"/>
        </w:rPr>
        <w:t xml:space="preserve"> Employment and Training, Inc. to provide services to</w:t>
      </w:r>
      <w:r w:rsidR="00E76BA8">
        <w:rPr>
          <w:rFonts w:eastAsiaTheme="minorHAnsi"/>
          <w:color w:val="333333"/>
          <w:lang w:val="en"/>
        </w:rPr>
        <w:t xml:space="preserve"> the City of Gardner … </w:t>
      </w:r>
      <w:r w:rsidR="009E44CE" w:rsidRPr="009E44CE">
        <w:rPr>
          <w:rFonts w:eastAsiaTheme="minorHAnsi"/>
          <w:color w:val="333333"/>
          <w:lang w:val="en"/>
        </w:rPr>
        <w:t xml:space="preserve">a federally-funded agency established to provide employment and training services to the residents of the City of Gardner, as a Service Delivery Area designated to receive employment and training funds from the Commonwealth of Massachusetts." </w:t>
      </w:r>
      <w:r w:rsidR="003E29B1">
        <w:rPr>
          <w:rFonts w:eastAsiaTheme="minorHAnsi"/>
          <w:color w:val="333333"/>
          <w:lang w:val="en"/>
        </w:rPr>
        <w:t xml:space="preserve"> </w:t>
      </w:r>
      <w:proofErr w:type="spellStart"/>
      <w:r w:rsidR="003E29B1">
        <w:rPr>
          <w:rFonts w:eastAsiaTheme="minorHAnsi"/>
          <w:color w:val="333333"/>
          <w:lang w:val="en"/>
        </w:rPr>
        <w:t>Montachusett</w:t>
      </w:r>
      <w:proofErr w:type="spellEnd"/>
      <w:r w:rsidR="009E44CE" w:rsidRPr="009E44CE">
        <w:rPr>
          <w:rFonts w:eastAsiaTheme="minorHAnsi"/>
          <w:color w:val="333333"/>
          <w:lang w:val="en"/>
        </w:rPr>
        <w:t xml:space="preserve"> was found to be a "component unit of the City of Gardner, for which a separate general purpose financial statement was issued as the primary report to the management of the City of Gardner." </w:t>
      </w:r>
      <w:r w:rsidR="003E29B1">
        <w:rPr>
          <w:rFonts w:eastAsiaTheme="minorHAnsi"/>
          <w:color w:val="333333"/>
          <w:lang w:val="en"/>
        </w:rPr>
        <w:t xml:space="preserve">While </w:t>
      </w:r>
      <w:r w:rsidR="009E44CE" w:rsidRPr="009E44CE">
        <w:rPr>
          <w:rFonts w:eastAsiaTheme="minorHAnsi"/>
          <w:color w:val="333333"/>
          <w:lang w:val="en"/>
        </w:rPr>
        <w:t xml:space="preserve">at some point </w:t>
      </w:r>
      <w:proofErr w:type="spellStart"/>
      <w:r w:rsidR="003E29B1">
        <w:rPr>
          <w:rFonts w:eastAsiaTheme="minorHAnsi"/>
          <w:color w:val="333333"/>
          <w:lang w:val="en"/>
        </w:rPr>
        <w:lastRenderedPageBreak/>
        <w:t>Montachusett</w:t>
      </w:r>
      <w:proofErr w:type="spellEnd"/>
      <w:r w:rsidR="009E44CE" w:rsidRPr="009E44CE">
        <w:rPr>
          <w:rFonts w:eastAsiaTheme="minorHAnsi"/>
          <w:color w:val="333333"/>
          <w:lang w:val="en"/>
        </w:rPr>
        <w:t xml:space="preserve"> became a non-profit corporation, but continued to be funded through </w:t>
      </w:r>
      <w:r w:rsidR="009E44CE" w:rsidRPr="009E44CE">
        <w:rPr>
          <w:rFonts w:eastAsiaTheme="minorHAnsi"/>
          <w:noProof/>
          <w:color w:val="1D1D1D"/>
        </w:rPr>
        <w:drawing>
          <wp:inline distT="0" distB="0" distL="0" distR="0" wp14:anchorId="5704DFB9" wp14:editId="7107ADDF">
            <wp:extent cx="8255" cy="8255"/>
            <wp:effectExtent l="0" t="0" r="0" b="0"/>
            <wp:docPr id="7" name="Picture 7"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revious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9E44CE" w:rsidRPr="009E44CE">
        <w:rPr>
          <w:rFonts w:eastAsiaTheme="minorHAnsi"/>
          <w:color w:val="333333"/>
          <w:lang w:val="en"/>
        </w:rPr>
        <w:t>CETA federal funds. The City of Gardner continued to permit the entity "to operate out of an unused building it owned in the city" without paying rent. Only because the entity was found to be a component unit of the City of Gardner was it found to satisfy the M.G.L. c. 32, s. 1 definition of political subdivision.</w:t>
      </w:r>
      <w:r w:rsidR="007E55DC">
        <w:rPr>
          <w:rFonts w:eastAsiaTheme="minorHAnsi"/>
          <w:color w:val="333333"/>
          <w:lang w:val="en"/>
        </w:rPr>
        <w:t xml:space="preserve">  </w:t>
      </w:r>
      <w:r w:rsidR="009E44CE" w:rsidRPr="009E44CE">
        <w:rPr>
          <w:rFonts w:eastAsiaTheme="minorHAnsi"/>
          <w:color w:val="333333"/>
          <w:lang w:val="en"/>
        </w:rPr>
        <w:t xml:space="preserve">As in </w:t>
      </w:r>
      <w:proofErr w:type="spellStart"/>
      <w:r w:rsidR="009E44CE" w:rsidRPr="009E44CE">
        <w:rPr>
          <w:rFonts w:eastAsiaTheme="minorHAnsi"/>
          <w:i/>
          <w:color w:val="333333"/>
          <w:lang w:val="en"/>
        </w:rPr>
        <w:t>Sennott</w:t>
      </w:r>
      <w:proofErr w:type="spellEnd"/>
      <w:r w:rsidR="009E44CE" w:rsidRPr="009E44CE">
        <w:rPr>
          <w:rFonts w:eastAsiaTheme="minorHAnsi"/>
          <w:i/>
          <w:color w:val="333333"/>
          <w:lang w:val="en"/>
        </w:rPr>
        <w:t>, supra</w:t>
      </w:r>
      <w:r w:rsidR="009E44CE" w:rsidRPr="009E44CE">
        <w:rPr>
          <w:rFonts w:eastAsiaTheme="minorHAnsi"/>
          <w:color w:val="333333"/>
          <w:lang w:val="en"/>
        </w:rPr>
        <w:t xml:space="preserve">, in </w:t>
      </w:r>
      <w:r w:rsidR="009E44CE" w:rsidRPr="009E44CE">
        <w:rPr>
          <w:rFonts w:eastAsiaTheme="minorHAnsi"/>
          <w:i/>
          <w:color w:val="333333"/>
          <w:lang w:val="en"/>
        </w:rPr>
        <w:t>Roy v. Springfield Retirement System</w:t>
      </w:r>
      <w:r w:rsidR="009E44CE" w:rsidRPr="009E44CE">
        <w:rPr>
          <w:rFonts w:ascii="Source Sans Pro" w:eastAsiaTheme="minorHAnsi" w:hAnsi="Source Sans Pro" w:cstheme="minorBidi"/>
          <w:color w:val="333333"/>
          <w:sz w:val="21"/>
          <w:szCs w:val="21"/>
          <w:lang w:val="en"/>
        </w:rPr>
        <w:t xml:space="preserve">, </w:t>
      </w:r>
      <w:r w:rsidR="009E44CE" w:rsidRPr="007E55DC">
        <w:rPr>
          <w:rFonts w:eastAsiaTheme="minorHAnsi"/>
          <w:color w:val="333333"/>
          <w:lang w:val="en"/>
        </w:rPr>
        <w:t xml:space="preserve">CR-06-590 (DALA, 2008), </w:t>
      </w:r>
      <w:r w:rsidR="009E44CE" w:rsidRPr="003E29B1">
        <w:rPr>
          <w:rFonts w:eastAsiaTheme="minorHAnsi"/>
          <w:color w:val="333333"/>
          <w:lang w:val="en"/>
        </w:rPr>
        <w:t>Roy was able to purchase creditable service for his employment with</w:t>
      </w:r>
      <w:r w:rsidR="009E44CE" w:rsidRPr="009E44CE">
        <w:rPr>
          <w:rFonts w:eastAsiaTheme="minorHAnsi"/>
          <w:color w:val="333333"/>
          <w:lang w:val="en"/>
        </w:rPr>
        <w:t xml:space="preserve"> a non-profit.  This was allowed because the non-profit had intertwined operations with a public school and was considered an unclassified department of the City of Springfield.</w:t>
      </w:r>
    </w:p>
    <w:p w:rsidR="009E44CE" w:rsidRPr="009E44CE" w:rsidRDefault="009E44CE" w:rsidP="007E55DC">
      <w:pPr>
        <w:spacing w:line="480" w:lineRule="auto"/>
        <w:ind w:firstLine="720"/>
        <w:rPr>
          <w:rFonts w:eastAsiaTheme="minorHAnsi"/>
          <w:color w:val="333333"/>
          <w:lang w:val="en"/>
        </w:rPr>
      </w:pPr>
      <w:r w:rsidRPr="009E44CE">
        <w:rPr>
          <w:rFonts w:eastAsiaTheme="minorHAnsi"/>
          <w:color w:val="333333"/>
          <w:lang w:val="en"/>
        </w:rPr>
        <w:t xml:space="preserve">In </w:t>
      </w:r>
      <w:r w:rsidRPr="009E44CE">
        <w:rPr>
          <w:rFonts w:eastAsiaTheme="minorHAnsi"/>
          <w:i/>
          <w:color w:val="333333"/>
          <w:lang w:val="en"/>
        </w:rPr>
        <w:t>Rocha v. Mass. Teachers’ Retirement System</w:t>
      </w:r>
      <w:r w:rsidRPr="009E44CE">
        <w:rPr>
          <w:rFonts w:eastAsiaTheme="minorHAnsi"/>
          <w:color w:val="333333"/>
          <w:lang w:val="en"/>
        </w:rPr>
        <w:t xml:space="preserve">, CR-08-751 (DALA </w:t>
      </w:r>
      <w:r w:rsidR="007E55DC">
        <w:rPr>
          <w:rFonts w:eastAsiaTheme="minorHAnsi"/>
          <w:color w:val="333333"/>
          <w:lang w:val="en"/>
        </w:rPr>
        <w:t>6</w:t>
      </w:r>
      <w:r w:rsidR="00F8028C">
        <w:rPr>
          <w:rFonts w:eastAsiaTheme="minorHAnsi"/>
          <w:color w:val="333333"/>
          <w:lang w:val="en"/>
        </w:rPr>
        <w:t>/</w:t>
      </w:r>
      <w:r w:rsidRPr="009E44CE">
        <w:rPr>
          <w:rFonts w:eastAsiaTheme="minorHAnsi"/>
          <w:color w:val="333333"/>
          <w:lang w:val="en"/>
        </w:rPr>
        <w:t>20</w:t>
      </w:r>
      <w:r w:rsidR="007E55DC">
        <w:rPr>
          <w:rFonts w:eastAsiaTheme="minorHAnsi"/>
          <w:color w:val="333333"/>
          <w:lang w:val="en"/>
        </w:rPr>
        <w:t>/</w:t>
      </w:r>
      <w:r w:rsidRPr="009E44CE">
        <w:rPr>
          <w:rFonts w:eastAsiaTheme="minorHAnsi"/>
          <w:color w:val="333333"/>
          <w:lang w:val="en"/>
        </w:rPr>
        <w:t xml:space="preserve">2014), work for a non-profit was not found to be eligible for creditable service despite the non-profit’s close connections with the city.  The work was funded by federal JTPA funds, the predecessor program to CETA, but the non-profit was found to be an independent entity with “no evidence that the city had financial oversight over … [it], such as to make it a political subdivision of the city.”  Relying on </w:t>
      </w:r>
      <w:r w:rsidRPr="009E44CE">
        <w:rPr>
          <w:rFonts w:eastAsiaTheme="minorHAnsi"/>
          <w:i/>
          <w:color w:val="333333"/>
          <w:lang w:val="en"/>
        </w:rPr>
        <w:t>Carter, supra</w:t>
      </w:r>
      <w:r w:rsidRPr="009E44CE">
        <w:rPr>
          <w:rFonts w:eastAsiaTheme="minorHAnsi"/>
          <w:color w:val="333333"/>
          <w:lang w:val="en"/>
        </w:rPr>
        <w:t>, the decision explained; “The independence of an organization … from a recognized political subdivision … is well-established as an indicator that the organization is not a government unit.”  This was despite the city designati</w:t>
      </w:r>
      <w:r w:rsidR="007E55DC">
        <w:rPr>
          <w:rFonts w:eastAsiaTheme="minorHAnsi"/>
          <w:color w:val="333333"/>
          <w:lang w:val="en"/>
        </w:rPr>
        <w:t>on of</w:t>
      </w:r>
      <w:r w:rsidRPr="009E44CE">
        <w:rPr>
          <w:rFonts w:eastAsiaTheme="minorHAnsi"/>
          <w:color w:val="333333"/>
          <w:lang w:val="en"/>
        </w:rPr>
        <w:t xml:space="preserve"> the non-profit as its anti-poverty agency and with the city manager serving on its board of directors.  Determinative factors included the following:</w:t>
      </w:r>
    </w:p>
    <w:p w:rsidR="009E44CE" w:rsidRDefault="009E44CE" w:rsidP="009E44CE">
      <w:pPr>
        <w:spacing w:line="240" w:lineRule="atLeast"/>
        <w:ind w:left="720" w:right="720"/>
        <w:rPr>
          <w:color w:val="333333"/>
          <w:lang w:val="en"/>
        </w:rPr>
      </w:pPr>
      <w:r w:rsidRPr="009E44CE">
        <w:rPr>
          <w:color w:val="333333"/>
          <w:lang w:val="en"/>
        </w:rPr>
        <w:t xml:space="preserve">[T]here is no evidence that … [the city manager] controlled its operations, made staff hiring decisions, and approved appointments of the other board members. There was no oversight by the </w:t>
      </w:r>
      <w:proofErr w:type="gramStart"/>
      <w:r w:rsidRPr="009E44CE">
        <w:rPr>
          <w:color w:val="333333"/>
          <w:lang w:val="en"/>
        </w:rPr>
        <w:t>city,</w:t>
      </w:r>
      <w:proofErr w:type="gramEnd"/>
      <w:r w:rsidRPr="009E44CE">
        <w:rPr>
          <w:color w:val="333333"/>
          <w:lang w:val="en"/>
        </w:rPr>
        <w:t xml:space="preserve"> and no accountability from the … [non-profit] to the city … [It’s] use of a city building, rent free, does not alone overcome the lack of evidence that the city had financial oversight over the organization. </w:t>
      </w:r>
    </w:p>
    <w:p w:rsidR="001A2B4E" w:rsidRDefault="001A2B4E" w:rsidP="009E44CE">
      <w:pPr>
        <w:spacing w:line="240" w:lineRule="atLeast"/>
        <w:ind w:left="720" w:right="720"/>
      </w:pPr>
    </w:p>
    <w:p w:rsidR="001A2B4E" w:rsidRDefault="001A2B4E" w:rsidP="001A2B4E">
      <w:pPr>
        <w:spacing w:line="480" w:lineRule="auto"/>
        <w:ind w:left="720" w:right="720"/>
      </w:pPr>
      <w:r>
        <w:t xml:space="preserve">After considering all of the evidence and the factors outlined above, I am </w:t>
      </w:r>
    </w:p>
    <w:p w:rsidR="009E44CE" w:rsidRDefault="001A2B4E" w:rsidP="00D224D7">
      <w:pPr>
        <w:spacing w:line="480" w:lineRule="auto"/>
        <w:ind w:right="720"/>
      </w:pPr>
      <w:proofErr w:type="gramStart"/>
      <w:r>
        <w:lastRenderedPageBreak/>
        <w:t>not</w:t>
      </w:r>
      <w:proofErr w:type="gramEnd"/>
      <w:r>
        <w:t xml:space="preserve"> persuaded that New Directions </w:t>
      </w:r>
      <w:r w:rsidR="007E55DC">
        <w:t>is</w:t>
      </w:r>
      <w:r>
        <w:t xml:space="preserve"> a governmental unit.</w:t>
      </w:r>
    </w:p>
    <w:p w:rsidR="00F44E7D" w:rsidRPr="002B75A6" w:rsidRDefault="003752E8" w:rsidP="00126F9A">
      <w:pPr>
        <w:ind w:firstLine="360"/>
        <w:jc w:val="center"/>
        <w:rPr>
          <w:b/>
        </w:rPr>
      </w:pPr>
      <w:r w:rsidRPr="002B75A6">
        <w:rPr>
          <w:b/>
        </w:rPr>
        <w:t>Greater New Bedford Workforce Investment Board, Inc. from July 1, 2007 to August 20, 2009</w:t>
      </w:r>
    </w:p>
    <w:p w:rsidR="003752E8" w:rsidRDefault="003752E8" w:rsidP="00126F9A">
      <w:pPr>
        <w:ind w:firstLine="360"/>
        <w:jc w:val="center"/>
      </w:pPr>
    </w:p>
    <w:p w:rsidR="00126F9A" w:rsidRDefault="00F44E7D" w:rsidP="00D224D7">
      <w:pPr>
        <w:spacing w:line="480" w:lineRule="auto"/>
        <w:ind w:firstLine="360"/>
      </w:pPr>
      <w:r>
        <w:tab/>
      </w:r>
      <w:r w:rsidR="00D224D7">
        <w:t xml:space="preserve">Similarly, I am not persuaded that Greater New Bedford Workforce Investment Board </w:t>
      </w:r>
      <w:r w:rsidR="007E55DC">
        <w:t>is</w:t>
      </w:r>
      <w:r w:rsidR="00D224D7">
        <w:t xml:space="preserve"> a </w:t>
      </w:r>
      <w:r w:rsidR="00093B07">
        <w:t>governmental</w:t>
      </w:r>
      <w:r w:rsidR="00D224D7">
        <w:t xml:space="preserve"> unit. In a letter dated December 16, 2010, Carlene LeBlanc, Accounting Manager/ HR Coordinator for Greater New Bedford Workforce Investment Board described the agency as “the fiscal agent for workforce development funds for the City of New Bedford (Ex. R.9). T</w:t>
      </w:r>
      <w:r w:rsidR="00126F9A">
        <w:t>he Petitioner did not meet her burden and establish that the Greater New Bedford Workforce Investment Board was a governmental unit</w:t>
      </w:r>
      <w:r w:rsidR="007E55DC">
        <w:t>.</w:t>
      </w:r>
      <w:r w:rsidR="007E55DC" w:rsidDel="007E55DC">
        <w:t xml:space="preserve"> </w:t>
      </w:r>
      <w:r w:rsidR="007E55DC">
        <w:t>T</w:t>
      </w:r>
      <w:r w:rsidR="00126F9A">
        <w:t>herefore, the Respondent’s decision concerning the Petitioner’s request to purchase that service is affirmed</w:t>
      </w:r>
      <w:r w:rsidR="00D224D7">
        <w:t>.</w:t>
      </w:r>
    </w:p>
    <w:p w:rsidR="000C20BE" w:rsidRDefault="000C20BE" w:rsidP="001408D3">
      <w:pPr>
        <w:spacing w:line="480" w:lineRule="auto"/>
        <w:ind w:firstLine="360"/>
      </w:pPr>
      <w:r w:rsidRPr="000C20BE">
        <w:t xml:space="preserve">The Petitioner claims she was “denied equal rights under </w:t>
      </w:r>
      <w:r w:rsidR="00093B07" w:rsidRPr="000C20BE">
        <w:t>Amendment</w:t>
      </w:r>
      <w:r w:rsidRPr="000C20BE">
        <w:t xml:space="preserve"> 14 Equal Protection Clause</w:t>
      </w:r>
      <w:r w:rsidR="00093B07">
        <w:t>.</w:t>
      </w:r>
      <w:r w:rsidRPr="000C20BE">
        <w:t xml:space="preserve">” She alleges that “other employees who worked with the Petitioner at New </w:t>
      </w:r>
      <w:r w:rsidR="00093B07">
        <w:t>D</w:t>
      </w:r>
      <w:r w:rsidR="00093B07" w:rsidRPr="000C20BE">
        <w:t>irections</w:t>
      </w:r>
      <w:r w:rsidRPr="000C20BE">
        <w:t xml:space="preserve"> were allowed to buy back time they earned working for New Directions.”</w:t>
      </w:r>
      <w:r w:rsidRPr="00093B07">
        <w:rPr>
          <w:color w:val="333333"/>
          <w:lang w:val="en"/>
        </w:rPr>
        <w:t xml:space="preserve"> To the extent that these arguments implicate the due process and </w:t>
      </w:r>
      <w:r>
        <w:rPr>
          <w:color w:val="333333"/>
          <w:lang w:val="en"/>
        </w:rPr>
        <w:t xml:space="preserve">equal protection </w:t>
      </w:r>
      <w:r w:rsidRPr="00093B07">
        <w:rPr>
          <w:color w:val="333333"/>
          <w:lang w:val="en"/>
        </w:rPr>
        <w:t xml:space="preserve">clauses of the federal Constitution and the Massachusetts Declaration of Rights, neither DALA nor CRAB have jurisdiction to decide constitutional questions. </w:t>
      </w:r>
      <w:r w:rsidRPr="00093B07">
        <w:rPr>
          <w:i/>
          <w:color w:val="333333"/>
          <w:lang w:val="en"/>
        </w:rPr>
        <w:t>See Maher v. Justices of the Quincy Div. of the Dist. Ct. Dept</w:t>
      </w:r>
      <w:r w:rsidRPr="00093B07">
        <w:rPr>
          <w:color w:val="333333"/>
          <w:lang w:val="en"/>
        </w:rPr>
        <w:t xml:space="preserve">., </w:t>
      </w:r>
      <w:hyperlink r:id="rId12" w:history="1">
        <w:r w:rsidRPr="00093B07">
          <w:rPr>
            <w:rStyle w:val="Hyperlink"/>
            <w:lang w:val="en"/>
          </w:rPr>
          <w:t>67 Mass. App. Ct. 612</w:t>
        </w:r>
      </w:hyperlink>
      <w:r w:rsidR="00DC3967">
        <w:rPr>
          <w:color w:val="333333"/>
          <w:lang w:val="en"/>
        </w:rPr>
        <w:t xml:space="preserve">, 619 </w:t>
      </w:r>
      <w:r w:rsidRPr="00093B07">
        <w:rPr>
          <w:color w:val="333333"/>
          <w:lang w:val="en"/>
        </w:rPr>
        <w:t>(2006)</w:t>
      </w:r>
      <w:r>
        <w:rPr>
          <w:color w:val="333333"/>
          <w:lang w:val="en"/>
        </w:rPr>
        <w:t xml:space="preserve">; </w:t>
      </w:r>
      <w:r w:rsidR="00093B07" w:rsidRPr="00093B07">
        <w:rPr>
          <w:i/>
          <w:color w:val="333333"/>
          <w:lang w:val="en"/>
        </w:rPr>
        <w:t xml:space="preserve">Barker v. State Board of </w:t>
      </w:r>
      <w:r w:rsidR="00093B07">
        <w:rPr>
          <w:i/>
          <w:color w:val="333333"/>
          <w:lang w:val="en"/>
        </w:rPr>
        <w:t>R</w:t>
      </w:r>
      <w:r w:rsidRPr="00093B07">
        <w:rPr>
          <w:i/>
          <w:color w:val="333333"/>
          <w:lang w:val="en"/>
        </w:rPr>
        <w:t>etirement</w:t>
      </w:r>
      <w:r>
        <w:rPr>
          <w:color w:val="333333"/>
          <w:lang w:val="en"/>
        </w:rPr>
        <w:t>,</w:t>
      </w:r>
      <w:r w:rsidR="00DC3967">
        <w:rPr>
          <w:color w:val="333333"/>
          <w:lang w:val="en"/>
        </w:rPr>
        <w:t xml:space="preserve"> </w:t>
      </w:r>
      <w:r>
        <w:rPr>
          <w:color w:val="333333"/>
          <w:lang w:val="en"/>
        </w:rPr>
        <w:t>CR-15-72 * 5 (DALA 6/26/2015)</w:t>
      </w:r>
      <w:r w:rsidR="00093B07">
        <w:rPr>
          <w:color w:val="333333"/>
          <w:lang w:val="en"/>
        </w:rPr>
        <w:t xml:space="preserve"> (DALA no authority to decide constitutional question).  To the extent the Petitioner argues that the Respondent allowed other employees to buy back their time</w:t>
      </w:r>
      <w:r w:rsidR="00DC3967">
        <w:rPr>
          <w:color w:val="333333"/>
          <w:lang w:val="en"/>
        </w:rPr>
        <w:t xml:space="preserve"> and</w:t>
      </w:r>
      <w:r w:rsidR="00093B07">
        <w:rPr>
          <w:color w:val="333333"/>
          <w:lang w:val="en"/>
        </w:rPr>
        <w:t>, therefore, she should be allowed to buy back the time at issue, I make no findings concerning any other employees</w:t>
      </w:r>
      <w:r w:rsidR="00DC3967">
        <w:rPr>
          <w:color w:val="333333"/>
          <w:lang w:val="en"/>
        </w:rPr>
        <w:t xml:space="preserve">.  Even if the Petitioner’s assertions were true, the argument would not be persuasive. </w:t>
      </w:r>
      <w:r w:rsidR="00DC3967" w:rsidRPr="00093B07">
        <w:rPr>
          <w:i/>
          <w:color w:val="333333"/>
          <w:lang w:val="en"/>
        </w:rPr>
        <w:t xml:space="preserve">See </w:t>
      </w:r>
      <w:proofErr w:type="spellStart"/>
      <w:r w:rsidR="00DC3967" w:rsidRPr="00093B07">
        <w:rPr>
          <w:i/>
          <w:color w:val="333333"/>
          <w:lang w:val="en"/>
        </w:rPr>
        <w:t>LeClerc</w:t>
      </w:r>
      <w:proofErr w:type="spellEnd"/>
      <w:r w:rsidR="00DC3967" w:rsidRPr="00093B07">
        <w:rPr>
          <w:i/>
          <w:color w:val="333333"/>
          <w:lang w:val="en"/>
        </w:rPr>
        <w:t xml:space="preserve"> v. </w:t>
      </w:r>
      <w:r w:rsidR="00DC3967">
        <w:rPr>
          <w:i/>
          <w:color w:val="333333"/>
          <w:lang w:val="en"/>
        </w:rPr>
        <w:lastRenderedPageBreak/>
        <w:t>T</w:t>
      </w:r>
      <w:r w:rsidR="00DC3967" w:rsidRPr="00093B07">
        <w:rPr>
          <w:i/>
          <w:color w:val="333333"/>
          <w:lang w:val="en"/>
        </w:rPr>
        <w:t xml:space="preserve">eachers </w:t>
      </w:r>
      <w:r w:rsidR="00DC3967">
        <w:rPr>
          <w:i/>
          <w:color w:val="333333"/>
          <w:lang w:val="en"/>
        </w:rPr>
        <w:t>R</w:t>
      </w:r>
      <w:r w:rsidR="00DC3967" w:rsidRPr="00093B07">
        <w:rPr>
          <w:i/>
          <w:color w:val="333333"/>
          <w:lang w:val="en"/>
        </w:rPr>
        <w:t>etirement System</w:t>
      </w:r>
      <w:r w:rsidR="00DC3967">
        <w:rPr>
          <w:color w:val="333333"/>
          <w:lang w:val="en"/>
        </w:rPr>
        <w:t>, CR 14-436 * 4-5 (CRAB 12/2/2015) (error in one case, if there was error, does not require repeating error)</w:t>
      </w:r>
      <w:r w:rsidR="001408D3">
        <w:rPr>
          <w:color w:val="333333"/>
          <w:lang w:val="en"/>
        </w:rPr>
        <w:t>.</w:t>
      </w:r>
      <w:r>
        <w:rPr>
          <w:color w:val="333333"/>
          <w:lang w:val="en"/>
        </w:rPr>
        <w:t xml:space="preserve"> </w:t>
      </w:r>
    </w:p>
    <w:p w:rsidR="00F44E7D" w:rsidRPr="00F44E7D" w:rsidRDefault="00627FA6" w:rsidP="00097354">
      <w:pPr>
        <w:spacing w:line="480" w:lineRule="auto"/>
        <w:ind w:firstLine="720"/>
      </w:pPr>
      <w:r>
        <w:t xml:space="preserve">Wherefore, </w:t>
      </w:r>
      <w:r w:rsidR="00F44E7D">
        <w:t xml:space="preserve">I conclude that the Petitioner has not established by a preponderance of the evidence that she </w:t>
      </w:r>
      <w:r w:rsidR="00B13ADA">
        <w:t>is entitled to buy</w:t>
      </w:r>
      <w:r w:rsidR="007E55DC">
        <w:t xml:space="preserve"> </w:t>
      </w:r>
      <w:r w:rsidR="00B13ADA">
        <w:t>back the service at issue</w:t>
      </w:r>
      <w:r w:rsidR="007E55DC">
        <w:t>. T</w:t>
      </w:r>
      <w:r w:rsidR="00B13ADA">
        <w:t>herefore, the Re</w:t>
      </w:r>
      <w:r w:rsidR="00FC13D0">
        <w:t>s</w:t>
      </w:r>
      <w:r w:rsidR="00B13ADA">
        <w:t>pondent’s decisions are affirmed and the Petitioner’s appeal is dismissed.</w:t>
      </w:r>
      <w:r w:rsidR="00F44E7D">
        <w:t xml:space="preserve">  </w:t>
      </w:r>
    </w:p>
    <w:p w:rsidR="00AB38D6" w:rsidRPr="00E6250B" w:rsidRDefault="00AB38D6" w:rsidP="00AB38D6">
      <w:pPr>
        <w:spacing w:line="480" w:lineRule="auto"/>
      </w:pPr>
      <w:proofErr w:type="gramStart"/>
      <w:r w:rsidRPr="00E6250B">
        <w:t>SO ORDERED.</w:t>
      </w:r>
      <w:proofErr w:type="gramEnd"/>
    </w:p>
    <w:p w:rsidR="00D053B6" w:rsidRPr="00AC462A" w:rsidRDefault="00450FA0" w:rsidP="00097354">
      <w:pPr>
        <w:spacing w:line="480" w:lineRule="auto"/>
      </w:pPr>
      <w:r w:rsidRPr="00E6250B">
        <w:t>D</w:t>
      </w:r>
      <w:r w:rsidR="00D053B6" w:rsidRPr="00E6250B">
        <w:t>IVISION OF ADMINISTRATIVE LAW APPEALS</w:t>
      </w:r>
    </w:p>
    <w:p w:rsidR="00D053B6" w:rsidRPr="009A09B7" w:rsidRDefault="00D053B6" w:rsidP="00D053B6">
      <w:pPr>
        <w:pStyle w:val="Header"/>
        <w:tabs>
          <w:tab w:val="clear" w:pos="4320"/>
          <w:tab w:val="clear" w:pos="8640"/>
        </w:tabs>
      </w:pPr>
    </w:p>
    <w:p w:rsidR="00D053B6" w:rsidRPr="009A09B7" w:rsidRDefault="00D053B6" w:rsidP="00D053B6">
      <w:pPr>
        <w:pStyle w:val="Header"/>
        <w:tabs>
          <w:tab w:val="clear" w:pos="4320"/>
          <w:tab w:val="clear" w:pos="8640"/>
        </w:tabs>
      </w:pPr>
      <w:r w:rsidRPr="009A09B7">
        <w:t xml:space="preserve">___________________________________________     </w:t>
      </w:r>
    </w:p>
    <w:p w:rsidR="00D053B6" w:rsidRPr="009A09B7" w:rsidRDefault="00B61D46" w:rsidP="00504594">
      <w:pPr>
        <w:pStyle w:val="Header"/>
        <w:tabs>
          <w:tab w:val="clear" w:pos="8640"/>
        </w:tabs>
      </w:pPr>
      <w:r>
        <w:t>Ed</w:t>
      </w:r>
      <w:r w:rsidR="00120FA7">
        <w:t>ward B.</w:t>
      </w:r>
      <w:r>
        <w:t xml:space="preserve"> McG</w:t>
      </w:r>
      <w:r w:rsidR="009A09B7">
        <w:t>rath</w:t>
      </w:r>
      <w:r w:rsidR="00D053B6" w:rsidRPr="009A09B7">
        <w:t>, Esq.</w:t>
      </w:r>
      <w:r w:rsidR="00504594" w:rsidRPr="009A09B7">
        <w:tab/>
      </w:r>
    </w:p>
    <w:p w:rsidR="00D053B6" w:rsidRPr="009A09B7" w:rsidRDefault="00B61D46" w:rsidP="00D053B6">
      <w:pPr>
        <w:pStyle w:val="Header"/>
        <w:tabs>
          <w:tab w:val="clear" w:pos="4320"/>
          <w:tab w:val="clear" w:pos="8640"/>
        </w:tabs>
      </w:pPr>
      <w:r>
        <w:t xml:space="preserve">Chief </w:t>
      </w:r>
      <w:r w:rsidR="00D053B6" w:rsidRPr="009A09B7">
        <w:t>Administrative Magistrate</w:t>
      </w:r>
    </w:p>
    <w:p w:rsidR="00D053B6" w:rsidRPr="009A09B7" w:rsidRDefault="00D053B6" w:rsidP="00D053B6">
      <w:pPr>
        <w:pStyle w:val="Header"/>
        <w:tabs>
          <w:tab w:val="clear" w:pos="4320"/>
          <w:tab w:val="clear" w:pos="8640"/>
        </w:tabs>
      </w:pPr>
    </w:p>
    <w:p w:rsidR="00B35D2C" w:rsidRPr="009A09B7" w:rsidRDefault="00B84338" w:rsidP="00D053B6">
      <w:pPr>
        <w:pStyle w:val="Header"/>
        <w:tabs>
          <w:tab w:val="clear" w:pos="4320"/>
          <w:tab w:val="clear" w:pos="8640"/>
        </w:tabs>
        <w:spacing w:line="480" w:lineRule="auto"/>
      </w:pPr>
      <w:r w:rsidRPr="009A09B7">
        <w:t xml:space="preserve">DATED: </w:t>
      </w:r>
      <w:r w:rsidR="00D224D7">
        <w:t>June 10</w:t>
      </w:r>
      <w:r w:rsidR="00120FA7">
        <w:t>, 201</w:t>
      </w:r>
      <w:r w:rsidR="002D4FBD">
        <w:t>6</w:t>
      </w:r>
    </w:p>
    <w:sectPr w:rsidR="00B35D2C" w:rsidRPr="009A09B7" w:rsidSect="00E02BDA">
      <w:headerReference w:type="default" r:id="rId13"/>
      <w:footerReference w:type="even" r:id="rId14"/>
      <w:footerReference w:type="defaul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48F" w:rsidRDefault="00E5548F">
      <w:r>
        <w:separator/>
      </w:r>
    </w:p>
  </w:endnote>
  <w:endnote w:type="continuationSeparator" w:id="0">
    <w:p w:rsidR="00E5548F" w:rsidRDefault="00E5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E50" w:rsidRDefault="00BD2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Default="00BD2E50"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5128">
      <w:rPr>
        <w:rStyle w:val="PageNumber"/>
        <w:noProof/>
      </w:rPr>
      <w:t>14</w:t>
    </w:r>
    <w:r>
      <w:rPr>
        <w:rStyle w:val="PageNumber"/>
      </w:rPr>
      <w:fldChar w:fldCharType="end"/>
    </w:r>
  </w:p>
  <w:p w:rsidR="00BD2E50" w:rsidRDefault="00BD2E50" w:rsidP="002E0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48F" w:rsidRDefault="00E5548F">
      <w:r>
        <w:separator/>
      </w:r>
    </w:p>
  </w:footnote>
  <w:footnote w:type="continuationSeparator" w:id="0">
    <w:p w:rsidR="00E5548F" w:rsidRDefault="00E5548F">
      <w:r>
        <w:continuationSeparator/>
      </w:r>
    </w:p>
  </w:footnote>
  <w:footnote w:id="1">
    <w:p w:rsidR="001A5B35" w:rsidRDefault="001A5B35">
      <w:pPr>
        <w:pStyle w:val="FootnoteText"/>
      </w:pPr>
      <w:r>
        <w:rPr>
          <w:rStyle w:val="FootnoteReference"/>
        </w:rPr>
        <w:footnoteRef/>
      </w:r>
      <w:r>
        <w:t xml:space="preserve"> Circular A-133 from OMB </w:t>
      </w:r>
      <w:r w:rsidR="00684DA1" w:rsidRPr="002E02AC">
        <w:rPr>
          <w:color w:val="000000"/>
        </w:rPr>
        <w:t xml:space="preserve">states that entities that receive federal funds are subject to audit requirements that are commonly referred to as </w:t>
      </w:r>
      <w:r w:rsidR="00684DA1" w:rsidRPr="002E02AC">
        <w:rPr>
          <w:iCs/>
          <w:color w:val="000000"/>
        </w:rPr>
        <w:t>single audits and</w:t>
      </w:r>
      <w:r w:rsidR="00684DA1">
        <w:rPr>
          <w:i/>
          <w:iCs/>
          <w:color w:val="000000"/>
        </w:rPr>
        <w:t xml:space="preserve"> </w:t>
      </w:r>
      <w:r w:rsidR="00684DA1">
        <w:t xml:space="preserve">refers to </w:t>
      </w:r>
      <w:r w:rsidRPr="00684DA1">
        <w:t>audits of states, local governments and non-profit organizations</w:t>
      </w:r>
      <w:r>
        <w:t>.</w:t>
      </w:r>
    </w:p>
  </w:footnote>
  <w:footnote w:id="2">
    <w:p w:rsidR="00763755" w:rsidRDefault="00763755">
      <w:pPr>
        <w:pStyle w:val="FootnoteText"/>
      </w:pPr>
      <w:r>
        <w:rPr>
          <w:rStyle w:val="FootnoteReference"/>
        </w:rPr>
        <w:footnoteRef/>
      </w:r>
      <w:r>
        <w:t xml:space="preserve"> If </w:t>
      </w:r>
      <w:proofErr w:type="spellStart"/>
      <w:r>
        <w:t>Filkins</w:t>
      </w:r>
      <w:proofErr w:type="spellEnd"/>
      <w:r>
        <w:t xml:space="preserve"> </w:t>
      </w:r>
      <w:r w:rsidR="00E3106E">
        <w:t>obtains</w:t>
      </w:r>
      <w:r>
        <w:t xml:space="preserve"> the documentation that the Respondent </w:t>
      </w:r>
      <w:r w:rsidR="00E3106E">
        <w:t>requires</w:t>
      </w:r>
      <w:r>
        <w:t xml:space="preserve"> before she retires</w:t>
      </w:r>
      <w:r w:rsidR="00E3106E">
        <w:t>,</w:t>
      </w:r>
      <w:r>
        <w:t xml:space="preserve"> she</w:t>
      </w:r>
      <w:r w:rsidR="00F3454A">
        <w:t xml:space="preserve"> may make the request again.</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E50" w:rsidRPr="00CA067F" w:rsidRDefault="006F1DDE">
    <w:pPr>
      <w:pStyle w:val="Header"/>
      <w:rPr>
        <w:i/>
      </w:rPr>
    </w:pPr>
    <w:proofErr w:type="spellStart"/>
    <w:r>
      <w:rPr>
        <w:i/>
      </w:rPr>
      <w:t>F</w:t>
    </w:r>
    <w:r w:rsidR="00E23BE5">
      <w:rPr>
        <w:i/>
      </w:rPr>
      <w:t>il</w:t>
    </w:r>
    <w:r>
      <w:rPr>
        <w:i/>
      </w:rPr>
      <w:t>kins</w:t>
    </w:r>
    <w:proofErr w:type="spellEnd"/>
    <w:r>
      <w:rPr>
        <w:i/>
      </w:rPr>
      <w:t xml:space="preserve"> v. State Board of Retirement</w:t>
    </w:r>
    <w:r w:rsidR="009B1066" w:rsidRPr="00CA067F">
      <w:rPr>
        <w:i/>
      </w:rPr>
      <w:tab/>
    </w:r>
    <w:r w:rsidR="009B1066" w:rsidRPr="00CA067F">
      <w:rPr>
        <w:i/>
      </w:rPr>
      <w:tab/>
    </w:r>
    <w:r>
      <w:rPr>
        <w:i/>
      </w:rPr>
      <w:t>CR-11-175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5AD6321C"/>
    <w:lvl w:ilvl="0" w:tplc="A8C4F2BA">
      <w:start w:val="1"/>
      <w:numFmt w:val="decimal"/>
      <w:lvlText w:val="%1."/>
      <w:lvlJc w:val="left"/>
      <w:pPr>
        <w:tabs>
          <w:tab w:val="num" w:pos="360"/>
        </w:tabs>
        <w:ind w:left="0" w:firstLine="72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C6C25"/>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0B30AA8"/>
    <w:multiLevelType w:val="hybridMultilevel"/>
    <w:tmpl w:val="B9A6B132"/>
    <w:lvl w:ilvl="0" w:tplc="78421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F4635A"/>
    <w:multiLevelType w:val="hybridMultilevel"/>
    <w:tmpl w:val="9C04BA44"/>
    <w:lvl w:ilvl="0" w:tplc="C4C08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330E82"/>
    <w:multiLevelType w:val="hybridMultilevel"/>
    <w:tmpl w:val="8408A8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7C3969"/>
    <w:multiLevelType w:val="hybridMultilevel"/>
    <w:tmpl w:val="C2D62D42"/>
    <w:lvl w:ilvl="0" w:tplc="058E6EA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85F92"/>
    <w:multiLevelType w:val="hybridMultilevel"/>
    <w:tmpl w:val="1B749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14"/>
    <w:rsid w:val="000004E1"/>
    <w:rsid w:val="000035AC"/>
    <w:rsid w:val="00003D98"/>
    <w:rsid w:val="00004C55"/>
    <w:rsid w:val="00007F9F"/>
    <w:rsid w:val="00012285"/>
    <w:rsid w:val="00014B75"/>
    <w:rsid w:val="00020EA3"/>
    <w:rsid w:val="00022416"/>
    <w:rsid w:val="00022813"/>
    <w:rsid w:val="000257BB"/>
    <w:rsid w:val="000376F2"/>
    <w:rsid w:val="000422A9"/>
    <w:rsid w:val="00042AB7"/>
    <w:rsid w:val="00045254"/>
    <w:rsid w:val="000465D6"/>
    <w:rsid w:val="000641EB"/>
    <w:rsid w:val="00066EB4"/>
    <w:rsid w:val="00066FA7"/>
    <w:rsid w:val="00070836"/>
    <w:rsid w:val="00080E94"/>
    <w:rsid w:val="0008486A"/>
    <w:rsid w:val="00085438"/>
    <w:rsid w:val="00085D92"/>
    <w:rsid w:val="00085F01"/>
    <w:rsid w:val="00090EFE"/>
    <w:rsid w:val="00093B07"/>
    <w:rsid w:val="00097354"/>
    <w:rsid w:val="000A32D4"/>
    <w:rsid w:val="000B1D88"/>
    <w:rsid w:val="000B53FB"/>
    <w:rsid w:val="000B6113"/>
    <w:rsid w:val="000C20BE"/>
    <w:rsid w:val="000C50B2"/>
    <w:rsid w:val="000D2F4C"/>
    <w:rsid w:val="000D3133"/>
    <w:rsid w:val="000D45D5"/>
    <w:rsid w:val="000D4ACD"/>
    <w:rsid w:val="000E2F86"/>
    <w:rsid w:val="000E69F4"/>
    <w:rsid w:val="000F5C12"/>
    <w:rsid w:val="000F7F41"/>
    <w:rsid w:val="001019D9"/>
    <w:rsid w:val="00103DE6"/>
    <w:rsid w:val="00110809"/>
    <w:rsid w:val="00111BBF"/>
    <w:rsid w:val="00112427"/>
    <w:rsid w:val="00120FA7"/>
    <w:rsid w:val="00123B02"/>
    <w:rsid w:val="00126F9A"/>
    <w:rsid w:val="0013070A"/>
    <w:rsid w:val="00133B5B"/>
    <w:rsid w:val="001408D3"/>
    <w:rsid w:val="00143438"/>
    <w:rsid w:val="001444DB"/>
    <w:rsid w:val="00145804"/>
    <w:rsid w:val="001502A8"/>
    <w:rsid w:val="00150328"/>
    <w:rsid w:val="00150B4E"/>
    <w:rsid w:val="001603A7"/>
    <w:rsid w:val="001617F0"/>
    <w:rsid w:val="001675CA"/>
    <w:rsid w:val="0017115B"/>
    <w:rsid w:val="001728BA"/>
    <w:rsid w:val="001733CF"/>
    <w:rsid w:val="001745D7"/>
    <w:rsid w:val="00175B28"/>
    <w:rsid w:val="00175CDB"/>
    <w:rsid w:val="0018378F"/>
    <w:rsid w:val="00191CBB"/>
    <w:rsid w:val="0019423B"/>
    <w:rsid w:val="00194CA4"/>
    <w:rsid w:val="001A2B4E"/>
    <w:rsid w:val="001A3813"/>
    <w:rsid w:val="001A5B35"/>
    <w:rsid w:val="001A62CE"/>
    <w:rsid w:val="001A62E7"/>
    <w:rsid w:val="001A75ED"/>
    <w:rsid w:val="001B07C2"/>
    <w:rsid w:val="001B2553"/>
    <w:rsid w:val="001B4987"/>
    <w:rsid w:val="001B54F7"/>
    <w:rsid w:val="001B5B30"/>
    <w:rsid w:val="001B661B"/>
    <w:rsid w:val="001B69C4"/>
    <w:rsid w:val="001C03C6"/>
    <w:rsid w:val="001C0F05"/>
    <w:rsid w:val="001C40CA"/>
    <w:rsid w:val="001C607B"/>
    <w:rsid w:val="001C7905"/>
    <w:rsid w:val="001D1800"/>
    <w:rsid w:val="001D5110"/>
    <w:rsid w:val="001D6DF7"/>
    <w:rsid w:val="001E0550"/>
    <w:rsid w:val="001E4C61"/>
    <w:rsid w:val="001E719E"/>
    <w:rsid w:val="001E7DBE"/>
    <w:rsid w:val="001F0567"/>
    <w:rsid w:val="001F3746"/>
    <w:rsid w:val="001F50B9"/>
    <w:rsid w:val="001F66F0"/>
    <w:rsid w:val="001F6C00"/>
    <w:rsid w:val="001F786C"/>
    <w:rsid w:val="00202A0A"/>
    <w:rsid w:val="002037D3"/>
    <w:rsid w:val="00207DAD"/>
    <w:rsid w:val="002114E1"/>
    <w:rsid w:val="00212BBF"/>
    <w:rsid w:val="00216854"/>
    <w:rsid w:val="00220FC6"/>
    <w:rsid w:val="00222E2A"/>
    <w:rsid w:val="0023552F"/>
    <w:rsid w:val="00241673"/>
    <w:rsid w:val="00243D5E"/>
    <w:rsid w:val="00244ADF"/>
    <w:rsid w:val="002538DA"/>
    <w:rsid w:val="00253C86"/>
    <w:rsid w:val="0025699F"/>
    <w:rsid w:val="00256F75"/>
    <w:rsid w:val="00260D77"/>
    <w:rsid w:val="002619FC"/>
    <w:rsid w:val="002757B9"/>
    <w:rsid w:val="0028175D"/>
    <w:rsid w:val="0028529F"/>
    <w:rsid w:val="0028559E"/>
    <w:rsid w:val="00286044"/>
    <w:rsid w:val="0028758D"/>
    <w:rsid w:val="00290435"/>
    <w:rsid w:val="00290A8F"/>
    <w:rsid w:val="00291F1E"/>
    <w:rsid w:val="00292684"/>
    <w:rsid w:val="002935F1"/>
    <w:rsid w:val="0029456B"/>
    <w:rsid w:val="002945F8"/>
    <w:rsid w:val="00295B0F"/>
    <w:rsid w:val="002B2E66"/>
    <w:rsid w:val="002B3AAD"/>
    <w:rsid w:val="002B4497"/>
    <w:rsid w:val="002B75A6"/>
    <w:rsid w:val="002D0B4B"/>
    <w:rsid w:val="002D17DE"/>
    <w:rsid w:val="002D4FBD"/>
    <w:rsid w:val="002D6F3F"/>
    <w:rsid w:val="002D70D7"/>
    <w:rsid w:val="002D7CB6"/>
    <w:rsid w:val="002E02AC"/>
    <w:rsid w:val="002E1D95"/>
    <w:rsid w:val="002E4C33"/>
    <w:rsid w:val="002E7E52"/>
    <w:rsid w:val="002F4A06"/>
    <w:rsid w:val="002F55BE"/>
    <w:rsid w:val="0030048F"/>
    <w:rsid w:val="00301439"/>
    <w:rsid w:val="003063CB"/>
    <w:rsid w:val="003115D5"/>
    <w:rsid w:val="00311B44"/>
    <w:rsid w:val="00320861"/>
    <w:rsid w:val="00324B00"/>
    <w:rsid w:val="0032525E"/>
    <w:rsid w:val="00325C21"/>
    <w:rsid w:val="00332A2A"/>
    <w:rsid w:val="00343FA5"/>
    <w:rsid w:val="0034540E"/>
    <w:rsid w:val="00350DE8"/>
    <w:rsid w:val="00352899"/>
    <w:rsid w:val="00361227"/>
    <w:rsid w:val="00361501"/>
    <w:rsid w:val="003619CA"/>
    <w:rsid w:val="00362CA0"/>
    <w:rsid w:val="00363A9F"/>
    <w:rsid w:val="00364BEE"/>
    <w:rsid w:val="00365306"/>
    <w:rsid w:val="00367362"/>
    <w:rsid w:val="003700C1"/>
    <w:rsid w:val="00371A73"/>
    <w:rsid w:val="0037287E"/>
    <w:rsid w:val="003752E8"/>
    <w:rsid w:val="00376316"/>
    <w:rsid w:val="0038104A"/>
    <w:rsid w:val="00381611"/>
    <w:rsid w:val="0038309F"/>
    <w:rsid w:val="003842D6"/>
    <w:rsid w:val="00384D84"/>
    <w:rsid w:val="0038520B"/>
    <w:rsid w:val="00386FB0"/>
    <w:rsid w:val="003904C4"/>
    <w:rsid w:val="003949F4"/>
    <w:rsid w:val="00394A03"/>
    <w:rsid w:val="003A31C9"/>
    <w:rsid w:val="003A3D97"/>
    <w:rsid w:val="003A7067"/>
    <w:rsid w:val="003B52A1"/>
    <w:rsid w:val="003C0919"/>
    <w:rsid w:val="003C76E4"/>
    <w:rsid w:val="003D2F65"/>
    <w:rsid w:val="003D3DAF"/>
    <w:rsid w:val="003E0C96"/>
    <w:rsid w:val="003E1D1C"/>
    <w:rsid w:val="003E29B1"/>
    <w:rsid w:val="003E2A60"/>
    <w:rsid w:val="003E3DA6"/>
    <w:rsid w:val="003E627F"/>
    <w:rsid w:val="003E771F"/>
    <w:rsid w:val="003F38AE"/>
    <w:rsid w:val="003F4F57"/>
    <w:rsid w:val="003F68E6"/>
    <w:rsid w:val="00401B52"/>
    <w:rsid w:val="004037AF"/>
    <w:rsid w:val="004070B8"/>
    <w:rsid w:val="00410F14"/>
    <w:rsid w:val="004167BE"/>
    <w:rsid w:val="00426FEB"/>
    <w:rsid w:val="0042775B"/>
    <w:rsid w:val="00430F16"/>
    <w:rsid w:val="004311FE"/>
    <w:rsid w:val="00432551"/>
    <w:rsid w:val="00433071"/>
    <w:rsid w:val="00435243"/>
    <w:rsid w:val="00435C5B"/>
    <w:rsid w:val="004429BE"/>
    <w:rsid w:val="00446A8A"/>
    <w:rsid w:val="004479C0"/>
    <w:rsid w:val="00450FA0"/>
    <w:rsid w:val="00452513"/>
    <w:rsid w:val="0045628B"/>
    <w:rsid w:val="00462FA5"/>
    <w:rsid w:val="00463000"/>
    <w:rsid w:val="004768AB"/>
    <w:rsid w:val="00477118"/>
    <w:rsid w:val="00481106"/>
    <w:rsid w:val="00484AE4"/>
    <w:rsid w:val="004851B0"/>
    <w:rsid w:val="004851ED"/>
    <w:rsid w:val="00485E4E"/>
    <w:rsid w:val="004905E4"/>
    <w:rsid w:val="00494531"/>
    <w:rsid w:val="00495B78"/>
    <w:rsid w:val="0049610A"/>
    <w:rsid w:val="004A1725"/>
    <w:rsid w:val="004A3322"/>
    <w:rsid w:val="004A72D5"/>
    <w:rsid w:val="004B1AF9"/>
    <w:rsid w:val="004B6378"/>
    <w:rsid w:val="004B64C1"/>
    <w:rsid w:val="004C15A5"/>
    <w:rsid w:val="004C4E0C"/>
    <w:rsid w:val="004D1B2F"/>
    <w:rsid w:val="004D5B08"/>
    <w:rsid w:val="004D7161"/>
    <w:rsid w:val="004D73AE"/>
    <w:rsid w:val="004E20BA"/>
    <w:rsid w:val="004E4166"/>
    <w:rsid w:val="004F0B18"/>
    <w:rsid w:val="004F387C"/>
    <w:rsid w:val="004F45B7"/>
    <w:rsid w:val="004F55DA"/>
    <w:rsid w:val="004F5708"/>
    <w:rsid w:val="004F6F1A"/>
    <w:rsid w:val="00500CAF"/>
    <w:rsid w:val="00504594"/>
    <w:rsid w:val="0050528C"/>
    <w:rsid w:val="005105D8"/>
    <w:rsid w:val="0051324E"/>
    <w:rsid w:val="00520762"/>
    <w:rsid w:val="00522AF8"/>
    <w:rsid w:val="00523125"/>
    <w:rsid w:val="00523163"/>
    <w:rsid w:val="0052394C"/>
    <w:rsid w:val="00524C9E"/>
    <w:rsid w:val="00525157"/>
    <w:rsid w:val="00526A4C"/>
    <w:rsid w:val="00526FAE"/>
    <w:rsid w:val="00527A6C"/>
    <w:rsid w:val="00533E13"/>
    <w:rsid w:val="005340EC"/>
    <w:rsid w:val="005344E5"/>
    <w:rsid w:val="005360C7"/>
    <w:rsid w:val="00537607"/>
    <w:rsid w:val="00542558"/>
    <w:rsid w:val="00542900"/>
    <w:rsid w:val="005466BE"/>
    <w:rsid w:val="00553936"/>
    <w:rsid w:val="0055417C"/>
    <w:rsid w:val="00561091"/>
    <w:rsid w:val="00561FC7"/>
    <w:rsid w:val="00563B6A"/>
    <w:rsid w:val="00572C01"/>
    <w:rsid w:val="00574999"/>
    <w:rsid w:val="005777CD"/>
    <w:rsid w:val="00581999"/>
    <w:rsid w:val="0058248E"/>
    <w:rsid w:val="005850FE"/>
    <w:rsid w:val="00587713"/>
    <w:rsid w:val="00594A75"/>
    <w:rsid w:val="0059526F"/>
    <w:rsid w:val="00595EA9"/>
    <w:rsid w:val="00596BBD"/>
    <w:rsid w:val="00597AF3"/>
    <w:rsid w:val="005A1767"/>
    <w:rsid w:val="005A4305"/>
    <w:rsid w:val="005A55AB"/>
    <w:rsid w:val="005A65C7"/>
    <w:rsid w:val="005A687D"/>
    <w:rsid w:val="005B074B"/>
    <w:rsid w:val="005C1248"/>
    <w:rsid w:val="005C2911"/>
    <w:rsid w:val="005C7066"/>
    <w:rsid w:val="005D0061"/>
    <w:rsid w:val="005D2711"/>
    <w:rsid w:val="005D2E19"/>
    <w:rsid w:val="005E05D3"/>
    <w:rsid w:val="005E7BAD"/>
    <w:rsid w:val="005F134F"/>
    <w:rsid w:val="005F1D95"/>
    <w:rsid w:val="005F436F"/>
    <w:rsid w:val="005F5B2A"/>
    <w:rsid w:val="00600181"/>
    <w:rsid w:val="00602F7E"/>
    <w:rsid w:val="0060364C"/>
    <w:rsid w:val="00605D5E"/>
    <w:rsid w:val="0060782E"/>
    <w:rsid w:val="00611993"/>
    <w:rsid w:val="0062061C"/>
    <w:rsid w:val="006277D7"/>
    <w:rsid w:val="00627FA6"/>
    <w:rsid w:val="00630864"/>
    <w:rsid w:val="00634669"/>
    <w:rsid w:val="00635B27"/>
    <w:rsid w:val="00636084"/>
    <w:rsid w:val="00640453"/>
    <w:rsid w:val="0064509E"/>
    <w:rsid w:val="00651E10"/>
    <w:rsid w:val="006523BB"/>
    <w:rsid w:val="006527E5"/>
    <w:rsid w:val="006529DA"/>
    <w:rsid w:val="0066677F"/>
    <w:rsid w:val="00666A74"/>
    <w:rsid w:val="00667BFD"/>
    <w:rsid w:val="00667F66"/>
    <w:rsid w:val="006705E5"/>
    <w:rsid w:val="00672C0F"/>
    <w:rsid w:val="00673832"/>
    <w:rsid w:val="00675465"/>
    <w:rsid w:val="00681500"/>
    <w:rsid w:val="00683EDF"/>
    <w:rsid w:val="00684DA1"/>
    <w:rsid w:val="00685911"/>
    <w:rsid w:val="006862BC"/>
    <w:rsid w:val="00686927"/>
    <w:rsid w:val="006A551F"/>
    <w:rsid w:val="006A5E15"/>
    <w:rsid w:val="006B1EC5"/>
    <w:rsid w:val="006B7591"/>
    <w:rsid w:val="006C0C1F"/>
    <w:rsid w:val="006D4014"/>
    <w:rsid w:val="006D4175"/>
    <w:rsid w:val="006E2937"/>
    <w:rsid w:val="006E3212"/>
    <w:rsid w:val="006E39BE"/>
    <w:rsid w:val="006E5E23"/>
    <w:rsid w:val="006E7947"/>
    <w:rsid w:val="006E7A48"/>
    <w:rsid w:val="006F1B94"/>
    <w:rsid w:val="006F1DDE"/>
    <w:rsid w:val="006F7015"/>
    <w:rsid w:val="007037E5"/>
    <w:rsid w:val="00704D08"/>
    <w:rsid w:val="007151CF"/>
    <w:rsid w:val="007167BB"/>
    <w:rsid w:val="00720DDA"/>
    <w:rsid w:val="00726BB7"/>
    <w:rsid w:val="0072749E"/>
    <w:rsid w:val="007278AD"/>
    <w:rsid w:val="00727D86"/>
    <w:rsid w:val="0073022B"/>
    <w:rsid w:val="00731C8E"/>
    <w:rsid w:val="0073780E"/>
    <w:rsid w:val="00742754"/>
    <w:rsid w:val="00744E09"/>
    <w:rsid w:val="00746D1B"/>
    <w:rsid w:val="0074706C"/>
    <w:rsid w:val="007505D6"/>
    <w:rsid w:val="007537B8"/>
    <w:rsid w:val="00763755"/>
    <w:rsid w:val="00763D1D"/>
    <w:rsid w:val="00763DE8"/>
    <w:rsid w:val="007670D7"/>
    <w:rsid w:val="00770A9B"/>
    <w:rsid w:val="0077412B"/>
    <w:rsid w:val="00777048"/>
    <w:rsid w:val="007874D5"/>
    <w:rsid w:val="00794D01"/>
    <w:rsid w:val="00795380"/>
    <w:rsid w:val="00796DF4"/>
    <w:rsid w:val="00797A7A"/>
    <w:rsid w:val="007A2070"/>
    <w:rsid w:val="007B117E"/>
    <w:rsid w:val="007C3C0F"/>
    <w:rsid w:val="007C4397"/>
    <w:rsid w:val="007C64AF"/>
    <w:rsid w:val="007C68D6"/>
    <w:rsid w:val="007C7093"/>
    <w:rsid w:val="007D3487"/>
    <w:rsid w:val="007D4609"/>
    <w:rsid w:val="007D4827"/>
    <w:rsid w:val="007E32B0"/>
    <w:rsid w:val="007E55DC"/>
    <w:rsid w:val="007E7158"/>
    <w:rsid w:val="007F0FA3"/>
    <w:rsid w:val="007F47CE"/>
    <w:rsid w:val="0080111A"/>
    <w:rsid w:val="008065AA"/>
    <w:rsid w:val="008066CB"/>
    <w:rsid w:val="00806CA6"/>
    <w:rsid w:val="00810473"/>
    <w:rsid w:val="00810809"/>
    <w:rsid w:val="008117ED"/>
    <w:rsid w:val="0081575C"/>
    <w:rsid w:val="00817E7E"/>
    <w:rsid w:val="0082094C"/>
    <w:rsid w:val="00824479"/>
    <w:rsid w:val="00825180"/>
    <w:rsid w:val="0082694F"/>
    <w:rsid w:val="0083244C"/>
    <w:rsid w:val="0084391A"/>
    <w:rsid w:val="00846514"/>
    <w:rsid w:val="008552E7"/>
    <w:rsid w:val="0085561B"/>
    <w:rsid w:val="0086674D"/>
    <w:rsid w:val="00871B8F"/>
    <w:rsid w:val="00871BB8"/>
    <w:rsid w:val="0087450C"/>
    <w:rsid w:val="00887989"/>
    <w:rsid w:val="008901C4"/>
    <w:rsid w:val="00891C5D"/>
    <w:rsid w:val="00893F12"/>
    <w:rsid w:val="008A39B2"/>
    <w:rsid w:val="008A62FD"/>
    <w:rsid w:val="008A6FF4"/>
    <w:rsid w:val="008A7A48"/>
    <w:rsid w:val="008B4D90"/>
    <w:rsid w:val="008B54B8"/>
    <w:rsid w:val="008C1713"/>
    <w:rsid w:val="008C2962"/>
    <w:rsid w:val="008C32C6"/>
    <w:rsid w:val="008C5DCA"/>
    <w:rsid w:val="008C6D7B"/>
    <w:rsid w:val="008D1301"/>
    <w:rsid w:val="008D42B1"/>
    <w:rsid w:val="008E042B"/>
    <w:rsid w:val="008E7903"/>
    <w:rsid w:val="008F379C"/>
    <w:rsid w:val="008F3879"/>
    <w:rsid w:val="008F3B59"/>
    <w:rsid w:val="009000E3"/>
    <w:rsid w:val="00901361"/>
    <w:rsid w:val="00901CDF"/>
    <w:rsid w:val="00902297"/>
    <w:rsid w:val="0090306F"/>
    <w:rsid w:val="00904A83"/>
    <w:rsid w:val="009057A7"/>
    <w:rsid w:val="0091207F"/>
    <w:rsid w:val="00916F2A"/>
    <w:rsid w:val="00924615"/>
    <w:rsid w:val="00936DDD"/>
    <w:rsid w:val="00941D00"/>
    <w:rsid w:val="009437A5"/>
    <w:rsid w:val="00952BBA"/>
    <w:rsid w:val="00953180"/>
    <w:rsid w:val="00956000"/>
    <w:rsid w:val="00963583"/>
    <w:rsid w:val="00970FE5"/>
    <w:rsid w:val="00972467"/>
    <w:rsid w:val="00973F53"/>
    <w:rsid w:val="009748FD"/>
    <w:rsid w:val="00974BBB"/>
    <w:rsid w:val="00975A48"/>
    <w:rsid w:val="009846C5"/>
    <w:rsid w:val="00984811"/>
    <w:rsid w:val="009A09B7"/>
    <w:rsid w:val="009A292D"/>
    <w:rsid w:val="009A2B5D"/>
    <w:rsid w:val="009A37D8"/>
    <w:rsid w:val="009B1066"/>
    <w:rsid w:val="009B4390"/>
    <w:rsid w:val="009B53F2"/>
    <w:rsid w:val="009C156F"/>
    <w:rsid w:val="009C2CFB"/>
    <w:rsid w:val="009C444D"/>
    <w:rsid w:val="009C4DFB"/>
    <w:rsid w:val="009C6AFA"/>
    <w:rsid w:val="009C7826"/>
    <w:rsid w:val="009D03AD"/>
    <w:rsid w:val="009D3AF2"/>
    <w:rsid w:val="009D4793"/>
    <w:rsid w:val="009D57A3"/>
    <w:rsid w:val="009D7116"/>
    <w:rsid w:val="009E31FC"/>
    <w:rsid w:val="009E34E7"/>
    <w:rsid w:val="009E3920"/>
    <w:rsid w:val="009E44CE"/>
    <w:rsid w:val="009E516C"/>
    <w:rsid w:val="009E7FD2"/>
    <w:rsid w:val="009F0710"/>
    <w:rsid w:val="009F2382"/>
    <w:rsid w:val="009F26F0"/>
    <w:rsid w:val="009F74F5"/>
    <w:rsid w:val="00A02C1E"/>
    <w:rsid w:val="00A04BD6"/>
    <w:rsid w:val="00A05137"/>
    <w:rsid w:val="00A15079"/>
    <w:rsid w:val="00A207F0"/>
    <w:rsid w:val="00A22A2A"/>
    <w:rsid w:val="00A34A67"/>
    <w:rsid w:val="00A41B23"/>
    <w:rsid w:val="00A41E48"/>
    <w:rsid w:val="00A4798B"/>
    <w:rsid w:val="00A50100"/>
    <w:rsid w:val="00A5132A"/>
    <w:rsid w:val="00A57795"/>
    <w:rsid w:val="00A60D8E"/>
    <w:rsid w:val="00A62CF6"/>
    <w:rsid w:val="00A641E3"/>
    <w:rsid w:val="00A70404"/>
    <w:rsid w:val="00A7044B"/>
    <w:rsid w:val="00A70A9A"/>
    <w:rsid w:val="00A71C0A"/>
    <w:rsid w:val="00A76942"/>
    <w:rsid w:val="00A77AD7"/>
    <w:rsid w:val="00A83DB9"/>
    <w:rsid w:val="00A92417"/>
    <w:rsid w:val="00A934C6"/>
    <w:rsid w:val="00AA104B"/>
    <w:rsid w:val="00AA11AD"/>
    <w:rsid w:val="00AA1DC3"/>
    <w:rsid w:val="00AB1020"/>
    <w:rsid w:val="00AB38D6"/>
    <w:rsid w:val="00AB6140"/>
    <w:rsid w:val="00AC1502"/>
    <w:rsid w:val="00AC212E"/>
    <w:rsid w:val="00AC3B66"/>
    <w:rsid w:val="00AC44CE"/>
    <w:rsid w:val="00AC462A"/>
    <w:rsid w:val="00AC5D9D"/>
    <w:rsid w:val="00AC7D0E"/>
    <w:rsid w:val="00AD0BA1"/>
    <w:rsid w:val="00AD1F63"/>
    <w:rsid w:val="00AD34A6"/>
    <w:rsid w:val="00AD4348"/>
    <w:rsid w:val="00AD6461"/>
    <w:rsid w:val="00AD6DF9"/>
    <w:rsid w:val="00AE1AA3"/>
    <w:rsid w:val="00AE1DB9"/>
    <w:rsid w:val="00AE580B"/>
    <w:rsid w:val="00AE5D55"/>
    <w:rsid w:val="00AF26D9"/>
    <w:rsid w:val="00AF3663"/>
    <w:rsid w:val="00AF69AC"/>
    <w:rsid w:val="00B03011"/>
    <w:rsid w:val="00B04406"/>
    <w:rsid w:val="00B0626D"/>
    <w:rsid w:val="00B06742"/>
    <w:rsid w:val="00B10C77"/>
    <w:rsid w:val="00B13ADA"/>
    <w:rsid w:val="00B147E7"/>
    <w:rsid w:val="00B17222"/>
    <w:rsid w:val="00B1795B"/>
    <w:rsid w:val="00B22030"/>
    <w:rsid w:val="00B226C1"/>
    <w:rsid w:val="00B22C86"/>
    <w:rsid w:val="00B2421C"/>
    <w:rsid w:val="00B26084"/>
    <w:rsid w:val="00B32587"/>
    <w:rsid w:val="00B35D2C"/>
    <w:rsid w:val="00B379B8"/>
    <w:rsid w:val="00B40FD5"/>
    <w:rsid w:val="00B443F1"/>
    <w:rsid w:val="00B52483"/>
    <w:rsid w:val="00B566AE"/>
    <w:rsid w:val="00B61BF9"/>
    <w:rsid w:val="00B61D46"/>
    <w:rsid w:val="00B67E20"/>
    <w:rsid w:val="00B73937"/>
    <w:rsid w:val="00B73BEB"/>
    <w:rsid w:val="00B74718"/>
    <w:rsid w:val="00B748A5"/>
    <w:rsid w:val="00B74A9D"/>
    <w:rsid w:val="00B7587A"/>
    <w:rsid w:val="00B8319C"/>
    <w:rsid w:val="00B84338"/>
    <w:rsid w:val="00B84768"/>
    <w:rsid w:val="00B84CAA"/>
    <w:rsid w:val="00B84ED1"/>
    <w:rsid w:val="00B852D5"/>
    <w:rsid w:val="00B867E5"/>
    <w:rsid w:val="00B91AB5"/>
    <w:rsid w:val="00B91E5C"/>
    <w:rsid w:val="00BA0695"/>
    <w:rsid w:val="00BA0F2D"/>
    <w:rsid w:val="00BA26EF"/>
    <w:rsid w:val="00BA287C"/>
    <w:rsid w:val="00BA5A93"/>
    <w:rsid w:val="00BB3CDD"/>
    <w:rsid w:val="00BB3EBF"/>
    <w:rsid w:val="00BB417E"/>
    <w:rsid w:val="00BB7537"/>
    <w:rsid w:val="00BC039C"/>
    <w:rsid w:val="00BC0F5B"/>
    <w:rsid w:val="00BC2E42"/>
    <w:rsid w:val="00BC7F6D"/>
    <w:rsid w:val="00BD2E50"/>
    <w:rsid w:val="00BE01FA"/>
    <w:rsid w:val="00BE2CAC"/>
    <w:rsid w:val="00BE3ACA"/>
    <w:rsid w:val="00BE4A2C"/>
    <w:rsid w:val="00C02A09"/>
    <w:rsid w:val="00C03A60"/>
    <w:rsid w:val="00C04B3A"/>
    <w:rsid w:val="00C10ACC"/>
    <w:rsid w:val="00C13F21"/>
    <w:rsid w:val="00C15977"/>
    <w:rsid w:val="00C21D17"/>
    <w:rsid w:val="00C2445B"/>
    <w:rsid w:val="00C260DB"/>
    <w:rsid w:val="00C27487"/>
    <w:rsid w:val="00C3041B"/>
    <w:rsid w:val="00C32AE3"/>
    <w:rsid w:val="00C32FE3"/>
    <w:rsid w:val="00C352C1"/>
    <w:rsid w:val="00C43512"/>
    <w:rsid w:val="00C44474"/>
    <w:rsid w:val="00C45128"/>
    <w:rsid w:val="00C46624"/>
    <w:rsid w:val="00C502AD"/>
    <w:rsid w:val="00C531A8"/>
    <w:rsid w:val="00C5439D"/>
    <w:rsid w:val="00C54E29"/>
    <w:rsid w:val="00C5757A"/>
    <w:rsid w:val="00C577F8"/>
    <w:rsid w:val="00C613FC"/>
    <w:rsid w:val="00C63967"/>
    <w:rsid w:val="00C72195"/>
    <w:rsid w:val="00C75FC8"/>
    <w:rsid w:val="00C807DD"/>
    <w:rsid w:val="00C81636"/>
    <w:rsid w:val="00C8364A"/>
    <w:rsid w:val="00C865E1"/>
    <w:rsid w:val="00C92252"/>
    <w:rsid w:val="00C9364A"/>
    <w:rsid w:val="00CA067F"/>
    <w:rsid w:val="00CA384E"/>
    <w:rsid w:val="00CA6648"/>
    <w:rsid w:val="00CB04C9"/>
    <w:rsid w:val="00CB072A"/>
    <w:rsid w:val="00CB426E"/>
    <w:rsid w:val="00CB5AC3"/>
    <w:rsid w:val="00CC086E"/>
    <w:rsid w:val="00CC7651"/>
    <w:rsid w:val="00CC7B48"/>
    <w:rsid w:val="00CD00C7"/>
    <w:rsid w:val="00CD3765"/>
    <w:rsid w:val="00CD39A7"/>
    <w:rsid w:val="00CD41D4"/>
    <w:rsid w:val="00CD5BA7"/>
    <w:rsid w:val="00CE03E0"/>
    <w:rsid w:val="00CE5E1A"/>
    <w:rsid w:val="00CF3C77"/>
    <w:rsid w:val="00CF51EF"/>
    <w:rsid w:val="00CF7372"/>
    <w:rsid w:val="00CF7590"/>
    <w:rsid w:val="00D03ABD"/>
    <w:rsid w:val="00D03FFE"/>
    <w:rsid w:val="00D053B6"/>
    <w:rsid w:val="00D113EB"/>
    <w:rsid w:val="00D11684"/>
    <w:rsid w:val="00D13AE4"/>
    <w:rsid w:val="00D1643D"/>
    <w:rsid w:val="00D224D7"/>
    <w:rsid w:val="00D266DC"/>
    <w:rsid w:val="00D31251"/>
    <w:rsid w:val="00D3398D"/>
    <w:rsid w:val="00D33BC4"/>
    <w:rsid w:val="00D347EA"/>
    <w:rsid w:val="00D430D4"/>
    <w:rsid w:val="00D44447"/>
    <w:rsid w:val="00D505CE"/>
    <w:rsid w:val="00D50C98"/>
    <w:rsid w:val="00D52CFB"/>
    <w:rsid w:val="00D61008"/>
    <w:rsid w:val="00D61BBE"/>
    <w:rsid w:val="00D6360B"/>
    <w:rsid w:val="00D71EFE"/>
    <w:rsid w:val="00D7221D"/>
    <w:rsid w:val="00D75A7B"/>
    <w:rsid w:val="00D81B0E"/>
    <w:rsid w:val="00D851DC"/>
    <w:rsid w:val="00DA0284"/>
    <w:rsid w:val="00DA0286"/>
    <w:rsid w:val="00DA5065"/>
    <w:rsid w:val="00DA620A"/>
    <w:rsid w:val="00DA66EF"/>
    <w:rsid w:val="00DB095D"/>
    <w:rsid w:val="00DB0ADC"/>
    <w:rsid w:val="00DB1E98"/>
    <w:rsid w:val="00DB6A17"/>
    <w:rsid w:val="00DC015A"/>
    <w:rsid w:val="00DC070A"/>
    <w:rsid w:val="00DC1105"/>
    <w:rsid w:val="00DC185D"/>
    <w:rsid w:val="00DC2BC8"/>
    <w:rsid w:val="00DC3967"/>
    <w:rsid w:val="00DC6B38"/>
    <w:rsid w:val="00DD0DFA"/>
    <w:rsid w:val="00DD0FCD"/>
    <w:rsid w:val="00DD22FF"/>
    <w:rsid w:val="00DD2D80"/>
    <w:rsid w:val="00DE157D"/>
    <w:rsid w:val="00DE3053"/>
    <w:rsid w:val="00DF137F"/>
    <w:rsid w:val="00E01802"/>
    <w:rsid w:val="00E01B4D"/>
    <w:rsid w:val="00E01E2E"/>
    <w:rsid w:val="00E02092"/>
    <w:rsid w:val="00E02588"/>
    <w:rsid w:val="00E02BDA"/>
    <w:rsid w:val="00E07797"/>
    <w:rsid w:val="00E13F70"/>
    <w:rsid w:val="00E1494A"/>
    <w:rsid w:val="00E17867"/>
    <w:rsid w:val="00E1797A"/>
    <w:rsid w:val="00E22352"/>
    <w:rsid w:val="00E23BE5"/>
    <w:rsid w:val="00E23DF4"/>
    <w:rsid w:val="00E25B33"/>
    <w:rsid w:val="00E26CAF"/>
    <w:rsid w:val="00E271B4"/>
    <w:rsid w:val="00E3106E"/>
    <w:rsid w:val="00E333A9"/>
    <w:rsid w:val="00E372B3"/>
    <w:rsid w:val="00E402EA"/>
    <w:rsid w:val="00E41190"/>
    <w:rsid w:val="00E41907"/>
    <w:rsid w:val="00E42D66"/>
    <w:rsid w:val="00E43A63"/>
    <w:rsid w:val="00E44288"/>
    <w:rsid w:val="00E4496E"/>
    <w:rsid w:val="00E45527"/>
    <w:rsid w:val="00E46015"/>
    <w:rsid w:val="00E4782D"/>
    <w:rsid w:val="00E5216C"/>
    <w:rsid w:val="00E526EC"/>
    <w:rsid w:val="00E527C6"/>
    <w:rsid w:val="00E53366"/>
    <w:rsid w:val="00E55173"/>
    <w:rsid w:val="00E55267"/>
    <w:rsid w:val="00E55422"/>
    <w:rsid w:val="00E5548F"/>
    <w:rsid w:val="00E56969"/>
    <w:rsid w:val="00E56EB5"/>
    <w:rsid w:val="00E61511"/>
    <w:rsid w:val="00E61845"/>
    <w:rsid w:val="00E61FFB"/>
    <w:rsid w:val="00E6250B"/>
    <w:rsid w:val="00E63ECE"/>
    <w:rsid w:val="00E65298"/>
    <w:rsid w:val="00E6593C"/>
    <w:rsid w:val="00E66757"/>
    <w:rsid w:val="00E70381"/>
    <w:rsid w:val="00E76BA8"/>
    <w:rsid w:val="00E77B93"/>
    <w:rsid w:val="00EA0DB6"/>
    <w:rsid w:val="00EA2130"/>
    <w:rsid w:val="00EA4297"/>
    <w:rsid w:val="00EA4825"/>
    <w:rsid w:val="00EA5A50"/>
    <w:rsid w:val="00EA7F12"/>
    <w:rsid w:val="00EB0C20"/>
    <w:rsid w:val="00EB6682"/>
    <w:rsid w:val="00EB6EA9"/>
    <w:rsid w:val="00ED2337"/>
    <w:rsid w:val="00ED70FF"/>
    <w:rsid w:val="00ED733C"/>
    <w:rsid w:val="00EE7572"/>
    <w:rsid w:val="00EE7DF7"/>
    <w:rsid w:val="00EF3BEC"/>
    <w:rsid w:val="00EF4CEE"/>
    <w:rsid w:val="00F04799"/>
    <w:rsid w:val="00F1066F"/>
    <w:rsid w:val="00F221AB"/>
    <w:rsid w:val="00F23B20"/>
    <w:rsid w:val="00F2538D"/>
    <w:rsid w:val="00F264EF"/>
    <w:rsid w:val="00F2711B"/>
    <w:rsid w:val="00F27A49"/>
    <w:rsid w:val="00F31965"/>
    <w:rsid w:val="00F32D1E"/>
    <w:rsid w:val="00F3454A"/>
    <w:rsid w:val="00F41EE4"/>
    <w:rsid w:val="00F44E7D"/>
    <w:rsid w:val="00F46D4E"/>
    <w:rsid w:val="00F473E0"/>
    <w:rsid w:val="00F47628"/>
    <w:rsid w:val="00F50DB8"/>
    <w:rsid w:val="00F52F61"/>
    <w:rsid w:val="00F55D37"/>
    <w:rsid w:val="00F55E05"/>
    <w:rsid w:val="00F5790A"/>
    <w:rsid w:val="00F62766"/>
    <w:rsid w:val="00F667F7"/>
    <w:rsid w:val="00F708E9"/>
    <w:rsid w:val="00F71B47"/>
    <w:rsid w:val="00F8028C"/>
    <w:rsid w:val="00F84C4F"/>
    <w:rsid w:val="00F8562B"/>
    <w:rsid w:val="00F85F73"/>
    <w:rsid w:val="00F86683"/>
    <w:rsid w:val="00FA1898"/>
    <w:rsid w:val="00FA42D7"/>
    <w:rsid w:val="00FA5723"/>
    <w:rsid w:val="00FA7212"/>
    <w:rsid w:val="00FB0613"/>
    <w:rsid w:val="00FB075B"/>
    <w:rsid w:val="00FB0C19"/>
    <w:rsid w:val="00FB1290"/>
    <w:rsid w:val="00FB2113"/>
    <w:rsid w:val="00FB230C"/>
    <w:rsid w:val="00FB2709"/>
    <w:rsid w:val="00FB46B4"/>
    <w:rsid w:val="00FB79B7"/>
    <w:rsid w:val="00FC13D0"/>
    <w:rsid w:val="00FC5ACB"/>
    <w:rsid w:val="00FD3A08"/>
    <w:rsid w:val="00FD3F5A"/>
    <w:rsid w:val="00FD565B"/>
    <w:rsid w:val="00FE63D1"/>
    <w:rsid w:val="00FE6D7B"/>
    <w:rsid w:val="00FF0272"/>
    <w:rsid w:val="00FF2A8C"/>
    <w:rsid w:val="00FF7363"/>
    <w:rsid w:val="00FF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uiPriority w:val="99"/>
    <w:unhideWhenUsed/>
    <w:rsid w:val="005C1248"/>
    <w:rPr>
      <w:strike w:val="0"/>
      <w:dstrike w:val="0"/>
      <w:color w:val="1D1D1D"/>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BalloonText">
    <w:name w:val="Balloon Text"/>
    <w:basedOn w:val="Normal"/>
    <w:semiHidden/>
    <w:rsid w:val="00AF69AC"/>
    <w:rPr>
      <w:rFonts w:ascii="Tahoma" w:hAnsi="Tahoma" w:cs="Tahoma"/>
      <w:sz w:val="16"/>
      <w:szCs w:val="16"/>
    </w:rPr>
  </w:style>
  <w:style w:type="paragraph" w:styleId="FootnoteText">
    <w:name w:val="footnote text"/>
    <w:basedOn w:val="Normal"/>
    <w:semiHidden/>
    <w:rsid w:val="00C21D17"/>
    <w:rPr>
      <w:sz w:val="20"/>
      <w:szCs w:val="20"/>
    </w:rPr>
  </w:style>
  <w:style w:type="character" w:styleId="FootnoteReference">
    <w:name w:val="footnote reference"/>
    <w:semiHidden/>
    <w:rsid w:val="00C21D17"/>
    <w:rPr>
      <w:vertAlign w:val="superscript"/>
    </w:rPr>
  </w:style>
  <w:style w:type="paragraph" w:styleId="ListParagraph">
    <w:name w:val="List Paragraph"/>
    <w:basedOn w:val="Normal"/>
    <w:uiPriority w:val="34"/>
    <w:qFormat/>
    <w:rsid w:val="00EA5A50"/>
    <w:pPr>
      <w:ind w:left="720"/>
    </w:pPr>
  </w:style>
  <w:style w:type="character" w:customStyle="1" w:styleId="searchhit1">
    <w:name w:val="searchhit1"/>
    <w:rsid w:val="00BA26EF"/>
    <w:rPr>
      <w:shd w:val="clear" w:color="auto" w:fill="FFFF00"/>
    </w:rPr>
  </w:style>
  <w:style w:type="character" w:styleId="CommentReference">
    <w:name w:val="annotation reference"/>
    <w:basedOn w:val="DefaultParagraphFont"/>
    <w:rsid w:val="00042AB7"/>
    <w:rPr>
      <w:sz w:val="16"/>
      <w:szCs w:val="16"/>
    </w:rPr>
  </w:style>
  <w:style w:type="paragraph" w:styleId="CommentText">
    <w:name w:val="annotation text"/>
    <w:basedOn w:val="Normal"/>
    <w:link w:val="CommentTextChar"/>
    <w:rsid w:val="00042AB7"/>
    <w:rPr>
      <w:sz w:val="20"/>
      <w:szCs w:val="20"/>
    </w:rPr>
  </w:style>
  <w:style w:type="character" w:customStyle="1" w:styleId="CommentTextChar">
    <w:name w:val="Comment Text Char"/>
    <w:basedOn w:val="DefaultParagraphFont"/>
    <w:link w:val="CommentText"/>
    <w:rsid w:val="00042AB7"/>
  </w:style>
  <w:style w:type="paragraph" w:styleId="CommentSubject">
    <w:name w:val="annotation subject"/>
    <w:basedOn w:val="CommentText"/>
    <w:next w:val="CommentText"/>
    <w:link w:val="CommentSubjectChar"/>
    <w:rsid w:val="00042AB7"/>
    <w:rPr>
      <w:b/>
      <w:bCs/>
    </w:rPr>
  </w:style>
  <w:style w:type="character" w:customStyle="1" w:styleId="CommentSubjectChar">
    <w:name w:val="Comment Subject Char"/>
    <w:basedOn w:val="CommentTextChar"/>
    <w:link w:val="CommentSubject"/>
    <w:rsid w:val="00042AB7"/>
    <w:rPr>
      <w:b/>
      <w:bCs/>
    </w:rPr>
  </w:style>
  <w:style w:type="character" w:styleId="Hyperlink">
    <w:name w:val="Hyperlink"/>
    <w:basedOn w:val="DefaultParagraphFont"/>
    <w:uiPriority w:val="99"/>
    <w:unhideWhenUsed/>
    <w:rsid w:val="005C1248"/>
    <w:rPr>
      <w:strike w:val="0"/>
      <w:dstrike w:val="0"/>
      <w:color w:val="1D1D1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474942">
      <w:bodyDiv w:val="1"/>
      <w:marLeft w:val="0"/>
      <w:marRight w:val="0"/>
      <w:marTop w:val="0"/>
      <w:marBottom w:val="0"/>
      <w:divBdr>
        <w:top w:val="none" w:sz="0" w:space="0" w:color="auto"/>
        <w:left w:val="none" w:sz="0" w:space="0" w:color="auto"/>
        <w:bottom w:val="none" w:sz="0" w:space="0" w:color="auto"/>
        <w:right w:val="none" w:sz="0" w:space="0" w:color="auto"/>
      </w:divBdr>
      <w:divsChild>
        <w:div w:id="365064599">
          <w:marLeft w:val="0"/>
          <w:marRight w:val="0"/>
          <w:marTop w:val="0"/>
          <w:marBottom w:val="0"/>
          <w:divBdr>
            <w:top w:val="single" w:sz="6" w:space="12" w:color="C7E2E2"/>
            <w:left w:val="none" w:sz="0" w:space="0" w:color="auto"/>
            <w:bottom w:val="single" w:sz="6" w:space="12" w:color="C7E2E2"/>
            <w:right w:val="none" w:sz="0" w:space="0" w:color="auto"/>
          </w:divBdr>
          <w:divsChild>
            <w:div w:id="944315084">
              <w:marLeft w:val="1584"/>
              <w:marRight w:val="0"/>
              <w:marTop w:val="0"/>
              <w:marBottom w:val="0"/>
              <w:divBdr>
                <w:top w:val="none" w:sz="0" w:space="0" w:color="auto"/>
                <w:left w:val="none" w:sz="0" w:space="0" w:color="auto"/>
                <w:bottom w:val="none" w:sz="0" w:space="0" w:color="auto"/>
                <w:right w:val="none" w:sz="0" w:space="0" w:color="auto"/>
              </w:divBdr>
            </w:div>
          </w:divsChild>
        </w:div>
      </w:divsChild>
    </w:div>
    <w:div w:id="1838880579">
      <w:marLeft w:val="0"/>
      <w:marRight w:val="0"/>
      <w:marTop w:val="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46340922">
              <w:marLeft w:val="0"/>
              <w:marRight w:val="0"/>
              <w:marTop w:val="450"/>
              <w:marBottom w:val="0"/>
              <w:divBdr>
                <w:top w:val="none" w:sz="0" w:space="0" w:color="auto"/>
                <w:left w:val="none" w:sz="0" w:space="0" w:color="auto"/>
                <w:bottom w:val="none" w:sz="0" w:space="0" w:color="auto"/>
                <w:right w:val="none" w:sz="0" w:space="0" w:color="auto"/>
              </w:divBdr>
              <w:divsChild>
                <w:div w:id="196241742">
                  <w:marLeft w:val="0"/>
                  <w:marRight w:val="0"/>
                  <w:marTop w:val="0"/>
                  <w:marBottom w:val="0"/>
                  <w:divBdr>
                    <w:top w:val="none" w:sz="0" w:space="0" w:color="auto"/>
                    <w:left w:val="none" w:sz="0" w:space="0" w:color="auto"/>
                    <w:bottom w:val="none" w:sz="0" w:space="0" w:color="auto"/>
                    <w:right w:val="none" w:sz="0" w:space="0" w:color="auto"/>
                  </w:divBdr>
                  <w:divsChild>
                    <w:div w:id="1740252777">
                      <w:marLeft w:val="0"/>
                      <w:marRight w:val="0"/>
                      <w:marTop w:val="0"/>
                      <w:marBottom w:val="0"/>
                      <w:divBdr>
                        <w:top w:val="none" w:sz="0" w:space="0" w:color="auto"/>
                        <w:left w:val="none" w:sz="0" w:space="0" w:color="auto"/>
                        <w:bottom w:val="none" w:sz="0" w:space="0" w:color="auto"/>
                        <w:right w:val="none" w:sz="0" w:space="0" w:color="auto"/>
                      </w:divBdr>
                      <w:divsChild>
                        <w:div w:id="640186396">
                          <w:marLeft w:val="0"/>
                          <w:marRight w:val="0"/>
                          <w:marTop w:val="0"/>
                          <w:marBottom w:val="0"/>
                          <w:divBdr>
                            <w:top w:val="none" w:sz="0" w:space="0" w:color="auto"/>
                            <w:left w:val="none" w:sz="0" w:space="0" w:color="auto"/>
                            <w:bottom w:val="none" w:sz="0" w:space="0" w:color="auto"/>
                            <w:right w:val="none" w:sz="0" w:space="0" w:color="auto"/>
                          </w:divBdr>
                          <w:divsChild>
                            <w:div w:id="990984804">
                              <w:marLeft w:val="0"/>
                              <w:marRight w:val="0"/>
                              <w:marTop w:val="0"/>
                              <w:marBottom w:val="0"/>
                              <w:divBdr>
                                <w:top w:val="none" w:sz="0" w:space="0" w:color="auto"/>
                                <w:left w:val="none" w:sz="0" w:space="0" w:color="auto"/>
                                <w:bottom w:val="none" w:sz="0" w:space="0" w:color="auto"/>
                                <w:right w:val="none" w:sz="0" w:space="0" w:color="auto"/>
                              </w:divBdr>
                              <w:divsChild>
                                <w:div w:id="19860869">
                                  <w:marLeft w:val="0"/>
                                  <w:marRight w:val="0"/>
                                  <w:marTop w:val="0"/>
                                  <w:marBottom w:val="0"/>
                                  <w:divBdr>
                                    <w:top w:val="none" w:sz="0" w:space="0" w:color="auto"/>
                                    <w:left w:val="none" w:sz="0" w:space="0" w:color="auto"/>
                                    <w:bottom w:val="none" w:sz="0" w:space="0" w:color="auto"/>
                                    <w:right w:val="none" w:sz="0" w:space="0" w:color="auto"/>
                                  </w:divBdr>
                                  <w:divsChild>
                                    <w:div w:id="1954290126">
                                      <w:marLeft w:val="0"/>
                                      <w:marRight w:val="0"/>
                                      <w:marTop w:val="0"/>
                                      <w:marBottom w:val="0"/>
                                      <w:divBdr>
                                        <w:top w:val="none" w:sz="0" w:space="0" w:color="auto"/>
                                        <w:left w:val="none" w:sz="0" w:space="0" w:color="auto"/>
                                        <w:bottom w:val="none" w:sz="0" w:space="0" w:color="auto"/>
                                        <w:right w:val="none" w:sz="0" w:space="0" w:color="auto"/>
                                      </w:divBdr>
                                    </w:div>
                                    <w:div w:id="274168536">
                                      <w:marLeft w:val="0"/>
                                      <w:marRight w:val="0"/>
                                      <w:marTop w:val="0"/>
                                      <w:marBottom w:val="0"/>
                                      <w:divBdr>
                                        <w:top w:val="none" w:sz="0" w:space="0" w:color="auto"/>
                                        <w:left w:val="none" w:sz="0" w:space="0" w:color="auto"/>
                                        <w:bottom w:val="none" w:sz="0" w:space="0" w:color="auto"/>
                                        <w:right w:val="none" w:sz="0" w:space="0" w:color="auto"/>
                                      </w:divBdr>
                                    </w:div>
                                    <w:div w:id="1758748519">
                                      <w:marLeft w:val="1440"/>
                                      <w:marRight w:val="0"/>
                                      <w:marTop w:val="0"/>
                                      <w:marBottom w:val="0"/>
                                      <w:divBdr>
                                        <w:top w:val="none" w:sz="0" w:space="0" w:color="auto"/>
                                        <w:left w:val="none" w:sz="0" w:space="0" w:color="auto"/>
                                        <w:bottom w:val="none" w:sz="0" w:space="0" w:color="auto"/>
                                        <w:right w:val="none" w:sz="0" w:space="0" w:color="auto"/>
                                      </w:divBdr>
                                    </w:div>
                                    <w:div w:id="374427709">
                                      <w:marLeft w:val="0"/>
                                      <w:marRight w:val="0"/>
                                      <w:marTop w:val="0"/>
                                      <w:marBottom w:val="0"/>
                                      <w:divBdr>
                                        <w:top w:val="none" w:sz="0" w:space="0" w:color="auto"/>
                                        <w:left w:val="none" w:sz="0" w:space="0" w:color="auto"/>
                                        <w:bottom w:val="none" w:sz="0" w:space="0" w:color="auto"/>
                                        <w:right w:val="none" w:sz="0" w:space="0" w:color="auto"/>
                                      </w:divBdr>
                                    </w:div>
                                    <w:div w:id="1148322471">
                                      <w:marLeft w:val="0"/>
                                      <w:marRight w:val="0"/>
                                      <w:marTop w:val="0"/>
                                      <w:marBottom w:val="0"/>
                                      <w:divBdr>
                                        <w:top w:val="none" w:sz="0" w:space="0" w:color="auto"/>
                                        <w:left w:val="none" w:sz="0" w:space="0" w:color="auto"/>
                                        <w:bottom w:val="none" w:sz="0" w:space="0" w:color="auto"/>
                                        <w:right w:val="none" w:sz="0" w:space="0" w:color="auto"/>
                                      </w:divBdr>
                                    </w:div>
                                    <w:div w:id="10386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gif"/>
  <Relationship Id="rId11" Type="http://schemas.openxmlformats.org/officeDocument/2006/relationships/hyperlink" TargetMode="External" Target="http://sll.gvpi.net/document.php?id=crab:0475996-0000000&amp;type=hitlist&amp;num=7#hit20"/>
  <Relationship Id="rId12" Type="http://schemas.openxmlformats.org/officeDocument/2006/relationships/hyperlink" TargetMode="External" Target="http://sll.gvpi.net/document.php?id=sjcapp:67_mass_app_ct_612"/>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crab:0493984-0000000&amp;type=hitlist&amp;num=5#hit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B5D6-9B0C-441F-86CC-079216AB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22629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2016-06-13T19:13:00Z</dcterms:created>
  <dc:creator>Administrator</dc:creator>
  <lastModifiedBy>ANF</lastModifiedBy>
  <lastPrinted>2016-06-13T19:10:00Z</lastPrinted>
  <dcterms:modified xsi:type="dcterms:W3CDTF">2016-06-13T19:13:00Z</dcterms:modified>
  <revision>2</revision>
  <dc:title>COMMONWEALTH OF MASSACHUSETTS</dc:title>
</coreProperties>
</file>