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E11F7C">
      <w:pPr>
        <w:ind w:left="720"/>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7D94F0CD" w14:textId="6F5DAADE" w:rsidR="00DD783A" w:rsidRDefault="00DD783A" w:rsidP="00DD783A">
      <w:pPr>
        <w:pStyle w:val="ExecOffice"/>
        <w:framePr w:w="0" w:hSpace="0" w:wrap="auto" w:vAnchor="margin" w:hAnchor="text" w:xAlign="left" w:yAlign="inline"/>
      </w:pPr>
      <w:r w:rsidRPr="00DD783A">
        <w:t>617-624-6000 | mass.gov/</w:t>
      </w:r>
      <w:proofErr w:type="spellStart"/>
      <w:r w:rsidRPr="00DD783A">
        <w:t>dph</w:t>
      </w:r>
      <w:proofErr w:type="spellEnd"/>
      <w:r w:rsidR="002C47A2">
        <w:t xml:space="preserve"> </w:t>
      </w:r>
    </w:p>
    <w:p w14:paraId="2BA7FE12" w14:textId="77777777" w:rsidR="008E5521" w:rsidRDefault="008E5521" w:rsidP="008E5521">
      <w:pPr>
        <w:ind w:right="2340"/>
        <w:contextualSpacing/>
        <w:rPr>
          <w:rFonts w:ascii="Arial Rounded MT Bold" w:hAnsi="Arial Rounded MT Bold"/>
          <w:sz w:val="16"/>
        </w:rPr>
      </w:pPr>
    </w:p>
    <w:p w14:paraId="51B3562C" w14:textId="77777777" w:rsidR="00FC1E56" w:rsidRDefault="00FC1E56" w:rsidP="008E5521">
      <w:pPr>
        <w:ind w:right="2340"/>
        <w:contextualSpacing/>
        <w:rPr>
          <w:rFonts w:ascii="Arial Rounded MT Bold" w:hAnsi="Arial Rounded MT Bold"/>
          <w:sz w:val="16"/>
        </w:rPr>
        <w:sectPr w:rsidR="00FC1E56" w:rsidSect="00806568">
          <w:headerReference w:type="even" r:id="rId9"/>
          <w:footerReference w:type="default" r:id="rId10"/>
          <w:headerReference w:type="first" r:id="rId11"/>
          <w:pgSz w:w="12240" w:h="15840"/>
          <w:pgMar w:top="540" w:right="260" w:bottom="1260" w:left="640" w:header="0" w:footer="864" w:gutter="0"/>
          <w:cols w:space="720"/>
          <w:docGrid w:linePitch="326"/>
        </w:sectPr>
      </w:pPr>
    </w:p>
    <w:p w14:paraId="55CEE6EB" w14:textId="15393242" w:rsidR="00AC7937" w:rsidRPr="00FC1E56" w:rsidRDefault="00063885" w:rsidP="00E11F7C">
      <w:pPr>
        <w:ind w:left="720" w:right="2340"/>
        <w:contextualSpacing/>
        <w:rPr>
          <w:rFonts w:ascii="Arial" w:hAnsi="Arial" w:cs="Arial"/>
          <w:b/>
          <w:bCs/>
          <w:szCs w:val="24"/>
        </w:rPr>
      </w:pPr>
      <w:r w:rsidRPr="00FC1E56">
        <w:rPr>
          <w:rFonts w:ascii="Arial" w:hAnsi="Arial" w:cs="Arial"/>
          <w:b/>
          <w:bCs/>
          <w:szCs w:val="24"/>
        </w:rPr>
        <w:t xml:space="preserve">Maura </w:t>
      </w:r>
      <w:r w:rsidR="00AC7937" w:rsidRPr="00FC1E56">
        <w:rPr>
          <w:rFonts w:ascii="Arial" w:hAnsi="Arial" w:cs="Arial"/>
          <w:b/>
          <w:bCs/>
          <w:szCs w:val="24"/>
        </w:rPr>
        <w:t xml:space="preserve">T. </w:t>
      </w:r>
      <w:r w:rsidRPr="00FC1E56">
        <w:rPr>
          <w:rFonts w:ascii="Arial" w:hAnsi="Arial" w:cs="Arial"/>
          <w:b/>
          <w:bCs/>
          <w:szCs w:val="24"/>
        </w:rPr>
        <w:t>Healey</w:t>
      </w:r>
    </w:p>
    <w:p w14:paraId="7D7DA174" w14:textId="77777777" w:rsidR="00AC7937" w:rsidRPr="00913A91" w:rsidRDefault="00AC7937" w:rsidP="00E11F7C">
      <w:pPr>
        <w:ind w:left="720" w:right="2340"/>
        <w:contextualSpacing/>
        <w:rPr>
          <w:rFonts w:ascii="Arial" w:hAnsi="Arial" w:cs="Arial"/>
          <w:szCs w:val="24"/>
        </w:rPr>
      </w:pPr>
      <w:r w:rsidRPr="00913A91">
        <w:rPr>
          <w:rFonts w:ascii="Arial" w:hAnsi="Arial" w:cs="Arial"/>
          <w:szCs w:val="24"/>
        </w:rPr>
        <w:t>Governor</w:t>
      </w:r>
    </w:p>
    <w:p w14:paraId="57A7E868" w14:textId="77777777" w:rsidR="00AC7937" w:rsidRPr="00913A91" w:rsidRDefault="00AC7937" w:rsidP="00E11F7C">
      <w:pPr>
        <w:ind w:left="720" w:right="2340"/>
        <w:contextualSpacing/>
        <w:rPr>
          <w:rFonts w:ascii="Arial" w:hAnsi="Arial" w:cs="Arial"/>
          <w:szCs w:val="24"/>
        </w:rPr>
      </w:pPr>
    </w:p>
    <w:p w14:paraId="5F8BD4FE" w14:textId="43FAA70E" w:rsidR="00AC7937" w:rsidRPr="00FC1E56" w:rsidRDefault="00063885" w:rsidP="00E11F7C">
      <w:pPr>
        <w:ind w:left="720" w:right="2340"/>
        <w:contextualSpacing/>
        <w:rPr>
          <w:rFonts w:ascii="Arial" w:hAnsi="Arial" w:cs="Arial"/>
          <w:b/>
          <w:bCs/>
          <w:szCs w:val="24"/>
        </w:rPr>
      </w:pPr>
      <w:r w:rsidRPr="00FC1E56">
        <w:rPr>
          <w:rFonts w:ascii="Arial" w:hAnsi="Arial" w:cs="Arial"/>
          <w:b/>
          <w:bCs/>
          <w:szCs w:val="24"/>
        </w:rPr>
        <w:t>Kimberley Driscoll</w:t>
      </w:r>
    </w:p>
    <w:p w14:paraId="1276EDBE" w14:textId="77777777" w:rsidR="00AC7937" w:rsidRPr="00913A91" w:rsidRDefault="00AC7937" w:rsidP="00E11F7C">
      <w:pPr>
        <w:ind w:left="720" w:right="2340"/>
        <w:contextualSpacing/>
        <w:rPr>
          <w:rFonts w:ascii="Arial" w:hAnsi="Arial" w:cs="Arial"/>
          <w:szCs w:val="24"/>
        </w:rPr>
      </w:pPr>
      <w:r w:rsidRPr="00913A91">
        <w:rPr>
          <w:rFonts w:ascii="Arial" w:hAnsi="Arial" w:cs="Arial"/>
          <w:szCs w:val="24"/>
        </w:rPr>
        <w:t>Lieutenant Governor</w:t>
      </w:r>
    </w:p>
    <w:p w14:paraId="3443D931" w14:textId="77777777" w:rsidR="00AC7937" w:rsidRDefault="00AC7937" w:rsidP="00913A91">
      <w:pPr>
        <w:ind w:right="2340"/>
        <w:contextualSpacing/>
        <w:rPr>
          <w:rFonts w:ascii="Arial" w:hAnsi="Arial" w:cs="Arial"/>
          <w:szCs w:val="24"/>
        </w:rPr>
      </w:pPr>
    </w:p>
    <w:p w14:paraId="3E6B5B0A" w14:textId="77777777" w:rsidR="00FD6603" w:rsidRDefault="00FD6603" w:rsidP="00913A91">
      <w:pPr>
        <w:ind w:right="2340"/>
        <w:contextualSpacing/>
        <w:rPr>
          <w:rFonts w:ascii="Arial" w:hAnsi="Arial" w:cs="Arial"/>
          <w:szCs w:val="24"/>
        </w:rPr>
      </w:pPr>
    </w:p>
    <w:p w14:paraId="3BEA85C6" w14:textId="77777777" w:rsidR="00FD6603" w:rsidRPr="00913A91" w:rsidRDefault="00FD6603" w:rsidP="00913A91">
      <w:pPr>
        <w:ind w:right="2340"/>
        <w:contextualSpacing/>
        <w:rPr>
          <w:rFonts w:ascii="Arial" w:hAnsi="Arial" w:cs="Arial"/>
          <w:szCs w:val="24"/>
        </w:rPr>
      </w:pPr>
    </w:p>
    <w:p w14:paraId="170A6353" w14:textId="202EDB61" w:rsidR="00AC7937" w:rsidRPr="00913A91" w:rsidRDefault="005655FD" w:rsidP="00913A91">
      <w:pPr>
        <w:ind w:left="1530" w:right="720"/>
        <w:contextualSpacing/>
        <w:rPr>
          <w:rFonts w:ascii="Arial" w:hAnsi="Arial" w:cs="Arial"/>
          <w:szCs w:val="24"/>
        </w:rPr>
      </w:pPr>
      <w:r w:rsidRPr="005655FD">
        <w:rPr>
          <w:rFonts w:ascii="Arial" w:hAnsi="Arial" w:cs="Arial"/>
          <w:b/>
          <w:bCs/>
          <w:szCs w:val="24"/>
        </w:rPr>
        <w:t xml:space="preserve">Kathleen </w:t>
      </w:r>
      <w:r w:rsidRPr="005655FD">
        <w:rPr>
          <w:rFonts w:ascii="Arial" w:hAnsi="Arial" w:cs="Arial"/>
          <w:b/>
          <w:bCs/>
          <w:szCs w:val="24"/>
        </w:rPr>
        <w:t xml:space="preserve">E. </w:t>
      </w:r>
      <w:r w:rsidRPr="005655FD">
        <w:rPr>
          <w:rFonts w:ascii="Arial" w:hAnsi="Arial" w:cs="Arial"/>
          <w:b/>
          <w:bCs/>
          <w:szCs w:val="24"/>
        </w:rPr>
        <w:t xml:space="preserve">Walsh </w:t>
      </w:r>
      <w:r w:rsidR="00AC7937" w:rsidRPr="00913A91">
        <w:rPr>
          <w:rFonts w:ascii="Arial" w:hAnsi="Arial" w:cs="Arial"/>
          <w:szCs w:val="24"/>
        </w:rPr>
        <w:t>Secretary</w:t>
      </w:r>
    </w:p>
    <w:p w14:paraId="04911862" w14:textId="77777777" w:rsidR="00AC7937" w:rsidRPr="00913A91" w:rsidRDefault="00AC7937" w:rsidP="00913A91">
      <w:pPr>
        <w:ind w:left="1530" w:right="720"/>
        <w:contextualSpacing/>
        <w:rPr>
          <w:rFonts w:ascii="Arial" w:hAnsi="Arial" w:cs="Arial"/>
          <w:szCs w:val="24"/>
        </w:rPr>
      </w:pPr>
    </w:p>
    <w:p w14:paraId="52FEDDB3" w14:textId="2C6BECBD" w:rsidR="00AC7937" w:rsidRPr="00FC1E56" w:rsidRDefault="00063885" w:rsidP="00913A91">
      <w:pPr>
        <w:ind w:left="1530" w:right="720"/>
        <w:contextualSpacing/>
        <w:rPr>
          <w:rFonts w:ascii="Arial" w:hAnsi="Arial" w:cs="Arial"/>
          <w:b/>
          <w:bCs/>
          <w:szCs w:val="24"/>
        </w:rPr>
      </w:pPr>
      <w:r w:rsidRPr="00FC1E56">
        <w:rPr>
          <w:rFonts w:ascii="Arial" w:hAnsi="Arial" w:cs="Arial"/>
          <w:b/>
          <w:bCs/>
          <w:szCs w:val="24"/>
        </w:rPr>
        <w:t>Robert Goldstein</w:t>
      </w:r>
      <w:r w:rsidR="00AC7937" w:rsidRPr="00FC1E56">
        <w:rPr>
          <w:rFonts w:ascii="Arial" w:hAnsi="Arial" w:cs="Arial"/>
          <w:b/>
          <w:bCs/>
          <w:szCs w:val="24"/>
        </w:rPr>
        <w:t>, MD, PhD</w:t>
      </w:r>
    </w:p>
    <w:p w14:paraId="2349E991" w14:textId="265CD908" w:rsidR="00AC7937" w:rsidRPr="00913A91" w:rsidRDefault="00AC7937" w:rsidP="00913A91">
      <w:pPr>
        <w:ind w:left="1530" w:right="720"/>
        <w:contextualSpacing/>
        <w:rPr>
          <w:rFonts w:ascii="Arial" w:hAnsi="Arial" w:cs="Arial"/>
          <w:szCs w:val="24"/>
        </w:rPr>
      </w:pPr>
      <w:r w:rsidRPr="00913A91">
        <w:rPr>
          <w:rFonts w:ascii="Arial" w:hAnsi="Arial" w:cs="Arial"/>
          <w:szCs w:val="24"/>
        </w:rPr>
        <w:t>Commissioner</w:t>
      </w:r>
    </w:p>
    <w:p w14:paraId="623E4052" w14:textId="77777777" w:rsidR="008E5521" w:rsidRDefault="008E5521" w:rsidP="00AC7937">
      <w:pPr>
        <w:rPr>
          <w:szCs w:val="24"/>
        </w:rPr>
      </w:pPr>
    </w:p>
    <w:p w14:paraId="78534573" w14:textId="77777777" w:rsidR="00FD6603" w:rsidRPr="00FD6603" w:rsidRDefault="00FD6603" w:rsidP="00FD6603">
      <w:pPr>
        <w:ind w:left="1530" w:right="720"/>
        <w:contextualSpacing/>
        <w:rPr>
          <w:rFonts w:ascii="Arial" w:hAnsi="Arial" w:cs="Arial"/>
          <w:szCs w:val="24"/>
        </w:rPr>
      </w:pPr>
      <w:r w:rsidRPr="00FD6603">
        <w:rPr>
          <w:rFonts w:ascii="Arial" w:hAnsi="Arial" w:cs="Arial"/>
          <w:szCs w:val="24"/>
        </w:rPr>
        <w:t>Tel: 617-624-6000</w:t>
      </w:r>
    </w:p>
    <w:p w14:paraId="67FDC148" w14:textId="2D9C48EF" w:rsidR="00FD6603" w:rsidRPr="00FD6603" w:rsidRDefault="00FD6603" w:rsidP="00FD6603">
      <w:pPr>
        <w:ind w:left="1530" w:right="720"/>
        <w:contextualSpacing/>
        <w:rPr>
          <w:rFonts w:ascii="Arial" w:hAnsi="Arial" w:cs="Arial"/>
          <w:szCs w:val="24"/>
        </w:rPr>
        <w:sectPr w:rsidR="00FD6603" w:rsidRPr="00FD6603" w:rsidSect="00716874">
          <w:type w:val="continuous"/>
          <w:pgSz w:w="12240" w:h="15840"/>
          <w:pgMar w:top="1380" w:right="260" w:bottom="1260" w:left="640" w:header="0" w:footer="1061" w:gutter="0"/>
          <w:cols w:num="2" w:space="720"/>
        </w:sectPr>
      </w:pPr>
      <w:r w:rsidRPr="00FD6603">
        <w:rPr>
          <w:rFonts w:ascii="Arial" w:hAnsi="Arial" w:cs="Arial"/>
          <w:szCs w:val="24"/>
        </w:rPr>
        <w:t>www.mass.gov/dph</w:t>
      </w:r>
    </w:p>
    <w:p w14:paraId="7FCCBA6D" w14:textId="77777777" w:rsidR="0005468D" w:rsidRPr="0005468D" w:rsidRDefault="0005468D" w:rsidP="00806568">
      <w:pPr>
        <w:pStyle w:val="BodyText"/>
        <w:ind w:right="1170"/>
      </w:pPr>
    </w:p>
    <w:p w14:paraId="44534032" w14:textId="77777777" w:rsidR="00B807A8" w:rsidRPr="00B807A8" w:rsidRDefault="00B807A8" w:rsidP="00B807A8">
      <w:pPr>
        <w:pStyle w:val="BodyText"/>
        <w:ind w:left="810" w:right="900"/>
        <w:rPr>
          <w:rFonts w:ascii="Aptos" w:hAnsi="Aptos"/>
        </w:rPr>
      </w:pPr>
      <w:r w:rsidRPr="00B807A8">
        <w:rPr>
          <w:rFonts w:ascii="Aptos" w:hAnsi="Aptos"/>
        </w:rPr>
        <w:t>December 8, 2025</w:t>
      </w:r>
    </w:p>
    <w:p w14:paraId="48D28918" w14:textId="77777777" w:rsidR="00B807A8" w:rsidRPr="00B807A8" w:rsidRDefault="00B807A8" w:rsidP="00B807A8">
      <w:pPr>
        <w:pStyle w:val="BodyText"/>
        <w:ind w:left="810" w:right="900"/>
        <w:rPr>
          <w:rFonts w:ascii="Aptos" w:hAnsi="Aptos"/>
        </w:rPr>
      </w:pPr>
    </w:p>
    <w:p w14:paraId="4FE229C5" w14:textId="77777777" w:rsidR="00B807A8" w:rsidRPr="00B807A8" w:rsidRDefault="00B807A8" w:rsidP="00B807A8">
      <w:pPr>
        <w:pStyle w:val="BodyText"/>
        <w:ind w:left="810" w:right="900"/>
        <w:rPr>
          <w:rFonts w:ascii="Aptos" w:hAnsi="Aptos"/>
        </w:rPr>
      </w:pPr>
      <w:r w:rsidRPr="00B807A8">
        <w:rPr>
          <w:rFonts w:ascii="Aptos" w:hAnsi="Aptos"/>
        </w:rPr>
        <w:t>Emily B. Kretchmer, Esq.</w:t>
      </w:r>
    </w:p>
    <w:p w14:paraId="3269526B" w14:textId="77777777" w:rsidR="00B807A8" w:rsidRPr="00B807A8" w:rsidRDefault="00B807A8" w:rsidP="00B807A8">
      <w:pPr>
        <w:pStyle w:val="BodyText"/>
        <w:ind w:left="810" w:right="900"/>
        <w:rPr>
          <w:rFonts w:ascii="Aptos" w:hAnsi="Aptos"/>
        </w:rPr>
      </w:pPr>
      <w:r w:rsidRPr="00B807A8">
        <w:rPr>
          <w:rFonts w:ascii="Aptos" w:hAnsi="Aptos"/>
        </w:rPr>
        <w:t>Krokidas &amp; Bluestein LLP</w:t>
      </w:r>
    </w:p>
    <w:p w14:paraId="0D8BA346" w14:textId="77777777" w:rsidR="00B807A8" w:rsidRPr="00B807A8" w:rsidRDefault="00B807A8" w:rsidP="00B807A8">
      <w:pPr>
        <w:pStyle w:val="BodyText"/>
        <w:ind w:left="810" w:right="900"/>
        <w:rPr>
          <w:rFonts w:ascii="Aptos" w:hAnsi="Aptos"/>
        </w:rPr>
      </w:pPr>
      <w:r w:rsidRPr="00B807A8">
        <w:rPr>
          <w:rFonts w:ascii="Aptos" w:hAnsi="Aptos"/>
        </w:rPr>
        <w:t>600 Atlantic Ave # 1900</w:t>
      </w:r>
    </w:p>
    <w:p w14:paraId="41036416" w14:textId="77777777" w:rsidR="00B807A8" w:rsidRPr="00B807A8" w:rsidRDefault="00B807A8" w:rsidP="00B807A8">
      <w:pPr>
        <w:pStyle w:val="BodyText"/>
        <w:ind w:left="810" w:right="900"/>
        <w:rPr>
          <w:rFonts w:ascii="Aptos" w:hAnsi="Aptos"/>
        </w:rPr>
      </w:pPr>
      <w:r w:rsidRPr="00B807A8">
        <w:rPr>
          <w:rFonts w:ascii="Aptos" w:hAnsi="Aptos"/>
        </w:rPr>
        <w:t>Boston, MA 02210</w:t>
      </w:r>
    </w:p>
    <w:p w14:paraId="298C05EB" w14:textId="77777777" w:rsidR="00A11EEE" w:rsidRDefault="00B807A8" w:rsidP="00B807A8">
      <w:pPr>
        <w:pStyle w:val="BodyText"/>
        <w:ind w:left="810" w:right="900"/>
        <w:rPr>
          <w:rFonts w:ascii="Aptos" w:hAnsi="Aptos"/>
        </w:rPr>
      </w:pPr>
      <w:r w:rsidRPr="00B807A8">
        <w:rPr>
          <w:rFonts w:ascii="Aptos" w:hAnsi="Aptos"/>
        </w:rPr>
        <w:t xml:space="preserve">VIA Email: </w:t>
      </w:r>
      <w:hyperlink r:id="rId12" w:history="1">
        <w:r w:rsidR="00A11EEE" w:rsidRPr="005C7C59">
          <w:rPr>
            <w:rStyle w:val="Hyperlink"/>
            <w:rFonts w:ascii="Aptos" w:hAnsi="Aptos"/>
          </w:rPr>
          <w:t>ekretchmer@kb-law.com</w:t>
        </w:r>
      </w:hyperlink>
      <w:r w:rsidR="00A11EEE">
        <w:rPr>
          <w:rFonts w:ascii="Aptos" w:hAnsi="Aptos"/>
        </w:rPr>
        <w:t xml:space="preserve"> </w:t>
      </w:r>
    </w:p>
    <w:p w14:paraId="3A23678D" w14:textId="6D748129" w:rsidR="00B807A8" w:rsidRPr="00B807A8" w:rsidRDefault="00B807A8" w:rsidP="00B807A8">
      <w:pPr>
        <w:pStyle w:val="BodyText"/>
        <w:ind w:left="810" w:right="900"/>
        <w:rPr>
          <w:rFonts w:ascii="Aptos" w:hAnsi="Aptos"/>
        </w:rPr>
      </w:pPr>
      <w:r w:rsidRPr="00B807A8">
        <w:rPr>
          <w:rFonts w:ascii="Aptos" w:hAnsi="Aptos"/>
        </w:rPr>
        <w:t xml:space="preserve"> </w:t>
      </w:r>
    </w:p>
    <w:p w14:paraId="7B48519A" w14:textId="77777777" w:rsidR="00B807A8" w:rsidRPr="00DB41EB" w:rsidRDefault="00B807A8" w:rsidP="00DB41EB">
      <w:pPr>
        <w:pStyle w:val="Heading1"/>
      </w:pPr>
      <w:r w:rsidRPr="00DB41EB">
        <w:t>RE: Notice of Transfer of Site Application # 25111516-TS</w:t>
      </w:r>
    </w:p>
    <w:p w14:paraId="58027FAB" w14:textId="77777777" w:rsidR="00A11EEE" w:rsidRPr="00B807A8" w:rsidRDefault="00A11EEE" w:rsidP="00B807A8">
      <w:pPr>
        <w:pStyle w:val="BodyText"/>
        <w:ind w:left="810" w:right="900"/>
        <w:rPr>
          <w:rFonts w:ascii="Aptos" w:hAnsi="Aptos"/>
        </w:rPr>
      </w:pPr>
    </w:p>
    <w:p w14:paraId="206F88CB" w14:textId="77777777" w:rsidR="00B807A8" w:rsidRDefault="00B807A8" w:rsidP="00B807A8">
      <w:pPr>
        <w:pStyle w:val="BodyText"/>
        <w:ind w:left="810" w:right="900"/>
        <w:rPr>
          <w:rFonts w:ascii="Aptos" w:hAnsi="Aptos"/>
        </w:rPr>
      </w:pPr>
      <w:r w:rsidRPr="00B807A8">
        <w:rPr>
          <w:rFonts w:ascii="Aptos" w:hAnsi="Aptos"/>
        </w:rPr>
        <w:t xml:space="preserve">Dear Attorney </w:t>
      </w:r>
      <w:proofErr w:type="spellStart"/>
      <w:r w:rsidRPr="00B807A8">
        <w:rPr>
          <w:rFonts w:ascii="Aptos" w:hAnsi="Aptos"/>
        </w:rPr>
        <w:t>Ktretchmer</w:t>
      </w:r>
      <w:proofErr w:type="spellEnd"/>
      <w:r w:rsidRPr="00B807A8">
        <w:rPr>
          <w:rFonts w:ascii="Aptos" w:hAnsi="Aptos"/>
        </w:rPr>
        <w:t>,</w:t>
      </w:r>
    </w:p>
    <w:p w14:paraId="60C35C12" w14:textId="77777777" w:rsidR="00A11EEE" w:rsidRPr="00B807A8" w:rsidRDefault="00A11EEE" w:rsidP="00B807A8">
      <w:pPr>
        <w:pStyle w:val="BodyText"/>
        <w:ind w:left="810" w:right="900"/>
        <w:rPr>
          <w:rFonts w:ascii="Aptos" w:hAnsi="Aptos"/>
        </w:rPr>
      </w:pPr>
    </w:p>
    <w:p w14:paraId="71DF935C" w14:textId="77777777" w:rsidR="00B807A8" w:rsidRPr="00B807A8" w:rsidRDefault="00B807A8" w:rsidP="00B807A8">
      <w:pPr>
        <w:pStyle w:val="BodyText"/>
        <w:ind w:left="810" w:right="900"/>
        <w:rPr>
          <w:rFonts w:ascii="Aptos" w:hAnsi="Aptos"/>
        </w:rPr>
      </w:pPr>
      <w:r w:rsidRPr="00B807A8">
        <w:rPr>
          <w:rFonts w:ascii="Aptos" w:hAnsi="Aptos"/>
        </w:rPr>
        <w:t xml:space="preserve">We are in receipt of the above-referenced Notice and its accompanying attachments, dated November 21, 2025, wherein Atrius Health, Inc. provided notice to the Department of Public Health (“the Department”) in accordance with 105 CMR 100.745 for a proposed transfer of site (“Proposed Transfer”) to move the Approved Project from 153 Second Avenue, Waltham, MA (the “Original Location”) to 1601 </w:t>
      </w:r>
      <w:proofErr w:type="spellStart"/>
      <w:r w:rsidRPr="00B807A8">
        <w:rPr>
          <w:rFonts w:ascii="Aptos" w:hAnsi="Aptos"/>
        </w:rPr>
        <w:t>Trapelo</w:t>
      </w:r>
      <w:proofErr w:type="spellEnd"/>
      <w:r w:rsidRPr="00B807A8">
        <w:rPr>
          <w:rFonts w:ascii="Aptos" w:hAnsi="Aptos"/>
        </w:rPr>
        <w:t xml:space="preserve"> Road, Waltham, MA (the “New Location”).  The proposed transfer of site involves the construction of a free-standing multi-specialty ambulatory surgery center 2.5 miles away from the location proposed in the original Determination of Need (“</w:t>
      </w:r>
      <w:proofErr w:type="spellStart"/>
      <w:r w:rsidRPr="00B807A8">
        <w:rPr>
          <w:rFonts w:ascii="Aptos" w:hAnsi="Aptos"/>
        </w:rPr>
        <w:t>DoN</w:t>
      </w:r>
      <w:proofErr w:type="spellEnd"/>
      <w:r w:rsidRPr="00B807A8">
        <w:rPr>
          <w:rFonts w:ascii="Aptos" w:hAnsi="Aptos"/>
        </w:rPr>
        <w:t>”) Application, approved on January 15, 2025.</w:t>
      </w:r>
    </w:p>
    <w:p w14:paraId="2925126E" w14:textId="77777777" w:rsidR="00B807A8" w:rsidRPr="00B807A8" w:rsidRDefault="00B807A8" w:rsidP="00B807A8">
      <w:pPr>
        <w:pStyle w:val="BodyText"/>
        <w:ind w:left="810" w:right="900"/>
        <w:rPr>
          <w:rFonts w:ascii="Aptos" w:hAnsi="Aptos"/>
        </w:rPr>
      </w:pPr>
    </w:p>
    <w:p w14:paraId="0E40CFEB" w14:textId="77777777" w:rsidR="00B807A8" w:rsidRPr="00A11EEE" w:rsidRDefault="00B807A8" w:rsidP="00B807A8">
      <w:pPr>
        <w:pStyle w:val="BodyText"/>
        <w:ind w:left="810" w:right="900"/>
        <w:rPr>
          <w:rFonts w:ascii="Aptos" w:hAnsi="Aptos"/>
          <w:b/>
          <w:bCs/>
        </w:rPr>
      </w:pPr>
      <w:r w:rsidRPr="00A11EEE">
        <w:rPr>
          <w:rFonts w:ascii="Aptos" w:hAnsi="Aptos"/>
          <w:b/>
          <w:bCs/>
        </w:rPr>
        <w:t>Reason for Request</w:t>
      </w:r>
    </w:p>
    <w:p w14:paraId="6775288F" w14:textId="77777777" w:rsidR="00B807A8" w:rsidRPr="00B807A8" w:rsidRDefault="00B807A8" w:rsidP="00B807A8">
      <w:pPr>
        <w:pStyle w:val="BodyText"/>
        <w:ind w:left="810" w:right="900"/>
        <w:rPr>
          <w:rFonts w:ascii="Aptos" w:hAnsi="Aptos"/>
        </w:rPr>
      </w:pPr>
      <w:r w:rsidRPr="00B807A8">
        <w:rPr>
          <w:rFonts w:ascii="Aptos" w:hAnsi="Aptos"/>
        </w:rPr>
        <w:t xml:space="preserve">Atrius Health, Inc. (“Atrius”) received a Notice of Final Action for </w:t>
      </w:r>
      <w:proofErr w:type="spellStart"/>
      <w:r w:rsidRPr="00B807A8">
        <w:rPr>
          <w:rFonts w:ascii="Aptos" w:hAnsi="Aptos"/>
        </w:rPr>
        <w:t>DoN</w:t>
      </w:r>
      <w:proofErr w:type="spellEnd"/>
      <w:r w:rsidRPr="00B807A8">
        <w:rPr>
          <w:rFonts w:ascii="Aptos" w:hAnsi="Aptos"/>
        </w:rPr>
        <w:t xml:space="preserve"> Application 24061110-AS on January 15, </w:t>
      </w:r>
      <w:proofErr w:type="gramStart"/>
      <w:r w:rsidRPr="00B807A8">
        <w:rPr>
          <w:rFonts w:ascii="Aptos" w:hAnsi="Aptos"/>
        </w:rPr>
        <w:t>2025</w:t>
      </w:r>
      <w:proofErr w:type="gramEnd"/>
      <w:r w:rsidRPr="00B807A8">
        <w:rPr>
          <w:rFonts w:ascii="Aptos" w:hAnsi="Aptos"/>
        </w:rPr>
        <w:t xml:space="preserve"> to construct a free-standing multi-specialty ambulatory surgery center at 153 Second Avenue, Waltham, MA (the “Approved Project”). In June 2025, Atrius learned that its landlord had leased the Original Location to another tenant, despite having a binding agreement with the Atrius. The Holder secured a substantially similar lease in the </w:t>
      </w:r>
      <w:r w:rsidRPr="00B807A8">
        <w:rPr>
          <w:rFonts w:ascii="Aptos" w:hAnsi="Aptos"/>
        </w:rPr>
        <w:lastRenderedPageBreak/>
        <w:t xml:space="preserve">same service area, with the New Location 2.5 miles away from the Original Location. In compliance with the requirements set forth at 105 CMR 100.745(D) the Applicant provided the following information </w:t>
      </w:r>
      <w:proofErr w:type="gramStart"/>
      <w:r w:rsidRPr="00B807A8">
        <w:rPr>
          <w:rFonts w:ascii="Aptos" w:hAnsi="Aptos"/>
        </w:rPr>
        <w:t>relative</w:t>
      </w:r>
      <w:proofErr w:type="gramEnd"/>
      <w:r w:rsidRPr="00B807A8">
        <w:rPr>
          <w:rFonts w:ascii="Aptos" w:hAnsi="Aptos"/>
        </w:rPr>
        <w:t xml:space="preserve"> to the transfer of site request:</w:t>
      </w:r>
    </w:p>
    <w:p w14:paraId="14A1ED03" w14:textId="77777777" w:rsidR="00B807A8" w:rsidRPr="00B807A8" w:rsidRDefault="00B807A8" w:rsidP="00B807A8">
      <w:pPr>
        <w:pStyle w:val="BodyText"/>
        <w:ind w:left="810" w:right="900"/>
        <w:rPr>
          <w:rFonts w:ascii="Aptos" w:hAnsi="Aptos"/>
        </w:rPr>
      </w:pPr>
    </w:p>
    <w:p w14:paraId="230E579F" w14:textId="77777777" w:rsidR="00B807A8" w:rsidRPr="00B807A8" w:rsidRDefault="00B807A8" w:rsidP="00B807A8">
      <w:pPr>
        <w:pStyle w:val="BodyText"/>
        <w:ind w:left="810" w:right="900"/>
        <w:rPr>
          <w:rFonts w:ascii="Aptos" w:hAnsi="Aptos"/>
        </w:rPr>
      </w:pPr>
      <w:r w:rsidRPr="00B807A8">
        <w:rPr>
          <w:rFonts w:ascii="Aptos" w:hAnsi="Aptos"/>
        </w:rPr>
        <w:t>1.</w:t>
      </w:r>
      <w:r w:rsidRPr="00B807A8">
        <w:rPr>
          <w:rFonts w:ascii="Aptos" w:hAnsi="Aptos"/>
        </w:rPr>
        <w:tab/>
        <w:t xml:space="preserve">Gross Square Feet (“GSF”) - The New Location is 26,658 gross square feet. This is 4,658 square feet larger than the Original Location, which was 22,000 gross square feet.     </w:t>
      </w:r>
    </w:p>
    <w:p w14:paraId="784425D5" w14:textId="77777777" w:rsidR="00B807A8" w:rsidRPr="00B807A8" w:rsidRDefault="00B807A8" w:rsidP="00B807A8">
      <w:pPr>
        <w:pStyle w:val="BodyText"/>
        <w:ind w:left="810" w:right="900"/>
        <w:rPr>
          <w:rFonts w:ascii="Aptos" w:hAnsi="Aptos"/>
        </w:rPr>
      </w:pPr>
    </w:p>
    <w:p w14:paraId="696C499F" w14:textId="21B30874" w:rsidR="00B807A8" w:rsidRPr="00B807A8" w:rsidRDefault="00B807A8" w:rsidP="00B807A8">
      <w:pPr>
        <w:pStyle w:val="BodyText"/>
        <w:ind w:left="810" w:right="900"/>
        <w:rPr>
          <w:rFonts w:ascii="Aptos" w:hAnsi="Aptos"/>
        </w:rPr>
      </w:pPr>
      <w:r w:rsidRPr="00B807A8">
        <w:rPr>
          <w:rFonts w:ascii="Aptos" w:hAnsi="Aptos"/>
        </w:rPr>
        <w:t>2.</w:t>
      </w:r>
      <w:r w:rsidRPr="00B807A8">
        <w:rPr>
          <w:rFonts w:ascii="Aptos" w:hAnsi="Aptos"/>
        </w:rPr>
        <w:tab/>
        <w:t>Primary Service Area (“PSA”) Towns Served - The New Location will serve the same towns as detailed in the Approved Project</w:t>
      </w:r>
      <w:r w:rsidR="0015319D">
        <w:rPr>
          <w:rStyle w:val="FootnoteReference"/>
          <w:rFonts w:ascii="Aptos" w:hAnsi="Aptos"/>
        </w:rPr>
        <w:footnoteReference w:id="1"/>
      </w:r>
      <w:r w:rsidRPr="00B807A8">
        <w:rPr>
          <w:rFonts w:ascii="Aptos" w:hAnsi="Aptos"/>
        </w:rPr>
        <w:t xml:space="preserve">.  </w:t>
      </w:r>
    </w:p>
    <w:p w14:paraId="7A5152AB" w14:textId="77777777" w:rsidR="00B807A8" w:rsidRPr="00B807A8" w:rsidRDefault="00B807A8" w:rsidP="00B807A8">
      <w:pPr>
        <w:pStyle w:val="BodyText"/>
        <w:ind w:left="810" w:right="900"/>
        <w:rPr>
          <w:rFonts w:ascii="Aptos" w:hAnsi="Aptos"/>
        </w:rPr>
      </w:pPr>
    </w:p>
    <w:p w14:paraId="1CDD5845" w14:textId="77777777" w:rsidR="00B807A8" w:rsidRPr="00B807A8" w:rsidRDefault="00B807A8" w:rsidP="00B807A8">
      <w:pPr>
        <w:pStyle w:val="BodyText"/>
        <w:ind w:left="810" w:right="900"/>
        <w:rPr>
          <w:rFonts w:ascii="Aptos" w:hAnsi="Aptos"/>
        </w:rPr>
      </w:pPr>
      <w:r w:rsidRPr="00B807A8">
        <w:rPr>
          <w:rFonts w:ascii="Aptos" w:hAnsi="Aptos"/>
        </w:rPr>
        <w:t>3.</w:t>
      </w:r>
      <w:r w:rsidRPr="00B807A8">
        <w:rPr>
          <w:rFonts w:ascii="Aptos" w:hAnsi="Aptos"/>
        </w:rPr>
        <w:tab/>
        <w:t>Patient Population Demographics – Patient population demographics remain the same as detailed in the Approved Project from January 2025.</w:t>
      </w:r>
    </w:p>
    <w:p w14:paraId="72900324" w14:textId="77777777" w:rsidR="00B807A8" w:rsidRPr="00B807A8" w:rsidRDefault="00B807A8" w:rsidP="00B807A8">
      <w:pPr>
        <w:pStyle w:val="BodyText"/>
        <w:ind w:left="810" w:right="900"/>
        <w:rPr>
          <w:rFonts w:ascii="Aptos" w:hAnsi="Aptos"/>
        </w:rPr>
      </w:pPr>
    </w:p>
    <w:p w14:paraId="19D55F23" w14:textId="77777777" w:rsidR="00B807A8" w:rsidRPr="00B807A8" w:rsidRDefault="00B807A8" w:rsidP="00B807A8">
      <w:pPr>
        <w:pStyle w:val="BodyText"/>
        <w:ind w:left="810" w:right="900"/>
        <w:rPr>
          <w:rFonts w:ascii="Aptos" w:hAnsi="Aptos"/>
        </w:rPr>
      </w:pPr>
      <w:r w:rsidRPr="00B807A8">
        <w:rPr>
          <w:rFonts w:ascii="Aptos" w:hAnsi="Aptos"/>
        </w:rPr>
        <w:t>4.</w:t>
      </w:r>
      <w:r w:rsidRPr="00B807A8">
        <w:rPr>
          <w:rFonts w:ascii="Aptos" w:hAnsi="Aptos"/>
        </w:rPr>
        <w:tab/>
        <w:t>Patient Access – The New Location will include the six operating rooms described in the Approved Project, where Atrius surgeons will provide the same mix of approved surgical services – otorhinolaryngology (“ENT”), general surgery, OB/GYN, orthopedics and podiatry. The New Location is a central location with proximity to major access routes that is within a 30-minute drive for over 70% of Atrius patients needing surgery.</w:t>
      </w:r>
    </w:p>
    <w:p w14:paraId="29AF7A4A" w14:textId="77777777" w:rsidR="00B807A8" w:rsidRPr="00B807A8" w:rsidRDefault="00B807A8" w:rsidP="00B807A8">
      <w:pPr>
        <w:pStyle w:val="BodyText"/>
        <w:ind w:left="810" w:right="900"/>
        <w:rPr>
          <w:rFonts w:ascii="Aptos" w:hAnsi="Aptos"/>
        </w:rPr>
      </w:pPr>
    </w:p>
    <w:p w14:paraId="4BF321AE" w14:textId="77777777" w:rsidR="00B807A8" w:rsidRPr="00B807A8" w:rsidRDefault="00B807A8" w:rsidP="00B807A8">
      <w:pPr>
        <w:pStyle w:val="BodyText"/>
        <w:ind w:left="810" w:right="900"/>
        <w:rPr>
          <w:rFonts w:ascii="Aptos" w:hAnsi="Aptos"/>
        </w:rPr>
      </w:pPr>
      <w:r w:rsidRPr="00B807A8">
        <w:rPr>
          <w:rFonts w:ascii="Aptos" w:hAnsi="Aptos"/>
        </w:rPr>
        <w:t>5.</w:t>
      </w:r>
      <w:r w:rsidRPr="00B807A8">
        <w:rPr>
          <w:rFonts w:ascii="Aptos" w:hAnsi="Aptos"/>
        </w:rPr>
        <w:tab/>
        <w:t xml:space="preserve">Impact on Price – Atrius states there will be no impact on price, nor any change in contracts or in payor reimbursement </w:t>
      </w:r>
      <w:proofErr w:type="gramStart"/>
      <w:r w:rsidRPr="00B807A8">
        <w:rPr>
          <w:rFonts w:ascii="Aptos" w:hAnsi="Aptos"/>
        </w:rPr>
        <w:t>as a result of</w:t>
      </w:r>
      <w:proofErr w:type="gramEnd"/>
      <w:r w:rsidRPr="00B807A8">
        <w:rPr>
          <w:rFonts w:ascii="Aptos" w:hAnsi="Aptos"/>
        </w:rPr>
        <w:t xml:space="preserve"> the Proposed Transfer.</w:t>
      </w:r>
    </w:p>
    <w:p w14:paraId="495FDDE9" w14:textId="77777777" w:rsidR="00B807A8" w:rsidRPr="00B807A8" w:rsidRDefault="00B807A8" w:rsidP="00B807A8">
      <w:pPr>
        <w:pStyle w:val="BodyText"/>
        <w:ind w:left="810" w:right="900"/>
        <w:rPr>
          <w:rFonts w:ascii="Aptos" w:hAnsi="Aptos"/>
        </w:rPr>
      </w:pPr>
    </w:p>
    <w:p w14:paraId="7DD11B58" w14:textId="77777777" w:rsidR="00B807A8" w:rsidRPr="00B807A8" w:rsidRDefault="00B807A8" w:rsidP="00B807A8">
      <w:pPr>
        <w:pStyle w:val="BodyText"/>
        <w:ind w:left="810" w:right="900"/>
        <w:rPr>
          <w:rFonts w:ascii="Aptos" w:hAnsi="Aptos"/>
        </w:rPr>
      </w:pPr>
      <w:r w:rsidRPr="00B807A8">
        <w:rPr>
          <w:rFonts w:ascii="Aptos" w:hAnsi="Aptos"/>
        </w:rPr>
        <w:t>6.</w:t>
      </w:r>
      <w:r w:rsidRPr="00B807A8">
        <w:rPr>
          <w:rFonts w:ascii="Aptos" w:hAnsi="Aptos"/>
        </w:rPr>
        <w:tab/>
        <w:t xml:space="preserve">Total Medical Expenditure (“TME”) – Atrius asserts that the change in location will not have a negative impact on TME and that there is no change in TME from the Approved Project. The Applicant notes that the change in the capital expenditure due to the proposed transfer is immaterial, as it results in an increase in less than 10% of the inflation adjusted originally approved total expenditure.  </w:t>
      </w:r>
    </w:p>
    <w:p w14:paraId="5A12E7CB" w14:textId="77777777" w:rsidR="00B807A8" w:rsidRPr="00B807A8" w:rsidRDefault="00B807A8" w:rsidP="00B807A8">
      <w:pPr>
        <w:pStyle w:val="BodyText"/>
        <w:ind w:left="810" w:right="900"/>
        <w:rPr>
          <w:rFonts w:ascii="Aptos" w:hAnsi="Aptos"/>
        </w:rPr>
      </w:pPr>
    </w:p>
    <w:p w14:paraId="22533515" w14:textId="501D1B1D" w:rsidR="00B807A8" w:rsidRPr="00A424D4" w:rsidRDefault="00536ACA" w:rsidP="00B807A8">
      <w:pPr>
        <w:pStyle w:val="BodyText"/>
        <w:ind w:left="810" w:right="900"/>
        <w:rPr>
          <w:rFonts w:ascii="Aptos" w:hAnsi="Aptos"/>
          <w:b/>
          <w:bCs/>
        </w:rPr>
      </w:pPr>
      <w:r w:rsidRPr="00A424D4">
        <w:rPr>
          <w:rFonts w:ascii="Aptos" w:hAnsi="Aptos"/>
          <w:b/>
          <w:bCs/>
        </w:rPr>
        <w:t>Findings</w:t>
      </w:r>
    </w:p>
    <w:p w14:paraId="6D283467" w14:textId="77777777" w:rsidR="00B807A8" w:rsidRPr="00B807A8" w:rsidRDefault="00B807A8" w:rsidP="00B807A8">
      <w:pPr>
        <w:pStyle w:val="BodyText"/>
        <w:ind w:left="810" w:right="900"/>
        <w:rPr>
          <w:rFonts w:ascii="Aptos" w:hAnsi="Aptos"/>
        </w:rPr>
      </w:pPr>
      <w:r w:rsidRPr="00B807A8">
        <w:rPr>
          <w:rFonts w:ascii="Aptos" w:hAnsi="Aptos"/>
        </w:rPr>
        <w:t xml:space="preserve">The Department finds that Atrius has provided the Department with the information required in 105 CMR 100.745(D). Based on a review of the Notice and supporting materials, the Department finds that this transaction does not require a </w:t>
      </w:r>
      <w:proofErr w:type="spellStart"/>
      <w:r w:rsidRPr="00B807A8">
        <w:rPr>
          <w:rFonts w:ascii="Aptos" w:hAnsi="Aptos"/>
        </w:rPr>
        <w:t>DoN</w:t>
      </w:r>
      <w:proofErr w:type="spellEnd"/>
      <w:r w:rsidRPr="00B807A8">
        <w:rPr>
          <w:rFonts w:ascii="Aptos" w:hAnsi="Aptos"/>
        </w:rPr>
        <w:t xml:space="preserve"> either as a Substantial Capital Expenditure or Substantial Change in Service, pursuant to 105 CMR 100.715, and that Atrius may move forward with the proposed change in location for the ASC. </w:t>
      </w:r>
    </w:p>
    <w:p w14:paraId="3A6F4216" w14:textId="77777777" w:rsidR="00B807A8" w:rsidRPr="00B807A8" w:rsidRDefault="00B807A8" w:rsidP="00B807A8">
      <w:pPr>
        <w:pStyle w:val="BodyText"/>
        <w:ind w:left="810" w:right="900"/>
        <w:rPr>
          <w:rFonts w:ascii="Aptos" w:hAnsi="Aptos"/>
        </w:rPr>
      </w:pPr>
    </w:p>
    <w:p w14:paraId="59472AC5" w14:textId="77777777" w:rsidR="00B807A8" w:rsidRPr="00B807A8" w:rsidRDefault="00B807A8" w:rsidP="00B807A8">
      <w:pPr>
        <w:pStyle w:val="BodyText"/>
        <w:ind w:left="810" w:right="900"/>
        <w:rPr>
          <w:rFonts w:ascii="Aptos" w:hAnsi="Aptos"/>
        </w:rPr>
      </w:pPr>
      <w:r w:rsidRPr="00B807A8">
        <w:rPr>
          <w:rFonts w:ascii="Aptos" w:hAnsi="Aptos"/>
        </w:rPr>
        <w:t xml:space="preserve">Sincerely, </w:t>
      </w:r>
    </w:p>
    <w:p w14:paraId="1A40AD2C" w14:textId="77777777" w:rsidR="00B807A8" w:rsidRPr="00B807A8" w:rsidRDefault="00B807A8" w:rsidP="00B807A8">
      <w:pPr>
        <w:pStyle w:val="BodyText"/>
        <w:ind w:left="810" w:right="900"/>
        <w:rPr>
          <w:rFonts w:ascii="Aptos" w:hAnsi="Aptos"/>
        </w:rPr>
      </w:pPr>
    </w:p>
    <w:p w14:paraId="3E403026" w14:textId="77777777" w:rsidR="00B807A8" w:rsidRPr="00B807A8" w:rsidRDefault="00B807A8" w:rsidP="00B807A8">
      <w:pPr>
        <w:pStyle w:val="BodyText"/>
        <w:ind w:left="810" w:right="900"/>
        <w:rPr>
          <w:rFonts w:ascii="Aptos" w:hAnsi="Aptos"/>
        </w:rPr>
      </w:pPr>
      <w:r w:rsidRPr="00B807A8">
        <w:rPr>
          <w:rFonts w:ascii="Aptos" w:hAnsi="Aptos"/>
        </w:rPr>
        <w:t>Robert Goldstein, MD, PhD</w:t>
      </w:r>
    </w:p>
    <w:p w14:paraId="11502898" w14:textId="3F84005D" w:rsidR="00063885" w:rsidRPr="00063885" w:rsidRDefault="00B807A8" w:rsidP="00B807A8">
      <w:pPr>
        <w:pStyle w:val="BodyText"/>
        <w:ind w:left="810" w:right="900"/>
        <w:rPr>
          <w:rFonts w:ascii="Aptos" w:hAnsi="Aptos"/>
        </w:rPr>
      </w:pPr>
      <w:r w:rsidRPr="00B807A8">
        <w:rPr>
          <w:rFonts w:ascii="Aptos" w:hAnsi="Aptos"/>
        </w:rPr>
        <w:t>Commissioner, Massachusetts Department of Public Health</w:t>
      </w:r>
    </w:p>
    <w:sectPr w:rsidR="00063885" w:rsidRPr="00063885" w:rsidSect="00063885">
      <w:type w:val="continuous"/>
      <w:pgSz w:w="12240" w:h="15840"/>
      <w:pgMar w:top="1360" w:right="260" w:bottom="1260" w:left="64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1933" w14:textId="77777777" w:rsidR="001268AF" w:rsidRDefault="001268AF">
      <w:r>
        <w:separator/>
      </w:r>
    </w:p>
  </w:endnote>
  <w:endnote w:type="continuationSeparator" w:id="0">
    <w:p w14:paraId="30D07F84" w14:textId="77777777" w:rsidR="001268AF" w:rsidRDefault="0012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729947"/>
      <w:docPartObj>
        <w:docPartGallery w:val="Page Numbers (Bottom of Page)"/>
        <w:docPartUnique/>
      </w:docPartObj>
    </w:sdtPr>
    <w:sdtEndPr>
      <w:rPr>
        <w:noProof/>
      </w:rPr>
    </w:sdtEndPr>
    <w:sdtContent>
      <w:p w14:paraId="37FBBEA8" w14:textId="678D4467" w:rsidR="00D90CD9" w:rsidRDefault="00D90CD9">
        <w:pPr>
          <w:pStyle w:val="Footer"/>
          <w:jc w:val="center"/>
        </w:pPr>
        <w:r w:rsidRPr="00D90CD9">
          <w:rPr>
            <w:rFonts w:ascii="Aptos" w:hAnsi="Aptos"/>
          </w:rPr>
          <w:fldChar w:fldCharType="begin"/>
        </w:r>
        <w:r w:rsidRPr="00D90CD9">
          <w:rPr>
            <w:rFonts w:ascii="Aptos" w:hAnsi="Aptos"/>
          </w:rPr>
          <w:instrText xml:space="preserve"> PAGE   \* MERGEFORMAT </w:instrText>
        </w:r>
        <w:r w:rsidRPr="00D90CD9">
          <w:rPr>
            <w:rFonts w:ascii="Aptos" w:hAnsi="Aptos"/>
          </w:rPr>
          <w:fldChar w:fldCharType="separate"/>
        </w:r>
        <w:r w:rsidRPr="00D90CD9">
          <w:rPr>
            <w:rFonts w:ascii="Aptos" w:hAnsi="Aptos"/>
            <w:noProof/>
          </w:rPr>
          <w:t>2</w:t>
        </w:r>
        <w:r w:rsidRPr="00D90CD9">
          <w:rPr>
            <w:rFonts w:ascii="Aptos" w:hAnsi="Aptos"/>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A08A" w14:textId="77777777" w:rsidR="001268AF" w:rsidRDefault="001268AF">
      <w:r>
        <w:separator/>
      </w:r>
    </w:p>
  </w:footnote>
  <w:footnote w:type="continuationSeparator" w:id="0">
    <w:p w14:paraId="000302FD" w14:textId="77777777" w:rsidR="001268AF" w:rsidRDefault="001268AF">
      <w:r>
        <w:continuationSeparator/>
      </w:r>
    </w:p>
  </w:footnote>
  <w:footnote w:id="1">
    <w:p w14:paraId="6C5804CF" w14:textId="48B0C056" w:rsidR="0015319D" w:rsidRPr="00030979" w:rsidRDefault="0015319D">
      <w:pPr>
        <w:pStyle w:val="FootnoteText"/>
        <w:rPr>
          <w:rFonts w:ascii="Aptos" w:hAnsi="Aptos"/>
        </w:rPr>
      </w:pPr>
      <w:r w:rsidRPr="00030979">
        <w:rPr>
          <w:rStyle w:val="FootnoteReference"/>
          <w:rFonts w:ascii="Aptos" w:hAnsi="Aptos"/>
        </w:rPr>
        <w:footnoteRef/>
      </w:r>
      <w:r w:rsidRPr="00030979">
        <w:rPr>
          <w:rFonts w:ascii="Aptos" w:hAnsi="Aptos"/>
        </w:rPr>
        <w:t xml:space="preserve"> </w:t>
      </w:r>
      <w:hyperlink r:id="rId1" w:history="1">
        <w:r w:rsidR="00E36368" w:rsidRPr="00030979">
          <w:rPr>
            <w:rStyle w:val="Hyperlink"/>
            <w:rFonts w:ascii="Aptos" w:hAnsi="Aptos"/>
          </w:rPr>
          <w:t>Details of the Approved Project</w:t>
        </w:r>
      </w:hyperlink>
      <w:r w:rsidR="00E36368" w:rsidRPr="00030979">
        <w:rPr>
          <w:rFonts w:ascii="Aptos" w:hAnsi="Aptos"/>
        </w:rPr>
        <w:t xml:space="preserve"> can be found at</w:t>
      </w:r>
      <w:r w:rsidR="00E36368" w:rsidRPr="00030979">
        <w:rPr>
          <w:rFonts w:ascii="Aptos" w:hAnsi="Aptos"/>
          <w:color w:val="2F5496" w:themeColor="accent1" w:themeShade="B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0DD2577C"/>
    <w:multiLevelType w:val="hybridMultilevel"/>
    <w:tmpl w:val="73726834"/>
    <w:lvl w:ilvl="0" w:tplc="5224A9B2">
      <w:start w:val="1"/>
      <w:numFmt w:val="decimal"/>
      <w:lvlText w:val="%1."/>
      <w:lvlJc w:val="left"/>
      <w:pPr>
        <w:ind w:left="1160" w:hanging="360"/>
      </w:pPr>
      <w:rPr>
        <w:rFonts w:hint="default"/>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4" w15:restartNumberingAfterBreak="0">
    <w:nsid w:val="119A621E"/>
    <w:multiLevelType w:val="hybridMultilevel"/>
    <w:tmpl w:val="AF5285B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 w15:restartNumberingAfterBreak="0">
    <w:nsid w:val="198E2114"/>
    <w:multiLevelType w:val="hybridMultilevel"/>
    <w:tmpl w:val="808AB2EE"/>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478383E"/>
    <w:multiLevelType w:val="hybridMultilevel"/>
    <w:tmpl w:val="A6C08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14F8B"/>
    <w:multiLevelType w:val="hybridMultilevel"/>
    <w:tmpl w:val="8BA26736"/>
    <w:lvl w:ilvl="0" w:tplc="0D526A5E">
      <w:start w:val="2"/>
      <w:numFmt w:val="decimal"/>
      <w:lvlText w:val="%1."/>
      <w:lvlJc w:val="left"/>
      <w:pPr>
        <w:ind w:left="6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6DE8268">
      <w:start w:val="1"/>
      <w:numFmt w:val="lowerLetter"/>
      <w:lvlText w:val="%2."/>
      <w:lvlJc w:val="left"/>
      <w:pPr>
        <w:ind w:left="1361"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2" w:tplc="673E22AA">
      <w:numFmt w:val="bullet"/>
      <w:lvlText w:val="•"/>
      <w:lvlJc w:val="left"/>
      <w:pPr>
        <w:ind w:left="2368" w:hanging="420"/>
      </w:pPr>
      <w:rPr>
        <w:rFonts w:hint="default"/>
        <w:lang w:val="en-US" w:eastAsia="en-US" w:bidi="ar-SA"/>
      </w:rPr>
    </w:lvl>
    <w:lvl w:ilvl="3" w:tplc="4502E216">
      <w:numFmt w:val="bullet"/>
      <w:lvlText w:val="•"/>
      <w:lvlJc w:val="left"/>
      <w:pPr>
        <w:ind w:left="3377" w:hanging="420"/>
      </w:pPr>
      <w:rPr>
        <w:rFonts w:hint="default"/>
        <w:lang w:val="en-US" w:eastAsia="en-US" w:bidi="ar-SA"/>
      </w:rPr>
    </w:lvl>
    <w:lvl w:ilvl="4" w:tplc="29642BB2">
      <w:numFmt w:val="bullet"/>
      <w:lvlText w:val="•"/>
      <w:lvlJc w:val="left"/>
      <w:pPr>
        <w:ind w:left="4386" w:hanging="420"/>
      </w:pPr>
      <w:rPr>
        <w:rFonts w:hint="default"/>
        <w:lang w:val="en-US" w:eastAsia="en-US" w:bidi="ar-SA"/>
      </w:rPr>
    </w:lvl>
    <w:lvl w:ilvl="5" w:tplc="D2C443B6">
      <w:numFmt w:val="bullet"/>
      <w:lvlText w:val="•"/>
      <w:lvlJc w:val="left"/>
      <w:pPr>
        <w:ind w:left="5395" w:hanging="420"/>
      </w:pPr>
      <w:rPr>
        <w:rFonts w:hint="default"/>
        <w:lang w:val="en-US" w:eastAsia="en-US" w:bidi="ar-SA"/>
      </w:rPr>
    </w:lvl>
    <w:lvl w:ilvl="6" w:tplc="01FECF02">
      <w:numFmt w:val="bullet"/>
      <w:lvlText w:val="•"/>
      <w:lvlJc w:val="left"/>
      <w:pPr>
        <w:ind w:left="6404" w:hanging="420"/>
      </w:pPr>
      <w:rPr>
        <w:rFonts w:hint="default"/>
        <w:lang w:val="en-US" w:eastAsia="en-US" w:bidi="ar-SA"/>
      </w:rPr>
    </w:lvl>
    <w:lvl w:ilvl="7" w:tplc="13983662">
      <w:numFmt w:val="bullet"/>
      <w:lvlText w:val="•"/>
      <w:lvlJc w:val="left"/>
      <w:pPr>
        <w:ind w:left="7413" w:hanging="420"/>
      </w:pPr>
      <w:rPr>
        <w:rFonts w:hint="default"/>
        <w:lang w:val="en-US" w:eastAsia="en-US" w:bidi="ar-SA"/>
      </w:rPr>
    </w:lvl>
    <w:lvl w:ilvl="8" w:tplc="9A02CB9C">
      <w:numFmt w:val="bullet"/>
      <w:lvlText w:val="•"/>
      <w:lvlJc w:val="left"/>
      <w:pPr>
        <w:ind w:left="8422" w:hanging="420"/>
      </w:pPr>
      <w:rPr>
        <w:rFonts w:hint="default"/>
        <w:lang w:val="en-US" w:eastAsia="en-US" w:bidi="ar-SA"/>
      </w:rPr>
    </w:lvl>
  </w:abstractNum>
  <w:abstractNum w:abstractNumId="10"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3" w15:restartNumberingAfterBreak="0">
    <w:nsid w:val="325C2A15"/>
    <w:multiLevelType w:val="hybridMultilevel"/>
    <w:tmpl w:val="25E06E26"/>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36D67340"/>
    <w:multiLevelType w:val="hybridMultilevel"/>
    <w:tmpl w:val="75BE6250"/>
    <w:lvl w:ilvl="0" w:tplc="27705312">
      <w:start w:val="1"/>
      <w:numFmt w:val="decimal"/>
      <w:lvlText w:val="%1."/>
      <w:lvlJc w:val="left"/>
      <w:pPr>
        <w:ind w:left="1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7"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4301608"/>
    <w:multiLevelType w:val="hybridMultilevel"/>
    <w:tmpl w:val="BD4EF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6651B"/>
    <w:multiLevelType w:val="hybridMultilevel"/>
    <w:tmpl w:val="295C2B9A"/>
    <w:lvl w:ilvl="0" w:tplc="10B2D864">
      <w:start w:val="1"/>
      <w:numFmt w:val="lowerLetter"/>
      <w:lvlText w:val="%1."/>
      <w:lvlJc w:val="left"/>
      <w:pPr>
        <w:ind w:left="136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13ED666">
      <w:start w:val="1"/>
      <w:numFmt w:val="lowerRoman"/>
      <w:lvlText w:val="%2."/>
      <w:lvlJc w:val="left"/>
      <w:pPr>
        <w:ind w:left="208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A4865710">
      <w:numFmt w:val="bullet"/>
      <w:lvlText w:val="•"/>
      <w:lvlJc w:val="left"/>
      <w:pPr>
        <w:ind w:left="3008" w:hanging="308"/>
      </w:pPr>
      <w:rPr>
        <w:rFonts w:hint="default"/>
        <w:lang w:val="en-US" w:eastAsia="en-US" w:bidi="ar-SA"/>
      </w:rPr>
    </w:lvl>
    <w:lvl w:ilvl="3" w:tplc="8E3641B4">
      <w:numFmt w:val="bullet"/>
      <w:lvlText w:val="•"/>
      <w:lvlJc w:val="left"/>
      <w:pPr>
        <w:ind w:left="3937" w:hanging="308"/>
      </w:pPr>
      <w:rPr>
        <w:rFonts w:hint="default"/>
        <w:lang w:val="en-US" w:eastAsia="en-US" w:bidi="ar-SA"/>
      </w:rPr>
    </w:lvl>
    <w:lvl w:ilvl="4" w:tplc="0DDAA740">
      <w:numFmt w:val="bullet"/>
      <w:lvlText w:val="•"/>
      <w:lvlJc w:val="left"/>
      <w:pPr>
        <w:ind w:left="4866" w:hanging="308"/>
      </w:pPr>
      <w:rPr>
        <w:rFonts w:hint="default"/>
        <w:lang w:val="en-US" w:eastAsia="en-US" w:bidi="ar-SA"/>
      </w:rPr>
    </w:lvl>
    <w:lvl w:ilvl="5" w:tplc="C690373C">
      <w:numFmt w:val="bullet"/>
      <w:lvlText w:val="•"/>
      <w:lvlJc w:val="left"/>
      <w:pPr>
        <w:ind w:left="5795" w:hanging="308"/>
      </w:pPr>
      <w:rPr>
        <w:rFonts w:hint="default"/>
        <w:lang w:val="en-US" w:eastAsia="en-US" w:bidi="ar-SA"/>
      </w:rPr>
    </w:lvl>
    <w:lvl w:ilvl="6" w:tplc="77742B5E">
      <w:numFmt w:val="bullet"/>
      <w:lvlText w:val="•"/>
      <w:lvlJc w:val="left"/>
      <w:pPr>
        <w:ind w:left="6724" w:hanging="308"/>
      </w:pPr>
      <w:rPr>
        <w:rFonts w:hint="default"/>
        <w:lang w:val="en-US" w:eastAsia="en-US" w:bidi="ar-SA"/>
      </w:rPr>
    </w:lvl>
    <w:lvl w:ilvl="7" w:tplc="F9967726">
      <w:numFmt w:val="bullet"/>
      <w:lvlText w:val="•"/>
      <w:lvlJc w:val="left"/>
      <w:pPr>
        <w:ind w:left="7653" w:hanging="308"/>
      </w:pPr>
      <w:rPr>
        <w:rFonts w:hint="default"/>
        <w:lang w:val="en-US" w:eastAsia="en-US" w:bidi="ar-SA"/>
      </w:rPr>
    </w:lvl>
    <w:lvl w:ilvl="8" w:tplc="7F1A6E6A">
      <w:numFmt w:val="bullet"/>
      <w:lvlText w:val="•"/>
      <w:lvlJc w:val="left"/>
      <w:pPr>
        <w:ind w:left="8582" w:hanging="308"/>
      </w:pPr>
      <w:rPr>
        <w:rFonts w:hint="default"/>
        <w:lang w:val="en-US" w:eastAsia="en-US" w:bidi="ar-SA"/>
      </w:rPr>
    </w:lvl>
  </w:abstractNum>
  <w:abstractNum w:abstractNumId="23" w15:restartNumberingAfterBreak="0">
    <w:nsid w:val="68D15C1F"/>
    <w:multiLevelType w:val="hybridMultilevel"/>
    <w:tmpl w:val="E9CCE85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071D61"/>
    <w:multiLevelType w:val="hybridMultilevel"/>
    <w:tmpl w:val="A580873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12"/>
  </w:num>
  <w:num w:numId="2" w16cid:durableId="762186708">
    <w:abstractNumId w:val="24"/>
  </w:num>
  <w:num w:numId="3" w16cid:durableId="1646734026">
    <w:abstractNumId w:val="11"/>
  </w:num>
  <w:num w:numId="4" w16cid:durableId="1199271187">
    <w:abstractNumId w:val="16"/>
  </w:num>
  <w:num w:numId="5" w16cid:durableId="681317537">
    <w:abstractNumId w:val="5"/>
  </w:num>
  <w:num w:numId="6" w16cid:durableId="1381707578">
    <w:abstractNumId w:val="1"/>
  </w:num>
  <w:num w:numId="7" w16cid:durableId="1098794647">
    <w:abstractNumId w:val="0"/>
  </w:num>
  <w:num w:numId="8" w16cid:durableId="1471090044">
    <w:abstractNumId w:val="7"/>
  </w:num>
  <w:num w:numId="9" w16cid:durableId="1618444258">
    <w:abstractNumId w:val="26"/>
  </w:num>
  <w:num w:numId="10" w16cid:durableId="803431336">
    <w:abstractNumId w:val="10"/>
  </w:num>
  <w:num w:numId="11" w16cid:durableId="1804107474">
    <w:abstractNumId w:val="18"/>
  </w:num>
  <w:num w:numId="12" w16cid:durableId="821509815">
    <w:abstractNumId w:val="20"/>
  </w:num>
  <w:num w:numId="13" w16cid:durableId="1251425427">
    <w:abstractNumId w:val="14"/>
  </w:num>
  <w:num w:numId="14" w16cid:durableId="70465832">
    <w:abstractNumId w:val="17"/>
  </w:num>
  <w:num w:numId="15" w16cid:durableId="1239251066">
    <w:abstractNumId w:val="15"/>
  </w:num>
  <w:num w:numId="16" w16cid:durableId="341590028">
    <w:abstractNumId w:val="3"/>
  </w:num>
  <w:num w:numId="17" w16cid:durableId="908684904">
    <w:abstractNumId w:val="21"/>
  </w:num>
  <w:num w:numId="18" w16cid:durableId="1312096729">
    <w:abstractNumId w:val="6"/>
  </w:num>
  <w:num w:numId="19" w16cid:durableId="623849512">
    <w:abstractNumId w:val="2"/>
  </w:num>
  <w:num w:numId="20" w16cid:durableId="350842595">
    <w:abstractNumId w:val="19"/>
  </w:num>
  <w:num w:numId="21" w16cid:durableId="695741340">
    <w:abstractNumId w:val="9"/>
  </w:num>
  <w:num w:numId="22" w16cid:durableId="279993137">
    <w:abstractNumId w:val="22"/>
  </w:num>
  <w:num w:numId="23" w16cid:durableId="1419055783">
    <w:abstractNumId w:val="13"/>
  </w:num>
  <w:num w:numId="24" w16cid:durableId="1463115669">
    <w:abstractNumId w:val="4"/>
  </w:num>
  <w:num w:numId="25" w16cid:durableId="331954822">
    <w:abstractNumId w:val="25"/>
  </w:num>
  <w:num w:numId="26" w16cid:durableId="1039355279">
    <w:abstractNumId w:val="8"/>
  </w:num>
  <w:num w:numId="27" w16cid:durableId="3324195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30979"/>
    <w:rsid w:val="00053FD9"/>
    <w:rsid w:val="0005468D"/>
    <w:rsid w:val="00063885"/>
    <w:rsid w:val="000B6559"/>
    <w:rsid w:val="000D1CF0"/>
    <w:rsid w:val="000D2F88"/>
    <w:rsid w:val="000D3FB0"/>
    <w:rsid w:val="000E2928"/>
    <w:rsid w:val="000F3926"/>
    <w:rsid w:val="001268AF"/>
    <w:rsid w:val="00132B63"/>
    <w:rsid w:val="001432AE"/>
    <w:rsid w:val="0015099B"/>
    <w:rsid w:val="0015319D"/>
    <w:rsid w:val="00164791"/>
    <w:rsid w:val="001825F9"/>
    <w:rsid w:val="00186596"/>
    <w:rsid w:val="00197F86"/>
    <w:rsid w:val="001D6D5B"/>
    <w:rsid w:val="001E0761"/>
    <w:rsid w:val="001E5A42"/>
    <w:rsid w:val="001F5073"/>
    <w:rsid w:val="00214171"/>
    <w:rsid w:val="00222511"/>
    <w:rsid w:val="0024067D"/>
    <w:rsid w:val="00290C8F"/>
    <w:rsid w:val="002B062A"/>
    <w:rsid w:val="002B7116"/>
    <w:rsid w:val="002C47A2"/>
    <w:rsid w:val="002C5E17"/>
    <w:rsid w:val="002F5FED"/>
    <w:rsid w:val="00321E11"/>
    <w:rsid w:val="003A5E44"/>
    <w:rsid w:val="003A7506"/>
    <w:rsid w:val="003C1141"/>
    <w:rsid w:val="003E5393"/>
    <w:rsid w:val="003F022A"/>
    <w:rsid w:val="00410F04"/>
    <w:rsid w:val="00413D9A"/>
    <w:rsid w:val="00423780"/>
    <w:rsid w:val="00445775"/>
    <w:rsid w:val="004628B2"/>
    <w:rsid w:val="004A0AEC"/>
    <w:rsid w:val="004B1E52"/>
    <w:rsid w:val="004E027A"/>
    <w:rsid w:val="004E26E5"/>
    <w:rsid w:val="00513028"/>
    <w:rsid w:val="0053354C"/>
    <w:rsid w:val="00536ACA"/>
    <w:rsid w:val="00554AC4"/>
    <w:rsid w:val="0055755B"/>
    <w:rsid w:val="005655FD"/>
    <w:rsid w:val="00573AD7"/>
    <w:rsid w:val="005E53D6"/>
    <w:rsid w:val="00641449"/>
    <w:rsid w:val="006547AF"/>
    <w:rsid w:val="006732EA"/>
    <w:rsid w:val="00676FFB"/>
    <w:rsid w:val="00681FDA"/>
    <w:rsid w:val="00695344"/>
    <w:rsid w:val="006C6B86"/>
    <w:rsid w:val="00716874"/>
    <w:rsid w:val="007611B0"/>
    <w:rsid w:val="0079253C"/>
    <w:rsid w:val="007A5626"/>
    <w:rsid w:val="007C0327"/>
    <w:rsid w:val="007C351A"/>
    <w:rsid w:val="00804240"/>
    <w:rsid w:val="00806568"/>
    <w:rsid w:val="0083193A"/>
    <w:rsid w:val="008336CC"/>
    <w:rsid w:val="00865BCA"/>
    <w:rsid w:val="00867F48"/>
    <w:rsid w:val="00897125"/>
    <w:rsid w:val="008B0404"/>
    <w:rsid w:val="008D5B84"/>
    <w:rsid w:val="008E5521"/>
    <w:rsid w:val="008E7386"/>
    <w:rsid w:val="00913A91"/>
    <w:rsid w:val="00921339"/>
    <w:rsid w:val="00944448"/>
    <w:rsid w:val="0096649E"/>
    <w:rsid w:val="00993447"/>
    <w:rsid w:val="0099375D"/>
    <w:rsid w:val="009B09D3"/>
    <w:rsid w:val="009F5D42"/>
    <w:rsid w:val="00A11EEE"/>
    <w:rsid w:val="00A14492"/>
    <w:rsid w:val="00A424D4"/>
    <w:rsid w:val="00A47870"/>
    <w:rsid w:val="00A53436"/>
    <w:rsid w:val="00A727E6"/>
    <w:rsid w:val="00A83757"/>
    <w:rsid w:val="00A94B74"/>
    <w:rsid w:val="00AA4094"/>
    <w:rsid w:val="00AC7937"/>
    <w:rsid w:val="00B807A8"/>
    <w:rsid w:val="00BB45AE"/>
    <w:rsid w:val="00BC6819"/>
    <w:rsid w:val="00C421A9"/>
    <w:rsid w:val="00C42626"/>
    <w:rsid w:val="00C43DBE"/>
    <w:rsid w:val="00C5214F"/>
    <w:rsid w:val="00C676B8"/>
    <w:rsid w:val="00C67880"/>
    <w:rsid w:val="00C7386E"/>
    <w:rsid w:val="00C76F63"/>
    <w:rsid w:val="00C83692"/>
    <w:rsid w:val="00CB7D7B"/>
    <w:rsid w:val="00CC1370"/>
    <w:rsid w:val="00CF460A"/>
    <w:rsid w:val="00CF4C90"/>
    <w:rsid w:val="00D71554"/>
    <w:rsid w:val="00D73035"/>
    <w:rsid w:val="00D76CB3"/>
    <w:rsid w:val="00D81782"/>
    <w:rsid w:val="00D90CD9"/>
    <w:rsid w:val="00DB41EB"/>
    <w:rsid w:val="00DB68C1"/>
    <w:rsid w:val="00DD55B5"/>
    <w:rsid w:val="00DD783A"/>
    <w:rsid w:val="00DF3412"/>
    <w:rsid w:val="00E11F7C"/>
    <w:rsid w:val="00E132E0"/>
    <w:rsid w:val="00E341B8"/>
    <w:rsid w:val="00E36368"/>
    <w:rsid w:val="00E60709"/>
    <w:rsid w:val="00E6297C"/>
    <w:rsid w:val="00F246D2"/>
    <w:rsid w:val="00F44CD0"/>
    <w:rsid w:val="00F663CE"/>
    <w:rsid w:val="00FC1E56"/>
    <w:rsid w:val="00FD4921"/>
    <w:rsid w:val="00FD6504"/>
    <w:rsid w:val="00FD6603"/>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paragraph" w:styleId="Heading1">
    <w:name w:val="heading 1"/>
    <w:basedOn w:val="BodyText"/>
    <w:link w:val="Heading1Char"/>
    <w:uiPriority w:val="9"/>
    <w:qFormat/>
    <w:rsid w:val="00DB41EB"/>
    <w:pPr>
      <w:ind w:left="810" w:right="900"/>
      <w:outlineLvl w:val="0"/>
    </w:pPr>
    <w:rPr>
      <w:rFonts w:ascii="Aptos" w:hAnsi="Apto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 w:type="character" w:customStyle="1" w:styleId="Heading1Char">
    <w:name w:val="Heading 1 Char"/>
    <w:basedOn w:val="DefaultParagraphFont"/>
    <w:link w:val="Heading1"/>
    <w:uiPriority w:val="9"/>
    <w:rsid w:val="00DB41EB"/>
    <w:rPr>
      <w:rFonts w:ascii="Aptos" w:eastAsia="Times New Roman" w:hAnsi="Aptos" w:cs="Times New Roman"/>
      <w:sz w:val="24"/>
      <w:szCs w:val="24"/>
    </w:rPr>
  </w:style>
  <w:style w:type="paragraph" w:styleId="FootnoteText">
    <w:name w:val="footnote text"/>
    <w:basedOn w:val="Normal"/>
    <w:link w:val="FootnoteTextChar"/>
    <w:uiPriority w:val="99"/>
    <w:semiHidden/>
    <w:unhideWhenUsed/>
    <w:rsid w:val="0015319D"/>
    <w:rPr>
      <w:sz w:val="20"/>
    </w:rPr>
  </w:style>
  <w:style w:type="character" w:customStyle="1" w:styleId="FootnoteTextChar">
    <w:name w:val="Footnote Text Char"/>
    <w:basedOn w:val="DefaultParagraphFont"/>
    <w:link w:val="FootnoteText"/>
    <w:uiPriority w:val="99"/>
    <w:semiHidden/>
    <w:rsid w:val="0015319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531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retchmer@kb-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staff-report-pdf-atrius-health-inc-ambulatory-surgery/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D373B-166F-486D-90C7-0C63BC2AF1C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255</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Shields Signature TOS Final Action</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Atrius TOS Final Action</dc:title>
  <dc:subject/>
  <dc:creator>Marks, Brett (DPH)</dc:creator>
  <cp:keywords/>
  <dc:description/>
  <cp:lastModifiedBy>Marks, Brett (DPH)</cp:lastModifiedBy>
  <cp:revision>102</cp:revision>
  <dcterms:created xsi:type="dcterms:W3CDTF">2023-05-18T13:56:00Z</dcterms:created>
  <dcterms:modified xsi:type="dcterms:W3CDTF">2026-06-03T15:12:00Z</dcterms:modified>
</cp:coreProperties>
</file>