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E11F7C">
      <w:pPr>
        <w:ind w:left="720"/>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7D94F0CD" w14:textId="6F5DAADE" w:rsidR="00DD783A" w:rsidRDefault="00DD783A" w:rsidP="00DD783A">
      <w:pPr>
        <w:pStyle w:val="ExecOffice"/>
        <w:framePr w:w="0" w:hSpace="0" w:wrap="auto" w:vAnchor="margin" w:hAnchor="text" w:xAlign="left" w:yAlign="inline"/>
      </w:pPr>
      <w:r w:rsidRPr="00DD783A">
        <w:t>617-624-6000 | mass.gov/</w:t>
      </w:r>
      <w:proofErr w:type="spellStart"/>
      <w:r w:rsidRPr="00DD783A">
        <w:t>dph</w:t>
      </w:r>
      <w:proofErr w:type="spellEnd"/>
      <w:r w:rsidR="002C47A2">
        <w:t xml:space="preserve"> </w:t>
      </w:r>
    </w:p>
    <w:p w14:paraId="2BA7FE12" w14:textId="77777777" w:rsidR="008E5521" w:rsidRDefault="008E5521" w:rsidP="008E5521">
      <w:pPr>
        <w:ind w:right="2340"/>
        <w:contextualSpacing/>
        <w:rPr>
          <w:rFonts w:ascii="Arial Rounded MT Bold" w:hAnsi="Arial Rounded MT Bold"/>
          <w:sz w:val="16"/>
        </w:rPr>
      </w:pPr>
    </w:p>
    <w:p w14:paraId="51B3562C" w14:textId="77777777" w:rsidR="00FC1E56" w:rsidRDefault="00FC1E56" w:rsidP="008E5521">
      <w:pPr>
        <w:ind w:right="2340"/>
        <w:contextualSpacing/>
        <w:rPr>
          <w:rFonts w:ascii="Arial Rounded MT Bold" w:hAnsi="Arial Rounded MT Bold"/>
          <w:sz w:val="16"/>
        </w:rPr>
        <w:sectPr w:rsidR="00FC1E56" w:rsidSect="00806568">
          <w:headerReference w:type="even" r:id="rId8"/>
          <w:footerReference w:type="default" r:id="rId9"/>
          <w:headerReference w:type="first" r:id="rId10"/>
          <w:pgSz w:w="12240" w:h="15840"/>
          <w:pgMar w:top="540" w:right="260" w:bottom="1260" w:left="640" w:header="0" w:footer="864" w:gutter="0"/>
          <w:cols w:space="720"/>
          <w:docGrid w:linePitch="326"/>
        </w:sectPr>
      </w:pPr>
    </w:p>
    <w:p w14:paraId="55CEE6EB" w14:textId="15393242" w:rsidR="00AC7937" w:rsidRPr="00FC1E56" w:rsidRDefault="00063885" w:rsidP="00E11F7C">
      <w:pPr>
        <w:ind w:left="720" w:right="2340"/>
        <w:contextualSpacing/>
        <w:rPr>
          <w:rFonts w:ascii="Arial" w:hAnsi="Arial" w:cs="Arial"/>
          <w:b/>
          <w:bCs/>
          <w:szCs w:val="24"/>
        </w:rPr>
      </w:pPr>
      <w:r w:rsidRPr="00FC1E56">
        <w:rPr>
          <w:rFonts w:ascii="Arial" w:hAnsi="Arial" w:cs="Arial"/>
          <w:b/>
          <w:bCs/>
          <w:szCs w:val="24"/>
        </w:rPr>
        <w:t xml:space="preserve">Maura </w:t>
      </w:r>
      <w:r w:rsidR="00AC7937" w:rsidRPr="00FC1E56">
        <w:rPr>
          <w:rFonts w:ascii="Arial" w:hAnsi="Arial" w:cs="Arial"/>
          <w:b/>
          <w:bCs/>
          <w:szCs w:val="24"/>
        </w:rPr>
        <w:t xml:space="preserve">T. </w:t>
      </w:r>
      <w:r w:rsidRPr="00FC1E56">
        <w:rPr>
          <w:rFonts w:ascii="Arial" w:hAnsi="Arial" w:cs="Arial"/>
          <w:b/>
          <w:bCs/>
          <w:szCs w:val="24"/>
        </w:rPr>
        <w:t>Healey</w:t>
      </w:r>
    </w:p>
    <w:p w14:paraId="7D7DA174" w14:textId="77777777" w:rsidR="00AC7937" w:rsidRPr="00913A91" w:rsidRDefault="00AC7937" w:rsidP="00E11F7C">
      <w:pPr>
        <w:ind w:left="720" w:right="2340"/>
        <w:contextualSpacing/>
        <w:rPr>
          <w:rFonts w:ascii="Arial" w:hAnsi="Arial" w:cs="Arial"/>
          <w:szCs w:val="24"/>
        </w:rPr>
      </w:pPr>
      <w:r w:rsidRPr="00913A91">
        <w:rPr>
          <w:rFonts w:ascii="Arial" w:hAnsi="Arial" w:cs="Arial"/>
          <w:szCs w:val="24"/>
        </w:rPr>
        <w:t>Governor</w:t>
      </w:r>
    </w:p>
    <w:p w14:paraId="57A7E868" w14:textId="77777777" w:rsidR="00AC7937" w:rsidRPr="00913A91" w:rsidRDefault="00AC7937" w:rsidP="00E11F7C">
      <w:pPr>
        <w:ind w:left="720" w:right="2340"/>
        <w:contextualSpacing/>
        <w:rPr>
          <w:rFonts w:ascii="Arial" w:hAnsi="Arial" w:cs="Arial"/>
          <w:szCs w:val="24"/>
        </w:rPr>
      </w:pPr>
    </w:p>
    <w:p w14:paraId="5F8BD4FE" w14:textId="43FAA70E" w:rsidR="00AC7937" w:rsidRPr="00FC1E56" w:rsidRDefault="00063885" w:rsidP="00E11F7C">
      <w:pPr>
        <w:ind w:left="720" w:right="2340"/>
        <w:contextualSpacing/>
        <w:rPr>
          <w:rFonts w:ascii="Arial" w:hAnsi="Arial" w:cs="Arial"/>
          <w:b/>
          <w:bCs/>
          <w:szCs w:val="24"/>
        </w:rPr>
      </w:pPr>
      <w:r w:rsidRPr="00FC1E56">
        <w:rPr>
          <w:rFonts w:ascii="Arial" w:hAnsi="Arial" w:cs="Arial"/>
          <w:b/>
          <w:bCs/>
          <w:szCs w:val="24"/>
        </w:rPr>
        <w:t>Kimberley Driscoll</w:t>
      </w:r>
    </w:p>
    <w:p w14:paraId="1276EDBE" w14:textId="77777777" w:rsidR="00AC7937" w:rsidRPr="00913A91" w:rsidRDefault="00AC7937" w:rsidP="00E11F7C">
      <w:pPr>
        <w:ind w:left="720" w:right="2340"/>
        <w:contextualSpacing/>
        <w:rPr>
          <w:rFonts w:ascii="Arial" w:hAnsi="Arial" w:cs="Arial"/>
          <w:szCs w:val="24"/>
        </w:rPr>
      </w:pPr>
      <w:r w:rsidRPr="00913A91">
        <w:rPr>
          <w:rFonts w:ascii="Arial" w:hAnsi="Arial" w:cs="Arial"/>
          <w:szCs w:val="24"/>
        </w:rPr>
        <w:t>Lieutenant Governor</w:t>
      </w:r>
    </w:p>
    <w:p w14:paraId="3443D931" w14:textId="77777777" w:rsidR="00AC7937" w:rsidRPr="00913A91" w:rsidRDefault="00AC7937" w:rsidP="00913A91">
      <w:pPr>
        <w:ind w:right="2340"/>
        <w:contextualSpacing/>
        <w:rPr>
          <w:rFonts w:ascii="Arial" w:hAnsi="Arial" w:cs="Arial"/>
          <w:szCs w:val="24"/>
        </w:rPr>
      </w:pPr>
    </w:p>
    <w:p w14:paraId="34857383" w14:textId="77777777" w:rsidR="00063885" w:rsidRPr="00FC1E56" w:rsidRDefault="00413D9A" w:rsidP="00913A91">
      <w:pPr>
        <w:ind w:left="1530" w:right="720"/>
        <w:contextualSpacing/>
        <w:rPr>
          <w:rFonts w:ascii="Arial" w:hAnsi="Arial" w:cs="Arial"/>
          <w:b/>
          <w:bCs/>
          <w:szCs w:val="24"/>
        </w:rPr>
      </w:pPr>
      <w:r w:rsidRPr="00FC1E56">
        <w:rPr>
          <w:rFonts w:ascii="Arial" w:hAnsi="Arial" w:cs="Arial"/>
          <w:b/>
          <w:bCs/>
          <w:szCs w:val="24"/>
        </w:rPr>
        <w:t xml:space="preserve">Kiame Mahaniah, MD, MBA </w:t>
      </w:r>
    </w:p>
    <w:p w14:paraId="170A6353" w14:textId="55804289" w:rsidR="00AC7937" w:rsidRPr="00913A91" w:rsidRDefault="00AC7937" w:rsidP="00913A91">
      <w:pPr>
        <w:ind w:left="1530" w:right="720"/>
        <w:contextualSpacing/>
        <w:rPr>
          <w:rFonts w:ascii="Arial" w:hAnsi="Arial" w:cs="Arial"/>
          <w:szCs w:val="24"/>
        </w:rPr>
      </w:pPr>
      <w:r w:rsidRPr="00913A91">
        <w:rPr>
          <w:rFonts w:ascii="Arial" w:hAnsi="Arial" w:cs="Arial"/>
          <w:szCs w:val="24"/>
        </w:rPr>
        <w:t>Secretary</w:t>
      </w:r>
    </w:p>
    <w:p w14:paraId="04911862" w14:textId="77777777" w:rsidR="00AC7937" w:rsidRPr="00913A91" w:rsidRDefault="00AC7937" w:rsidP="00913A91">
      <w:pPr>
        <w:ind w:left="1530" w:right="720"/>
        <w:contextualSpacing/>
        <w:rPr>
          <w:rFonts w:ascii="Arial" w:hAnsi="Arial" w:cs="Arial"/>
          <w:szCs w:val="24"/>
        </w:rPr>
      </w:pPr>
    </w:p>
    <w:p w14:paraId="52FEDDB3" w14:textId="2C6BECBD" w:rsidR="00AC7937" w:rsidRPr="00FC1E56" w:rsidRDefault="00063885" w:rsidP="00913A91">
      <w:pPr>
        <w:ind w:left="1530" w:right="720"/>
        <w:contextualSpacing/>
        <w:rPr>
          <w:rFonts w:ascii="Arial" w:hAnsi="Arial" w:cs="Arial"/>
          <w:b/>
          <w:bCs/>
          <w:szCs w:val="24"/>
        </w:rPr>
      </w:pPr>
      <w:r w:rsidRPr="00FC1E56">
        <w:rPr>
          <w:rFonts w:ascii="Arial" w:hAnsi="Arial" w:cs="Arial"/>
          <w:b/>
          <w:bCs/>
          <w:szCs w:val="24"/>
        </w:rPr>
        <w:t>Robert Goldstein</w:t>
      </w:r>
      <w:r w:rsidR="00AC7937" w:rsidRPr="00FC1E56">
        <w:rPr>
          <w:rFonts w:ascii="Arial" w:hAnsi="Arial" w:cs="Arial"/>
          <w:b/>
          <w:bCs/>
          <w:szCs w:val="24"/>
        </w:rPr>
        <w:t>, MD, PhD</w:t>
      </w:r>
    </w:p>
    <w:p w14:paraId="2349E991" w14:textId="265CD908" w:rsidR="00AC7937" w:rsidRPr="00913A91" w:rsidRDefault="00AC7937" w:rsidP="00913A91">
      <w:pPr>
        <w:ind w:left="1530" w:right="720"/>
        <w:contextualSpacing/>
        <w:rPr>
          <w:rFonts w:ascii="Arial" w:hAnsi="Arial" w:cs="Arial"/>
          <w:szCs w:val="24"/>
        </w:rPr>
      </w:pPr>
      <w:r w:rsidRPr="00913A91">
        <w:rPr>
          <w:rFonts w:ascii="Arial" w:hAnsi="Arial" w:cs="Arial"/>
          <w:szCs w:val="24"/>
        </w:rPr>
        <w:t>Commissioner</w:t>
      </w:r>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7FCCBA6D" w14:textId="77777777" w:rsidR="0005468D" w:rsidRPr="0005468D" w:rsidRDefault="0005468D" w:rsidP="00806568">
      <w:pPr>
        <w:pStyle w:val="BodyText"/>
        <w:ind w:right="1170"/>
      </w:pPr>
    </w:p>
    <w:p w14:paraId="049A17AB" w14:textId="77777777" w:rsidR="00573AD7" w:rsidRPr="00573AD7" w:rsidRDefault="00573AD7" w:rsidP="00573AD7">
      <w:pPr>
        <w:pStyle w:val="BodyText"/>
        <w:ind w:left="810" w:right="900"/>
        <w:rPr>
          <w:rFonts w:ascii="Aptos" w:hAnsi="Aptos"/>
        </w:rPr>
      </w:pPr>
      <w:r w:rsidRPr="00573AD7">
        <w:rPr>
          <w:rFonts w:ascii="Aptos" w:hAnsi="Aptos"/>
        </w:rPr>
        <w:t>April 21, 2026</w:t>
      </w:r>
    </w:p>
    <w:p w14:paraId="268AAF6C" w14:textId="77777777" w:rsidR="00573AD7" w:rsidRPr="00573AD7" w:rsidRDefault="00573AD7" w:rsidP="00573AD7">
      <w:pPr>
        <w:pStyle w:val="BodyText"/>
        <w:ind w:left="810" w:right="900"/>
        <w:rPr>
          <w:rFonts w:ascii="Aptos" w:hAnsi="Aptos"/>
        </w:rPr>
      </w:pPr>
    </w:p>
    <w:p w14:paraId="317893D5" w14:textId="77777777" w:rsidR="00573AD7" w:rsidRPr="00573AD7" w:rsidRDefault="00573AD7" w:rsidP="00573AD7">
      <w:pPr>
        <w:pStyle w:val="BodyText"/>
        <w:ind w:left="810" w:right="900"/>
        <w:rPr>
          <w:rFonts w:ascii="Aptos" w:hAnsi="Aptos"/>
        </w:rPr>
      </w:pPr>
      <w:r w:rsidRPr="00573AD7">
        <w:rPr>
          <w:rFonts w:ascii="Aptos" w:hAnsi="Aptos"/>
        </w:rPr>
        <w:t>Kerry Whelan</w:t>
      </w:r>
    </w:p>
    <w:p w14:paraId="79CC24CC" w14:textId="77777777" w:rsidR="00573AD7" w:rsidRPr="00573AD7" w:rsidRDefault="00573AD7" w:rsidP="00573AD7">
      <w:pPr>
        <w:pStyle w:val="BodyText"/>
        <w:ind w:left="810" w:right="900"/>
        <w:rPr>
          <w:rFonts w:ascii="Aptos" w:hAnsi="Aptos"/>
        </w:rPr>
      </w:pPr>
      <w:r w:rsidRPr="00573AD7">
        <w:rPr>
          <w:rFonts w:ascii="Aptos" w:hAnsi="Aptos"/>
        </w:rPr>
        <w:t>700 Congress Street, Suite 204</w:t>
      </w:r>
    </w:p>
    <w:p w14:paraId="27AC9ED2" w14:textId="77777777" w:rsidR="00573AD7" w:rsidRPr="00573AD7" w:rsidRDefault="00573AD7" w:rsidP="00573AD7">
      <w:pPr>
        <w:pStyle w:val="BodyText"/>
        <w:ind w:left="810" w:right="900"/>
        <w:rPr>
          <w:rFonts w:ascii="Aptos" w:hAnsi="Aptos"/>
        </w:rPr>
      </w:pPr>
      <w:r w:rsidRPr="00573AD7">
        <w:rPr>
          <w:rFonts w:ascii="Aptos" w:hAnsi="Aptos"/>
        </w:rPr>
        <w:t xml:space="preserve">Quincy, MA 02169 </w:t>
      </w:r>
    </w:p>
    <w:p w14:paraId="2455A9BE" w14:textId="77777777" w:rsidR="00573AD7" w:rsidRPr="00573AD7" w:rsidRDefault="00573AD7" w:rsidP="00573AD7">
      <w:pPr>
        <w:pStyle w:val="BodyText"/>
        <w:ind w:left="810" w:right="900"/>
        <w:rPr>
          <w:rFonts w:ascii="Aptos" w:hAnsi="Aptos"/>
        </w:rPr>
      </w:pPr>
    </w:p>
    <w:p w14:paraId="055DB47F" w14:textId="77777777" w:rsidR="00573AD7" w:rsidRPr="00573AD7" w:rsidRDefault="00573AD7" w:rsidP="00573AD7">
      <w:pPr>
        <w:pStyle w:val="BodyText"/>
        <w:ind w:left="810" w:right="900"/>
        <w:rPr>
          <w:rFonts w:ascii="Aptos" w:hAnsi="Aptos"/>
        </w:rPr>
      </w:pPr>
      <w:r w:rsidRPr="00573AD7">
        <w:rPr>
          <w:rFonts w:ascii="Aptos" w:hAnsi="Aptos"/>
        </w:rPr>
        <w:t xml:space="preserve">Via electronic mail: kerry@shields.com </w:t>
      </w:r>
    </w:p>
    <w:p w14:paraId="76E210C6" w14:textId="77777777" w:rsidR="00573AD7" w:rsidRPr="00573AD7" w:rsidRDefault="00573AD7" w:rsidP="00573AD7">
      <w:pPr>
        <w:pStyle w:val="BodyText"/>
        <w:ind w:left="810" w:right="900"/>
        <w:rPr>
          <w:rFonts w:ascii="Aptos" w:hAnsi="Aptos"/>
        </w:rPr>
      </w:pPr>
    </w:p>
    <w:p w14:paraId="59AA7550" w14:textId="77777777" w:rsidR="00573AD7" w:rsidRPr="00423780" w:rsidRDefault="00573AD7" w:rsidP="00423780">
      <w:pPr>
        <w:pStyle w:val="Heading1"/>
      </w:pPr>
      <w:r w:rsidRPr="00423780">
        <w:t>RE: Notice of Transfer of Site Application #26041717-TS</w:t>
      </w:r>
    </w:p>
    <w:p w14:paraId="7B6361CA" w14:textId="77777777" w:rsidR="00573AD7" w:rsidRPr="00573AD7" w:rsidRDefault="00573AD7" w:rsidP="00573AD7">
      <w:pPr>
        <w:pStyle w:val="BodyText"/>
        <w:ind w:left="810" w:right="900"/>
        <w:rPr>
          <w:rFonts w:ascii="Aptos" w:hAnsi="Aptos"/>
        </w:rPr>
      </w:pPr>
      <w:r w:rsidRPr="00573AD7">
        <w:rPr>
          <w:rFonts w:ascii="Aptos" w:hAnsi="Aptos"/>
        </w:rPr>
        <w:t xml:space="preserve">          </w:t>
      </w:r>
    </w:p>
    <w:p w14:paraId="2EAB7985" w14:textId="77777777" w:rsidR="00573AD7" w:rsidRPr="00573AD7" w:rsidRDefault="00573AD7" w:rsidP="00573AD7">
      <w:pPr>
        <w:pStyle w:val="BodyText"/>
        <w:ind w:left="810" w:right="900"/>
        <w:rPr>
          <w:rFonts w:ascii="Aptos" w:hAnsi="Aptos"/>
        </w:rPr>
      </w:pPr>
    </w:p>
    <w:p w14:paraId="0361B5F7" w14:textId="77777777" w:rsidR="00573AD7" w:rsidRPr="00573AD7" w:rsidRDefault="00573AD7" w:rsidP="00573AD7">
      <w:pPr>
        <w:pStyle w:val="BodyText"/>
        <w:ind w:left="810" w:right="900"/>
        <w:rPr>
          <w:rFonts w:ascii="Aptos" w:hAnsi="Aptos"/>
        </w:rPr>
      </w:pPr>
      <w:r w:rsidRPr="00573AD7">
        <w:rPr>
          <w:rFonts w:ascii="Aptos" w:hAnsi="Aptos"/>
        </w:rPr>
        <w:t xml:space="preserve">Dear Ms. Whelan, </w:t>
      </w:r>
    </w:p>
    <w:p w14:paraId="568E859E" w14:textId="77777777" w:rsidR="00573AD7" w:rsidRPr="00573AD7" w:rsidRDefault="00573AD7" w:rsidP="00573AD7">
      <w:pPr>
        <w:pStyle w:val="BodyText"/>
        <w:ind w:left="810" w:right="900"/>
        <w:rPr>
          <w:rFonts w:ascii="Aptos" w:hAnsi="Aptos"/>
        </w:rPr>
      </w:pPr>
      <w:r w:rsidRPr="00573AD7">
        <w:rPr>
          <w:rFonts w:ascii="Aptos" w:hAnsi="Aptos"/>
        </w:rPr>
        <w:t xml:space="preserve"> </w:t>
      </w:r>
    </w:p>
    <w:p w14:paraId="34A8E3C7" w14:textId="77777777" w:rsidR="00573AD7" w:rsidRPr="00573AD7" w:rsidRDefault="00573AD7" w:rsidP="00573AD7">
      <w:pPr>
        <w:pStyle w:val="BodyText"/>
        <w:ind w:left="810" w:right="900"/>
        <w:rPr>
          <w:rFonts w:ascii="Aptos" w:hAnsi="Aptos"/>
        </w:rPr>
      </w:pPr>
      <w:r w:rsidRPr="00573AD7">
        <w:rPr>
          <w:rFonts w:ascii="Aptos" w:hAnsi="Aptos"/>
        </w:rPr>
        <w:t>We are in receipt of the above-referenced Notice and its accompanying attachments, dated</w:t>
      </w:r>
    </w:p>
    <w:p w14:paraId="4E3719EA" w14:textId="77777777" w:rsidR="00573AD7" w:rsidRPr="00573AD7" w:rsidRDefault="00573AD7" w:rsidP="00573AD7">
      <w:pPr>
        <w:pStyle w:val="BodyText"/>
        <w:ind w:left="810" w:right="900"/>
        <w:rPr>
          <w:rFonts w:ascii="Aptos" w:hAnsi="Aptos"/>
        </w:rPr>
      </w:pPr>
      <w:r w:rsidRPr="00573AD7">
        <w:rPr>
          <w:rFonts w:ascii="Aptos" w:hAnsi="Aptos"/>
        </w:rPr>
        <w:t xml:space="preserve">April 17, 2026, wherein Shields Signature Imaging, LLC (Shields) provided notice to the Department of Public Health (the Department) in accordance with 105 CMR 100.745 for a proposed temporary transfer of site of one mobile positron emission tomography-computed tomography (PET-CT) unit from its licensed clinic (#4EFI) located at Signature Healthcare Brockton Hospital (Brockton Hospital), 680 Centre Street Brockton, MA, to another Department licensed clinic (#4354), Shields MRI Brockton located at 265 Westgate Drive, Brockton, MA, as described below. The proposed temporary transfer of site involves the relocation of one mobile PET-CT unit from its current location in Brockton, MA to the proposed location, four to five miles away, also in Brockton, MA. </w:t>
      </w:r>
    </w:p>
    <w:p w14:paraId="32EA10EE" w14:textId="77777777" w:rsidR="00573AD7" w:rsidRPr="00573AD7" w:rsidRDefault="00573AD7" w:rsidP="00573AD7">
      <w:pPr>
        <w:pStyle w:val="BodyText"/>
        <w:ind w:left="810" w:right="900"/>
        <w:rPr>
          <w:rFonts w:ascii="Aptos" w:hAnsi="Aptos"/>
        </w:rPr>
      </w:pPr>
    </w:p>
    <w:p w14:paraId="58985C04" w14:textId="77777777" w:rsidR="00573AD7" w:rsidRPr="00573AD7" w:rsidRDefault="00573AD7" w:rsidP="00573AD7">
      <w:pPr>
        <w:pStyle w:val="BodyText"/>
        <w:ind w:left="810" w:right="900"/>
        <w:rPr>
          <w:rFonts w:ascii="Aptos" w:hAnsi="Aptos"/>
        </w:rPr>
      </w:pPr>
      <w:r w:rsidRPr="00573AD7">
        <w:rPr>
          <w:rFonts w:ascii="Aptos" w:hAnsi="Aptos"/>
        </w:rPr>
        <w:t xml:space="preserve">Shields has complied with the requirements of Notice and has provided information sufficient to allow the Department to make a finding that the proposed transaction will neither result in a Substantial Capital Expenditure nor Substantial Change in </w:t>
      </w:r>
      <w:proofErr w:type="gramStart"/>
      <w:r w:rsidRPr="00573AD7">
        <w:rPr>
          <w:rFonts w:ascii="Aptos" w:hAnsi="Aptos"/>
        </w:rPr>
        <w:t>Service, and</w:t>
      </w:r>
      <w:proofErr w:type="gramEnd"/>
      <w:r w:rsidRPr="00573AD7">
        <w:rPr>
          <w:rFonts w:ascii="Aptos" w:hAnsi="Aptos"/>
        </w:rPr>
        <w:t xml:space="preserve"> thus will not first require a Notice of Determination of Need (</w:t>
      </w:r>
      <w:proofErr w:type="spellStart"/>
      <w:r w:rsidRPr="00573AD7">
        <w:rPr>
          <w:rFonts w:ascii="Aptos" w:hAnsi="Aptos"/>
        </w:rPr>
        <w:t>DoN</w:t>
      </w:r>
      <w:proofErr w:type="spellEnd"/>
      <w:r w:rsidRPr="00573AD7">
        <w:rPr>
          <w:rFonts w:ascii="Aptos" w:hAnsi="Aptos"/>
        </w:rPr>
        <w:t>).</w:t>
      </w:r>
    </w:p>
    <w:p w14:paraId="680EF252" w14:textId="77777777" w:rsidR="00573AD7" w:rsidRPr="00573AD7" w:rsidRDefault="00573AD7" w:rsidP="00573AD7">
      <w:pPr>
        <w:pStyle w:val="BodyText"/>
        <w:ind w:left="810" w:right="900"/>
        <w:rPr>
          <w:rFonts w:ascii="Aptos" w:hAnsi="Aptos"/>
        </w:rPr>
      </w:pPr>
    </w:p>
    <w:p w14:paraId="20733112" w14:textId="77777777" w:rsidR="00573AD7" w:rsidRPr="00423780" w:rsidRDefault="00573AD7" w:rsidP="00573AD7">
      <w:pPr>
        <w:pStyle w:val="BodyText"/>
        <w:ind w:left="810" w:right="900"/>
        <w:rPr>
          <w:rFonts w:ascii="Aptos" w:hAnsi="Aptos"/>
          <w:b/>
          <w:bCs/>
        </w:rPr>
      </w:pPr>
      <w:r w:rsidRPr="00423780">
        <w:rPr>
          <w:rFonts w:ascii="Aptos" w:hAnsi="Aptos"/>
          <w:b/>
          <w:bCs/>
        </w:rPr>
        <w:lastRenderedPageBreak/>
        <w:t>Description</w:t>
      </w:r>
    </w:p>
    <w:p w14:paraId="7E2E4DFC" w14:textId="77777777" w:rsidR="00573AD7" w:rsidRPr="00573AD7" w:rsidRDefault="00573AD7" w:rsidP="00573AD7">
      <w:pPr>
        <w:pStyle w:val="BodyText"/>
        <w:ind w:left="810" w:right="900"/>
        <w:rPr>
          <w:rFonts w:ascii="Aptos" w:hAnsi="Aptos"/>
        </w:rPr>
      </w:pPr>
      <w:r w:rsidRPr="00573AD7">
        <w:rPr>
          <w:rFonts w:ascii="Aptos" w:hAnsi="Aptos"/>
        </w:rPr>
        <w:t xml:space="preserve">Shields Signature Imaging, LLC (Applicant) is a joint venture between Brockton Hospital and Shields Imaging Services, LLC (Shields). Shields manages numerous MRI and PET-CT facilities throughout New England, many of which are joint venture partnerships with community hospitals. Brockton Hospital is a high public payer (HPP) community hospital with 161 licensed medical/surgical (M/S) beds and 16 intensive care unit (ICU) beds. December 18, 2015, Shields Signature </w:t>
      </w:r>
      <w:proofErr w:type="gramStart"/>
      <w:r w:rsidRPr="00573AD7">
        <w:rPr>
          <w:rFonts w:ascii="Aptos" w:hAnsi="Aptos"/>
        </w:rPr>
        <w:t>Imaging,</w:t>
      </w:r>
      <w:proofErr w:type="gramEnd"/>
      <w:r w:rsidRPr="00573AD7">
        <w:rPr>
          <w:rFonts w:ascii="Aptos" w:hAnsi="Aptos"/>
        </w:rPr>
        <w:t xml:space="preserve"> LLC received </w:t>
      </w:r>
      <w:proofErr w:type="spellStart"/>
      <w:r w:rsidRPr="00573AD7">
        <w:rPr>
          <w:rFonts w:ascii="Aptos" w:hAnsi="Aptos"/>
        </w:rPr>
        <w:t>DoN</w:t>
      </w:r>
      <w:proofErr w:type="spellEnd"/>
      <w:r w:rsidRPr="00573AD7">
        <w:rPr>
          <w:rFonts w:ascii="Aptos" w:hAnsi="Aptos"/>
        </w:rPr>
        <w:t xml:space="preserve"> approval for a Substantial Change in Service. The Original </w:t>
      </w:r>
      <w:proofErr w:type="spellStart"/>
      <w:r w:rsidRPr="00573AD7">
        <w:rPr>
          <w:rFonts w:ascii="Aptos" w:hAnsi="Aptos"/>
        </w:rPr>
        <w:t>DoN</w:t>
      </w:r>
      <w:proofErr w:type="spellEnd"/>
      <w:r w:rsidRPr="00573AD7">
        <w:rPr>
          <w:rFonts w:ascii="Aptos" w:hAnsi="Aptos"/>
        </w:rPr>
        <w:t xml:space="preserve"> included, among other things, approval for the establishment of a part-time mobile PET-CT diagnostic imaging unit at Brockton Hospital, 680 Centre Street, Brockton, MA. </w:t>
      </w:r>
    </w:p>
    <w:p w14:paraId="5172C391" w14:textId="77777777" w:rsidR="00573AD7" w:rsidRPr="00573AD7" w:rsidRDefault="00573AD7" w:rsidP="00573AD7">
      <w:pPr>
        <w:pStyle w:val="BodyText"/>
        <w:ind w:left="810" w:right="900"/>
        <w:rPr>
          <w:rFonts w:ascii="Aptos" w:hAnsi="Aptos"/>
        </w:rPr>
      </w:pPr>
    </w:p>
    <w:p w14:paraId="3AC577CE" w14:textId="77777777" w:rsidR="00573AD7" w:rsidRPr="00573AD7" w:rsidRDefault="00573AD7" w:rsidP="00573AD7">
      <w:pPr>
        <w:pStyle w:val="BodyText"/>
        <w:ind w:left="810" w:right="900"/>
        <w:rPr>
          <w:rFonts w:ascii="Aptos" w:hAnsi="Aptos"/>
        </w:rPr>
      </w:pPr>
      <w:r w:rsidRPr="00573AD7">
        <w:rPr>
          <w:rFonts w:ascii="Aptos" w:hAnsi="Aptos"/>
        </w:rPr>
        <w:t xml:space="preserve">April 6, 2026, a cybersecurity incident at Brockton Hospital rendered the Applicant's mobile PET-CT clinic inoperable. The Applicant states that the incident caused a shutdown of network-dependent services, impacting medical records, patient portals, and pharmacy services. Brockton Hospital is engaged in ongoing containment and restoration </w:t>
      </w:r>
      <w:proofErr w:type="gramStart"/>
      <w:r w:rsidRPr="00573AD7">
        <w:rPr>
          <w:rFonts w:ascii="Aptos" w:hAnsi="Aptos"/>
        </w:rPr>
        <w:t>efforts, and</w:t>
      </w:r>
      <w:proofErr w:type="gramEnd"/>
      <w:r w:rsidRPr="00573AD7">
        <w:rPr>
          <w:rFonts w:ascii="Aptos" w:hAnsi="Aptos"/>
        </w:rPr>
        <w:t xml:space="preserve"> was able to come off Code Black status on April 15, 2026. The Applicant states that Radiology continues to be impacted disproportionately by this incident as the hospital’s physicians need to be onsite to read images directly from the PET-CT machine. While this responsibility has been shared </w:t>
      </w:r>
      <w:proofErr w:type="gramStart"/>
      <w:r w:rsidRPr="00573AD7">
        <w:rPr>
          <w:rFonts w:ascii="Aptos" w:hAnsi="Aptos"/>
        </w:rPr>
        <w:t>across</w:t>
      </w:r>
      <w:proofErr w:type="gramEnd"/>
      <w:r w:rsidRPr="00573AD7">
        <w:rPr>
          <w:rFonts w:ascii="Aptos" w:hAnsi="Aptos"/>
        </w:rPr>
        <w:t xml:space="preserve"> the six physicians employed by Brockton Hospital during the emergency, it is not sustainable even as a temporary solution. The Applicant asserts that the inability to operate the clinic, even temporarily, will have a negative impact on oncology patients and clinicians who rely on this service to diagnose, stage and evaluate treatment efficacy. The Applicant states that without the proposed temporary transfer of site, there will be an absence of </w:t>
      </w:r>
      <w:proofErr w:type="gramStart"/>
      <w:r w:rsidRPr="00573AD7">
        <w:rPr>
          <w:rFonts w:ascii="Aptos" w:hAnsi="Aptos"/>
        </w:rPr>
        <w:t>standard of care diagnostic imaging</w:t>
      </w:r>
      <w:proofErr w:type="gramEnd"/>
      <w:r w:rsidRPr="00573AD7">
        <w:rPr>
          <w:rFonts w:ascii="Aptos" w:hAnsi="Aptos"/>
        </w:rPr>
        <w:t xml:space="preserve"> for oncology patients.</w:t>
      </w:r>
    </w:p>
    <w:p w14:paraId="4491E36A" w14:textId="77777777" w:rsidR="00573AD7" w:rsidRPr="00573AD7" w:rsidRDefault="00573AD7" w:rsidP="00573AD7">
      <w:pPr>
        <w:pStyle w:val="BodyText"/>
        <w:ind w:left="810" w:right="900"/>
        <w:rPr>
          <w:rFonts w:ascii="Aptos" w:hAnsi="Aptos"/>
        </w:rPr>
      </w:pPr>
    </w:p>
    <w:p w14:paraId="2BCE4196" w14:textId="77777777" w:rsidR="00573AD7" w:rsidRPr="00573AD7" w:rsidRDefault="00573AD7" w:rsidP="00573AD7">
      <w:pPr>
        <w:pStyle w:val="BodyText"/>
        <w:ind w:left="810" w:right="900"/>
        <w:rPr>
          <w:rFonts w:ascii="Aptos" w:hAnsi="Aptos"/>
        </w:rPr>
      </w:pPr>
      <w:r w:rsidRPr="00573AD7">
        <w:rPr>
          <w:rFonts w:ascii="Aptos" w:hAnsi="Aptos"/>
        </w:rPr>
        <w:t xml:space="preserve">The Applicant asserts that the proposed temporary transfer of site will ensure continued community access to PET-CT imaging and that the inability to operate this clinic, even temporarily, will have a negative impact on public health. </w:t>
      </w:r>
    </w:p>
    <w:p w14:paraId="22B6D66F" w14:textId="77777777" w:rsidR="00573AD7" w:rsidRPr="00573AD7" w:rsidRDefault="00573AD7" w:rsidP="00573AD7">
      <w:pPr>
        <w:pStyle w:val="BodyText"/>
        <w:ind w:left="810" w:right="900"/>
        <w:rPr>
          <w:rFonts w:ascii="Aptos" w:hAnsi="Aptos"/>
        </w:rPr>
      </w:pPr>
    </w:p>
    <w:p w14:paraId="5B4D29FA" w14:textId="77777777" w:rsidR="00573AD7" w:rsidRPr="00573AD7" w:rsidRDefault="00573AD7" w:rsidP="00573AD7">
      <w:pPr>
        <w:pStyle w:val="BodyText"/>
        <w:ind w:left="810" w:right="900"/>
        <w:rPr>
          <w:rFonts w:ascii="Aptos" w:hAnsi="Aptos"/>
        </w:rPr>
      </w:pPr>
      <w:r w:rsidRPr="00573AD7">
        <w:rPr>
          <w:rFonts w:ascii="Aptos" w:hAnsi="Aptos"/>
        </w:rPr>
        <w:t>There is no capital expenditure associated with the proposed temporary transfer. The proposed location is fully equipped to receive the mobile PET-CT.</w:t>
      </w:r>
    </w:p>
    <w:p w14:paraId="3A504ADD" w14:textId="77777777" w:rsidR="00573AD7" w:rsidRPr="00573AD7" w:rsidRDefault="00573AD7" w:rsidP="00573AD7">
      <w:pPr>
        <w:pStyle w:val="BodyText"/>
        <w:ind w:left="810" w:right="900"/>
        <w:rPr>
          <w:rFonts w:ascii="Aptos" w:hAnsi="Aptos"/>
        </w:rPr>
      </w:pPr>
    </w:p>
    <w:p w14:paraId="3554E178" w14:textId="77777777" w:rsidR="00573AD7" w:rsidRPr="00573AD7" w:rsidRDefault="00573AD7" w:rsidP="00573AD7">
      <w:pPr>
        <w:pStyle w:val="BodyText"/>
        <w:ind w:left="810" w:right="900"/>
        <w:rPr>
          <w:rFonts w:ascii="Aptos" w:hAnsi="Aptos"/>
        </w:rPr>
      </w:pPr>
    </w:p>
    <w:p w14:paraId="145A82A0" w14:textId="77777777" w:rsidR="00573AD7" w:rsidRPr="00423780" w:rsidRDefault="00573AD7" w:rsidP="00573AD7">
      <w:pPr>
        <w:pStyle w:val="BodyText"/>
        <w:ind w:left="810" w:right="900"/>
        <w:rPr>
          <w:rFonts w:ascii="Aptos" w:hAnsi="Aptos"/>
          <w:b/>
          <w:bCs/>
        </w:rPr>
      </w:pPr>
      <w:r w:rsidRPr="00423780">
        <w:rPr>
          <w:rFonts w:ascii="Aptos" w:hAnsi="Aptos"/>
          <w:b/>
          <w:bCs/>
        </w:rPr>
        <w:t xml:space="preserve">Findings: </w:t>
      </w:r>
    </w:p>
    <w:p w14:paraId="6F51F948" w14:textId="77777777" w:rsidR="00573AD7" w:rsidRPr="00573AD7" w:rsidRDefault="00573AD7" w:rsidP="00573AD7">
      <w:pPr>
        <w:pStyle w:val="BodyText"/>
        <w:ind w:left="810" w:right="900"/>
        <w:rPr>
          <w:rFonts w:ascii="Aptos" w:hAnsi="Aptos"/>
        </w:rPr>
      </w:pPr>
      <w:r w:rsidRPr="00573AD7">
        <w:rPr>
          <w:rFonts w:ascii="Aptos" w:hAnsi="Aptos"/>
        </w:rPr>
        <w:t xml:space="preserve">The Department finds that Shields Signature Imaging, LLC has provided the Department with the information required in 105 CMR 100.745(D). Based upon review of the Notice and supporting materials, the Department finds that this transaction does not require a </w:t>
      </w:r>
      <w:proofErr w:type="spellStart"/>
      <w:r w:rsidRPr="00573AD7">
        <w:rPr>
          <w:rFonts w:ascii="Aptos" w:hAnsi="Aptos"/>
        </w:rPr>
        <w:t>DoN</w:t>
      </w:r>
      <w:proofErr w:type="spellEnd"/>
      <w:r w:rsidRPr="00573AD7">
        <w:rPr>
          <w:rFonts w:ascii="Aptos" w:hAnsi="Aptos"/>
        </w:rPr>
        <w:t xml:space="preserve"> either as a Substantial Capital Expenditure or Substantial Change in Service, pursuant to 105 CMR 100.730. The Applicant has stated that the proposed Transfer of Site is temporary and the mobile PET-CT will be returned to its original location. The Applicant will provide written notification to the Department when the mobile PET-CT is returned to its original location. If the Applicant decides that the proposed transfer of site of the mobile PET-CT is to be made permanent, then the Applicant will be required to apply for </w:t>
      </w:r>
      <w:proofErr w:type="spellStart"/>
      <w:r w:rsidRPr="00573AD7">
        <w:rPr>
          <w:rFonts w:ascii="Aptos" w:hAnsi="Aptos"/>
        </w:rPr>
        <w:t>DoN</w:t>
      </w:r>
      <w:proofErr w:type="spellEnd"/>
      <w:r w:rsidRPr="00573AD7">
        <w:rPr>
          <w:rFonts w:ascii="Aptos" w:hAnsi="Aptos"/>
        </w:rPr>
        <w:t xml:space="preserve"> approval.</w:t>
      </w:r>
    </w:p>
    <w:p w14:paraId="36D53219" w14:textId="77777777" w:rsidR="00573AD7" w:rsidRPr="00573AD7" w:rsidRDefault="00573AD7" w:rsidP="00573AD7">
      <w:pPr>
        <w:pStyle w:val="BodyText"/>
        <w:ind w:left="810" w:right="900"/>
        <w:rPr>
          <w:rFonts w:ascii="Aptos" w:hAnsi="Aptos"/>
        </w:rPr>
      </w:pPr>
    </w:p>
    <w:p w14:paraId="2BEFB523" w14:textId="77777777" w:rsidR="00573AD7" w:rsidRPr="00573AD7" w:rsidRDefault="00573AD7" w:rsidP="00573AD7">
      <w:pPr>
        <w:pStyle w:val="BodyText"/>
        <w:ind w:left="810" w:right="900"/>
        <w:rPr>
          <w:rFonts w:ascii="Aptos" w:hAnsi="Aptos"/>
        </w:rPr>
      </w:pPr>
      <w:r w:rsidRPr="00573AD7">
        <w:rPr>
          <w:rFonts w:ascii="Aptos" w:hAnsi="Aptos"/>
        </w:rPr>
        <w:t>Sincerely</w:t>
      </w:r>
    </w:p>
    <w:p w14:paraId="2604C134" w14:textId="77777777" w:rsidR="00573AD7" w:rsidRPr="00573AD7" w:rsidRDefault="00573AD7" w:rsidP="00573AD7">
      <w:pPr>
        <w:pStyle w:val="BodyText"/>
        <w:ind w:left="810" w:right="900"/>
        <w:rPr>
          <w:rFonts w:ascii="Aptos" w:hAnsi="Aptos"/>
        </w:rPr>
      </w:pPr>
    </w:p>
    <w:p w14:paraId="1F74B84A" w14:textId="57D51219" w:rsidR="00573AD7" w:rsidRPr="00573AD7" w:rsidRDefault="00132B63" w:rsidP="00573AD7">
      <w:pPr>
        <w:pStyle w:val="BodyText"/>
        <w:ind w:left="810" w:right="900"/>
        <w:rPr>
          <w:rFonts w:ascii="Aptos" w:hAnsi="Aptos"/>
        </w:rPr>
      </w:pPr>
      <w:r>
        <w:rPr>
          <w:noProof/>
        </w:rPr>
        <w:drawing>
          <wp:inline distT="0" distB="0" distL="0" distR="0" wp14:anchorId="24241CDB" wp14:editId="5E7A193C">
            <wp:extent cx="917762" cy="1200150"/>
            <wp:effectExtent l="0" t="0" r="0" b="0"/>
            <wp:docPr id="1642709035" name="Picture 1642709035" descr="Robert Goldstein digita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09035" name="Picture 1642709035" descr="Robert Goldstein digital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7762" cy="1200150"/>
                    </a:xfrm>
                    <a:prstGeom prst="rect">
                      <a:avLst/>
                    </a:prstGeom>
                    <a:noFill/>
                    <a:ln>
                      <a:noFill/>
                    </a:ln>
                  </pic:spPr>
                </pic:pic>
              </a:graphicData>
            </a:graphic>
          </wp:inline>
        </w:drawing>
      </w:r>
    </w:p>
    <w:p w14:paraId="5BCEC4E6" w14:textId="77777777" w:rsidR="00573AD7" w:rsidRPr="00573AD7" w:rsidRDefault="00573AD7" w:rsidP="00573AD7">
      <w:pPr>
        <w:pStyle w:val="BodyText"/>
        <w:ind w:left="810" w:right="900"/>
        <w:rPr>
          <w:rFonts w:ascii="Aptos" w:hAnsi="Aptos"/>
        </w:rPr>
      </w:pPr>
    </w:p>
    <w:p w14:paraId="2664997A" w14:textId="77777777" w:rsidR="00573AD7" w:rsidRPr="00573AD7" w:rsidRDefault="00573AD7" w:rsidP="00573AD7">
      <w:pPr>
        <w:pStyle w:val="BodyText"/>
        <w:ind w:left="810" w:right="900"/>
        <w:rPr>
          <w:rFonts w:ascii="Aptos" w:hAnsi="Aptos"/>
        </w:rPr>
      </w:pPr>
      <w:r w:rsidRPr="00573AD7">
        <w:rPr>
          <w:rFonts w:ascii="Aptos" w:hAnsi="Aptos"/>
        </w:rPr>
        <w:t xml:space="preserve">Robbie Goldstein, MD, PhD </w:t>
      </w:r>
    </w:p>
    <w:p w14:paraId="11502898" w14:textId="7C60A2B3" w:rsidR="00063885" w:rsidRPr="00063885" w:rsidRDefault="00573AD7" w:rsidP="00573AD7">
      <w:pPr>
        <w:pStyle w:val="BodyText"/>
        <w:ind w:left="810" w:right="900"/>
        <w:rPr>
          <w:rFonts w:ascii="Aptos" w:hAnsi="Aptos"/>
        </w:rPr>
      </w:pPr>
      <w:r w:rsidRPr="00573AD7">
        <w:rPr>
          <w:rFonts w:ascii="Aptos" w:hAnsi="Aptos"/>
        </w:rPr>
        <w:t>Commissioner, Massachusetts Department of Public Health</w:t>
      </w:r>
    </w:p>
    <w:sectPr w:rsidR="00063885" w:rsidRPr="00063885" w:rsidSect="00063885">
      <w:type w:val="continuous"/>
      <w:pgSz w:w="12240" w:h="15840"/>
      <w:pgMar w:top="1360" w:right="260" w:bottom="1260" w:left="6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509F" w14:textId="77777777" w:rsidR="00E60709" w:rsidRDefault="00E60709">
      <w:r>
        <w:separator/>
      </w:r>
    </w:p>
  </w:endnote>
  <w:endnote w:type="continuationSeparator" w:id="0">
    <w:p w14:paraId="50BE01AF" w14:textId="77777777" w:rsidR="00E60709" w:rsidRDefault="00E6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729947"/>
      <w:docPartObj>
        <w:docPartGallery w:val="Page Numbers (Bottom of Page)"/>
        <w:docPartUnique/>
      </w:docPartObj>
    </w:sdtPr>
    <w:sdtEndPr>
      <w:rPr>
        <w:noProof/>
      </w:rPr>
    </w:sdtEndPr>
    <w:sdtContent>
      <w:p w14:paraId="37FBBEA8" w14:textId="678D4467" w:rsidR="00D90CD9" w:rsidRDefault="00D90CD9">
        <w:pPr>
          <w:pStyle w:val="Footer"/>
          <w:jc w:val="center"/>
        </w:pPr>
        <w:r w:rsidRPr="00D90CD9">
          <w:rPr>
            <w:rFonts w:ascii="Aptos" w:hAnsi="Aptos"/>
          </w:rPr>
          <w:fldChar w:fldCharType="begin"/>
        </w:r>
        <w:r w:rsidRPr="00D90CD9">
          <w:rPr>
            <w:rFonts w:ascii="Aptos" w:hAnsi="Aptos"/>
          </w:rPr>
          <w:instrText xml:space="preserve"> PAGE   \* MERGEFORMAT </w:instrText>
        </w:r>
        <w:r w:rsidRPr="00D90CD9">
          <w:rPr>
            <w:rFonts w:ascii="Aptos" w:hAnsi="Aptos"/>
          </w:rPr>
          <w:fldChar w:fldCharType="separate"/>
        </w:r>
        <w:r w:rsidRPr="00D90CD9">
          <w:rPr>
            <w:rFonts w:ascii="Aptos" w:hAnsi="Aptos"/>
            <w:noProof/>
          </w:rPr>
          <w:t>2</w:t>
        </w:r>
        <w:r w:rsidRPr="00D90CD9">
          <w:rPr>
            <w:rFonts w:ascii="Aptos" w:hAnsi="Aptos"/>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D568" w14:textId="77777777" w:rsidR="00E60709" w:rsidRDefault="00E60709">
      <w:r>
        <w:separator/>
      </w:r>
    </w:p>
  </w:footnote>
  <w:footnote w:type="continuationSeparator" w:id="0">
    <w:p w14:paraId="1AEE820E" w14:textId="77777777" w:rsidR="00E60709" w:rsidRDefault="00E6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0DD2577C"/>
    <w:multiLevelType w:val="hybridMultilevel"/>
    <w:tmpl w:val="73726834"/>
    <w:lvl w:ilvl="0" w:tplc="5224A9B2">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4" w15:restartNumberingAfterBreak="0">
    <w:nsid w:val="119A621E"/>
    <w:multiLevelType w:val="hybridMultilevel"/>
    <w:tmpl w:val="AF5285B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 w15:restartNumberingAfterBreak="0">
    <w:nsid w:val="198E2114"/>
    <w:multiLevelType w:val="hybridMultilevel"/>
    <w:tmpl w:val="808AB2E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478383E"/>
    <w:multiLevelType w:val="hybridMultilevel"/>
    <w:tmpl w:val="A6C08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14F8B"/>
    <w:multiLevelType w:val="hybridMultilevel"/>
    <w:tmpl w:val="8BA26736"/>
    <w:lvl w:ilvl="0" w:tplc="0D526A5E">
      <w:start w:val="2"/>
      <w:numFmt w:val="decimal"/>
      <w:lvlText w:val="%1."/>
      <w:lvlJc w:val="left"/>
      <w:pPr>
        <w:ind w:left="6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DE8268">
      <w:start w:val="1"/>
      <w:numFmt w:val="lowerLetter"/>
      <w:lvlText w:val="%2."/>
      <w:lvlJc w:val="left"/>
      <w:pPr>
        <w:ind w:left="1361"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tplc="673E22AA">
      <w:numFmt w:val="bullet"/>
      <w:lvlText w:val="•"/>
      <w:lvlJc w:val="left"/>
      <w:pPr>
        <w:ind w:left="2368" w:hanging="420"/>
      </w:pPr>
      <w:rPr>
        <w:rFonts w:hint="default"/>
        <w:lang w:val="en-US" w:eastAsia="en-US" w:bidi="ar-SA"/>
      </w:rPr>
    </w:lvl>
    <w:lvl w:ilvl="3" w:tplc="4502E216">
      <w:numFmt w:val="bullet"/>
      <w:lvlText w:val="•"/>
      <w:lvlJc w:val="left"/>
      <w:pPr>
        <w:ind w:left="3377" w:hanging="420"/>
      </w:pPr>
      <w:rPr>
        <w:rFonts w:hint="default"/>
        <w:lang w:val="en-US" w:eastAsia="en-US" w:bidi="ar-SA"/>
      </w:rPr>
    </w:lvl>
    <w:lvl w:ilvl="4" w:tplc="29642BB2">
      <w:numFmt w:val="bullet"/>
      <w:lvlText w:val="•"/>
      <w:lvlJc w:val="left"/>
      <w:pPr>
        <w:ind w:left="4386" w:hanging="420"/>
      </w:pPr>
      <w:rPr>
        <w:rFonts w:hint="default"/>
        <w:lang w:val="en-US" w:eastAsia="en-US" w:bidi="ar-SA"/>
      </w:rPr>
    </w:lvl>
    <w:lvl w:ilvl="5" w:tplc="D2C443B6">
      <w:numFmt w:val="bullet"/>
      <w:lvlText w:val="•"/>
      <w:lvlJc w:val="left"/>
      <w:pPr>
        <w:ind w:left="5395" w:hanging="420"/>
      </w:pPr>
      <w:rPr>
        <w:rFonts w:hint="default"/>
        <w:lang w:val="en-US" w:eastAsia="en-US" w:bidi="ar-SA"/>
      </w:rPr>
    </w:lvl>
    <w:lvl w:ilvl="6" w:tplc="01FECF02">
      <w:numFmt w:val="bullet"/>
      <w:lvlText w:val="•"/>
      <w:lvlJc w:val="left"/>
      <w:pPr>
        <w:ind w:left="6404" w:hanging="420"/>
      </w:pPr>
      <w:rPr>
        <w:rFonts w:hint="default"/>
        <w:lang w:val="en-US" w:eastAsia="en-US" w:bidi="ar-SA"/>
      </w:rPr>
    </w:lvl>
    <w:lvl w:ilvl="7" w:tplc="13983662">
      <w:numFmt w:val="bullet"/>
      <w:lvlText w:val="•"/>
      <w:lvlJc w:val="left"/>
      <w:pPr>
        <w:ind w:left="7413" w:hanging="420"/>
      </w:pPr>
      <w:rPr>
        <w:rFonts w:hint="default"/>
        <w:lang w:val="en-US" w:eastAsia="en-US" w:bidi="ar-SA"/>
      </w:rPr>
    </w:lvl>
    <w:lvl w:ilvl="8" w:tplc="9A02CB9C">
      <w:numFmt w:val="bullet"/>
      <w:lvlText w:val="•"/>
      <w:lvlJc w:val="left"/>
      <w:pPr>
        <w:ind w:left="8422" w:hanging="420"/>
      </w:pPr>
      <w:rPr>
        <w:rFonts w:hint="default"/>
        <w:lang w:val="en-US" w:eastAsia="en-US" w:bidi="ar-SA"/>
      </w:rPr>
    </w:lvl>
  </w:abstractNum>
  <w:abstractNum w:abstractNumId="10"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3" w15:restartNumberingAfterBreak="0">
    <w:nsid w:val="325C2A15"/>
    <w:multiLevelType w:val="hybridMultilevel"/>
    <w:tmpl w:val="25E06E2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7"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301608"/>
    <w:multiLevelType w:val="hybridMultilevel"/>
    <w:tmpl w:val="BD4EF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6651B"/>
    <w:multiLevelType w:val="hybridMultilevel"/>
    <w:tmpl w:val="295C2B9A"/>
    <w:lvl w:ilvl="0" w:tplc="10B2D864">
      <w:start w:val="1"/>
      <w:numFmt w:val="lowerLetter"/>
      <w:lvlText w:val="%1."/>
      <w:lvlJc w:val="left"/>
      <w:pPr>
        <w:ind w:left="136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13ED666">
      <w:start w:val="1"/>
      <w:numFmt w:val="lowerRoman"/>
      <w:lvlText w:val="%2."/>
      <w:lvlJc w:val="left"/>
      <w:pPr>
        <w:ind w:left="208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A4865710">
      <w:numFmt w:val="bullet"/>
      <w:lvlText w:val="•"/>
      <w:lvlJc w:val="left"/>
      <w:pPr>
        <w:ind w:left="3008" w:hanging="308"/>
      </w:pPr>
      <w:rPr>
        <w:rFonts w:hint="default"/>
        <w:lang w:val="en-US" w:eastAsia="en-US" w:bidi="ar-SA"/>
      </w:rPr>
    </w:lvl>
    <w:lvl w:ilvl="3" w:tplc="8E3641B4">
      <w:numFmt w:val="bullet"/>
      <w:lvlText w:val="•"/>
      <w:lvlJc w:val="left"/>
      <w:pPr>
        <w:ind w:left="3937" w:hanging="308"/>
      </w:pPr>
      <w:rPr>
        <w:rFonts w:hint="default"/>
        <w:lang w:val="en-US" w:eastAsia="en-US" w:bidi="ar-SA"/>
      </w:rPr>
    </w:lvl>
    <w:lvl w:ilvl="4" w:tplc="0DDAA740">
      <w:numFmt w:val="bullet"/>
      <w:lvlText w:val="•"/>
      <w:lvlJc w:val="left"/>
      <w:pPr>
        <w:ind w:left="4866" w:hanging="308"/>
      </w:pPr>
      <w:rPr>
        <w:rFonts w:hint="default"/>
        <w:lang w:val="en-US" w:eastAsia="en-US" w:bidi="ar-SA"/>
      </w:rPr>
    </w:lvl>
    <w:lvl w:ilvl="5" w:tplc="C690373C">
      <w:numFmt w:val="bullet"/>
      <w:lvlText w:val="•"/>
      <w:lvlJc w:val="left"/>
      <w:pPr>
        <w:ind w:left="5795" w:hanging="308"/>
      </w:pPr>
      <w:rPr>
        <w:rFonts w:hint="default"/>
        <w:lang w:val="en-US" w:eastAsia="en-US" w:bidi="ar-SA"/>
      </w:rPr>
    </w:lvl>
    <w:lvl w:ilvl="6" w:tplc="77742B5E">
      <w:numFmt w:val="bullet"/>
      <w:lvlText w:val="•"/>
      <w:lvlJc w:val="left"/>
      <w:pPr>
        <w:ind w:left="6724" w:hanging="308"/>
      </w:pPr>
      <w:rPr>
        <w:rFonts w:hint="default"/>
        <w:lang w:val="en-US" w:eastAsia="en-US" w:bidi="ar-SA"/>
      </w:rPr>
    </w:lvl>
    <w:lvl w:ilvl="7" w:tplc="F9967726">
      <w:numFmt w:val="bullet"/>
      <w:lvlText w:val="•"/>
      <w:lvlJc w:val="left"/>
      <w:pPr>
        <w:ind w:left="7653" w:hanging="308"/>
      </w:pPr>
      <w:rPr>
        <w:rFonts w:hint="default"/>
        <w:lang w:val="en-US" w:eastAsia="en-US" w:bidi="ar-SA"/>
      </w:rPr>
    </w:lvl>
    <w:lvl w:ilvl="8" w:tplc="7F1A6E6A">
      <w:numFmt w:val="bullet"/>
      <w:lvlText w:val="•"/>
      <w:lvlJc w:val="left"/>
      <w:pPr>
        <w:ind w:left="8582" w:hanging="308"/>
      </w:pPr>
      <w:rPr>
        <w:rFonts w:hint="default"/>
        <w:lang w:val="en-US" w:eastAsia="en-US" w:bidi="ar-SA"/>
      </w:rPr>
    </w:lvl>
  </w:abstractNum>
  <w:abstractNum w:abstractNumId="23" w15:restartNumberingAfterBreak="0">
    <w:nsid w:val="68D15C1F"/>
    <w:multiLevelType w:val="hybridMultilevel"/>
    <w:tmpl w:val="E9CCE85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71D61"/>
    <w:multiLevelType w:val="hybridMultilevel"/>
    <w:tmpl w:val="A580873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12"/>
  </w:num>
  <w:num w:numId="2" w16cid:durableId="762186708">
    <w:abstractNumId w:val="24"/>
  </w:num>
  <w:num w:numId="3" w16cid:durableId="1646734026">
    <w:abstractNumId w:val="11"/>
  </w:num>
  <w:num w:numId="4" w16cid:durableId="1199271187">
    <w:abstractNumId w:val="16"/>
  </w:num>
  <w:num w:numId="5" w16cid:durableId="681317537">
    <w:abstractNumId w:val="5"/>
  </w:num>
  <w:num w:numId="6" w16cid:durableId="1381707578">
    <w:abstractNumId w:val="1"/>
  </w:num>
  <w:num w:numId="7" w16cid:durableId="1098794647">
    <w:abstractNumId w:val="0"/>
  </w:num>
  <w:num w:numId="8" w16cid:durableId="1471090044">
    <w:abstractNumId w:val="7"/>
  </w:num>
  <w:num w:numId="9" w16cid:durableId="1618444258">
    <w:abstractNumId w:val="26"/>
  </w:num>
  <w:num w:numId="10" w16cid:durableId="803431336">
    <w:abstractNumId w:val="10"/>
  </w:num>
  <w:num w:numId="11" w16cid:durableId="1804107474">
    <w:abstractNumId w:val="18"/>
  </w:num>
  <w:num w:numId="12" w16cid:durableId="821509815">
    <w:abstractNumId w:val="20"/>
  </w:num>
  <w:num w:numId="13" w16cid:durableId="1251425427">
    <w:abstractNumId w:val="14"/>
  </w:num>
  <w:num w:numId="14" w16cid:durableId="70465832">
    <w:abstractNumId w:val="17"/>
  </w:num>
  <w:num w:numId="15" w16cid:durableId="1239251066">
    <w:abstractNumId w:val="15"/>
  </w:num>
  <w:num w:numId="16" w16cid:durableId="341590028">
    <w:abstractNumId w:val="3"/>
  </w:num>
  <w:num w:numId="17" w16cid:durableId="908684904">
    <w:abstractNumId w:val="21"/>
  </w:num>
  <w:num w:numId="18" w16cid:durableId="1312096729">
    <w:abstractNumId w:val="6"/>
  </w:num>
  <w:num w:numId="19" w16cid:durableId="623849512">
    <w:abstractNumId w:val="2"/>
  </w:num>
  <w:num w:numId="20" w16cid:durableId="350842595">
    <w:abstractNumId w:val="19"/>
  </w:num>
  <w:num w:numId="21" w16cid:durableId="695741340">
    <w:abstractNumId w:val="9"/>
  </w:num>
  <w:num w:numId="22" w16cid:durableId="279993137">
    <w:abstractNumId w:val="22"/>
  </w:num>
  <w:num w:numId="23" w16cid:durableId="1419055783">
    <w:abstractNumId w:val="13"/>
  </w:num>
  <w:num w:numId="24" w16cid:durableId="1463115669">
    <w:abstractNumId w:val="4"/>
  </w:num>
  <w:num w:numId="25" w16cid:durableId="331954822">
    <w:abstractNumId w:val="25"/>
  </w:num>
  <w:num w:numId="26" w16cid:durableId="1039355279">
    <w:abstractNumId w:val="8"/>
  </w:num>
  <w:num w:numId="27" w16cid:durableId="3324195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53FD9"/>
    <w:rsid w:val="0005468D"/>
    <w:rsid w:val="00063885"/>
    <w:rsid w:val="000B6559"/>
    <w:rsid w:val="000D1CF0"/>
    <w:rsid w:val="000D2F88"/>
    <w:rsid w:val="000D3FB0"/>
    <w:rsid w:val="000E2928"/>
    <w:rsid w:val="000F3926"/>
    <w:rsid w:val="00132B63"/>
    <w:rsid w:val="001432AE"/>
    <w:rsid w:val="0015099B"/>
    <w:rsid w:val="00164791"/>
    <w:rsid w:val="001825F9"/>
    <w:rsid w:val="00186596"/>
    <w:rsid w:val="00197F86"/>
    <w:rsid w:val="001D6D5B"/>
    <w:rsid w:val="001E0761"/>
    <w:rsid w:val="001E5A42"/>
    <w:rsid w:val="001F5073"/>
    <w:rsid w:val="00214171"/>
    <w:rsid w:val="00222511"/>
    <w:rsid w:val="0024067D"/>
    <w:rsid w:val="00290C8F"/>
    <w:rsid w:val="002B062A"/>
    <w:rsid w:val="002B7116"/>
    <w:rsid w:val="002C47A2"/>
    <w:rsid w:val="002C5E17"/>
    <w:rsid w:val="002F5FED"/>
    <w:rsid w:val="00321E11"/>
    <w:rsid w:val="003A5E44"/>
    <w:rsid w:val="003A7506"/>
    <w:rsid w:val="003C1141"/>
    <w:rsid w:val="003E5393"/>
    <w:rsid w:val="003F022A"/>
    <w:rsid w:val="00413D9A"/>
    <w:rsid w:val="00423780"/>
    <w:rsid w:val="00445775"/>
    <w:rsid w:val="004628B2"/>
    <w:rsid w:val="004A0AEC"/>
    <w:rsid w:val="004B1E52"/>
    <w:rsid w:val="004E027A"/>
    <w:rsid w:val="004E26E5"/>
    <w:rsid w:val="00513028"/>
    <w:rsid w:val="0053354C"/>
    <w:rsid w:val="00554AC4"/>
    <w:rsid w:val="0055755B"/>
    <w:rsid w:val="00573AD7"/>
    <w:rsid w:val="005E53D6"/>
    <w:rsid w:val="00641449"/>
    <w:rsid w:val="006547AF"/>
    <w:rsid w:val="006732EA"/>
    <w:rsid w:val="00676FFB"/>
    <w:rsid w:val="00681FDA"/>
    <w:rsid w:val="00695344"/>
    <w:rsid w:val="006C6B86"/>
    <w:rsid w:val="00716874"/>
    <w:rsid w:val="007611B0"/>
    <w:rsid w:val="0079253C"/>
    <w:rsid w:val="007A5626"/>
    <w:rsid w:val="007C0327"/>
    <w:rsid w:val="007C351A"/>
    <w:rsid w:val="00804240"/>
    <w:rsid w:val="00806568"/>
    <w:rsid w:val="0083193A"/>
    <w:rsid w:val="008336CC"/>
    <w:rsid w:val="00865BCA"/>
    <w:rsid w:val="00867F48"/>
    <w:rsid w:val="00897125"/>
    <w:rsid w:val="008B0404"/>
    <w:rsid w:val="008D5B84"/>
    <w:rsid w:val="008E5521"/>
    <w:rsid w:val="008E7386"/>
    <w:rsid w:val="00913A91"/>
    <w:rsid w:val="00944448"/>
    <w:rsid w:val="0096649E"/>
    <w:rsid w:val="00993447"/>
    <w:rsid w:val="009B09D3"/>
    <w:rsid w:val="009F5D42"/>
    <w:rsid w:val="00A14492"/>
    <w:rsid w:val="00A47870"/>
    <w:rsid w:val="00A53436"/>
    <w:rsid w:val="00A727E6"/>
    <w:rsid w:val="00A83757"/>
    <w:rsid w:val="00A94B74"/>
    <w:rsid w:val="00AA4094"/>
    <w:rsid w:val="00AC7937"/>
    <w:rsid w:val="00BB45AE"/>
    <w:rsid w:val="00BC6819"/>
    <w:rsid w:val="00C421A9"/>
    <w:rsid w:val="00C42626"/>
    <w:rsid w:val="00C43DBE"/>
    <w:rsid w:val="00C5214F"/>
    <w:rsid w:val="00C676B8"/>
    <w:rsid w:val="00C67880"/>
    <w:rsid w:val="00C7386E"/>
    <w:rsid w:val="00C76F63"/>
    <w:rsid w:val="00C83692"/>
    <w:rsid w:val="00CB7D7B"/>
    <w:rsid w:val="00CC1370"/>
    <w:rsid w:val="00CF460A"/>
    <w:rsid w:val="00CF4C90"/>
    <w:rsid w:val="00D71554"/>
    <w:rsid w:val="00D73035"/>
    <w:rsid w:val="00D76CB3"/>
    <w:rsid w:val="00D81782"/>
    <w:rsid w:val="00D90CD9"/>
    <w:rsid w:val="00DB68C1"/>
    <w:rsid w:val="00DD55B5"/>
    <w:rsid w:val="00DD783A"/>
    <w:rsid w:val="00DF3412"/>
    <w:rsid w:val="00E11F7C"/>
    <w:rsid w:val="00E132E0"/>
    <w:rsid w:val="00E341B8"/>
    <w:rsid w:val="00E60709"/>
    <w:rsid w:val="00E6297C"/>
    <w:rsid w:val="00F246D2"/>
    <w:rsid w:val="00F44CD0"/>
    <w:rsid w:val="00F663CE"/>
    <w:rsid w:val="00FC1E56"/>
    <w:rsid w:val="00FD4921"/>
    <w:rsid w:val="00FD6504"/>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paragraph" w:styleId="Heading1">
    <w:name w:val="heading 1"/>
    <w:basedOn w:val="BodyText"/>
    <w:link w:val="Heading1Char"/>
    <w:uiPriority w:val="9"/>
    <w:qFormat/>
    <w:rsid w:val="00423780"/>
    <w:pPr>
      <w:ind w:left="810" w:right="900"/>
      <w:outlineLvl w:val="0"/>
    </w:pPr>
    <w:rPr>
      <w:rFonts w:ascii="Aptos" w:hAnsi="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 w:type="character" w:customStyle="1" w:styleId="Heading1Char">
    <w:name w:val="Heading 1 Char"/>
    <w:basedOn w:val="DefaultParagraphFont"/>
    <w:link w:val="Heading1"/>
    <w:uiPriority w:val="9"/>
    <w:rsid w:val="00423780"/>
    <w:rPr>
      <w:rFonts w:ascii="Aptos" w:eastAsia="Times New Roman" w:hAnsi="Apto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237</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Beth Israel Final Action</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Shields Signature TOS Final Action</dc:title>
  <dc:subject/>
  <dc:creator>Marks, Brett (DPH)</dc:creator>
  <cp:keywords/>
  <dc:description/>
  <cp:lastModifiedBy>Marks, Brett (DPH)</cp:lastModifiedBy>
  <cp:revision>90</cp:revision>
  <dcterms:created xsi:type="dcterms:W3CDTF">2023-05-18T13:56:00Z</dcterms:created>
  <dcterms:modified xsi:type="dcterms:W3CDTF">2026-05-26T13:47:00Z</dcterms:modified>
</cp:coreProperties>
</file>