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E51A0" w14:textId="746B8AF1" w:rsidR="00E3380B" w:rsidRPr="00F8258C" w:rsidRDefault="00E3380B" w:rsidP="00F8258C">
      <w:pPr>
        <w:pStyle w:val="BodyText"/>
        <w:spacing w:before="160" w:line="360" w:lineRule="auto"/>
        <w:ind w:left="2194" w:right="1479" w:hanging="12"/>
        <w:rPr>
          <w:sz w:val="22"/>
          <w:szCs w:val="22"/>
        </w:rPr>
      </w:pPr>
      <w:r w:rsidRPr="00F8258C">
        <w:rPr>
          <w:sz w:val="22"/>
          <w:szCs w:val="22"/>
        </w:rPr>
        <w:t xml:space="preserve">COMMONWEALTH OF MASSACHUSETTS </w:t>
      </w:r>
      <w:bookmarkStart w:id="0" w:name="Draft_Final_Decision_and_Order"/>
      <w:bookmarkEnd w:id="0"/>
      <w:r w:rsidRPr="00F8258C">
        <w:rPr>
          <w:w w:val="105"/>
          <w:sz w:val="22"/>
          <w:szCs w:val="22"/>
        </w:rPr>
        <w:t>BOARD</w:t>
      </w:r>
      <w:r w:rsidRPr="00F8258C">
        <w:rPr>
          <w:spacing w:val="-13"/>
          <w:w w:val="105"/>
          <w:sz w:val="22"/>
          <w:szCs w:val="22"/>
        </w:rPr>
        <w:t xml:space="preserve"> </w:t>
      </w:r>
      <w:r w:rsidRPr="00F8258C">
        <w:rPr>
          <w:w w:val="105"/>
          <w:sz w:val="22"/>
          <w:szCs w:val="22"/>
        </w:rPr>
        <w:t>OF</w:t>
      </w:r>
      <w:r w:rsidRPr="00F8258C">
        <w:rPr>
          <w:spacing w:val="-15"/>
          <w:w w:val="105"/>
          <w:sz w:val="22"/>
          <w:szCs w:val="22"/>
        </w:rPr>
        <w:t xml:space="preserve"> </w:t>
      </w:r>
      <w:r w:rsidRPr="00F8258C">
        <w:rPr>
          <w:w w:val="105"/>
          <w:sz w:val="22"/>
          <w:szCs w:val="22"/>
        </w:rPr>
        <w:t>REGISTRATION</w:t>
      </w:r>
      <w:r w:rsidRPr="00F8258C">
        <w:rPr>
          <w:spacing w:val="5"/>
          <w:w w:val="105"/>
          <w:sz w:val="22"/>
          <w:szCs w:val="22"/>
        </w:rPr>
        <w:t xml:space="preserve"> </w:t>
      </w:r>
      <w:r w:rsidRPr="00F8258C">
        <w:rPr>
          <w:w w:val="105"/>
          <w:sz w:val="22"/>
          <w:szCs w:val="22"/>
        </w:rPr>
        <w:t>IN</w:t>
      </w:r>
      <w:r w:rsidRPr="00F8258C">
        <w:rPr>
          <w:spacing w:val="-12"/>
          <w:w w:val="105"/>
          <w:sz w:val="22"/>
          <w:szCs w:val="22"/>
        </w:rPr>
        <w:t xml:space="preserve"> </w:t>
      </w:r>
      <w:r w:rsidRPr="00F8258C">
        <w:rPr>
          <w:spacing w:val="-2"/>
          <w:w w:val="105"/>
          <w:sz w:val="22"/>
          <w:szCs w:val="22"/>
        </w:rPr>
        <w:t>MEDICINE</w:t>
      </w:r>
    </w:p>
    <w:p w14:paraId="0D2E1E93" w14:textId="77777777" w:rsidR="00E3380B" w:rsidRPr="00F8258C" w:rsidRDefault="00E3380B" w:rsidP="00F8258C">
      <w:pPr>
        <w:pStyle w:val="BodyText"/>
        <w:spacing w:before="9" w:line="360" w:lineRule="auto"/>
        <w:rPr>
          <w:sz w:val="22"/>
          <w:szCs w:val="22"/>
        </w:rPr>
      </w:pPr>
    </w:p>
    <w:p w14:paraId="3D57B0C3" w14:textId="725402F8" w:rsidR="00E3380B" w:rsidRPr="00F8258C" w:rsidRDefault="00E3380B" w:rsidP="00F8258C">
      <w:pPr>
        <w:pStyle w:val="BodyText"/>
        <w:spacing w:before="95" w:line="360" w:lineRule="auto"/>
        <w:ind w:left="4477" w:right="1271" w:hanging="4325"/>
        <w:rPr>
          <w:w w:val="105"/>
          <w:sz w:val="22"/>
          <w:szCs w:val="22"/>
        </w:rPr>
      </w:pPr>
      <w:r w:rsidRPr="00F8258C">
        <w:rPr>
          <w:w w:val="105"/>
          <w:sz w:val="22"/>
          <w:szCs w:val="22"/>
        </w:rPr>
        <w:t>MIDDLESEX, ss</w:t>
      </w:r>
      <w:r w:rsidRPr="00F8258C">
        <w:rPr>
          <w:sz w:val="22"/>
          <w:szCs w:val="22"/>
        </w:rPr>
        <w:tab/>
      </w:r>
      <w:r w:rsidRPr="00F8258C">
        <w:rPr>
          <w:w w:val="105"/>
          <w:position w:val="1"/>
          <w:sz w:val="22"/>
          <w:szCs w:val="22"/>
        </w:rPr>
        <w:t>Adjudicatory</w:t>
      </w:r>
      <w:r w:rsidRPr="00F8258C">
        <w:rPr>
          <w:spacing w:val="-4"/>
          <w:w w:val="105"/>
          <w:position w:val="1"/>
          <w:sz w:val="22"/>
          <w:szCs w:val="22"/>
        </w:rPr>
        <w:t xml:space="preserve"> </w:t>
      </w:r>
      <w:r w:rsidRPr="00F8258C">
        <w:rPr>
          <w:w w:val="105"/>
          <w:position w:val="1"/>
          <w:sz w:val="22"/>
          <w:szCs w:val="22"/>
        </w:rPr>
        <w:t>Case</w:t>
      </w:r>
      <w:r w:rsidRPr="00F8258C">
        <w:rPr>
          <w:spacing w:val="-15"/>
          <w:w w:val="105"/>
          <w:position w:val="1"/>
          <w:sz w:val="22"/>
          <w:szCs w:val="22"/>
        </w:rPr>
        <w:t xml:space="preserve"> </w:t>
      </w:r>
      <w:r w:rsidRPr="00F8258C">
        <w:rPr>
          <w:w w:val="105"/>
          <w:position w:val="1"/>
          <w:sz w:val="22"/>
          <w:szCs w:val="22"/>
        </w:rPr>
        <w:t>No.</w:t>
      </w:r>
      <w:r w:rsidRPr="00F8258C">
        <w:rPr>
          <w:spacing w:val="-15"/>
          <w:w w:val="105"/>
          <w:position w:val="1"/>
          <w:sz w:val="22"/>
          <w:szCs w:val="22"/>
        </w:rPr>
        <w:t xml:space="preserve"> </w:t>
      </w:r>
      <w:r w:rsidRPr="00F8258C">
        <w:rPr>
          <w:w w:val="105"/>
          <w:position w:val="1"/>
          <w:sz w:val="22"/>
          <w:szCs w:val="22"/>
        </w:rPr>
        <w:t xml:space="preserve">2022-012 </w:t>
      </w:r>
      <w:r w:rsidRPr="00F8258C">
        <w:rPr>
          <w:w w:val="105"/>
          <w:sz w:val="22"/>
          <w:szCs w:val="22"/>
        </w:rPr>
        <w:t xml:space="preserve">(DALA No. </w:t>
      </w:r>
      <w:r w:rsidR="0026754D" w:rsidRPr="00F8258C">
        <w:rPr>
          <w:w w:val="105"/>
          <w:sz w:val="22"/>
          <w:szCs w:val="22"/>
        </w:rPr>
        <w:t>19-</w:t>
      </w:r>
      <w:r w:rsidR="00EE32B4" w:rsidRPr="00F8258C">
        <w:rPr>
          <w:w w:val="105"/>
          <w:sz w:val="22"/>
          <w:szCs w:val="22"/>
        </w:rPr>
        <w:t>0412</w:t>
      </w:r>
      <w:r w:rsidRPr="00F8258C">
        <w:rPr>
          <w:w w:val="105"/>
          <w:sz w:val="22"/>
          <w:szCs w:val="22"/>
        </w:rPr>
        <w:t>)</w:t>
      </w:r>
    </w:p>
    <w:p w14:paraId="186B879E" w14:textId="566D3F4E" w:rsidR="00E3380B" w:rsidRPr="00F8258C" w:rsidRDefault="00E3380B" w:rsidP="00F8258C">
      <w:pPr>
        <w:pStyle w:val="BodyText"/>
        <w:spacing w:line="360" w:lineRule="auto"/>
        <w:rPr>
          <w:sz w:val="22"/>
          <w:szCs w:val="22"/>
        </w:rPr>
      </w:pPr>
      <w:r w:rsidRPr="00F8258C">
        <w:rPr>
          <w:noProof/>
          <w:sz w:val="22"/>
          <w:szCs w:val="22"/>
        </w:rPr>
        <mc:AlternateContent>
          <mc:Choice Requires="wpg">
            <w:drawing>
              <wp:inline distT="0" distB="0" distL="0" distR="0" wp14:anchorId="717FE40B" wp14:editId="592816D1">
                <wp:extent cx="1851660" cy="9525"/>
                <wp:effectExtent l="10795" t="7620" r="1397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9525"/>
                          <a:chOff x="0" y="0"/>
                          <a:chExt cx="2916" cy="15"/>
                        </a:xfrm>
                      </wpg:grpSpPr>
                      <wps:wsp>
                        <wps:cNvPr id="4" name="Line 5"/>
                        <wps:cNvCnPr>
                          <a:cxnSpLocks noChangeShapeType="1"/>
                        </wps:cNvCnPr>
                        <wps:spPr bwMode="auto">
                          <a:xfrm>
                            <a:off x="0" y="7"/>
                            <a:ext cx="291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115C2" id="Group 3" o:spid="_x0000_s1026" style="width:145.8pt;height:.75pt;mso-position-horizontal-relative:char;mso-position-vertical-relative:line" coordsize="2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A0IQIAAK8EAAAOAAAAZHJzL2Uyb0RvYy54bWyklM1y2jAQx++d6TtodC/GTHETDyYHSLjQ&#10;lpkkDyBk2dZU1mokgeHtu5IcYJJLJ+Wgkbwf+u9vtSweTr0iR2GdBF3RfDKlRGgOtdRtRV9fnr7d&#10;UeI80zVToEVFz8LRh+XXL4vBlGIGHahaWIJJtCsHU9HOe1NmmeOd6JmbgBEajQ3Ynnk82jarLRsw&#10;e6+y2XRaZAPY2ljgwjn8uk5Guoz5m0Zw/7tpnPBEVRS1+bjauO7Dmi0XrGwtM53kowz2CRU9kxov&#10;vaRaM8/IwcoPqXrJLTho/IRDn0HTSC5iDVhNPn1XzcbCwcRa2nJozQUTon3H6dNp+a/jxppns7NJ&#10;PW63wP845JINpi1v7eHcJmeyH35Cjf1kBw+x8FNj+5ACSyKnyPd84StOnnD8mN/N86LANnC03c9n&#10;84Sfd9ijD0G8exzDZvd5kWLyGJGxMt0WFY6KQsfxCbkrJfd/lJ47ZkSE7wKFnSWyruh3SjTrsfCt&#10;1IJEOeFedFjpxJCf9MiQaFh1TLcipno5GwzLQ8mo+yYkHBw24B+Z/kjQ3phe4cTHfGHDSmOd3wjo&#10;SdhUVKHg2Cl23DofVFxdQuM0PEml4jwoTQZsUF7kMcCBknUwBjdn2/1KWXJkYaLiL5aEllu3cOea&#10;uS75RVPSjU9a1/GWTrD6cdx7JlXaoyqlR0SBSurrHurzzr6hwy6PzxOnIhYyTnAYu9tz9Lr+zyz/&#10;AgAA//8DAFBLAwQUAAYACAAAACEAyaRmftoAAAADAQAADwAAAGRycy9kb3ducmV2LnhtbEyPQUvD&#10;QBCF74L/YRnBm92k0qIxm1KKeiqCrSDeptlpEpqdDdltkv57Ry96eTC8x3vf5KvJtWqgPjSeDaSz&#10;BBRx6W3DlYGP/cvdA6gQkS22nsnAhQKsiuurHDPrR36nYRcrJSUcMjRQx9hlWoeyJodh5jti8Y6+&#10;dxjl7Cttexyl3LV6niRL7bBhWaixo01N5Wl3dgZeRxzX9+nzsD0dN5ev/eLtc5uSMbc30/oJVKQp&#10;/oXhB1/QoRCmgz+zDao1II/EXxVv/pguQR0ktABd5Po/e/ENAAD//wMAUEsBAi0AFAAGAAgAAAAh&#10;ALaDOJL+AAAA4QEAABMAAAAAAAAAAAAAAAAAAAAAAFtDb250ZW50X1R5cGVzXS54bWxQSwECLQAU&#10;AAYACAAAACEAOP0h/9YAAACUAQAACwAAAAAAAAAAAAAAAAAvAQAAX3JlbHMvLnJlbHNQSwECLQAU&#10;AAYACAAAACEA9sRANCECAACvBAAADgAAAAAAAAAAAAAAAAAuAgAAZHJzL2Uyb0RvYy54bWxQSwEC&#10;LQAUAAYACAAAACEAyaRmftoAAAADAQAADwAAAAAAAAAAAAAAAAB7BAAAZHJzL2Rvd25yZXYueG1s&#10;UEsFBgAAAAAEAAQA8wAAAIIFAAAAAA==&#10;">
                <v:line id="Line 5" o:spid="_x0000_s1027" style="position:absolute;visibility:visible;mso-wrap-style:square" from="0,7" to="2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zJwwAAANoAAAAPAAAAZHJzL2Rvd25yZXYueG1sRI9BawIx&#10;FITvgv8hPMGL1KwipaxGqYLgQSiuvfT2SJ67SzcvSxLX1V9vCkKPw8x8w6w2vW1ERz7UjhXMphkI&#10;Yu1MzaWC7/P+7QNEiMgGG8ek4E4BNuvhYIW5cTc+UVfEUiQIhxwVVDG2uZRBV2QxTF1LnLyL8xZj&#10;kr6UxuMtwW0j51n2Li3WnBYqbGlXkf4trlZBp48PPyl+7Hbbzvdfi4fO9P2o1HjUfy5BROrjf/jV&#10;PhgFC/i7km6AXD8BAAD//wMAUEsBAi0AFAAGAAgAAAAhANvh9svuAAAAhQEAABMAAAAAAAAAAAAA&#10;AAAAAAAAAFtDb250ZW50X1R5cGVzXS54bWxQSwECLQAUAAYACAAAACEAWvQsW78AAAAVAQAACwAA&#10;AAAAAAAAAAAAAAAfAQAAX3JlbHMvLnJlbHNQSwECLQAUAAYACAAAACEApxwsycMAAADaAAAADwAA&#10;AAAAAAAAAAAAAAAHAgAAZHJzL2Rvd25yZXYueG1sUEsFBgAAAAADAAMAtwAAAPcCAAAAAA==&#10;" strokeweight=".25447mm"/>
                <w10:anchorlock/>
              </v:group>
            </w:pict>
          </mc:Fallback>
        </mc:AlternateContent>
      </w:r>
    </w:p>
    <w:p w14:paraId="703E8978" w14:textId="77777777" w:rsidR="00E3380B" w:rsidRPr="00F8258C" w:rsidRDefault="00E3380B" w:rsidP="00F8258C">
      <w:pPr>
        <w:pStyle w:val="BodyText"/>
        <w:tabs>
          <w:tab w:val="left" w:pos="2887"/>
        </w:tabs>
        <w:spacing w:before="19" w:line="360" w:lineRule="auto"/>
        <w:ind w:right="38"/>
        <w:rPr>
          <w:sz w:val="22"/>
          <w:szCs w:val="22"/>
        </w:rPr>
      </w:pPr>
      <w:r w:rsidRPr="00F8258C">
        <w:rPr>
          <w:w w:val="105"/>
          <w:sz w:val="22"/>
          <w:szCs w:val="22"/>
        </w:rPr>
        <w:t>In</w:t>
      </w:r>
      <w:r w:rsidRPr="00F8258C">
        <w:rPr>
          <w:spacing w:val="-9"/>
          <w:w w:val="105"/>
          <w:sz w:val="22"/>
          <w:szCs w:val="22"/>
        </w:rPr>
        <w:t xml:space="preserve"> </w:t>
      </w:r>
      <w:r w:rsidRPr="00F8258C">
        <w:rPr>
          <w:w w:val="105"/>
          <w:sz w:val="22"/>
          <w:szCs w:val="22"/>
        </w:rPr>
        <w:t>the</w:t>
      </w:r>
      <w:r w:rsidRPr="00F8258C">
        <w:rPr>
          <w:spacing w:val="-7"/>
          <w:w w:val="105"/>
          <w:sz w:val="22"/>
          <w:szCs w:val="22"/>
        </w:rPr>
        <w:t xml:space="preserve"> </w:t>
      </w:r>
      <w:r w:rsidRPr="00F8258C">
        <w:rPr>
          <w:w w:val="105"/>
          <w:sz w:val="22"/>
          <w:szCs w:val="22"/>
        </w:rPr>
        <w:t>Matter</w:t>
      </w:r>
      <w:r w:rsidRPr="00F8258C">
        <w:rPr>
          <w:spacing w:val="-4"/>
          <w:w w:val="105"/>
          <w:sz w:val="22"/>
          <w:szCs w:val="22"/>
        </w:rPr>
        <w:t xml:space="preserve"> </w:t>
      </w:r>
      <w:r w:rsidRPr="00F8258C">
        <w:rPr>
          <w:spacing w:val="-5"/>
          <w:w w:val="105"/>
          <w:sz w:val="22"/>
          <w:szCs w:val="22"/>
        </w:rPr>
        <w:t>of</w:t>
      </w:r>
      <w:r w:rsidRPr="00F8258C">
        <w:rPr>
          <w:sz w:val="22"/>
          <w:szCs w:val="22"/>
        </w:rPr>
        <w:tab/>
      </w:r>
      <w:r w:rsidRPr="00F8258C">
        <w:rPr>
          <w:spacing w:val="-10"/>
          <w:w w:val="105"/>
          <w:sz w:val="22"/>
          <w:szCs w:val="22"/>
        </w:rPr>
        <w:t>)</w:t>
      </w:r>
    </w:p>
    <w:p w14:paraId="2A2CAEF7" w14:textId="46808968" w:rsidR="00E3380B" w:rsidRPr="00F8258C" w:rsidRDefault="00E3380B" w:rsidP="00F8258C">
      <w:pPr>
        <w:spacing w:before="19" w:line="360" w:lineRule="auto"/>
        <w:ind w:left="2160" w:right="38" w:firstLine="720"/>
      </w:pPr>
      <w:r w:rsidRPr="00F8258C">
        <w:rPr>
          <w:w w:val="103"/>
        </w:rPr>
        <w:t>)</w:t>
      </w:r>
      <w:r w:rsidR="001C7497" w:rsidRPr="001C7497">
        <w:t xml:space="preserve"> </w:t>
      </w:r>
      <w:r w:rsidR="001C7497" w:rsidRPr="001C7497">
        <w:tab/>
      </w:r>
      <w:r w:rsidR="001C7497" w:rsidRPr="001C7497">
        <w:tab/>
      </w:r>
      <w:r w:rsidR="00A21ABB">
        <w:t xml:space="preserve">   </w:t>
      </w:r>
      <w:r w:rsidR="001C7497" w:rsidRPr="00F8258C">
        <w:rPr>
          <w:u w:val="single"/>
        </w:rPr>
        <w:t>FINAL DECISION AND ORDER</w:t>
      </w:r>
    </w:p>
    <w:p w14:paraId="37ABC312" w14:textId="412FE435" w:rsidR="00F466BC" w:rsidRPr="0079642F" w:rsidRDefault="00EE32B4" w:rsidP="00F8258C">
      <w:pPr>
        <w:pStyle w:val="BodyText"/>
        <w:tabs>
          <w:tab w:val="left" w:pos="2882"/>
        </w:tabs>
        <w:spacing w:before="19" w:line="360" w:lineRule="auto"/>
        <w:ind w:right="38"/>
        <w:rPr>
          <w:sz w:val="22"/>
          <w:szCs w:val="22"/>
          <w:lang w:val="nl-NL"/>
        </w:rPr>
      </w:pPr>
      <w:r w:rsidRPr="0079642F">
        <w:rPr>
          <w:spacing w:val="-2"/>
          <w:w w:val="105"/>
          <w:sz w:val="22"/>
          <w:szCs w:val="22"/>
          <w:lang w:val="nl-NL"/>
        </w:rPr>
        <w:t>Lee S. Altman, M.D.</w:t>
      </w:r>
      <w:r w:rsidRPr="0079642F">
        <w:rPr>
          <w:spacing w:val="-2"/>
          <w:w w:val="105"/>
          <w:sz w:val="22"/>
          <w:szCs w:val="22"/>
          <w:lang w:val="nl-NL"/>
        </w:rPr>
        <w:tab/>
      </w:r>
      <w:r w:rsidR="00F466BC" w:rsidRPr="0079642F">
        <w:rPr>
          <w:sz w:val="22"/>
          <w:szCs w:val="22"/>
          <w:lang w:val="nl-NL"/>
        </w:rPr>
        <w:t>)</w:t>
      </w:r>
    </w:p>
    <w:p w14:paraId="176E2860" w14:textId="67C8CCF6" w:rsidR="00654D84" w:rsidRPr="00F8258C" w:rsidRDefault="00E3380B" w:rsidP="00F8258C">
      <w:pPr>
        <w:pStyle w:val="BodyText"/>
        <w:tabs>
          <w:tab w:val="left" w:pos="2882"/>
        </w:tabs>
        <w:spacing w:before="19" w:line="360" w:lineRule="auto"/>
        <w:ind w:right="38"/>
        <w:rPr>
          <w:sz w:val="22"/>
          <w:szCs w:val="22"/>
          <w:u w:val="single"/>
        </w:rPr>
      </w:pPr>
      <w:r w:rsidRPr="0079642F">
        <w:rPr>
          <w:sz w:val="22"/>
          <w:szCs w:val="22"/>
          <w:u w:val="single"/>
          <w:lang w:val="nl-NL"/>
        </w:rPr>
        <w:tab/>
      </w:r>
      <w:r w:rsidRPr="00F8258C">
        <w:rPr>
          <w:sz w:val="22"/>
          <w:szCs w:val="22"/>
        </w:rPr>
        <w:t>)</w:t>
      </w:r>
      <w:r w:rsidR="007A7BB8" w:rsidRPr="00F8258C">
        <w:rPr>
          <w:sz w:val="22"/>
          <w:szCs w:val="22"/>
        </w:rPr>
        <w:tab/>
      </w:r>
      <w:r w:rsidR="007A7BB8" w:rsidRPr="00F8258C">
        <w:rPr>
          <w:sz w:val="22"/>
          <w:szCs w:val="22"/>
        </w:rPr>
        <w:tab/>
      </w:r>
      <w:r w:rsidR="00C87DAD" w:rsidRPr="00F8258C">
        <w:rPr>
          <w:sz w:val="22"/>
          <w:szCs w:val="22"/>
        </w:rPr>
        <w:t xml:space="preserve">  </w:t>
      </w:r>
    </w:p>
    <w:p w14:paraId="09B70866" w14:textId="77777777" w:rsidR="00654D84" w:rsidRPr="00F8258C" w:rsidRDefault="00654D84" w:rsidP="00F8258C">
      <w:pPr>
        <w:pStyle w:val="BodyText"/>
        <w:tabs>
          <w:tab w:val="left" w:pos="0"/>
        </w:tabs>
        <w:spacing w:before="19" w:line="360" w:lineRule="auto"/>
        <w:ind w:right="38"/>
        <w:jc w:val="right"/>
        <w:rPr>
          <w:sz w:val="22"/>
          <w:szCs w:val="22"/>
        </w:rPr>
      </w:pPr>
    </w:p>
    <w:p w14:paraId="0DFD2EA7" w14:textId="6B3821C9" w:rsidR="0091307C" w:rsidRDefault="009B2E59" w:rsidP="00F8258C">
      <w:pPr>
        <w:pStyle w:val="BodyText"/>
        <w:spacing w:line="360" w:lineRule="auto"/>
        <w:ind w:left="150"/>
        <w:jc w:val="center"/>
        <w:rPr>
          <w:spacing w:val="-2"/>
          <w:w w:val="105"/>
          <w:sz w:val="22"/>
          <w:szCs w:val="22"/>
          <w:u w:val="thick"/>
        </w:rPr>
      </w:pPr>
      <w:r w:rsidRPr="00F8258C">
        <w:rPr>
          <w:spacing w:val="-2"/>
          <w:w w:val="105"/>
          <w:sz w:val="22"/>
          <w:szCs w:val="22"/>
          <w:u w:val="thick"/>
        </w:rPr>
        <w:t>Procedural History</w:t>
      </w:r>
    </w:p>
    <w:p w14:paraId="01AA4499" w14:textId="77777777" w:rsidR="001C7497" w:rsidRPr="00F8258C" w:rsidRDefault="001C7497" w:rsidP="00F8258C">
      <w:pPr>
        <w:pStyle w:val="BodyText"/>
        <w:spacing w:line="360" w:lineRule="auto"/>
        <w:ind w:left="150"/>
        <w:jc w:val="center"/>
        <w:rPr>
          <w:spacing w:val="-2"/>
          <w:w w:val="105"/>
          <w:sz w:val="22"/>
          <w:szCs w:val="22"/>
          <w:u w:val="thick"/>
        </w:rPr>
      </w:pPr>
    </w:p>
    <w:p w14:paraId="785AB8EC" w14:textId="77777777" w:rsidR="0008734B" w:rsidRDefault="00720B98" w:rsidP="00D54BE4">
      <w:pPr>
        <w:pStyle w:val="BodyText"/>
        <w:spacing w:line="360" w:lineRule="auto"/>
        <w:ind w:firstLine="574"/>
        <w:jc w:val="both"/>
        <w:rPr>
          <w:spacing w:val="-1"/>
          <w:w w:val="105"/>
          <w:sz w:val="22"/>
          <w:szCs w:val="22"/>
        </w:rPr>
      </w:pPr>
      <w:r w:rsidRPr="00F8258C">
        <w:rPr>
          <w:w w:val="105"/>
          <w:sz w:val="22"/>
          <w:szCs w:val="22"/>
        </w:rPr>
        <w:t>Th</w:t>
      </w:r>
      <w:r w:rsidR="009B2E59" w:rsidRPr="00F8258C">
        <w:rPr>
          <w:w w:val="105"/>
          <w:sz w:val="22"/>
          <w:szCs w:val="22"/>
        </w:rPr>
        <w:t xml:space="preserve">e Board initiated this proceeding by </w:t>
      </w:r>
      <w:r w:rsidR="00C3671C" w:rsidRPr="00F8258C">
        <w:rPr>
          <w:w w:val="105"/>
          <w:sz w:val="22"/>
          <w:szCs w:val="22"/>
        </w:rPr>
        <w:t xml:space="preserve">first </w:t>
      </w:r>
      <w:r w:rsidR="009B2E59" w:rsidRPr="00F8258C">
        <w:rPr>
          <w:w w:val="105"/>
          <w:sz w:val="22"/>
          <w:szCs w:val="22"/>
        </w:rPr>
        <w:t>issuing an</w:t>
      </w:r>
      <w:r w:rsidR="00E3380B" w:rsidRPr="00F8258C">
        <w:rPr>
          <w:spacing w:val="-1"/>
          <w:w w:val="105"/>
          <w:sz w:val="22"/>
          <w:szCs w:val="22"/>
        </w:rPr>
        <w:t xml:space="preserve"> </w:t>
      </w:r>
      <w:r w:rsidR="00423B6F" w:rsidRPr="00F8258C">
        <w:rPr>
          <w:spacing w:val="-1"/>
          <w:w w:val="105"/>
          <w:sz w:val="22"/>
          <w:szCs w:val="22"/>
        </w:rPr>
        <w:t>August 8, 2019</w:t>
      </w:r>
      <w:r w:rsidR="009B2E59" w:rsidRPr="00F8258C">
        <w:rPr>
          <w:spacing w:val="-1"/>
          <w:w w:val="105"/>
          <w:sz w:val="22"/>
          <w:szCs w:val="22"/>
        </w:rPr>
        <w:t xml:space="preserve"> Statement of Allegations</w:t>
      </w:r>
      <w:r w:rsidR="000644C2">
        <w:rPr>
          <w:spacing w:val="-1"/>
          <w:w w:val="105"/>
          <w:sz w:val="22"/>
          <w:szCs w:val="22"/>
        </w:rPr>
        <w:t xml:space="preserve"> (SOA)</w:t>
      </w:r>
      <w:r w:rsidR="003F63B9" w:rsidRPr="00F8258C">
        <w:rPr>
          <w:spacing w:val="-1"/>
          <w:w w:val="105"/>
          <w:sz w:val="22"/>
          <w:szCs w:val="22"/>
        </w:rPr>
        <w:t>, then</w:t>
      </w:r>
      <w:r w:rsidR="001611F3" w:rsidRPr="00F8258C">
        <w:rPr>
          <w:spacing w:val="-1"/>
          <w:w w:val="105"/>
          <w:sz w:val="22"/>
          <w:szCs w:val="22"/>
        </w:rPr>
        <w:t xml:space="preserve"> </w:t>
      </w:r>
      <w:r w:rsidR="00F22D2D" w:rsidRPr="00F8258C">
        <w:rPr>
          <w:spacing w:val="-1"/>
          <w:w w:val="105"/>
          <w:sz w:val="22"/>
          <w:szCs w:val="22"/>
        </w:rPr>
        <w:t>issuing a March 25, 2021 Amended SOA</w:t>
      </w:r>
      <w:r w:rsidR="00862656" w:rsidRPr="00F8258C">
        <w:rPr>
          <w:spacing w:val="-1"/>
          <w:w w:val="105"/>
          <w:sz w:val="22"/>
          <w:szCs w:val="22"/>
        </w:rPr>
        <w:t>,</w:t>
      </w:r>
      <w:r w:rsidR="00F22D2D" w:rsidRPr="00F8258C">
        <w:rPr>
          <w:spacing w:val="-1"/>
          <w:w w:val="105"/>
          <w:sz w:val="22"/>
          <w:szCs w:val="22"/>
        </w:rPr>
        <w:t xml:space="preserve"> and referring </w:t>
      </w:r>
      <w:r w:rsidR="00E3457E" w:rsidRPr="00F8258C">
        <w:rPr>
          <w:spacing w:val="-1"/>
          <w:w w:val="105"/>
          <w:sz w:val="22"/>
          <w:szCs w:val="22"/>
        </w:rPr>
        <w:t xml:space="preserve">the </w:t>
      </w:r>
      <w:r w:rsidR="00F22D2D" w:rsidRPr="00F8258C">
        <w:rPr>
          <w:spacing w:val="-1"/>
          <w:w w:val="105"/>
          <w:sz w:val="22"/>
          <w:szCs w:val="22"/>
        </w:rPr>
        <w:t xml:space="preserve"> matter to </w:t>
      </w:r>
      <w:r w:rsidR="00C3671C" w:rsidRPr="00F8258C">
        <w:rPr>
          <w:spacing w:val="-1"/>
          <w:w w:val="105"/>
          <w:sz w:val="22"/>
          <w:szCs w:val="22"/>
        </w:rPr>
        <w:t xml:space="preserve">the </w:t>
      </w:r>
      <w:r w:rsidR="00F22D2D" w:rsidRPr="00F8258C">
        <w:rPr>
          <w:spacing w:val="-1"/>
          <w:w w:val="105"/>
          <w:sz w:val="22"/>
          <w:szCs w:val="22"/>
        </w:rPr>
        <w:t>D</w:t>
      </w:r>
      <w:r w:rsidR="00C3671C" w:rsidRPr="00F8258C">
        <w:rPr>
          <w:spacing w:val="-1"/>
          <w:w w:val="105"/>
          <w:sz w:val="22"/>
          <w:szCs w:val="22"/>
        </w:rPr>
        <w:t>ivision of Administrative Law Appeals (DALA)</w:t>
      </w:r>
      <w:r w:rsidR="00F22D2D" w:rsidRPr="00F8258C">
        <w:rPr>
          <w:spacing w:val="-1"/>
          <w:w w:val="105"/>
          <w:sz w:val="22"/>
          <w:szCs w:val="22"/>
        </w:rPr>
        <w:t xml:space="preserve">. </w:t>
      </w:r>
      <w:r w:rsidR="009B677A" w:rsidRPr="00F8258C">
        <w:rPr>
          <w:spacing w:val="-1"/>
          <w:w w:val="105"/>
          <w:sz w:val="22"/>
          <w:szCs w:val="22"/>
        </w:rPr>
        <w:t xml:space="preserve">DALA Magistrate Angela McConney held a </w:t>
      </w:r>
      <w:r w:rsidR="00FE5676" w:rsidRPr="00F8258C">
        <w:rPr>
          <w:spacing w:val="-1"/>
          <w:w w:val="105"/>
          <w:sz w:val="22"/>
          <w:szCs w:val="22"/>
        </w:rPr>
        <w:t xml:space="preserve">five-day </w:t>
      </w:r>
      <w:r w:rsidR="009B677A" w:rsidRPr="00F8258C">
        <w:rPr>
          <w:spacing w:val="-1"/>
          <w:w w:val="105"/>
          <w:sz w:val="22"/>
          <w:szCs w:val="22"/>
        </w:rPr>
        <w:t>hearing in April-May of 2022</w:t>
      </w:r>
      <w:r w:rsidR="00FE5676" w:rsidRPr="00F8258C">
        <w:rPr>
          <w:spacing w:val="-1"/>
          <w:w w:val="105"/>
          <w:sz w:val="22"/>
          <w:szCs w:val="22"/>
        </w:rPr>
        <w:t>.</w:t>
      </w:r>
      <w:r w:rsidR="0008734B">
        <w:rPr>
          <w:rStyle w:val="FootnoteReference"/>
          <w:spacing w:val="-1"/>
          <w:w w:val="105"/>
          <w:sz w:val="22"/>
          <w:szCs w:val="22"/>
        </w:rPr>
        <w:footnoteReference w:id="2"/>
      </w:r>
      <w:r w:rsidR="00FE5676" w:rsidRPr="00F8258C">
        <w:rPr>
          <w:spacing w:val="-1"/>
          <w:w w:val="105"/>
          <w:sz w:val="22"/>
          <w:szCs w:val="22"/>
        </w:rPr>
        <w:t xml:space="preserve"> </w:t>
      </w:r>
      <w:r w:rsidR="00FC5DD6" w:rsidRPr="00F8258C">
        <w:rPr>
          <w:spacing w:val="-1"/>
          <w:w w:val="105"/>
          <w:sz w:val="22"/>
          <w:szCs w:val="22"/>
        </w:rPr>
        <w:t xml:space="preserve">On October 26, 2023, </w:t>
      </w:r>
      <w:r w:rsidR="00FE5676" w:rsidRPr="00F8258C">
        <w:rPr>
          <w:spacing w:val="-1"/>
          <w:w w:val="105"/>
          <w:sz w:val="22"/>
          <w:szCs w:val="22"/>
        </w:rPr>
        <w:t xml:space="preserve">DALA Magistrate Yakov </w:t>
      </w:r>
      <w:r w:rsidR="00964053" w:rsidRPr="00F8258C">
        <w:rPr>
          <w:spacing w:val="-1"/>
          <w:w w:val="105"/>
          <w:sz w:val="22"/>
          <w:szCs w:val="22"/>
        </w:rPr>
        <w:t>Ma</w:t>
      </w:r>
      <w:r w:rsidR="00033208" w:rsidRPr="00F8258C">
        <w:rPr>
          <w:spacing w:val="-1"/>
          <w:w w:val="105"/>
          <w:sz w:val="22"/>
          <w:szCs w:val="22"/>
        </w:rPr>
        <w:t>l</w:t>
      </w:r>
      <w:r w:rsidR="00964053" w:rsidRPr="00F8258C">
        <w:rPr>
          <w:spacing w:val="-1"/>
          <w:w w:val="105"/>
          <w:sz w:val="22"/>
          <w:szCs w:val="22"/>
        </w:rPr>
        <w:t>kiel</w:t>
      </w:r>
      <w:r w:rsidR="00F61C55" w:rsidRPr="00F8258C">
        <w:rPr>
          <w:spacing w:val="-1"/>
          <w:w w:val="105"/>
          <w:sz w:val="22"/>
          <w:szCs w:val="22"/>
        </w:rPr>
        <w:t xml:space="preserve"> (Magistrate)</w:t>
      </w:r>
      <w:r w:rsidR="00033208" w:rsidRPr="00F8258C">
        <w:rPr>
          <w:spacing w:val="-1"/>
          <w:w w:val="105"/>
          <w:sz w:val="22"/>
          <w:szCs w:val="22"/>
        </w:rPr>
        <w:t xml:space="preserve"> </w:t>
      </w:r>
      <w:r w:rsidR="00FC5DD6" w:rsidRPr="00F8258C">
        <w:rPr>
          <w:spacing w:val="-1"/>
          <w:w w:val="105"/>
          <w:sz w:val="22"/>
          <w:szCs w:val="22"/>
        </w:rPr>
        <w:t>issued a Recommended Decision</w:t>
      </w:r>
      <w:r w:rsidR="00627EF0" w:rsidRPr="00F8258C">
        <w:rPr>
          <w:spacing w:val="-1"/>
          <w:w w:val="105"/>
          <w:sz w:val="22"/>
          <w:szCs w:val="22"/>
        </w:rPr>
        <w:t>.</w:t>
      </w:r>
    </w:p>
    <w:p w14:paraId="2198A3D1" w14:textId="6E66824C" w:rsidR="00455EEA" w:rsidRPr="00F8258C" w:rsidRDefault="00677DFC" w:rsidP="00D54BE4">
      <w:pPr>
        <w:pStyle w:val="BodyText"/>
        <w:spacing w:line="360" w:lineRule="auto"/>
        <w:ind w:firstLine="574"/>
        <w:jc w:val="both"/>
        <w:rPr>
          <w:spacing w:val="-1"/>
          <w:w w:val="105"/>
          <w:sz w:val="22"/>
          <w:szCs w:val="22"/>
        </w:rPr>
      </w:pPr>
      <w:r w:rsidRPr="00F8258C">
        <w:rPr>
          <w:spacing w:val="-1"/>
          <w:w w:val="105"/>
          <w:sz w:val="22"/>
          <w:szCs w:val="22"/>
        </w:rPr>
        <w:t>The Parties</w:t>
      </w:r>
      <w:r w:rsidRPr="00F8258C">
        <w:rPr>
          <w:rStyle w:val="FootnoteReference"/>
          <w:spacing w:val="-1"/>
          <w:w w:val="105"/>
          <w:sz w:val="22"/>
          <w:szCs w:val="22"/>
        </w:rPr>
        <w:footnoteReference w:id="3"/>
      </w:r>
      <w:r w:rsidR="007B68A0" w:rsidRPr="00F8258C">
        <w:rPr>
          <w:w w:val="105"/>
          <w:sz w:val="22"/>
          <w:szCs w:val="22"/>
        </w:rPr>
        <w:t xml:space="preserve"> </w:t>
      </w:r>
      <w:r w:rsidR="000D43EA" w:rsidRPr="00F8258C">
        <w:rPr>
          <w:spacing w:val="-1"/>
          <w:w w:val="105"/>
          <w:sz w:val="22"/>
          <w:szCs w:val="22"/>
        </w:rPr>
        <w:t xml:space="preserve">filed </w:t>
      </w:r>
      <w:r w:rsidR="007C41BB" w:rsidRPr="00F8258C">
        <w:rPr>
          <w:spacing w:val="-1"/>
          <w:w w:val="105"/>
          <w:sz w:val="22"/>
          <w:szCs w:val="22"/>
        </w:rPr>
        <w:t>Objections to the Recommended Decision</w:t>
      </w:r>
      <w:r w:rsidR="00E90939" w:rsidRPr="00F8258C">
        <w:rPr>
          <w:spacing w:val="-1"/>
          <w:w w:val="105"/>
          <w:sz w:val="22"/>
          <w:szCs w:val="22"/>
        </w:rPr>
        <w:t xml:space="preserve"> (Objections)</w:t>
      </w:r>
      <w:r w:rsidR="007C41BB" w:rsidRPr="00F8258C">
        <w:rPr>
          <w:spacing w:val="-1"/>
          <w:w w:val="105"/>
          <w:sz w:val="22"/>
          <w:szCs w:val="22"/>
        </w:rPr>
        <w:t>,</w:t>
      </w:r>
      <w:r w:rsidR="00A02269" w:rsidRPr="00F8258C">
        <w:rPr>
          <w:spacing w:val="-1"/>
          <w:w w:val="105"/>
          <w:sz w:val="22"/>
          <w:szCs w:val="22"/>
        </w:rPr>
        <w:t xml:space="preserve"> and the Respondent filed</w:t>
      </w:r>
      <w:r w:rsidR="00CD121F" w:rsidRPr="00F8258C">
        <w:rPr>
          <w:spacing w:val="-1"/>
          <w:w w:val="105"/>
          <w:sz w:val="22"/>
          <w:szCs w:val="22"/>
        </w:rPr>
        <w:t xml:space="preserve"> </w:t>
      </w:r>
      <w:r w:rsidR="0095047E" w:rsidRPr="00F8258C">
        <w:rPr>
          <w:spacing w:val="-1"/>
          <w:w w:val="105"/>
          <w:sz w:val="22"/>
          <w:szCs w:val="22"/>
        </w:rPr>
        <w:t xml:space="preserve">an </w:t>
      </w:r>
      <w:r w:rsidR="00CD121F" w:rsidRPr="00F8258C">
        <w:rPr>
          <w:spacing w:val="-1"/>
          <w:w w:val="105"/>
          <w:sz w:val="22"/>
          <w:szCs w:val="22"/>
        </w:rPr>
        <w:t>Opposition to Complaint Counsel’s Objections</w:t>
      </w:r>
      <w:r w:rsidR="009E177F" w:rsidRPr="00F8258C">
        <w:rPr>
          <w:spacing w:val="-1"/>
          <w:w w:val="105"/>
          <w:sz w:val="22"/>
          <w:szCs w:val="22"/>
        </w:rPr>
        <w:t xml:space="preserve"> (Opposition)</w:t>
      </w:r>
      <w:r w:rsidR="00CD121F" w:rsidRPr="00F8258C">
        <w:rPr>
          <w:spacing w:val="-1"/>
          <w:w w:val="105"/>
          <w:sz w:val="22"/>
          <w:szCs w:val="22"/>
        </w:rPr>
        <w:t>.</w:t>
      </w:r>
      <w:r w:rsidR="005A24B8" w:rsidRPr="00F8258C">
        <w:rPr>
          <w:spacing w:val="-1"/>
          <w:w w:val="105"/>
          <w:sz w:val="22"/>
          <w:szCs w:val="22"/>
        </w:rPr>
        <w:t xml:space="preserve"> </w:t>
      </w:r>
      <w:r w:rsidR="0095047E" w:rsidRPr="00F8258C">
        <w:rPr>
          <w:spacing w:val="-1"/>
          <w:w w:val="105"/>
          <w:sz w:val="22"/>
          <w:szCs w:val="22"/>
        </w:rPr>
        <w:t>Th</w:t>
      </w:r>
      <w:r w:rsidR="00CE64A8" w:rsidRPr="00F8258C">
        <w:rPr>
          <w:spacing w:val="-1"/>
          <w:w w:val="105"/>
          <w:sz w:val="22"/>
          <w:szCs w:val="22"/>
        </w:rPr>
        <w:t>e Parties filed Memoranda on Disposition.</w:t>
      </w:r>
      <w:r w:rsidR="00F8258C">
        <w:rPr>
          <w:spacing w:val="-1"/>
          <w:w w:val="105"/>
          <w:sz w:val="22"/>
          <w:szCs w:val="22"/>
        </w:rPr>
        <w:t xml:space="preserve"> </w:t>
      </w:r>
      <w:r w:rsidR="000B7C3A" w:rsidRPr="00F8258C">
        <w:rPr>
          <w:spacing w:val="-1"/>
          <w:w w:val="105"/>
          <w:sz w:val="22"/>
          <w:szCs w:val="22"/>
        </w:rPr>
        <w:t xml:space="preserve">The Board has heard from the Parties and </w:t>
      </w:r>
      <w:r w:rsidR="005E3E51" w:rsidRPr="00F8258C">
        <w:rPr>
          <w:spacing w:val="-1"/>
          <w:w w:val="105"/>
          <w:sz w:val="22"/>
          <w:szCs w:val="22"/>
        </w:rPr>
        <w:t xml:space="preserve">has </w:t>
      </w:r>
      <w:r w:rsidR="000B7C3A" w:rsidRPr="00F8258C">
        <w:rPr>
          <w:spacing w:val="-1"/>
          <w:w w:val="105"/>
          <w:sz w:val="22"/>
          <w:szCs w:val="22"/>
        </w:rPr>
        <w:t>fully considered the Recommended Decision</w:t>
      </w:r>
      <w:r w:rsidR="002C0354" w:rsidRPr="00F8258C">
        <w:rPr>
          <w:spacing w:val="-1"/>
          <w:w w:val="105"/>
          <w:sz w:val="22"/>
          <w:szCs w:val="22"/>
        </w:rPr>
        <w:t>,</w:t>
      </w:r>
      <w:r w:rsidR="000B7C3A" w:rsidRPr="00F8258C">
        <w:rPr>
          <w:spacing w:val="-1"/>
          <w:w w:val="105"/>
          <w:sz w:val="22"/>
          <w:szCs w:val="22"/>
        </w:rPr>
        <w:t xml:space="preserve"> the Parties’ Objections</w:t>
      </w:r>
      <w:r w:rsidR="00FF3626" w:rsidRPr="00F8258C">
        <w:rPr>
          <w:spacing w:val="-1"/>
          <w:w w:val="105"/>
          <w:sz w:val="22"/>
          <w:szCs w:val="22"/>
        </w:rPr>
        <w:t>, the Respondent’s Opposition</w:t>
      </w:r>
      <w:r w:rsidR="000B7C3A" w:rsidRPr="00F8258C">
        <w:rPr>
          <w:spacing w:val="-1"/>
          <w:w w:val="105"/>
          <w:sz w:val="22"/>
          <w:szCs w:val="22"/>
        </w:rPr>
        <w:t xml:space="preserve">, </w:t>
      </w:r>
      <w:r w:rsidR="0051613E">
        <w:rPr>
          <w:spacing w:val="-1"/>
          <w:w w:val="105"/>
          <w:sz w:val="22"/>
          <w:szCs w:val="22"/>
        </w:rPr>
        <w:t xml:space="preserve">a </w:t>
      </w:r>
      <w:r w:rsidR="00EB2E12">
        <w:rPr>
          <w:spacing w:val="-1"/>
          <w:w w:val="105"/>
          <w:sz w:val="22"/>
          <w:szCs w:val="22"/>
        </w:rPr>
        <w:t xml:space="preserve">Victim Impact Statement, </w:t>
      </w:r>
      <w:r w:rsidR="000B7C3A" w:rsidRPr="00F8258C">
        <w:rPr>
          <w:spacing w:val="-1"/>
          <w:w w:val="105"/>
          <w:sz w:val="22"/>
          <w:szCs w:val="22"/>
        </w:rPr>
        <w:t xml:space="preserve">and the Parties’ Memoranda on Disposition. After full consideration of the Parties’ </w:t>
      </w:r>
      <w:r w:rsidR="001D3EB3" w:rsidRPr="00F8258C">
        <w:rPr>
          <w:spacing w:val="-1"/>
          <w:w w:val="105"/>
          <w:sz w:val="22"/>
          <w:szCs w:val="22"/>
        </w:rPr>
        <w:t>Objection</w:t>
      </w:r>
      <w:r w:rsidR="000B7C3A" w:rsidRPr="00F8258C">
        <w:rPr>
          <w:spacing w:val="-1"/>
          <w:w w:val="105"/>
          <w:sz w:val="22"/>
          <w:szCs w:val="22"/>
        </w:rPr>
        <w:t>s</w:t>
      </w:r>
      <w:r w:rsidR="00F61C55" w:rsidRPr="00F8258C">
        <w:rPr>
          <w:spacing w:val="-1"/>
          <w:w w:val="105"/>
          <w:sz w:val="22"/>
          <w:szCs w:val="22"/>
        </w:rPr>
        <w:t>,</w:t>
      </w:r>
      <w:r w:rsidR="007D34B1" w:rsidRPr="00F8258C">
        <w:rPr>
          <w:rStyle w:val="FootnoteReference"/>
          <w:sz w:val="22"/>
          <w:szCs w:val="22"/>
        </w:rPr>
        <w:footnoteReference w:id="4"/>
      </w:r>
      <w:r w:rsidR="007D34B1" w:rsidRPr="00F8258C">
        <w:rPr>
          <w:sz w:val="22"/>
          <w:szCs w:val="22"/>
        </w:rPr>
        <w:t xml:space="preserve"> </w:t>
      </w:r>
      <w:r w:rsidR="00F61C55" w:rsidRPr="00F8258C">
        <w:rPr>
          <w:spacing w:val="-1"/>
          <w:w w:val="105"/>
          <w:sz w:val="22"/>
          <w:szCs w:val="22"/>
        </w:rPr>
        <w:t>the Respondent’s Opposition,</w:t>
      </w:r>
      <w:r w:rsidR="00976428" w:rsidRPr="00F8258C">
        <w:rPr>
          <w:spacing w:val="-1"/>
          <w:w w:val="105"/>
          <w:sz w:val="22"/>
          <w:szCs w:val="22"/>
        </w:rPr>
        <w:t xml:space="preserve"> </w:t>
      </w:r>
      <w:r w:rsidR="000B7C3A" w:rsidRPr="00F8258C">
        <w:rPr>
          <w:spacing w:val="-1"/>
          <w:w w:val="105"/>
          <w:sz w:val="22"/>
          <w:szCs w:val="22"/>
        </w:rPr>
        <w:t>the Magistrate’s Recommended Decision,</w:t>
      </w:r>
      <w:r w:rsidR="0088062B">
        <w:rPr>
          <w:spacing w:val="-1"/>
          <w:w w:val="105"/>
          <w:sz w:val="22"/>
          <w:szCs w:val="22"/>
        </w:rPr>
        <w:t xml:space="preserve"> and</w:t>
      </w:r>
      <w:r w:rsidR="000B7C3A" w:rsidRPr="00F8258C">
        <w:rPr>
          <w:spacing w:val="-1"/>
          <w:w w:val="105"/>
          <w:sz w:val="22"/>
          <w:szCs w:val="22"/>
        </w:rPr>
        <w:t xml:space="preserve"> </w:t>
      </w:r>
      <w:r w:rsidR="00F23F11" w:rsidRPr="00F8258C">
        <w:rPr>
          <w:spacing w:val="-1"/>
          <w:w w:val="105"/>
          <w:sz w:val="22"/>
          <w:szCs w:val="22"/>
        </w:rPr>
        <w:t>the Parties’ Memoranda on Disposition, the Board</w:t>
      </w:r>
      <w:r w:rsidR="000B7C3A" w:rsidRPr="00F8258C">
        <w:rPr>
          <w:spacing w:val="-1"/>
          <w:w w:val="105"/>
          <w:sz w:val="22"/>
          <w:szCs w:val="22"/>
        </w:rPr>
        <w:t xml:space="preserve"> ADOPTS the Recommended Decision, as amended to</w:t>
      </w:r>
      <w:r w:rsidR="0018380D" w:rsidRPr="00F8258C">
        <w:rPr>
          <w:spacing w:val="-1"/>
          <w:w w:val="105"/>
          <w:sz w:val="22"/>
          <w:szCs w:val="22"/>
        </w:rPr>
        <w:t>:</w:t>
      </w:r>
    </w:p>
    <w:p w14:paraId="22EE0652" w14:textId="37E58DEF" w:rsidR="006F50B9" w:rsidRPr="00F8258C" w:rsidRDefault="006F50B9" w:rsidP="00F8258C">
      <w:pPr>
        <w:pStyle w:val="ListParagraph"/>
        <w:numPr>
          <w:ilvl w:val="0"/>
          <w:numId w:val="13"/>
        </w:numPr>
        <w:spacing w:line="360" w:lineRule="auto"/>
        <w:jc w:val="both"/>
        <w:rPr>
          <w:rFonts w:ascii="Times New Roman" w:hAnsi="Times New Roman" w:cs="Times New Roman"/>
        </w:rPr>
      </w:pPr>
      <w:r w:rsidRPr="00F8258C">
        <w:rPr>
          <w:rFonts w:ascii="Times New Roman" w:hAnsi="Times New Roman" w:cs="Times New Roman"/>
          <w:u w:val="single"/>
        </w:rPr>
        <w:t>add</w:t>
      </w:r>
      <w:r w:rsidRPr="00F8258C">
        <w:rPr>
          <w:rFonts w:ascii="Times New Roman" w:hAnsi="Times New Roman" w:cs="Times New Roman"/>
        </w:rPr>
        <w:t xml:space="preserve">, as a conclusion of law, that the Respondent failed to furnish the Board </w:t>
      </w:r>
      <w:r w:rsidR="00C75780" w:rsidRPr="00F8258C">
        <w:rPr>
          <w:rFonts w:ascii="Times New Roman" w:hAnsi="Times New Roman" w:cs="Times New Roman"/>
        </w:rPr>
        <w:t xml:space="preserve">with </w:t>
      </w:r>
      <w:r w:rsidRPr="00F8258C">
        <w:rPr>
          <w:rFonts w:ascii="Times New Roman" w:hAnsi="Times New Roman" w:cs="Times New Roman"/>
        </w:rPr>
        <w:t>information to which it is entitled, pursuant to 243 CMR 1.03(5)(a)16;</w:t>
      </w:r>
    </w:p>
    <w:p w14:paraId="02C1BE13" w14:textId="38C13448" w:rsidR="00554B17" w:rsidRPr="00F8258C" w:rsidRDefault="006F50B9" w:rsidP="00F8258C">
      <w:pPr>
        <w:pStyle w:val="ListParagraph"/>
        <w:numPr>
          <w:ilvl w:val="0"/>
          <w:numId w:val="13"/>
        </w:numPr>
        <w:spacing w:after="0" w:line="360" w:lineRule="auto"/>
        <w:jc w:val="both"/>
        <w:rPr>
          <w:rFonts w:ascii="Times New Roman" w:hAnsi="Times New Roman" w:cs="Times New Roman"/>
        </w:rPr>
      </w:pPr>
      <w:r w:rsidRPr="00F8258C">
        <w:rPr>
          <w:rFonts w:ascii="Times New Roman" w:hAnsi="Times New Roman" w:cs="Times New Roman"/>
          <w:u w:val="single"/>
        </w:rPr>
        <w:lastRenderedPageBreak/>
        <w:t>strike</w:t>
      </w:r>
      <w:r w:rsidRPr="00F8258C">
        <w:rPr>
          <w:rFonts w:ascii="Times New Roman" w:hAnsi="Times New Roman" w:cs="Times New Roman"/>
        </w:rPr>
        <w:t xml:space="preserve"> </w:t>
      </w:r>
      <w:r w:rsidR="008C253D" w:rsidRPr="00F8258C">
        <w:rPr>
          <w:rFonts w:ascii="Times New Roman" w:hAnsi="Times New Roman" w:cs="Times New Roman"/>
        </w:rPr>
        <w:t>the second and third sen</w:t>
      </w:r>
      <w:r w:rsidRPr="00F8258C">
        <w:rPr>
          <w:rFonts w:ascii="Times New Roman" w:hAnsi="Times New Roman" w:cs="Times New Roman"/>
        </w:rPr>
        <w:t xml:space="preserve">tences </w:t>
      </w:r>
      <w:r w:rsidR="008C253D" w:rsidRPr="00F8258C">
        <w:rPr>
          <w:rFonts w:ascii="Times New Roman" w:hAnsi="Times New Roman" w:cs="Times New Roman"/>
        </w:rPr>
        <w:t xml:space="preserve">of </w:t>
      </w:r>
      <w:r w:rsidRPr="00F8258C">
        <w:rPr>
          <w:rFonts w:ascii="Times New Roman" w:hAnsi="Times New Roman" w:cs="Times New Roman"/>
        </w:rPr>
        <w:t>footnote 10 on page 14 of the Recommended Decision</w:t>
      </w:r>
      <w:r w:rsidR="00DE3F82">
        <w:rPr>
          <w:rStyle w:val="FootnoteReference"/>
          <w:rFonts w:ascii="Times New Roman" w:hAnsi="Times New Roman" w:cs="Times New Roman"/>
        </w:rPr>
        <w:footnoteReference w:id="5"/>
      </w:r>
      <w:r w:rsidRPr="00F8258C">
        <w:rPr>
          <w:rFonts w:ascii="Times New Roman" w:hAnsi="Times New Roman" w:cs="Times New Roman"/>
        </w:rPr>
        <w:t>;</w:t>
      </w:r>
    </w:p>
    <w:p w14:paraId="4726F8B9" w14:textId="72424821" w:rsidR="003A4D5C" w:rsidRPr="00F8258C" w:rsidRDefault="00307981" w:rsidP="00F8258C">
      <w:pPr>
        <w:pStyle w:val="ListParagraph"/>
        <w:numPr>
          <w:ilvl w:val="0"/>
          <w:numId w:val="13"/>
        </w:numPr>
        <w:spacing w:after="0" w:line="360" w:lineRule="auto"/>
        <w:jc w:val="both"/>
        <w:rPr>
          <w:rFonts w:ascii="Times New Roman" w:hAnsi="Times New Roman" w:cs="Times New Roman"/>
        </w:rPr>
      </w:pPr>
      <w:r>
        <w:rPr>
          <w:rFonts w:ascii="Times New Roman" w:hAnsi="Times New Roman" w:cs="Times New Roman"/>
          <w:u w:val="single"/>
        </w:rPr>
        <w:t>strike</w:t>
      </w:r>
      <w:r w:rsidR="006F50B9" w:rsidRPr="00F8258C">
        <w:rPr>
          <w:rFonts w:ascii="Times New Roman" w:hAnsi="Times New Roman" w:cs="Times New Roman"/>
        </w:rPr>
        <w:t xml:space="preserve"> </w:t>
      </w:r>
      <w:r>
        <w:rPr>
          <w:rFonts w:ascii="Times New Roman" w:hAnsi="Times New Roman" w:cs="Times New Roman"/>
        </w:rPr>
        <w:t>the second, third and fourth sentences from the first paragraph of section V on page 15 of the Recommended Decision, along with the words “Even so,” at the start of the next paragraph</w:t>
      </w:r>
      <w:r>
        <w:rPr>
          <w:rStyle w:val="FootnoteReference"/>
          <w:rFonts w:ascii="Times New Roman" w:hAnsi="Times New Roman" w:cs="Times New Roman"/>
        </w:rPr>
        <w:footnoteReference w:id="6"/>
      </w:r>
      <w:r w:rsidR="00376915" w:rsidRPr="00F8258C">
        <w:rPr>
          <w:rFonts w:ascii="Times New Roman" w:hAnsi="Times New Roman" w:cs="Times New Roman"/>
        </w:rPr>
        <w:t xml:space="preserve">; </w:t>
      </w:r>
      <w:r w:rsidR="00EF4389" w:rsidRPr="00F8258C">
        <w:rPr>
          <w:rFonts w:ascii="Times New Roman" w:hAnsi="Times New Roman" w:cs="Times New Roman"/>
        </w:rPr>
        <w:t xml:space="preserve">and </w:t>
      </w:r>
    </w:p>
    <w:p w14:paraId="4A4D818A" w14:textId="483D5445" w:rsidR="00454196" w:rsidRPr="0079642F" w:rsidRDefault="00577778" w:rsidP="0079642F">
      <w:pPr>
        <w:pStyle w:val="ListParagraph"/>
        <w:numPr>
          <w:ilvl w:val="0"/>
          <w:numId w:val="13"/>
        </w:numPr>
        <w:spacing w:after="0" w:line="360" w:lineRule="auto"/>
        <w:jc w:val="both"/>
        <w:rPr>
          <w:rFonts w:ascii="Times New Roman" w:hAnsi="Times New Roman" w:cs="Times New Roman"/>
        </w:rPr>
      </w:pPr>
      <w:r w:rsidRPr="00F8258C">
        <w:rPr>
          <w:rFonts w:ascii="Times New Roman" w:hAnsi="Times New Roman" w:cs="Times New Roman"/>
          <w:u w:val="single"/>
        </w:rPr>
        <w:t>add</w:t>
      </w:r>
      <w:r w:rsidRPr="00F8258C">
        <w:rPr>
          <w:rFonts w:ascii="Times New Roman" w:hAnsi="Times New Roman" w:cs="Times New Roman"/>
        </w:rPr>
        <w:t xml:space="preserve"> </w:t>
      </w:r>
      <w:r w:rsidR="003313B6" w:rsidRPr="00F8258C">
        <w:rPr>
          <w:rFonts w:ascii="Times New Roman" w:hAnsi="Times New Roman" w:cs="Times New Roman"/>
        </w:rPr>
        <w:t>a sanction, as follows:</w:t>
      </w:r>
    </w:p>
    <w:p w14:paraId="46650BF3" w14:textId="35146FB3" w:rsidR="00301843" w:rsidRDefault="00301843" w:rsidP="002B0CD9">
      <w:pPr>
        <w:pStyle w:val="BodyText"/>
        <w:spacing w:before="154" w:line="360" w:lineRule="auto"/>
        <w:ind w:right="186"/>
        <w:jc w:val="center"/>
        <w:rPr>
          <w:rFonts w:eastAsiaTheme="minorHAnsi"/>
          <w:sz w:val="22"/>
          <w:szCs w:val="22"/>
          <w:u w:val="single"/>
        </w:rPr>
      </w:pPr>
      <w:r w:rsidRPr="00F8258C">
        <w:rPr>
          <w:rFonts w:eastAsiaTheme="minorHAnsi"/>
          <w:sz w:val="22"/>
          <w:szCs w:val="22"/>
          <w:u w:val="single"/>
        </w:rPr>
        <w:t>Sanction</w:t>
      </w:r>
    </w:p>
    <w:p w14:paraId="34A63E48" w14:textId="77777777" w:rsidR="00454196" w:rsidRPr="00F8258C" w:rsidRDefault="00454196" w:rsidP="002B0CD9">
      <w:pPr>
        <w:pStyle w:val="BodyText"/>
        <w:spacing w:before="154" w:line="360" w:lineRule="auto"/>
        <w:ind w:right="186"/>
        <w:jc w:val="center"/>
        <w:rPr>
          <w:rFonts w:eastAsiaTheme="minorHAnsi"/>
          <w:sz w:val="22"/>
          <w:szCs w:val="22"/>
          <w:u w:val="single"/>
        </w:rPr>
      </w:pPr>
    </w:p>
    <w:p w14:paraId="41BA0BA8" w14:textId="77777777" w:rsidR="009B2860" w:rsidRPr="00F8258C" w:rsidRDefault="00B13A9C" w:rsidP="002B0CD9">
      <w:pPr>
        <w:pStyle w:val="BodyText"/>
        <w:spacing w:line="360" w:lineRule="auto"/>
        <w:jc w:val="both"/>
        <w:rPr>
          <w:rFonts w:eastAsiaTheme="minorHAnsi"/>
          <w:sz w:val="22"/>
          <w:szCs w:val="22"/>
        </w:rPr>
      </w:pPr>
      <w:r w:rsidRPr="00F8258C">
        <w:rPr>
          <w:rFonts w:eastAsiaTheme="minorHAnsi"/>
          <w:sz w:val="22"/>
          <w:szCs w:val="22"/>
        </w:rPr>
        <w:tab/>
        <w:t>The record reflects that the Respondent</w:t>
      </w:r>
      <w:r w:rsidR="004C3B8C" w:rsidRPr="00F8258C">
        <w:rPr>
          <w:rFonts w:eastAsiaTheme="minorHAnsi"/>
          <w:sz w:val="22"/>
          <w:szCs w:val="22"/>
        </w:rPr>
        <w:t xml:space="preserve">, a psychiatrist, </w:t>
      </w:r>
      <w:r w:rsidRPr="00F8258C">
        <w:rPr>
          <w:rFonts w:eastAsiaTheme="minorHAnsi"/>
          <w:sz w:val="22"/>
          <w:szCs w:val="22"/>
        </w:rPr>
        <w:t xml:space="preserve">“committed repeated, habitual negligence by failing to refer to </w:t>
      </w:r>
      <w:r w:rsidR="002E4237" w:rsidRPr="00F8258C">
        <w:rPr>
          <w:rFonts w:eastAsiaTheme="minorHAnsi"/>
          <w:sz w:val="22"/>
          <w:szCs w:val="22"/>
        </w:rPr>
        <w:t>[</w:t>
      </w:r>
      <w:proofErr w:type="spellStart"/>
      <w:r w:rsidR="002E4237" w:rsidRPr="00F8258C">
        <w:rPr>
          <w:rFonts w:eastAsiaTheme="minorHAnsi"/>
          <w:sz w:val="22"/>
          <w:szCs w:val="22"/>
        </w:rPr>
        <w:t>MassPAT</w:t>
      </w:r>
      <w:proofErr w:type="spellEnd"/>
      <w:r w:rsidR="002E4237" w:rsidRPr="00F8258C">
        <w:rPr>
          <w:rFonts w:eastAsiaTheme="minorHAnsi"/>
          <w:sz w:val="22"/>
          <w:szCs w:val="22"/>
        </w:rPr>
        <w:t>]</w:t>
      </w:r>
      <w:r w:rsidRPr="00F8258C">
        <w:rPr>
          <w:rFonts w:eastAsiaTheme="minorHAnsi"/>
          <w:sz w:val="22"/>
          <w:szCs w:val="22"/>
        </w:rPr>
        <w:t xml:space="preserve"> before prescribing benzodiazepines to his patients</w:t>
      </w:r>
      <w:r w:rsidR="00133BE0" w:rsidRPr="00F8258C">
        <w:rPr>
          <w:rFonts w:eastAsiaTheme="minorHAnsi"/>
          <w:sz w:val="22"/>
          <w:szCs w:val="22"/>
        </w:rPr>
        <w:t>,”</w:t>
      </w:r>
      <w:r w:rsidR="004F79F9" w:rsidRPr="00F8258C">
        <w:rPr>
          <w:rStyle w:val="FootnoteReference"/>
          <w:rFonts w:eastAsiaTheme="minorHAnsi"/>
          <w:sz w:val="22"/>
          <w:szCs w:val="22"/>
        </w:rPr>
        <w:footnoteReference w:id="7"/>
      </w:r>
      <w:r w:rsidR="00FC7C80" w:rsidRPr="00F8258C">
        <w:rPr>
          <w:rFonts w:eastAsiaTheme="minorHAnsi"/>
          <w:sz w:val="22"/>
          <w:szCs w:val="22"/>
        </w:rPr>
        <w:t xml:space="preserve"> </w:t>
      </w:r>
      <w:r w:rsidR="00B71173" w:rsidRPr="00F8258C">
        <w:rPr>
          <w:rFonts w:eastAsiaTheme="minorHAnsi"/>
          <w:sz w:val="22"/>
          <w:szCs w:val="22"/>
        </w:rPr>
        <w:t>billed for sessions</w:t>
      </w:r>
      <w:r w:rsidR="00354C9A" w:rsidRPr="00F8258C">
        <w:rPr>
          <w:rFonts w:eastAsiaTheme="minorHAnsi"/>
          <w:sz w:val="22"/>
          <w:szCs w:val="22"/>
        </w:rPr>
        <w:t xml:space="preserve"> when he “knew that his pertinent session</w:t>
      </w:r>
      <w:r w:rsidR="00831E65" w:rsidRPr="00F8258C">
        <w:rPr>
          <w:rFonts w:eastAsiaTheme="minorHAnsi"/>
          <w:sz w:val="22"/>
          <w:szCs w:val="22"/>
        </w:rPr>
        <w:t>s</w:t>
      </w:r>
      <w:r w:rsidR="00354C9A" w:rsidRPr="00F8258C">
        <w:rPr>
          <w:rFonts w:eastAsiaTheme="minorHAnsi"/>
          <w:sz w:val="22"/>
          <w:szCs w:val="22"/>
        </w:rPr>
        <w:t>…did not occur,”</w:t>
      </w:r>
      <w:r w:rsidR="00C04F2B" w:rsidRPr="00F8258C">
        <w:rPr>
          <w:rStyle w:val="FootnoteReference"/>
          <w:rFonts w:eastAsiaTheme="minorHAnsi"/>
          <w:sz w:val="22"/>
          <w:szCs w:val="22"/>
        </w:rPr>
        <w:footnoteReference w:id="8"/>
      </w:r>
      <w:r w:rsidR="00354C9A" w:rsidRPr="00F8258C">
        <w:rPr>
          <w:rFonts w:eastAsiaTheme="minorHAnsi"/>
          <w:sz w:val="22"/>
          <w:szCs w:val="22"/>
        </w:rPr>
        <w:t xml:space="preserve"> </w:t>
      </w:r>
      <w:r w:rsidR="00B71173" w:rsidRPr="00F8258C">
        <w:rPr>
          <w:rFonts w:eastAsiaTheme="minorHAnsi"/>
          <w:sz w:val="22"/>
          <w:szCs w:val="22"/>
        </w:rPr>
        <w:t xml:space="preserve"> </w:t>
      </w:r>
      <w:r w:rsidR="00FE07A7" w:rsidRPr="00F8258C">
        <w:rPr>
          <w:rFonts w:eastAsiaTheme="minorHAnsi"/>
          <w:sz w:val="22"/>
          <w:szCs w:val="22"/>
        </w:rPr>
        <w:t>failed to report his termination by Harvard Vanguard, which he “understood…was a ‘disciplinary action’,”</w:t>
      </w:r>
      <w:r w:rsidR="00FE07A7" w:rsidRPr="00F8258C">
        <w:rPr>
          <w:rStyle w:val="FootnoteReference"/>
          <w:rFonts w:eastAsiaTheme="minorHAnsi"/>
          <w:sz w:val="22"/>
          <w:szCs w:val="22"/>
        </w:rPr>
        <w:footnoteReference w:id="9"/>
      </w:r>
      <w:r w:rsidR="00FE07A7" w:rsidRPr="00F8258C">
        <w:rPr>
          <w:rFonts w:eastAsiaTheme="minorHAnsi"/>
          <w:sz w:val="22"/>
          <w:szCs w:val="22"/>
        </w:rPr>
        <w:t xml:space="preserve"> </w:t>
      </w:r>
      <w:r w:rsidR="0005200A" w:rsidRPr="00F8258C">
        <w:rPr>
          <w:rFonts w:eastAsiaTheme="minorHAnsi"/>
          <w:sz w:val="22"/>
          <w:szCs w:val="22"/>
        </w:rPr>
        <w:t xml:space="preserve">and </w:t>
      </w:r>
      <w:r w:rsidR="00BF2C0C" w:rsidRPr="00F8258C">
        <w:rPr>
          <w:rFonts w:eastAsiaTheme="minorHAnsi"/>
          <w:sz w:val="22"/>
          <w:szCs w:val="22"/>
        </w:rPr>
        <w:t>failed to provide information about law enforcement personnel’s execution of a search of his office and removal of records on his 2021 license renewal application</w:t>
      </w:r>
      <w:r w:rsidR="007737C3" w:rsidRPr="00F8258C">
        <w:rPr>
          <w:rFonts w:eastAsiaTheme="minorHAnsi"/>
          <w:sz w:val="22"/>
          <w:szCs w:val="22"/>
        </w:rPr>
        <w:t xml:space="preserve"> (LRA)</w:t>
      </w:r>
      <w:r w:rsidR="00BF2C0C" w:rsidRPr="00F8258C">
        <w:rPr>
          <w:rFonts w:eastAsiaTheme="minorHAnsi"/>
          <w:sz w:val="22"/>
          <w:szCs w:val="22"/>
        </w:rPr>
        <w:t xml:space="preserve">, </w:t>
      </w:r>
      <w:r w:rsidR="007737C3" w:rsidRPr="00F8258C">
        <w:rPr>
          <w:rFonts w:eastAsiaTheme="minorHAnsi"/>
          <w:sz w:val="22"/>
          <w:szCs w:val="22"/>
        </w:rPr>
        <w:t xml:space="preserve">consistent with the LRA instructions.  </w:t>
      </w:r>
    </w:p>
    <w:p w14:paraId="4FB0AF5D" w14:textId="77777777" w:rsidR="009C7DCD" w:rsidRPr="00F8258C" w:rsidRDefault="009B2860" w:rsidP="002B0CD9">
      <w:pPr>
        <w:pStyle w:val="BodyText"/>
        <w:spacing w:line="360" w:lineRule="auto"/>
        <w:jc w:val="both"/>
        <w:rPr>
          <w:rFonts w:eastAsiaTheme="minorHAnsi"/>
          <w:sz w:val="22"/>
          <w:szCs w:val="22"/>
        </w:rPr>
      </w:pPr>
      <w:r w:rsidRPr="00F8258C">
        <w:rPr>
          <w:rFonts w:eastAsiaTheme="minorHAnsi"/>
          <w:sz w:val="22"/>
          <w:szCs w:val="22"/>
        </w:rPr>
        <w:tab/>
        <w:t>In so doing, the Respondent</w:t>
      </w:r>
      <w:r w:rsidR="00C9029D" w:rsidRPr="00F8258C">
        <w:rPr>
          <w:rFonts w:eastAsiaTheme="minorHAnsi"/>
          <w:sz w:val="22"/>
          <w:szCs w:val="22"/>
        </w:rPr>
        <w:t xml:space="preserve">: </w:t>
      </w:r>
    </w:p>
    <w:p w14:paraId="3B1FD42F" w14:textId="23F38136" w:rsidR="00941ECE" w:rsidRPr="00F8258C" w:rsidRDefault="00C9029D" w:rsidP="00A34E7F">
      <w:pPr>
        <w:pStyle w:val="BodyText"/>
        <w:numPr>
          <w:ilvl w:val="0"/>
          <w:numId w:val="17"/>
        </w:numPr>
        <w:spacing w:line="360" w:lineRule="auto"/>
        <w:ind w:left="1440"/>
        <w:jc w:val="both"/>
        <w:rPr>
          <w:rFonts w:eastAsiaTheme="minorHAnsi"/>
          <w:sz w:val="22"/>
          <w:szCs w:val="22"/>
        </w:rPr>
      </w:pPr>
      <w:r w:rsidRPr="00F8258C">
        <w:rPr>
          <w:rFonts w:eastAsiaTheme="minorHAnsi"/>
          <w:sz w:val="22"/>
          <w:szCs w:val="22"/>
        </w:rPr>
        <w:lastRenderedPageBreak/>
        <w:t>violated 105 CMR 700.001(G)(1)</w:t>
      </w:r>
      <w:r w:rsidR="009C7DCD" w:rsidRPr="00F8258C">
        <w:rPr>
          <w:rFonts w:eastAsiaTheme="minorHAnsi"/>
          <w:sz w:val="22"/>
          <w:szCs w:val="22"/>
        </w:rPr>
        <w:t xml:space="preserve">, promulgated by the Department of Public Health pursuant to the statute that establishes </w:t>
      </w:r>
      <w:proofErr w:type="spellStart"/>
      <w:r w:rsidR="009C7DCD" w:rsidRPr="00F8258C">
        <w:rPr>
          <w:rFonts w:eastAsiaTheme="minorHAnsi"/>
          <w:sz w:val="22"/>
          <w:szCs w:val="22"/>
        </w:rPr>
        <w:t>MassPAT</w:t>
      </w:r>
      <w:proofErr w:type="spellEnd"/>
      <w:r w:rsidR="009C7DCD" w:rsidRPr="00F8258C">
        <w:rPr>
          <w:rFonts w:eastAsiaTheme="minorHAnsi"/>
          <w:sz w:val="22"/>
          <w:szCs w:val="22"/>
        </w:rPr>
        <w:t>, G.L. c. 94C, § 24A;</w:t>
      </w:r>
      <w:r w:rsidR="00BF2C0C" w:rsidRPr="00F8258C">
        <w:rPr>
          <w:rFonts w:eastAsiaTheme="minorHAnsi"/>
          <w:sz w:val="22"/>
          <w:szCs w:val="22"/>
        </w:rPr>
        <w:t xml:space="preserve"> </w:t>
      </w:r>
    </w:p>
    <w:p w14:paraId="475D6985" w14:textId="77777777" w:rsidR="000438C9" w:rsidRPr="00F8258C" w:rsidRDefault="00B01710" w:rsidP="00A34E7F">
      <w:pPr>
        <w:pStyle w:val="BodyText"/>
        <w:numPr>
          <w:ilvl w:val="0"/>
          <w:numId w:val="17"/>
        </w:numPr>
        <w:spacing w:line="360" w:lineRule="auto"/>
        <w:ind w:left="1440"/>
        <w:jc w:val="both"/>
        <w:rPr>
          <w:rFonts w:eastAsiaTheme="minorHAnsi"/>
          <w:sz w:val="22"/>
          <w:szCs w:val="22"/>
        </w:rPr>
      </w:pPr>
      <w:r w:rsidRPr="00F8258C">
        <w:rPr>
          <w:rFonts w:eastAsiaTheme="minorHAnsi"/>
          <w:sz w:val="22"/>
          <w:szCs w:val="22"/>
        </w:rPr>
        <w:t>engaged in dishonesty, fraud or deceit which is reasonably related to the practice of the profession</w:t>
      </w:r>
      <w:r w:rsidR="000438C9" w:rsidRPr="00F8258C">
        <w:rPr>
          <w:rFonts w:eastAsiaTheme="minorHAnsi"/>
          <w:sz w:val="22"/>
          <w:szCs w:val="22"/>
        </w:rPr>
        <w:t>, G.L. c. 112, §61;</w:t>
      </w:r>
    </w:p>
    <w:p w14:paraId="4E458ECB" w14:textId="2A826D8F" w:rsidR="009C7DCD" w:rsidRPr="00F8258C" w:rsidRDefault="000438C9" w:rsidP="00A34E7F">
      <w:pPr>
        <w:pStyle w:val="BodyText"/>
        <w:numPr>
          <w:ilvl w:val="0"/>
          <w:numId w:val="17"/>
        </w:numPr>
        <w:spacing w:line="360" w:lineRule="auto"/>
        <w:ind w:left="1440"/>
        <w:jc w:val="both"/>
        <w:rPr>
          <w:rFonts w:eastAsiaTheme="minorHAnsi"/>
          <w:sz w:val="22"/>
          <w:szCs w:val="22"/>
        </w:rPr>
      </w:pPr>
      <w:r w:rsidRPr="00F8258C">
        <w:rPr>
          <w:rFonts w:eastAsiaTheme="minorHAnsi"/>
          <w:sz w:val="22"/>
          <w:szCs w:val="22"/>
        </w:rPr>
        <w:t>practiced medicine deceitfully, or engaging in conduct which has the capacity to deceive or defraud, 243 CMR 1.03(5)(a)10;</w:t>
      </w:r>
    </w:p>
    <w:p w14:paraId="0E56825A" w14:textId="77777777" w:rsidR="00E37E0A" w:rsidRDefault="00A63138" w:rsidP="00A34E7F">
      <w:pPr>
        <w:pStyle w:val="BodyText"/>
        <w:numPr>
          <w:ilvl w:val="0"/>
          <w:numId w:val="17"/>
        </w:numPr>
        <w:spacing w:line="360" w:lineRule="auto"/>
        <w:ind w:left="1440"/>
        <w:jc w:val="both"/>
        <w:rPr>
          <w:rFonts w:eastAsiaTheme="minorHAnsi"/>
          <w:sz w:val="22"/>
          <w:szCs w:val="22"/>
        </w:rPr>
      </w:pPr>
      <w:r w:rsidRPr="00E37E0A">
        <w:rPr>
          <w:rFonts w:eastAsiaTheme="minorHAnsi"/>
          <w:sz w:val="22"/>
          <w:szCs w:val="22"/>
        </w:rPr>
        <w:t>failed to report to the Board a disciplinary action taken against him by a health care institution</w:t>
      </w:r>
      <w:r w:rsidR="00C41BA4" w:rsidRPr="00E37E0A">
        <w:rPr>
          <w:rFonts w:eastAsiaTheme="minorHAnsi"/>
          <w:sz w:val="22"/>
          <w:szCs w:val="22"/>
        </w:rPr>
        <w:t xml:space="preserve">, governmental authority or law enforcement agency for acts which constitute grounds for complaint under the Board’s regulations, 243 CMR 1.03(5)(a)15; </w:t>
      </w:r>
    </w:p>
    <w:p w14:paraId="7C5FC7D5" w14:textId="532D5D06" w:rsidR="000B4A79" w:rsidRPr="00E37E0A" w:rsidRDefault="000B4A79" w:rsidP="00A34E7F">
      <w:pPr>
        <w:pStyle w:val="BodyText"/>
        <w:numPr>
          <w:ilvl w:val="0"/>
          <w:numId w:val="17"/>
        </w:numPr>
        <w:spacing w:line="360" w:lineRule="auto"/>
        <w:ind w:left="1440"/>
        <w:jc w:val="both"/>
        <w:rPr>
          <w:rFonts w:eastAsiaTheme="minorHAnsi"/>
          <w:sz w:val="22"/>
          <w:szCs w:val="22"/>
        </w:rPr>
      </w:pPr>
      <w:r w:rsidRPr="00E37E0A">
        <w:rPr>
          <w:rFonts w:eastAsiaTheme="minorHAnsi"/>
          <w:sz w:val="22"/>
          <w:szCs w:val="22"/>
        </w:rPr>
        <w:t xml:space="preserve">failed to furnish </w:t>
      </w:r>
      <w:r w:rsidR="00C708D0" w:rsidRPr="00E37E0A">
        <w:rPr>
          <w:rFonts w:eastAsiaTheme="minorHAnsi"/>
          <w:sz w:val="22"/>
          <w:szCs w:val="22"/>
        </w:rPr>
        <w:t>the Board information to which the Board is entitled, 243 CMR 1.03(5)(a)16;</w:t>
      </w:r>
    </w:p>
    <w:p w14:paraId="3F34B103" w14:textId="3C2D256E" w:rsidR="000438C9" w:rsidRPr="00F8258C" w:rsidRDefault="0051304C" w:rsidP="00A34E7F">
      <w:pPr>
        <w:pStyle w:val="BodyText"/>
        <w:numPr>
          <w:ilvl w:val="0"/>
          <w:numId w:val="17"/>
        </w:numPr>
        <w:spacing w:line="360" w:lineRule="auto"/>
        <w:ind w:left="1440"/>
        <w:jc w:val="both"/>
        <w:rPr>
          <w:rFonts w:eastAsiaTheme="minorHAnsi"/>
          <w:sz w:val="22"/>
          <w:szCs w:val="22"/>
        </w:rPr>
      </w:pPr>
      <w:r w:rsidRPr="00F8258C">
        <w:rPr>
          <w:rFonts w:eastAsiaTheme="minorHAnsi"/>
          <w:sz w:val="22"/>
          <w:szCs w:val="22"/>
        </w:rPr>
        <w:t xml:space="preserve">engaged in conduct which places into question his competence to practice medicine, </w:t>
      </w:r>
      <w:r w:rsidR="00DC161C" w:rsidRPr="00F8258C">
        <w:rPr>
          <w:rFonts w:eastAsiaTheme="minorHAnsi"/>
          <w:sz w:val="22"/>
          <w:szCs w:val="22"/>
        </w:rPr>
        <w:t xml:space="preserve">including negligence on repeated occasions, </w:t>
      </w:r>
      <w:r w:rsidRPr="00F8258C">
        <w:rPr>
          <w:rFonts w:eastAsiaTheme="minorHAnsi"/>
          <w:sz w:val="22"/>
          <w:szCs w:val="22"/>
        </w:rPr>
        <w:t>G.L. c. 112, §5, 8</w:t>
      </w:r>
      <w:r w:rsidRPr="00F8258C">
        <w:rPr>
          <w:rFonts w:eastAsiaTheme="minorHAnsi"/>
          <w:sz w:val="22"/>
          <w:szCs w:val="22"/>
          <w:vertAlign w:val="superscript"/>
        </w:rPr>
        <w:t>th</w:t>
      </w:r>
      <w:r w:rsidRPr="00F8258C">
        <w:rPr>
          <w:rFonts w:eastAsiaTheme="minorHAnsi"/>
          <w:sz w:val="22"/>
          <w:szCs w:val="22"/>
        </w:rPr>
        <w:t xml:space="preserve"> para., (c)</w:t>
      </w:r>
      <w:r w:rsidR="000A0586" w:rsidRPr="00F8258C">
        <w:rPr>
          <w:rFonts w:eastAsiaTheme="minorHAnsi"/>
          <w:sz w:val="22"/>
          <w:szCs w:val="22"/>
        </w:rPr>
        <w:t xml:space="preserve">, 243 CMR 1.03(5)(a)3; </w:t>
      </w:r>
      <w:r w:rsidR="00564ADF" w:rsidRPr="00F8258C">
        <w:rPr>
          <w:rFonts w:eastAsiaTheme="minorHAnsi"/>
          <w:sz w:val="22"/>
          <w:szCs w:val="22"/>
        </w:rPr>
        <w:t>and</w:t>
      </w:r>
    </w:p>
    <w:p w14:paraId="05D9C11A" w14:textId="77777777" w:rsidR="00A34E7F" w:rsidRDefault="00564ADF" w:rsidP="00AC2E75">
      <w:pPr>
        <w:pStyle w:val="BodyText"/>
        <w:numPr>
          <w:ilvl w:val="0"/>
          <w:numId w:val="17"/>
        </w:numPr>
        <w:spacing w:before="154" w:line="360" w:lineRule="auto"/>
        <w:ind w:left="1440"/>
        <w:jc w:val="both"/>
        <w:rPr>
          <w:rFonts w:eastAsiaTheme="minorHAnsi"/>
          <w:sz w:val="22"/>
          <w:szCs w:val="22"/>
        </w:rPr>
      </w:pPr>
      <w:r w:rsidRPr="002B0CD9">
        <w:rPr>
          <w:rFonts w:eastAsiaTheme="minorHAnsi"/>
          <w:sz w:val="22"/>
          <w:szCs w:val="22"/>
        </w:rPr>
        <w:t xml:space="preserve">engaged in </w:t>
      </w:r>
      <w:r w:rsidR="00E74EDB" w:rsidRPr="002B0CD9">
        <w:rPr>
          <w:rFonts w:eastAsiaTheme="minorHAnsi"/>
          <w:sz w:val="22"/>
          <w:szCs w:val="22"/>
        </w:rPr>
        <w:t xml:space="preserve">conduct that undermines public confidence in the integrity of the medical profession, </w:t>
      </w:r>
      <w:r w:rsidR="004410A8" w:rsidRPr="002B0CD9">
        <w:rPr>
          <w:rFonts w:eastAsiaTheme="minorHAnsi"/>
          <w:i/>
          <w:iCs/>
          <w:sz w:val="22"/>
          <w:szCs w:val="22"/>
        </w:rPr>
        <w:t>Levy v. Board of Registration &amp; Discipline in Med.</w:t>
      </w:r>
      <w:r w:rsidR="004410A8" w:rsidRPr="002B0CD9">
        <w:rPr>
          <w:rFonts w:eastAsiaTheme="minorHAnsi"/>
          <w:sz w:val="22"/>
          <w:szCs w:val="22"/>
        </w:rPr>
        <w:t>, 378</w:t>
      </w:r>
      <w:r w:rsidR="001C3439" w:rsidRPr="002B0CD9">
        <w:rPr>
          <w:rFonts w:eastAsiaTheme="minorHAnsi"/>
          <w:sz w:val="22"/>
          <w:szCs w:val="22"/>
        </w:rPr>
        <w:t xml:space="preserve"> Mass. </w:t>
      </w:r>
      <w:r w:rsidR="004410A8" w:rsidRPr="002B0CD9">
        <w:rPr>
          <w:rFonts w:eastAsiaTheme="minorHAnsi"/>
          <w:sz w:val="22"/>
          <w:szCs w:val="22"/>
        </w:rPr>
        <w:t>519</w:t>
      </w:r>
      <w:r w:rsidR="001C3439" w:rsidRPr="002B0CD9">
        <w:rPr>
          <w:rFonts w:eastAsiaTheme="minorHAnsi"/>
          <w:sz w:val="22"/>
          <w:szCs w:val="22"/>
        </w:rPr>
        <w:t xml:space="preserve"> (1979)</w:t>
      </w:r>
      <w:r w:rsidR="005310B7" w:rsidRPr="002B0CD9">
        <w:rPr>
          <w:rFonts w:eastAsiaTheme="minorHAnsi"/>
          <w:sz w:val="22"/>
          <w:szCs w:val="22"/>
        </w:rPr>
        <w:t xml:space="preserve"> and </w:t>
      </w:r>
      <w:r w:rsidR="005310B7" w:rsidRPr="002B0CD9">
        <w:rPr>
          <w:rFonts w:eastAsiaTheme="minorHAnsi"/>
          <w:i/>
          <w:iCs/>
          <w:sz w:val="22"/>
          <w:szCs w:val="22"/>
        </w:rPr>
        <w:t>Raymond v. Board of Registration in Med.</w:t>
      </w:r>
      <w:r w:rsidR="005310B7" w:rsidRPr="002B0CD9">
        <w:rPr>
          <w:rFonts w:eastAsiaTheme="minorHAnsi"/>
          <w:sz w:val="22"/>
          <w:szCs w:val="22"/>
        </w:rPr>
        <w:t>, 387 Mass. 708 (1982).</w:t>
      </w:r>
    </w:p>
    <w:p w14:paraId="46E1D9BA" w14:textId="17B4958B" w:rsidR="005B6A53" w:rsidRPr="002B0CD9" w:rsidRDefault="005310B7" w:rsidP="00AC2E75">
      <w:pPr>
        <w:pStyle w:val="BodyText"/>
        <w:spacing w:before="154" w:line="360" w:lineRule="auto"/>
        <w:ind w:firstLine="720"/>
        <w:jc w:val="both"/>
        <w:rPr>
          <w:rFonts w:eastAsiaTheme="minorHAnsi"/>
          <w:sz w:val="22"/>
          <w:szCs w:val="22"/>
        </w:rPr>
      </w:pPr>
      <w:r w:rsidRPr="002B0CD9">
        <w:rPr>
          <w:rFonts w:eastAsiaTheme="minorHAnsi"/>
          <w:sz w:val="22"/>
          <w:szCs w:val="22"/>
        </w:rPr>
        <w:t xml:space="preserve">The Board </w:t>
      </w:r>
      <w:r w:rsidR="000951CE" w:rsidRPr="002B0CD9">
        <w:rPr>
          <w:rFonts w:eastAsiaTheme="minorHAnsi"/>
          <w:sz w:val="22"/>
          <w:szCs w:val="22"/>
        </w:rPr>
        <w:t xml:space="preserve">has </w:t>
      </w:r>
      <w:r w:rsidRPr="002B0CD9">
        <w:rPr>
          <w:rFonts w:eastAsiaTheme="minorHAnsi"/>
          <w:sz w:val="22"/>
          <w:szCs w:val="22"/>
        </w:rPr>
        <w:t xml:space="preserve">considered the appropriate sanction based on </w:t>
      </w:r>
      <w:r w:rsidR="00D16189" w:rsidRPr="002B0CD9">
        <w:rPr>
          <w:rFonts w:eastAsiaTheme="minorHAnsi"/>
          <w:sz w:val="22"/>
          <w:szCs w:val="22"/>
        </w:rPr>
        <w:t>three areas of</w:t>
      </w:r>
      <w:r w:rsidRPr="002B0CD9">
        <w:rPr>
          <w:rFonts w:eastAsiaTheme="minorHAnsi"/>
          <w:sz w:val="22"/>
          <w:szCs w:val="22"/>
        </w:rPr>
        <w:t xml:space="preserve"> </w:t>
      </w:r>
      <w:r w:rsidR="00D16189" w:rsidRPr="002B0CD9">
        <w:rPr>
          <w:rFonts w:eastAsiaTheme="minorHAnsi"/>
          <w:sz w:val="22"/>
          <w:szCs w:val="22"/>
        </w:rPr>
        <w:t>of</w:t>
      </w:r>
      <w:r w:rsidRPr="002B0CD9">
        <w:rPr>
          <w:rFonts w:eastAsiaTheme="minorHAnsi"/>
          <w:sz w:val="22"/>
          <w:szCs w:val="22"/>
        </w:rPr>
        <w:t>fense</w:t>
      </w:r>
      <w:r w:rsidR="00D16189" w:rsidRPr="002B0CD9">
        <w:rPr>
          <w:rFonts w:eastAsiaTheme="minorHAnsi"/>
          <w:sz w:val="22"/>
          <w:szCs w:val="22"/>
        </w:rPr>
        <w:t>s and</w:t>
      </w:r>
      <w:r w:rsidR="00457D15" w:rsidRPr="002B0CD9">
        <w:rPr>
          <w:rFonts w:eastAsiaTheme="minorHAnsi"/>
          <w:sz w:val="22"/>
          <w:szCs w:val="22"/>
        </w:rPr>
        <w:t xml:space="preserve"> in light of the bases for discipline.</w:t>
      </w:r>
    </w:p>
    <w:p w14:paraId="359762FB" w14:textId="1DC9A559" w:rsidR="005310B7" w:rsidRPr="00F8258C" w:rsidRDefault="005B6A53" w:rsidP="00F8258C">
      <w:pPr>
        <w:pStyle w:val="BodyText"/>
        <w:spacing w:before="154" w:line="360" w:lineRule="auto"/>
        <w:ind w:right="186" w:firstLine="720"/>
        <w:jc w:val="both"/>
        <w:rPr>
          <w:rFonts w:eastAsiaTheme="minorHAnsi"/>
          <w:sz w:val="22"/>
          <w:szCs w:val="22"/>
          <w:u w:val="single"/>
        </w:rPr>
      </w:pPr>
      <w:r w:rsidRPr="00F8258C">
        <w:rPr>
          <w:rFonts w:eastAsiaTheme="minorHAnsi"/>
          <w:sz w:val="22"/>
          <w:szCs w:val="22"/>
          <w:u w:val="single"/>
        </w:rPr>
        <w:t xml:space="preserve">Failing to check </w:t>
      </w:r>
      <w:proofErr w:type="spellStart"/>
      <w:r w:rsidRPr="00F8258C">
        <w:rPr>
          <w:rFonts w:eastAsiaTheme="minorHAnsi"/>
          <w:sz w:val="22"/>
          <w:szCs w:val="22"/>
          <w:u w:val="single"/>
        </w:rPr>
        <w:t>MassPAT</w:t>
      </w:r>
      <w:proofErr w:type="spellEnd"/>
      <w:r w:rsidR="005310B7" w:rsidRPr="00F8258C">
        <w:rPr>
          <w:rFonts w:eastAsiaTheme="minorHAnsi"/>
          <w:sz w:val="22"/>
          <w:szCs w:val="22"/>
          <w:u w:val="single"/>
        </w:rPr>
        <w:t xml:space="preserve"> </w:t>
      </w:r>
    </w:p>
    <w:p w14:paraId="3744BCF4" w14:textId="75B3877E" w:rsidR="00AD6B62" w:rsidRPr="00F8258C" w:rsidRDefault="001F79CB" w:rsidP="00F8258C">
      <w:pPr>
        <w:spacing w:line="360" w:lineRule="auto"/>
        <w:ind w:firstLine="720"/>
        <w:jc w:val="both"/>
        <w:rPr>
          <w:color w:val="333333"/>
          <w:shd w:val="clear" w:color="auto" w:fill="FFFFFF"/>
        </w:rPr>
      </w:pPr>
      <w:r>
        <w:t>T</w:t>
      </w:r>
      <w:r w:rsidR="00C8386F" w:rsidRPr="00F8258C">
        <w:t>he Board has imposed a wide range of sanctions, from required continuing medical education</w:t>
      </w:r>
      <w:r w:rsidR="0088740C" w:rsidRPr="00F8258C">
        <w:t xml:space="preserve"> (CME)</w:t>
      </w:r>
      <w:r w:rsidR="002C0AD8" w:rsidRPr="00F8258C">
        <w:t xml:space="preserve"> to revocation of the </w:t>
      </w:r>
      <w:r w:rsidR="00C8386F" w:rsidRPr="00F8258C">
        <w:t>inchoate right to renew a license</w:t>
      </w:r>
      <w:r w:rsidR="002C0AD8" w:rsidRPr="00F8258C">
        <w:t xml:space="preserve"> for failure to </w:t>
      </w:r>
      <w:r w:rsidR="009B5D8C" w:rsidRPr="00F8258C">
        <w:t>comply with the</w:t>
      </w:r>
      <w:r w:rsidR="00B427B3" w:rsidRPr="00F8258C">
        <w:t xml:space="preserve"> mandate to </w:t>
      </w:r>
      <w:r w:rsidR="001F3A40" w:rsidRPr="00F8258C">
        <w:t xml:space="preserve">check </w:t>
      </w:r>
      <w:proofErr w:type="spellStart"/>
      <w:r w:rsidR="001F3A40" w:rsidRPr="00F8258C">
        <w:t>MassPAT</w:t>
      </w:r>
      <w:proofErr w:type="spellEnd"/>
      <w:r w:rsidR="00B427B3" w:rsidRPr="00F8258C">
        <w:t>.</w:t>
      </w:r>
      <w:r w:rsidR="00C8386F" w:rsidRPr="00F8258C">
        <w:rPr>
          <w:rStyle w:val="FootnoteReference"/>
        </w:rPr>
        <w:footnoteReference w:id="10"/>
      </w:r>
      <w:r w:rsidR="00C8386F" w:rsidRPr="00F8258C">
        <w:t xml:space="preserve"> </w:t>
      </w:r>
      <w:r w:rsidR="00DC7A09" w:rsidRPr="00F8258C">
        <w:t xml:space="preserve">Each time the Respondent failed to check </w:t>
      </w:r>
      <w:proofErr w:type="spellStart"/>
      <w:r w:rsidR="00DC7A09" w:rsidRPr="00F8258C">
        <w:t>MassPAT</w:t>
      </w:r>
      <w:proofErr w:type="spellEnd"/>
      <w:r w:rsidR="00DC7A09" w:rsidRPr="00F8258C">
        <w:t xml:space="preserve">, he not only acted in complete disregard of the </w:t>
      </w:r>
      <w:r w:rsidR="000C0F77" w:rsidRPr="00F8258C">
        <w:t>authority of the Commonwealth</w:t>
      </w:r>
      <w:r w:rsidR="00DC7A09" w:rsidRPr="00F8258C">
        <w:t>, but undermined the Department of Public Health’s</w:t>
      </w:r>
      <w:r w:rsidR="007B2E63" w:rsidRPr="00F8258C">
        <w:t xml:space="preserve"> implementation of a risk management </w:t>
      </w:r>
      <w:r w:rsidR="007B2E63" w:rsidRPr="00A85B87">
        <w:t xml:space="preserve">measure, prescription monitoring, </w:t>
      </w:r>
      <w:r w:rsidR="00D630C6" w:rsidRPr="00A85B87">
        <w:t xml:space="preserve">directly </w:t>
      </w:r>
      <w:r w:rsidR="00B31EBD" w:rsidRPr="00A85B87">
        <w:t xml:space="preserve">linked </w:t>
      </w:r>
      <w:r w:rsidR="00D630C6" w:rsidRPr="00A85B87">
        <w:t>to the Board’s</w:t>
      </w:r>
      <w:r w:rsidR="002F152B" w:rsidRPr="00A85B87">
        <w:rPr>
          <w:noProof/>
          <w:color w:val="1D1D1D"/>
          <w:shd w:val="clear" w:color="auto" w:fill="FFFFFF"/>
        </w:rPr>
        <w:drawing>
          <wp:inline distT="0" distB="0" distL="0" distR="0" wp14:anchorId="7E9C5A92" wp14:editId="4F4BA0A7">
            <wp:extent cx="5715" cy="5715"/>
            <wp:effectExtent l="0" t="0" r="0" b="0"/>
            <wp:docPr id="1" name="Picture 8" descr="Previous H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A405B9" w:rsidRPr="00A85B87">
        <w:t xml:space="preserve"> </w:t>
      </w:r>
      <w:r w:rsidR="002F152B" w:rsidRPr="00A85B87">
        <w:rPr>
          <w:color w:val="333333"/>
          <w:shd w:val="clear" w:color="auto" w:fill="FFFFFF"/>
        </w:rPr>
        <w:t>paramount responsibility</w:t>
      </w:r>
      <w:r w:rsidR="00A405B9" w:rsidRPr="00A85B87">
        <w:rPr>
          <w:color w:val="333333"/>
          <w:shd w:val="clear" w:color="auto" w:fill="FFFFFF"/>
        </w:rPr>
        <w:t>,</w:t>
      </w:r>
      <w:r w:rsidR="002F152B" w:rsidRPr="00A85B87">
        <w:rPr>
          <w:color w:val="333333"/>
          <w:shd w:val="clear" w:color="auto" w:fill="FFFFFF"/>
        </w:rPr>
        <w:t xml:space="preserve"> </w:t>
      </w:r>
      <w:bookmarkStart w:id="3" w:name="hit232"/>
      <w:bookmarkEnd w:id="3"/>
      <w:r w:rsidR="002F152B" w:rsidRPr="00A85B87">
        <w:rPr>
          <w:noProof/>
          <w:color w:val="1D1D1D"/>
          <w:shd w:val="clear" w:color="auto" w:fill="FFFFFF"/>
        </w:rPr>
        <w:drawing>
          <wp:inline distT="0" distB="0" distL="0" distR="0" wp14:anchorId="5CB273E3" wp14:editId="4514ADC5">
            <wp:extent cx="5715" cy="5715"/>
            <wp:effectExtent l="0" t="0" r="0" b="0"/>
            <wp:docPr id="938122789" name="Picture 6"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ous Hit">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2F152B" w:rsidRPr="00A85B87">
        <w:rPr>
          <w:noProof/>
          <w:color w:val="1D1D1D"/>
          <w:shd w:val="clear" w:color="auto" w:fill="FFFFFF"/>
        </w:rPr>
        <w:drawing>
          <wp:inline distT="0" distB="0" distL="0" distR="0" wp14:anchorId="455B4465" wp14:editId="595BAAC2">
            <wp:extent cx="5715" cy="5715"/>
            <wp:effectExtent l="0" t="0" r="0" b="0"/>
            <wp:docPr id="910666009" name="Picture 5"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2F152B" w:rsidRPr="00A85B87">
        <w:rPr>
          <w:color w:val="333333"/>
          <w:shd w:val="clear" w:color="auto" w:fill="FFFFFF"/>
        </w:rPr>
        <w:t>protection</w:t>
      </w:r>
      <w:r w:rsidR="00A85B87">
        <w:rPr>
          <w:color w:val="333333"/>
          <w:shd w:val="clear" w:color="auto" w:fill="FFFFFF"/>
        </w:rPr>
        <w:t xml:space="preserve"> of the</w:t>
      </w:r>
      <w:r w:rsidR="002F152B" w:rsidRPr="00A85B87">
        <w:rPr>
          <w:color w:val="333333"/>
          <w:shd w:val="clear" w:color="auto" w:fill="FFFFFF"/>
        </w:rPr>
        <w:t> </w:t>
      </w:r>
      <w:bookmarkStart w:id="4" w:name="hit233"/>
      <w:bookmarkEnd w:id="4"/>
      <w:r w:rsidR="002F152B" w:rsidRPr="00A85B87">
        <w:rPr>
          <w:noProof/>
          <w:color w:val="1D1D1D"/>
          <w:shd w:val="clear" w:color="auto" w:fill="FFFFFF"/>
        </w:rPr>
        <w:drawing>
          <wp:inline distT="0" distB="0" distL="0" distR="0" wp14:anchorId="2CB2CD0A" wp14:editId="6270B612">
            <wp:extent cx="5715" cy="5715"/>
            <wp:effectExtent l="0" t="0" r="0" b="0"/>
            <wp:docPr id="186359776" name="Picture 4"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ous Hit">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bookmarkStart w:id="5" w:name="hit234"/>
      <w:bookmarkEnd w:id="5"/>
      <w:r w:rsidR="002F152B" w:rsidRPr="00A85B87">
        <w:rPr>
          <w:color w:val="333333"/>
          <w:shd w:val="clear" w:color="auto" w:fill="FFFFFF"/>
        </w:rPr>
        <w:t>publi</w:t>
      </w:r>
      <w:r w:rsidR="002F152B" w:rsidRPr="00F8258C">
        <w:rPr>
          <w:color w:val="333333"/>
          <w:shd w:val="clear" w:color="auto" w:fill="FFFFFF"/>
        </w:rPr>
        <w:t>c health, safety and welfare.</w:t>
      </w:r>
      <w:r w:rsidR="00855B5A" w:rsidRPr="00F8258C">
        <w:rPr>
          <w:rStyle w:val="FootnoteReference"/>
          <w:color w:val="333333"/>
          <w:shd w:val="clear" w:color="auto" w:fill="FFFFFF"/>
        </w:rPr>
        <w:footnoteReference w:id="11"/>
      </w:r>
      <w:r w:rsidR="002F152B" w:rsidRPr="00F8258C">
        <w:rPr>
          <w:color w:val="333333"/>
          <w:shd w:val="clear" w:color="auto" w:fill="FFFFFF"/>
        </w:rPr>
        <w:t xml:space="preserve"> </w:t>
      </w:r>
      <w:r w:rsidR="001E4354" w:rsidRPr="00F8258C">
        <w:rPr>
          <w:color w:val="333333"/>
          <w:shd w:val="clear" w:color="auto" w:fill="FFFFFF"/>
        </w:rPr>
        <w:t xml:space="preserve">The Board determines that required oversight of the Respondent’s use of </w:t>
      </w:r>
      <w:proofErr w:type="spellStart"/>
      <w:r w:rsidR="001E4354" w:rsidRPr="00F8258C">
        <w:rPr>
          <w:color w:val="333333"/>
          <w:shd w:val="clear" w:color="auto" w:fill="FFFFFF"/>
        </w:rPr>
        <w:t>MassPAT</w:t>
      </w:r>
      <w:proofErr w:type="spellEnd"/>
      <w:r w:rsidR="001E4354" w:rsidRPr="00F8258C">
        <w:rPr>
          <w:color w:val="333333"/>
          <w:shd w:val="clear" w:color="auto" w:fill="FFFFFF"/>
        </w:rPr>
        <w:t xml:space="preserve"> is required to ensure public safety.</w:t>
      </w:r>
    </w:p>
    <w:p w14:paraId="009075CB" w14:textId="38E16F49" w:rsidR="00941ECE" w:rsidRPr="00F8258C" w:rsidRDefault="00941ECE" w:rsidP="00F8258C">
      <w:pPr>
        <w:spacing w:line="360" w:lineRule="auto"/>
        <w:ind w:right="360" w:firstLine="720"/>
        <w:jc w:val="both"/>
        <w:rPr>
          <w:u w:val="single"/>
        </w:rPr>
      </w:pPr>
      <w:r w:rsidRPr="00F8258C">
        <w:rPr>
          <w:u w:val="single"/>
        </w:rPr>
        <w:t>Billing</w:t>
      </w:r>
    </w:p>
    <w:p w14:paraId="2AEE5985" w14:textId="48497291" w:rsidR="0047105F" w:rsidRPr="00F8258C" w:rsidRDefault="00D47214" w:rsidP="00F8258C">
      <w:pPr>
        <w:spacing w:line="360" w:lineRule="auto"/>
        <w:ind w:firstLine="720"/>
        <w:jc w:val="both"/>
      </w:pPr>
      <w:r w:rsidRPr="00F8258C">
        <w:t>“The Supreme Judicial Court has made clear that</w:t>
      </w:r>
      <w:r w:rsidR="00600CAC" w:rsidRPr="00F8258C">
        <w:t>…[</w:t>
      </w:r>
      <w:r w:rsidR="00CD27D9" w:rsidRPr="00F8258C">
        <w:t>wrongful billing]</w:t>
      </w:r>
      <w:r w:rsidR="00AC7148" w:rsidRPr="00F8258C">
        <w:t xml:space="preserve"> a</w:t>
      </w:r>
      <w:r w:rsidR="00A265F5" w:rsidRPr="00F8258C">
        <w:t xml:space="preserve">ctions </w:t>
      </w:r>
      <w:r w:rsidR="00332D59" w:rsidRPr="00F8258C">
        <w:t>are within the scope of a physician’s practice of me</w:t>
      </w:r>
      <w:r w:rsidR="005E5271" w:rsidRPr="00F8258C">
        <w:t xml:space="preserve">dicine, because ‘[t]he practice of modern medicine </w:t>
      </w:r>
      <w:r w:rsidR="009744EC" w:rsidRPr="00F8258C">
        <w:t xml:space="preserve">involves financial management….” </w:t>
      </w:r>
      <w:r w:rsidR="009744EC" w:rsidRPr="00F8258C">
        <w:rPr>
          <w:i/>
          <w:iCs/>
        </w:rPr>
        <w:t xml:space="preserve">Levy v. Board of </w:t>
      </w:r>
      <w:r w:rsidR="00B66A27" w:rsidRPr="00F8258C">
        <w:rPr>
          <w:i/>
          <w:iCs/>
        </w:rPr>
        <w:t>R</w:t>
      </w:r>
      <w:r w:rsidR="009744EC" w:rsidRPr="00F8258C">
        <w:rPr>
          <w:i/>
          <w:iCs/>
        </w:rPr>
        <w:t>egistration &amp; Discipline in Med</w:t>
      </w:r>
      <w:r w:rsidR="009744EC" w:rsidRPr="00F8258C">
        <w:t>., 378 Mass. 519,</w:t>
      </w:r>
      <w:r w:rsidR="003E3A34" w:rsidRPr="00F8258C">
        <w:t xml:space="preserve"> 526-527 (1979)</w:t>
      </w:r>
      <w:r w:rsidR="00B66A27" w:rsidRPr="00F8258C">
        <w:t>.</w:t>
      </w:r>
      <w:r w:rsidR="005D17A3" w:rsidRPr="00F8258C">
        <w:t xml:space="preserve"> </w:t>
      </w:r>
      <w:r w:rsidR="00941ECE" w:rsidRPr="00F8258C">
        <w:t xml:space="preserve">The Board has imposed indefinite suspension </w:t>
      </w:r>
      <w:r w:rsidR="00943389">
        <w:t xml:space="preserve">or revocation </w:t>
      </w:r>
      <w:r w:rsidR="00941ECE" w:rsidRPr="00F8258C">
        <w:t>when a physician has “acted fraudulently or in a manner that had the capacity to deceive or defraud.”</w:t>
      </w:r>
      <w:r w:rsidR="00941ECE" w:rsidRPr="00F8258C">
        <w:rPr>
          <w:rStyle w:val="FootnoteReference"/>
        </w:rPr>
        <w:footnoteReference w:id="12"/>
      </w:r>
      <w:r w:rsidR="00941ECE" w:rsidRPr="00F8258C">
        <w:t xml:space="preserve"> </w:t>
      </w:r>
      <w:r w:rsidR="0047105F" w:rsidRPr="00F8258C">
        <w:t>The Board determines that required oversight of the Respondent’s billing</w:t>
      </w:r>
      <w:r w:rsidR="00C7497F">
        <w:t xml:space="preserve"> is required</w:t>
      </w:r>
      <w:r w:rsidR="0047105F" w:rsidRPr="00F8258C">
        <w:t xml:space="preserve"> given the Respondent’s</w:t>
      </w:r>
      <w:r w:rsidR="00055DBC" w:rsidRPr="00F8258C">
        <w:t xml:space="preserve"> willfully and intentionally</w:t>
      </w:r>
      <w:r w:rsidR="0047105F" w:rsidRPr="00F8258C">
        <w:t xml:space="preserve"> </w:t>
      </w:r>
      <w:r w:rsidR="009A7E03" w:rsidRPr="00F8258C">
        <w:t>billing for sessions</w:t>
      </w:r>
      <w:r w:rsidR="00C67E2E" w:rsidRPr="00F8258C">
        <w:t xml:space="preserve"> </w:t>
      </w:r>
      <w:r w:rsidR="00AE005D" w:rsidRPr="00F8258C">
        <w:t>that did not occur</w:t>
      </w:r>
      <w:r w:rsidR="00711BDC" w:rsidRPr="00F8258C">
        <w:t>.</w:t>
      </w:r>
      <w:r w:rsidR="009A7E03" w:rsidRPr="00F8258C">
        <w:t xml:space="preserve"> </w:t>
      </w:r>
    </w:p>
    <w:p w14:paraId="417A2FA6" w14:textId="77777777" w:rsidR="00941ECE" w:rsidRPr="00F8258C" w:rsidRDefault="00941ECE" w:rsidP="00F8258C">
      <w:pPr>
        <w:spacing w:line="360" w:lineRule="auto"/>
        <w:ind w:right="360" w:firstLine="720"/>
        <w:jc w:val="both"/>
        <w:rPr>
          <w:u w:val="single"/>
        </w:rPr>
      </w:pPr>
      <w:r w:rsidRPr="00F8258C">
        <w:rPr>
          <w:u w:val="single"/>
        </w:rPr>
        <w:t xml:space="preserve">License Renewals </w:t>
      </w:r>
    </w:p>
    <w:p w14:paraId="6F9E5596" w14:textId="02721BFF" w:rsidR="00FE1334" w:rsidRPr="00F8258C" w:rsidRDefault="00A708CF" w:rsidP="005D5E5F">
      <w:pPr>
        <w:spacing w:line="360" w:lineRule="auto"/>
        <w:ind w:firstLine="720"/>
        <w:jc w:val="both"/>
      </w:pPr>
      <w:r w:rsidRPr="00F8258C">
        <w:t>“In its system of initial licensure and re-licensure, the Board depends on the accuracy and integrity of the information provided by physicians.”</w:t>
      </w:r>
      <w:r w:rsidRPr="00F8258C">
        <w:rPr>
          <w:rStyle w:val="FootnoteReference"/>
        </w:rPr>
        <w:footnoteReference w:id="13"/>
      </w:r>
      <w:r w:rsidRPr="00F8258C">
        <w:t xml:space="preserve"> </w:t>
      </w:r>
      <w:r w:rsidR="00043F64" w:rsidRPr="00F8258C">
        <w:t xml:space="preserve">The Board’s required reporting of discipline and investigations on license applications is integral to physician credentialing, a risk management tool directly linked to ensuring that only qualified physicians are licensed. </w:t>
      </w:r>
    </w:p>
    <w:p w14:paraId="7AE066F2" w14:textId="28464F7C" w:rsidR="00FE5752" w:rsidRPr="00F8258C" w:rsidRDefault="00043F64" w:rsidP="005D5E5F">
      <w:pPr>
        <w:spacing w:line="360" w:lineRule="auto"/>
        <w:ind w:firstLine="720"/>
        <w:jc w:val="both"/>
      </w:pPr>
      <w:r w:rsidRPr="00F8258C">
        <w:t xml:space="preserve">The Board relies on renewal responses not just to determine whether license renewal is warranted, but to identify </w:t>
      </w:r>
      <w:r w:rsidR="007C08DA" w:rsidRPr="00F8258C">
        <w:t xml:space="preserve">instances </w:t>
      </w:r>
      <w:r w:rsidRPr="00F8258C">
        <w:t xml:space="preserve">where investigation </w:t>
      </w:r>
      <w:r w:rsidR="00B03A01" w:rsidRPr="00F8258C">
        <w:t xml:space="preserve"> of possible violation</w:t>
      </w:r>
      <w:r w:rsidR="00600CBB" w:rsidRPr="00F8258C">
        <w:t>s of Board regulations or policies</w:t>
      </w:r>
      <w:r w:rsidR="00B03A01" w:rsidRPr="00F8258C">
        <w:t xml:space="preserve"> </w:t>
      </w:r>
      <w:r w:rsidRPr="00F8258C">
        <w:t xml:space="preserve">is warranted. Health care facilities also review and rely on </w:t>
      </w:r>
      <w:r w:rsidR="005B7456" w:rsidRPr="00F8258C">
        <w:t xml:space="preserve">responses in </w:t>
      </w:r>
      <w:r w:rsidRPr="00F8258C">
        <w:t xml:space="preserve">license </w:t>
      </w:r>
      <w:r w:rsidR="005B7456" w:rsidRPr="00F8258C">
        <w:t>applications</w:t>
      </w:r>
      <w:r w:rsidRPr="00F8258C">
        <w:t xml:space="preserve"> pursuant to the </w:t>
      </w:r>
      <w:r w:rsidR="004628E6" w:rsidRPr="00F8258C">
        <w:t>cre</w:t>
      </w:r>
      <w:r w:rsidRPr="00F8258C">
        <w:t xml:space="preserve">dentialing requirements </w:t>
      </w:r>
      <w:r w:rsidR="004628E6" w:rsidRPr="00F8258C">
        <w:t xml:space="preserve">in </w:t>
      </w:r>
      <w:r w:rsidRPr="00F8258C">
        <w:t xml:space="preserve">the Board’s </w:t>
      </w:r>
      <w:r w:rsidR="004628E6" w:rsidRPr="00F8258C">
        <w:t xml:space="preserve">Qualified Patient Care Assessment Program </w:t>
      </w:r>
      <w:r w:rsidRPr="00F8258C">
        <w:t>regulations.</w:t>
      </w:r>
      <w:r w:rsidR="004628E6" w:rsidRPr="00F8258C">
        <w:rPr>
          <w:rStyle w:val="FootnoteReference"/>
        </w:rPr>
        <w:footnoteReference w:id="14"/>
      </w:r>
      <w:r w:rsidR="004628E6" w:rsidRPr="00F8258C">
        <w:t xml:space="preserve"> </w:t>
      </w:r>
    </w:p>
    <w:p w14:paraId="10A2F84A" w14:textId="0452B90F" w:rsidR="00A80022" w:rsidRPr="00F8258C" w:rsidRDefault="00A80022" w:rsidP="00F8258C">
      <w:pPr>
        <w:spacing w:line="360" w:lineRule="auto"/>
        <w:ind w:firstLine="720"/>
        <w:jc w:val="both"/>
      </w:pPr>
      <w:r w:rsidRPr="00F8258C">
        <w:t>When fashioning a sanction for a physician who has not furnished complete and accurate information on applications, the Board considers the totality of the circumstances</w:t>
      </w:r>
      <w:r w:rsidR="00A66831" w:rsidRPr="00F8258C">
        <w:t xml:space="preserve">. The Board distinguishes between </w:t>
      </w:r>
      <w:r w:rsidR="002B4C09" w:rsidRPr="00F8258C">
        <w:t xml:space="preserve">instances where a physician fails to respond accurately to questions due to oversight or carelessness and those where a physician knowingly </w:t>
      </w:r>
      <w:r w:rsidR="00DF56D2" w:rsidRPr="00F8258C">
        <w:t xml:space="preserve">and intentionally </w:t>
      </w:r>
      <w:r w:rsidR="00F87D9B" w:rsidRPr="00F8258C">
        <w:t>furnishes inaccurate or incomplete responses.</w:t>
      </w:r>
      <w:r w:rsidR="00F87D9B" w:rsidRPr="00F8258C">
        <w:rPr>
          <w:rStyle w:val="FootnoteReference"/>
        </w:rPr>
        <w:footnoteReference w:id="15"/>
      </w:r>
      <w:r w:rsidR="00F87D9B" w:rsidRPr="00F8258C">
        <w:t xml:space="preserve"> </w:t>
      </w:r>
      <w:r w:rsidR="004F02F0" w:rsidRPr="00F8258C">
        <w:t>So, too, the Board considers any mitigating circumstances</w:t>
      </w:r>
      <w:r w:rsidR="00455599" w:rsidRPr="00F8258C">
        <w:t>, if any.</w:t>
      </w:r>
      <w:r w:rsidR="00455599" w:rsidRPr="00F8258C">
        <w:rPr>
          <w:rStyle w:val="FootnoteReference"/>
        </w:rPr>
        <w:footnoteReference w:id="16"/>
      </w:r>
      <w:r w:rsidR="004F02F0" w:rsidRPr="00F8258C">
        <w:t xml:space="preserve"> </w:t>
      </w:r>
    </w:p>
    <w:p w14:paraId="18FECEBB" w14:textId="0F9BDB95" w:rsidR="002E17B6" w:rsidRPr="00F8258C" w:rsidRDefault="00DC4E2A" w:rsidP="00F8258C">
      <w:pPr>
        <w:spacing w:line="360" w:lineRule="auto"/>
        <w:ind w:firstLine="720"/>
        <w:jc w:val="both"/>
        <w:rPr>
          <w:rFonts w:eastAsiaTheme="minorHAnsi"/>
        </w:rPr>
      </w:pPr>
      <w:r w:rsidRPr="00F8258C">
        <w:t xml:space="preserve">In the pendant case, the Board determines that the Respondent’s </w:t>
      </w:r>
      <w:r w:rsidR="00232848" w:rsidRPr="00F8258C">
        <w:t xml:space="preserve">failure to complete three license renewal applications accurately and completely, together with the absence of mitigating circumstances, warrants oversight of the Respondent’s completion of credentialing documents. </w:t>
      </w:r>
    </w:p>
    <w:p w14:paraId="6AE8C794" w14:textId="3D55D717" w:rsidR="006E6D48" w:rsidRDefault="004A2C35" w:rsidP="00F8258C">
      <w:pPr>
        <w:spacing w:line="360" w:lineRule="auto"/>
        <w:ind w:firstLine="720"/>
        <w:jc w:val="both"/>
        <w:rPr>
          <w:rFonts w:ascii="Courier New" w:hAnsi="Courier New" w:cs="Courier New"/>
          <w:color w:val="333333"/>
        </w:rPr>
      </w:pPr>
      <w:r w:rsidRPr="004A2C35">
        <w:t xml:space="preserve">In light of the Respondent’s pattern of undermining the Department of Public Health’s prescription monitoring and credentialing risk management tools, and in consideration of the Respondent’s pattern of dishonesty and deceit, the Board imposes a $10,000 FINE and INDEFINITELY SUSPENDS the Respondent’s license. The Board stays the indefinite suspension for sixty (60) days to allow the Respondent to enter into a standard, five-year Board Probation Agreement.  The Probation Agreement must include additional terms which require the Respondent to arrange for, and pay the costs associated with, monitoring of his completion of credentialing applications, use of </w:t>
      </w:r>
      <w:proofErr w:type="spellStart"/>
      <w:r w:rsidRPr="004A2C35">
        <w:t>MassPAT</w:t>
      </w:r>
      <w:proofErr w:type="spellEnd"/>
      <w:r w:rsidRPr="004A2C35">
        <w:t xml:space="preserve"> and billing, by a Board-approved entity, such as Affiliated Monitors.   If the Respondent executes and files such a Probation Agreement and a petition to further stay suspension within 60 days, the stay will be extended until such time as the Board takes action on the Respondent's petition to further stay suspension and accept the proposed Probation Agreement. </w:t>
      </w:r>
    </w:p>
    <w:p w14:paraId="7273A991" w14:textId="56CF1B53" w:rsidR="006E6D48" w:rsidRDefault="006E6D48" w:rsidP="00F8258C">
      <w:pPr>
        <w:spacing w:line="360" w:lineRule="auto"/>
        <w:ind w:firstLine="720"/>
        <w:jc w:val="both"/>
      </w:pPr>
      <w:r>
        <w:t xml:space="preserve">The fine is payable within ninety (90) days of the issuance of this Final Decision and Order. The Board will not renew the license of any physician who fails to pay a fine in a timely fashion; this step will be taken </w:t>
      </w:r>
      <w:r w:rsidR="002E48B7">
        <w:t>automatically,</w:t>
      </w:r>
      <w:r>
        <w:t xml:space="preserve"> and no further notice or process will apply.</w:t>
      </w:r>
    </w:p>
    <w:p w14:paraId="48892E9A" w14:textId="19B06C95" w:rsidR="00E3380B" w:rsidRPr="00F8258C" w:rsidRDefault="00E3380B" w:rsidP="00F8258C">
      <w:pPr>
        <w:spacing w:after="160" w:line="360" w:lineRule="auto"/>
        <w:ind w:firstLine="720"/>
        <w:jc w:val="both"/>
      </w:pPr>
      <w:r w:rsidRPr="00F8258C">
        <w:rPr>
          <w:w w:val="105"/>
        </w:rPr>
        <w:t>The Respondent shall provide a complete copy of</w:t>
      </w:r>
      <w:r w:rsidRPr="00F8258C">
        <w:rPr>
          <w:spacing w:val="-1"/>
          <w:w w:val="105"/>
        </w:rPr>
        <w:t xml:space="preserve"> </w:t>
      </w:r>
      <w:r w:rsidRPr="00F8258C">
        <w:rPr>
          <w:w w:val="105"/>
        </w:rPr>
        <w:t>this Final Decision and Order, with all exhibits and attachments within ten (10) days by certified mail, return receipt requested,</w:t>
      </w:r>
      <w:r w:rsidRPr="00F8258C">
        <w:rPr>
          <w:spacing w:val="-7"/>
          <w:w w:val="105"/>
        </w:rPr>
        <w:t xml:space="preserve"> </w:t>
      </w:r>
      <w:r w:rsidRPr="00F8258C">
        <w:rPr>
          <w:w w:val="105"/>
        </w:rPr>
        <w:t>or by</w:t>
      </w:r>
      <w:r w:rsidRPr="00F8258C">
        <w:rPr>
          <w:spacing w:val="-3"/>
          <w:w w:val="105"/>
        </w:rPr>
        <w:t xml:space="preserve"> </w:t>
      </w:r>
      <w:r w:rsidRPr="00F8258C">
        <w:rPr>
          <w:w w:val="105"/>
        </w:rPr>
        <w:t>hand</w:t>
      </w:r>
      <w:r w:rsidRPr="00F8258C">
        <w:rPr>
          <w:spacing w:val="-2"/>
          <w:w w:val="105"/>
        </w:rPr>
        <w:t xml:space="preserve"> </w:t>
      </w:r>
      <w:r w:rsidRPr="00F8258C">
        <w:rPr>
          <w:w w:val="105"/>
        </w:rPr>
        <w:t>delivery to</w:t>
      </w:r>
      <w:r w:rsidRPr="00F8258C">
        <w:rPr>
          <w:spacing w:val="-16"/>
          <w:w w:val="105"/>
        </w:rPr>
        <w:t xml:space="preserve"> </w:t>
      </w:r>
      <w:r w:rsidRPr="00F8258C">
        <w:rPr>
          <w:w w:val="105"/>
        </w:rPr>
        <w:t>the</w:t>
      </w:r>
      <w:r w:rsidRPr="00F8258C">
        <w:rPr>
          <w:spacing w:val="-14"/>
          <w:w w:val="105"/>
        </w:rPr>
        <w:t xml:space="preserve"> </w:t>
      </w:r>
      <w:r w:rsidRPr="00F8258C">
        <w:rPr>
          <w:w w:val="105"/>
        </w:rPr>
        <w:t>following designated entities:</w:t>
      </w:r>
      <w:r w:rsidRPr="00F8258C">
        <w:rPr>
          <w:spacing w:val="40"/>
          <w:w w:val="105"/>
        </w:rPr>
        <w:t xml:space="preserve"> </w:t>
      </w:r>
      <w:r w:rsidRPr="00F8258C">
        <w:rPr>
          <w:w w:val="105"/>
        </w:rPr>
        <w:t>any</w:t>
      </w:r>
      <w:r w:rsidRPr="00F8258C">
        <w:rPr>
          <w:spacing w:val="-6"/>
          <w:w w:val="105"/>
        </w:rPr>
        <w:t xml:space="preserve"> </w:t>
      </w:r>
      <w:r w:rsidRPr="00F8258C">
        <w:rPr>
          <w:w w:val="105"/>
        </w:rPr>
        <w:t>in-</w:t>
      </w:r>
      <w:r w:rsidRPr="00F8258C">
        <w:rPr>
          <w:spacing w:val="-9"/>
          <w:w w:val="105"/>
        </w:rPr>
        <w:t xml:space="preserve"> </w:t>
      </w:r>
      <w:r w:rsidRPr="00F8258C">
        <w:rPr>
          <w:w w:val="105"/>
        </w:rPr>
        <w:t>or</w:t>
      </w:r>
      <w:r w:rsidRPr="00F8258C">
        <w:rPr>
          <w:spacing w:val="-14"/>
          <w:w w:val="105"/>
        </w:rPr>
        <w:t xml:space="preserve"> </w:t>
      </w:r>
      <w:r w:rsidRPr="00F8258C">
        <w:rPr>
          <w:w w:val="105"/>
        </w:rPr>
        <w:t>out-of-state hospital, nursing home, clinic, other licensed facility, or municipal, state, or federal facility</w:t>
      </w:r>
      <w:r w:rsidRPr="00F8258C">
        <w:rPr>
          <w:spacing w:val="65"/>
          <w:w w:val="105"/>
        </w:rPr>
        <w:t xml:space="preserve"> </w:t>
      </w:r>
      <w:r w:rsidRPr="00F8258C">
        <w:rPr>
          <w:w w:val="105"/>
        </w:rPr>
        <w:t>at</w:t>
      </w:r>
      <w:r w:rsidRPr="00F8258C">
        <w:rPr>
          <w:spacing w:val="60"/>
          <w:w w:val="105"/>
        </w:rPr>
        <w:t xml:space="preserve"> </w:t>
      </w:r>
      <w:r w:rsidRPr="00F8258C">
        <w:rPr>
          <w:w w:val="105"/>
        </w:rPr>
        <w:t>which</w:t>
      </w:r>
      <w:r w:rsidRPr="00F8258C">
        <w:rPr>
          <w:spacing w:val="64"/>
          <w:w w:val="105"/>
        </w:rPr>
        <w:t xml:space="preserve"> </w:t>
      </w:r>
      <w:r w:rsidRPr="00F8258C">
        <w:rPr>
          <w:w w:val="105"/>
        </w:rPr>
        <w:t>he</w:t>
      </w:r>
      <w:r w:rsidRPr="00F8258C">
        <w:rPr>
          <w:spacing w:val="63"/>
          <w:w w:val="105"/>
        </w:rPr>
        <w:t xml:space="preserve"> </w:t>
      </w:r>
      <w:r w:rsidRPr="00F8258C">
        <w:rPr>
          <w:w w:val="105"/>
        </w:rPr>
        <w:t>practices</w:t>
      </w:r>
      <w:r w:rsidRPr="00F8258C">
        <w:rPr>
          <w:spacing w:val="70"/>
          <w:w w:val="105"/>
        </w:rPr>
        <w:t xml:space="preserve"> </w:t>
      </w:r>
      <w:r w:rsidRPr="00F8258C">
        <w:rPr>
          <w:w w:val="105"/>
        </w:rPr>
        <w:t>medicine;</w:t>
      </w:r>
      <w:r w:rsidRPr="00F8258C">
        <w:rPr>
          <w:spacing w:val="69"/>
          <w:w w:val="105"/>
        </w:rPr>
        <w:t xml:space="preserve"> </w:t>
      </w:r>
      <w:r w:rsidRPr="00F8258C">
        <w:rPr>
          <w:w w:val="105"/>
        </w:rPr>
        <w:t>any</w:t>
      </w:r>
      <w:r w:rsidRPr="00F8258C">
        <w:rPr>
          <w:spacing w:val="70"/>
          <w:w w:val="105"/>
        </w:rPr>
        <w:t xml:space="preserve"> </w:t>
      </w:r>
      <w:r w:rsidRPr="00F8258C">
        <w:rPr>
          <w:w w:val="105"/>
        </w:rPr>
        <w:t>in-</w:t>
      </w:r>
      <w:r w:rsidRPr="00F8258C">
        <w:rPr>
          <w:spacing w:val="61"/>
          <w:w w:val="105"/>
        </w:rPr>
        <w:t xml:space="preserve"> </w:t>
      </w:r>
      <w:r w:rsidRPr="00F8258C">
        <w:rPr>
          <w:w w:val="105"/>
        </w:rPr>
        <w:t>or</w:t>
      </w:r>
      <w:r w:rsidRPr="00F8258C">
        <w:rPr>
          <w:spacing w:val="40"/>
          <w:w w:val="105"/>
        </w:rPr>
        <w:t xml:space="preserve"> </w:t>
      </w:r>
      <w:r w:rsidRPr="00F8258C">
        <w:rPr>
          <w:w w:val="105"/>
        </w:rPr>
        <w:t>out-of-state</w:t>
      </w:r>
      <w:r w:rsidRPr="00F8258C">
        <w:rPr>
          <w:spacing w:val="80"/>
          <w:w w:val="105"/>
        </w:rPr>
        <w:t xml:space="preserve"> </w:t>
      </w:r>
      <w:r w:rsidRPr="00F8258C">
        <w:rPr>
          <w:w w:val="105"/>
        </w:rPr>
        <w:t>health</w:t>
      </w:r>
      <w:r w:rsidRPr="00F8258C">
        <w:rPr>
          <w:spacing w:val="65"/>
          <w:w w:val="105"/>
        </w:rPr>
        <w:t xml:space="preserve"> </w:t>
      </w:r>
      <w:r w:rsidRPr="00F8258C">
        <w:rPr>
          <w:w w:val="105"/>
        </w:rPr>
        <w:t>maintenance</w:t>
      </w:r>
      <w:r w:rsidR="00DA043D" w:rsidRPr="00F8258C">
        <w:rPr>
          <w:w w:val="105"/>
        </w:rPr>
        <w:t xml:space="preserve"> orga</w:t>
      </w:r>
      <w:r w:rsidRPr="00F8258C">
        <w:t>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w:t>
      </w:r>
      <w:r w:rsidRPr="00F8258C">
        <w:rPr>
          <w:spacing w:val="40"/>
        </w:rPr>
        <w:t xml:space="preserve"> </w:t>
      </w:r>
      <w:r w:rsidRPr="00F8258C">
        <w:t>The Respondent shall also provide this</w:t>
      </w:r>
      <w:r w:rsidRPr="00F8258C">
        <w:rPr>
          <w:spacing w:val="-1"/>
        </w:rPr>
        <w:t xml:space="preserve"> </w:t>
      </w:r>
      <w:r w:rsidRPr="00F8258C">
        <w:t>notification to</w:t>
      </w:r>
      <w:r w:rsidRPr="00F8258C">
        <w:rPr>
          <w:spacing w:val="-3"/>
        </w:rPr>
        <w:t xml:space="preserve"> </w:t>
      </w:r>
      <w:r w:rsidRPr="00F8258C">
        <w:t xml:space="preserve">any such designated entities with which he becomes associated for the duration of </w:t>
      </w:r>
      <w:r w:rsidR="001362AA">
        <w:t>his indefinite suspension and probationary term</w:t>
      </w:r>
      <w:r w:rsidRPr="00F8258C">
        <w:t>.</w:t>
      </w:r>
      <w:r w:rsidRPr="00F8258C">
        <w:rPr>
          <w:spacing w:val="40"/>
        </w:rPr>
        <w:t xml:space="preserve"> </w:t>
      </w:r>
      <w:r w:rsidRPr="00F8258C">
        <w:t>The Respondent is further directed to certify to the Board within ten (10) days that he has complied with this directive.</w:t>
      </w:r>
      <w:r w:rsidRPr="00F8258C">
        <w:rPr>
          <w:spacing w:val="80"/>
        </w:rPr>
        <w:t xml:space="preserve"> </w:t>
      </w:r>
      <w:r w:rsidRPr="00F8258C">
        <w:t>The Board expressly reserves the authority to independently notify, at any time, any of the entities designated above, or any other affected entity, of any action it has taken. The Respondent</w:t>
      </w:r>
      <w:r w:rsidRPr="00F8258C">
        <w:rPr>
          <w:spacing w:val="40"/>
        </w:rPr>
        <w:t xml:space="preserve"> </w:t>
      </w:r>
      <w:r w:rsidRPr="00F8258C">
        <w:t>has the right to appeal this Final Decision and Order within thirty (30) days, pursuant to G.L. c. 30A, §§14 and 15, and G.L. c. 112, § 64.</w:t>
      </w:r>
    </w:p>
    <w:p w14:paraId="51CD9B2B" w14:textId="77777777" w:rsidR="00E3380B" w:rsidRPr="00F8258C" w:rsidRDefault="00E3380B" w:rsidP="00F8258C">
      <w:pPr>
        <w:pStyle w:val="BodyText"/>
        <w:spacing w:line="360" w:lineRule="auto"/>
        <w:jc w:val="both"/>
        <w:rPr>
          <w:sz w:val="22"/>
          <w:szCs w:val="22"/>
        </w:rPr>
      </w:pPr>
    </w:p>
    <w:p w14:paraId="57C69690" w14:textId="77777777" w:rsidR="00E3380B" w:rsidRPr="00F8258C" w:rsidRDefault="00E3380B" w:rsidP="00F8258C">
      <w:pPr>
        <w:pStyle w:val="BodyText"/>
        <w:spacing w:line="360" w:lineRule="auto"/>
        <w:rPr>
          <w:sz w:val="22"/>
          <w:szCs w:val="22"/>
        </w:rPr>
      </w:pPr>
    </w:p>
    <w:p w14:paraId="788AF943" w14:textId="3AE1C0EA" w:rsidR="00E3380B" w:rsidRPr="00F8258C" w:rsidRDefault="00E3380B" w:rsidP="00F8258C">
      <w:pPr>
        <w:tabs>
          <w:tab w:val="left" w:pos="865"/>
          <w:tab w:val="left" w:pos="3735"/>
          <w:tab w:val="left" w:pos="7305"/>
        </w:tabs>
        <w:spacing w:before="217" w:line="360" w:lineRule="auto"/>
        <w:ind w:left="145"/>
      </w:pPr>
      <w:r w:rsidRPr="00F8258C">
        <w:rPr>
          <w:spacing w:val="-2"/>
        </w:rPr>
        <w:t>Date:</w:t>
      </w:r>
      <w:r w:rsidRPr="00F8258C">
        <w:tab/>
      </w:r>
      <w:r w:rsidR="00C121A2">
        <w:t>May 9</w:t>
      </w:r>
      <w:r w:rsidR="00A21ABB">
        <w:t>, 2024</w:t>
      </w:r>
      <w:r w:rsidRPr="00F8258C">
        <w:tab/>
      </w:r>
      <w:r w:rsidR="00C12742">
        <w:rPr>
          <w:u w:val="single"/>
        </w:rPr>
        <w:t>Signed by Booker T. Bush, M.D.</w:t>
      </w:r>
      <w:r w:rsidR="00C12742">
        <w:rPr>
          <w:u w:val="single"/>
        </w:rPr>
        <w:tab/>
      </w:r>
    </w:p>
    <w:p w14:paraId="06896F36" w14:textId="7571E2F0" w:rsidR="00E3380B" w:rsidRPr="00F8258C" w:rsidRDefault="00F85F0C" w:rsidP="00F8258C">
      <w:pPr>
        <w:spacing w:line="360" w:lineRule="auto"/>
        <w:ind w:left="3756" w:right="2517" w:hanging="4"/>
      </w:pPr>
      <w:r w:rsidRPr="00F8258C">
        <w:t xml:space="preserve">Booker </w:t>
      </w:r>
      <w:r w:rsidR="0011231C">
        <w:t xml:space="preserve">T. </w:t>
      </w:r>
      <w:r w:rsidRPr="00F8258C">
        <w:t>Bush</w:t>
      </w:r>
      <w:r w:rsidR="00E3380B" w:rsidRPr="00F8258C">
        <w:t>,</w:t>
      </w:r>
      <w:r w:rsidR="00E3380B" w:rsidRPr="00F8258C">
        <w:rPr>
          <w:spacing w:val="-8"/>
        </w:rPr>
        <w:t xml:space="preserve"> </w:t>
      </w:r>
      <w:r w:rsidR="00E3380B" w:rsidRPr="00F8258C">
        <w:t>M.D.</w:t>
      </w:r>
      <w:r w:rsidR="0011231C">
        <w:t>,</w:t>
      </w:r>
      <w:r w:rsidR="00E3380B" w:rsidRPr="00F8258C">
        <w:t xml:space="preserve"> </w:t>
      </w:r>
      <w:r w:rsidR="00E3380B" w:rsidRPr="00F8258C">
        <w:rPr>
          <w:spacing w:val="-4"/>
        </w:rPr>
        <w:t>Chair</w:t>
      </w:r>
    </w:p>
    <w:p w14:paraId="617C256F" w14:textId="38BE38C8" w:rsidR="00E3380B" w:rsidRPr="00F8258C" w:rsidRDefault="00E3380B" w:rsidP="00F8258C">
      <w:pPr>
        <w:spacing w:line="360" w:lineRule="auto"/>
        <w:ind w:left="3753"/>
        <w:rPr>
          <w:spacing w:val="-2"/>
        </w:rPr>
      </w:pPr>
      <w:r w:rsidRPr="00F8258C">
        <w:t>Board of</w:t>
      </w:r>
      <w:r w:rsidRPr="00F8258C">
        <w:rPr>
          <w:spacing w:val="-6"/>
        </w:rPr>
        <w:t xml:space="preserve"> </w:t>
      </w:r>
      <w:r w:rsidRPr="00F8258C">
        <w:t>Registration</w:t>
      </w:r>
      <w:r w:rsidRPr="00F8258C">
        <w:rPr>
          <w:spacing w:val="10"/>
        </w:rPr>
        <w:t xml:space="preserve"> </w:t>
      </w:r>
      <w:r w:rsidRPr="00F8258C">
        <w:t>in</w:t>
      </w:r>
      <w:r w:rsidRPr="00F8258C">
        <w:rPr>
          <w:spacing w:val="-11"/>
        </w:rPr>
        <w:t xml:space="preserve"> </w:t>
      </w:r>
      <w:r w:rsidRPr="00F8258C">
        <w:rPr>
          <w:spacing w:val="-2"/>
        </w:rPr>
        <w:t>Medicine</w:t>
      </w:r>
    </w:p>
    <w:p w14:paraId="749529D1" w14:textId="77777777" w:rsidR="00622C11" w:rsidRPr="00F8258C" w:rsidRDefault="00622C11" w:rsidP="00F8258C">
      <w:pPr>
        <w:spacing w:line="360" w:lineRule="auto"/>
        <w:ind w:left="3753"/>
      </w:pPr>
    </w:p>
    <w:p w14:paraId="25633A3B" w14:textId="77777777" w:rsidR="00D447AD" w:rsidRPr="00F8258C" w:rsidRDefault="00D447AD" w:rsidP="00F8258C">
      <w:pPr>
        <w:spacing w:line="360" w:lineRule="auto"/>
      </w:pPr>
    </w:p>
    <w:sectPr w:rsidR="00D447AD" w:rsidRPr="00F8258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3A2C7" w14:textId="77777777" w:rsidR="003D371A" w:rsidRDefault="003D371A" w:rsidP="003834A2">
      <w:r>
        <w:separator/>
      </w:r>
    </w:p>
  </w:endnote>
  <w:endnote w:type="continuationSeparator" w:id="0">
    <w:p w14:paraId="15B56114" w14:textId="77777777" w:rsidR="003D371A" w:rsidRDefault="003D371A" w:rsidP="003834A2">
      <w:r>
        <w:continuationSeparator/>
      </w:r>
    </w:p>
  </w:endnote>
  <w:endnote w:type="continuationNotice" w:id="1">
    <w:p w14:paraId="1A3A7C13" w14:textId="77777777" w:rsidR="003D371A" w:rsidRDefault="003D3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B57ED" w14:textId="3404EF9B" w:rsidR="001B6D84" w:rsidRDefault="00E3380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2B503B7" wp14:editId="1A5117A6">
              <wp:simplePos x="0" y="0"/>
              <wp:positionH relativeFrom="page">
                <wp:posOffset>3867785</wp:posOffset>
              </wp:positionH>
              <wp:positionV relativeFrom="page">
                <wp:posOffset>9426575</wp:posOffset>
              </wp:positionV>
              <wp:extent cx="166370" cy="180975"/>
              <wp:effectExtent l="635" t="0" r="444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C6F01" w14:textId="77777777" w:rsidR="001B6D84" w:rsidRDefault="00893377">
                          <w:pPr>
                            <w:spacing w:before="11"/>
                            <w:ind w:left="60"/>
                          </w:pPr>
                          <w:r>
                            <w:rPr>
                              <w:w w:val="110"/>
                            </w:rPr>
                            <w:fldChar w:fldCharType="begin"/>
                          </w:r>
                          <w:r>
                            <w:rPr>
                              <w:w w:val="110"/>
                            </w:rPr>
                            <w:instrText xml:space="preserve"> PAGE </w:instrText>
                          </w:r>
                          <w:r>
                            <w:rPr>
                              <w:w w:val="110"/>
                            </w:rPr>
                            <w:fldChar w:fldCharType="separate"/>
                          </w:r>
                          <w:r>
                            <w:rPr>
                              <w:w w:val="110"/>
                            </w:rPr>
                            <w:t>2</w:t>
                          </w:r>
                          <w:r>
                            <w:rPr>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503B7" id="_x0000_t202" coordsize="21600,21600" o:spt="202" path="m,l,21600r21600,l21600,xe">
              <v:stroke joinstyle="miter"/>
              <v:path gradientshapeok="t" o:connecttype="rect"/>
            </v:shapetype>
            <v:shape id="Text Box 5" o:spid="_x0000_s1026" type="#_x0000_t202" style="position:absolute;margin-left:304.55pt;margin-top:742.25pt;width:13.1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0x1QEAAJADAAAOAAAAZHJzL2Uyb0RvYy54bWysU9tu1DAQfUfiHyy/s8kWsS3RZqvSqgip&#10;UKTCB0wcO4lIPGbs3WT5esbOZsvlDfFiTTzjM+ecmWyvp6EXB02+Q1vK9SqXQluFdWebUn79cv/q&#10;SgofwNbQo9WlPGovr3cvX2xHV+gLbLGvNQkGsb4YXSnbEFyRZV61egC/QqctJw3SAIE/qclqgpHR&#10;hz67yPNNNiLVjlBp7/n2bk7KXcI3RqvwaIzXQfSlZG4hnZTOKp7ZbgtFQ+DaTp1owD+wGKCz3PQM&#10;dQcBxJ66v6CGThF6NGGlcMjQmE7ppIHVrPM/1Dy14HTSwuZ4d7bJ/z9Y9enw5D6TCNM7nHiASYR3&#10;D6i+eWHxtgXb6BsiHFsNNTdeR8uy0fni9DRa7QsfQarxI9Y8ZNgHTECToSG6wjoFo/MAjmfT9RSE&#10;ii03m9eXnFGcWl/lby/fpA5QLI8d+fBe4yBiUErimSZwODz4EMlAsZTEXhbvu75Pc+3tbxdcGG8S&#10;+ch3Zh6mauLqKKLC+sgyCOc14bXmoEX6IcXIK1JK/30PpKXoP1i2Iu7TEtASVEsAVvHTUgYp5vA2&#10;zHu3d9Q1LSPPZlu8YbtMl6Q8szjx5LEnhacVjXv163eqev6Rdj8BAAD//wMAUEsDBBQABgAIAAAA&#10;IQAHLn124gAAAA0BAAAPAAAAZHJzL2Rvd25yZXYueG1sTI/BTsMwDIbvSHuHyJO4saR0rbbSdJoQ&#10;nJAQXTlwTNusjdY4pcm28vaY0zja/6ffn/PdbAd20ZM3DiVEKwFMY+Nag52Ez+r1YQPMB4WtGhxq&#10;CT/aw65Y3OUqa90VS305hI5RCfpMSehDGDPOfdNrq/zKjRopO7rJqkDj1PF2UlcqtwN/FCLlVhmk&#10;C70a9XOvm9PhbCXsv7B8Md/v9Ud5LE1VbQW+pScp75fz/glY0HO4wfCnT+pQkFPtzth6NkhIxTYi&#10;lIL1Zp0AIySNkxhYTaskigXwIuf/vyh+AQAA//8DAFBLAQItABQABgAIAAAAIQC2gziS/gAAAOEB&#10;AAATAAAAAAAAAAAAAAAAAAAAAABbQ29udGVudF9UeXBlc10ueG1sUEsBAi0AFAAGAAgAAAAhADj9&#10;If/WAAAAlAEAAAsAAAAAAAAAAAAAAAAALwEAAF9yZWxzLy5yZWxzUEsBAi0AFAAGAAgAAAAhAHVf&#10;XTHVAQAAkAMAAA4AAAAAAAAAAAAAAAAALgIAAGRycy9lMm9Eb2MueG1sUEsBAi0AFAAGAAgAAAAh&#10;AAcufXbiAAAADQEAAA8AAAAAAAAAAAAAAAAALwQAAGRycy9kb3ducmV2LnhtbFBLBQYAAAAABAAE&#10;APMAAAA+BQAAAAA=&#10;" filled="f" stroked="f">
              <v:textbox inset="0,0,0,0">
                <w:txbxContent>
                  <w:p w14:paraId="255C6F01" w14:textId="77777777" w:rsidR="001B6D84" w:rsidRDefault="00893377">
                    <w:pPr>
                      <w:spacing w:before="11"/>
                      <w:ind w:left="60"/>
                    </w:pPr>
                    <w:r>
                      <w:rPr>
                        <w:w w:val="110"/>
                      </w:rPr>
                      <w:fldChar w:fldCharType="begin"/>
                    </w:r>
                    <w:r>
                      <w:rPr>
                        <w:w w:val="110"/>
                      </w:rPr>
                      <w:instrText xml:space="preserve"> PAGE </w:instrText>
                    </w:r>
                    <w:r>
                      <w:rPr>
                        <w:w w:val="110"/>
                      </w:rPr>
                      <w:fldChar w:fldCharType="separate"/>
                    </w:r>
                    <w:r>
                      <w:rPr>
                        <w:w w:val="110"/>
                      </w:rPr>
                      <w:t>2</w:t>
                    </w:r>
                    <w:r>
                      <w:rPr>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A5066" w14:textId="77777777" w:rsidR="003D371A" w:rsidRDefault="003D371A" w:rsidP="003834A2">
      <w:r>
        <w:separator/>
      </w:r>
    </w:p>
  </w:footnote>
  <w:footnote w:type="continuationSeparator" w:id="0">
    <w:p w14:paraId="352C1D1A" w14:textId="77777777" w:rsidR="003D371A" w:rsidRDefault="003D371A" w:rsidP="003834A2">
      <w:r>
        <w:continuationSeparator/>
      </w:r>
    </w:p>
  </w:footnote>
  <w:footnote w:type="continuationNotice" w:id="1">
    <w:p w14:paraId="60E64670" w14:textId="77777777" w:rsidR="003D371A" w:rsidRDefault="003D371A"/>
  </w:footnote>
  <w:footnote w:id="2">
    <w:p w14:paraId="780AAFD4" w14:textId="77777777" w:rsidR="0008734B" w:rsidRDefault="0008734B" w:rsidP="0008734B">
      <w:pPr>
        <w:pStyle w:val="FootnoteText"/>
      </w:pPr>
      <w:r>
        <w:rPr>
          <w:rStyle w:val="FootnoteReference"/>
        </w:rPr>
        <w:footnoteRef/>
      </w:r>
      <w:r>
        <w:t xml:space="preserve"> Upon Magistrate McConney’s appointment to the Civil Service Commission, the parties agreed not to repeat the evidentiary hearing, and the case was reassigned. See 801 CMR 1.01(11)(e).</w:t>
      </w:r>
    </w:p>
  </w:footnote>
  <w:footnote w:id="3">
    <w:p w14:paraId="1EC98909" w14:textId="3412DA8B" w:rsidR="00677DFC" w:rsidRDefault="00677DFC">
      <w:pPr>
        <w:pStyle w:val="FootnoteText"/>
      </w:pPr>
      <w:r>
        <w:rPr>
          <w:rStyle w:val="FootnoteReference"/>
        </w:rPr>
        <w:footnoteRef/>
      </w:r>
      <w:r>
        <w:t xml:space="preserve"> Complaint Counsel is James Paikos. Attorney David Gould represents the Respondent.</w:t>
      </w:r>
    </w:p>
  </w:footnote>
  <w:footnote w:id="4">
    <w:p w14:paraId="1422A811" w14:textId="77777777" w:rsidR="007D34B1" w:rsidRDefault="007D34B1" w:rsidP="007D34B1">
      <w:pPr>
        <w:pStyle w:val="FootnoteText"/>
      </w:pPr>
      <w:r>
        <w:rPr>
          <w:rStyle w:val="FootnoteReference"/>
        </w:rPr>
        <w:footnoteRef/>
      </w:r>
      <w:r>
        <w:t xml:space="preserve"> The Board is not required to address each of the Parties’ objections or provide a specific response for rejecting the objections. </w:t>
      </w:r>
      <w:r w:rsidRPr="00320CC5">
        <w:rPr>
          <w:u w:val="single"/>
        </w:rPr>
        <w:t>See</w:t>
      </w:r>
      <w:r>
        <w:t xml:space="preserve"> </w:t>
      </w:r>
      <w:r w:rsidRPr="001B0C9E">
        <w:rPr>
          <w:i/>
          <w:iCs/>
        </w:rPr>
        <w:t>Arthurs v. Board of Registration in Medicine</w:t>
      </w:r>
      <w:r>
        <w:t xml:space="preserve">, 383 Mass. 229, 315-316 (2005). </w:t>
      </w:r>
    </w:p>
  </w:footnote>
  <w:footnote w:id="5">
    <w:p w14:paraId="47875F14" w14:textId="4A796895" w:rsidR="00DE3F82" w:rsidRPr="00DA2C94" w:rsidRDefault="00DE3F82" w:rsidP="00A21ABB">
      <w:pPr>
        <w:pStyle w:val="FootnoteText"/>
        <w:jc w:val="both"/>
      </w:pPr>
      <w:r>
        <w:rPr>
          <w:rStyle w:val="FootnoteReference"/>
        </w:rPr>
        <w:footnoteRef/>
      </w:r>
      <w:r>
        <w:t xml:space="preserve"> In these sentences, the Recommended Decision cites to the </w:t>
      </w:r>
      <w:r>
        <w:rPr>
          <w:i/>
          <w:iCs/>
        </w:rPr>
        <w:t>Welter</w:t>
      </w:r>
      <w:r>
        <w:t xml:space="preserve"> decision, </w:t>
      </w:r>
      <w:r>
        <w:rPr>
          <w:i/>
          <w:iCs/>
        </w:rPr>
        <w:t>supra,</w:t>
      </w:r>
      <w:r w:rsidR="00A21ABB">
        <w:rPr>
          <w:i/>
          <w:iCs/>
        </w:rPr>
        <w:t xml:space="preserve"> </w:t>
      </w:r>
      <w:r>
        <w:t xml:space="preserve">as holding that “Unlike terms such as ‘deceit,’ ‘fraudulent procurement’ evokes the classic elements of common law fraud. </w:t>
      </w:r>
      <w:r w:rsidRPr="007842FA">
        <w:rPr>
          <w:i/>
          <w:iCs/>
        </w:rPr>
        <w:t>Welter</w:t>
      </w:r>
      <w:r>
        <w:t xml:space="preserve">, 490 Mass. at 727. These elements include “reliance,” meaning that the deceived person must have “relief upon the representation as true and acted upon it.”  The Board notes that in its decision </w:t>
      </w:r>
      <w:r w:rsidR="00EB2E12" w:rsidRPr="00EB2E12">
        <w:rPr>
          <w:i/>
          <w:iCs/>
        </w:rPr>
        <w:t>In</w:t>
      </w:r>
      <w:r w:rsidRPr="00EB2E12">
        <w:rPr>
          <w:i/>
          <w:iCs/>
        </w:rPr>
        <w:t xml:space="preserve"> the</w:t>
      </w:r>
      <w:r>
        <w:t xml:space="preserve"> </w:t>
      </w:r>
      <w:r w:rsidRPr="00DE3F82">
        <w:rPr>
          <w:i/>
          <w:iCs/>
        </w:rPr>
        <w:t xml:space="preserve">Matter of </w:t>
      </w:r>
      <w:r w:rsidR="00EB2E12">
        <w:rPr>
          <w:i/>
          <w:iCs/>
        </w:rPr>
        <w:t xml:space="preserve">Gabriel </w:t>
      </w:r>
      <w:r w:rsidRPr="00DE3F82">
        <w:rPr>
          <w:i/>
          <w:iCs/>
        </w:rPr>
        <w:t>Luna</w:t>
      </w:r>
      <w:r>
        <w:t xml:space="preserve">, </w:t>
      </w:r>
      <w:r w:rsidR="00EB2E12">
        <w:t xml:space="preserve">M.D., Board of Registration in Medicine, </w:t>
      </w:r>
      <w:r>
        <w:t>Adjudicatory</w:t>
      </w:r>
      <w:r w:rsidR="00EB2E12">
        <w:t xml:space="preserve"> Case</w:t>
      </w:r>
      <w:r>
        <w:t xml:space="preserve"> No. 2020-010 (Final Decision and Order, June 15, 2023) </w:t>
      </w:r>
      <w:r w:rsidR="00DA2C94">
        <w:t>the Board struck language from the Recommended Decision</w:t>
      </w:r>
      <w:r w:rsidR="00307981" w:rsidRPr="00307981">
        <w:t xml:space="preserve"> </w:t>
      </w:r>
      <w:r w:rsidR="0079642F">
        <w:t xml:space="preserve">before </w:t>
      </w:r>
      <w:r w:rsidR="00307981">
        <w:t>adopt</w:t>
      </w:r>
      <w:r w:rsidR="0079642F">
        <w:t xml:space="preserve">ing it </w:t>
      </w:r>
      <w:r w:rsidR="00307981">
        <w:t xml:space="preserve">into the </w:t>
      </w:r>
      <w:r w:rsidR="00307981">
        <w:rPr>
          <w:i/>
          <w:iCs/>
        </w:rPr>
        <w:t xml:space="preserve">Luna </w:t>
      </w:r>
      <w:r w:rsidR="00307981">
        <w:t>Final Decision and Order</w:t>
      </w:r>
      <w:r w:rsidR="00DA2C94">
        <w:t>.  In</w:t>
      </w:r>
      <w:r>
        <w:t xml:space="preserve"> </w:t>
      </w:r>
      <w:r w:rsidR="00DA2C94">
        <w:rPr>
          <w:i/>
          <w:iCs/>
        </w:rPr>
        <w:t>Luna</w:t>
      </w:r>
      <w:r w:rsidR="00DA2C94">
        <w:t xml:space="preserve">, the Recommended Decision noted that “fraudulent procurement was not at issue in </w:t>
      </w:r>
      <w:r w:rsidR="00DA2C94">
        <w:rPr>
          <w:i/>
          <w:iCs/>
        </w:rPr>
        <w:t xml:space="preserve">Welter </w:t>
      </w:r>
      <w:r w:rsidR="00DA2C94">
        <w:t xml:space="preserve">and that the Court did not expound on what would need to be shown to prove such a charge.”  </w:t>
      </w:r>
      <w:r w:rsidR="0079642F">
        <w:t xml:space="preserve">The </w:t>
      </w:r>
      <w:r w:rsidR="0079642F">
        <w:rPr>
          <w:i/>
          <w:iCs/>
        </w:rPr>
        <w:t xml:space="preserve">Luna </w:t>
      </w:r>
      <w:r w:rsidR="0079642F">
        <w:t>Recommended Decision</w:t>
      </w:r>
      <w:r w:rsidR="00DA2C94">
        <w:t xml:space="preserve"> then proceeded to </w:t>
      </w:r>
      <w:r w:rsidR="00307981">
        <w:t>speculate</w:t>
      </w:r>
      <w:r w:rsidR="00DA2C94">
        <w:t xml:space="preserve"> that “If the elements of common law fraud applied, then it would seem that the Board would have to show … knowledge of falsity for the purpose of inducing the Board to act … and that the Board relied upon the representation</w:t>
      </w:r>
      <w:r w:rsidR="00025D67">
        <w:t>” b</w:t>
      </w:r>
      <w:r w:rsidR="0079642F">
        <w:t>efore</w:t>
      </w:r>
      <w:r w:rsidR="00025D67">
        <w:t xml:space="preserve"> </w:t>
      </w:r>
      <w:r w:rsidR="0079642F">
        <w:t>pulling back from</w:t>
      </w:r>
      <w:r w:rsidR="00307981">
        <w:t xml:space="preserve"> this conjecture towards </w:t>
      </w:r>
      <w:r w:rsidR="00025D67">
        <w:t>the fact that the Magistrat</w:t>
      </w:r>
      <w:r w:rsidR="00307981">
        <w:t>e</w:t>
      </w:r>
      <w:r w:rsidR="00025D67">
        <w:t xml:space="preserve"> had “found no court decision describing whether this full panoply of common law elements must be proven.”</w:t>
      </w:r>
      <w:r w:rsidR="00DA2C94">
        <w:t xml:space="preserve"> </w:t>
      </w:r>
      <w:bookmarkStart w:id="1" w:name="_Hlk161994981"/>
      <w:r w:rsidR="00DA2C94">
        <w:t xml:space="preserve">Consequently, the Board </w:t>
      </w:r>
      <w:r w:rsidR="0079642F">
        <w:t>strikes the aforementioned sentences in this matter to maintain consistency among the final decisions</w:t>
      </w:r>
      <w:r w:rsidR="00025D67">
        <w:t>.</w:t>
      </w:r>
    </w:p>
    <w:bookmarkEnd w:id="1"/>
  </w:footnote>
  <w:footnote w:id="6">
    <w:p w14:paraId="43038001" w14:textId="003D004B" w:rsidR="00307981" w:rsidRDefault="00307981" w:rsidP="00A21ABB">
      <w:pPr>
        <w:pStyle w:val="FootnoteText"/>
        <w:jc w:val="both"/>
      </w:pPr>
      <w:r>
        <w:rPr>
          <w:rStyle w:val="FootnoteReference"/>
        </w:rPr>
        <w:footnoteRef/>
      </w:r>
      <w:r>
        <w:t xml:space="preserve"> These sentences </w:t>
      </w:r>
      <w:r w:rsidR="0079642F">
        <w:t>comment on</w:t>
      </w:r>
      <w:r>
        <w:t xml:space="preserve"> the Board’s </w:t>
      </w:r>
      <w:r w:rsidRPr="00F8258C">
        <w:t xml:space="preserve">authority to discipline </w:t>
      </w:r>
      <w:r>
        <w:t xml:space="preserve">physicians on the grounds of </w:t>
      </w:r>
      <w:r w:rsidRPr="00F8258C">
        <w:t xml:space="preserve">“undermining public confidence in the integrity of the medical profession” </w:t>
      </w:r>
      <w:r>
        <w:t xml:space="preserve"> as established in </w:t>
      </w:r>
      <w:r w:rsidRPr="00F8258C">
        <w:rPr>
          <w:i/>
          <w:iCs/>
        </w:rPr>
        <w:t>Levy v. Board of Registration in Medicine</w:t>
      </w:r>
      <w:r w:rsidRPr="00F8258C">
        <w:t xml:space="preserve">, 378 Mass. 519 (1979) and </w:t>
      </w:r>
      <w:r w:rsidRPr="00F8258C">
        <w:rPr>
          <w:i/>
          <w:iCs/>
        </w:rPr>
        <w:t>Raymond v. Board of Registration in Medicine</w:t>
      </w:r>
      <w:r w:rsidRPr="00F8258C">
        <w:t>, 387 Mass. 708 (1982)</w:t>
      </w:r>
      <w:r>
        <w:t xml:space="preserve"> and reaffirmed in </w:t>
      </w:r>
      <w:r w:rsidRPr="00A85B87">
        <w:rPr>
          <w:i/>
          <w:iCs/>
        </w:rPr>
        <w:t>Sugarman v. Board of Registration in Medicine</w:t>
      </w:r>
      <w:r>
        <w:t>, 422 Mass. 338</w:t>
      </w:r>
      <w:r w:rsidR="006131FF">
        <w:t>, 343</w:t>
      </w:r>
      <w:r>
        <w:t xml:space="preserve"> (</w:t>
      </w:r>
      <w:r w:rsidR="006131FF">
        <w:t>1996</w:t>
      </w:r>
      <w:r>
        <w:t>)</w:t>
      </w:r>
      <w:r w:rsidR="006131FF">
        <w:t xml:space="preserve"> (“</w:t>
      </w:r>
      <w:r w:rsidR="006131FF" w:rsidRPr="006131FF">
        <w:t xml:space="preserve">Conduct which undermines public confidence in the integrity of the medical profession is an independently sufficient ground for the board to sanction a physician. Such conduct is not limited to that outlined in G. L. c. 112, s. 5 </w:t>
      </w:r>
      <w:r w:rsidR="006131FF">
        <w:t>…</w:t>
      </w:r>
      <w:r w:rsidR="006131FF" w:rsidRPr="006131FF">
        <w:t xml:space="preserve"> The board has broad authority to protect the image of the medical profession and is not limited to disciplining conduct involving direct patient care, criminal activity, or deceit</w:t>
      </w:r>
      <w:r w:rsidR="006131FF">
        <w:t>”)</w:t>
      </w:r>
      <w:r w:rsidRPr="00F8258C">
        <w:t xml:space="preserve">. </w:t>
      </w:r>
      <w:r w:rsidR="00031112">
        <w:t xml:space="preserve"> The comments are not relevant in this proceeding because the </w:t>
      </w:r>
      <w:r w:rsidR="006131FF">
        <w:t>actual finding is t</w:t>
      </w:r>
      <w:r w:rsidR="00031112">
        <w:t>hat the application of this ground</w:t>
      </w:r>
      <w:r w:rsidR="006131FF">
        <w:t xml:space="preserve"> for discipline is in fact</w:t>
      </w:r>
      <w:r w:rsidR="00031112">
        <w:t xml:space="preserve"> warranted in th</w:t>
      </w:r>
      <w:r w:rsidR="0079642F">
        <w:t xml:space="preserve">is </w:t>
      </w:r>
      <w:r w:rsidR="00031112">
        <w:t xml:space="preserve">case.  </w:t>
      </w:r>
      <w:bookmarkStart w:id="2" w:name="_Hlk161995571"/>
      <w:r w:rsidR="00762BF1">
        <w:t>The Board strikes the comments lest incorporation into the Final Decision attribute to the Board the views expressed, with which the Board does not concur</w:t>
      </w:r>
      <w:r w:rsidR="00031112">
        <w:t>.</w:t>
      </w:r>
    </w:p>
    <w:bookmarkEnd w:id="2"/>
  </w:footnote>
  <w:footnote w:id="7">
    <w:p w14:paraId="609E538E" w14:textId="45971EB4" w:rsidR="004F79F9" w:rsidRDefault="004F79F9">
      <w:pPr>
        <w:pStyle w:val="FootnoteText"/>
      </w:pPr>
      <w:r>
        <w:rPr>
          <w:rStyle w:val="FootnoteReference"/>
        </w:rPr>
        <w:footnoteRef/>
      </w:r>
      <w:r>
        <w:t xml:space="preserve"> Recommended Decision, p. 15.</w:t>
      </w:r>
    </w:p>
  </w:footnote>
  <w:footnote w:id="8">
    <w:p w14:paraId="3A7B69D5" w14:textId="68A0619E" w:rsidR="00C04F2B" w:rsidRDefault="00C04F2B">
      <w:pPr>
        <w:pStyle w:val="FootnoteText"/>
      </w:pPr>
      <w:r>
        <w:rPr>
          <w:rStyle w:val="FootnoteReference"/>
        </w:rPr>
        <w:footnoteRef/>
      </w:r>
      <w:r w:rsidR="009D4542">
        <w:t xml:space="preserve"> </w:t>
      </w:r>
      <w:r w:rsidR="009D4542" w:rsidRPr="009D4542">
        <w:rPr>
          <w:u w:val="single"/>
        </w:rPr>
        <w:t>Id</w:t>
      </w:r>
      <w:r w:rsidR="009D4542">
        <w:t>. at p. 13.</w:t>
      </w:r>
      <w:r>
        <w:t xml:space="preserve"> </w:t>
      </w:r>
    </w:p>
  </w:footnote>
  <w:footnote w:id="9">
    <w:p w14:paraId="471E3EB1" w14:textId="747624B3" w:rsidR="00FE07A7" w:rsidRDefault="00FE07A7">
      <w:pPr>
        <w:pStyle w:val="FootnoteText"/>
      </w:pPr>
      <w:r>
        <w:rPr>
          <w:rStyle w:val="FootnoteReference"/>
        </w:rPr>
        <w:footnoteRef/>
      </w:r>
      <w:r w:rsidRPr="0005200A">
        <w:t xml:space="preserve"> </w:t>
      </w:r>
      <w:r w:rsidR="0005200A" w:rsidRPr="0005200A">
        <w:rPr>
          <w:u w:val="single"/>
        </w:rPr>
        <w:t>Id</w:t>
      </w:r>
      <w:r w:rsidR="0005200A">
        <w:t>. at p. 10.</w:t>
      </w:r>
    </w:p>
  </w:footnote>
  <w:footnote w:id="10">
    <w:p w14:paraId="350CF5EE" w14:textId="77777777" w:rsidR="00C8386F" w:rsidRPr="004E133D" w:rsidRDefault="00C8386F" w:rsidP="00C8386F">
      <w:pPr>
        <w:jc w:val="both"/>
        <w:rPr>
          <w:sz w:val="20"/>
          <w:szCs w:val="20"/>
        </w:rPr>
      </w:pPr>
      <w:r w:rsidRPr="00034015">
        <w:rPr>
          <w:rStyle w:val="FootnoteReference"/>
          <w:sz w:val="20"/>
          <w:szCs w:val="20"/>
        </w:rPr>
        <w:footnoteRef/>
      </w:r>
      <w:r w:rsidRPr="00034015">
        <w:rPr>
          <w:sz w:val="20"/>
          <w:szCs w:val="20"/>
        </w:rPr>
        <w:t xml:space="preserve"> </w:t>
      </w:r>
      <w:r w:rsidRPr="00034015">
        <w:rPr>
          <w:sz w:val="20"/>
          <w:szCs w:val="20"/>
          <w:u w:val="single"/>
        </w:rPr>
        <w:t>See</w:t>
      </w:r>
      <w:r w:rsidRPr="00034015">
        <w:rPr>
          <w:i/>
          <w:iCs/>
          <w:sz w:val="20"/>
          <w:szCs w:val="20"/>
        </w:rPr>
        <w:t xml:space="preserve"> In the Matter of Ronald Abramson, M.D.,</w:t>
      </w:r>
      <w:r w:rsidRPr="00034015">
        <w:rPr>
          <w:sz w:val="20"/>
          <w:szCs w:val="20"/>
        </w:rPr>
        <w:t xml:space="preserve"> Board of </w:t>
      </w:r>
      <w:r>
        <w:rPr>
          <w:sz w:val="20"/>
          <w:szCs w:val="20"/>
        </w:rPr>
        <w:t xml:space="preserve">Registration in </w:t>
      </w:r>
      <w:r w:rsidRPr="00034015">
        <w:rPr>
          <w:sz w:val="20"/>
          <w:szCs w:val="20"/>
        </w:rPr>
        <w:t>Medicine, Adjudicatory Case N</w:t>
      </w:r>
      <w:r>
        <w:rPr>
          <w:sz w:val="20"/>
          <w:szCs w:val="20"/>
        </w:rPr>
        <w:t>o</w:t>
      </w:r>
      <w:r w:rsidRPr="00034015">
        <w:rPr>
          <w:sz w:val="20"/>
          <w:szCs w:val="20"/>
        </w:rPr>
        <w:t>. 21-043 (Consent Order, November 4, 2021). (</w:t>
      </w:r>
      <w:r>
        <w:rPr>
          <w:sz w:val="20"/>
          <w:szCs w:val="20"/>
        </w:rPr>
        <w:t xml:space="preserve">Board imposed </w:t>
      </w:r>
      <w:r w:rsidRPr="00034015">
        <w:rPr>
          <w:sz w:val="20"/>
          <w:szCs w:val="20"/>
        </w:rPr>
        <w:t xml:space="preserve">reprimand where physician failed to check </w:t>
      </w:r>
      <w:proofErr w:type="spellStart"/>
      <w:r w:rsidRPr="00034015">
        <w:rPr>
          <w:sz w:val="20"/>
          <w:szCs w:val="20"/>
        </w:rPr>
        <w:t>MassPAT</w:t>
      </w:r>
      <w:proofErr w:type="spellEnd"/>
      <w:r w:rsidRPr="00034015">
        <w:rPr>
          <w:sz w:val="20"/>
          <w:szCs w:val="20"/>
        </w:rPr>
        <w:t xml:space="preserve"> for four patients and there was no evidence that patients were obtaining medications from more than one provider); </w:t>
      </w:r>
      <w:r w:rsidRPr="00034015">
        <w:rPr>
          <w:i/>
          <w:iCs/>
          <w:sz w:val="20"/>
          <w:szCs w:val="20"/>
        </w:rPr>
        <w:t>In the Matter of Dr. Sauls</w:t>
      </w:r>
      <w:r w:rsidRPr="00034015">
        <w:rPr>
          <w:sz w:val="20"/>
          <w:szCs w:val="20"/>
        </w:rPr>
        <w:t>, Board of Registration in Medicine, Adjudicatory Case No. 21-045 (Consent Order, November 4, 2021(</w:t>
      </w:r>
      <w:r>
        <w:rPr>
          <w:sz w:val="20"/>
          <w:szCs w:val="20"/>
        </w:rPr>
        <w:t xml:space="preserve">Board imposed </w:t>
      </w:r>
      <w:r w:rsidRPr="00034015">
        <w:rPr>
          <w:sz w:val="20"/>
          <w:szCs w:val="20"/>
        </w:rPr>
        <w:t xml:space="preserve">reprimand and permanent restriction from prescribing medications in Schedules II-IV, based on </w:t>
      </w:r>
      <w:r>
        <w:rPr>
          <w:sz w:val="20"/>
          <w:szCs w:val="20"/>
        </w:rPr>
        <w:t xml:space="preserve">physician’s </w:t>
      </w:r>
      <w:r w:rsidRPr="00034015">
        <w:rPr>
          <w:sz w:val="20"/>
          <w:szCs w:val="20"/>
        </w:rPr>
        <w:t xml:space="preserve">failure to check </w:t>
      </w:r>
      <w:proofErr w:type="spellStart"/>
      <w:r w:rsidRPr="00034015">
        <w:rPr>
          <w:sz w:val="20"/>
          <w:szCs w:val="20"/>
        </w:rPr>
        <w:t>MassPAT</w:t>
      </w:r>
      <w:proofErr w:type="spellEnd"/>
      <w:r w:rsidRPr="00034015">
        <w:rPr>
          <w:sz w:val="20"/>
          <w:szCs w:val="20"/>
        </w:rPr>
        <w:t xml:space="preserve"> for five patients and substandard care in the area of prescribing; </w:t>
      </w:r>
      <w:r w:rsidRPr="00034015">
        <w:rPr>
          <w:i/>
          <w:iCs/>
          <w:sz w:val="20"/>
          <w:szCs w:val="20"/>
        </w:rPr>
        <w:t>In the Matter of Thomas Stinson</w:t>
      </w:r>
      <w:r w:rsidRPr="00034015">
        <w:rPr>
          <w:sz w:val="20"/>
          <w:szCs w:val="20"/>
        </w:rPr>
        <w:t xml:space="preserve">, </w:t>
      </w:r>
      <w:r w:rsidRPr="00034015">
        <w:rPr>
          <w:i/>
          <w:iCs/>
          <w:sz w:val="20"/>
          <w:szCs w:val="20"/>
        </w:rPr>
        <w:t>M.D.</w:t>
      </w:r>
      <w:r w:rsidRPr="00034015">
        <w:rPr>
          <w:sz w:val="20"/>
          <w:szCs w:val="20"/>
        </w:rPr>
        <w:t xml:space="preserve"> Board of Registration in Medicine, Adjudicatory Case No. 2022-24 (Final Decision and Order, February 2, 2023.)(</w:t>
      </w:r>
      <w:r>
        <w:rPr>
          <w:sz w:val="20"/>
          <w:szCs w:val="20"/>
        </w:rPr>
        <w:t>Board revoked physician’s</w:t>
      </w:r>
      <w:r w:rsidRPr="00034015">
        <w:rPr>
          <w:sz w:val="20"/>
          <w:szCs w:val="20"/>
        </w:rPr>
        <w:t xml:space="preserve"> inchoate right to renew</w:t>
      </w:r>
      <w:r>
        <w:rPr>
          <w:sz w:val="20"/>
          <w:szCs w:val="20"/>
        </w:rPr>
        <w:t xml:space="preserve"> his license</w:t>
      </w:r>
      <w:r w:rsidRPr="00034015">
        <w:rPr>
          <w:sz w:val="20"/>
          <w:szCs w:val="20"/>
        </w:rPr>
        <w:t>, where physician failed to defend at DALA, was negligent</w:t>
      </w:r>
      <w:r>
        <w:rPr>
          <w:sz w:val="20"/>
          <w:szCs w:val="20"/>
        </w:rPr>
        <w:t>,</w:t>
      </w:r>
      <w:r w:rsidRPr="00034015">
        <w:rPr>
          <w:sz w:val="20"/>
          <w:szCs w:val="20"/>
        </w:rPr>
        <w:t xml:space="preserve"> failed to check </w:t>
      </w:r>
      <w:proofErr w:type="spellStart"/>
      <w:r w:rsidRPr="00034015">
        <w:rPr>
          <w:sz w:val="20"/>
          <w:szCs w:val="20"/>
        </w:rPr>
        <w:t>MassPAT</w:t>
      </w:r>
      <w:proofErr w:type="spellEnd"/>
      <w:r>
        <w:rPr>
          <w:sz w:val="20"/>
          <w:szCs w:val="20"/>
        </w:rPr>
        <w:t>,</w:t>
      </w:r>
      <w:r w:rsidRPr="00034015">
        <w:rPr>
          <w:sz w:val="20"/>
          <w:szCs w:val="20"/>
        </w:rPr>
        <w:t xml:space="preserve"> and Board specifically noted that training would not change the physician’s practice of medicine</w:t>
      </w:r>
      <w:r>
        <w:rPr>
          <w:sz w:val="20"/>
          <w:szCs w:val="20"/>
        </w:rPr>
        <w:t>.</w:t>
      </w:r>
      <w:r w:rsidRPr="00034015">
        <w:rPr>
          <w:sz w:val="20"/>
          <w:szCs w:val="20"/>
        </w:rPr>
        <w:t>)</w:t>
      </w:r>
    </w:p>
  </w:footnote>
  <w:footnote w:id="11">
    <w:p w14:paraId="193D6533" w14:textId="0EC58209" w:rsidR="00855B5A" w:rsidRDefault="00855B5A">
      <w:pPr>
        <w:pStyle w:val="FootnoteText"/>
      </w:pPr>
      <w:r>
        <w:rPr>
          <w:rStyle w:val="FootnoteReference"/>
        </w:rPr>
        <w:footnoteRef/>
      </w:r>
      <w:r>
        <w:t xml:space="preserve"> </w:t>
      </w:r>
      <w:r w:rsidRPr="00855B5A">
        <w:rPr>
          <w:color w:val="333333"/>
          <w:u w:val="single"/>
          <w:shd w:val="clear" w:color="auto" w:fill="FFFFFF"/>
        </w:rPr>
        <w:t>See</w:t>
      </w:r>
      <w:r w:rsidRPr="00855B5A">
        <w:rPr>
          <w:color w:val="333333"/>
          <w:shd w:val="clear" w:color="auto" w:fill="FFFFFF"/>
        </w:rPr>
        <w:t xml:space="preserve"> </w:t>
      </w:r>
      <w:r w:rsidRPr="00855B5A">
        <w:rPr>
          <w:i/>
          <w:iCs/>
          <w:color w:val="333333"/>
          <w:shd w:val="clear" w:color="auto" w:fill="FFFFFF"/>
        </w:rPr>
        <w:t>Levy</w:t>
      </w:r>
      <w:r w:rsidRPr="00855B5A">
        <w:rPr>
          <w:color w:val="333333"/>
          <w:shd w:val="clear" w:color="auto" w:fill="FFFFFF"/>
        </w:rPr>
        <w:t>.</w:t>
      </w:r>
    </w:p>
  </w:footnote>
  <w:footnote w:id="12">
    <w:p w14:paraId="5CAB97F9" w14:textId="7F0A468B" w:rsidR="00941ECE" w:rsidRPr="00034015" w:rsidRDefault="00941ECE" w:rsidP="00941ECE">
      <w:pPr>
        <w:jc w:val="both"/>
        <w:rPr>
          <w:sz w:val="20"/>
          <w:szCs w:val="20"/>
        </w:rPr>
      </w:pPr>
      <w:r w:rsidRPr="00782A70">
        <w:rPr>
          <w:rStyle w:val="FootnoteReference"/>
          <w:sz w:val="20"/>
          <w:szCs w:val="20"/>
        </w:rPr>
        <w:footnoteRef/>
      </w:r>
      <w:r w:rsidRPr="00782A70">
        <w:rPr>
          <w:sz w:val="20"/>
          <w:szCs w:val="20"/>
        </w:rPr>
        <w:t xml:space="preserve"> </w:t>
      </w:r>
      <w:r w:rsidRPr="00782A70">
        <w:rPr>
          <w:sz w:val="20"/>
          <w:szCs w:val="20"/>
          <w:u w:val="single"/>
        </w:rPr>
        <w:t>See</w:t>
      </w:r>
      <w:r w:rsidRPr="00782A70">
        <w:rPr>
          <w:sz w:val="20"/>
          <w:szCs w:val="20"/>
        </w:rPr>
        <w:t xml:space="preserve"> </w:t>
      </w:r>
      <w:r w:rsidRPr="00782A70">
        <w:rPr>
          <w:sz w:val="20"/>
          <w:szCs w:val="20"/>
          <w:u w:val="single"/>
        </w:rPr>
        <w:t>e.g.</w:t>
      </w:r>
      <w:r w:rsidRPr="00782A70">
        <w:rPr>
          <w:sz w:val="20"/>
          <w:szCs w:val="20"/>
        </w:rPr>
        <w:t xml:space="preserve"> </w:t>
      </w:r>
      <w:r w:rsidRPr="00782A70">
        <w:rPr>
          <w:i/>
          <w:iCs/>
          <w:sz w:val="20"/>
          <w:szCs w:val="20"/>
        </w:rPr>
        <w:t>In the Matter of Paula Hallett, M.D.</w:t>
      </w:r>
      <w:r w:rsidRPr="00782A70">
        <w:rPr>
          <w:sz w:val="20"/>
          <w:szCs w:val="20"/>
        </w:rPr>
        <w:t>, Board of Registration in Medicine, Adjudicatory Case No. 88-54-T (Final Decision and Order, September 6, 1989)(Board imposed license suspension</w:t>
      </w:r>
      <w:r w:rsidR="00FD0DE6">
        <w:rPr>
          <w:sz w:val="20"/>
          <w:szCs w:val="20"/>
        </w:rPr>
        <w:t xml:space="preserve"> where</w:t>
      </w:r>
      <w:r w:rsidR="005F7F88">
        <w:rPr>
          <w:sz w:val="20"/>
          <w:szCs w:val="20"/>
        </w:rPr>
        <w:t xml:space="preserve"> physician’s wrong-doing included negligent billing errors with two patients and </w:t>
      </w:r>
      <w:r w:rsidR="0046065E">
        <w:rPr>
          <w:sz w:val="20"/>
          <w:szCs w:val="20"/>
        </w:rPr>
        <w:t xml:space="preserve">the physician acknowledged the </w:t>
      </w:r>
      <w:r w:rsidR="00376C1C">
        <w:rPr>
          <w:sz w:val="20"/>
          <w:szCs w:val="20"/>
        </w:rPr>
        <w:t>errors</w:t>
      </w:r>
      <w:r w:rsidR="0046065E">
        <w:rPr>
          <w:sz w:val="20"/>
          <w:szCs w:val="20"/>
        </w:rPr>
        <w:t>)</w:t>
      </w:r>
      <w:r w:rsidRPr="00782A70">
        <w:rPr>
          <w:sz w:val="20"/>
          <w:szCs w:val="20"/>
        </w:rPr>
        <w:t xml:space="preserve">(The Board stated, “In the past, the Board has revoked the licenses of those who have been guilty of fraudulent billing practices”; </w:t>
      </w:r>
      <w:r w:rsidRPr="00782A70">
        <w:rPr>
          <w:sz w:val="20"/>
          <w:szCs w:val="20"/>
          <w:u w:val="single"/>
        </w:rPr>
        <w:t>See</w:t>
      </w:r>
      <w:r w:rsidRPr="00782A70">
        <w:rPr>
          <w:sz w:val="20"/>
          <w:szCs w:val="20"/>
        </w:rPr>
        <w:t xml:space="preserve"> </w:t>
      </w:r>
      <w:r w:rsidRPr="00782A70">
        <w:rPr>
          <w:sz w:val="20"/>
          <w:szCs w:val="20"/>
          <w:u w:val="single"/>
        </w:rPr>
        <w:t>also</w:t>
      </w:r>
      <w:r w:rsidRPr="00782A70">
        <w:rPr>
          <w:sz w:val="20"/>
          <w:szCs w:val="20"/>
        </w:rPr>
        <w:t xml:space="preserve"> </w:t>
      </w:r>
      <w:r w:rsidRPr="00782A70">
        <w:rPr>
          <w:i/>
          <w:iCs/>
          <w:sz w:val="20"/>
          <w:szCs w:val="20"/>
        </w:rPr>
        <w:t>In the Matter of Ranjit Chandra, M.D.,</w:t>
      </w:r>
      <w:r w:rsidRPr="00782A70">
        <w:rPr>
          <w:sz w:val="20"/>
          <w:szCs w:val="20"/>
        </w:rPr>
        <w:t xml:space="preserve"> Board of Registration in Medicine, Adjudicatory Case No. 2018-060)(Final Decision and Order, February 6, 2020)(Board revoked physician’s inchoate right to renew his license for “billing improprieties” in another jurisdiction)</w:t>
      </w:r>
      <w:r w:rsidR="005513E6">
        <w:rPr>
          <w:sz w:val="20"/>
          <w:szCs w:val="20"/>
        </w:rPr>
        <w:t xml:space="preserve">; and </w:t>
      </w:r>
      <w:r w:rsidR="005513E6" w:rsidRPr="00B54B66">
        <w:rPr>
          <w:i/>
          <w:iCs/>
          <w:sz w:val="20"/>
          <w:szCs w:val="20"/>
        </w:rPr>
        <w:t>In the Matter of Ashok N. Bhargava, M.D</w:t>
      </w:r>
      <w:r w:rsidR="005513E6">
        <w:rPr>
          <w:sz w:val="20"/>
          <w:szCs w:val="20"/>
        </w:rPr>
        <w:t>., Board of Registration In Medicine, Adjudicatory Case No. 2006-019</w:t>
      </w:r>
      <w:r w:rsidR="00B54B66">
        <w:rPr>
          <w:sz w:val="20"/>
          <w:szCs w:val="20"/>
        </w:rPr>
        <w:t xml:space="preserve"> (Consent Order, April 12, 2006)(Board</w:t>
      </w:r>
      <w:r w:rsidR="00273DC6">
        <w:rPr>
          <w:sz w:val="20"/>
          <w:szCs w:val="20"/>
        </w:rPr>
        <w:t xml:space="preserve"> indefinitely suspended physician who wrote two progress notes implying he had seen patients in the hospital within the past twelve hours, when he had instead seen each the following day, and agreed he had practiced medicine deceitfully, or engaged in conduct which has the capacity to deceive or defraud, had engaged in misconduct in the practice of medicine, and had undermined public confidence in the integrity of the medical profession.)  </w:t>
      </w:r>
    </w:p>
  </w:footnote>
  <w:footnote w:id="13">
    <w:p w14:paraId="47A7A3A6" w14:textId="77777777" w:rsidR="00A708CF" w:rsidRDefault="00A708CF" w:rsidP="00A708CF">
      <w:pPr>
        <w:jc w:val="both"/>
      </w:pPr>
      <w:r w:rsidRPr="00E75A5F">
        <w:rPr>
          <w:rStyle w:val="FootnoteReference"/>
          <w:sz w:val="20"/>
          <w:szCs w:val="20"/>
        </w:rPr>
        <w:footnoteRef/>
      </w:r>
      <w:r w:rsidRPr="00E75A5F">
        <w:rPr>
          <w:sz w:val="20"/>
          <w:szCs w:val="20"/>
        </w:rPr>
        <w:t xml:space="preserve"> </w:t>
      </w:r>
      <w:r w:rsidRPr="00E75A5F">
        <w:rPr>
          <w:i/>
          <w:iCs/>
          <w:sz w:val="20"/>
          <w:szCs w:val="20"/>
        </w:rPr>
        <w:t xml:space="preserve">In the Matter of Praveen N. </w:t>
      </w:r>
      <w:proofErr w:type="spellStart"/>
      <w:r w:rsidRPr="00E75A5F">
        <w:rPr>
          <w:i/>
          <w:iCs/>
          <w:sz w:val="20"/>
          <w:szCs w:val="20"/>
        </w:rPr>
        <w:t>Adhyapak</w:t>
      </w:r>
      <w:proofErr w:type="spellEnd"/>
      <w:r w:rsidRPr="00E75A5F">
        <w:rPr>
          <w:i/>
          <w:iCs/>
          <w:sz w:val="20"/>
          <w:szCs w:val="20"/>
        </w:rPr>
        <w:t>, M.D.</w:t>
      </w:r>
      <w:r w:rsidRPr="00E75A5F">
        <w:rPr>
          <w:sz w:val="20"/>
          <w:szCs w:val="20"/>
        </w:rPr>
        <w:t xml:space="preserve">, Board of Registration in Medicine, Adjudicatory Case No. 2005-033 (Final Decision and Order, December 7, </w:t>
      </w:r>
    </w:p>
  </w:footnote>
  <w:footnote w:id="14">
    <w:p w14:paraId="2F6C40E0" w14:textId="10447D61" w:rsidR="004628E6" w:rsidRDefault="004628E6">
      <w:pPr>
        <w:pStyle w:val="FootnoteText"/>
      </w:pPr>
      <w:r>
        <w:rPr>
          <w:rStyle w:val="FootnoteReference"/>
        </w:rPr>
        <w:footnoteRef/>
      </w:r>
      <w:r>
        <w:t xml:space="preserve"> </w:t>
      </w:r>
      <w:r w:rsidRPr="004628E6">
        <w:rPr>
          <w:u w:val="single"/>
        </w:rPr>
        <w:t>See</w:t>
      </w:r>
      <w:r>
        <w:t xml:space="preserve"> 243 CMR 3.05(3)(b).</w:t>
      </w:r>
    </w:p>
  </w:footnote>
  <w:footnote w:id="15">
    <w:p w14:paraId="20A31A2D" w14:textId="7C319E6C" w:rsidR="00F87D9B" w:rsidRDefault="00F87D9B">
      <w:pPr>
        <w:pStyle w:val="FootnoteText"/>
      </w:pPr>
      <w:r>
        <w:rPr>
          <w:rStyle w:val="FootnoteReference"/>
        </w:rPr>
        <w:footnoteRef/>
      </w:r>
      <w:r>
        <w:t xml:space="preserve"> </w:t>
      </w:r>
      <w:r w:rsidRPr="00F87D9B">
        <w:rPr>
          <w:u w:val="single"/>
        </w:rPr>
        <w:t>See</w:t>
      </w:r>
      <w:r>
        <w:t xml:space="preserve"> </w:t>
      </w:r>
      <w:r w:rsidRPr="009B5AFD">
        <w:rPr>
          <w:i/>
          <w:iCs/>
        </w:rPr>
        <w:t>In the Matter of Charles M. Poser, M.D.</w:t>
      </w:r>
      <w:r>
        <w:t>, Board of Registration in Medicine, Adjudicatory Case No. 88-62-SU.</w:t>
      </w:r>
    </w:p>
  </w:footnote>
  <w:footnote w:id="16">
    <w:p w14:paraId="7492168A" w14:textId="72B835DD" w:rsidR="00455599" w:rsidRDefault="00455599">
      <w:pPr>
        <w:pStyle w:val="FootnoteText"/>
      </w:pPr>
      <w:r>
        <w:rPr>
          <w:rStyle w:val="FootnoteReference"/>
        </w:rPr>
        <w:footnoteRef/>
      </w:r>
      <w:r>
        <w:t xml:space="preserve"> </w:t>
      </w:r>
      <w:r w:rsidRPr="00FE1334">
        <w:rPr>
          <w:i/>
          <w:iCs/>
        </w:rPr>
        <w:t xml:space="preserve">In the Matter </w:t>
      </w:r>
      <w:r w:rsidR="005D1A68" w:rsidRPr="00FE1334">
        <w:rPr>
          <w:i/>
          <w:iCs/>
        </w:rPr>
        <w:t>of Gabriel Luna, M.D.,</w:t>
      </w:r>
      <w:r w:rsidR="005D1A68">
        <w:t xml:space="preserve"> Board of Registration in Medicine, Adjudicatory Case No. 2020-2010 (June 15, 2023). The Board considered </w:t>
      </w:r>
      <w:r w:rsidR="00A2473D">
        <w:t>a physician’s lack of intent to mislead and his reliance on his attorney’s counsel</w:t>
      </w:r>
      <w:r w:rsidR="00123B69">
        <w:t xml:space="preserve"> when </w:t>
      </w:r>
      <w:r w:rsidR="000B1E49">
        <w:t xml:space="preserve">imposing discipline for failure to report </w:t>
      </w:r>
      <w:r w:rsidR="00FE1334">
        <w:t>criminal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649E"/>
    <w:multiLevelType w:val="hybridMultilevel"/>
    <w:tmpl w:val="9D4274AC"/>
    <w:lvl w:ilvl="0" w:tplc="04090003">
      <w:start w:val="1"/>
      <w:numFmt w:val="bullet"/>
      <w:lvlText w:val="o"/>
      <w:lvlJc w:val="left"/>
      <w:pPr>
        <w:ind w:left="2560" w:hanging="360"/>
      </w:pPr>
      <w:rPr>
        <w:rFonts w:ascii="Courier New" w:hAnsi="Courier New" w:cs="Courier New"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1" w15:restartNumberingAfterBreak="0">
    <w:nsid w:val="07446BCF"/>
    <w:multiLevelType w:val="hybridMultilevel"/>
    <w:tmpl w:val="A30EF106"/>
    <w:lvl w:ilvl="0" w:tplc="48009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F7A39"/>
    <w:multiLevelType w:val="hybridMultilevel"/>
    <w:tmpl w:val="54B4DDF4"/>
    <w:lvl w:ilvl="0" w:tplc="48009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DFC"/>
    <w:multiLevelType w:val="hybridMultilevel"/>
    <w:tmpl w:val="2DAA2AFA"/>
    <w:lvl w:ilvl="0" w:tplc="9E1C1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30D4E"/>
    <w:multiLevelType w:val="hybridMultilevel"/>
    <w:tmpl w:val="3AC062E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E3E02"/>
    <w:multiLevelType w:val="hybridMultilevel"/>
    <w:tmpl w:val="41F81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0E567B"/>
    <w:multiLevelType w:val="hybridMultilevel"/>
    <w:tmpl w:val="8350279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7E21149"/>
    <w:multiLevelType w:val="hybridMultilevel"/>
    <w:tmpl w:val="FD6CC3C0"/>
    <w:lvl w:ilvl="0" w:tplc="14208D62">
      <w:start w:val="1"/>
      <w:numFmt w:val="lowerRoman"/>
      <w:lvlText w:val="%1)"/>
      <w:lvlJc w:val="left"/>
      <w:pPr>
        <w:ind w:left="1080" w:hanging="720"/>
      </w:pPr>
      <w:rPr>
        <w:rFonts w:hint="default"/>
      </w:rPr>
    </w:lvl>
    <w:lvl w:ilvl="1" w:tplc="1F3A402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F236D"/>
    <w:multiLevelType w:val="hybridMultilevel"/>
    <w:tmpl w:val="AF0CD4D8"/>
    <w:lvl w:ilvl="0" w:tplc="0E3447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0971EC"/>
    <w:multiLevelType w:val="hybridMultilevel"/>
    <w:tmpl w:val="1FCEAE0C"/>
    <w:lvl w:ilvl="0" w:tplc="149E6B70">
      <w:start w:val="1"/>
      <w:numFmt w:val="lowerRoman"/>
      <w:lvlText w:val="%1)"/>
      <w:lvlJc w:val="left"/>
      <w:pPr>
        <w:ind w:left="1450" w:hanging="72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0" w15:restartNumberingAfterBreak="0">
    <w:nsid w:val="51CE1559"/>
    <w:multiLevelType w:val="hybridMultilevel"/>
    <w:tmpl w:val="E05A6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C045F4"/>
    <w:multiLevelType w:val="hybridMultilevel"/>
    <w:tmpl w:val="C584F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061D2D"/>
    <w:multiLevelType w:val="hybridMultilevel"/>
    <w:tmpl w:val="9FB2002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3" w15:restartNumberingAfterBreak="0">
    <w:nsid w:val="552B2ABE"/>
    <w:multiLevelType w:val="hybridMultilevel"/>
    <w:tmpl w:val="EE560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B13D3A"/>
    <w:multiLevelType w:val="hybridMultilevel"/>
    <w:tmpl w:val="FD6CC3C0"/>
    <w:lvl w:ilvl="0" w:tplc="FFFFFFFF">
      <w:start w:val="1"/>
      <w:numFmt w:val="lowerRoman"/>
      <w:lvlText w:val="%1)"/>
      <w:lvlJc w:val="left"/>
      <w:pPr>
        <w:ind w:left="1080" w:hanging="72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3660ED"/>
    <w:multiLevelType w:val="hybridMultilevel"/>
    <w:tmpl w:val="4BB2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17BE6"/>
    <w:multiLevelType w:val="hybridMultilevel"/>
    <w:tmpl w:val="A4EA2AF8"/>
    <w:lvl w:ilvl="0" w:tplc="D96A77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1475292">
    <w:abstractNumId w:val="4"/>
  </w:num>
  <w:num w:numId="2" w16cid:durableId="641039123">
    <w:abstractNumId w:val="1"/>
  </w:num>
  <w:num w:numId="3" w16cid:durableId="1335574749">
    <w:abstractNumId w:val="5"/>
  </w:num>
  <w:num w:numId="4" w16cid:durableId="117309550">
    <w:abstractNumId w:val="2"/>
  </w:num>
  <w:num w:numId="5" w16cid:durableId="561647676">
    <w:abstractNumId w:val="8"/>
  </w:num>
  <w:num w:numId="6" w16cid:durableId="125852202">
    <w:abstractNumId w:val="3"/>
  </w:num>
  <w:num w:numId="7" w16cid:durableId="1096169695">
    <w:abstractNumId w:val="9"/>
  </w:num>
  <w:num w:numId="8" w16cid:durableId="369574094">
    <w:abstractNumId w:val="16"/>
  </w:num>
  <w:num w:numId="9" w16cid:durableId="1334602250">
    <w:abstractNumId w:val="12"/>
  </w:num>
  <w:num w:numId="10" w16cid:durableId="1746494263">
    <w:abstractNumId w:val="0"/>
  </w:num>
  <w:num w:numId="11" w16cid:durableId="1963343914">
    <w:abstractNumId w:val="11"/>
  </w:num>
  <w:num w:numId="12" w16cid:durableId="1521434336">
    <w:abstractNumId w:val="13"/>
  </w:num>
  <w:num w:numId="13" w16cid:durableId="1257127671">
    <w:abstractNumId w:val="10"/>
  </w:num>
  <w:num w:numId="14" w16cid:durableId="1502961650">
    <w:abstractNumId w:val="7"/>
  </w:num>
  <w:num w:numId="15" w16cid:durableId="1751393326">
    <w:abstractNumId w:val="6"/>
  </w:num>
  <w:num w:numId="16" w16cid:durableId="258679049">
    <w:abstractNumId w:val="14"/>
  </w:num>
  <w:num w:numId="17" w16cid:durableId="8549244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B"/>
    <w:rsid w:val="00001303"/>
    <w:rsid w:val="00002873"/>
    <w:rsid w:val="00003000"/>
    <w:rsid w:val="00004AC9"/>
    <w:rsid w:val="00004D6E"/>
    <w:rsid w:val="0000554E"/>
    <w:rsid w:val="00015756"/>
    <w:rsid w:val="00022090"/>
    <w:rsid w:val="00025D67"/>
    <w:rsid w:val="00031112"/>
    <w:rsid w:val="00033208"/>
    <w:rsid w:val="00037B7C"/>
    <w:rsid w:val="000433AE"/>
    <w:rsid w:val="000438C9"/>
    <w:rsid w:val="00043F64"/>
    <w:rsid w:val="00046B6D"/>
    <w:rsid w:val="0004785A"/>
    <w:rsid w:val="0005200A"/>
    <w:rsid w:val="000538FA"/>
    <w:rsid w:val="00055DBC"/>
    <w:rsid w:val="0006309F"/>
    <w:rsid w:val="0006362F"/>
    <w:rsid w:val="000644C2"/>
    <w:rsid w:val="0006711B"/>
    <w:rsid w:val="0007370B"/>
    <w:rsid w:val="0007521C"/>
    <w:rsid w:val="00080D1E"/>
    <w:rsid w:val="00085264"/>
    <w:rsid w:val="0008734B"/>
    <w:rsid w:val="000951CE"/>
    <w:rsid w:val="000A0586"/>
    <w:rsid w:val="000A0A1A"/>
    <w:rsid w:val="000A27FA"/>
    <w:rsid w:val="000B1E49"/>
    <w:rsid w:val="000B4A79"/>
    <w:rsid w:val="000B767B"/>
    <w:rsid w:val="000B7C3A"/>
    <w:rsid w:val="000B7FB8"/>
    <w:rsid w:val="000C0F77"/>
    <w:rsid w:val="000C5D11"/>
    <w:rsid w:val="000D0AE0"/>
    <w:rsid w:val="000D43EA"/>
    <w:rsid w:val="000D4741"/>
    <w:rsid w:val="000D56CF"/>
    <w:rsid w:val="000E0821"/>
    <w:rsid w:val="000E2459"/>
    <w:rsid w:val="000E3337"/>
    <w:rsid w:val="000E58A3"/>
    <w:rsid w:val="000F118A"/>
    <w:rsid w:val="00101329"/>
    <w:rsid w:val="001047B0"/>
    <w:rsid w:val="001048B2"/>
    <w:rsid w:val="00107CC4"/>
    <w:rsid w:val="001101FF"/>
    <w:rsid w:val="0011231C"/>
    <w:rsid w:val="00114084"/>
    <w:rsid w:val="00114FD1"/>
    <w:rsid w:val="00123B69"/>
    <w:rsid w:val="00124192"/>
    <w:rsid w:val="00126AED"/>
    <w:rsid w:val="00127B28"/>
    <w:rsid w:val="00127DB8"/>
    <w:rsid w:val="00132E45"/>
    <w:rsid w:val="00133BE0"/>
    <w:rsid w:val="001362AA"/>
    <w:rsid w:val="00141798"/>
    <w:rsid w:val="00145A50"/>
    <w:rsid w:val="00151B20"/>
    <w:rsid w:val="00153685"/>
    <w:rsid w:val="001548F0"/>
    <w:rsid w:val="00155C9A"/>
    <w:rsid w:val="0015635C"/>
    <w:rsid w:val="00157C89"/>
    <w:rsid w:val="0016093C"/>
    <w:rsid w:val="001611F3"/>
    <w:rsid w:val="001630D8"/>
    <w:rsid w:val="0017364D"/>
    <w:rsid w:val="00173BFE"/>
    <w:rsid w:val="00174342"/>
    <w:rsid w:val="00174ADE"/>
    <w:rsid w:val="00177A21"/>
    <w:rsid w:val="0018380D"/>
    <w:rsid w:val="00183CB1"/>
    <w:rsid w:val="001841CA"/>
    <w:rsid w:val="001919AA"/>
    <w:rsid w:val="00194E35"/>
    <w:rsid w:val="00194E8E"/>
    <w:rsid w:val="0019618B"/>
    <w:rsid w:val="001A0972"/>
    <w:rsid w:val="001A35B0"/>
    <w:rsid w:val="001A3A83"/>
    <w:rsid w:val="001A494E"/>
    <w:rsid w:val="001A526F"/>
    <w:rsid w:val="001A7EDA"/>
    <w:rsid w:val="001B0C9E"/>
    <w:rsid w:val="001B3EC0"/>
    <w:rsid w:val="001B5332"/>
    <w:rsid w:val="001B6D84"/>
    <w:rsid w:val="001B791C"/>
    <w:rsid w:val="001C3439"/>
    <w:rsid w:val="001C5001"/>
    <w:rsid w:val="001C6923"/>
    <w:rsid w:val="001C7497"/>
    <w:rsid w:val="001C7687"/>
    <w:rsid w:val="001D3441"/>
    <w:rsid w:val="001D35E4"/>
    <w:rsid w:val="001D3C12"/>
    <w:rsid w:val="001D3EB3"/>
    <w:rsid w:val="001E01B2"/>
    <w:rsid w:val="001E1BAB"/>
    <w:rsid w:val="001E4256"/>
    <w:rsid w:val="001E4354"/>
    <w:rsid w:val="001E4C31"/>
    <w:rsid w:val="001E50A9"/>
    <w:rsid w:val="001E75B0"/>
    <w:rsid w:val="001E75FC"/>
    <w:rsid w:val="001F1595"/>
    <w:rsid w:val="001F1D05"/>
    <w:rsid w:val="001F3A40"/>
    <w:rsid w:val="001F477B"/>
    <w:rsid w:val="001F6850"/>
    <w:rsid w:val="001F79CB"/>
    <w:rsid w:val="00201526"/>
    <w:rsid w:val="00202D31"/>
    <w:rsid w:val="00205673"/>
    <w:rsid w:val="0022374C"/>
    <w:rsid w:val="00223752"/>
    <w:rsid w:val="00225512"/>
    <w:rsid w:val="00232848"/>
    <w:rsid w:val="00233573"/>
    <w:rsid w:val="002336BB"/>
    <w:rsid w:val="00234FAE"/>
    <w:rsid w:val="0023503E"/>
    <w:rsid w:val="002437A1"/>
    <w:rsid w:val="00245AB3"/>
    <w:rsid w:val="0024767B"/>
    <w:rsid w:val="00253702"/>
    <w:rsid w:val="00255234"/>
    <w:rsid w:val="00263422"/>
    <w:rsid w:val="00264B1A"/>
    <w:rsid w:val="002661BA"/>
    <w:rsid w:val="0026754D"/>
    <w:rsid w:val="00273C38"/>
    <w:rsid w:val="00273DC6"/>
    <w:rsid w:val="00274DC5"/>
    <w:rsid w:val="002820D7"/>
    <w:rsid w:val="002854F1"/>
    <w:rsid w:val="002869DC"/>
    <w:rsid w:val="002934EF"/>
    <w:rsid w:val="002948E1"/>
    <w:rsid w:val="00297963"/>
    <w:rsid w:val="002A189C"/>
    <w:rsid w:val="002A5370"/>
    <w:rsid w:val="002A6660"/>
    <w:rsid w:val="002A6ECC"/>
    <w:rsid w:val="002A7461"/>
    <w:rsid w:val="002B0CD9"/>
    <w:rsid w:val="002B3DCF"/>
    <w:rsid w:val="002B4C09"/>
    <w:rsid w:val="002B4DEB"/>
    <w:rsid w:val="002B55E7"/>
    <w:rsid w:val="002C0354"/>
    <w:rsid w:val="002C0AD8"/>
    <w:rsid w:val="002C4811"/>
    <w:rsid w:val="002E17B6"/>
    <w:rsid w:val="002E4237"/>
    <w:rsid w:val="002E48B7"/>
    <w:rsid w:val="002F152B"/>
    <w:rsid w:val="002F29DA"/>
    <w:rsid w:val="002F2FB2"/>
    <w:rsid w:val="0030086C"/>
    <w:rsid w:val="00301843"/>
    <w:rsid w:val="003020FA"/>
    <w:rsid w:val="00307981"/>
    <w:rsid w:val="00312B24"/>
    <w:rsid w:val="003146F4"/>
    <w:rsid w:val="00320CC5"/>
    <w:rsid w:val="00322B18"/>
    <w:rsid w:val="003230C6"/>
    <w:rsid w:val="003313B6"/>
    <w:rsid w:val="00332D59"/>
    <w:rsid w:val="00333C40"/>
    <w:rsid w:val="003444EE"/>
    <w:rsid w:val="003452B6"/>
    <w:rsid w:val="00346386"/>
    <w:rsid w:val="003471AA"/>
    <w:rsid w:val="0035177E"/>
    <w:rsid w:val="00354C9A"/>
    <w:rsid w:val="00356BAF"/>
    <w:rsid w:val="003627E7"/>
    <w:rsid w:val="0036730D"/>
    <w:rsid w:val="00370D98"/>
    <w:rsid w:val="00372586"/>
    <w:rsid w:val="00376915"/>
    <w:rsid w:val="00376C1C"/>
    <w:rsid w:val="003834A2"/>
    <w:rsid w:val="00384780"/>
    <w:rsid w:val="00386317"/>
    <w:rsid w:val="003878B4"/>
    <w:rsid w:val="0039106E"/>
    <w:rsid w:val="00397DB2"/>
    <w:rsid w:val="003A4D5C"/>
    <w:rsid w:val="003B018D"/>
    <w:rsid w:val="003B0DF5"/>
    <w:rsid w:val="003B63DD"/>
    <w:rsid w:val="003B6413"/>
    <w:rsid w:val="003B7EBE"/>
    <w:rsid w:val="003C3BD7"/>
    <w:rsid w:val="003C3EBD"/>
    <w:rsid w:val="003C636C"/>
    <w:rsid w:val="003C63E3"/>
    <w:rsid w:val="003C68A2"/>
    <w:rsid w:val="003D371A"/>
    <w:rsid w:val="003D4147"/>
    <w:rsid w:val="003D4189"/>
    <w:rsid w:val="003D4AB0"/>
    <w:rsid w:val="003D659E"/>
    <w:rsid w:val="003E0CFE"/>
    <w:rsid w:val="003E2B6A"/>
    <w:rsid w:val="003E3A34"/>
    <w:rsid w:val="003F036A"/>
    <w:rsid w:val="003F468D"/>
    <w:rsid w:val="003F63B9"/>
    <w:rsid w:val="00400AC0"/>
    <w:rsid w:val="00400D97"/>
    <w:rsid w:val="0040566C"/>
    <w:rsid w:val="00413154"/>
    <w:rsid w:val="00413374"/>
    <w:rsid w:val="004147E8"/>
    <w:rsid w:val="0041601B"/>
    <w:rsid w:val="00417FAF"/>
    <w:rsid w:val="00423B6F"/>
    <w:rsid w:val="00426678"/>
    <w:rsid w:val="004325B1"/>
    <w:rsid w:val="00433560"/>
    <w:rsid w:val="00436106"/>
    <w:rsid w:val="00440D35"/>
    <w:rsid w:val="004410A8"/>
    <w:rsid w:val="00442656"/>
    <w:rsid w:val="004429ED"/>
    <w:rsid w:val="00450910"/>
    <w:rsid w:val="00453059"/>
    <w:rsid w:val="00454196"/>
    <w:rsid w:val="00454902"/>
    <w:rsid w:val="004549D5"/>
    <w:rsid w:val="00455599"/>
    <w:rsid w:val="00455EEA"/>
    <w:rsid w:val="00457354"/>
    <w:rsid w:val="00457D15"/>
    <w:rsid w:val="00457EE6"/>
    <w:rsid w:val="0046065E"/>
    <w:rsid w:val="004628E6"/>
    <w:rsid w:val="0046412B"/>
    <w:rsid w:val="004675A0"/>
    <w:rsid w:val="0047105F"/>
    <w:rsid w:val="00472665"/>
    <w:rsid w:val="00472F59"/>
    <w:rsid w:val="00475D3D"/>
    <w:rsid w:val="00480053"/>
    <w:rsid w:val="004823AC"/>
    <w:rsid w:val="00485119"/>
    <w:rsid w:val="004A08E8"/>
    <w:rsid w:val="004A2C35"/>
    <w:rsid w:val="004A2C37"/>
    <w:rsid w:val="004B1371"/>
    <w:rsid w:val="004B2DD3"/>
    <w:rsid w:val="004B541F"/>
    <w:rsid w:val="004B600F"/>
    <w:rsid w:val="004C3B8C"/>
    <w:rsid w:val="004D4164"/>
    <w:rsid w:val="004E0A07"/>
    <w:rsid w:val="004E0D0D"/>
    <w:rsid w:val="004E1F56"/>
    <w:rsid w:val="004E4CB3"/>
    <w:rsid w:val="004F02F0"/>
    <w:rsid w:val="004F5176"/>
    <w:rsid w:val="004F79F9"/>
    <w:rsid w:val="004F7E3C"/>
    <w:rsid w:val="00502FC3"/>
    <w:rsid w:val="00506C03"/>
    <w:rsid w:val="00507B19"/>
    <w:rsid w:val="00510343"/>
    <w:rsid w:val="0051304C"/>
    <w:rsid w:val="005144A8"/>
    <w:rsid w:val="0051613E"/>
    <w:rsid w:val="0052054F"/>
    <w:rsid w:val="005221A3"/>
    <w:rsid w:val="00522742"/>
    <w:rsid w:val="00526B27"/>
    <w:rsid w:val="005310B7"/>
    <w:rsid w:val="00536E62"/>
    <w:rsid w:val="00540C4A"/>
    <w:rsid w:val="00545E0A"/>
    <w:rsid w:val="00546025"/>
    <w:rsid w:val="005469EB"/>
    <w:rsid w:val="005513E6"/>
    <w:rsid w:val="00554B17"/>
    <w:rsid w:val="0055503A"/>
    <w:rsid w:val="0055602A"/>
    <w:rsid w:val="00556E48"/>
    <w:rsid w:val="0056000C"/>
    <w:rsid w:val="005601DD"/>
    <w:rsid w:val="00561EB8"/>
    <w:rsid w:val="005645AC"/>
    <w:rsid w:val="00564ADF"/>
    <w:rsid w:val="00575674"/>
    <w:rsid w:val="00577778"/>
    <w:rsid w:val="00582603"/>
    <w:rsid w:val="0058460F"/>
    <w:rsid w:val="00585E24"/>
    <w:rsid w:val="005A24B8"/>
    <w:rsid w:val="005A2994"/>
    <w:rsid w:val="005A5DC9"/>
    <w:rsid w:val="005A7BDD"/>
    <w:rsid w:val="005B4993"/>
    <w:rsid w:val="005B6A53"/>
    <w:rsid w:val="005B7456"/>
    <w:rsid w:val="005C39E7"/>
    <w:rsid w:val="005C4145"/>
    <w:rsid w:val="005C724E"/>
    <w:rsid w:val="005C72C9"/>
    <w:rsid w:val="005D07B4"/>
    <w:rsid w:val="005D1222"/>
    <w:rsid w:val="005D17A3"/>
    <w:rsid w:val="005D1A68"/>
    <w:rsid w:val="005D5E5F"/>
    <w:rsid w:val="005E021C"/>
    <w:rsid w:val="005E2390"/>
    <w:rsid w:val="005E325E"/>
    <w:rsid w:val="005E3E51"/>
    <w:rsid w:val="005E48EA"/>
    <w:rsid w:val="005E5271"/>
    <w:rsid w:val="005E54C8"/>
    <w:rsid w:val="005F2AD6"/>
    <w:rsid w:val="005F36F2"/>
    <w:rsid w:val="005F593B"/>
    <w:rsid w:val="005F7F88"/>
    <w:rsid w:val="00600CAC"/>
    <w:rsid w:val="00600CBB"/>
    <w:rsid w:val="006011B9"/>
    <w:rsid w:val="00601216"/>
    <w:rsid w:val="006022D5"/>
    <w:rsid w:val="006116FE"/>
    <w:rsid w:val="006131FF"/>
    <w:rsid w:val="0061595C"/>
    <w:rsid w:val="00621201"/>
    <w:rsid w:val="006212C0"/>
    <w:rsid w:val="00622C11"/>
    <w:rsid w:val="00627EF0"/>
    <w:rsid w:val="006323E6"/>
    <w:rsid w:val="006410C8"/>
    <w:rsid w:val="006458B2"/>
    <w:rsid w:val="00654D84"/>
    <w:rsid w:val="00657D74"/>
    <w:rsid w:val="00657FB3"/>
    <w:rsid w:val="006645CC"/>
    <w:rsid w:val="00665AEC"/>
    <w:rsid w:val="00672EB7"/>
    <w:rsid w:val="00677DFC"/>
    <w:rsid w:val="00683E19"/>
    <w:rsid w:val="006971A2"/>
    <w:rsid w:val="006A19A7"/>
    <w:rsid w:val="006A34BC"/>
    <w:rsid w:val="006A635A"/>
    <w:rsid w:val="006B0C7F"/>
    <w:rsid w:val="006B1B97"/>
    <w:rsid w:val="006B57F8"/>
    <w:rsid w:val="006C25B4"/>
    <w:rsid w:val="006C37AD"/>
    <w:rsid w:val="006C6C34"/>
    <w:rsid w:val="006D0128"/>
    <w:rsid w:val="006D20FF"/>
    <w:rsid w:val="006E15F9"/>
    <w:rsid w:val="006E59E7"/>
    <w:rsid w:val="006E6D48"/>
    <w:rsid w:val="006F288D"/>
    <w:rsid w:val="006F3A4D"/>
    <w:rsid w:val="006F50B9"/>
    <w:rsid w:val="00703BAF"/>
    <w:rsid w:val="00711BDC"/>
    <w:rsid w:val="0071211A"/>
    <w:rsid w:val="007159B0"/>
    <w:rsid w:val="00720B66"/>
    <w:rsid w:val="00720B98"/>
    <w:rsid w:val="00723342"/>
    <w:rsid w:val="007240B3"/>
    <w:rsid w:val="00730B40"/>
    <w:rsid w:val="00731F53"/>
    <w:rsid w:val="00735878"/>
    <w:rsid w:val="007400BD"/>
    <w:rsid w:val="00742D81"/>
    <w:rsid w:val="00746192"/>
    <w:rsid w:val="00747E42"/>
    <w:rsid w:val="007505AE"/>
    <w:rsid w:val="007520A8"/>
    <w:rsid w:val="007547C9"/>
    <w:rsid w:val="00760CF2"/>
    <w:rsid w:val="00761692"/>
    <w:rsid w:val="00762BF1"/>
    <w:rsid w:val="00770DFA"/>
    <w:rsid w:val="007737C3"/>
    <w:rsid w:val="007810E4"/>
    <w:rsid w:val="007820E8"/>
    <w:rsid w:val="007842FA"/>
    <w:rsid w:val="0079642F"/>
    <w:rsid w:val="007A221B"/>
    <w:rsid w:val="007A39DD"/>
    <w:rsid w:val="007A6659"/>
    <w:rsid w:val="007A7BB8"/>
    <w:rsid w:val="007B2E63"/>
    <w:rsid w:val="007B4454"/>
    <w:rsid w:val="007B68A0"/>
    <w:rsid w:val="007C08DA"/>
    <w:rsid w:val="007C40C6"/>
    <w:rsid w:val="007C41BB"/>
    <w:rsid w:val="007D34B1"/>
    <w:rsid w:val="007D511F"/>
    <w:rsid w:val="007E0109"/>
    <w:rsid w:val="007E0F62"/>
    <w:rsid w:val="007F1A53"/>
    <w:rsid w:val="007F2F67"/>
    <w:rsid w:val="007F5A32"/>
    <w:rsid w:val="007F7626"/>
    <w:rsid w:val="00801A67"/>
    <w:rsid w:val="008074B0"/>
    <w:rsid w:val="008128E1"/>
    <w:rsid w:val="00813060"/>
    <w:rsid w:val="00824F70"/>
    <w:rsid w:val="008264BE"/>
    <w:rsid w:val="00831E65"/>
    <w:rsid w:val="00834524"/>
    <w:rsid w:val="00834D90"/>
    <w:rsid w:val="00835590"/>
    <w:rsid w:val="00835AAF"/>
    <w:rsid w:val="00835B6F"/>
    <w:rsid w:val="00846651"/>
    <w:rsid w:val="00847308"/>
    <w:rsid w:val="00855B5A"/>
    <w:rsid w:val="00856183"/>
    <w:rsid w:val="008569F8"/>
    <w:rsid w:val="00861A9D"/>
    <w:rsid w:val="00862656"/>
    <w:rsid w:val="00862CDE"/>
    <w:rsid w:val="008645CE"/>
    <w:rsid w:val="008772E8"/>
    <w:rsid w:val="0088062B"/>
    <w:rsid w:val="00880731"/>
    <w:rsid w:val="00885969"/>
    <w:rsid w:val="0088740C"/>
    <w:rsid w:val="00891E55"/>
    <w:rsid w:val="00893377"/>
    <w:rsid w:val="00897360"/>
    <w:rsid w:val="008979CF"/>
    <w:rsid w:val="008A52DA"/>
    <w:rsid w:val="008A5F25"/>
    <w:rsid w:val="008B0D9A"/>
    <w:rsid w:val="008B350A"/>
    <w:rsid w:val="008C253D"/>
    <w:rsid w:val="008D3E55"/>
    <w:rsid w:val="008E6E37"/>
    <w:rsid w:val="008F187B"/>
    <w:rsid w:val="008F196E"/>
    <w:rsid w:val="008F1F93"/>
    <w:rsid w:val="008F31A1"/>
    <w:rsid w:val="008F4E70"/>
    <w:rsid w:val="008F61E1"/>
    <w:rsid w:val="008F6CA9"/>
    <w:rsid w:val="00906391"/>
    <w:rsid w:val="0091307C"/>
    <w:rsid w:val="00914FAF"/>
    <w:rsid w:val="00920E7F"/>
    <w:rsid w:val="00921F72"/>
    <w:rsid w:val="00922957"/>
    <w:rsid w:val="00923694"/>
    <w:rsid w:val="00935A41"/>
    <w:rsid w:val="00936E8B"/>
    <w:rsid w:val="00937196"/>
    <w:rsid w:val="00941ECE"/>
    <w:rsid w:val="009429AD"/>
    <w:rsid w:val="00943389"/>
    <w:rsid w:val="0095047E"/>
    <w:rsid w:val="009515D0"/>
    <w:rsid w:val="009520A8"/>
    <w:rsid w:val="00964053"/>
    <w:rsid w:val="00972C77"/>
    <w:rsid w:val="009736D2"/>
    <w:rsid w:val="009744EC"/>
    <w:rsid w:val="00976428"/>
    <w:rsid w:val="009827CF"/>
    <w:rsid w:val="00983599"/>
    <w:rsid w:val="00984084"/>
    <w:rsid w:val="009937C5"/>
    <w:rsid w:val="00996DCD"/>
    <w:rsid w:val="009A0A8F"/>
    <w:rsid w:val="009A1E95"/>
    <w:rsid w:val="009A5C5B"/>
    <w:rsid w:val="009A7E03"/>
    <w:rsid w:val="009B0A9B"/>
    <w:rsid w:val="009B2860"/>
    <w:rsid w:val="009B2E59"/>
    <w:rsid w:val="009B459A"/>
    <w:rsid w:val="009B5AFD"/>
    <w:rsid w:val="009B5B7C"/>
    <w:rsid w:val="009B5C13"/>
    <w:rsid w:val="009B5D8C"/>
    <w:rsid w:val="009B677A"/>
    <w:rsid w:val="009C4912"/>
    <w:rsid w:val="009C7DCD"/>
    <w:rsid w:val="009C7FAC"/>
    <w:rsid w:val="009D2A89"/>
    <w:rsid w:val="009D37E3"/>
    <w:rsid w:val="009D4542"/>
    <w:rsid w:val="009D55E4"/>
    <w:rsid w:val="009E177F"/>
    <w:rsid w:val="009E208C"/>
    <w:rsid w:val="009E688C"/>
    <w:rsid w:val="009F1A2B"/>
    <w:rsid w:val="009F3D7E"/>
    <w:rsid w:val="009F5202"/>
    <w:rsid w:val="009F6061"/>
    <w:rsid w:val="009F651B"/>
    <w:rsid w:val="00A01BE4"/>
    <w:rsid w:val="00A02269"/>
    <w:rsid w:val="00A0398D"/>
    <w:rsid w:val="00A05E39"/>
    <w:rsid w:val="00A10A4A"/>
    <w:rsid w:val="00A14425"/>
    <w:rsid w:val="00A15455"/>
    <w:rsid w:val="00A2057E"/>
    <w:rsid w:val="00A2058B"/>
    <w:rsid w:val="00A21402"/>
    <w:rsid w:val="00A21ABB"/>
    <w:rsid w:val="00A23AB8"/>
    <w:rsid w:val="00A2473D"/>
    <w:rsid w:val="00A265F5"/>
    <w:rsid w:val="00A27EA0"/>
    <w:rsid w:val="00A34E7F"/>
    <w:rsid w:val="00A3748F"/>
    <w:rsid w:val="00A405B9"/>
    <w:rsid w:val="00A43EED"/>
    <w:rsid w:val="00A47A1F"/>
    <w:rsid w:val="00A511A5"/>
    <w:rsid w:val="00A51D73"/>
    <w:rsid w:val="00A60BD0"/>
    <w:rsid w:val="00A61EC8"/>
    <w:rsid w:val="00A63138"/>
    <w:rsid w:val="00A64BB2"/>
    <w:rsid w:val="00A66831"/>
    <w:rsid w:val="00A66A5B"/>
    <w:rsid w:val="00A708CF"/>
    <w:rsid w:val="00A76824"/>
    <w:rsid w:val="00A80022"/>
    <w:rsid w:val="00A85B87"/>
    <w:rsid w:val="00A87BAB"/>
    <w:rsid w:val="00A91562"/>
    <w:rsid w:val="00A927F6"/>
    <w:rsid w:val="00AA1212"/>
    <w:rsid w:val="00AA1C58"/>
    <w:rsid w:val="00AA2340"/>
    <w:rsid w:val="00AB56B8"/>
    <w:rsid w:val="00AC2239"/>
    <w:rsid w:val="00AC2E75"/>
    <w:rsid w:val="00AC68D9"/>
    <w:rsid w:val="00AC7148"/>
    <w:rsid w:val="00AC7D26"/>
    <w:rsid w:val="00AD181E"/>
    <w:rsid w:val="00AD6B62"/>
    <w:rsid w:val="00AD78ED"/>
    <w:rsid w:val="00AE005D"/>
    <w:rsid w:val="00AE6425"/>
    <w:rsid w:val="00B004BB"/>
    <w:rsid w:val="00B00547"/>
    <w:rsid w:val="00B00CD4"/>
    <w:rsid w:val="00B01149"/>
    <w:rsid w:val="00B0149E"/>
    <w:rsid w:val="00B01710"/>
    <w:rsid w:val="00B03A01"/>
    <w:rsid w:val="00B06920"/>
    <w:rsid w:val="00B070E7"/>
    <w:rsid w:val="00B13A9C"/>
    <w:rsid w:val="00B16FC2"/>
    <w:rsid w:val="00B300C9"/>
    <w:rsid w:val="00B31EBD"/>
    <w:rsid w:val="00B32906"/>
    <w:rsid w:val="00B3650F"/>
    <w:rsid w:val="00B4145D"/>
    <w:rsid w:val="00B427B3"/>
    <w:rsid w:val="00B5025B"/>
    <w:rsid w:val="00B50A55"/>
    <w:rsid w:val="00B50ABF"/>
    <w:rsid w:val="00B54B66"/>
    <w:rsid w:val="00B56FFF"/>
    <w:rsid w:val="00B602BE"/>
    <w:rsid w:val="00B61112"/>
    <w:rsid w:val="00B629D6"/>
    <w:rsid w:val="00B64F6C"/>
    <w:rsid w:val="00B66A27"/>
    <w:rsid w:val="00B71173"/>
    <w:rsid w:val="00B77DD0"/>
    <w:rsid w:val="00B84B9C"/>
    <w:rsid w:val="00B85BA7"/>
    <w:rsid w:val="00B8757D"/>
    <w:rsid w:val="00B8764A"/>
    <w:rsid w:val="00B919B9"/>
    <w:rsid w:val="00B93F1A"/>
    <w:rsid w:val="00BA00DC"/>
    <w:rsid w:val="00BA0B63"/>
    <w:rsid w:val="00BA2B7E"/>
    <w:rsid w:val="00BA663B"/>
    <w:rsid w:val="00BA76BD"/>
    <w:rsid w:val="00BB4CDF"/>
    <w:rsid w:val="00BB604F"/>
    <w:rsid w:val="00BC071E"/>
    <w:rsid w:val="00BC25D7"/>
    <w:rsid w:val="00BC2D3C"/>
    <w:rsid w:val="00BC7F71"/>
    <w:rsid w:val="00BD0E50"/>
    <w:rsid w:val="00BD3367"/>
    <w:rsid w:val="00BE2041"/>
    <w:rsid w:val="00BF2C0C"/>
    <w:rsid w:val="00BF6C54"/>
    <w:rsid w:val="00C02C00"/>
    <w:rsid w:val="00C04F2B"/>
    <w:rsid w:val="00C0686A"/>
    <w:rsid w:val="00C1126C"/>
    <w:rsid w:val="00C121A2"/>
    <w:rsid w:val="00C12742"/>
    <w:rsid w:val="00C1458B"/>
    <w:rsid w:val="00C17E94"/>
    <w:rsid w:val="00C24542"/>
    <w:rsid w:val="00C25112"/>
    <w:rsid w:val="00C26C0E"/>
    <w:rsid w:val="00C35B9B"/>
    <w:rsid w:val="00C36474"/>
    <w:rsid w:val="00C3671C"/>
    <w:rsid w:val="00C404AF"/>
    <w:rsid w:val="00C4070F"/>
    <w:rsid w:val="00C41205"/>
    <w:rsid w:val="00C41BA4"/>
    <w:rsid w:val="00C43720"/>
    <w:rsid w:val="00C45552"/>
    <w:rsid w:val="00C516A5"/>
    <w:rsid w:val="00C53CA0"/>
    <w:rsid w:val="00C53D38"/>
    <w:rsid w:val="00C579CB"/>
    <w:rsid w:val="00C61930"/>
    <w:rsid w:val="00C6476C"/>
    <w:rsid w:val="00C67764"/>
    <w:rsid w:val="00C67E2E"/>
    <w:rsid w:val="00C708D0"/>
    <w:rsid w:val="00C7427A"/>
    <w:rsid w:val="00C74561"/>
    <w:rsid w:val="00C7497F"/>
    <w:rsid w:val="00C74A3B"/>
    <w:rsid w:val="00C74F5A"/>
    <w:rsid w:val="00C75780"/>
    <w:rsid w:val="00C77D71"/>
    <w:rsid w:val="00C81FF7"/>
    <w:rsid w:val="00C8386F"/>
    <w:rsid w:val="00C8529B"/>
    <w:rsid w:val="00C87DAD"/>
    <w:rsid w:val="00C9029D"/>
    <w:rsid w:val="00C912D9"/>
    <w:rsid w:val="00C97E20"/>
    <w:rsid w:val="00CA490D"/>
    <w:rsid w:val="00CA64D4"/>
    <w:rsid w:val="00CA7D6B"/>
    <w:rsid w:val="00CB2898"/>
    <w:rsid w:val="00CB4A30"/>
    <w:rsid w:val="00CB7956"/>
    <w:rsid w:val="00CC4F7E"/>
    <w:rsid w:val="00CC65DD"/>
    <w:rsid w:val="00CC6773"/>
    <w:rsid w:val="00CC7FD2"/>
    <w:rsid w:val="00CD121F"/>
    <w:rsid w:val="00CD27D9"/>
    <w:rsid w:val="00CE00A0"/>
    <w:rsid w:val="00CE4629"/>
    <w:rsid w:val="00CE4C88"/>
    <w:rsid w:val="00CE5428"/>
    <w:rsid w:val="00CE64A8"/>
    <w:rsid w:val="00CF35D9"/>
    <w:rsid w:val="00CF4370"/>
    <w:rsid w:val="00D003DF"/>
    <w:rsid w:val="00D073AC"/>
    <w:rsid w:val="00D14C3F"/>
    <w:rsid w:val="00D16189"/>
    <w:rsid w:val="00D264DA"/>
    <w:rsid w:val="00D27074"/>
    <w:rsid w:val="00D311D5"/>
    <w:rsid w:val="00D37CC8"/>
    <w:rsid w:val="00D44450"/>
    <w:rsid w:val="00D447AD"/>
    <w:rsid w:val="00D47214"/>
    <w:rsid w:val="00D47572"/>
    <w:rsid w:val="00D47E9E"/>
    <w:rsid w:val="00D51C89"/>
    <w:rsid w:val="00D54BE4"/>
    <w:rsid w:val="00D55ACC"/>
    <w:rsid w:val="00D57F0F"/>
    <w:rsid w:val="00D630C6"/>
    <w:rsid w:val="00D63C81"/>
    <w:rsid w:val="00D722D5"/>
    <w:rsid w:val="00D75F8B"/>
    <w:rsid w:val="00D77FC4"/>
    <w:rsid w:val="00D81017"/>
    <w:rsid w:val="00D810D5"/>
    <w:rsid w:val="00D81227"/>
    <w:rsid w:val="00D82D9E"/>
    <w:rsid w:val="00D83B6E"/>
    <w:rsid w:val="00D85843"/>
    <w:rsid w:val="00DA043D"/>
    <w:rsid w:val="00DA1124"/>
    <w:rsid w:val="00DA2C94"/>
    <w:rsid w:val="00DA476C"/>
    <w:rsid w:val="00DA5B83"/>
    <w:rsid w:val="00DA741C"/>
    <w:rsid w:val="00DB16FA"/>
    <w:rsid w:val="00DB2010"/>
    <w:rsid w:val="00DB2696"/>
    <w:rsid w:val="00DB6A32"/>
    <w:rsid w:val="00DC161C"/>
    <w:rsid w:val="00DC1AE2"/>
    <w:rsid w:val="00DC4E2A"/>
    <w:rsid w:val="00DC6DBC"/>
    <w:rsid w:val="00DC7A09"/>
    <w:rsid w:val="00DD0B6D"/>
    <w:rsid w:val="00DD1F34"/>
    <w:rsid w:val="00DD421D"/>
    <w:rsid w:val="00DD65C3"/>
    <w:rsid w:val="00DE2A13"/>
    <w:rsid w:val="00DE3F82"/>
    <w:rsid w:val="00DF052F"/>
    <w:rsid w:val="00DF1B6F"/>
    <w:rsid w:val="00DF56D2"/>
    <w:rsid w:val="00DF6EC2"/>
    <w:rsid w:val="00E00877"/>
    <w:rsid w:val="00E05767"/>
    <w:rsid w:val="00E06CB2"/>
    <w:rsid w:val="00E161E8"/>
    <w:rsid w:val="00E17467"/>
    <w:rsid w:val="00E17BAC"/>
    <w:rsid w:val="00E24194"/>
    <w:rsid w:val="00E249FA"/>
    <w:rsid w:val="00E261D0"/>
    <w:rsid w:val="00E31DA3"/>
    <w:rsid w:val="00E3380B"/>
    <w:rsid w:val="00E3457E"/>
    <w:rsid w:val="00E37E0A"/>
    <w:rsid w:val="00E421FD"/>
    <w:rsid w:val="00E439D2"/>
    <w:rsid w:val="00E4457A"/>
    <w:rsid w:val="00E47C43"/>
    <w:rsid w:val="00E54FD4"/>
    <w:rsid w:val="00E5581F"/>
    <w:rsid w:val="00E56DAF"/>
    <w:rsid w:val="00E61D3A"/>
    <w:rsid w:val="00E621B9"/>
    <w:rsid w:val="00E63879"/>
    <w:rsid w:val="00E74EDB"/>
    <w:rsid w:val="00E7526A"/>
    <w:rsid w:val="00E82EEB"/>
    <w:rsid w:val="00E86103"/>
    <w:rsid w:val="00E908DF"/>
    <w:rsid w:val="00E90939"/>
    <w:rsid w:val="00E9427B"/>
    <w:rsid w:val="00E95055"/>
    <w:rsid w:val="00E96007"/>
    <w:rsid w:val="00EA22FE"/>
    <w:rsid w:val="00EA2C33"/>
    <w:rsid w:val="00EA605E"/>
    <w:rsid w:val="00EA6CFA"/>
    <w:rsid w:val="00EB16F1"/>
    <w:rsid w:val="00EB2E12"/>
    <w:rsid w:val="00EB35F7"/>
    <w:rsid w:val="00EB3F76"/>
    <w:rsid w:val="00EB4191"/>
    <w:rsid w:val="00EB4359"/>
    <w:rsid w:val="00EB4685"/>
    <w:rsid w:val="00EB498F"/>
    <w:rsid w:val="00EC0602"/>
    <w:rsid w:val="00EC13B9"/>
    <w:rsid w:val="00EC3BDF"/>
    <w:rsid w:val="00ED1610"/>
    <w:rsid w:val="00ED7BEA"/>
    <w:rsid w:val="00EE030A"/>
    <w:rsid w:val="00EE32B4"/>
    <w:rsid w:val="00EE4C5D"/>
    <w:rsid w:val="00EE6668"/>
    <w:rsid w:val="00EF0B82"/>
    <w:rsid w:val="00EF0D6A"/>
    <w:rsid w:val="00EF4389"/>
    <w:rsid w:val="00EF5DF0"/>
    <w:rsid w:val="00EF685F"/>
    <w:rsid w:val="00F02CA7"/>
    <w:rsid w:val="00F11C29"/>
    <w:rsid w:val="00F127A8"/>
    <w:rsid w:val="00F131D0"/>
    <w:rsid w:val="00F15CF6"/>
    <w:rsid w:val="00F22D2D"/>
    <w:rsid w:val="00F23F11"/>
    <w:rsid w:val="00F2631A"/>
    <w:rsid w:val="00F264B6"/>
    <w:rsid w:val="00F26C14"/>
    <w:rsid w:val="00F408BF"/>
    <w:rsid w:val="00F44B0E"/>
    <w:rsid w:val="00F45A5D"/>
    <w:rsid w:val="00F466BC"/>
    <w:rsid w:val="00F50CBB"/>
    <w:rsid w:val="00F56B7A"/>
    <w:rsid w:val="00F61348"/>
    <w:rsid w:val="00F61A06"/>
    <w:rsid w:val="00F61C55"/>
    <w:rsid w:val="00F624CD"/>
    <w:rsid w:val="00F7073E"/>
    <w:rsid w:val="00F72E07"/>
    <w:rsid w:val="00F77FAB"/>
    <w:rsid w:val="00F80831"/>
    <w:rsid w:val="00F8258C"/>
    <w:rsid w:val="00F8409D"/>
    <w:rsid w:val="00F85F0C"/>
    <w:rsid w:val="00F86AC0"/>
    <w:rsid w:val="00F87D9B"/>
    <w:rsid w:val="00F91956"/>
    <w:rsid w:val="00F93705"/>
    <w:rsid w:val="00F93C02"/>
    <w:rsid w:val="00FA5023"/>
    <w:rsid w:val="00FB2C4C"/>
    <w:rsid w:val="00FB2C7D"/>
    <w:rsid w:val="00FB5AA9"/>
    <w:rsid w:val="00FB5BDA"/>
    <w:rsid w:val="00FC0F56"/>
    <w:rsid w:val="00FC5DD6"/>
    <w:rsid w:val="00FC7C80"/>
    <w:rsid w:val="00FD00CC"/>
    <w:rsid w:val="00FD08FE"/>
    <w:rsid w:val="00FD0DE6"/>
    <w:rsid w:val="00FE07A7"/>
    <w:rsid w:val="00FE090F"/>
    <w:rsid w:val="00FE1334"/>
    <w:rsid w:val="00FE1F1C"/>
    <w:rsid w:val="00FE2146"/>
    <w:rsid w:val="00FE4A42"/>
    <w:rsid w:val="00FE4DC7"/>
    <w:rsid w:val="00FE5676"/>
    <w:rsid w:val="00FE5752"/>
    <w:rsid w:val="00FF0655"/>
    <w:rsid w:val="00FF1590"/>
    <w:rsid w:val="00FF3626"/>
    <w:rsid w:val="00FF6290"/>
    <w:rsid w:val="00FF7583"/>
    <w:rsid w:val="0C544C06"/>
    <w:rsid w:val="35E738B0"/>
    <w:rsid w:val="4AE854A8"/>
    <w:rsid w:val="5BA15817"/>
    <w:rsid w:val="7363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E8F3"/>
  <w15:chartTrackingRefBased/>
  <w15:docId w15:val="{5D4D8B3F-ECEF-407A-A145-E43E58A9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380B"/>
    <w:rPr>
      <w:sz w:val="23"/>
      <w:szCs w:val="23"/>
    </w:rPr>
  </w:style>
  <w:style w:type="character" w:customStyle="1" w:styleId="BodyTextChar">
    <w:name w:val="Body Text Char"/>
    <w:basedOn w:val="DefaultParagraphFont"/>
    <w:link w:val="BodyText"/>
    <w:uiPriority w:val="1"/>
    <w:rsid w:val="00E3380B"/>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3834A2"/>
    <w:rPr>
      <w:sz w:val="20"/>
      <w:szCs w:val="20"/>
    </w:rPr>
  </w:style>
  <w:style w:type="character" w:customStyle="1" w:styleId="FootnoteTextChar">
    <w:name w:val="Footnote Text Char"/>
    <w:basedOn w:val="DefaultParagraphFont"/>
    <w:link w:val="FootnoteText"/>
    <w:uiPriority w:val="99"/>
    <w:semiHidden/>
    <w:rsid w:val="00383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34A2"/>
    <w:rPr>
      <w:vertAlign w:val="superscript"/>
    </w:rPr>
  </w:style>
  <w:style w:type="paragraph" w:styleId="Header">
    <w:name w:val="header"/>
    <w:basedOn w:val="Normal"/>
    <w:link w:val="HeaderChar"/>
    <w:uiPriority w:val="99"/>
    <w:unhideWhenUsed/>
    <w:rsid w:val="00157C89"/>
    <w:pPr>
      <w:tabs>
        <w:tab w:val="center" w:pos="4680"/>
        <w:tab w:val="right" w:pos="9360"/>
      </w:tabs>
    </w:pPr>
  </w:style>
  <w:style w:type="character" w:customStyle="1" w:styleId="HeaderChar">
    <w:name w:val="Header Char"/>
    <w:basedOn w:val="DefaultParagraphFont"/>
    <w:link w:val="Header"/>
    <w:uiPriority w:val="99"/>
    <w:rsid w:val="00157C89"/>
    <w:rPr>
      <w:rFonts w:ascii="Times New Roman" w:eastAsia="Times New Roman" w:hAnsi="Times New Roman" w:cs="Times New Roman"/>
    </w:rPr>
  </w:style>
  <w:style w:type="paragraph" w:styleId="Footer">
    <w:name w:val="footer"/>
    <w:basedOn w:val="Normal"/>
    <w:link w:val="FooterChar"/>
    <w:uiPriority w:val="99"/>
    <w:unhideWhenUsed/>
    <w:rsid w:val="00157C89"/>
    <w:pPr>
      <w:tabs>
        <w:tab w:val="center" w:pos="4680"/>
        <w:tab w:val="right" w:pos="9360"/>
      </w:tabs>
    </w:pPr>
  </w:style>
  <w:style w:type="character" w:customStyle="1" w:styleId="FooterChar">
    <w:name w:val="Footer Char"/>
    <w:basedOn w:val="DefaultParagraphFont"/>
    <w:link w:val="Footer"/>
    <w:uiPriority w:val="99"/>
    <w:rsid w:val="00157C89"/>
    <w:rPr>
      <w:rFonts w:ascii="Times New Roman" w:eastAsia="Times New Roman" w:hAnsi="Times New Roman" w:cs="Times New Roman"/>
    </w:rPr>
  </w:style>
  <w:style w:type="paragraph" w:styleId="ListParagraph">
    <w:name w:val="List Paragraph"/>
    <w:basedOn w:val="Normal"/>
    <w:uiPriority w:val="34"/>
    <w:qFormat/>
    <w:rsid w:val="00D722D5"/>
    <w:pPr>
      <w:spacing w:after="160" w:line="259" w:lineRule="auto"/>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semiHidden/>
    <w:unhideWhenUsed/>
    <w:rsid w:val="002F152B"/>
    <w:rPr>
      <w:color w:val="0000FF"/>
      <w:u w:val="single"/>
    </w:rPr>
  </w:style>
  <w:style w:type="character" w:customStyle="1" w:styleId="searchhit">
    <w:name w:val="searchhit"/>
    <w:basedOn w:val="DefaultParagraphFont"/>
    <w:rsid w:val="002F152B"/>
  </w:style>
  <w:style w:type="paragraph" w:styleId="Revision">
    <w:name w:val="Revision"/>
    <w:hidden/>
    <w:uiPriority w:val="99"/>
    <w:semiHidden/>
    <w:rsid w:val="00DE3F82"/>
    <w:rPr>
      <w:rFonts w:ascii="Times New Roman" w:eastAsia="Times New Roman" w:hAnsi="Times New Roman" w:cs="Times New Roman"/>
    </w:rPr>
  </w:style>
  <w:style w:type="character" w:customStyle="1" w:styleId="normaltextrun">
    <w:name w:val="normaltextrun"/>
    <w:basedOn w:val="DefaultParagraphFont"/>
    <w:rsid w:val="00B602BE"/>
  </w:style>
  <w:style w:type="character" w:customStyle="1" w:styleId="eop">
    <w:name w:val="eop"/>
    <w:basedOn w:val="DefaultParagraphFont"/>
    <w:rsid w:val="00B6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ocialaw.com/document.php?id=brm:brm23c-9&amp;type=hitlist&amp;num=1#hit22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socialaw.com/document.php?id=brm:brm23c-9&amp;type=hitlist&amp;num=1#hit2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ocialaw.com/document.php?id=brm:brm23c-9&amp;type=hitlist&amp;num=1#hit2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earch.socialaw.com/document.php?id=brm:brm23c-9&amp;type=hitlist&amp;num=1#hit231"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140A-B2B7-4009-903B-AEFAD6F9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5</cp:revision>
  <cp:lastPrinted>2024-04-17T14:25:00Z</cp:lastPrinted>
  <dcterms:created xsi:type="dcterms:W3CDTF">2024-05-24T19:01:00Z</dcterms:created>
  <dcterms:modified xsi:type="dcterms:W3CDTF">2024-05-24T19:14:00Z</dcterms:modified>
</cp:coreProperties>
</file>