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BB73" w14:textId="77777777" w:rsidR="00EA2650" w:rsidRDefault="007A677D" w:rsidP="002A637D">
      <w:pPr>
        <w:pStyle w:val="BodyText"/>
        <w:spacing w:before="160" w:line="249" w:lineRule="auto"/>
        <w:ind w:left="2194" w:right="1479" w:hanging="12"/>
      </w:pPr>
      <w:r>
        <w:t xml:space="preserve">     </w:t>
      </w:r>
      <w:r w:rsidR="00E3380B">
        <w:t>COMMONWEALTH OF MASSACHUSETTS</w:t>
      </w:r>
    </w:p>
    <w:p w14:paraId="131E51A0" w14:textId="74EA9CAA" w:rsidR="00E3380B" w:rsidRDefault="00E3380B">
      <w:pPr>
        <w:pStyle w:val="BodyText"/>
        <w:spacing w:before="160" w:line="249" w:lineRule="auto"/>
        <w:ind w:left="2194" w:right="1479" w:hanging="12"/>
      </w:pPr>
      <w:bookmarkStart w:id="0" w:name="Draft_Final_Decision_and_Order"/>
      <w:bookmarkEnd w:id="0"/>
      <w:r>
        <w:rPr>
          <w:w w:val="105"/>
        </w:rPr>
        <w:t>BOARD</w:t>
      </w:r>
      <w:r>
        <w:rPr>
          <w:spacing w:val="-13"/>
          <w:w w:val="105"/>
        </w:rPr>
        <w:t xml:space="preserve"> </w:t>
      </w:r>
      <w:r>
        <w:rPr>
          <w:w w:val="105"/>
        </w:rPr>
        <w:t>OF</w:t>
      </w:r>
      <w:r>
        <w:rPr>
          <w:spacing w:val="-15"/>
          <w:w w:val="105"/>
        </w:rPr>
        <w:t xml:space="preserve"> </w:t>
      </w:r>
      <w:r>
        <w:rPr>
          <w:w w:val="105"/>
        </w:rPr>
        <w:t>REGISTRATION</w:t>
      </w:r>
      <w:r>
        <w:rPr>
          <w:spacing w:val="5"/>
          <w:w w:val="105"/>
        </w:rPr>
        <w:t xml:space="preserve"> </w:t>
      </w:r>
      <w:r>
        <w:rPr>
          <w:w w:val="105"/>
        </w:rPr>
        <w:t>IN</w:t>
      </w:r>
      <w:r>
        <w:rPr>
          <w:spacing w:val="-12"/>
          <w:w w:val="105"/>
        </w:rPr>
        <w:t xml:space="preserve"> </w:t>
      </w:r>
      <w:r>
        <w:rPr>
          <w:spacing w:val="-2"/>
          <w:w w:val="105"/>
        </w:rPr>
        <w:t>MEDICINE</w:t>
      </w:r>
    </w:p>
    <w:p w14:paraId="0D2E1E93" w14:textId="77777777" w:rsidR="00E3380B" w:rsidRDefault="00E3380B" w:rsidP="002A637D">
      <w:pPr>
        <w:pStyle w:val="BodyText"/>
        <w:spacing w:before="9"/>
        <w:jc w:val="both"/>
        <w:rPr>
          <w:sz w:val="15"/>
        </w:rPr>
      </w:pPr>
    </w:p>
    <w:p w14:paraId="33B016DF" w14:textId="77777777" w:rsidR="00C5256D" w:rsidRDefault="00E3380B" w:rsidP="00F466BC">
      <w:pPr>
        <w:pStyle w:val="BodyText"/>
        <w:spacing w:before="95" w:line="242" w:lineRule="auto"/>
        <w:ind w:left="4477" w:right="1271" w:hanging="4325"/>
        <w:rPr>
          <w:w w:val="105"/>
          <w:position w:val="1"/>
        </w:rPr>
      </w:pPr>
      <w:r>
        <w:rPr>
          <w:w w:val="105"/>
        </w:rPr>
        <w:t>MIDDLESEX, ss</w:t>
      </w:r>
      <w:r>
        <w:tab/>
      </w:r>
      <w:r>
        <w:rPr>
          <w:w w:val="105"/>
          <w:position w:val="1"/>
        </w:rPr>
        <w:t>Adjudicatory</w:t>
      </w:r>
      <w:r>
        <w:rPr>
          <w:spacing w:val="-4"/>
          <w:w w:val="105"/>
          <w:position w:val="1"/>
        </w:rPr>
        <w:t xml:space="preserve"> </w:t>
      </w:r>
      <w:r>
        <w:rPr>
          <w:w w:val="105"/>
          <w:position w:val="1"/>
        </w:rPr>
        <w:t>Case</w:t>
      </w:r>
      <w:r>
        <w:rPr>
          <w:spacing w:val="-15"/>
          <w:w w:val="105"/>
          <w:position w:val="1"/>
        </w:rPr>
        <w:t xml:space="preserve"> </w:t>
      </w:r>
      <w:r>
        <w:rPr>
          <w:w w:val="105"/>
          <w:position w:val="1"/>
        </w:rPr>
        <w:t>No.</w:t>
      </w:r>
      <w:r>
        <w:rPr>
          <w:spacing w:val="-15"/>
          <w:w w:val="105"/>
          <w:position w:val="1"/>
        </w:rPr>
        <w:t xml:space="preserve"> </w:t>
      </w:r>
      <w:r>
        <w:rPr>
          <w:w w:val="105"/>
          <w:position w:val="1"/>
        </w:rPr>
        <w:t>2022-0</w:t>
      </w:r>
      <w:r w:rsidR="00D02045">
        <w:rPr>
          <w:w w:val="105"/>
          <w:position w:val="1"/>
        </w:rPr>
        <w:t>07</w:t>
      </w:r>
    </w:p>
    <w:p w14:paraId="3D57B0C3" w14:textId="131654EE" w:rsidR="00E3380B" w:rsidRDefault="00E3380B" w:rsidP="00C5256D">
      <w:pPr>
        <w:pStyle w:val="BodyText"/>
        <w:spacing w:before="95" w:line="242" w:lineRule="auto"/>
        <w:ind w:left="4477" w:right="1271"/>
        <w:rPr>
          <w:w w:val="105"/>
        </w:rPr>
      </w:pPr>
      <w:r>
        <w:rPr>
          <w:w w:val="105"/>
        </w:rPr>
        <w:t>(RM-22-</w:t>
      </w:r>
      <w:r w:rsidR="007059F3">
        <w:rPr>
          <w:w w:val="105"/>
        </w:rPr>
        <w:t>0051</w:t>
      </w:r>
      <w:r>
        <w:rPr>
          <w:w w:val="105"/>
        </w:rPr>
        <w:t>)</w:t>
      </w:r>
    </w:p>
    <w:p w14:paraId="186B879E" w14:textId="566D3F4E" w:rsidR="00E3380B" w:rsidRPr="007A7BB8" w:rsidRDefault="00E3380B" w:rsidP="00F466BC">
      <w:pPr>
        <w:pStyle w:val="BodyText"/>
        <w:spacing w:line="20" w:lineRule="exact"/>
        <w:rPr>
          <w:sz w:val="2"/>
        </w:rPr>
      </w:pPr>
      <w:r>
        <w:rPr>
          <w:noProof/>
          <w:sz w:val="2"/>
        </w:rPr>
        <mc:AlternateContent>
          <mc:Choice Requires="wpg">
            <w:drawing>
              <wp:inline distT="0" distB="0" distL="0" distR="0" wp14:anchorId="717FE40B" wp14:editId="592816D1">
                <wp:extent cx="1851660" cy="9525"/>
                <wp:effectExtent l="10795" t="7620" r="1397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9525"/>
                          <a:chOff x="0" y="0"/>
                          <a:chExt cx="2916" cy="15"/>
                        </a:xfrm>
                      </wpg:grpSpPr>
                      <wps:wsp>
                        <wps:cNvPr id="4" name="Line 5"/>
                        <wps:cNvCnPr>
                          <a:cxnSpLocks noChangeShapeType="1"/>
                        </wps:cNvCnPr>
                        <wps:spPr bwMode="auto">
                          <a:xfrm>
                            <a:off x="0" y="7"/>
                            <a:ext cx="291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7276A1" id="Group 3" o:spid="_x0000_s1026" style="width:145.8pt;height:.75pt;mso-position-horizontal-relative:char;mso-position-vertical-relative:line" coordsize="2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">
                <v:line id="Line 5" o:spid="_x0000_s1027" style="position:absolute;visibility:visible;mso-wrap-style:square" from="0,7" to="2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" strokeweight=".25447mm"/>
                <w10:anchorlock/>
              </v:group>
            </w:pict>
          </mc:Fallback>
        </mc:AlternateContent>
      </w:r>
    </w:p>
    <w:p w14:paraId="703E8978" w14:textId="77777777" w:rsidR="00E3380B" w:rsidRDefault="00E3380B" w:rsidP="00CC65DD">
      <w:pPr>
        <w:pStyle w:val="BodyText"/>
        <w:tabs>
          <w:tab w:val="left" w:pos="2887"/>
        </w:tabs>
        <w:spacing w:before="19"/>
        <w:ind w:right="38"/>
        <w:rPr>
          <w:sz w:val="22"/>
        </w:rPr>
      </w:pPr>
      <w:r>
        <w:rPr>
          <w:w w:val="105"/>
        </w:rPr>
        <w:t>In</w:t>
      </w:r>
      <w:r>
        <w:rPr>
          <w:spacing w:val="-9"/>
          <w:w w:val="105"/>
        </w:rPr>
        <w:t xml:space="preserve"> </w:t>
      </w:r>
      <w:r>
        <w:rPr>
          <w:w w:val="105"/>
        </w:rPr>
        <w:t>the</w:t>
      </w:r>
      <w:r>
        <w:rPr>
          <w:spacing w:val="-7"/>
          <w:w w:val="105"/>
        </w:rPr>
        <w:t xml:space="preserve"> </w:t>
      </w:r>
      <w:r>
        <w:rPr>
          <w:w w:val="105"/>
        </w:rPr>
        <w:t>Matter</w:t>
      </w:r>
      <w:r>
        <w:rPr>
          <w:spacing w:val="-4"/>
          <w:w w:val="105"/>
        </w:rPr>
        <w:t xml:space="preserve"> </w:t>
      </w:r>
      <w:r>
        <w:rPr>
          <w:spacing w:val="-5"/>
          <w:w w:val="105"/>
        </w:rPr>
        <w:t>of</w:t>
      </w:r>
      <w:r>
        <w:tab/>
      </w:r>
      <w:r>
        <w:rPr>
          <w:spacing w:val="-10"/>
          <w:w w:val="105"/>
          <w:sz w:val="22"/>
        </w:rPr>
        <w:t>)</w:t>
      </w:r>
    </w:p>
    <w:p w14:paraId="2A2CAEF7" w14:textId="77777777" w:rsidR="00E3380B" w:rsidRDefault="00E3380B" w:rsidP="007A7BB8">
      <w:pPr>
        <w:spacing w:before="19"/>
        <w:ind w:left="2160" w:right="38" w:firstLine="720"/>
      </w:pPr>
      <w:r>
        <w:rPr>
          <w:w w:val="103"/>
        </w:rPr>
        <w:t>)</w:t>
      </w:r>
    </w:p>
    <w:p w14:paraId="37ABC312" w14:textId="6868E24C" w:rsidR="00F466BC" w:rsidRPr="00F466BC" w:rsidRDefault="007059F3" w:rsidP="00CC65DD">
      <w:pPr>
        <w:pStyle w:val="BodyText"/>
        <w:tabs>
          <w:tab w:val="left" w:pos="2882"/>
        </w:tabs>
        <w:spacing w:before="19"/>
        <w:ind w:right="38"/>
      </w:pPr>
      <w:r>
        <w:rPr>
          <w:spacing w:val="-2"/>
          <w:w w:val="105"/>
        </w:rPr>
        <w:t xml:space="preserve">Darius M. Ameri, </w:t>
      </w:r>
      <w:r w:rsidR="00E3380B" w:rsidRPr="00F466BC">
        <w:t>M.D.</w:t>
      </w:r>
      <w:r w:rsidR="00F466BC">
        <w:t xml:space="preserve">   </w:t>
      </w:r>
      <w:r>
        <w:tab/>
      </w:r>
      <w:r w:rsidR="00F466BC">
        <w:t>)</w:t>
      </w:r>
    </w:p>
    <w:p w14:paraId="176E2860" w14:textId="6131342E" w:rsidR="00654D84" w:rsidRPr="007A7BB8" w:rsidRDefault="00E3380B" w:rsidP="00CC65DD">
      <w:pPr>
        <w:pStyle w:val="BodyText"/>
        <w:tabs>
          <w:tab w:val="left" w:pos="2882"/>
        </w:tabs>
        <w:spacing w:before="19"/>
        <w:ind w:right="38"/>
        <w:rPr>
          <w:u w:val="single"/>
        </w:rPr>
      </w:pPr>
      <w:r w:rsidRPr="00654D84">
        <w:rPr>
          <w:u w:val="single"/>
        </w:rPr>
        <w:tab/>
      </w:r>
      <w:r w:rsidRPr="00654D84">
        <w:t>)</w:t>
      </w:r>
      <w:r w:rsidR="007A7BB8">
        <w:tab/>
      </w:r>
      <w:r w:rsidR="007A7BB8">
        <w:tab/>
      </w:r>
      <w:r w:rsidR="007A7BB8">
        <w:tab/>
      </w:r>
      <w:r w:rsidR="007A7BB8" w:rsidRPr="007A7BB8">
        <w:rPr>
          <w:u w:val="single"/>
        </w:rPr>
        <w:t xml:space="preserve">FINAL DECISION AND ORDER </w:t>
      </w:r>
    </w:p>
    <w:p w14:paraId="09B70866" w14:textId="77777777" w:rsidR="00654D84" w:rsidRDefault="00654D84" w:rsidP="00654D84">
      <w:pPr>
        <w:pStyle w:val="BodyText"/>
        <w:tabs>
          <w:tab w:val="left" w:pos="0"/>
        </w:tabs>
        <w:spacing w:before="19"/>
        <w:ind w:right="38"/>
        <w:jc w:val="right"/>
      </w:pPr>
    </w:p>
    <w:p w14:paraId="0DFD2EA7" w14:textId="0EC47C70" w:rsidR="0091307C" w:rsidRDefault="00EF0EBD" w:rsidP="00E3380B">
      <w:pPr>
        <w:pStyle w:val="BodyText"/>
        <w:ind w:left="150"/>
        <w:rPr>
          <w:spacing w:val="-2"/>
          <w:w w:val="105"/>
          <w:u w:val="thick"/>
        </w:rPr>
      </w:pPr>
      <w:r>
        <w:rPr>
          <w:spacing w:val="-2"/>
          <w:w w:val="105"/>
          <w:u w:val="thick"/>
        </w:rPr>
        <w:t xml:space="preserve"> </w:t>
      </w:r>
    </w:p>
    <w:p w14:paraId="02F0EEB1" w14:textId="4C46B773" w:rsidR="00EF0EBD" w:rsidRDefault="00EF0EBD" w:rsidP="00EF0EBD">
      <w:pPr>
        <w:pStyle w:val="BodyText"/>
        <w:ind w:left="150"/>
        <w:jc w:val="center"/>
        <w:rPr>
          <w:spacing w:val="-2"/>
          <w:w w:val="105"/>
          <w:u w:val="thick"/>
        </w:rPr>
      </w:pPr>
      <w:r>
        <w:rPr>
          <w:spacing w:val="-2"/>
          <w:w w:val="105"/>
          <w:u w:val="thick"/>
        </w:rPr>
        <w:t>Procedural History</w:t>
      </w:r>
    </w:p>
    <w:p w14:paraId="4FF89350" w14:textId="77777777" w:rsidR="00C5256D" w:rsidRDefault="00C5256D" w:rsidP="00EF0EBD">
      <w:pPr>
        <w:pStyle w:val="BodyText"/>
        <w:ind w:left="150"/>
        <w:jc w:val="center"/>
        <w:rPr>
          <w:spacing w:val="-2"/>
          <w:w w:val="105"/>
          <w:u w:val="thick"/>
        </w:rPr>
      </w:pPr>
    </w:p>
    <w:p w14:paraId="047D0E68" w14:textId="61D7D5EC" w:rsidR="00A031C2" w:rsidRDefault="00E17587" w:rsidP="00C5256D">
      <w:pPr>
        <w:pStyle w:val="BodyText"/>
        <w:spacing w:before="154" w:line="360" w:lineRule="auto"/>
        <w:ind w:right="186" w:firstLine="730"/>
        <w:jc w:val="both"/>
        <w:rPr>
          <w:w w:val="105"/>
        </w:rPr>
      </w:pPr>
      <w:r>
        <w:rPr>
          <w:w w:val="105"/>
        </w:rPr>
        <w:t xml:space="preserve">This matter </w:t>
      </w:r>
      <w:r w:rsidR="003627E4">
        <w:rPr>
          <w:w w:val="105"/>
        </w:rPr>
        <w:t xml:space="preserve">arose from </w:t>
      </w:r>
      <w:r w:rsidR="00EC684F">
        <w:rPr>
          <w:w w:val="105"/>
        </w:rPr>
        <w:t>a</w:t>
      </w:r>
      <w:r w:rsidR="003650B1">
        <w:rPr>
          <w:w w:val="105"/>
        </w:rPr>
        <w:t xml:space="preserve"> 2020 decision in a malpractice action</w:t>
      </w:r>
      <w:r w:rsidR="001B6068">
        <w:rPr>
          <w:w w:val="105"/>
        </w:rPr>
        <w:t xml:space="preserve"> brought by the estate of a patient, Patient A, on whom Darius Ameri, M.D. </w:t>
      </w:r>
      <w:r w:rsidR="00EC684F">
        <w:rPr>
          <w:w w:val="105"/>
        </w:rPr>
        <w:t xml:space="preserve"> (Respondent) </w:t>
      </w:r>
      <w:r w:rsidR="001B6068">
        <w:rPr>
          <w:w w:val="105"/>
        </w:rPr>
        <w:t xml:space="preserve">performed </w:t>
      </w:r>
      <w:r w:rsidR="00E856B8">
        <w:rPr>
          <w:w w:val="105"/>
        </w:rPr>
        <w:t>hernia repair surgery in 2013.</w:t>
      </w:r>
      <w:r w:rsidR="002A68B8">
        <w:rPr>
          <w:w w:val="105"/>
        </w:rPr>
        <w:t xml:space="preserve"> </w:t>
      </w:r>
      <w:r w:rsidR="006062F8">
        <w:rPr>
          <w:w w:val="105"/>
        </w:rPr>
        <w:t xml:space="preserve">The verdict for the </w:t>
      </w:r>
      <w:r w:rsidR="00323D68">
        <w:rPr>
          <w:w w:val="105"/>
        </w:rPr>
        <w:t xml:space="preserve">estate </w:t>
      </w:r>
      <w:r w:rsidR="002A68B8">
        <w:rPr>
          <w:w w:val="105"/>
        </w:rPr>
        <w:t>in</w:t>
      </w:r>
      <w:r w:rsidR="00323D68">
        <w:rPr>
          <w:w w:val="105"/>
        </w:rPr>
        <w:t xml:space="preserve">cluded </w:t>
      </w:r>
      <w:r w:rsidR="00411F02">
        <w:rPr>
          <w:w w:val="105"/>
        </w:rPr>
        <w:t>the</w:t>
      </w:r>
      <w:r w:rsidR="00323D68">
        <w:rPr>
          <w:w w:val="105"/>
        </w:rPr>
        <w:t xml:space="preserve"> jury</w:t>
      </w:r>
      <w:r w:rsidR="00411F02">
        <w:rPr>
          <w:w w:val="105"/>
        </w:rPr>
        <w:t>’s</w:t>
      </w:r>
      <w:r w:rsidR="00323D68">
        <w:rPr>
          <w:w w:val="105"/>
        </w:rPr>
        <w:t xml:space="preserve"> special verdict that </w:t>
      </w:r>
      <w:r w:rsidR="00033978">
        <w:rPr>
          <w:w w:val="105"/>
        </w:rPr>
        <w:t xml:space="preserve">the Respondent was grossly negligent in </w:t>
      </w:r>
      <w:r w:rsidR="00567C2B">
        <w:rPr>
          <w:w w:val="105"/>
        </w:rPr>
        <w:t xml:space="preserve">his </w:t>
      </w:r>
      <w:r w:rsidR="00A031C2">
        <w:rPr>
          <w:w w:val="105"/>
        </w:rPr>
        <w:t xml:space="preserve">treatment of Patient A. </w:t>
      </w:r>
    </w:p>
    <w:p w14:paraId="394FFBC8" w14:textId="1ABE6071" w:rsidR="004848AB" w:rsidRDefault="00E3380B" w:rsidP="00C5256D">
      <w:pPr>
        <w:pStyle w:val="BodyText"/>
        <w:spacing w:before="154" w:line="360" w:lineRule="auto"/>
        <w:ind w:right="186" w:firstLine="730"/>
        <w:jc w:val="both"/>
        <w:rPr>
          <w:w w:val="105"/>
        </w:rPr>
      </w:pPr>
      <w:r>
        <w:rPr>
          <w:w w:val="105"/>
        </w:rPr>
        <w:t>On</w:t>
      </w:r>
      <w:r>
        <w:rPr>
          <w:spacing w:val="-1"/>
          <w:w w:val="105"/>
        </w:rPr>
        <w:t xml:space="preserve"> </w:t>
      </w:r>
      <w:r w:rsidR="00877642">
        <w:rPr>
          <w:spacing w:val="-1"/>
          <w:w w:val="105"/>
        </w:rPr>
        <w:t>February 3, 2022</w:t>
      </w:r>
      <w:r>
        <w:rPr>
          <w:w w:val="105"/>
        </w:rPr>
        <w:t xml:space="preserve">, the Board issued Statement of Allegations (SOA) charging </w:t>
      </w:r>
      <w:r w:rsidR="00F75A03">
        <w:rPr>
          <w:w w:val="105"/>
        </w:rPr>
        <w:t>t</w:t>
      </w:r>
      <w:r>
        <w:rPr>
          <w:w w:val="105"/>
        </w:rPr>
        <w:t>he Respondent</w:t>
      </w:r>
      <w:r w:rsidR="00F75A03">
        <w:rPr>
          <w:w w:val="105"/>
        </w:rPr>
        <w:t xml:space="preserve"> </w:t>
      </w:r>
      <w:r>
        <w:rPr>
          <w:w w:val="105"/>
        </w:rPr>
        <w:t>with</w:t>
      </w:r>
      <w:r w:rsidR="00F466BC">
        <w:rPr>
          <w:w w:val="105"/>
        </w:rPr>
        <w:t xml:space="preserve"> </w:t>
      </w:r>
      <w:r w:rsidR="00300155">
        <w:rPr>
          <w:w w:val="105"/>
        </w:rPr>
        <w:t>gross negligence</w:t>
      </w:r>
      <w:r w:rsidR="008976FA">
        <w:rPr>
          <w:rStyle w:val="FootnoteReference"/>
          <w:w w:val="105"/>
        </w:rPr>
        <w:footnoteReference w:id="1"/>
      </w:r>
      <w:r w:rsidR="00300155">
        <w:rPr>
          <w:w w:val="105"/>
        </w:rPr>
        <w:t xml:space="preserve"> and committing malpractice</w:t>
      </w:r>
      <w:r w:rsidR="00E44506">
        <w:rPr>
          <w:rStyle w:val="FootnoteReference"/>
          <w:w w:val="105"/>
        </w:rPr>
        <w:footnoteReference w:id="2"/>
      </w:r>
      <w:r w:rsidR="00300155">
        <w:rPr>
          <w:w w:val="105"/>
        </w:rPr>
        <w:t xml:space="preserve"> </w:t>
      </w:r>
      <w:r w:rsidR="009F1AC0">
        <w:rPr>
          <w:w w:val="105"/>
        </w:rPr>
        <w:t>with respect to</w:t>
      </w:r>
      <w:r w:rsidR="00300155">
        <w:rPr>
          <w:w w:val="105"/>
        </w:rPr>
        <w:t xml:space="preserve"> his treatment </w:t>
      </w:r>
      <w:r w:rsidR="009F1AC0">
        <w:rPr>
          <w:w w:val="105"/>
        </w:rPr>
        <w:t xml:space="preserve">of </w:t>
      </w:r>
      <w:r w:rsidR="00300155">
        <w:rPr>
          <w:w w:val="105"/>
        </w:rPr>
        <w:t>Patient A</w:t>
      </w:r>
      <w:r w:rsidR="003774A2">
        <w:rPr>
          <w:w w:val="105"/>
        </w:rPr>
        <w:t>.</w:t>
      </w:r>
      <w:r w:rsidR="00FF7AB0">
        <w:rPr>
          <w:rStyle w:val="FootnoteReference"/>
          <w:w w:val="105"/>
        </w:rPr>
        <w:footnoteReference w:id="3"/>
      </w:r>
      <w:r w:rsidR="003774A2">
        <w:rPr>
          <w:w w:val="105"/>
        </w:rPr>
        <w:t xml:space="preserve"> </w:t>
      </w:r>
      <w:r w:rsidR="00B81C13">
        <w:rPr>
          <w:w w:val="105"/>
        </w:rPr>
        <w:t xml:space="preserve">In August </w:t>
      </w:r>
      <w:r w:rsidR="00706DE8">
        <w:rPr>
          <w:w w:val="105"/>
        </w:rPr>
        <w:t>2023</w:t>
      </w:r>
      <w:r w:rsidR="00D720A7">
        <w:rPr>
          <w:w w:val="105"/>
        </w:rPr>
        <w:t>,</w:t>
      </w:r>
      <w:r w:rsidR="00706DE8">
        <w:rPr>
          <w:w w:val="105"/>
        </w:rPr>
        <w:t xml:space="preserve"> </w:t>
      </w:r>
      <w:r w:rsidR="00221330">
        <w:rPr>
          <w:w w:val="105"/>
        </w:rPr>
        <w:t xml:space="preserve">Complaint Counsel </w:t>
      </w:r>
      <w:r w:rsidR="00326C82">
        <w:rPr>
          <w:w w:val="105"/>
        </w:rPr>
        <w:t xml:space="preserve">filed </w:t>
      </w:r>
      <w:r w:rsidR="00221330">
        <w:rPr>
          <w:w w:val="105"/>
        </w:rPr>
        <w:t>a Motion for Summary</w:t>
      </w:r>
      <w:r w:rsidR="00E31577">
        <w:rPr>
          <w:w w:val="105"/>
        </w:rPr>
        <w:t xml:space="preserve"> </w:t>
      </w:r>
      <w:r w:rsidR="00B76434">
        <w:rPr>
          <w:w w:val="105"/>
        </w:rPr>
        <w:t>Decisio</w:t>
      </w:r>
      <w:r w:rsidR="00CE56C8">
        <w:rPr>
          <w:w w:val="105"/>
        </w:rPr>
        <w:t>n</w:t>
      </w:r>
      <w:r w:rsidR="00C14764">
        <w:rPr>
          <w:w w:val="105"/>
        </w:rPr>
        <w:t>,</w:t>
      </w:r>
      <w:r w:rsidR="00CE56C8">
        <w:rPr>
          <w:rStyle w:val="FootnoteReference"/>
          <w:w w:val="105"/>
        </w:rPr>
        <w:footnoteReference w:id="4"/>
      </w:r>
      <w:r w:rsidR="0064354E">
        <w:rPr>
          <w:w w:val="105"/>
        </w:rPr>
        <w:t xml:space="preserve"> </w:t>
      </w:r>
      <w:r w:rsidR="00C14764">
        <w:rPr>
          <w:w w:val="105"/>
        </w:rPr>
        <w:t>relying</w:t>
      </w:r>
      <w:r w:rsidR="00087BED">
        <w:rPr>
          <w:w w:val="105"/>
        </w:rPr>
        <w:t xml:space="preserve"> </w:t>
      </w:r>
      <w:r w:rsidR="00C14764">
        <w:rPr>
          <w:w w:val="105"/>
        </w:rPr>
        <w:t>on th</w:t>
      </w:r>
      <w:r w:rsidR="00D46C65">
        <w:rPr>
          <w:w w:val="105"/>
        </w:rPr>
        <w:t xml:space="preserve">e </w:t>
      </w:r>
      <w:r w:rsidR="00411F02">
        <w:rPr>
          <w:w w:val="105"/>
        </w:rPr>
        <w:t>jury’s special verdict.</w:t>
      </w:r>
      <w:r w:rsidR="000630DF">
        <w:rPr>
          <w:rStyle w:val="FootnoteReference"/>
          <w:w w:val="105"/>
        </w:rPr>
        <w:footnoteReference w:id="5"/>
      </w:r>
      <w:r w:rsidR="00E14DF8">
        <w:rPr>
          <w:w w:val="105"/>
        </w:rPr>
        <w:t xml:space="preserve"> </w:t>
      </w:r>
      <w:r w:rsidR="00D30E20">
        <w:rPr>
          <w:w w:val="105"/>
        </w:rPr>
        <w:t>The Respondent filed Opposition</w:t>
      </w:r>
      <w:r w:rsidR="00A75105">
        <w:rPr>
          <w:w w:val="105"/>
        </w:rPr>
        <w:t xml:space="preserve"> to the Motion for Summary Decision</w:t>
      </w:r>
      <w:r w:rsidR="00C5256D">
        <w:rPr>
          <w:w w:val="105"/>
        </w:rPr>
        <w:t xml:space="preserve"> arguing that there is newly discovered evidence and that the Board cannot rely on the jury’s special verdict in this administrative, disciplinary matter</w:t>
      </w:r>
      <w:r w:rsidR="00A75105">
        <w:rPr>
          <w:w w:val="105"/>
        </w:rPr>
        <w:t>.</w:t>
      </w:r>
    </w:p>
    <w:p w14:paraId="1C43D39E" w14:textId="309412E2" w:rsidR="005C1B18" w:rsidRDefault="00A7320F" w:rsidP="00C5256D">
      <w:pPr>
        <w:pStyle w:val="BodyText"/>
        <w:spacing w:before="154" w:line="360" w:lineRule="auto"/>
        <w:ind w:right="186" w:firstLine="730"/>
        <w:jc w:val="both"/>
        <w:rPr>
          <w:w w:val="105"/>
        </w:rPr>
      </w:pPr>
      <w:r>
        <w:rPr>
          <w:w w:val="105"/>
        </w:rPr>
        <w:t xml:space="preserve">On November 30, 2022, </w:t>
      </w:r>
      <w:r w:rsidR="00C5256D">
        <w:rPr>
          <w:w w:val="105"/>
        </w:rPr>
        <w:t xml:space="preserve">Administrative </w:t>
      </w:r>
      <w:r w:rsidR="00FA78B8">
        <w:rPr>
          <w:w w:val="105"/>
        </w:rPr>
        <w:t>Magistrate</w:t>
      </w:r>
      <w:r w:rsidR="00C5256D">
        <w:rPr>
          <w:w w:val="105"/>
        </w:rPr>
        <w:t xml:space="preserve"> James Rooney (Magistrate)</w:t>
      </w:r>
      <w:r w:rsidR="00FA78B8">
        <w:rPr>
          <w:w w:val="105"/>
        </w:rPr>
        <w:t xml:space="preserve"> issued a Recommended Decision</w:t>
      </w:r>
      <w:r w:rsidR="00804864">
        <w:rPr>
          <w:w w:val="105"/>
        </w:rPr>
        <w:t xml:space="preserve"> </w:t>
      </w:r>
      <w:r w:rsidR="001B64E7">
        <w:rPr>
          <w:w w:val="105"/>
        </w:rPr>
        <w:t>ruling on the Motion for Summary Decision, and ruling, too, on the merits of the</w:t>
      </w:r>
      <w:r w:rsidR="0077300F">
        <w:rPr>
          <w:w w:val="105"/>
        </w:rPr>
        <w:t xml:space="preserve"> Board’s </w:t>
      </w:r>
      <w:r w:rsidR="00EB037A">
        <w:rPr>
          <w:w w:val="105"/>
        </w:rPr>
        <w:t>SOA</w:t>
      </w:r>
      <w:r w:rsidR="00F61625">
        <w:rPr>
          <w:w w:val="105"/>
        </w:rPr>
        <w:t xml:space="preserve"> </w:t>
      </w:r>
      <w:r w:rsidR="0077300F">
        <w:rPr>
          <w:w w:val="105"/>
        </w:rPr>
        <w:t>charges</w:t>
      </w:r>
      <w:r w:rsidR="00F61625">
        <w:rPr>
          <w:w w:val="105"/>
        </w:rPr>
        <w:t>.</w:t>
      </w:r>
      <w:r w:rsidR="005C1B18">
        <w:rPr>
          <w:w w:val="105"/>
        </w:rPr>
        <w:t xml:space="preserve"> </w:t>
      </w:r>
    </w:p>
    <w:p w14:paraId="14C48D65" w14:textId="0179F93C" w:rsidR="00591E8A" w:rsidRDefault="007C591A" w:rsidP="00C5256D">
      <w:pPr>
        <w:pStyle w:val="BodyText"/>
        <w:spacing w:before="154" w:line="360" w:lineRule="auto"/>
        <w:ind w:right="186" w:firstLine="730"/>
        <w:jc w:val="both"/>
        <w:rPr>
          <w:w w:val="105"/>
        </w:rPr>
      </w:pPr>
      <w:r>
        <w:rPr>
          <w:w w:val="105"/>
        </w:rPr>
        <w:t xml:space="preserve">On </w:t>
      </w:r>
      <w:r w:rsidR="00C5256D">
        <w:rPr>
          <w:w w:val="105"/>
        </w:rPr>
        <w:t>December 29, 2022</w:t>
      </w:r>
      <w:r w:rsidR="00C14764">
        <w:rPr>
          <w:w w:val="105"/>
        </w:rPr>
        <w:t>,</w:t>
      </w:r>
      <w:r w:rsidR="003F0DCE">
        <w:rPr>
          <w:w w:val="105"/>
        </w:rPr>
        <w:t xml:space="preserve"> the Respondent submitted Objections </w:t>
      </w:r>
      <w:r w:rsidR="005D134C">
        <w:rPr>
          <w:w w:val="105"/>
        </w:rPr>
        <w:t>to the Recommended Decision</w:t>
      </w:r>
      <w:r w:rsidR="00DC1AF1">
        <w:rPr>
          <w:w w:val="105"/>
        </w:rPr>
        <w:t xml:space="preserve"> (Objections)</w:t>
      </w:r>
      <w:r w:rsidR="005D134C">
        <w:rPr>
          <w:w w:val="105"/>
        </w:rPr>
        <w:t xml:space="preserve">. The Board determines that the Objections </w:t>
      </w:r>
      <w:r w:rsidR="004C4583">
        <w:rPr>
          <w:w w:val="105"/>
        </w:rPr>
        <w:t xml:space="preserve">are limited to issues fully and </w:t>
      </w:r>
      <w:r w:rsidR="004C4583">
        <w:rPr>
          <w:w w:val="105"/>
        </w:rPr>
        <w:lastRenderedPageBreak/>
        <w:t>adequately addressed by the Magistrate in the Recommended Decision</w:t>
      </w:r>
      <w:r w:rsidR="00581623">
        <w:rPr>
          <w:w w:val="105"/>
        </w:rPr>
        <w:t>.</w:t>
      </w:r>
      <w:r w:rsidR="00581623">
        <w:rPr>
          <w:rStyle w:val="FootnoteReference"/>
          <w:w w:val="105"/>
        </w:rPr>
        <w:footnoteReference w:id="6"/>
      </w:r>
      <w:r w:rsidR="00387ECF">
        <w:rPr>
          <w:w w:val="105"/>
        </w:rPr>
        <w:t xml:space="preserve"> On February 9, 2023, the Parties submitted </w:t>
      </w:r>
      <w:r w:rsidR="00BF70FB">
        <w:rPr>
          <w:w w:val="105"/>
        </w:rPr>
        <w:t xml:space="preserve">Memoranda on Disposition. </w:t>
      </w:r>
    </w:p>
    <w:p w14:paraId="5C6908C4" w14:textId="66B0484D" w:rsidR="00AB1D0A" w:rsidRDefault="00AB1D0A" w:rsidP="00C5256D">
      <w:pPr>
        <w:pStyle w:val="BodyText"/>
        <w:spacing w:before="154" w:line="360" w:lineRule="auto"/>
        <w:ind w:right="186" w:firstLine="730"/>
        <w:jc w:val="both"/>
        <w:rPr>
          <w:w w:val="105"/>
        </w:rPr>
      </w:pPr>
      <w:r>
        <w:rPr>
          <w:w w:val="105"/>
        </w:rPr>
        <w:t xml:space="preserve">The Board </w:t>
      </w:r>
      <w:r w:rsidR="004B35CB">
        <w:rPr>
          <w:w w:val="105"/>
        </w:rPr>
        <w:t>ha</w:t>
      </w:r>
      <w:r w:rsidR="00387ECF">
        <w:rPr>
          <w:w w:val="105"/>
        </w:rPr>
        <w:t>s</w:t>
      </w:r>
      <w:r w:rsidR="004B35CB">
        <w:rPr>
          <w:w w:val="105"/>
        </w:rPr>
        <w:t xml:space="preserve"> reviewed the Recommended Decision, the Objections, and the Memoranda on Disposition. </w:t>
      </w:r>
      <w:r w:rsidR="002D686B">
        <w:rPr>
          <w:w w:val="105"/>
        </w:rPr>
        <w:t xml:space="preserve">On the basis of its review, the Board </w:t>
      </w:r>
      <w:r>
        <w:rPr>
          <w:w w:val="105"/>
        </w:rPr>
        <w:t>adopts the</w:t>
      </w:r>
      <w:r w:rsidR="002D686B">
        <w:rPr>
          <w:w w:val="105"/>
        </w:rPr>
        <w:t xml:space="preserve"> </w:t>
      </w:r>
      <w:r w:rsidR="007F34EE">
        <w:rPr>
          <w:w w:val="105"/>
        </w:rPr>
        <w:t xml:space="preserve">Recommended Decision, which is attached hereto and </w:t>
      </w:r>
      <w:r w:rsidR="0031215C">
        <w:rPr>
          <w:w w:val="105"/>
        </w:rPr>
        <w:t>in</w:t>
      </w:r>
      <w:r w:rsidR="001645E5">
        <w:rPr>
          <w:w w:val="105"/>
        </w:rPr>
        <w:t xml:space="preserve">corporated by reference. </w:t>
      </w:r>
    </w:p>
    <w:p w14:paraId="229F601A" w14:textId="1BDB3803" w:rsidR="00AE2919" w:rsidRDefault="002113B1" w:rsidP="006A74BF">
      <w:pPr>
        <w:pStyle w:val="BodyText"/>
        <w:spacing w:before="154" w:line="360" w:lineRule="auto"/>
        <w:ind w:right="186"/>
        <w:jc w:val="center"/>
        <w:rPr>
          <w:i/>
          <w:iCs/>
          <w:w w:val="105"/>
        </w:rPr>
      </w:pPr>
      <w:r w:rsidRPr="002113B1">
        <w:rPr>
          <w:i/>
          <w:iCs/>
          <w:w w:val="105"/>
        </w:rPr>
        <w:t>Discussion</w:t>
      </w:r>
    </w:p>
    <w:p w14:paraId="5D1A8791" w14:textId="440788D4" w:rsidR="00251D34" w:rsidRDefault="00E835AF" w:rsidP="00C5256D">
      <w:pPr>
        <w:pStyle w:val="BodyText"/>
        <w:spacing w:before="154" w:line="360" w:lineRule="auto"/>
        <w:ind w:right="186" w:firstLine="730"/>
        <w:jc w:val="both"/>
        <w:rPr>
          <w:w w:val="105"/>
        </w:rPr>
      </w:pPr>
      <w:r>
        <w:rPr>
          <w:w w:val="105"/>
        </w:rPr>
        <w:t>Th</w:t>
      </w:r>
      <w:r w:rsidR="00C65194">
        <w:rPr>
          <w:w w:val="105"/>
        </w:rPr>
        <w:t xml:space="preserve">e Board </w:t>
      </w:r>
      <w:r w:rsidR="00EC684F">
        <w:rPr>
          <w:w w:val="105"/>
        </w:rPr>
        <w:t>has considered</w:t>
      </w:r>
      <w:r w:rsidR="00C65194">
        <w:rPr>
          <w:w w:val="105"/>
        </w:rPr>
        <w:t xml:space="preserve"> both the </w:t>
      </w:r>
      <w:r w:rsidR="00F31E42">
        <w:rPr>
          <w:w w:val="105"/>
        </w:rPr>
        <w:t xml:space="preserve">care the Respondent rendered to Patient A and </w:t>
      </w:r>
      <w:r w:rsidR="00A914AA">
        <w:rPr>
          <w:w w:val="105"/>
        </w:rPr>
        <w:t xml:space="preserve">the Board’s ability to </w:t>
      </w:r>
      <w:r w:rsidR="003E5B32">
        <w:rPr>
          <w:w w:val="105"/>
        </w:rPr>
        <w:t xml:space="preserve">rely on </w:t>
      </w:r>
      <w:r w:rsidR="00E8279C">
        <w:rPr>
          <w:w w:val="105"/>
        </w:rPr>
        <w:t>a jury’s special verdict</w:t>
      </w:r>
      <w:r w:rsidR="00EC684F">
        <w:rPr>
          <w:w w:val="105"/>
        </w:rPr>
        <w:t xml:space="preserve"> </w:t>
      </w:r>
      <w:r w:rsidR="00745219">
        <w:rPr>
          <w:w w:val="105"/>
        </w:rPr>
        <w:t xml:space="preserve">as to gross negligence </w:t>
      </w:r>
      <w:r w:rsidR="00EC684F">
        <w:rPr>
          <w:w w:val="105"/>
        </w:rPr>
        <w:t xml:space="preserve">and bar re-litigation of </w:t>
      </w:r>
      <w:r w:rsidR="00745219">
        <w:rPr>
          <w:w w:val="105"/>
        </w:rPr>
        <w:t>the issue</w:t>
      </w:r>
      <w:r w:rsidR="00E8279C">
        <w:rPr>
          <w:w w:val="105"/>
        </w:rPr>
        <w:t xml:space="preserve"> in a</w:t>
      </w:r>
      <w:r w:rsidR="00772049">
        <w:rPr>
          <w:w w:val="105"/>
        </w:rPr>
        <w:t>n administrative disciplinary proceeding</w:t>
      </w:r>
      <w:r w:rsidR="00745219">
        <w:rPr>
          <w:w w:val="105"/>
        </w:rPr>
        <w:t>.</w:t>
      </w:r>
      <w:r w:rsidR="00EC684F">
        <w:rPr>
          <w:w w:val="105"/>
        </w:rPr>
        <w:t xml:space="preserve"> </w:t>
      </w:r>
      <w:r w:rsidR="00772049">
        <w:rPr>
          <w:w w:val="105"/>
        </w:rPr>
        <w:t xml:space="preserve"> </w:t>
      </w:r>
    </w:p>
    <w:p w14:paraId="7E4A960C" w14:textId="7916EFAC" w:rsidR="002C0709" w:rsidRDefault="0052788C" w:rsidP="00C5256D">
      <w:pPr>
        <w:pStyle w:val="BodyText"/>
        <w:spacing w:before="154" w:line="360" w:lineRule="auto"/>
        <w:ind w:right="186" w:firstLine="730"/>
        <w:jc w:val="both"/>
        <w:rPr>
          <w:w w:val="105"/>
        </w:rPr>
      </w:pPr>
      <w:r>
        <w:rPr>
          <w:w w:val="105"/>
        </w:rPr>
        <w:t xml:space="preserve">With respect </w:t>
      </w:r>
      <w:r w:rsidR="004D3E83">
        <w:rPr>
          <w:w w:val="105"/>
        </w:rPr>
        <w:t xml:space="preserve">to the </w:t>
      </w:r>
      <w:r w:rsidR="00251D34">
        <w:rPr>
          <w:w w:val="105"/>
        </w:rPr>
        <w:t xml:space="preserve">care rendered to Patient A, </w:t>
      </w:r>
      <w:r w:rsidR="00574F87">
        <w:rPr>
          <w:w w:val="105"/>
        </w:rPr>
        <w:t>the record indicates that</w:t>
      </w:r>
      <w:r w:rsidR="00F80E74">
        <w:rPr>
          <w:w w:val="105"/>
        </w:rPr>
        <w:t>, in 2013,</w:t>
      </w:r>
      <w:r w:rsidR="00745219">
        <w:rPr>
          <w:w w:val="105"/>
        </w:rPr>
        <w:t xml:space="preserve"> </w:t>
      </w:r>
      <w:r w:rsidR="00574F87">
        <w:rPr>
          <w:w w:val="105"/>
        </w:rPr>
        <w:t xml:space="preserve">the Respondent </w:t>
      </w:r>
      <w:r w:rsidR="00722F51">
        <w:rPr>
          <w:w w:val="105"/>
        </w:rPr>
        <w:t>performed laparoscopic hiatal hernia surgery on Patient A</w:t>
      </w:r>
      <w:r w:rsidR="00F80E74">
        <w:rPr>
          <w:w w:val="105"/>
        </w:rPr>
        <w:t>.</w:t>
      </w:r>
      <w:r w:rsidR="005032A7">
        <w:rPr>
          <w:w w:val="105"/>
        </w:rPr>
        <w:t xml:space="preserve"> He chose to </w:t>
      </w:r>
      <w:r w:rsidR="00657574">
        <w:rPr>
          <w:w w:val="105"/>
        </w:rPr>
        <w:t xml:space="preserve">repair the hernia </w:t>
      </w:r>
      <w:r w:rsidR="00541B0F">
        <w:rPr>
          <w:w w:val="105"/>
        </w:rPr>
        <w:t xml:space="preserve">using a medical device called the Ethicon Securestrap, or </w:t>
      </w:r>
      <w:r w:rsidR="00B35E5C">
        <w:rPr>
          <w:w w:val="105"/>
        </w:rPr>
        <w:t>“</w:t>
      </w:r>
      <w:r w:rsidR="00541B0F">
        <w:rPr>
          <w:w w:val="105"/>
        </w:rPr>
        <w:t>tacker</w:t>
      </w:r>
      <w:r w:rsidR="00B35E5C">
        <w:rPr>
          <w:w w:val="105"/>
        </w:rPr>
        <w:t>”,</w:t>
      </w:r>
      <w:r w:rsidR="001040CC">
        <w:rPr>
          <w:w w:val="105"/>
        </w:rPr>
        <w:t xml:space="preserve"> </w:t>
      </w:r>
      <w:r w:rsidR="00CA5E0A">
        <w:rPr>
          <w:w w:val="105"/>
        </w:rPr>
        <w:t xml:space="preserve">which is used </w:t>
      </w:r>
      <w:r w:rsidR="00E85250">
        <w:rPr>
          <w:w w:val="105"/>
        </w:rPr>
        <w:t>t</w:t>
      </w:r>
      <w:r w:rsidR="00CA5E0A">
        <w:rPr>
          <w:w w:val="105"/>
        </w:rPr>
        <w:t xml:space="preserve">o attach prosthetic material to soft tissue. </w:t>
      </w:r>
      <w:r w:rsidR="0077533E">
        <w:rPr>
          <w:w w:val="105"/>
        </w:rPr>
        <w:t>The Respondent used the tacker in direct contraindication to the manufacturer’s instructions</w:t>
      </w:r>
      <w:r w:rsidR="00B35E5C">
        <w:rPr>
          <w:w w:val="105"/>
        </w:rPr>
        <w:t>,</w:t>
      </w:r>
      <w:r w:rsidR="0077533E">
        <w:rPr>
          <w:w w:val="105"/>
        </w:rPr>
        <w:t xml:space="preserve"> which cautioned </w:t>
      </w:r>
      <w:r w:rsidR="007B786A">
        <w:rPr>
          <w:w w:val="105"/>
        </w:rPr>
        <w:t xml:space="preserve">that a minimum tissue thickness is required to use the tacker and </w:t>
      </w:r>
      <w:r w:rsidR="00EC6504">
        <w:rPr>
          <w:w w:val="105"/>
        </w:rPr>
        <w:t xml:space="preserve">cautioned against using the tacker in the vicinity of the </w:t>
      </w:r>
      <w:r w:rsidR="009207AC">
        <w:rPr>
          <w:w w:val="105"/>
        </w:rPr>
        <w:t>pericardium.</w:t>
      </w:r>
    </w:p>
    <w:p w14:paraId="4DF00E48" w14:textId="2FF3E0EE" w:rsidR="00160AD5" w:rsidRDefault="00DC4D77" w:rsidP="00C5256D">
      <w:pPr>
        <w:pStyle w:val="BodyText"/>
        <w:spacing w:before="154" w:line="360" w:lineRule="auto"/>
        <w:ind w:right="186" w:firstLine="720"/>
        <w:jc w:val="both"/>
        <w:rPr>
          <w:w w:val="105"/>
        </w:rPr>
      </w:pPr>
      <w:r>
        <w:rPr>
          <w:w w:val="105"/>
        </w:rPr>
        <w:t>Two days after surgery</w:t>
      </w:r>
      <w:r w:rsidR="00B35E5C">
        <w:rPr>
          <w:w w:val="105"/>
        </w:rPr>
        <w:t>,</w:t>
      </w:r>
      <w:r>
        <w:rPr>
          <w:w w:val="105"/>
        </w:rPr>
        <w:t xml:space="preserve"> an echocardiogram showed the presence of excess fluid in the pericardium</w:t>
      </w:r>
      <w:r w:rsidR="00CA37A5">
        <w:rPr>
          <w:w w:val="105"/>
        </w:rPr>
        <w:t xml:space="preserve"> near where the tack</w:t>
      </w:r>
      <w:r w:rsidR="00B35E5C">
        <w:rPr>
          <w:w w:val="105"/>
        </w:rPr>
        <w:t>s</w:t>
      </w:r>
      <w:r w:rsidR="00CA37A5">
        <w:rPr>
          <w:w w:val="105"/>
        </w:rPr>
        <w:t xml:space="preserve"> were placed</w:t>
      </w:r>
      <w:r w:rsidR="00B35E5C">
        <w:rPr>
          <w:w w:val="105"/>
        </w:rPr>
        <w:t>,</w:t>
      </w:r>
      <w:r w:rsidR="00CA37A5">
        <w:rPr>
          <w:w w:val="105"/>
        </w:rPr>
        <w:t xml:space="preserve"> and Patient A’s heart rate was very elevated and irregular. Patient A went into cardiac arrest and died on August 3, 2013. </w:t>
      </w:r>
    </w:p>
    <w:p w14:paraId="4CA56F2E" w14:textId="244FDFA7" w:rsidR="00A035C4" w:rsidRDefault="00097616" w:rsidP="00C5256D">
      <w:pPr>
        <w:pStyle w:val="BodyText"/>
        <w:spacing w:before="154" w:line="360" w:lineRule="auto"/>
        <w:ind w:right="186" w:firstLine="730"/>
        <w:jc w:val="both"/>
        <w:rPr>
          <w:w w:val="105"/>
        </w:rPr>
      </w:pPr>
      <w:r>
        <w:rPr>
          <w:w w:val="105"/>
        </w:rPr>
        <w:t xml:space="preserve">In a malpractice </w:t>
      </w:r>
      <w:r w:rsidR="00745219">
        <w:rPr>
          <w:w w:val="105"/>
        </w:rPr>
        <w:t>action</w:t>
      </w:r>
      <w:r>
        <w:rPr>
          <w:w w:val="105"/>
        </w:rPr>
        <w:t xml:space="preserve"> brought by Patient A’s estate in 2015, </w:t>
      </w:r>
      <w:r w:rsidR="009313D8">
        <w:rPr>
          <w:w w:val="105"/>
        </w:rPr>
        <w:t xml:space="preserve">the judge </w:t>
      </w:r>
      <w:r w:rsidR="00A035C4">
        <w:rPr>
          <w:w w:val="105"/>
        </w:rPr>
        <w:t>submitted to the jury the question whether the Respondent’s conduct was grossly negligent with instructions as to the definition of gross negligence</w:t>
      </w:r>
      <w:r w:rsidR="007E7DEA">
        <w:rPr>
          <w:w w:val="105"/>
        </w:rPr>
        <w:t>.</w:t>
      </w:r>
      <w:r w:rsidR="00B40AE4">
        <w:rPr>
          <w:w w:val="105"/>
        </w:rPr>
        <w:t xml:space="preserve"> The jury was asked whether the Respondent </w:t>
      </w:r>
      <w:r w:rsidR="00064C7D">
        <w:rPr>
          <w:w w:val="105"/>
        </w:rPr>
        <w:t>acted negligently in his treatment of Patient A and whether his negligence was a substantial contribu</w:t>
      </w:r>
      <w:r w:rsidR="00BE3004">
        <w:rPr>
          <w:w w:val="105"/>
        </w:rPr>
        <w:t>ting factor contributing to her death. The jury answered both questions affirmatively.</w:t>
      </w:r>
    </w:p>
    <w:p w14:paraId="6B30B749" w14:textId="77777777" w:rsidR="00B35E5C" w:rsidRDefault="000042B2" w:rsidP="00C5256D">
      <w:pPr>
        <w:pStyle w:val="BodyText"/>
        <w:spacing w:before="154" w:line="360" w:lineRule="auto"/>
        <w:ind w:right="186" w:firstLine="730"/>
        <w:jc w:val="both"/>
        <w:rPr>
          <w:w w:val="105"/>
        </w:rPr>
      </w:pPr>
      <w:r>
        <w:rPr>
          <w:w w:val="105"/>
        </w:rPr>
        <w:t>Judge Liebens</w:t>
      </w:r>
      <w:r w:rsidR="00745219">
        <w:rPr>
          <w:w w:val="105"/>
        </w:rPr>
        <w:t>p</w:t>
      </w:r>
      <w:r>
        <w:rPr>
          <w:w w:val="105"/>
        </w:rPr>
        <w:t>er</w:t>
      </w:r>
      <w:r w:rsidR="00745219">
        <w:rPr>
          <w:w w:val="105"/>
        </w:rPr>
        <w:t>g</w:t>
      </w:r>
      <w:r>
        <w:rPr>
          <w:w w:val="105"/>
        </w:rPr>
        <w:t xml:space="preserve">er stated, </w:t>
      </w:r>
    </w:p>
    <w:p w14:paraId="16D89FC0" w14:textId="50FA61B3" w:rsidR="00A035C4" w:rsidRDefault="000042B2" w:rsidP="00C5256D">
      <w:pPr>
        <w:pStyle w:val="BodyText"/>
        <w:spacing w:before="154" w:line="360" w:lineRule="auto"/>
        <w:ind w:left="1080" w:right="720"/>
        <w:jc w:val="both"/>
        <w:rPr>
          <w:w w:val="105"/>
        </w:rPr>
      </w:pPr>
      <w:r>
        <w:rPr>
          <w:w w:val="105"/>
        </w:rPr>
        <w:t>The jury’s finding of gross negligence was reasonably justified by the evidence that the Respondent proceeded to use the tacker in this surgery despit</w:t>
      </w:r>
      <w:r w:rsidR="00DA3629">
        <w:rPr>
          <w:w w:val="105"/>
        </w:rPr>
        <w:t>e</w:t>
      </w:r>
      <w:r>
        <w:rPr>
          <w:w w:val="105"/>
        </w:rPr>
        <w:t xml:space="preserve"> the explicit contraindication. </w:t>
      </w:r>
      <w:r w:rsidR="00893F52">
        <w:rPr>
          <w:w w:val="105"/>
        </w:rPr>
        <w:t>It could reasonabl</w:t>
      </w:r>
      <w:r w:rsidR="00571131">
        <w:rPr>
          <w:w w:val="105"/>
        </w:rPr>
        <w:t>y</w:t>
      </w:r>
      <w:r w:rsidR="00893F52">
        <w:rPr>
          <w:w w:val="105"/>
        </w:rPr>
        <w:t xml:space="preserve"> be found that he voluntarily </w:t>
      </w:r>
      <w:r w:rsidR="00893F52">
        <w:rPr>
          <w:w w:val="105"/>
        </w:rPr>
        <w:lastRenderedPageBreak/>
        <w:t xml:space="preserve">subjected Patient A to an obvious risk when there were alternatives to the use of the tacker. </w:t>
      </w:r>
      <w:r w:rsidR="00D531B9">
        <w:rPr>
          <w:w w:val="105"/>
        </w:rPr>
        <w:t>…A jury, having concluded that use of the tacker was negligent, could find that the Respondent’s testimony that he regularly uses the tacker for similar hiatal repair surgery suggests that the Respondent was indifferent to the risks and persistently engaged in negligent conduct. Consequently, the jury’s finding of gross negligence should not be disturbed.</w:t>
      </w:r>
      <w:r w:rsidR="00F80E74">
        <w:rPr>
          <w:rStyle w:val="FootnoteReference"/>
          <w:w w:val="105"/>
        </w:rPr>
        <w:footnoteReference w:id="7"/>
      </w:r>
      <w:r w:rsidR="00D531B9">
        <w:rPr>
          <w:w w:val="105"/>
        </w:rPr>
        <w:t xml:space="preserve"> </w:t>
      </w:r>
    </w:p>
    <w:p w14:paraId="42C0DBC9" w14:textId="4ED4B396" w:rsidR="00D67E28" w:rsidRDefault="00D67E28" w:rsidP="00C5256D">
      <w:pPr>
        <w:pStyle w:val="BodyText"/>
        <w:spacing w:before="154" w:line="360" w:lineRule="auto"/>
        <w:ind w:right="186" w:firstLine="730"/>
        <w:jc w:val="both"/>
        <w:rPr>
          <w:w w:val="105"/>
        </w:rPr>
      </w:pPr>
      <w:r>
        <w:rPr>
          <w:w w:val="105"/>
        </w:rPr>
        <w:t xml:space="preserve">The Respondent </w:t>
      </w:r>
      <w:r w:rsidR="00900485">
        <w:rPr>
          <w:w w:val="105"/>
        </w:rPr>
        <w:t xml:space="preserve">filed an appeal of the judge’s order </w:t>
      </w:r>
      <w:r w:rsidR="00F80E74">
        <w:rPr>
          <w:w w:val="105"/>
        </w:rPr>
        <w:t>with</w:t>
      </w:r>
      <w:r w:rsidR="00900485">
        <w:rPr>
          <w:w w:val="105"/>
        </w:rPr>
        <w:t xml:space="preserve"> the Appeals Court</w:t>
      </w:r>
      <w:r w:rsidR="00B9033F">
        <w:rPr>
          <w:w w:val="105"/>
        </w:rPr>
        <w:t xml:space="preserve">, </w:t>
      </w:r>
      <w:r w:rsidR="00900485">
        <w:rPr>
          <w:w w:val="105"/>
        </w:rPr>
        <w:t>which</w:t>
      </w:r>
      <w:r w:rsidR="00B9033F">
        <w:rPr>
          <w:w w:val="105"/>
        </w:rPr>
        <w:t>,</w:t>
      </w:r>
      <w:r w:rsidR="00900485">
        <w:rPr>
          <w:w w:val="105"/>
        </w:rPr>
        <w:t xml:space="preserve"> in its F</w:t>
      </w:r>
      <w:r w:rsidR="00B9033F">
        <w:rPr>
          <w:w w:val="105"/>
        </w:rPr>
        <w:t>e</w:t>
      </w:r>
      <w:r w:rsidR="00900485">
        <w:rPr>
          <w:w w:val="105"/>
        </w:rPr>
        <w:t xml:space="preserve">bruary 26, </w:t>
      </w:r>
      <w:r w:rsidR="00745219">
        <w:rPr>
          <w:w w:val="105"/>
        </w:rPr>
        <w:t>2020</w:t>
      </w:r>
      <w:r w:rsidR="00900485">
        <w:rPr>
          <w:w w:val="105"/>
        </w:rPr>
        <w:t xml:space="preserve"> opinion and order</w:t>
      </w:r>
      <w:r w:rsidR="00B35E5C">
        <w:rPr>
          <w:w w:val="105"/>
        </w:rPr>
        <w:t>,</w:t>
      </w:r>
      <w:r w:rsidR="00900485">
        <w:rPr>
          <w:w w:val="105"/>
        </w:rPr>
        <w:t xml:space="preserve"> affirmed the jury’s </w:t>
      </w:r>
      <w:r w:rsidR="00B35E5C">
        <w:rPr>
          <w:w w:val="105"/>
        </w:rPr>
        <w:t>s</w:t>
      </w:r>
      <w:r w:rsidR="00900485">
        <w:rPr>
          <w:w w:val="105"/>
        </w:rPr>
        <w:t xml:space="preserve">pecial </w:t>
      </w:r>
      <w:r w:rsidR="00B35E5C">
        <w:rPr>
          <w:w w:val="105"/>
        </w:rPr>
        <w:t>v</w:t>
      </w:r>
      <w:r w:rsidR="00900485">
        <w:rPr>
          <w:w w:val="105"/>
        </w:rPr>
        <w:t xml:space="preserve">erdict that the Respondent’s use of the tacker amounted to gross negligence. </w:t>
      </w:r>
    </w:p>
    <w:p w14:paraId="593B81FD" w14:textId="16180F14" w:rsidR="009E2D6D" w:rsidRDefault="0074490F" w:rsidP="00C5256D">
      <w:pPr>
        <w:pStyle w:val="BodyText"/>
        <w:spacing w:before="154" w:line="360" w:lineRule="auto"/>
        <w:ind w:right="186" w:firstLine="730"/>
        <w:jc w:val="both"/>
        <w:rPr>
          <w:w w:val="105"/>
        </w:rPr>
      </w:pPr>
      <w:r>
        <w:rPr>
          <w:w w:val="105"/>
        </w:rPr>
        <w:t>With respect to the Board’s reliance on the jury’s special verdict</w:t>
      </w:r>
      <w:r w:rsidR="00BC51A5">
        <w:rPr>
          <w:w w:val="105"/>
        </w:rPr>
        <w:t xml:space="preserve"> </w:t>
      </w:r>
      <w:r w:rsidR="005017AD">
        <w:rPr>
          <w:w w:val="105"/>
        </w:rPr>
        <w:t>in its Motion for Summary Decision, the Board clarifies:</w:t>
      </w:r>
    </w:p>
    <w:p w14:paraId="792FD5B6" w14:textId="4D06B4E6" w:rsidR="00B225E4" w:rsidRPr="00B225E4" w:rsidRDefault="00A770E1" w:rsidP="00C5256D">
      <w:pPr>
        <w:pStyle w:val="BodyText"/>
        <w:numPr>
          <w:ilvl w:val="0"/>
          <w:numId w:val="4"/>
        </w:numPr>
        <w:spacing w:before="154" w:line="360" w:lineRule="auto"/>
        <w:ind w:right="186"/>
        <w:jc w:val="both"/>
        <w:rPr>
          <w:w w:val="105"/>
        </w:rPr>
      </w:pPr>
      <w:r>
        <w:t xml:space="preserve">this matter meets the three requirements for a party </w:t>
      </w:r>
      <w:r w:rsidR="00B225E4" w:rsidRPr="009E50BF">
        <w:t xml:space="preserve">to invoke issue preclusion, </w:t>
      </w:r>
      <w:r>
        <w:t xml:space="preserve">namely: </w:t>
      </w:r>
      <w:r w:rsidR="00B225E4" w:rsidRPr="009E50BF">
        <w:t xml:space="preserve">1) the issue before the </w:t>
      </w:r>
      <w:r>
        <w:t xml:space="preserve">civil and administrative </w:t>
      </w:r>
      <w:r w:rsidR="00B225E4" w:rsidRPr="009E50BF">
        <w:t>forums is identical; 2) there was a finding adverse to the party against whom it is being asserted; and 3) the “issue on which preclusion is sought has been the ‘product of full litigation and careful decision’.”</w:t>
      </w:r>
      <w:r w:rsidR="00387ECF">
        <w:t xml:space="preserve"> </w:t>
      </w:r>
      <w:r w:rsidR="00B225E4" w:rsidRPr="009E50BF">
        <w:rPr>
          <w:u w:val="single"/>
        </w:rPr>
        <w:t>See</w:t>
      </w:r>
      <w:r w:rsidR="00B225E4" w:rsidRPr="009E50BF">
        <w:t xml:space="preserve"> </w:t>
      </w:r>
      <w:r w:rsidR="00B225E4" w:rsidRPr="009E50BF">
        <w:rPr>
          <w:i/>
        </w:rPr>
        <w:t>Miles v. Aetna Casualty &amp; Surety Co.</w:t>
      </w:r>
      <w:r w:rsidR="00B225E4" w:rsidRPr="009E50BF">
        <w:t>, 412 Mass. 424, 427 (1992)</w:t>
      </w:r>
      <w:r w:rsidR="00B225E4">
        <w:t>;</w:t>
      </w:r>
    </w:p>
    <w:p w14:paraId="65AE917D" w14:textId="44E3D8CA" w:rsidR="00B225E4" w:rsidRPr="00434CC2" w:rsidRDefault="00B225E4" w:rsidP="00C5256D">
      <w:pPr>
        <w:pStyle w:val="ListParagraph"/>
        <w:numPr>
          <w:ilvl w:val="0"/>
          <w:numId w:val="4"/>
        </w:numPr>
        <w:spacing w:line="360" w:lineRule="auto"/>
        <w:jc w:val="both"/>
        <w:rPr>
          <w:rFonts w:ascii="Times New Roman" w:hAnsi="Times New Roman" w:cs="Times New Roman"/>
        </w:rPr>
      </w:pPr>
      <w:r w:rsidRPr="00434CC2">
        <w:rPr>
          <w:rFonts w:ascii="Times New Roman" w:hAnsi="Times New Roman" w:cs="Times New Roman"/>
        </w:rPr>
        <w:t>the issue before the Board and before the jury was gross negligence</w:t>
      </w:r>
      <w:r w:rsidR="00B35E5C">
        <w:rPr>
          <w:rFonts w:ascii="Times New Roman" w:hAnsi="Times New Roman" w:cs="Times New Roman"/>
        </w:rPr>
        <w:t>,</w:t>
      </w:r>
      <w:r w:rsidRPr="00434CC2">
        <w:rPr>
          <w:rFonts w:ascii="Times New Roman" w:hAnsi="Times New Roman" w:cs="Times New Roman"/>
        </w:rPr>
        <w:t xml:space="preserve"> and the trial judge gave the “standard [gross negligence] charge” to the jury describing “gross negligence as ‘substantially and appreciably’ greater than ordinary negligence….[a]mong other measures, gross negligence includes…persisting in a palpably negligent course of conduct over </w:t>
      </w:r>
      <w:proofErr w:type="gramStart"/>
      <w:r w:rsidRPr="00434CC2">
        <w:rPr>
          <w:rFonts w:ascii="Times New Roman" w:hAnsi="Times New Roman" w:cs="Times New Roman"/>
        </w:rPr>
        <w:t>a period of time</w:t>
      </w:r>
      <w:proofErr w:type="gramEnd"/>
      <w:r w:rsidRPr="00434CC2">
        <w:rPr>
          <w:rFonts w:ascii="Times New Roman" w:hAnsi="Times New Roman" w:cs="Times New Roman"/>
        </w:rPr>
        <w:t>;”</w:t>
      </w:r>
    </w:p>
    <w:p w14:paraId="0B07684D" w14:textId="2D6DC39B" w:rsidR="00B225E4" w:rsidRPr="00434CC2" w:rsidRDefault="00B225E4" w:rsidP="00C5256D">
      <w:pPr>
        <w:pStyle w:val="ListParagraph"/>
        <w:numPr>
          <w:ilvl w:val="0"/>
          <w:numId w:val="4"/>
        </w:numPr>
        <w:spacing w:line="360" w:lineRule="auto"/>
        <w:jc w:val="both"/>
        <w:rPr>
          <w:rFonts w:ascii="Times New Roman" w:hAnsi="Times New Roman" w:cs="Times New Roman"/>
        </w:rPr>
      </w:pPr>
      <w:r w:rsidRPr="00434CC2">
        <w:rPr>
          <w:rFonts w:ascii="Times New Roman" w:hAnsi="Times New Roman" w:cs="Times New Roman"/>
        </w:rPr>
        <w:t xml:space="preserve">the trial court made a finding adverse to the Respondent and that finding was affirmed by the Appellate Court; </w:t>
      </w:r>
    </w:p>
    <w:p w14:paraId="66F5E2AE" w14:textId="0ACBB403" w:rsidR="00B225E4" w:rsidRPr="00BC51A5" w:rsidRDefault="00B225E4" w:rsidP="00C5256D">
      <w:pPr>
        <w:pStyle w:val="ListParagraph"/>
        <w:numPr>
          <w:ilvl w:val="0"/>
          <w:numId w:val="4"/>
        </w:numPr>
        <w:spacing w:line="360" w:lineRule="auto"/>
        <w:jc w:val="both"/>
        <w:rPr>
          <w:rFonts w:ascii="Times New Roman" w:hAnsi="Times New Roman" w:cs="Times New Roman"/>
        </w:rPr>
      </w:pPr>
      <w:r w:rsidRPr="00BC51A5">
        <w:rPr>
          <w:rFonts w:ascii="Times New Roman" w:hAnsi="Times New Roman" w:cs="Times New Roman"/>
        </w:rPr>
        <w:t>the standard of proof, “a preponderance of the evidence,” was the same in the civil case as in an administrative proceeding</w:t>
      </w:r>
      <w:r w:rsidR="00BC51A5">
        <w:rPr>
          <w:rFonts w:ascii="Times New Roman" w:hAnsi="Times New Roman" w:cs="Times New Roman"/>
        </w:rPr>
        <w:t xml:space="preserve">, </w:t>
      </w:r>
      <w:r w:rsidRPr="00BC51A5">
        <w:rPr>
          <w:rFonts w:ascii="Times New Roman" w:hAnsi="Times New Roman" w:cs="Times New Roman"/>
        </w:rPr>
        <w:t>and</w:t>
      </w:r>
    </w:p>
    <w:p w14:paraId="42DB123C" w14:textId="1C983438" w:rsidR="00B225E4" w:rsidRPr="00434CC2" w:rsidRDefault="00B225E4" w:rsidP="00C5256D">
      <w:pPr>
        <w:pStyle w:val="ListParagraph"/>
        <w:numPr>
          <w:ilvl w:val="0"/>
          <w:numId w:val="4"/>
        </w:numPr>
        <w:spacing w:line="360" w:lineRule="auto"/>
        <w:jc w:val="both"/>
        <w:rPr>
          <w:rFonts w:ascii="Times New Roman" w:hAnsi="Times New Roman" w:cs="Times New Roman"/>
        </w:rPr>
      </w:pPr>
      <w:r w:rsidRPr="00434CC2">
        <w:rPr>
          <w:rFonts w:ascii="Times New Roman" w:hAnsi="Times New Roman" w:cs="Times New Roman"/>
        </w:rPr>
        <w:t xml:space="preserve">the six-day jury trial, </w:t>
      </w:r>
      <w:r w:rsidR="00BC51A5">
        <w:rPr>
          <w:rFonts w:ascii="Times New Roman" w:hAnsi="Times New Roman" w:cs="Times New Roman"/>
        </w:rPr>
        <w:t xml:space="preserve">the </w:t>
      </w:r>
      <w:r w:rsidRPr="00434CC2">
        <w:rPr>
          <w:rFonts w:ascii="Times New Roman" w:hAnsi="Times New Roman" w:cs="Times New Roman"/>
        </w:rPr>
        <w:t>trial court</w:t>
      </w:r>
      <w:r w:rsidR="00BC51A5">
        <w:rPr>
          <w:rFonts w:ascii="Times New Roman" w:hAnsi="Times New Roman" w:cs="Times New Roman"/>
        </w:rPr>
        <w:t>’s</w:t>
      </w:r>
      <w:r w:rsidRPr="00434CC2">
        <w:rPr>
          <w:rFonts w:ascii="Times New Roman" w:hAnsi="Times New Roman" w:cs="Times New Roman"/>
        </w:rPr>
        <w:t xml:space="preserve"> </w:t>
      </w:r>
      <w:r w:rsidR="00BC51A5">
        <w:rPr>
          <w:rFonts w:ascii="Times New Roman" w:hAnsi="Times New Roman" w:cs="Times New Roman"/>
        </w:rPr>
        <w:t xml:space="preserve">denial of </w:t>
      </w:r>
      <w:r w:rsidRPr="00434CC2">
        <w:rPr>
          <w:rFonts w:ascii="Times New Roman" w:hAnsi="Times New Roman" w:cs="Times New Roman"/>
        </w:rPr>
        <w:t xml:space="preserve">a </w:t>
      </w:r>
      <w:r w:rsidR="00BC51A5">
        <w:rPr>
          <w:rFonts w:ascii="Times New Roman" w:hAnsi="Times New Roman" w:cs="Times New Roman"/>
        </w:rPr>
        <w:t xml:space="preserve">motion for a </w:t>
      </w:r>
      <w:r w:rsidRPr="00434CC2">
        <w:rPr>
          <w:rFonts w:ascii="Times New Roman" w:hAnsi="Times New Roman" w:cs="Times New Roman"/>
        </w:rPr>
        <w:t xml:space="preserve">new trial or </w:t>
      </w:r>
      <w:r w:rsidR="00BC51A5">
        <w:rPr>
          <w:rFonts w:ascii="Times New Roman" w:hAnsi="Times New Roman" w:cs="Times New Roman"/>
        </w:rPr>
        <w:t xml:space="preserve">judgment </w:t>
      </w:r>
      <w:r w:rsidRPr="00434CC2">
        <w:rPr>
          <w:rFonts w:ascii="Times New Roman" w:hAnsi="Times New Roman" w:cs="Times New Roman"/>
        </w:rPr>
        <w:t>notwithstanding the verdict</w:t>
      </w:r>
      <w:r w:rsidR="00BC51A5">
        <w:rPr>
          <w:rFonts w:ascii="Times New Roman" w:hAnsi="Times New Roman" w:cs="Times New Roman"/>
        </w:rPr>
        <w:t>,</w:t>
      </w:r>
      <w:r w:rsidRPr="00434CC2">
        <w:rPr>
          <w:rFonts w:ascii="Times New Roman" w:hAnsi="Times New Roman" w:cs="Times New Roman"/>
        </w:rPr>
        <w:t xml:space="preserve"> and </w:t>
      </w:r>
      <w:r w:rsidR="00BC51A5">
        <w:rPr>
          <w:rFonts w:ascii="Times New Roman" w:hAnsi="Times New Roman" w:cs="Times New Roman"/>
        </w:rPr>
        <w:t xml:space="preserve">the </w:t>
      </w:r>
      <w:r w:rsidRPr="00434CC2">
        <w:rPr>
          <w:rFonts w:ascii="Times New Roman" w:hAnsi="Times New Roman" w:cs="Times New Roman"/>
        </w:rPr>
        <w:t>Court of Appeals</w:t>
      </w:r>
      <w:r w:rsidR="00BC51A5">
        <w:rPr>
          <w:rFonts w:ascii="Times New Roman" w:hAnsi="Times New Roman" w:cs="Times New Roman"/>
        </w:rPr>
        <w:t xml:space="preserve"> affirmation of the trial court decision</w:t>
      </w:r>
      <w:r w:rsidRPr="00434CC2">
        <w:rPr>
          <w:rFonts w:ascii="Times New Roman" w:hAnsi="Times New Roman" w:cs="Times New Roman"/>
        </w:rPr>
        <w:t xml:space="preserve"> reflect that the outcome was the “product of full litigation and careful decision</w:t>
      </w:r>
      <w:r w:rsidR="00BC51A5">
        <w:rPr>
          <w:rFonts w:ascii="Times New Roman" w:hAnsi="Times New Roman" w:cs="Times New Roman"/>
        </w:rPr>
        <w:t>.</w:t>
      </w:r>
      <w:r w:rsidRPr="00434CC2">
        <w:rPr>
          <w:rFonts w:ascii="Times New Roman" w:hAnsi="Times New Roman" w:cs="Times New Roman"/>
        </w:rPr>
        <w:t xml:space="preserve">” </w:t>
      </w:r>
    </w:p>
    <w:p w14:paraId="484E45DF" w14:textId="3CC301BD" w:rsidR="00B225E4" w:rsidRPr="00434CC2" w:rsidRDefault="00B225E4" w:rsidP="00200083">
      <w:pPr>
        <w:pStyle w:val="BodyText"/>
        <w:spacing w:before="154" w:line="360" w:lineRule="auto"/>
        <w:ind w:right="186" w:firstLine="720"/>
        <w:jc w:val="both"/>
        <w:rPr>
          <w:w w:val="105"/>
          <w:sz w:val="24"/>
          <w:szCs w:val="24"/>
        </w:rPr>
      </w:pPr>
      <w:r w:rsidRPr="00434CC2">
        <w:rPr>
          <w:w w:val="105"/>
          <w:sz w:val="24"/>
          <w:szCs w:val="24"/>
        </w:rPr>
        <w:lastRenderedPageBreak/>
        <w:t xml:space="preserve">The Board further </w:t>
      </w:r>
      <w:r w:rsidR="00200083">
        <w:rPr>
          <w:w w:val="105"/>
          <w:sz w:val="24"/>
          <w:szCs w:val="24"/>
        </w:rPr>
        <w:t xml:space="preserve">adds </w:t>
      </w:r>
      <w:r w:rsidRPr="00434CC2">
        <w:rPr>
          <w:w w:val="105"/>
          <w:sz w:val="24"/>
          <w:szCs w:val="24"/>
        </w:rPr>
        <w:t xml:space="preserve">that: </w:t>
      </w:r>
    </w:p>
    <w:p w14:paraId="1039F855" w14:textId="6144573D" w:rsidR="00E50D4A" w:rsidRDefault="004C13A0" w:rsidP="00200083">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 xml:space="preserve">the Massachusetts Supreme Judicial Court (SJC) </w:t>
      </w:r>
      <w:r w:rsidR="006B09F3" w:rsidRPr="00F94B69">
        <w:rPr>
          <w:rFonts w:ascii="Times New Roman" w:hAnsi="Times New Roman" w:cs="Times New Roman"/>
        </w:rPr>
        <w:t xml:space="preserve">has </w:t>
      </w:r>
      <w:r w:rsidR="00E50D4A">
        <w:rPr>
          <w:rFonts w:ascii="Times New Roman" w:hAnsi="Times New Roman" w:cs="Times New Roman"/>
        </w:rPr>
        <w:t xml:space="preserve">affirmed the Board’s ability, to avoid relitigating out-of-state discipline, where that discipline was “for reasons substantially the same” as those for which Massachusetts licensees may be disciplined. </w:t>
      </w:r>
      <w:r w:rsidR="00C20C4E" w:rsidRPr="00C20C4E">
        <w:rPr>
          <w:rFonts w:ascii="Times New Roman" w:hAnsi="Times New Roman" w:cs="Times New Roman"/>
          <w:u w:val="single"/>
        </w:rPr>
        <w:t>See</w:t>
      </w:r>
      <w:r w:rsidR="00C20C4E">
        <w:rPr>
          <w:rFonts w:ascii="Times New Roman" w:hAnsi="Times New Roman" w:cs="Times New Roman"/>
        </w:rPr>
        <w:t xml:space="preserve"> </w:t>
      </w:r>
      <w:r w:rsidR="00E50D4A" w:rsidRPr="00E50D4A">
        <w:rPr>
          <w:rFonts w:ascii="Times New Roman" w:hAnsi="Times New Roman" w:cs="Times New Roman"/>
          <w:i/>
          <w:iCs/>
        </w:rPr>
        <w:t>Haran v. Board of Registration in Medicine</w:t>
      </w:r>
      <w:r w:rsidR="00E50D4A">
        <w:rPr>
          <w:rFonts w:ascii="Times New Roman" w:hAnsi="Times New Roman" w:cs="Times New Roman"/>
        </w:rPr>
        <w:t>, 398 Mass. 571 (1986);</w:t>
      </w:r>
      <w:r w:rsidR="00C20C4E">
        <w:rPr>
          <w:rFonts w:ascii="Times New Roman" w:hAnsi="Times New Roman" w:cs="Times New Roman"/>
        </w:rPr>
        <w:t xml:space="preserve"> and</w:t>
      </w:r>
    </w:p>
    <w:p w14:paraId="623EB740" w14:textId="2210F258" w:rsidR="006B09F3" w:rsidRDefault="00FC1A18" w:rsidP="00200083">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 xml:space="preserve">the SJC has upheld the use preclusion </w:t>
      </w:r>
      <w:r w:rsidR="00C20C4E">
        <w:rPr>
          <w:rFonts w:ascii="Times New Roman" w:hAnsi="Times New Roman" w:cs="Times New Roman"/>
        </w:rPr>
        <w:t xml:space="preserve">in an administrative disciplinary </w:t>
      </w:r>
      <w:r w:rsidR="00D321CD">
        <w:rPr>
          <w:rFonts w:ascii="Times New Roman" w:hAnsi="Times New Roman" w:cs="Times New Roman"/>
        </w:rPr>
        <w:t xml:space="preserve">proceeding </w:t>
      </w:r>
      <w:r w:rsidR="006B09F3" w:rsidRPr="00F94B69">
        <w:rPr>
          <w:rFonts w:ascii="Times New Roman" w:hAnsi="Times New Roman" w:cs="Times New Roman"/>
        </w:rPr>
        <w:t xml:space="preserve">when the disputed issue was previously adjudicated in a civil matter. </w:t>
      </w:r>
      <w:r w:rsidR="006B09F3" w:rsidRPr="00F94B69">
        <w:rPr>
          <w:rFonts w:ascii="Times New Roman" w:hAnsi="Times New Roman" w:cs="Times New Roman"/>
          <w:u w:val="single"/>
        </w:rPr>
        <w:t>See</w:t>
      </w:r>
      <w:r w:rsidR="006B09F3" w:rsidRPr="00F94B69">
        <w:rPr>
          <w:rFonts w:ascii="Times New Roman" w:hAnsi="Times New Roman" w:cs="Times New Roman"/>
        </w:rPr>
        <w:t xml:space="preserve"> </w:t>
      </w:r>
      <w:r w:rsidR="006B09F3" w:rsidRPr="00F94B69">
        <w:rPr>
          <w:rFonts w:ascii="Times New Roman" w:hAnsi="Times New Roman" w:cs="Times New Roman"/>
          <w:i/>
        </w:rPr>
        <w:t>Bar Counsel v. Board of Bar Overseers</w:t>
      </w:r>
      <w:r w:rsidR="006B09F3" w:rsidRPr="00F94B69">
        <w:rPr>
          <w:rFonts w:ascii="Times New Roman" w:hAnsi="Times New Roman" w:cs="Times New Roman"/>
        </w:rPr>
        <w:t>, 420 Mass. 6, 10-11 (1995)</w:t>
      </w:r>
      <w:r w:rsidR="00C20C4E">
        <w:rPr>
          <w:rFonts w:ascii="Times New Roman" w:hAnsi="Times New Roman" w:cs="Times New Roman"/>
        </w:rPr>
        <w:t>.</w:t>
      </w:r>
    </w:p>
    <w:p w14:paraId="0AC437ED" w14:textId="77777777" w:rsidR="001A41EC" w:rsidRPr="001A41EC" w:rsidRDefault="001A41EC" w:rsidP="001A41EC">
      <w:pPr>
        <w:jc w:val="both"/>
      </w:pPr>
    </w:p>
    <w:p w14:paraId="5489657D" w14:textId="1363B32F" w:rsidR="00434CC2" w:rsidRPr="00434CC2" w:rsidRDefault="00434CC2" w:rsidP="00C5256D">
      <w:pPr>
        <w:spacing w:line="360" w:lineRule="auto"/>
        <w:ind w:firstLine="720"/>
        <w:jc w:val="both"/>
        <w:rPr>
          <w:sz w:val="24"/>
          <w:szCs w:val="24"/>
        </w:rPr>
      </w:pPr>
      <w:r w:rsidRPr="00434CC2">
        <w:rPr>
          <w:sz w:val="24"/>
          <w:szCs w:val="24"/>
        </w:rPr>
        <w:t>T</w:t>
      </w:r>
      <w:r w:rsidR="00B225E4" w:rsidRPr="00434CC2">
        <w:rPr>
          <w:sz w:val="24"/>
          <w:szCs w:val="24"/>
        </w:rPr>
        <w:t xml:space="preserve">he Board acknowledges the Respondent’s claim that there is </w:t>
      </w:r>
      <w:r w:rsidRPr="00434CC2">
        <w:rPr>
          <w:sz w:val="24"/>
          <w:szCs w:val="24"/>
        </w:rPr>
        <w:t>“newly discovered evidence” bringing into question the Respondent’s negligence.  However, it has no bearing on the issue before the Board since:</w:t>
      </w:r>
    </w:p>
    <w:p w14:paraId="360754B6" w14:textId="77777777" w:rsidR="00434CC2" w:rsidRPr="00434CC2" w:rsidRDefault="00434CC2" w:rsidP="00200083">
      <w:pPr>
        <w:pStyle w:val="ListParagraph"/>
        <w:numPr>
          <w:ilvl w:val="0"/>
          <w:numId w:val="7"/>
        </w:numPr>
        <w:spacing w:line="360" w:lineRule="auto"/>
        <w:jc w:val="both"/>
        <w:rPr>
          <w:rFonts w:ascii="Times New Roman" w:hAnsi="Times New Roman" w:cs="Times New Roman"/>
        </w:rPr>
      </w:pPr>
      <w:r w:rsidRPr="00434CC2">
        <w:rPr>
          <w:rFonts w:ascii="Times New Roman" w:hAnsi="Times New Roman" w:cs="Times New Roman"/>
        </w:rPr>
        <w:t>a request for a new trial based on newly discovered evidence that may alter the outcome of the jury verdict should be raised before the Superior Court;</w:t>
      </w:r>
      <w:r w:rsidRPr="00434CC2">
        <w:rPr>
          <w:rStyle w:val="FootnoteReference"/>
          <w:rFonts w:ascii="Times New Roman" w:hAnsi="Times New Roman" w:cs="Times New Roman"/>
        </w:rPr>
        <w:footnoteReference w:id="8"/>
      </w:r>
      <w:r w:rsidRPr="00434CC2">
        <w:rPr>
          <w:rFonts w:ascii="Times New Roman" w:hAnsi="Times New Roman" w:cs="Times New Roman"/>
        </w:rPr>
        <w:t xml:space="preserve"> </w:t>
      </w:r>
    </w:p>
    <w:p w14:paraId="52499DF6" w14:textId="77777777" w:rsidR="00434CC2" w:rsidRPr="00434CC2" w:rsidRDefault="00434CC2" w:rsidP="00200083">
      <w:pPr>
        <w:pStyle w:val="ListParagraph"/>
        <w:numPr>
          <w:ilvl w:val="0"/>
          <w:numId w:val="7"/>
        </w:numPr>
        <w:spacing w:line="360" w:lineRule="auto"/>
        <w:jc w:val="both"/>
        <w:rPr>
          <w:rFonts w:ascii="Times New Roman" w:hAnsi="Times New Roman" w:cs="Times New Roman"/>
        </w:rPr>
      </w:pPr>
      <w:r w:rsidRPr="00434CC2">
        <w:rPr>
          <w:rFonts w:ascii="Times New Roman" w:hAnsi="Times New Roman" w:cs="Times New Roman"/>
        </w:rPr>
        <w:t>the power to grant a new trial rests solely within the discretion of the trial judge.</w:t>
      </w:r>
      <w:r w:rsidRPr="00434CC2">
        <w:rPr>
          <w:rFonts w:ascii="Times New Roman" w:hAnsi="Times New Roman" w:cs="Times New Roman"/>
          <w:b/>
          <w:bCs/>
        </w:rPr>
        <w:t xml:space="preserve"> </w:t>
      </w:r>
      <w:r w:rsidRPr="00434CC2">
        <w:rPr>
          <w:rFonts w:ascii="Times New Roman" w:hAnsi="Times New Roman" w:cs="Times New Roman"/>
          <w:i/>
        </w:rPr>
        <w:t>Wojcicki v. Caragher</w:t>
      </w:r>
      <w:r w:rsidRPr="00434CC2">
        <w:rPr>
          <w:rFonts w:ascii="Times New Roman" w:hAnsi="Times New Roman" w:cs="Times New Roman"/>
        </w:rPr>
        <w:t>, 447 Mass. 200, 209 (2006);</w:t>
      </w:r>
      <w:r w:rsidRPr="00434CC2">
        <w:rPr>
          <w:rStyle w:val="FootnoteReference"/>
          <w:rFonts w:ascii="Times New Roman" w:hAnsi="Times New Roman" w:cs="Times New Roman"/>
        </w:rPr>
        <w:footnoteReference w:id="9"/>
      </w:r>
      <w:r w:rsidRPr="00434CC2">
        <w:rPr>
          <w:rFonts w:ascii="Times New Roman" w:hAnsi="Times New Roman" w:cs="Times New Roman"/>
        </w:rPr>
        <w:t xml:space="preserve"> and</w:t>
      </w:r>
    </w:p>
    <w:p w14:paraId="6D3DCA05" w14:textId="4C1DDC27" w:rsidR="00434CC2" w:rsidRDefault="00434CC2" w:rsidP="00200083">
      <w:pPr>
        <w:pStyle w:val="ListParagraph"/>
        <w:numPr>
          <w:ilvl w:val="0"/>
          <w:numId w:val="7"/>
        </w:numPr>
        <w:spacing w:line="360" w:lineRule="auto"/>
        <w:jc w:val="both"/>
        <w:rPr>
          <w:rFonts w:ascii="Times New Roman" w:hAnsi="Times New Roman" w:cs="Times New Roman"/>
        </w:rPr>
      </w:pPr>
      <w:r w:rsidRPr="00434CC2">
        <w:rPr>
          <w:rFonts w:ascii="Times New Roman" w:hAnsi="Times New Roman" w:cs="Times New Roman"/>
        </w:rPr>
        <w:t xml:space="preserve">even if the Respondent were to file a motion for new trial in the Superior Court, the Board is not required to wait until the physician has exhausted his appellate options before it can </w:t>
      </w:r>
      <w:proofErr w:type="gramStart"/>
      <w:r w:rsidRPr="00434CC2">
        <w:rPr>
          <w:rFonts w:ascii="Times New Roman" w:hAnsi="Times New Roman" w:cs="Times New Roman"/>
        </w:rPr>
        <w:t>take action</w:t>
      </w:r>
      <w:proofErr w:type="gramEnd"/>
      <w:r w:rsidRPr="00434CC2">
        <w:rPr>
          <w:rFonts w:ascii="Times New Roman" w:hAnsi="Times New Roman" w:cs="Times New Roman"/>
        </w:rPr>
        <w:t xml:space="preserve"> against his license to practice medicine.</w:t>
      </w:r>
      <w:r w:rsidRPr="00434CC2">
        <w:rPr>
          <w:rStyle w:val="FootnoteReference"/>
          <w:rFonts w:ascii="Times New Roman" w:hAnsi="Times New Roman" w:cs="Times New Roman"/>
        </w:rPr>
        <w:footnoteReference w:id="10"/>
      </w:r>
    </w:p>
    <w:p w14:paraId="392B5617" w14:textId="0F4B859F" w:rsidR="00434CC2" w:rsidRDefault="00434CC2" w:rsidP="008B08FB">
      <w:pPr>
        <w:spacing w:line="360" w:lineRule="auto"/>
        <w:jc w:val="center"/>
        <w:rPr>
          <w:i/>
          <w:iCs/>
          <w:sz w:val="24"/>
          <w:szCs w:val="24"/>
        </w:rPr>
      </w:pPr>
      <w:r w:rsidRPr="00434CC2">
        <w:rPr>
          <w:i/>
          <w:iCs/>
          <w:sz w:val="24"/>
          <w:szCs w:val="24"/>
        </w:rPr>
        <w:t>Sanction</w:t>
      </w:r>
    </w:p>
    <w:p w14:paraId="76CC92F4" w14:textId="071794D3" w:rsidR="006A1F11" w:rsidRDefault="00F20B0E" w:rsidP="00C5256D">
      <w:pPr>
        <w:spacing w:after="160" w:line="360" w:lineRule="auto"/>
        <w:ind w:firstLine="720"/>
        <w:jc w:val="both"/>
        <w:rPr>
          <w:rFonts w:eastAsiaTheme="minorHAnsi"/>
          <w:sz w:val="24"/>
          <w:szCs w:val="24"/>
        </w:rPr>
      </w:pPr>
      <w:r>
        <w:rPr>
          <w:rFonts w:eastAsiaTheme="minorHAnsi"/>
          <w:sz w:val="24"/>
          <w:szCs w:val="24"/>
        </w:rPr>
        <w:t>The Board may discipline a physician upon proof satisfactory to a m</w:t>
      </w:r>
      <w:r w:rsidR="00AD7595">
        <w:rPr>
          <w:rFonts w:eastAsiaTheme="minorHAnsi"/>
          <w:sz w:val="24"/>
          <w:szCs w:val="24"/>
        </w:rPr>
        <w:t>ajority of the Board that he engaged in conduct that places into question the Respondent’s competence to practice medicine, including</w:t>
      </w:r>
      <w:r w:rsidR="00E3623F">
        <w:rPr>
          <w:rFonts w:eastAsiaTheme="minorHAnsi"/>
          <w:sz w:val="24"/>
          <w:szCs w:val="24"/>
        </w:rPr>
        <w:t xml:space="preserve"> gross negligence on a particular occasion.</w:t>
      </w:r>
      <w:r w:rsidR="00394DD8">
        <w:rPr>
          <w:rFonts w:eastAsiaTheme="minorHAnsi"/>
          <w:sz w:val="24"/>
          <w:szCs w:val="24"/>
        </w:rPr>
        <w:t xml:space="preserve"> </w:t>
      </w:r>
      <w:r w:rsidR="00755FC6">
        <w:rPr>
          <w:rFonts w:eastAsiaTheme="minorHAnsi"/>
          <w:sz w:val="24"/>
          <w:szCs w:val="24"/>
        </w:rPr>
        <w:t>“</w:t>
      </w:r>
      <w:r w:rsidR="00BC51A5">
        <w:rPr>
          <w:rFonts w:eastAsiaTheme="minorHAnsi"/>
          <w:sz w:val="24"/>
          <w:szCs w:val="24"/>
        </w:rPr>
        <w:t>[Gross negligence]</w:t>
      </w:r>
      <w:r w:rsidR="00755FC6">
        <w:rPr>
          <w:rFonts w:eastAsiaTheme="minorHAnsi"/>
          <w:sz w:val="24"/>
          <w:szCs w:val="24"/>
        </w:rPr>
        <w:t xml:space="preserve"> amounts to indifference to present legal d</w:t>
      </w:r>
      <w:r w:rsidR="00434CC2">
        <w:rPr>
          <w:rFonts w:eastAsiaTheme="minorHAnsi"/>
          <w:sz w:val="24"/>
          <w:szCs w:val="24"/>
        </w:rPr>
        <w:t>ut</w:t>
      </w:r>
      <w:r w:rsidR="00755FC6">
        <w:rPr>
          <w:rFonts w:eastAsiaTheme="minorHAnsi"/>
          <w:sz w:val="24"/>
          <w:szCs w:val="24"/>
        </w:rPr>
        <w:t xml:space="preserve">y and to utter forgetfulness of legal obligations so far as other persons may be affected. It is a heedless and palpable violation of legal duty respecting </w:t>
      </w:r>
      <w:r w:rsidR="00635CD1">
        <w:rPr>
          <w:rFonts w:eastAsiaTheme="minorHAnsi"/>
          <w:sz w:val="24"/>
          <w:szCs w:val="24"/>
        </w:rPr>
        <w:t xml:space="preserve">the rights </w:t>
      </w:r>
      <w:r w:rsidR="00635CD1">
        <w:rPr>
          <w:rFonts w:eastAsiaTheme="minorHAnsi"/>
          <w:sz w:val="24"/>
          <w:szCs w:val="24"/>
        </w:rPr>
        <w:lastRenderedPageBreak/>
        <w:t xml:space="preserve">of others.” </w:t>
      </w:r>
      <w:r w:rsidR="00635CD1" w:rsidRPr="00133C7C">
        <w:rPr>
          <w:rFonts w:eastAsiaTheme="minorHAnsi"/>
          <w:i/>
          <w:iCs/>
          <w:sz w:val="24"/>
          <w:szCs w:val="24"/>
        </w:rPr>
        <w:t>Hellman v. Board of Registration in Medicine</w:t>
      </w:r>
      <w:r w:rsidR="00635CD1">
        <w:rPr>
          <w:rFonts w:eastAsiaTheme="minorHAnsi"/>
          <w:sz w:val="24"/>
          <w:szCs w:val="24"/>
        </w:rPr>
        <w:t xml:space="preserve">, 404 Mass. 800, 804 (1989) </w:t>
      </w:r>
      <w:r w:rsidR="00635CD1" w:rsidRPr="00133C7C">
        <w:rPr>
          <w:rFonts w:eastAsiaTheme="minorHAnsi"/>
          <w:sz w:val="24"/>
          <w:szCs w:val="24"/>
          <w:u w:val="single"/>
        </w:rPr>
        <w:t>quoting</w:t>
      </w:r>
      <w:r w:rsidR="00635CD1">
        <w:rPr>
          <w:rFonts w:eastAsiaTheme="minorHAnsi"/>
          <w:sz w:val="24"/>
          <w:szCs w:val="24"/>
        </w:rPr>
        <w:t xml:space="preserve"> </w:t>
      </w:r>
      <w:r w:rsidR="00635CD1" w:rsidRPr="00133C7C">
        <w:rPr>
          <w:rFonts w:eastAsiaTheme="minorHAnsi"/>
          <w:i/>
          <w:iCs/>
          <w:sz w:val="24"/>
          <w:szCs w:val="24"/>
        </w:rPr>
        <w:t>Altman v. Aronson</w:t>
      </w:r>
      <w:r w:rsidR="00635CD1">
        <w:rPr>
          <w:rFonts w:eastAsiaTheme="minorHAnsi"/>
          <w:sz w:val="24"/>
          <w:szCs w:val="24"/>
        </w:rPr>
        <w:t xml:space="preserve">, 231 Mass. 588, 591 (1919). </w:t>
      </w:r>
    </w:p>
    <w:p w14:paraId="67C34567" w14:textId="57D5B798" w:rsidR="00B937ED" w:rsidRDefault="00BC51A5" w:rsidP="00C5256D">
      <w:pPr>
        <w:spacing w:after="160" w:line="360" w:lineRule="auto"/>
        <w:ind w:firstLine="720"/>
        <w:jc w:val="both"/>
        <w:rPr>
          <w:rFonts w:eastAsiaTheme="minorHAnsi"/>
          <w:sz w:val="24"/>
          <w:szCs w:val="24"/>
        </w:rPr>
      </w:pPr>
      <w:r>
        <w:rPr>
          <w:rFonts w:eastAsiaTheme="minorHAnsi"/>
          <w:sz w:val="24"/>
          <w:szCs w:val="24"/>
        </w:rPr>
        <w:t>“</w:t>
      </w:r>
      <w:r w:rsidR="00B937ED">
        <w:rPr>
          <w:rFonts w:eastAsiaTheme="minorHAnsi"/>
          <w:sz w:val="24"/>
          <w:szCs w:val="24"/>
        </w:rPr>
        <w:t>When determining the appropriate sanction in a substandard care case, the Board takes into consideration the degree of deviation f</w:t>
      </w:r>
      <w:r w:rsidR="00133C7C">
        <w:rPr>
          <w:rFonts w:eastAsiaTheme="minorHAnsi"/>
          <w:sz w:val="24"/>
          <w:szCs w:val="24"/>
        </w:rPr>
        <w:t>ro</w:t>
      </w:r>
      <w:r w:rsidR="00B937ED">
        <w:rPr>
          <w:rFonts w:eastAsiaTheme="minorHAnsi"/>
          <w:sz w:val="24"/>
          <w:szCs w:val="24"/>
        </w:rPr>
        <w:t xml:space="preserve">m the standard of care, the number of patients involved, and mitigating circumstances.” </w:t>
      </w:r>
      <w:r w:rsidR="00B937ED" w:rsidRPr="00133C7C">
        <w:rPr>
          <w:rFonts w:eastAsiaTheme="minorHAnsi"/>
          <w:i/>
          <w:iCs/>
          <w:sz w:val="24"/>
          <w:szCs w:val="24"/>
        </w:rPr>
        <w:t>In the Matter of Ernes Osei-Tutu, M.D.</w:t>
      </w:r>
      <w:r w:rsidR="00B937ED">
        <w:rPr>
          <w:rFonts w:eastAsiaTheme="minorHAnsi"/>
          <w:sz w:val="24"/>
          <w:szCs w:val="24"/>
        </w:rPr>
        <w:t>, Board of Registration in Medicine, Adjudicatory Case No. 2007-</w:t>
      </w:r>
      <w:r w:rsidR="00502844">
        <w:rPr>
          <w:rFonts w:eastAsiaTheme="minorHAnsi"/>
          <w:sz w:val="24"/>
          <w:szCs w:val="24"/>
        </w:rPr>
        <w:t xml:space="preserve">004 (Final Decision &amp; Order, February 25, 2009 (physician </w:t>
      </w:r>
      <w:r w:rsidR="0069408E">
        <w:rPr>
          <w:rFonts w:eastAsiaTheme="minorHAnsi"/>
          <w:sz w:val="24"/>
          <w:szCs w:val="24"/>
        </w:rPr>
        <w:t xml:space="preserve">who committed multiple acts of negligence toward one patient was reprimanded and fined $7,500). </w:t>
      </w:r>
    </w:p>
    <w:p w14:paraId="2A4A66A5" w14:textId="18018E5D" w:rsidR="00A81AF7" w:rsidRDefault="00C9607B" w:rsidP="00C5256D">
      <w:pPr>
        <w:spacing w:after="160" w:line="360" w:lineRule="auto"/>
        <w:ind w:firstLine="720"/>
        <w:jc w:val="both"/>
        <w:rPr>
          <w:rFonts w:eastAsiaTheme="minorHAnsi"/>
          <w:sz w:val="24"/>
          <w:szCs w:val="24"/>
        </w:rPr>
      </w:pPr>
      <w:r>
        <w:rPr>
          <w:rFonts w:eastAsiaTheme="minorHAnsi"/>
          <w:sz w:val="24"/>
          <w:szCs w:val="24"/>
        </w:rPr>
        <w:t xml:space="preserve">The civil malpractice jury found the Respondent to be grossly negligent in his treatment of Patient A, who ultimately died days after surgery. </w:t>
      </w:r>
      <w:r w:rsidR="003D398C">
        <w:rPr>
          <w:rFonts w:eastAsiaTheme="minorHAnsi"/>
          <w:sz w:val="24"/>
          <w:szCs w:val="24"/>
        </w:rPr>
        <w:t xml:space="preserve">The civil gross negligence verdict permits the Board to find that the Respondent engaged in conduct </w:t>
      </w:r>
      <w:r>
        <w:rPr>
          <w:rFonts w:eastAsiaTheme="minorHAnsi"/>
          <w:sz w:val="24"/>
          <w:szCs w:val="24"/>
        </w:rPr>
        <w:t xml:space="preserve">that places into question his competence to practice medicine. </w:t>
      </w:r>
    </w:p>
    <w:p w14:paraId="1356D28C" w14:textId="5D366575" w:rsidR="000A4A3B" w:rsidRDefault="00133C7C" w:rsidP="00C5256D">
      <w:pPr>
        <w:spacing w:line="360" w:lineRule="auto"/>
        <w:ind w:firstLine="720"/>
        <w:jc w:val="both"/>
        <w:rPr>
          <w:sz w:val="24"/>
          <w:szCs w:val="24"/>
        </w:rPr>
      </w:pPr>
      <w:r w:rsidRPr="000A4A3B">
        <w:rPr>
          <w:sz w:val="24"/>
          <w:szCs w:val="24"/>
        </w:rPr>
        <w:t xml:space="preserve">The Board considers, as a mitigating circumstance, that the Respondent completed a clinical skills assessment by </w:t>
      </w:r>
      <w:r w:rsidR="00BC51A5">
        <w:rPr>
          <w:sz w:val="24"/>
          <w:szCs w:val="24"/>
        </w:rPr>
        <w:t>Board</w:t>
      </w:r>
      <w:r w:rsidR="000A4A3B" w:rsidRPr="000A4A3B">
        <w:rPr>
          <w:sz w:val="24"/>
          <w:szCs w:val="24"/>
        </w:rPr>
        <w:t xml:space="preserve">-approved entity, </w:t>
      </w:r>
      <w:proofErr w:type="spellStart"/>
      <w:r w:rsidR="000A4A3B" w:rsidRPr="000A4A3B">
        <w:rPr>
          <w:sz w:val="24"/>
          <w:szCs w:val="24"/>
        </w:rPr>
        <w:t>LifeGuard</w:t>
      </w:r>
      <w:proofErr w:type="spellEnd"/>
      <w:r w:rsidR="000A4A3B" w:rsidRPr="000A4A3B">
        <w:rPr>
          <w:sz w:val="24"/>
          <w:szCs w:val="24"/>
        </w:rPr>
        <w:t>, more than six months prior to the Board’s issuing the SOA. The report, which evaluates the Respondent’s surgical knowledge and judgments favorably, states</w:t>
      </w:r>
      <w:r w:rsidR="00387ECF">
        <w:rPr>
          <w:sz w:val="24"/>
          <w:szCs w:val="24"/>
        </w:rPr>
        <w:t xml:space="preserve"> that</w:t>
      </w:r>
      <w:r w:rsidR="000A4A3B" w:rsidRPr="000A4A3B">
        <w:rPr>
          <w:sz w:val="24"/>
          <w:szCs w:val="24"/>
        </w:rPr>
        <w:t>:</w:t>
      </w:r>
      <w:r w:rsidRPr="000A4A3B">
        <w:rPr>
          <w:sz w:val="24"/>
          <w:szCs w:val="24"/>
        </w:rPr>
        <w:t xml:space="preserve"> </w:t>
      </w:r>
      <w:r w:rsidR="000A4A3B" w:rsidRPr="000A4A3B">
        <w:rPr>
          <w:sz w:val="24"/>
          <w:szCs w:val="24"/>
        </w:rPr>
        <w:t>1)</w:t>
      </w:r>
      <w:r w:rsidRPr="000A4A3B">
        <w:rPr>
          <w:sz w:val="24"/>
          <w:szCs w:val="24"/>
        </w:rPr>
        <w:t xml:space="preserve"> </w:t>
      </w:r>
      <w:r w:rsidR="00387ECF">
        <w:rPr>
          <w:sz w:val="24"/>
          <w:szCs w:val="24"/>
        </w:rPr>
        <w:t>the Respondent</w:t>
      </w:r>
      <w:r w:rsidRPr="000A4A3B">
        <w:rPr>
          <w:sz w:val="24"/>
          <w:szCs w:val="24"/>
        </w:rPr>
        <w:t xml:space="preserve"> had already ceased using the Ethicon Secure Strap in diaphragmatic hiatal hernia repairs</w:t>
      </w:r>
      <w:r w:rsidR="00387ECF">
        <w:rPr>
          <w:sz w:val="24"/>
          <w:szCs w:val="24"/>
        </w:rPr>
        <w:t xml:space="preserve"> at the time of the assessment</w:t>
      </w:r>
      <w:r w:rsidR="000A4A3B" w:rsidRPr="000A4A3B">
        <w:rPr>
          <w:sz w:val="24"/>
          <w:szCs w:val="24"/>
        </w:rPr>
        <w:t xml:space="preserve">; </w:t>
      </w:r>
      <w:r w:rsidR="00387ECF">
        <w:rPr>
          <w:sz w:val="24"/>
          <w:szCs w:val="24"/>
        </w:rPr>
        <w:t xml:space="preserve">and </w:t>
      </w:r>
      <w:r w:rsidR="000A4A3B" w:rsidRPr="000A4A3B">
        <w:rPr>
          <w:sz w:val="24"/>
          <w:szCs w:val="24"/>
        </w:rPr>
        <w:t>2)</w:t>
      </w:r>
      <w:r w:rsidRPr="000A4A3B">
        <w:rPr>
          <w:sz w:val="24"/>
          <w:szCs w:val="24"/>
        </w:rPr>
        <w:t xml:space="preserve"> </w:t>
      </w:r>
      <w:r w:rsidR="009C4692">
        <w:rPr>
          <w:sz w:val="24"/>
          <w:szCs w:val="24"/>
        </w:rPr>
        <w:t>the Respondent</w:t>
      </w:r>
      <w:r w:rsidRPr="000A4A3B">
        <w:rPr>
          <w:sz w:val="24"/>
          <w:szCs w:val="24"/>
        </w:rPr>
        <w:t xml:space="preserve"> fully understands the responsibility that accompanies surgical judgement and technique</w:t>
      </w:r>
      <w:r w:rsidR="009C4692">
        <w:rPr>
          <w:sz w:val="24"/>
          <w:szCs w:val="24"/>
        </w:rPr>
        <w:t>, and he</w:t>
      </w:r>
      <w:r w:rsidRPr="000A4A3B">
        <w:rPr>
          <w:sz w:val="24"/>
          <w:szCs w:val="24"/>
        </w:rPr>
        <w:t xml:space="preserve"> recognizes that both simple and high-tech surgical instruments can provide great patient benefit or can be potentially hazardous depending on where and how they are used in any surgical situation.</w:t>
      </w:r>
    </w:p>
    <w:p w14:paraId="7B422D53" w14:textId="76636789" w:rsidR="00480059" w:rsidRPr="00745219" w:rsidRDefault="000A4A3B" w:rsidP="00C5256D">
      <w:pPr>
        <w:spacing w:line="360" w:lineRule="auto"/>
        <w:ind w:firstLine="720"/>
        <w:jc w:val="both"/>
        <w:rPr>
          <w:sz w:val="24"/>
          <w:szCs w:val="24"/>
        </w:rPr>
      </w:pPr>
      <w:r>
        <w:rPr>
          <w:sz w:val="24"/>
          <w:szCs w:val="24"/>
        </w:rPr>
        <w:t xml:space="preserve">In consideration </w:t>
      </w:r>
      <w:r w:rsidR="00EC684F">
        <w:rPr>
          <w:sz w:val="24"/>
          <w:szCs w:val="24"/>
        </w:rPr>
        <w:t xml:space="preserve">of </w:t>
      </w:r>
      <w:r>
        <w:rPr>
          <w:sz w:val="24"/>
          <w:szCs w:val="24"/>
        </w:rPr>
        <w:t>the Respondent’s use of a device in explicit contraindication of the manufacturer’s instructions on Patient A</w:t>
      </w:r>
      <w:r w:rsidR="00EC684F">
        <w:rPr>
          <w:sz w:val="24"/>
          <w:szCs w:val="24"/>
        </w:rPr>
        <w:t xml:space="preserve">, and in consideration of a mitigating factor, the Respondent’s </w:t>
      </w:r>
      <w:r w:rsidR="00387ECF">
        <w:rPr>
          <w:sz w:val="24"/>
          <w:szCs w:val="24"/>
        </w:rPr>
        <w:t xml:space="preserve">having </w:t>
      </w:r>
      <w:r w:rsidR="00EC684F">
        <w:rPr>
          <w:sz w:val="24"/>
          <w:szCs w:val="24"/>
        </w:rPr>
        <w:t>complet</w:t>
      </w:r>
      <w:r w:rsidR="00387ECF">
        <w:rPr>
          <w:sz w:val="24"/>
          <w:szCs w:val="24"/>
        </w:rPr>
        <w:t>ed</w:t>
      </w:r>
      <w:r w:rsidR="00EC684F">
        <w:rPr>
          <w:sz w:val="24"/>
          <w:szCs w:val="24"/>
        </w:rPr>
        <w:t xml:space="preserve"> a clinical skills assessment and receiv</w:t>
      </w:r>
      <w:r w:rsidR="00387ECF">
        <w:rPr>
          <w:sz w:val="24"/>
          <w:szCs w:val="24"/>
        </w:rPr>
        <w:t>ed</w:t>
      </w:r>
      <w:r w:rsidR="00EC684F">
        <w:rPr>
          <w:sz w:val="24"/>
          <w:szCs w:val="24"/>
        </w:rPr>
        <w:t xml:space="preserve"> a favorable assessment,  prior to the Board’s issuing its SOA, the Board hereby imposes a REPRIMAND</w:t>
      </w:r>
      <w:r>
        <w:rPr>
          <w:sz w:val="24"/>
          <w:szCs w:val="24"/>
        </w:rPr>
        <w:t xml:space="preserve">  </w:t>
      </w:r>
      <w:r w:rsidR="00EC684F">
        <w:rPr>
          <w:sz w:val="24"/>
          <w:szCs w:val="24"/>
        </w:rPr>
        <w:t>as the sanction in this matter.</w:t>
      </w:r>
      <w:r w:rsidR="00F930AC">
        <w:rPr>
          <w:rFonts w:eastAsiaTheme="minorHAnsi"/>
          <w:sz w:val="24"/>
          <w:szCs w:val="24"/>
        </w:rPr>
        <w:t xml:space="preserve"> </w:t>
      </w:r>
    </w:p>
    <w:p w14:paraId="48892E9A" w14:textId="026BE868" w:rsidR="00E3380B" w:rsidRDefault="00E3380B" w:rsidP="00C5256D">
      <w:pPr>
        <w:pStyle w:val="BodyText"/>
        <w:spacing w:line="360" w:lineRule="auto"/>
        <w:ind w:left="154" w:right="106" w:firstLine="716"/>
        <w:jc w:val="both"/>
        <w:rPr>
          <w:sz w:val="24"/>
        </w:rPr>
      </w:pPr>
      <w:r>
        <w:rPr>
          <w:w w:val="105"/>
        </w:rPr>
        <w:t>The Respondent shall provide a complete copy of</w:t>
      </w:r>
      <w:r>
        <w:rPr>
          <w:spacing w:val="-1"/>
          <w:w w:val="105"/>
        </w:rPr>
        <w:t xml:space="preserve"> </w:t>
      </w:r>
      <w:r>
        <w:rPr>
          <w:w w:val="105"/>
        </w:rPr>
        <w:t>this Final Decision and Order, with all exhibits and attachments within ten (10) days by certified mail, return receipt requested,</w:t>
      </w:r>
      <w:r>
        <w:rPr>
          <w:spacing w:val="-7"/>
          <w:w w:val="105"/>
        </w:rPr>
        <w:t xml:space="preserve"> </w:t>
      </w:r>
      <w:r>
        <w:rPr>
          <w:w w:val="105"/>
        </w:rPr>
        <w:t>or by</w:t>
      </w:r>
      <w:r>
        <w:rPr>
          <w:spacing w:val="-3"/>
          <w:w w:val="105"/>
        </w:rPr>
        <w:t xml:space="preserve"> </w:t>
      </w:r>
      <w:r>
        <w:rPr>
          <w:w w:val="105"/>
        </w:rPr>
        <w:t>hand</w:t>
      </w:r>
      <w:r>
        <w:rPr>
          <w:spacing w:val="-2"/>
          <w:w w:val="105"/>
        </w:rPr>
        <w:t xml:space="preserve"> </w:t>
      </w:r>
      <w:r>
        <w:rPr>
          <w:w w:val="105"/>
        </w:rPr>
        <w:t>delivery to</w:t>
      </w:r>
      <w:r>
        <w:rPr>
          <w:spacing w:val="-16"/>
          <w:w w:val="105"/>
        </w:rPr>
        <w:t xml:space="preserve"> </w:t>
      </w:r>
      <w:r>
        <w:rPr>
          <w:w w:val="105"/>
        </w:rPr>
        <w:t>the</w:t>
      </w:r>
      <w:r>
        <w:rPr>
          <w:spacing w:val="-14"/>
          <w:w w:val="105"/>
        </w:rPr>
        <w:t xml:space="preserve"> </w:t>
      </w:r>
      <w:r>
        <w:rPr>
          <w:w w:val="105"/>
        </w:rPr>
        <w:t>following designated entities:</w:t>
      </w:r>
      <w:r>
        <w:rPr>
          <w:spacing w:val="40"/>
          <w:w w:val="105"/>
        </w:rPr>
        <w:t xml:space="preserve"> </w:t>
      </w:r>
      <w:r>
        <w:rPr>
          <w:w w:val="105"/>
        </w:rPr>
        <w:t>any</w:t>
      </w:r>
      <w:r>
        <w:rPr>
          <w:spacing w:val="-6"/>
          <w:w w:val="105"/>
        </w:rPr>
        <w:t xml:space="preserve"> </w:t>
      </w:r>
      <w:r>
        <w:rPr>
          <w:w w:val="105"/>
        </w:rPr>
        <w:t>in-</w:t>
      </w:r>
      <w:r>
        <w:rPr>
          <w:spacing w:val="-9"/>
          <w:w w:val="105"/>
        </w:rPr>
        <w:t xml:space="preserve"> </w:t>
      </w:r>
      <w:r>
        <w:rPr>
          <w:w w:val="105"/>
        </w:rPr>
        <w:t>or</w:t>
      </w:r>
      <w:r>
        <w:rPr>
          <w:spacing w:val="-14"/>
          <w:w w:val="105"/>
        </w:rPr>
        <w:t xml:space="preserve"> </w:t>
      </w:r>
      <w:r>
        <w:rPr>
          <w:w w:val="105"/>
        </w:rPr>
        <w:t>out-of-state hospital, nursing home, clinic, other licensed facility, or municipal, state, or federal facility</w:t>
      </w:r>
      <w:r>
        <w:rPr>
          <w:spacing w:val="65"/>
          <w:w w:val="105"/>
        </w:rPr>
        <w:t xml:space="preserve"> </w:t>
      </w:r>
      <w:r>
        <w:rPr>
          <w:w w:val="105"/>
        </w:rPr>
        <w:t>at</w:t>
      </w:r>
      <w:r>
        <w:rPr>
          <w:spacing w:val="60"/>
          <w:w w:val="105"/>
        </w:rPr>
        <w:t xml:space="preserve"> </w:t>
      </w:r>
      <w:r>
        <w:rPr>
          <w:w w:val="105"/>
        </w:rPr>
        <w:t>which</w:t>
      </w:r>
      <w:r>
        <w:rPr>
          <w:spacing w:val="64"/>
          <w:w w:val="105"/>
        </w:rPr>
        <w:t xml:space="preserve"> </w:t>
      </w:r>
      <w:r>
        <w:rPr>
          <w:w w:val="105"/>
        </w:rPr>
        <w:t>he</w:t>
      </w:r>
      <w:r>
        <w:rPr>
          <w:spacing w:val="63"/>
          <w:w w:val="105"/>
        </w:rPr>
        <w:t xml:space="preserve"> </w:t>
      </w:r>
      <w:r>
        <w:rPr>
          <w:w w:val="105"/>
        </w:rPr>
        <w:t>practices</w:t>
      </w:r>
      <w:r>
        <w:rPr>
          <w:spacing w:val="70"/>
          <w:w w:val="105"/>
        </w:rPr>
        <w:t xml:space="preserve"> </w:t>
      </w:r>
      <w:r>
        <w:rPr>
          <w:w w:val="105"/>
        </w:rPr>
        <w:t>medicine;</w:t>
      </w:r>
      <w:r>
        <w:rPr>
          <w:spacing w:val="69"/>
          <w:w w:val="105"/>
        </w:rPr>
        <w:t xml:space="preserve"> </w:t>
      </w:r>
      <w:r>
        <w:rPr>
          <w:w w:val="105"/>
        </w:rPr>
        <w:t>any</w:t>
      </w:r>
      <w:r>
        <w:rPr>
          <w:spacing w:val="70"/>
          <w:w w:val="105"/>
        </w:rPr>
        <w:t xml:space="preserve"> </w:t>
      </w:r>
      <w:r>
        <w:rPr>
          <w:w w:val="105"/>
        </w:rPr>
        <w:t>in-</w:t>
      </w:r>
      <w:r>
        <w:rPr>
          <w:spacing w:val="61"/>
          <w:w w:val="105"/>
        </w:rPr>
        <w:t xml:space="preserve"> </w:t>
      </w:r>
      <w:r>
        <w:rPr>
          <w:w w:val="105"/>
        </w:rPr>
        <w:t>or</w:t>
      </w:r>
      <w:r>
        <w:rPr>
          <w:spacing w:val="40"/>
          <w:w w:val="105"/>
        </w:rPr>
        <w:t xml:space="preserve"> </w:t>
      </w:r>
      <w:r>
        <w:rPr>
          <w:w w:val="105"/>
        </w:rPr>
        <w:t>out-of-state</w:t>
      </w:r>
      <w:r>
        <w:rPr>
          <w:spacing w:val="80"/>
          <w:w w:val="105"/>
        </w:rPr>
        <w:t xml:space="preserve"> </w:t>
      </w:r>
      <w:r>
        <w:rPr>
          <w:w w:val="105"/>
        </w:rPr>
        <w:t>health</w:t>
      </w:r>
      <w:r>
        <w:rPr>
          <w:spacing w:val="65"/>
          <w:w w:val="105"/>
        </w:rPr>
        <w:t xml:space="preserve"> </w:t>
      </w:r>
      <w:r>
        <w:rPr>
          <w:w w:val="105"/>
        </w:rPr>
        <w:t>maintenance</w:t>
      </w:r>
      <w:r w:rsidR="00D7112B">
        <w:rPr>
          <w:w w:val="105"/>
        </w:rPr>
        <w:t xml:space="preserve"> o</w:t>
      </w:r>
      <w:r>
        <w:rPr>
          <w:sz w:val="24"/>
        </w:rPr>
        <w:t xml:space="preserve">rganization with whom he </w:t>
      </w:r>
      <w:r>
        <w:rPr>
          <w:sz w:val="24"/>
        </w:rPr>
        <w:lastRenderedPageBreak/>
        <w:t>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w:t>
      </w:r>
      <w:r>
        <w:rPr>
          <w:spacing w:val="40"/>
          <w:sz w:val="24"/>
        </w:rPr>
        <w:t xml:space="preserve"> </w:t>
      </w:r>
      <w:r>
        <w:rPr>
          <w:sz w:val="24"/>
        </w:rPr>
        <w:t>The Respondent shall also provide this</w:t>
      </w:r>
      <w:r>
        <w:rPr>
          <w:spacing w:val="-1"/>
          <w:sz w:val="24"/>
        </w:rPr>
        <w:t xml:space="preserve"> </w:t>
      </w:r>
      <w:r>
        <w:rPr>
          <w:sz w:val="24"/>
        </w:rPr>
        <w:t>notification to</w:t>
      </w:r>
      <w:r>
        <w:rPr>
          <w:spacing w:val="-3"/>
          <w:sz w:val="24"/>
        </w:rPr>
        <w:t xml:space="preserve"> </w:t>
      </w:r>
      <w:r>
        <w:rPr>
          <w:sz w:val="24"/>
        </w:rPr>
        <w:t xml:space="preserve">any such designated entities with which he becomes associated </w:t>
      </w:r>
      <w:r w:rsidR="00863E22">
        <w:rPr>
          <w:sz w:val="24"/>
        </w:rPr>
        <w:t>in the year following the date of imposition of this reprimand</w:t>
      </w:r>
      <w:r>
        <w:rPr>
          <w:sz w:val="24"/>
        </w:rPr>
        <w:t>.</w:t>
      </w:r>
      <w:r>
        <w:rPr>
          <w:spacing w:val="40"/>
          <w:sz w:val="24"/>
        </w:rPr>
        <w:t xml:space="preserve"> </w:t>
      </w:r>
      <w:r>
        <w:rPr>
          <w:sz w:val="24"/>
        </w:rPr>
        <w:t>The Respondent is further directed to certify to the Board within ten (10) days that he has complied with this directive.</w:t>
      </w:r>
      <w:r>
        <w:rPr>
          <w:spacing w:val="80"/>
          <w:sz w:val="24"/>
        </w:rPr>
        <w:t xml:space="preserve"> </w:t>
      </w:r>
      <w:r>
        <w:rPr>
          <w:sz w:val="24"/>
        </w:rPr>
        <w:t>The Board expressly reserves the authority to independently notify, at any time, any of the entities designated above, or any other affected entity, of any action it has taken. The Respondent</w:t>
      </w:r>
      <w:r>
        <w:rPr>
          <w:spacing w:val="40"/>
          <w:sz w:val="24"/>
        </w:rPr>
        <w:t xml:space="preserve"> </w:t>
      </w:r>
      <w:r>
        <w:rPr>
          <w:sz w:val="24"/>
        </w:rPr>
        <w:t>has the right to appeal this Final Decision and Order within thirty (30) days, pursuant to G.L. c. 30A, §§14 and 15, and G.L. c. 112, § 64.</w:t>
      </w:r>
    </w:p>
    <w:p w14:paraId="51CD9B2B" w14:textId="77777777" w:rsidR="00E3380B" w:rsidRDefault="00E3380B" w:rsidP="00C5256D">
      <w:pPr>
        <w:pStyle w:val="BodyText"/>
        <w:spacing w:line="360" w:lineRule="auto"/>
        <w:jc w:val="both"/>
        <w:rPr>
          <w:sz w:val="26"/>
        </w:rPr>
      </w:pPr>
    </w:p>
    <w:p w14:paraId="57C69690" w14:textId="77777777" w:rsidR="00E3380B" w:rsidRDefault="00E3380B" w:rsidP="00C5256D">
      <w:pPr>
        <w:pStyle w:val="BodyText"/>
        <w:spacing w:line="360" w:lineRule="auto"/>
        <w:rPr>
          <w:sz w:val="26"/>
        </w:rPr>
      </w:pPr>
    </w:p>
    <w:p w14:paraId="29D409C6" w14:textId="77777777" w:rsidR="00032E70" w:rsidRDefault="00032E70" w:rsidP="00032E70">
      <w:pPr>
        <w:rPr>
          <w:szCs w:val="24"/>
        </w:rPr>
      </w:pPr>
    </w:p>
    <w:p w14:paraId="4687C107" w14:textId="1626B4C7" w:rsidR="00032E70" w:rsidRDefault="00032E70" w:rsidP="00032E70">
      <w:pPr>
        <w:ind w:left="90"/>
        <w:rPr>
          <w:szCs w:val="24"/>
        </w:rPr>
      </w:pPr>
      <w:r>
        <w:rPr>
          <w:szCs w:val="24"/>
        </w:rPr>
        <w:t>Date:  May 11, 2023</w:t>
      </w:r>
      <w:r>
        <w:rPr>
          <w:szCs w:val="24"/>
        </w:rPr>
        <w:tab/>
      </w:r>
      <w:r>
        <w:rPr>
          <w:szCs w:val="24"/>
        </w:rPr>
        <w:tab/>
      </w:r>
      <w:r>
        <w:rPr>
          <w:szCs w:val="24"/>
        </w:rPr>
        <w:tab/>
      </w:r>
      <w:r w:rsidR="0048161D" w:rsidRPr="0048161D">
        <w:rPr>
          <w:szCs w:val="24"/>
          <w:u w:val="single"/>
        </w:rPr>
        <w:t>Signed by Holly Oh, M.D.</w:t>
      </w:r>
      <w:r>
        <w:rPr>
          <w:szCs w:val="24"/>
        </w:rPr>
        <w:t>_</w:t>
      </w:r>
      <w:r>
        <w:rPr>
          <w:szCs w:val="24"/>
        </w:rPr>
        <w:tab/>
      </w:r>
    </w:p>
    <w:p w14:paraId="61050A0D" w14:textId="77777777" w:rsidR="00032E70" w:rsidRDefault="00032E70" w:rsidP="00032E70">
      <w:pPr>
        <w:rPr>
          <w:szCs w:val="24"/>
        </w:rPr>
      </w:pPr>
      <w:r>
        <w:rPr>
          <w:szCs w:val="24"/>
        </w:rPr>
        <w:tab/>
      </w:r>
      <w:r>
        <w:rPr>
          <w:szCs w:val="24"/>
        </w:rPr>
        <w:tab/>
      </w:r>
      <w:r>
        <w:rPr>
          <w:szCs w:val="24"/>
        </w:rPr>
        <w:tab/>
      </w:r>
      <w:r>
        <w:rPr>
          <w:szCs w:val="24"/>
        </w:rPr>
        <w:tab/>
      </w:r>
      <w:r>
        <w:rPr>
          <w:szCs w:val="24"/>
        </w:rPr>
        <w:tab/>
        <w:t xml:space="preserve">Holly Oh, M.D. </w:t>
      </w:r>
    </w:p>
    <w:p w14:paraId="195F6CC4" w14:textId="77777777" w:rsidR="00032E70" w:rsidRDefault="00032E70" w:rsidP="00032E70">
      <w:pPr>
        <w:rPr>
          <w:szCs w:val="20"/>
        </w:rPr>
      </w:pPr>
      <w:r>
        <w:rPr>
          <w:szCs w:val="24"/>
        </w:rPr>
        <w:tab/>
      </w:r>
      <w:r>
        <w:rPr>
          <w:szCs w:val="24"/>
        </w:rPr>
        <w:tab/>
      </w:r>
      <w:r>
        <w:rPr>
          <w:szCs w:val="24"/>
        </w:rPr>
        <w:tab/>
      </w:r>
      <w:r>
        <w:rPr>
          <w:szCs w:val="24"/>
        </w:rPr>
        <w:tab/>
      </w:r>
      <w:r>
        <w:rPr>
          <w:szCs w:val="24"/>
        </w:rPr>
        <w:tab/>
        <w:t>Vice Chair</w:t>
      </w:r>
    </w:p>
    <w:p w14:paraId="749529D1" w14:textId="77777777" w:rsidR="00622C11" w:rsidRDefault="00622C11" w:rsidP="00E3380B">
      <w:pPr>
        <w:spacing w:line="268" w:lineRule="exact"/>
        <w:ind w:left="3753"/>
        <w:rPr>
          <w:sz w:val="24"/>
        </w:rPr>
      </w:pPr>
    </w:p>
    <w:p w14:paraId="25633A3B" w14:textId="77777777" w:rsidR="00D447AD" w:rsidRDefault="00D447AD"/>
    <w:sectPr w:rsidR="00D447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6FD4" w14:textId="77777777" w:rsidR="00A26518" w:rsidRDefault="00A26518" w:rsidP="003834A2">
      <w:r>
        <w:separator/>
      </w:r>
    </w:p>
  </w:endnote>
  <w:endnote w:type="continuationSeparator" w:id="0">
    <w:p w14:paraId="6EF05799" w14:textId="77777777" w:rsidR="00A26518" w:rsidRDefault="00A26518" w:rsidP="0038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64806"/>
      <w:docPartObj>
        <w:docPartGallery w:val="Page Numbers (Bottom of Page)"/>
        <w:docPartUnique/>
      </w:docPartObj>
    </w:sdtPr>
    <w:sdtEndPr>
      <w:rPr>
        <w:noProof/>
      </w:rPr>
    </w:sdtEndPr>
    <w:sdtContent>
      <w:p w14:paraId="77B5BC56" w14:textId="38F33751" w:rsidR="006C6747" w:rsidRDefault="006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B57ED" w14:textId="0358C3F8" w:rsidR="00FB3E9D"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9C9E" w14:textId="77777777" w:rsidR="00A26518" w:rsidRDefault="00A26518" w:rsidP="003834A2">
      <w:r>
        <w:separator/>
      </w:r>
    </w:p>
  </w:footnote>
  <w:footnote w:type="continuationSeparator" w:id="0">
    <w:p w14:paraId="7DDE5C96" w14:textId="77777777" w:rsidR="00A26518" w:rsidRDefault="00A26518" w:rsidP="003834A2">
      <w:r>
        <w:continuationSeparator/>
      </w:r>
    </w:p>
  </w:footnote>
  <w:footnote w:id="1">
    <w:p w14:paraId="1467A2B3" w14:textId="3F539F1C" w:rsidR="008976FA" w:rsidRDefault="008976FA" w:rsidP="008645E9">
      <w:pPr>
        <w:pStyle w:val="FootnoteText"/>
        <w:jc w:val="both"/>
      </w:pPr>
      <w:r>
        <w:rPr>
          <w:rStyle w:val="FootnoteReference"/>
        </w:rPr>
        <w:footnoteRef/>
      </w:r>
      <w:r>
        <w:t xml:space="preserve"> </w:t>
      </w:r>
      <w:r w:rsidR="000A3299">
        <w:t xml:space="preserve">Gross negligence is a basis for Board discipline pursuant to </w:t>
      </w:r>
      <w:r w:rsidR="00F458CA">
        <w:t xml:space="preserve">M.G.L. c. 112, </w:t>
      </w:r>
      <w:r w:rsidR="00D522E7">
        <w:t>sec.</w:t>
      </w:r>
      <w:r w:rsidR="00BA671E">
        <w:t xml:space="preserve"> 5, eighth par. (c) and 243 CMR 1.03(5)(a)3. </w:t>
      </w:r>
    </w:p>
  </w:footnote>
  <w:footnote w:id="2">
    <w:p w14:paraId="75515199" w14:textId="0852D6AB" w:rsidR="00E44506" w:rsidRDefault="00E44506" w:rsidP="008645E9">
      <w:pPr>
        <w:pStyle w:val="FootnoteText"/>
        <w:jc w:val="both"/>
      </w:pPr>
      <w:r>
        <w:rPr>
          <w:rStyle w:val="FootnoteReference"/>
        </w:rPr>
        <w:footnoteRef/>
      </w:r>
      <w:r>
        <w:t xml:space="preserve"> </w:t>
      </w:r>
      <w:r w:rsidR="005B596A">
        <w:t xml:space="preserve">Malpractice is a basis for Board discipline pursuant to M.G.L. c. 112, sec 61. </w:t>
      </w:r>
    </w:p>
  </w:footnote>
  <w:footnote w:id="3">
    <w:p w14:paraId="3D877416" w14:textId="7F74240C" w:rsidR="00FF7AB0" w:rsidRDefault="00FF7AB0" w:rsidP="008645E9">
      <w:pPr>
        <w:pStyle w:val="FootnoteText"/>
        <w:jc w:val="both"/>
      </w:pPr>
      <w:r>
        <w:rPr>
          <w:rStyle w:val="FootnoteReference"/>
        </w:rPr>
        <w:footnoteRef/>
      </w:r>
      <w:r>
        <w:t xml:space="preserve"> Complaint Counsel is Rachel Shute. Attorney Megan Grew Pimentel represents </w:t>
      </w:r>
      <w:r w:rsidR="008976FA">
        <w:t xml:space="preserve">the Respondent. </w:t>
      </w:r>
    </w:p>
  </w:footnote>
  <w:footnote w:id="4">
    <w:p w14:paraId="387C91B0" w14:textId="0C1B360A" w:rsidR="00CE56C8" w:rsidRDefault="00CE56C8" w:rsidP="008645E9">
      <w:pPr>
        <w:pStyle w:val="FootnoteText"/>
        <w:jc w:val="both"/>
      </w:pPr>
      <w:r>
        <w:rPr>
          <w:rStyle w:val="FootnoteReference"/>
        </w:rPr>
        <w:footnoteRef/>
      </w:r>
      <w:r>
        <w:t xml:space="preserve"> When a Party is of the opinion that there is no genuine issue of fact relating to one or more of the claims, he may move for summary decision as to the claim(s). 801 CMR 1.01(7)(h).</w:t>
      </w:r>
    </w:p>
  </w:footnote>
  <w:footnote w:id="5">
    <w:p w14:paraId="250F941E" w14:textId="4D80F8E8" w:rsidR="000630DF" w:rsidRDefault="000630DF" w:rsidP="008645E9">
      <w:pPr>
        <w:pStyle w:val="FootnoteText"/>
        <w:jc w:val="both"/>
      </w:pPr>
      <w:r>
        <w:rPr>
          <w:rStyle w:val="FootnoteReference"/>
        </w:rPr>
        <w:footnoteRef/>
      </w:r>
      <w:r>
        <w:t xml:space="preserve"> </w:t>
      </w:r>
      <w:r w:rsidR="00251984" w:rsidRPr="0076396A">
        <w:rPr>
          <w:i/>
          <w:iCs/>
        </w:rPr>
        <w:t>Parsons v. Ameri</w:t>
      </w:r>
      <w:r w:rsidR="00251984">
        <w:t>, 97 Mass.App.Ct. 96 (</w:t>
      </w:r>
      <w:r w:rsidR="0076396A">
        <w:t>2020).</w:t>
      </w:r>
      <w:r w:rsidR="004F3201">
        <w:t xml:space="preserve"> </w:t>
      </w:r>
      <w:r w:rsidR="004F3201">
        <w:rPr>
          <w:w w:val="105"/>
        </w:rPr>
        <w:t>Following a six-day trial, the jury found, by a preponderance of the evidence that the Respondent was grossly negligent in his performance of hiatal hernia surgery on Patient A.</w:t>
      </w:r>
    </w:p>
  </w:footnote>
  <w:footnote w:id="6">
    <w:p w14:paraId="34B8476F" w14:textId="61213FE6" w:rsidR="00581623" w:rsidRDefault="00581623" w:rsidP="008645E9">
      <w:pPr>
        <w:pStyle w:val="FootnoteText"/>
        <w:jc w:val="both"/>
      </w:pPr>
      <w:r>
        <w:rPr>
          <w:rStyle w:val="FootnoteReference"/>
        </w:rPr>
        <w:footnoteRef/>
      </w:r>
      <w:r>
        <w:t xml:space="preserve"> </w:t>
      </w:r>
      <w:r w:rsidR="00CF6DC4">
        <w:t xml:space="preserve">The Board </w:t>
      </w:r>
      <w:r w:rsidR="00DB5092">
        <w:t xml:space="preserve">has noted the </w:t>
      </w:r>
      <w:r w:rsidR="00DC1AF1">
        <w:t xml:space="preserve">Respondent’s Objections </w:t>
      </w:r>
      <w:r w:rsidR="00736C53">
        <w:t xml:space="preserve">and has provided an adequate statement of reasons </w:t>
      </w:r>
      <w:r w:rsidR="007C0D56">
        <w:t xml:space="preserve">for its decision; </w:t>
      </w:r>
      <w:r w:rsidR="00B91D1D">
        <w:t xml:space="preserve">the Board is not required to answer each specific objection in its </w:t>
      </w:r>
      <w:r w:rsidR="00997222">
        <w:t>d</w:t>
      </w:r>
      <w:r w:rsidR="00B91D1D">
        <w:t>ec</w:t>
      </w:r>
      <w:r w:rsidR="00997222">
        <w:t xml:space="preserve">ision. </w:t>
      </w:r>
      <w:r w:rsidR="00997222" w:rsidRPr="00D6506D">
        <w:rPr>
          <w:i/>
          <w:iCs/>
        </w:rPr>
        <w:t>Arthurs v. Board of Registration in Medicine</w:t>
      </w:r>
      <w:r w:rsidR="00EA403E" w:rsidRPr="00D6506D">
        <w:rPr>
          <w:i/>
          <w:iCs/>
        </w:rPr>
        <w:t xml:space="preserve">, </w:t>
      </w:r>
      <w:r w:rsidR="00EA403E">
        <w:t>383 Mass. 289</w:t>
      </w:r>
      <w:r w:rsidR="00561E71">
        <w:t>, 418 N.E.2</w:t>
      </w:r>
      <w:r w:rsidR="00CC3F74">
        <w:t>d 1236 (1981).</w:t>
      </w:r>
    </w:p>
  </w:footnote>
  <w:footnote w:id="7">
    <w:p w14:paraId="3082F28F" w14:textId="5D9DE1D3" w:rsidR="00F80E74" w:rsidRDefault="00F80E74">
      <w:pPr>
        <w:pStyle w:val="FootnoteText"/>
      </w:pPr>
      <w:r>
        <w:rPr>
          <w:rStyle w:val="FootnoteReference"/>
        </w:rPr>
        <w:footnoteRef/>
      </w:r>
      <w:r w:rsidR="00200083">
        <w:t xml:space="preserve"> </w:t>
      </w:r>
      <w:r w:rsidR="00F23BAA" w:rsidRPr="00F23BAA">
        <w:rPr>
          <w:u w:val="single"/>
        </w:rPr>
        <w:t>See</w:t>
      </w:r>
      <w:r w:rsidR="00F23BAA">
        <w:t xml:space="preserve"> Recommended Decision at pp. 9-10.</w:t>
      </w:r>
      <w:r>
        <w:t xml:space="preserve"> </w:t>
      </w:r>
    </w:p>
  </w:footnote>
  <w:footnote w:id="8">
    <w:p w14:paraId="10CAC73E" w14:textId="77777777" w:rsidR="00434CC2" w:rsidRDefault="00434CC2" w:rsidP="00434CC2">
      <w:pPr>
        <w:jc w:val="both"/>
      </w:pPr>
      <w:r w:rsidRPr="00642F27">
        <w:rPr>
          <w:rStyle w:val="FootnoteReference"/>
        </w:rPr>
        <w:footnoteRef/>
      </w:r>
      <w:r>
        <w:rPr>
          <w:sz w:val="20"/>
          <w:szCs w:val="20"/>
        </w:rPr>
        <w:t>“</w:t>
      </w:r>
      <w:r w:rsidRPr="00642F27">
        <w:rPr>
          <w:sz w:val="20"/>
          <w:szCs w:val="20"/>
        </w:rPr>
        <w:t xml:space="preserve">No motion for new trial has been filed in the Superior Court based on Dr. Zuckerman’s letter.” </w:t>
      </w:r>
      <w:r>
        <w:t xml:space="preserve"> </w:t>
      </w:r>
    </w:p>
  </w:footnote>
  <w:footnote w:id="9">
    <w:p w14:paraId="4E4A4F25" w14:textId="77777777" w:rsidR="00434CC2" w:rsidRDefault="00434CC2" w:rsidP="00434CC2">
      <w:pPr>
        <w:pStyle w:val="FootnoteText"/>
      </w:pPr>
      <w:r>
        <w:rPr>
          <w:rStyle w:val="FootnoteReference"/>
        </w:rPr>
        <w:footnoteRef/>
      </w:r>
      <w:r>
        <w:t xml:space="preserve"> </w:t>
      </w:r>
      <w:r w:rsidRPr="007D7772">
        <w:t>“A new trial ought not be granted unless on a survey of the whole case it appears to the judge that otherwise a miscarriage of justice would result.” Id. at 216. (quotations omitted).</w:t>
      </w:r>
    </w:p>
  </w:footnote>
  <w:footnote w:id="10">
    <w:p w14:paraId="13CB0C12" w14:textId="77777777" w:rsidR="00434CC2" w:rsidRDefault="00434CC2" w:rsidP="00434CC2">
      <w:pPr>
        <w:pStyle w:val="FootnoteText"/>
        <w:jc w:val="both"/>
      </w:pPr>
      <w:r>
        <w:rPr>
          <w:rStyle w:val="FootnoteReference"/>
        </w:rPr>
        <w:footnoteRef/>
      </w:r>
      <w:r>
        <w:t xml:space="preserve"> </w:t>
      </w:r>
      <w:r w:rsidRPr="00D21431">
        <w:rPr>
          <w:u w:val="single"/>
        </w:rPr>
        <w:t>See</w:t>
      </w:r>
      <w:r w:rsidRPr="00D21431">
        <w:t xml:space="preserve"> </w:t>
      </w:r>
      <w:r w:rsidRPr="00D21431">
        <w:rPr>
          <w:u w:val="single"/>
        </w:rPr>
        <w:t>e.g.,</w:t>
      </w:r>
      <w:r w:rsidRPr="00D21431">
        <w:t xml:space="preserve"> </w:t>
      </w:r>
      <w:r w:rsidRPr="00D21431">
        <w:rPr>
          <w:i/>
          <w:iCs/>
        </w:rPr>
        <w:t>Board of Registration in Medicine v. Greineder</w:t>
      </w:r>
      <w:r w:rsidRPr="00D21431">
        <w:t xml:space="preserve">, Docket No.: RM-00-238 (Mass. Div. of Admin. Law App. August 27, 2001) (allowing motion for summary decision where physician was in the process of appealing his conviction for homicide); </w:t>
      </w:r>
      <w:r w:rsidRPr="00EC636B">
        <w:rPr>
          <w:i/>
          <w:iCs/>
        </w:rPr>
        <w:t>Board of Registration in Medicine v. Mukherjee</w:t>
      </w:r>
      <w:r w:rsidRPr="00D21431">
        <w:t>, Docket No.: RM-07-247 (Mass. Div. of Admin. Law App., July 17, 2007)(denying physician’s motion to stay administrative proceeding while he awaited the results of his criminal appeal)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524"/>
    <w:multiLevelType w:val="hybridMultilevel"/>
    <w:tmpl w:val="28D0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82A1B"/>
    <w:multiLevelType w:val="hybridMultilevel"/>
    <w:tmpl w:val="04FECCA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6F0991"/>
    <w:multiLevelType w:val="hybridMultilevel"/>
    <w:tmpl w:val="538A2CBA"/>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63C25DA"/>
    <w:multiLevelType w:val="hybridMultilevel"/>
    <w:tmpl w:val="0E0EB18A"/>
    <w:lvl w:ilvl="0" w:tplc="D054E0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BD5074"/>
    <w:multiLevelType w:val="hybridMultilevel"/>
    <w:tmpl w:val="3CC474B6"/>
    <w:lvl w:ilvl="0" w:tplc="7A86073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74B20"/>
    <w:multiLevelType w:val="hybridMultilevel"/>
    <w:tmpl w:val="923EB6F2"/>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6" w15:restartNumberingAfterBreak="0">
    <w:nsid w:val="6B711079"/>
    <w:multiLevelType w:val="hybridMultilevel"/>
    <w:tmpl w:val="5A4A483C"/>
    <w:lvl w:ilvl="0" w:tplc="3D04557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671131952">
    <w:abstractNumId w:val="4"/>
  </w:num>
  <w:num w:numId="2" w16cid:durableId="948778340">
    <w:abstractNumId w:val="0"/>
  </w:num>
  <w:num w:numId="3" w16cid:durableId="872574143">
    <w:abstractNumId w:val="3"/>
  </w:num>
  <w:num w:numId="4" w16cid:durableId="479082663">
    <w:abstractNumId w:val="5"/>
  </w:num>
  <w:num w:numId="5" w16cid:durableId="629021782">
    <w:abstractNumId w:val="6"/>
  </w:num>
  <w:num w:numId="6" w16cid:durableId="1377853446">
    <w:abstractNumId w:val="2"/>
  </w:num>
  <w:num w:numId="7" w16cid:durableId="52772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B"/>
    <w:rsid w:val="00001303"/>
    <w:rsid w:val="000023E0"/>
    <w:rsid w:val="00002AA1"/>
    <w:rsid w:val="000042B2"/>
    <w:rsid w:val="00004AC9"/>
    <w:rsid w:val="00010E19"/>
    <w:rsid w:val="00011C8C"/>
    <w:rsid w:val="0003299B"/>
    <w:rsid w:val="00032E70"/>
    <w:rsid w:val="00033978"/>
    <w:rsid w:val="000367B6"/>
    <w:rsid w:val="0003725C"/>
    <w:rsid w:val="00052BDE"/>
    <w:rsid w:val="000630DF"/>
    <w:rsid w:val="00064C7D"/>
    <w:rsid w:val="00064F49"/>
    <w:rsid w:val="00065158"/>
    <w:rsid w:val="0007370B"/>
    <w:rsid w:val="00076FBB"/>
    <w:rsid w:val="000817C5"/>
    <w:rsid w:val="0008325F"/>
    <w:rsid w:val="00085264"/>
    <w:rsid w:val="000861C8"/>
    <w:rsid w:val="00087BED"/>
    <w:rsid w:val="00087F24"/>
    <w:rsid w:val="00097616"/>
    <w:rsid w:val="000A3299"/>
    <w:rsid w:val="000A4A3B"/>
    <w:rsid w:val="000A6C26"/>
    <w:rsid w:val="000B6F95"/>
    <w:rsid w:val="000C2B39"/>
    <w:rsid w:val="000C2E4A"/>
    <w:rsid w:val="000C549F"/>
    <w:rsid w:val="000C5D11"/>
    <w:rsid w:val="000D3066"/>
    <w:rsid w:val="000E0821"/>
    <w:rsid w:val="000E0BDA"/>
    <w:rsid w:val="000E2459"/>
    <w:rsid w:val="000E7201"/>
    <w:rsid w:val="000F6CF4"/>
    <w:rsid w:val="000F76A9"/>
    <w:rsid w:val="00100654"/>
    <w:rsid w:val="00101BBF"/>
    <w:rsid w:val="00101D10"/>
    <w:rsid w:val="00102B2B"/>
    <w:rsid w:val="001040CC"/>
    <w:rsid w:val="001048B2"/>
    <w:rsid w:val="001302CE"/>
    <w:rsid w:val="00133C7C"/>
    <w:rsid w:val="001360FF"/>
    <w:rsid w:val="00141798"/>
    <w:rsid w:val="001548F0"/>
    <w:rsid w:val="00156BA2"/>
    <w:rsid w:val="0015794B"/>
    <w:rsid w:val="00157C89"/>
    <w:rsid w:val="00160AD5"/>
    <w:rsid w:val="001615B5"/>
    <w:rsid w:val="001645E5"/>
    <w:rsid w:val="00174342"/>
    <w:rsid w:val="0017447E"/>
    <w:rsid w:val="0017787B"/>
    <w:rsid w:val="00183CB1"/>
    <w:rsid w:val="00191F0E"/>
    <w:rsid w:val="00194E35"/>
    <w:rsid w:val="00194E8E"/>
    <w:rsid w:val="0019618B"/>
    <w:rsid w:val="001966CD"/>
    <w:rsid w:val="001A11D2"/>
    <w:rsid w:val="001A41EC"/>
    <w:rsid w:val="001A526F"/>
    <w:rsid w:val="001B0CC1"/>
    <w:rsid w:val="001B6068"/>
    <w:rsid w:val="001B64E7"/>
    <w:rsid w:val="001C4B8F"/>
    <w:rsid w:val="001D35E4"/>
    <w:rsid w:val="001E768D"/>
    <w:rsid w:val="001F1595"/>
    <w:rsid w:val="001F1FA1"/>
    <w:rsid w:val="00200083"/>
    <w:rsid w:val="00202D31"/>
    <w:rsid w:val="002101AB"/>
    <w:rsid w:val="002113B1"/>
    <w:rsid w:val="00221330"/>
    <w:rsid w:val="0022169F"/>
    <w:rsid w:val="00224ED6"/>
    <w:rsid w:val="00240ABE"/>
    <w:rsid w:val="00244CB8"/>
    <w:rsid w:val="00251984"/>
    <w:rsid w:val="00251D34"/>
    <w:rsid w:val="00253E28"/>
    <w:rsid w:val="00256009"/>
    <w:rsid w:val="0027669B"/>
    <w:rsid w:val="0028725C"/>
    <w:rsid w:val="002900C6"/>
    <w:rsid w:val="002A637D"/>
    <w:rsid w:val="002A68B8"/>
    <w:rsid w:val="002C0709"/>
    <w:rsid w:val="002C2BD4"/>
    <w:rsid w:val="002D686B"/>
    <w:rsid w:val="00300155"/>
    <w:rsid w:val="0030438D"/>
    <w:rsid w:val="00306F7F"/>
    <w:rsid w:val="0031215C"/>
    <w:rsid w:val="00323D68"/>
    <w:rsid w:val="00324045"/>
    <w:rsid w:val="00326C82"/>
    <w:rsid w:val="003313AA"/>
    <w:rsid w:val="00335B70"/>
    <w:rsid w:val="003444EE"/>
    <w:rsid w:val="003469A6"/>
    <w:rsid w:val="00350CD4"/>
    <w:rsid w:val="003558F9"/>
    <w:rsid w:val="003627E4"/>
    <w:rsid w:val="0036444A"/>
    <w:rsid w:val="003650B1"/>
    <w:rsid w:val="003774A2"/>
    <w:rsid w:val="003834A2"/>
    <w:rsid w:val="003878B4"/>
    <w:rsid w:val="00387ECF"/>
    <w:rsid w:val="003915AF"/>
    <w:rsid w:val="00394DD8"/>
    <w:rsid w:val="00394FA4"/>
    <w:rsid w:val="00397054"/>
    <w:rsid w:val="003A4829"/>
    <w:rsid w:val="003B0DF5"/>
    <w:rsid w:val="003B6413"/>
    <w:rsid w:val="003B7C8E"/>
    <w:rsid w:val="003B7D65"/>
    <w:rsid w:val="003B7EBE"/>
    <w:rsid w:val="003C1DD5"/>
    <w:rsid w:val="003C636C"/>
    <w:rsid w:val="003D12DF"/>
    <w:rsid w:val="003D398C"/>
    <w:rsid w:val="003D39EF"/>
    <w:rsid w:val="003E0DF7"/>
    <w:rsid w:val="003E5B32"/>
    <w:rsid w:val="003F0DCE"/>
    <w:rsid w:val="004007D2"/>
    <w:rsid w:val="0040380C"/>
    <w:rsid w:val="00411F02"/>
    <w:rsid w:val="00413154"/>
    <w:rsid w:val="00426678"/>
    <w:rsid w:val="00430EAB"/>
    <w:rsid w:val="00433560"/>
    <w:rsid w:val="00434CC2"/>
    <w:rsid w:val="00442656"/>
    <w:rsid w:val="00454A7D"/>
    <w:rsid w:val="0046234C"/>
    <w:rsid w:val="00466A9A"/>
    <w:rsid w:val="00472F59"/>
    <w:rsid w:val="00480059"/>
    <w:rsid w:val="0048161D"/>
    <w:rsid w:val="0048321E"/>
    <w:rsid w:val="004848AB"/>
    <w:rsid w:val="00485119"/>
    <w:rsid w:val="004902FE"/>
    <w:rsid w:val="00490BC1"/>
    <w:rsid w:val="004968DB"/>
    <w:rsid w:val="004A0E76"/>
    <w:rsid w:val="004B35CB"/>
    <w:rsid w:val="004B541F"/>
    <w:rsid w:val="004C13A0"/>
    <w:rsid w:val="004C3078"/>
    <w:rsid w:val="004C4583"/>
    <w:rsid w:val="004C4B3D"/>
    <w:rsid w:val="004C5912"/>
    <w:rsid w:val="004C651C"/>
    <w:rsid w:val="004D3E83"/>
    <w:rsid w:val="004D6CC0"/>
    <w:rsid w:val="004E20B1"/>
    <w:rsid w:val="004F3201"/>
    <w:rsid w:val="004F6891"/>
    <w:rsid w:val="004F7391"/>
    <w:rsid w:val="005017AD"/>
    <w:rsid w:val="00502844"/>
    <w:rsid w:val="005032A7"/>
    <w:rsid w:val="00503D6F"/>
    <w:rsid w:val="00506C03"/>
    <w:rsid w:val="00507351"/>
    <w:rsid w:val="00510343"/>
    <w:rsid w:val="00513039"/>
    <w:rsid w:val="00515512"/>
    <w:rsid w:val="0052788C"/>
    <w:rsid w:val="00541B0F"/>
    <w:rsid w:val="0055369D"/>
    <w:rsid w:val="0055602A"/>
    <w:rsid w:val="00561E71"/>
    <w:rsid w:val="00561EB8"/>
    <w:rsid w:val="00567C2B"/>
    <w:rsid w:val="00571131"/>
    <w:rsid w:val="00574F87"/>
    <w:rsid w:val="00581623"/>
    <w:rsid w:val="00591E8A"/>
    <w:rsid w:val="005A1634"/>
    <w:rsid w:val="005A2A0A"/>
    <w:rsid w:val="005A75B4"/>
    <w:rsid w:val="005B4258"/>
    <w:rsid w:val="005B4993"/>
    <w:rsid w:val="005B596A"/>
    <w:rsid w:val="005C1B18"/>
    <w:rsid w:val="005C2E62"/>
    <w:rsid w:val="005C4145"/>
    <w:rsid w:val="005C724E"/>
    <w:rsid w:val="005D0243"/>
    <w:rsid w:val="005D1222"/>
    <w:rsid w:val="005D134C"/>
    <w:rsid w:val="005E021C"/>
    <w:rsid w:val="005E22D7"/>
    <w:rsid w:val="005E325E"/>
    <w:rsid w:val="005E6ECB"/>
    <w:rsid w:val="005F21EA"/>
    <w:rsid w:val="005F36F2"/>
    <w:rsid w:val="005F7DE1"/>
    <w:rsid w:val="006062F8"/>
    <w:rsid w:val="00621201"/>
    <w:rsid w:val="00622C11"/>
    <w:rsid w:val="006265A8"/>
    <w:rsid w:val="00635CD1"/>
    <w:rsid w:val="00635D78"/>
    <w:rsid w:val="0064354E"/>
    <w:rsid w:val="006458B2"/>
    <w:rsid w:val="00653EF7"/>
    <w:rsid w:val="00654D84"/>
    <w:rsid w:val="00657574"/>
    <w:rsid w:val="0066324D"/>
    <w:rsid w:val="006821AE"/>
    <w:rsid w:val="006837B2"/>
    <w:rsid w:val="00683B0A"/>
    <w:rsid w:val="00683E19"/>
    <w:rsid w:val="0069408E"/>
    <w:rsid w:val="006A1F11"/>
    <w:rsid w:val="006A323B"/>
    <w:rsid w:val="006A33D2"/>
    <w:rsid w:val="006A74BF"/>
    <w:rsid w:val="006B09F3"/>
    <w:rsid w:val="006C6747"/>
    <w:rsid w:val="006D02D8"/>
    <w:rsid w:val="006D20FF"/>
    <w:rsid w:val="006D2CA2"/>
    <w:rsid w:val="006D2D3C"/>
    <w:rsid w:val="006F1DF5"/>
    <w:rsid w:val="006F60EF"/>
    <w:rsid w:val="006F7054"/>
    <w:rsid w:val="007034FE"/>
    <w:rsid w:val="007059F3"/>
    <w:rsid w:val="00706DE8"/>
    <w:rsid w:val="007143F7"/>
    <w:rsid w:val="00715971"/>
    <w:rsid w:val="00722F51"/>
    <w:rsid w:val="00723342"/>
    <w:rsid w:val="00736C53"/>
    <w:rsid w:val="00742AD4"/>
    <w:rsid w:val="0074490F"/>
    <w:rsid w:val="00745219"/>
    <w:rsid w:val="007505AE"/>
    <w:rsid w:val="007520A8"/>
    <w:rsid w:val="00755FC6"/>
    <w:rsid w:val="00761692"/>
    <w:rsid w:val="0076396A"/>
    <w:rsid w:val="00765B0E"/>
    <w:rsid w:val="00765D0C"/>
    <w:rsid w:val="00770DFA"/>
    <w:rsid w:val="00772049"/>
    <w:rsid w:val="007720D2"/>
    <w:rsid w:val="0077300F"/>
    <w:rsid w:val="0077533E"/>
    <w:rsid w:val="00776EB0"/>
    <w:rsid w:val="00786376"/>
    <w:rsid w:val="007A677D"/>
    <w:rsid w:val="007A7BB8"/>
    <w:rsid w:val="007B4775"/>
    <w:rsid w:val="007B786A"/>
    <w:rsid w:val="007C0D56"/>
    <w:rsid w:val="007C1925"/>
    <w:rsid w:val="007C591A"/>
    <w:rsid w:val="007C60AE"/>
    <w:rsid w:val="007D59F2"/>
    <w:rsid w:val="007D70ED"/>
    <w:rsid w:val="007D7969"/>
    <w:rsid w:val="007D7CFB"/>
    <w:rsid w:val="007E0F62"/>
    <w:rsid w:val="007E169A"/>
    <w:rsid w:val="007E4EDD"/>
    <w:rsid w:val="007E7DEA"/>
    <w:rsid w:val="007F34EE"/>
    <w:rsid w:val="007F4CDC"/>
    <w:rsid w:val="007F58E3"/>
    <w:rsid w:val="008030E0"/>
    <w:rsid w:val="00804864"/>
    <w:rsid w:val="008128E1"/>
    <w:rsid w:val="008347A6"/>
    <w:rsid w:val="008348E2"/>
    <w:rsid w:val="00835B6F"/>
    <w:rsid w:val="00841C3A"/>
    <w:rsid w:val="008444BF"/>
    <w:rsid w:val="00853CE3"/>
    <w:rsid w:val="008553F8"/>
    <w:rsid w:val="00856092"/>
    <w:rsid w:val="008579BF"/>
    <w:rsid w:val="00863E22"/>
    <w:rsid w:val="008645E9"/>
    <w:rsid w:val="0086691C"/>
    <w:rsid w:val="00867EEE"/>
    <w:rsid w:val="008707A6"/>
    <w:rsid w:val="008731ED"/>
    <w:rsid w:val="00874BB9"/>
    <w:rsid w:val="00877642"/>
    <w:rsid w:val="00893377"/>
    <w:rsid w:val="00893F52"/>
    <w:rsid w:val="008976FA"/>
    <w:rsid w:val="008A5428"/>
    <w:rsid w:val="008B08FB"/>
    <w:rsid w:val="008B3AAE"/>
    <w:rsid w:val="008B3C14"/>
    <w:rsid w:val="008C0345"/>
    <w:rsid w:val="008C3B65"/>
    <w:rsid w:val="008C5520"/>
    <w:rsid w:val="008D04C3"/>
    <w:rsid w:val="008D0EF0"/>
    <w:rsid w:val="008D3459"/>
    <w:rsid w:val="008E56F6"/>
    <w:rsid w:val="008F0C2C"/>
    <w:rsid w:val="008F61E1"/>
    <w:rsid w:val="00900485"/>
    <w:rsid w:val="00911578"/>
    <w:rsid w:val="0091307C"/>
    <w:rsid w:val="00914397"/>
    <w:rsid w:val="00914FAF"/>
    <w:rsid w:val="009207AC"/>
    <w:rsid w:val="00930126"/>
    <w:rsid w:val="009313D8"/>
    <w:rsid w:val="009334C4"/>
    <w:rsid w:val="009628C3"/>
    <w:rsid w:val="00972C77"/>
    <w:rsid w:val="00980105"/>
    <w:rsid w:val="00995682"/>
    <w:rsid w:val="00996906"/>
    <w:rsid w:val="00996DCD"/>
    <w:rsid w:val="00997222"/>
    <w:rsid w:val="009A4473"/>
    <w:rsid w:val="009A67AC"/>
    <w:rsid w:val="009B5B7C"/>
    <w:rsid w:val="009C4692"/>
    <w:rsid w:val="009E2C7D"/>
    <w:rsid w:val="009E2D6D"/>
    <w:rsid w:val="009F1A2B"/>
    <w:rsid w:val="009F1AC0"/>
    <w:rsid w:val="00A01BE4"/>
    <w:rsid w:val="00A031C2"/>
    <w:rsid w:val="00A035C4"/>
    <w:rsid w:val="00A0648B"/>
    <w:rsid w:val="00A11945"/>
    <w:rsid w:val="00A13394"/>
    <w:rsid w:val="00A15653"/>
    <w:rsid w:val="00A23594"/>
    <w:rsid w:val="00A26518"/>
    <w:rsid w:val="00A27700"/>
    <w:rsid w:val="00A371A3"/>
    <w:rsid w:val="00A41828"/>
    <w:rsid w:val="00A43EED"/>
    <w:rsid w:val="00A446A6"/>
    <w:rsid w:val="00A54FF2"/>
    <w:rsid w:val="00A60BD0"/>
    <w:rsid w:val="00A64BB2"/>
    <w:rsid w:val="00A65E9B"/>
    <w:rsid w:val="00A66868"/>
    <w:rsid w:val="00A66A5B"/>
    <w:rsid w:val="00A7320F"/>
    <w:rsid w:val="00A75105"/>
    <w:rsid w:val="00A770E1"/>
    <w:rsid w:val="00A81AF7"/>
    <w:rsid w:val="00A83DC5"/>
    <w:rsid w:val="00A914AA"/>
    <w:rsid w:val="00A91562"/>
    <w:rsid w:val="00AA0C11"/>
    <w:rsid w:val="00AA1B87"/>
    <w:rsid w:val="00AA1C58"/>
    <w:rsid w:val="00AB1D0A"/>
    <w:rsid w:val="00AC68D9"/>
    <w:rsid w:val="00AD15EB"/>
    <w:rsid w:val="00AD31F6"/>
    <w:rsid w:val="00AD7595"/>
    <w:rsid w:val="00AE2919"/>
    <w:rsid w:val="00AE4A4A"/>
    <w:rsid w:val="00B01149"/>
    <w:rsid w:val="00B225E4"/>
    <w:rsid w:val="00B23A8F"/>
    <w:rsid w:val="00B23B66"/>
    <w:rsid w:val="00B35E5C"/>
    <w:rsid w:val="00B40AE4"/>
    <w:rsid w:val="00B51F74"/>
    <w:rsid w:val="00B61AA5"/>
    <w:rsid w:val="00B634AF"/>
    <w:rsid w:val="00B66AF5"/>
    <w:rsid w:val="00B75812"/>
    <w:rsid w:val="00B76434"/>
    <w:rsid w:val="00B81C13"/>
    <w:rsid w:val="00B85BA7"/>
    <w:rsid w:val="00B9033F"/>
    <w:rsid w:val="00B919B9"/>
    <w:rsid w:val="00B91D1D"/>
    <w:rsid w:val="00B91FC7"/>
    <w:rsid w:val="00B937ED"/>
    <w:rsid w:val="00B96890"/>
    <w:rsid w:val="00BA671E"/>
    <w:rsid w:val="00BB604F"/>
    <w:rsid w:val="00BC51A5"/>
    <w:rsid w:val="00BD6B80"/>
    <w:rsid w:val="00BD7524"/>
    <w:rsid w:val="00BE3004"/>
    <w:rsid w:val="00BF23FD"/>
    <w:rsid w:val="00BF4A68"/>
    <w:rsid w:val="00BF70FB"/>
    <w:rsid w:val="00C0686A"/>
    <w:rsid w:val="00C06962"/>
    <w:rsid w:val="00C1458B"/>
    <w:rsid w:val="00C14764"/>
    <w:rsid w:val="00C2031C"/>
    <w:rsid w:val="00C20C4E"/>
    <w:rsid w:val="00C25052"/>
    <w:rsid w:val="00C32463"/>
    <w:rsid w:val="00C4070F"/>
    <w:rsid w:val="00C43720"/>
    <w:rsid w:val="00C50FAC"/>
    <w:rsid w:val="00C516A5"/>
    <w:rsid w:val="00C5256D"/>
    <w:rsid w:val="00C52D5C"/>
    <w:rsid w:val="00C550A9"/>
    <w:rsid w:val="00C61930"/>
    <w:rsid w:val="00C65194"/>
    <w:rsid w:val="00C65BAF"/>
    <w:rsid w:val="00C74A3B"/>
    <w:rsid w:val="00C74F5A"/>
    <w:rsid w:val="00C81EB4"/>
    <w:rsid w:val="00C846E5"/>
    <w:rsid w:val="00C912D9"/>
    <w:rsid w:val="00C9580A"/>
    <w:rsid w:val="00C9607B"/>
    <w:rsid w:val="00CA37A5"/>
    <w:rsid w:val="00CA4240"/>
    <w:rsid w:val="00CA5E0A"/>
    <w:rsid w:val="00CB59B5"/>
    <w:rsid w:val="00CC3F74"/>
    <w:rsid w:val="00CC65DD"/>
    <w:rsid w:val="00CC6773"/>
    <w:rsid w:val="00CE1D7C"/>
    <w:rsid w:val="00CE56C8"/>
    <w:rsid w:val="00CE6FEE"/>
    <w:rsid w:val="00CF4370"/>
    <w:rsid w:val="00CF580B"/>
    <w:rsid w:val="00CF6DC4"/>
    <w:rsid w:val="00D02045"/>
    <w:rsid w:val="00D03F18"/>
    <w:rsid w:val="00D061CC"/>
    <w:rsid w:val="00D11619"/>
    <w:rsid w:val="00D14C3F"/>
    <w:rsid w:val="00D27074"/>
    <w:rsid w:val="00D30E20"/>
    <w:rsid w:val="00D321CD"/>
    <w:rsid w:val="00D447AD"/>
    <w:rsid w:val="00D46C65"/>
    <w:rsid w:val="00D522E7"/>
    <w:rsid w:val="00D531B9"/>
    <w:rsid w:val="00D53876"/>
    <w:rsid w:val="00D62E11"/>
    <w:rsid w:val="00D63C81"/>
    <w:rsid w:val="00D64D80"/>
    <w:rsid w:val="00D6506D"/>
    <w:rsid w:val="00D67E28"/>
    <w:rsid w:val="00D7112B"/>
    <w:rsid w:val="00D720A7"/>
    <w:rsid w:val="00D75F8B"/>
    <w:rsid w:val="00D7665E"/>
    <w:rsid w:val="00D77E21"/>
    <w:rsid w:val="00D83DFD"/>
    <w:rsid w:val="00D87CDE"/>
    <w:rsid w:val="00D91861"/>
    <w:rsid w:val="00D9589D"/>
    <w:rsid w:val="00DA3629"/>
    <w:rsid w:val="00DB04CC"/>
    <w:rsid w:val="00DB5092"/>
    <w:rsid w:val="00DB6AE2"/>
    <w:rsid w:val="00DC1AE2"/>
    <w:rsid w:val="00DC1AF1"/>
    <w:rsid w:val="00DC46CA"/>
    <w:rsid w:val="00DC4D77"/>
    <w:rsid w:val="00DD421D"/>
    <w:rsid w:val="00DD59F2"/>
    <w:rsid w:val="00DD65C3"/>
    <w:rsid w:val="00DD7C0E"/>
    <w:rsid w:val="00DF6EC2"/>
    <w:rsid w:val="00E05767"/>
    <w:rsid w:val="00E14DF8"/>
    <w:rsid w:val="00E1644A"/>
    <w:rsid w:val="00E17587"/>
    <w:rsid w:val="00E21599"/>
    <w:rsid w:val="00E2187F"/>
    <w:rsid w:val="00E21AC3"/>
    <w:rsid w:val="00E23375"/>
    <w:rsid w:val="00E24194"/>
    <w:rsid w:val="00E31577"/>
    <w:rsid w:val="00E32CB2"/>
    <w:rsid w:val="00E3380B"/>
    <w:rsid w:val="00E3623F"/>
    <w:rsid w:val="00E40A96"/>
    <w:rsid w:val="00E429E1"/>
    <w:rsid w:val="00E44506"/>
    <w:rsid w:val="00E50D4A"/>
    <w:rsid w:val="00E54FD4"/>
    <w:rsid w:val="00E5655B"/>
    <w:rsid w:val="00E61D3A"/>
    <w:rsid w:val="00E62723"/>
    <w:rsid w:val="00E6332C"/>
    <w:rsid w:val="00E6354D"/>
    <w:rsid w:val="00E8279C"/>
    <w:rsid w:val="00E835AF"/>
    <w:rsid w:val="00E84C53"/>
    <w:rsid w:val="00E85250"/>
    <w:rsid w:val="00E856B8"/>
    <w:rsid w:val="00E8725A"/>
    <w:rsid w:val="00E95168"/>
    <w:rsid w:val="00EA2650"/>
    <w:rsid w:val="00EA2C33"/>
    <w:rsid w:val="00EA35A9"/>
    <w:rsid w:val="00EA403E"/>
    <w:rsid w:val="00EA5171"/>
    <w:rsid w:val="00EA556B"/>
    <w:rsid w:val="00EA56CA"/>
    <w:rsid w:val="00EB037A"/>
    <w:rsid w:val="00EB4685"/>
    <w:rsid w:val="00EB6BCF"/>
    <w:rsid w:val="00EC2EA3"/>
    <w:rsid w:val="00EC6504"/>
    <w:rsid w:val="00EC684F"/>
    <w:rsid w:val="00EE3D9D"/>
    <w:rsid w:val="00EF0EBD"/>
    <w:rsid w:val="00EF195D"/>
    <w:rsid w:val="00EF50CF"/>
    <w:rsid w:val="00F11C29"/>
    <w:rsid w:val="00F131D0"/>
    <w:rsid w:val="00F20B0E"/>
    <w:rsid w:val="00F23BAA"/>
    <w:rsid w:val="00F264B6"/>
    <w:rsid w:val="00F31E42"/>
    <w:rsid w:val="00F445A7"/>
    <w:rsid w:val="00F458CA"/>
    <w:rsid w:val="00F466BC"/>
    <w:rsid w:val="00F475F9"/>
    <w:rsid w:val="00F56B7A"/>
    <w:rsid w:val="00F61348"/>
    <w:rsid w:val="00F61625"/>
    <w:rsid w:val="00F67817"/>
    <w:rsid w:val="00F720B6"/>
    <w:rsid w:val="00F733C5"/>
    <w:rsid w:val="00F75A03"/>
    <w:rsid w:val="00F80E74"/>
    <w:rsid w:val="00F930AC"/>
    <w:rsid w:val="00FA54D3"/>
    <w:rsid w:val="00FA69A8"/>
    <w:rsid w:val="00FA78B8"/>
    <w:rsid w:val="00FB0114"/>
    <w:rsid w:val="00FB24CA"/>
    <w:rsid w:val="00FB5AA9"/>
    <w:rsid w:val="00FB6C3F"/>
    <w:rsid w:val="00FC1A18"/>
    <w:rsid w:val="00FD08FE"/>
    <w:rsid w:val="00FD2016"/>
    <w:rsid w:val="00FD38EC"/>
    <w:rsid w:val="00FF7583"/>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E8F3"/>
  <w15:chartTrackingRefBased/>
  <w15:docId w15:val="{5C5093F0-35F2-4C6A-BA99-82DF813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380B"/>
    <w:rPr>
      <w:sz w:val="23"/>
      <w:szCs w:val="23"/>
    </w:rPr>
  </w:style>
  <w:style w:type="character" w:customStyle="1" w:styleId="BodyTextChar">
    <w:name w:val="Body Text Char"/>
    <w:basedOn w:val="DefaultParagraphFont"/>
    <w:link w:val="BodyText"/>
    <w:uiPriority w:val="1"/>
    <w:rsid w:val="00E3380B"/>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3834A2"/>
    <w:rPr>
      <w:sz w:val="20"/>
      <w:szCs w:val="20"/>
    </w:rPr>
  </w:style>
  <w:style w:type="character" w:customStyle="1" w:styleId="FootnoteTextChar">
    <w:name w:val="Footnote Text Char"/>
    <w:basedOn w:val="DefaultParagraphFont"/>
    <w:link w:val="FootnoteText"/>
    <w:uiPriority w:val="99"/>
    <w:semiHidden/>
    <w:rsid w:val="00383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34A2"/>
    <w:rPr>
      <w:vertAlign w:val="superscript"/>
    </w:rPr>
  </w:style>
  <w:style w:type="paragraph" w:styleId="Header">
    <w:name w:val="header"/>
    <w:basedOn w:val="Normal"/>
    <w:link w:val="HeaderChar"/>
    <w:uiPriority w:val="99"/>
    <w:unhideWhenUsed/>
    <w:rsid w:val="00157C89"/>
    <w:pPr>
      <w:tabs>
        <w:tab w:val="center" w:pos="4680"/>
        <w:tab w:val="right" w:pos="9360"/>
      </w:tabs>
    </w:pPr>
  </w:style>
  <w:style w:type="character" w:customStyle="1" w:styleId="HeaderChar">
    <w:name w:val="Header Char"/>
    <w:basedOn w:val="DefaultParagraphFont"/>
    <w:link w:val="Header"/>
    <w:uiPriority w:val="99"/>
    <w:rsid w:val="00157C89"/>
    <w:rPr>
      <w:rFonts w:ascii="Times New Roman" w:eastAsia="Times New Roman" w:hAnsi="Times New Roman" w:cs="Times New Roman"/>
    </w:rPr>
  </w:style>
  <w:style w:type="paragraph" w:styleId="Footer">
    <w:name w:val="footer"/>
    <w:basedOn w:val="Normal"/>
    <w:link w:val="FooterChar"/>
    <w:uiPriority w:val="99"/>
    <w:unhideWhenUsed/>
    <w:rsid w:val="00157C89"/>
    <w:pPr>
      <w:tabs>
        <w:tab w:val="center" w:pos="4680"/>
        <w:tab w:val="right" w:pos="9360"/>
      </w:tabs>
    </w:pPr>
  </w:style>
  <w:style w:type="character" w:customStyle="1" w:styleId="FooterChar">
    <w:name w:val="Footer Char"/>
    <w:basedOn w:val="DefaultParagraphFont"/>
    <w:link w:val="Footer"/>
    <w:uiPriority w:val="99"/>
    <w:rsid w:val="00157C89"/>
    <w:rPr>
      <w:rFonts w:ascii="Times New Roman" w:eastAsia="Times New Roman" w:hAnsi="Times New Roman" w:cs="Times New Roman"/>
    </w:rPr>
  </w:style>
  <w:style w:type="paragraph" w:styleId="Revision">
    <w:name w:val="Revision"/>
    <w:hidden/>
    <w:uiPriority w:val="99"/>
    <w:semiHidden/>
    <w:rsid w:val="00FB0114"/>
    <w:rPr>
      <w:rFonts w:ascii="Times New Roman" w:eastAsia="Times New Roman" w:hAnsi="Times New Roman" w:cs="Times New Roman"/>
    </w:rPr>
  </w:style>
  <w:style w:type="paragraph" w:styleId="ListParagraph">
    <w:name w:val="List Paragraph"/>
    <w:basedOn w:val="Normal"/>
    <w:uiPriority w:val="34"/>
    <w:qFormat/>
    <w:rsid w:val="00B225E4"/>
    <w:pPr>
      <w:ind w:left="720"/>
      <w:contextualSpacing/>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B225E4"/>
    <w:rPr>
      <w:sz w:val="16"/>
      <w:szCs w:val="16"/>
    </w:rPr>
  </w:style>
  <w:style w:type="paragraph" w:styleId="CommentText">
    <w:name w:val="annotation text"/>
    <w:basedOn w:val="Normal"/>
    <w:link w:val="CommentTextChar"/>
    <w:uiPriority w:val="99"/>
    <w:semiHidden/>
    <w:unhideWhenUsed/>
    <w:rsid w:val="00B225E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225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9DC38-FB55-45B4-BA41-8CE458C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5</cp:revision>
  <cp:lastPrinted>2023-04-10T15:07:00Z</cp:lastPrinted>
  <dcterms:created xsi:type="dcterms:W3CDTF">2023-05-15T13:43:00Z</dcterms:created>
  <dcterms:modified xsi:type="dcterms:W3CDTF">2023-05-15T13:45:00Z</dcterms:modified>
</cp:coreProperties>
</file>