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44" w:rsidRDefault="009A1F44" w:rsidP="000213E8">
      <w:pPr>
        <w:ind w:left="270" w:hanging="270"/>
        <w:jc w:val="center"/>
      </w:pPr>
      <w:smartTag w:uri="urn:schemas-microsoft-com:office:smarttags" w:element="PlaceType">
        <w:r>
          <w:t>COMMONWEALTH</w:t>
        </w:r>
      </w:smartTag>
      <w:r>
        <w:t xml:space="preserve"> OF MASSACHUSETTS</w:t>
      </w:r>
    </w:p>
    <w:p w:rsidR="009A1F44" w:rsidRDefault="009A1F44" w:rsidP="000213E8">
      <w:pPr>
        <w:jc w:val="center"/>
      </w:pPr>
      <w:r>
        <w:t>BOARD OF REGISTRATION IN MEDICINE</w:t>
      </w:r>
    </w:p>
    <w:p w:rsidR="009A1F44" w:rsidRDefault="009A1F44" w:rsidP="000213E8">
      <w:pPr>
        <w:jc w:val="both"/>
      </w:pPr>
    </w:p>
    <w:p w:rsidR="00AC6B84" w:rsidRDefault="000213E8" w:rsidP="000213E8">
      <w:proofErr w:type="gramStart"/>
      <w:r>
        <w:t>Middlesex, ss.</w:t>
      </w:r>
      <w:proofErr w:type="gramEnd"/>
      <w:r w:rsidR="009A1F44">
        <w:tab/>
      </w:r>
      <w:r w:rsidR="009A1F44">
        <w:tab/>
      </w:r>
      <w:r w:rsidR="009A1F44">
        <w:tab/>
      </w:r>
      <w:r>
        <w:tab/>
      </w:r>
      <w:r>
        <w:tab/>
      </w:r>
      <w:r>
        <w:tab/>
      </w:r>
      <w:r w:rsidR="009A1F44">
        <w:t>Adjudicatory Case</w:t>
      </w:r>
      <w:r w:rsidR="00AC6B84">
        <w:t xml:space="preserve"> </w:t>
      </w:r>
      <w:r w:rsidR="009A1F44">
        <w:t>N</w:t>
      </w:r>
      <w:r>
        <w:t>o</w:t>
      </w:r>
      <w:r w:rsidR="009A1F44">
        <w:t xml:space="preserve">. </w:t>
      </w:r>
      <w:r w:rsidRPr="008A1872">
        <w:t>201</w:t>
      </w:r>
      <w:r w:rsidR="00934950">
        <w:t>5</w:t>
      </w:r>
      <w:r w:rsidRPr="008A1872">
        <w:t>-0</w:t>
      </w:r>
      <w:r w:rsidR="00934950">
        <w:t>03</w:t>
      </w:r>
    </w:p>
    <w:p w:rsidR="009A1F44" w:rsidRDefault="004C7FAB" w:rsidP="000213E8">
      <w:pPr>
        <w:ind w:left="3600" w:hanging="3600"/>
      </w:pPr>
      <w:r>
        <w:tab/>
      </w:r>
      <w:r>
        <w:tab/>
      </w:r>
      <w:r>
        <w:tab/>
        <w:t>(RM-1</w:t>
      </w:r>
      <w:r w:rsidR="00934950">
        <w:t>5</w:t>
      </w:r>
      <w:r w:rsidR="000213E8">
        <w:t>-</w:t>
      </w:r>
      <w:r w:rsidR="00934950">
        <w:t>12</w:t>
      </w:r>
      <w:r w:rsidR="000213E8">
        <w:t>)</w:t>
      </w:r>
      <w:r w:rsidR="00AC6B84">
        <w:tab/>
      </w:r>
      <w:r w:rsidR="00AC6B84">
        <w:tab/>
      </w:r>
      <w:r w:rsidR="00AC6B84">
        <w:tab/>
      </w:r>
      <w:r w:rsidR="00AC6B84">
        <w:tab/>
      </w:r>
      <w:r w:rsidR="00AC6B84">
        <w:tab/>
      </w:r>
    </w:p>
    <w:p w:rsidR="000213E8" w:rsidRDefault="000213E8" w:rsidP="000213E8">
      <w:pPr>
        <w:ind w:left="-720"/>
      </w:pPr>
    </w:p>
    <w:tbl>
      <w:tblPr>
        <w:tblpPr w:leftFromText="180" w:rightFromText="180" w:vertAnchor="text" w:horzAnchor="margin" w:tblpX="10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0213E8" w:rsidTr="000213E8">
        <w:trPr>
          <w:trHeight w:val="1433"/>
        </w:trPr>
        <w:tc>
          <w:tcPr>
            <w:tcW w:w="3120" w:type="dxa"/>
            <w:tcBorders>
              <w:left w:val="nil"/>
            </w:tcBorders>
          </w:tcPr>
          <w:p w:rsidR="000213E8" w:rsidRDefault="000213E8" w:rsidP="000213E8"/>
          <w:p w:rsidR="000213E8" w:rsidRDefault="000213E8" w:rsidP="000213E8">
            <w:r>
              <w:t>In the Matter of</w:t>
            </w:r>
          </w:p>
          <w:p w:rsidR="000213E8" w:rsidRDefault="000213E8" w:rsidP="000213E8"/>
          <w:p w:rsidR="000213E8" w:rsidRDefault="00934950" w:rsidP="000213E8">
            <w:r>
              <w:t>Joshua Baron</w:t>
            </w:r>
            <w:r w:rsidR="000213E8">
              <w:t>, M.D.</w:t>
            </w:r>
          </w:p>
        </w:tc>
      </w:tr>
    </w:tbl>
    <w:p w:rsidR="000213E8" w:rsidRDefault="000213E8" w:rsidP="000213E8">
      <w:pPr>
        <w:ind w:left="-720"/>
      </w:pPr>
    </w:p>
    <w:p w:rsidR="000213E8" w:rsidRDefault="000213E8" w:rsidP="000213E8">
      <w:pPr>
        <w:ind w:left="-720"/>
      </w:pPr>
    </w:p>
    <w:p w:rsidR="000213E8" w:rsidRDefault="000213E8" w:rsidP="000213E8">
      <w:pPr>
        <w:ind w:left="4320" w:firstLine="720"/>
      </w:pPr>
      <w:r>
        <w:rPr>
          <w:b/>
          <w:u w:val="single"/>
        </w:rPr>
        <w:t>FINAL DECISION AND ORDER</w:t>
      </w:r>
    </w:p>
    <w:p w:rsidR="000213E8" w:rsidRDefault="000213E8" w:rsidP="000213E8">
      <w:pPr>
        <w:ind w:left="-720"/>
      </w:pPr>
    </w:p>
    <w:p w:rsidR="00CC0E7A" w:rsidRPr="00CC0E7A" w:rsidRDefault="009A1F44" w:rsidP="000213E8">
      <w:r>
        <w:t xml:space="preserve">  </w:t>
      </w:r>
    </w:p>
    <w:p w:rsidR="00CC0E7A" w:rsidRDefault="00CC0E7A" w:rsidP="000213E8">
      <w:pPr>
        <w:ind w:left="-720"/>
      </w:pPr>
      <w:r>
        <w:tab/>
      </w:r>
    </w:p>
    <w:p w:rsidR="000213E8" w:rsidRPr="000213E8" w:rsidRDefault="000213E8" w:rsidP="000213E8"/>
    <w:p w:rsidR="00087BD8" w:rsidRDefault="00087BD8" w:rsidP="00087BD8">
      <w:pPr>
        <w:pStyle w:val="Header"/>
        <w:tabs>
          <w:tab w:val="clear" w:pos="4320"/>
          <w:tab w:val="clear" w:pos="8640"/>
        </w:tabs>
        <w:spacing w:line="480" w:lineRule="auto"/>
        <w:ind w:firstLine="720"/>
        <w:rPr>
          <w:rFonts w:cs="Arial"/>
        </w:rPr>
      </w:pPr>
      <w:r w:rsidRPr="00187B06">
        <w:t xml:space="preserve">This matter came before the Board for final disposition on the basis of the Administrative Magistrate’s Recommended Decision (hereinafter “Recommended Decision”) dated </w:t>
      </w:r>
      <w:r w:rsidR="00934950">
        <w:t>June 17, 2019</w:t>
      </w:r>
      <w:r w:rsidR="004C7FAB">
        <w:t xml:space="preserve">, which found </w:t>
      </w:r>
      <w:r w:rsidR="00934950">
        <w:t>Joshua Baron</w:t>
      </w:r>
      <w:r w:rsidR="004C7FAB">
        <w:t>, M.D. (hereinafter “Respondent”) in default</w:t>
      </w:r>
      <w:r>
        <w:t xml:space="preserve">. </w:t>
      </w:r>
      <w:r w:rsidRPr="00187B06">
        <w:rPr>
          <w:rFonts w:cs="Arial"/>
        </w:rPr>
        <w:t>After full consideration of the Recommended Decision, which is attached hereto and incorporated by r</w:t>
      </w:r>
      <w:r>
        <w:rPr>
          <w:rFonts w:cs="Arial"/>
        </w:rPr>
        <w:t xml:space="preserve">eference, the Board </w:t>
      </w:r>
      <w:r w:rsidRPr="00187B06">
        <w:rPr>
          <w:rFonts w:cs="Arial"/>
        </w:rPr>
        <w:t>adopts the Recommended Decision</w:t>
      </w:r>
      <w:r>
        <w:rPr>
          <w:rFonts w:cs="Arial"/>
        </w:rPr>
        <w:t>, amending it by adding the following:</w:t>
      </w:r>
    </w:p>
    <w:p w:rsidR="00087BD8" w:rsidRDefault="00087BD8" w:rsidP="00E638AC">
      <w:pPr>
        <w:pStyle w:val="BodyText"/>
        <w:spacing w:line="480" w:lineRule="auto"/>
        <w:jc w:val="center"/>
        <w:rPr>
          <w:rFonts w:cs="Arial"/>
          <w:szCs w:val="24"/>
          <w:u w:val="single"/>
        </w:rPr>
      </w:pPr>
      <w:r>
        <w:rPr>
          <w:rFonts w:cs="Arial"/>
          <w:szCs w:val="24"/>
          <w:u w:val="single"/>
        </w:rPr>
        <w:t>F</w:t>
      </w:r>
      <w:r w:rsidRPr="00187B06">
        <w:rPr>
          <w:rFonts w:cs="Arial"/>
          <w:szCs w:val="24"/>
          <w:u w:val="single"/>
        </w:rPr>
        <w:t>indings of Fact</w:t>
      </w:r>
    </w:p>
    <w:p w:rsidR="004C7FAB" w:rsidRDefault="004C7FAB" w:rsidP="00087BD8">
      <w:pPr>
        <w:spacing w:line="480" w:lineRule="auto"/>
        <w:ind w:firstLine="720"/>
      </w:pPr>
      <w:r>
        <w:rPr>
          <w:rFonts w:cs="Arial"/>
        </w:rPr>
        <w:t xml:space="preserve">In light of the Respondent’s failure </w:t>
      </w:r>
      <w:r w:rsidR="0085561A">
        <w:rPr>
          <w:rFonts w:cs="Arial"/>
        </w:rPr>
        <w:t>to file an Answer</w:t>
      </w:r>
      <w:r>
        <w:rPr>
          <w:rFonts w:cs="Arial"/>
        </w:rPr>
        <w:t xml:space="preserve"> to the Statement of Allegations (hereinafter “SOA”), to appear for a scheduled </w:t>
      </w:r>
      <w:r w:rsidR="0085561A">
        <w:rPr>
          <w:rFonts w:cs="Arial"/>
        </w:rPr>
        <w:t>pre-</w:t>
      </w:r>
      <w:r>
        <w:rPr>
          <w:rFonts w:cs="Arial"/>
        </w:rPr>
        <w:t>hearing</w:t>
      </w:r>
      <w:r w:rsidR="0085561A">
        <w:rPr>
          <w:rFonts w:cs="Arial"/>
        </w:rPr>
        <w:t xml:space="preserve"> conference</w:t>
      </w:r>
      <w:r>
        <w:rPr>
          <w:rFonts w:cs="Arial"/>
        </w:rPr>
        <w:t xml:space="preserve"> </w:t>
      </w:r>
      <w:r w:rsidR="0085561A">
        <w:rPr>
          <w:rFonts w:cs="Arial"/>
        </w:rPr>
        <w:t>before</w:t>
      </w:r>
      <w:r>
        <w:rPr>
          <w:rFonts w:cs="Arial"/>
        </w:rPr>
        <w:t xml:space="preserve"> the Division of Administrative Law Appeals (hereinafter “DALA”), and respond to th</w:t>
      </w:r>
      <w:r w:rsidR="00934950">
        <w:rPr>
          <w:rFonts w:cs="Arial"/>
        </w:rPr>
        <w:t>e Magistrate’s April 29, 2019</w:t>
      </w:r>
      <w:r>
        <w:rPr>
          <w:rFonts w:cs="Arial"/>
        </w:rPr>
        <w:t xml:space="preserve"> Order to Show Cause, the Board hereby fi</w:t>
      </w:r>
      <w:r w:rsidR="001467FE">
        <w:rPr>
          <w:rFonts w:cs="Arial"/>
        </w:rPr>
        <w:t xml:space="preserve">nds the Respondent in default. </w:t>
      </w:r>
      <w:r>
        <w:rPr>
          <w:rFonts w:cs="Arial"/>
        </w:rPr>
        <w:t>G.L. c. 30A, § 10(2), and 801 CMR 1.01(7</w:t>
      </w:r>
      <w:proofErr w:type="gramStart"/>
      <w:r>
        <w:rPr>
          <w:rFonts w:cs="Arial"/>
        </w:rPr>
        <w:t>)(</w:t>
      </w:r>
      <w:proofErr w:type="gramEnd"/>
      <w:r>
        <w:rPr>
          <w:rFonts w:cs="Arial"/>
        </w:rPr>
        <w:t xml:space="preserve">a)(1). Therefore, the allegations contained in the SOA are deemed admitted. </w:t>
      </w:r>
      <w:r>
        <w:rPr>
          <w:rFonts w:cs="Arial"/>
          <w:i/>
        </w:rPr>
        <w:t>See</w:t>
      </w:r>
      <w:r>
        <w:rPr>
          <w:rFonts w:cs="Arial"/>
        </w:rPr>
        <w:t xml:space="preserve"> </w:t>
      </w:r>
      <w:r>
        <w:rPr>
          <w:rFonts w:cs="Arial"/>
          <w:i/>
        </w:rPr>
        <w:t>In the Matter of Christopher D. Owens, M.D.</w:t>
      </w:r>
      <w:r>
        <w:rPr>
          <w:rFonts w:cs="Arial"/>
        </w:rPr>
        <w:t xml:space="preserve">, Board of Registration in Medicine, Adjudicatory Case No. 2017-031 (Final Decision and Order, April 25, 2018); </w:t>
      </w:r>
      <w:r>
        <w:rPr>
          <w:i/>
        </w:rPr>
        <w:t xml:space="preserve">In the Matter of Paul M. </w:t>
      </w:r>
      <w:proofErr w:type="spellStart"/>
      <w:r>
        <w:rPr>
          <w:i/>
        </w:rPr>
        <w:t>Willette</w:t>
      </w:r>
      <w:proofErr w:type="spellEnd"/>
      <w:r>
        <w:rPr>
          <w:i/>
        </w:rPr>
        <w:t>, M.D.</w:t>
      </w:r>
      <w:r>
        <w:t>, Board of Registration in Medicine, Adjudicatory Case No. 2017-035 (Final Decision and Order, September 13, 2018).</w:t>
      </w:r>
    </w:p>
    <w:p w:rsidR="004C7FAB" w:rsidRDefault="004C7FAB" w:rsidP="00087BD8">
      <w:pPr>
        <w:spacing w:line="480" w:lineRule="auto"/>
        <w:ind w:firstLine="720"/>
      </w:pPr>
      <w:r>
        <w:t>The Board makes the following findings:</w:t>
      </w:r>
    </w:p>
    <w:p w:rsidR="00BE4B8E" w:rsidRDefault="00BE4B8E" w:rsidP="00BE4B8E">
      <w:pPr>
        <w:spacing w:line="480" w:lineRule="auto"/>
        <w:rPr>
          <w:rFonts w:cs="Arial"/>
          <w:u w:val="single"/>
        </w:rPr>
      </w:pPr>
    </w:p>
    <w:p w:rsidR="004C7FAB" w:rsidRDefault="00BE4B8E" w:rsidP="001360F6">
      <w:pPr>
        <w:spacing w:line="480" w:lineRule="auto"/>
        <w:jc w:val="center"/>
        <w:rPr>
          <w:rFonts w:cs="Arial"/>
        </w:rPr>
      </w:pPr>
      <w:r>
        <w:rPr>
          <w:rFonts w:cs="Arial"/>
          <w:u w:val="single"/>
        </w:rPr>
        <w:lastRenderedPageBreak/>
        <w:t>Biographical Information</w:t>
      </w:r>
    </w:p>
    <w:p w:rsidR="00BE4B8E" w:rsidRDefault="00BE4B8E" w:rsidP="0085561A">
      <w:pPr>
        <w:spacing w:line="480" w:lineRule="auto"/>
        <w:ind w:firstLine="720"/>
        <w:rPr>
          <w:rFonts w:cs="Arial"/>
        </w:rPr>
      </w:pPr>
      <w:r>
        <w:rPr>
          <w:rFonts w:cs="Arial"/>
        </w:rPr>
        <w:t>1.</w:t>
      </w:r>
      <w:r w:rsidR="001467FE">
        <w:rPr>
          <w:rFonts w:cs="Arial"/>
        </w:rPr>
        <w:tab/>
      </w:r>
      <w:r w:rsidR="0085561A" w:rsidRPr="0085561A">
        <w:rPr>
          <w:rFonts w:cs="Arial"/>
        </w:rPr>
        <w:t>The Respondent was born on November</w:t>
      </w:r>
      <w:r w:rsidR="0085561A">
        <w:rPr>
          <w:rFonts w:cs="Arial"/>
        </w:rPr>
        <w:t xml:space="preserve"> 21, 1973. He is board-certified</w:t>
      </w:r>
      <w:r w:rsidR="0085561A" w:rsidRPr="0085561A">
        <w:rPr>
          <w:rFonts w:cs="Arial"/>
        </w:rPr>
        <w:t xml:space="preserve"> in</w:t>
      </w:r>
      <w:r w:rsidR="0085561A">
        <w:rPr>
          <w:rFonts w:cs="Arial"/>
        </w:rPr>
        <w:t xml:space="preserve"> neurology with special qualif</w:t>
      </w:r>
      <w:r w:rsidR="0085561A" w:rsidRPr="0085561A">
        <w:rPr>
          <w:rFonts w:cs="Arial"/>
        </w:rPr>
        <w:t xml:space="preserve">ication in child neurology. He graduated from the University </w:t>
      </w:r>
      <w:proofErr w:type="gramStart"/>
      <w:r w:rsidR="0085561A" w:rsidRPr="0085561A">
        <w:rPr>
          <w:rFonts w:cs="Arial"/>
        </w:rPr>
        <w:t>of</w:t>
      </w:r>
      <w:proofErr w:type="gramEnd"/>
      <w:r w:rsidR="0085561A" w:rsidRPr="0085561A">
        <w:rPr>
          <w:rFonts w:cs="Arial"/>
        </w:rPr>
        <w:t xml:space="preserve"> </w:t>
      </w:r>
      <w:r w:rsidR="0085561A">
        <w:rPr>
          <w:rFonts w:cs="Arial"/>
        </w:rPr>
        <w:t>M</w:t>
      </w:r>
      <w:r w:rsidR="0085561A" w:rsidRPr="0085561A">
        <w:rPr>
          <w:rFonts w:cs="Arial"/>
        </w:rPr>
        <w:t>assachusetts Medical School in 2000. He was licensed to practice medi</w:t>
      </w:r>
      <w:r w:rsidR="0085561A">
        <w:rPr>
          <w:rFonts w:cs="Arial"/>
        </w:rPr>
        <w:t>cine in Massachusetts under cert</w:t>
      </w:r>
      <w:r w:rsidR="0085561A" w:rsidRPr="0085561A">
        <w:rPr>
          <w:rFonts w:cs="Arial"/>
        </w:rPr>
        <w:t>ificate number 225148 in June 2005. His license lapsed on Nov</w:t>
      </w:r>
      <w:r w:rsidR="0085561A">
        <w:rPr>
          <w:rFonts w:cs="Arial"/>
        </w:rPr>
        <w:t>ember 21, 2007 when he fa</w:t>
      </w:r>
      <w:r w:rsidR="0085561A" w:rsidRPr="0085561A">
        <w:rPr>
          <w:rFonts w:cs="Arial"/>
        </w:rPr>
        <w:t>iled to renew it.</w:t>
      </w:r>
    </w:p>
    <w:p w:rsidR="00BE4B8E" w:rsidRDefault="00BE4B8E" w:rsidP="001360F6">
      <w:pPr>
        <w:spacing w:line="480" w:lineRule="auto"/>
        <w:jc w:val="center"/>
        <w:rPr>
          <w:rFonts w:cs="Arial"/>
        </w:rPr>
      </w:pPr>
      <w:r>
        <w:rPr>
          <w:rFonts w:cs="Arial"/>
          <w:u w:val="single"/>
        </w:rPr>
        <w:t>Factual Allegations</w:t>
      </w:r>
    </w:p>
    <w:p w:rsidR="0085561A" w:rsidRPr="0085561A" w:rsidRDefault="0085561A" w:rsidP="0085561A">
      <w:pPr>
        <w:spacing w:line="480" w:lineRule="auto"/>
        <w:ind w:firstLine="720"/>
        <w:rPr>
          <w:rFonts w:cs="Arial"/>
        </w:rPr>
      </w:pPr>
      <w:r>
        <w:rPr>
          <w:rFonts w:cs="Arial"/>
        </w:rPr>
        <w:t>2</w:t>
      </w:r>
      <w:r w:rsidR="001467FE">
        <w:rPr>
          <w:rFonts w:cs="Arial"/>
        </w:rPr>
        <w:t>.</w:t>
      </w:r>
      <w:r w:rsidR="001467FE">
        <w:rPr>
          <w:rFonts w:cs="Arial"/>
        </w:rPr>
        <w:tab/>
      </w:r>
      <w:r w:rsidRPr="0085561A">
        <w:rPr>
          <w:rFonts w:cs="Arial"/>
        </w:rPr>
        <w:t>In or about October 2011, the Respondent was indicted in the United States</w:t>
      </w:r>
    </w:p>
    <w:p w:rsidR="00BE4B8E" w:rsidRDefault="0085561A" w:rsidP="0085561A">
      <w:pPr>
        <w:spacing w:line="480" w:lineRule="auto"/>
        <w:rPr>
          <w:rFonts w:cs="Arial"/>
        </w:rPr>
      </w:pPr>
      <w:r w:rsidRPr="0085561A">
        <w:rPr>
          <w:rFonts w:cs="Arial"/>
        </w:rPr>
        <w:t>District Court for the Northern District of Illinois on charges of knowingly and intentionally</w:t>
      </w:r>
      <w:r>
        <w:rPr>
          <w:rFonts w:cs="Arial"/>
        </w:rPr>
        <w:t xml:space="preserve"> </w:t>
      </w:r>
      <w:r w:rsidRPr="0085561A">
        <w:rPr>
          <w:rFonts w:cs="Arial"/>
        </w:rPr>
        <w:t>distributing a quantity of mixtures and substances containing amphetamine, a Schedule II Controlled Substance, outside of the usual course of professional practice and without a legitimate purpose, in violation o</w:t>
      </w:r>
      <w:r>
        <w:rPr>
          <w:rFonts w:cs="Arial"/>
        </w:rPr>
        <w:t>f Title 21, United States Code, Section 841(a)(l</w:t>
      </w:r>
      <w:r w:rsidRPr="0085561A">
        <w:rPr>
          <w:rFonts w:cs="Arial"/>
        </w:rPr>
        <w:t>). He was also charge</w:t>
      </w:r>
      <w:r>
        <w:rPr>
          <w:rFonts w:cs="Arial"/>
        </w:rPr>
        <w:t>d</w:t>
      </w:r>
      <w:r w:rsidRPr="0085561A">
        <w:rPr>
          <w:rFonts w:cs="Arial"/>
        </w:rPr>
        <w:t xml:space="preserve"> with one count </w:t>
      </w:r>
      <w:r>
        <w:rPr>
          <w:rFonts w:cs="Arial"/>
        </w:rPr>
        <w:t xml:space="preserve">of </w:t>
      </w:r>
      <w:r w:rsidRPr="0085561A">
        <w:rPr>
          <w:rFonts w:cs="Arial"/>
        </w:rPr>
        <w:t xml:space="preserve">attempting to violate Title 21, United </w:t>
      </w:r>
      <w:r>
        <w:rPr>
          <w:rFonts w:cs="Arial"/>
        </w:rPr>
        <w:t>S</w:t>
      </w:r>
      <w:r w:rsidRPr="0085561A">
        <w:rPr>
          <w:rFonts w:cs="Arial"/>
        </w:rPr>
        <w:t>tates Code, Section 841(a</w:t>
      </w:r>
      <w:proofErr w:type="gramStart"/>
      <w:r w:rsidRPr="0085561A">
        <w:rPr>
          <w:rFonts w:cs="Arial"/>
        </w:rPr>
        <w:t>)(</w:t>
      </w:r>
      <w:proofErr w:type="gramEnd"/>
      <w:r w:rsidRPr="0085561A">
        <w:rPr>
          <w:rFonts w:cs="Arial"/>
        </w:rPr>
        <w:t>l).</w:t>
      </w:r>
    </w:p>
    <w:p w:rsidR="00BE4B8E" w:rsidRDefault="0085561A" w:rsidP="00BE4B8E">
      <w:pPr>
        <w:spacing w:line="480" w:lineRule="auto"/>
        <w:ind w:firstLine="720"/>
        <w:rPr>
          <w:rFonts w:cs="Arial"/>
        </w:rPr>
      </w:pPr>
      <w:r>
        <w:rPr>
          <w:rFonts w:cs="Arial"/>
        </w:rPr>
        <w:t>3</w:t>
      </w:r>
      <w:r w:rsidR="001467FE">
        <w:rPr>
          <w:rFonts w:cs="Arial"/>
        </w:rPr>
        <w:t>.</w:t>
      </w:r>
      <w:r w:rsidR="001467FE">
        <w:rPr>
          <w:rFonts w:cs="Arial"/>
        </w:rPr>
        <w:tab/>
      </w:r>
      <w:r w:rsidRPr="0085561A">
        <w:rPr>
          <w:rFonts w:cs="Arial"/>
        </w:rPr>
        <w:t>In March 2014,</w:t>
      </w:r>
      <w:r>
        <w:rPr>
          <w:rFonts w:cs="Arial"/>
        </w:rPr>
        <w:t xml:space="preserve"> the Respondent pleaded guilty t</w:t>
      </w:r>
      <w:r w:rsidRPr="0085561A">
        <w:rPr>
          <w:rFonts w:cs="Arial"/>
        </w:rPr>
        <w:t>o eight counts of Distribution of</w:t>
      </w:r>
      <w:r>
        <w:rPr>
          <w:rFonts w:cs="Arial"/>
        </w:rPr>
        <w:t xml:space="preserve"> </w:t>
      </w:r>
      <w:r w:rsidRPr="0085561A">
        <w:rPr>
          <w:rFonts w:cs="Arial"/>
        </w:rPr>
        <w:t>Controlled Substance in the United States District Court for the Northern District of Illinois.</w:t>
      </w:r>
    </w:p>
    <w:p w:rsidR="0085561A" w:rsidRDefault="0085561A" w:rsidP="00BE4B8E">
      <w:pPr>
        <w:spacing w:line="480" w:lineRule="auto"/>
        <w:ind w:firstLine="720"/>
        <w:rPr>
          <w:rFonts w:cs="Arial"/>
        </w:rPr>
      </w:pPr>
      <w:r>
        <w:rPr>
          <w:rFonts w:cs="Arial"/>
        </w:rPr>
        <w:t>4.</w:t>
      </w:r>
      <w:r>
        <w:rPr>
          <w:rFonts w:cs="Arial"/>
        </w:rPr>
        <w:tab/>
      </w:r>
      <w:r w:rsidRPr="0085561A">
        <w:rPr>
          <w:rFonts w:cs="Arial"/>
        </w:rPr>
        <w:t>In August 2014, the Respondent was sentence</w:t>
      </w:r>
      <w:r>
        <w:rPr>
          <w:rFonts w:cs="Arial"/>
        </w:rPr>
        <w:t xml:space="preserve">d to 70 months in prison and 10 </w:t>
      </w:r>
      <w:r w:rsidRPr="0085561A">
        <w:rPr>
          <w:rFonts w:cs="Arial"/>
        </w:rPr>
        <w:t>year</w:t>
      </w:r>
      <w:r>
        <w:rPr>
          <w:rFonts w:cs="Arial"/>
        </w:rPr>
        <w:t>s of supervised release thereafter. H</w:t>
      </w:r>
      <w:r w:rsidRPr="0085561A">
        <w:rPr>
          <w:rFonts w:cs="Arial"/>
        </w:rPr>
        <w:t>e was also ordered to perform 1,000 hours of community service.</w:t>
      </w:r>
    </w:p>
    <w:p w:rsidR="00BE4B8E" w:rsidRDefault="001467FE" w:rsidP="00BE4B8E">
      <w:pPr>
        <w:spacing w:line="480" w:lineRule="auto"/>
        <w:ind w:firstLine="720"/>
        <w:rPr>
          <w:rFonts w:cs="Arial"/>
        </w:rPr>
      </w:pPr>
      <w:r>
        <w:rPr>
          <w:rFonts w:cs="Arial"/>
        </w:rPr>
        <w:t>5.</w:t>
      </w:r>
      <w:r>
        <w:rPr>
          <w:rFonts w:cs="Arial"/>
        </w:rPr>
        <w:tab/>
      </w:r>
      <w:r w:rsidR="0085561A" w:rsidRPr="0085561A">
        <w:rPr>
          <w:rFonts w:cs="Arial"/>
        </w:rPr>
        <w:t xml:space="preserve">The Respondent began serving his 70-month </w:t>
      </w:r>
      <w:r w:rsidR="0085561A">
        <w:rPr>
          <w:rFonts w:cs="Arial"/>
        </w:rPr>
        <w:t>sentence in September 2014 and wa</w:t>
      </w:r>
      <w:r w:rsidR="0085561A" w:rsidRPr="0085561A">
        <w:rPr>
          <w:rFonts w:cs="Arial"/>
        </w:rPr>
        <w:t>s</w:t>
      </w:r>
      <w:r w:rsidR="0085561A" w:rsidRPr="0085561A">
        <w:t xml:space="preserve"> </w:t>
      </w:r>
      <w:r w:rsidR="0085561A" w:rsidRPr="0085561A">
        <w:rPr>
          <w:rFonts w:cs="Arial"/>
        </w:rPr>
        <w:t xml:space="preserve">assigned to the U.S. Penitentiary in Marion, Illinois. His scheduled release date </w:t>
      </w:r>
      <w:r w:rsidR="0085561A">
        <w:rPr>
          <w:rFonts w:cs="Arial"/>
        </w:rPr>
        <w:t>wa</w:t>
      </w:r>
      <w:r w:rsidR="0085561A" w:rsidRPr="0085561A">
        <w:rPr>
          <w:rFonts w:cs="Arial"/>
        </w:rPr>
        <w:t>s October 8, 2019.</w:t>
      </w:r>
    </w:p>
    <w:p w:rsidR="0085561A" w:rsidRDefault="0085561A" w:rsidP="001360F6">
      <w:pPr>
        <w:spacing w:line="480" w:lineRule="auto"/>
        <w:jc w:val="center"/>
        <w:rPr>
          <w:rFonts w:cs="Arial"/>
        </w:rPr>
      </w:pPr>
    </w:p>
    <w:p w:rsidR="0085561A" w:rsidRDefault="0085561A" w:rsidP="001360F6">
      <w:pPr>
        <w:spacing w:line="480" w:lineRule="auto"/>
        <w:jc w:val="center"/>
        <w:rPr>
          <w:rFonts w:cs="Arial"/>
        </w:rPr>
      </w:pPr>
    </w:p>
    <w:p w:rsidR="001360F6" w:rsidRDefault="001360F6" w:rsidP="001360F6">
      <w:pPr>
        <w:spacing w:line="480" w:lineRule="auto"/>
        <w:jc w:val="center"/>
        <w:rPr>
          <w:rFonts w:cs="Arial"/>
        </w:rPr>
      </w:pPr>
      <w:r>
        <w:rPr>
          <w:rFonts w:cs="Arial"/>
          <w:u w:val="single"/>
        </w:rPr>
        <w:lastRenderedPageBreak/>
        <w:t>Conclusions of Law</w:t>
      </w:r>
    </w:p>
    <w:p w:rsidR="001360F6" w:rsidRDefault="001360F6" w:rsidP="001360F6">
      <w:pPr>
        <w:spacing w:line="480" w:lineRule="auto"/>
        <w:rPr>
          <w:rFonts w:cs="Arial"/>
        </w:rPr>
      </w:pPr>
      <w:r>
        <w:rPr>
          <w:rFonts w:cs="Arial"/>
        </w:rPr>
        <w:tab/>
        <w:t>Since the matter was decided on the basis of a default at DALA, the Magistrate made no determinations as to Conclusions of Law. Based upon the facts set forth in the SOA, and now admitted, the Board makes the following Conclusions of Law:</w:t>
      </w:r>
    </w:p>
    <w:p w:rsidR="0085561A" w:rsidRDefault="001360F6" w:rsidP="0085561A">
      <w:pPr>
        <w:spacing w:line="480" w:lineRule="auto"/>
        <w:rPr>
          <w:rFonts w:cs="Arial"/>
        </w:rPr>
      </w:pPr>
      <w:r w:rsidRPr="001360F6">
        <w:rPr>
          <w:rFonts w:cs="Arial"/>
        </w:rPr>
        <w:tab/>
        <w:t>A</w:t>
      </w:r>
      <w:r w:rsidR="001467FE">
        <w:rPr>
          <w:rFonts w:cs="Arial"/>
        </w:rPr>
        <w:t>.</w:t>
      </w:r>
      <w:r w:rsidR="001467FE">
        <w:rPr>
          <w:rFonts w:cs="Arial"/>
        </w:rPr>
        <w:tab/>
      </w:r>
      <w:r w:rsidR="0085561A">
        <w:rPr>
          <w:rFonts w:cs="Arial"/>
        </w:rPr>
        <w:t xml:space="preserve">Pursuant to G.L. c. 112, § </w:t>
      </w:r>
      <w:r w:rsidR="0085561A" w:rsidRPr="0085561A">
        <w:rPr>
          <w:rFonts w:cs="Arial"/>
        </w:rPr>
        <w:t>5, ninth par. (g), the Board may discipline a physician</w:t>
      </w:r>
      <w:r w:rsidR="0085561A">
        <w:rPr>
          <w:rFonts w:cs="Arial"/>
        </w:rPr>
        <w:t xml:space="preserve"> </w:t>
      </w:r>
      <w:r w:rsidR="0085561A" w:rsidRPr="0085561A">
        <w:rPr>
          <w:rFonts w:cs="Arial"/>
        </w:rPr>
        <w:t>upon proof satisfactory to a majority of the Board that said physician has been convicted of a criminal offense which reasonably calls into question h</w:t>
      </w:r>
      <w:r w:rsidR="0085561A">
        <w:rPr>
          <w:rFonts w:cs="Arial"/>
        </w:rPr>
        <w:t>is ability to practice medicine;</w:t>
      </w:r>
      <w:r w:rsidR="00804785">
        <w:rPr>
          <w:rFonts w:cs="Arial"/>
        </w:rPr>
        <w:t xml:space="preserve"> and</w:t>
      </w:r>
    </w:p>
    <w:p w:rsidR="00B83098" w:rsidRDefault="00B83098" w:rsidP="0085561A">
      <w:pPr>
        <w:spacing w:line="480" w:lineRule="auto"/>
        <w:rPr>
          <w:rFonts w:cs="Arial"/>
        </w:rPr>
      </w:pPr>
      <w:r>
        <w:rPr>
          <w:rFonts w:cs="Arial"/>
        </w:rPr>
        <w:tab/>
      </w:r>
      <w:r w:rsidR="001467FE">
        <w:rPr>
          <w:rFonts w:cs="Arial"/>
        </w:rPr>
        <w:t>B.</w:t>
      </w:r>
      <w:r w:rsidR="001467FE">
        <w:rPr>
          <w:rFonts w:cs="Arial"/>
        </w:rPr>
        <w:tab/>
      </w:r>
      <w:r w:rsidR="00804785">
        <w:rPr>
          <w:rFonts w:cs="Arial"/>
        </w:rPr>
        <w:t>Pursuant to 243 CMR 1</w:t>
      </w:r>
      <w:r w:rsidR="0085561A" w:rsidRPr="0085561A">
        <w:rPr>
          <w:rFonts w:cs="Arial"/>
        </w:rPr>
        <w:t>.03(5</w:t>
      </w:r>
      <w:proofErr w:type="gramStart"/>
      <w:r w:rsidR="0085561A" w:rsidRPr="0085561A">
        <w:rPr>
          <w:rFonts w:cs="Arial"/>
        </w:rPr>
        <w:t>)(</w:t>
      </w:r>
      <w:proofErr w:type="gramEnd"/>
      <w:r w:rsidR="0085561A" w:rsidRPr="0085561A">
        <w:rPr>
          <w:rFonts w:cs="Arial"/>
        </w:rPr>
        <w:t>a)7, the Board may discipline a physician upon</w:t>
      </w:r>
      <w:r w:rsidR="0085561A">
        <w:rPr>
          <w:rFonts w:cs="Arial"/>
        </w:rPr>
        <w:t xml:space="preserve"> </w:t>
      </w:r>
      <w:r w:rsidR="0085561A" w:rsidRPr="0085561A">
        <w:rPr>
          <w:rFonts w:cs="Arial"/>
        </w:rPr>
        <w:t>proof satisfactory to a majority of the Board, that said physician has been convicted of a crime.</w:t>
      </w:r>
    </w:p>
    <w:p w:rsidR="00B83098" w:rsidRDefault="00B83098" w:rsidP="00B83098">
      <w:pPr>
        <w:spacing w:line="480" w:lineRule="auto"/>
        <w:jc w:val="center"/>
        <w:rPr>
          <w:rFonts w:cs="Arial"/>
        </w:rPr>
      </w:pPr>
      <w:r>
        <w:rPr>
          <w:rFonts w:cs="Arial"/>
          <w:u w:val="single"/>
        </w:rPr>
        <w:t>Sanction</w:t>
      </w:r>
    </w:p>
    <w:p w:rsidR="00804785" w:rsidRPr="00804785" w:rsidRDefault="00B83098" w:rsidP="00804785">
      <w:pPr>
        <w:spacing w:line="480" w:lineRule="auto"/>
        <w:rPr>
          <w:rFonts w:cs="Arial"/>
        </w:rPr>
      </w:pPr>
      <w:r>
        <w:rPr>
          <w:rFonts w:cs="Arial"/>
        </w:rPr>
        <w:tab/>
        <w:t xml:space="preserve">The Respondent’s failure to </w:t>
      </w:r>
      <w:r w:rsidR="0085561A">
        <w:rPr>
          <w:rFonts w:cs="Arial"/>
        </w:rPr>
        <w:t>file an Answer</w:t>
      </w:r>
      <w:r>
        <w:rPr>
          <w:rFonts w:cs="Arial"/>
        </w:rPr>
        <w:t xml:space="preserve"> to the SOA, </w:t>
      </w:r>
      <w:r w:rsidR="00804785">
        <w:rPr>
          <w:rFonts w:cs="Arial"/>
        </w:rPr>
        <w:t>to appear for a scheduled pre-hearing conference before DALA</w:t>
      </w:r>
      <w:r w:rsidR="00986EDD">
        <w:rPr>
          <w:rFonts w:cs="Arial"/>
        </w:rPr>
        <w:t>, to</w:t>
      </w:r>
      <w:r w:rsidR="00804785">
        <w:rPr>
          <w:rFonts w:cs="Arial"/>
        </w:rPr>
        <w:t xml:space="preserve"> respond to the Magistrate’s April 29, 2019 Order to Show Cause, and his</w:t>
      </w:r>
      <w:r>
        <w:rPr>
          <w:rFonts w:cs="Arial"/>
        </w:rPr>
        <w:t xml:space="preserve"> default in connection </w:t>
      </w:r>
      <w:r w:rsidR="00804785">
        <w:rPr>
          <w:rFonts w:cs="Arial"/>
        </w:rPr>
        <w:t>with this action demonstrate his</w:t>
      </w:r>
      <w:r>
        <w:rPr>
          <w:rFonts w:cs="Arial"/>
        </w:rPr>
        <w:t xml:space="preserve"> utter disregard for the Board’s statutory mandate. </w:t>
      </w:r>
      <w:r w:rsidR="00804785" w:rsidRPr="00804785">
        <w:rPr>
          <w:rFonts w:cs="Arial"/>
        </w:rPr>
        <w:t xml:space="preserve">The Board has historically imposed revocation as the sanction for default. </w:t>
      </w:r>
      <w:r w:rsidR="00804785" w:rsidRPr="00804785">
        <w:rPr>
          <w:rFonts w:cs="Arial"/>
          <w:i/>
        </w:rPr>
        <w:t>See</w:t>
      </w:r>
      <w:r w:rsidR="00804785" w:rsidRPr="00804785">
        <w:rPr>
          <w:rFonts w:cs="Arial"/>
        </w:rPr>
        <w:t xml:space="preserve">, </w:t>
      </w:r>
      <w:r w:rsidR="00804785" w:rsidRPr="00804785">
        <w:rPr>
          <w:rFonts w:cs="Arial"/>
          <w:i/>
        </w:rPr>
        <w:t>e.g.</w:t>
      </w:r>
      <w:r w:rsidR="00804785" w:rsidRPr="00804785">
        <w:rPr>
          <w:rFonts w:cs="Arial"/>
        </w:rPr>
        <w:t xml:space="preserve">, </w:t>
      </w:r>
      <w:r w:rsidR="00804785" w:rsidRPr="00804785">
        <w:rPr>
          <w:rFonts w:cs="Arial"/>
          <w:i/>
        </w:rPr>
        <w:t xml:space="preserve">In the Matter of Paul M. </w:t>
      </w:r>
      <w:proofErr w:type="spellStart"/>
      <w:r w:rsidR="00804785" w:rsidRPr="00804785">
        <w:rPr>
          <w:rFonts w:cs="Arial"/>
          <w:i/>
        </w:rPr>
        <w:t>Willette</w:t>
      </w:r>
      <w:proofErr w:type="spellEnd"/>
      <w:r w:rsidR="00804785" w:rsidRPr="00804785">
        <w:rPr>
          <w:rFonts w:cs="Arial"/>
          <w:i/>
        </w:rPr>
        <w:t>, M.D.</w:t>
      </w:r>
      <w:r w:rsidR="00804785" w:rsidRPr="00804785">
        <w:rPr>
          <w:rFonts w:cs="Arial"/>
        </w:rPr>
        <w:t xml:space="preserve">, Board of Registration in Medicine, Adjudicatory Case No. 2017-035 (Final Decision and Order, September 13, 2018); </w:t>
      </w:r>
      <w:r w:rsidR="00804785" w:rsidRPr="00804785">
        <w:rPr>
          <w:rFonts w:cs="Arial"/>
          <w:i/>
        </w:rPr>
        <w:t>In the Matter of John P. Katzenberg, M.D.</w:t>
      </w:r>
      <w:r w:rsidR="00804785" w:rsidRPr="00804785">
        <w:rPr>
          <w:rFonts w:cs="Arial"/>
        </w:rPr>
        <w:t xml:space="preserve">, Board of Registration in Medicine, Adjudicatory Case No. 2017-054 (Final Decision and Order, August 9, 2018); </w:t>
      </w:r>
      <w:r w:rsidR="00804785" w:rsidRPr="00804785">
        <w:rPr>
          <w:rFonts w:cs="Arial"/>
          <w:i/>
        </w:rPr>
        <w:t>In the Matter of Christopher D. Owens, M.D.</w:t>
      </w:r>
      <w:r w:rsidR="00804785" w:rsidRPr="00804785">
        <w:rPr>
          <w:rFonts w:cs="Arial"/>
        </w:rPr>
        <w:t xml:space="preserve">, Board of Registration in Medicine, Adjudicatory Case No. 2017-031 (Final Decision and Order, April 25, 2018); </w:t>
      </w:r>
      <w:r w:rsidR="00804785" w:rsidRPr="00804785">
        <w:rPr>
          <w:rFonts w:cs="Arial"/>
          <w:i/>
        </w:rPr>
        <w:t>In the Matter of John E. Strobeck, M.D.</w:t>
      </w:r>
      <w:r w:rsidR="00804785" w:rsidRPr="00804785">
        <w:rPr>
          <w:rFonts w:cs="Arial"/>
        </w:rPr>
        <w:t xml:space="preserve">, Board of Registration in Medicine, Adjudicatory Case No. 2017-044 (Final Decision and Order, April 25, 2018). In these cases, the Board reasoned that </w:t>
      </w:r>
      <w:r w:rsidR="00986EDD">
        <w:rPr>
          <w:rFonts w:cs="Arial"/>
        </w:rPr>
        <w:t>b</w:t>
      </w:r>
      <w:r w:rsidR="00804785" w:rsidRPr="00804785">
        <w:rPr>
          <w:rFonts w:cs="Arial"/>
        </w:rPr>
        <w:t>y failing to respond to the Board, a physician prevents the Board from investigating the allegations concerning his or her misconduct. The physician’s failure to respond to these allegations</w:t>
      </w:r>
      <w:r w:rsidR="00986EDD">
        <w:rPr>
          <w:rFonts w:cs="Arial"/>
        </w:rPr>
        <w:t xml:space="preserve"> thereby</w:t>
      </w:r>
      <w:r w:rsidR="00804785" w:rsidRPr="00804785">
        <w:rPr>
          <w:rFonts w:cs="Arial"/>
        </w:rPr>
        <w:t xml:space="preserve"> hinders the Board’s efforts to fulfill its mission to protect the publ</w:t>
      </w:r>
      <w:r w:rsidR="00804785">
        <w:rPr>
          <w:rFonts w:cs="Arial"/>
        </w:rPr>
        <w:t>ic health, safety, and welfare.</w:t>
      </w:r>
    </w:p>
    <w:p w:rsidR="00DB4475" w:rsidRDefault="00DB4475" w:rsidP="00B83098">
      <w:pPr>
        <w:spacing w:line="480" w:lineRule="auto"/>
        <w:rPr>
          <w:rFonts w:cs="Arial"/>
        </w:rPr>
      </w:pPr>
      <w:r>
        <w:rPr>
          <w:rFonts w:cs="Arial"/>
        </w:rPr>
        <w:tab/>
        <w:t xml:space="preserve">Revocation has been imposed by the Board “where physicians have repeatedly disregarded the Board’s administrative directives.” </w:t>
      </w:r>
      <w:r>
        <w:rPr>
          <w:rFonts w:cs="Arial"/>
          <w:i/>
        </w:rPr>
        <w:t>See</w:t>
      </w:r>
      <w:r>
        <w:rPr>
          <w:rFonts w:cs="Arial"/>
        </w:rPr>
        <w:t xml:space="preserve"> </w:t>
      </w:r>
      <w:r>
        <w:rPr>
          <w:rFonts w:cs="Arial"/>
          <w:i/>
        </w:rPr>
        <w:t>In the Matter of Anastasia Kucharski, M.D.</w:t>
      </w:r>
      <w:r>
        <w:rPr>
          <w:rFonts w:cs="Arial"/>
        </w:rPr>
        <w:t>, Board of Registration in Medicine, Adjudicatory Case No. 2008-048 (Final Decision and Order, April 14, 2010) (Board revoked physician’s inchoate right to renew her medical license, finding she had continued to practice after her license had lapsed, practiced without malpractice insurance, and engaged in licensing fraud by misrepresenting her malpractice insurance status and failing to report criminal charges).</w:t>
      </w:r>
    </w:p>
    <w:p w:rsidR="00D37D45" w:rsidRPr="00D37D45" w:rsidRDefault="001E1FB2" w:rsidP="00B83098">
      <w:pPr>
        <w:spacing w:line="480" w:lineRule="auto"/>
        <w:rPr>
          <w:rFonts w:cs="Arial"/>
        </w:rPr>
      </w:pPr>
      <w:r>
        <w:rPr>
          <w:rFonts w:cs="Arial"/>
        </w:rPr>
        <w:tab/>
        <w:t>The Board has</w:t>
      </w:r>
      <w:r w:rsidR="00804785">
        <w:rPr>
          <w:rFonts w:cs="Arial"/>
        </w:rPr>
        <w:t xml:space="preserve"> also imposed revocation in matters </w:t>
      </w:r>
      <w:r w:rsidR="00D37D45">
        <w:rPr>
          <w:rFonts w:cs="Arial"/>
        </w:rPr>
        <w:t xml:space="preserve">where a physician has </w:t>
      </w:r>
      <w:r w:rsidR="00804785">
        <w:rPr>
          <w:rFonts w:cs="Arial"/>
        </w:rPr>
        <w:t>been convicted of crimes relating to the illegal distribution of controlled substances</w:t>
      </w:r>
      <w:r w:rsidR="00D37D45">
        <w:rPr>
          <w:rFonts w:cs="Arial"/>
        </w:rPr>
        <w:t xml:space="preserve">. </w:t>
      </w:r>
      <w:r w:rsidR="00D37D45">
        <w:rPr>
          <w:rFonts w:cs="Arial"/>
          <w:i/>
        </w:rPr>
        <w:t>See</w:t>
      </w:r>
      <w:r w:rsidR="00D37D45">
        <w:rPr>
          <w:rFonts w:cs="Arial"/>
        </w:rPr>
        <w:t xml:space="preserve"> </w:t>
      </w:r>
      <w:r w:rsidR="00804785">
        <w:rPr>
          <w:i/>
        </w:rPr>
        <w:t xml:space="preserve">In the Matter of Manuel </w:t>
      </w:r>
      <w:proofErr w:type="spellStart"/>
      <w:r w:rsidR="00804785">
        <w:rPr>
          <w:i/>
        </w:rPr>
        <w:t>Yapchai</w:t>
      </w:r>
      <w:proofErr w:type="spellEnd"/>
      <w:r w:rsidR="00804785">
        <w:rPr>
          <w:i/>
        </w:rPr>
        <w:t>, M.D.</w:t>
      </w:r>
      <w:r w:rsidR="00804785">
        <w:t xml:space="preserve">, Board of Registration in Medicine, Adjudicatory Case No. 2018-17 (Final Decision and Order, November 21, 2018) (inchoate right to renew </w:t>
      </w:r>
      <w:r w:rsidR="00986EDD">
        <w:t xml:space="preserve">revoked </w:t>
      </w:r>
      <w:r w:rsidR="00804785">
        <w:t xml:space="preserve">based on federal conviction on a single count of Illegal Distribution of a Controlled Substance and a prison sentence of one day with two years of supervised release); </w:t>
      </w:r>
      <w:r w:rsidR="00804785">
        <w:rPr>
          <w:i/>
        </w:rPr>
        <w:t>In the Matter of Richard Ng, M.D.</w:t>
      </w:r>
      <w:r w:rsidR="00804785">
        <w:t xml:space="preserve">, Board of Registration in Medicine, Adjudicatory Case No. 2014-026 (Consent Order, June 25, 2014) (license revoked based on criminal conviction involving prescribing and fraud); and </w:t>
      </w:r>
      <w:r w:rsidR="00804785">
        <w:rPr>
          <w:i/>
        </w:rPr>
        <w:t xml:space="preserve">In the Matter of Michael L. </w:t>
      </w:r>
      <w:proofErr w:type="spellStart"/>
      <w:r w:rsidR="00804785">
        <w:rPr>
          <w:i/>
        </w:rPr>
        <w:t>Mavroidis</w:t>
      </w:r>
      <w:proofErr w:type="spellEnd"/>
      <w:r w:rsidR="00804785">
        <w:rPr>
          <w:i/>
        </w:rPr>
        <w:t>, M.D.</w:t>
      </w:r>
      <w:r w:rsidR="00804785">
        <w:t>, Board of Registration in Medicine, Adjudicatory Case No. 01-27-DALA (Final Decision and Order, November 19, 2008) (license revoked for misconduct that included finding of guilty of ten counts of unauthorized distribution of Class B, C, and E controlled substances).</w:t>
      </w:r>
    </w:p>
    <w:p w:rsidR="00DB4475" w:rsidRDefault="00DB4475" w:rsidP="00B83098">
      <w:pPr>
        <w:spacing w:line="480" w:lineRule="auto"/>
        <w:rPr>
          <w:rFonts w:cs="Arial"/>
        </w:rPr>
      </w:pPr>
      <w:r>
        <w:rPr>
          <w:rFonts w:cs="Arial"/>
        </w:rPr>
        <w:tab/>
      </w:r>
      <w:r w:rsidR="001E1FB2">
        <w:rPr>
          <w:rFonts w:cs="Arial"/>
        </w:rPr>
        <w:t xml:space="preserve">The Board’s paramount responsibility is the protection of the public health, safety, and welfare. </w:t>
      </w:r>
      <w:r w:rsidR="001E1FB2">
        <w:rPr>
          <w:rFonts w:cs="Arial"/>
          <w:i/>
        </w:rPr>
        <w:t>See</w:t>
      </w:r>
      <w:r w:rsidR="001E1FB2">
        <w:rPr>
          <w:rFonts w:cs="Arial"/>
        </w:rPr>
        <w:t xml:space="preserve"> </w:t>
      </w:r>
      <w:r w:rsidR="001E1FB2">
        <w:rPr>
          <w:rFonts w:cs="Arial"/>
          <w:i/>
        </w:rPr>
        <w:t>Levy v. Board of Registration in Medicine</w:t>
      </w:r>
      <w:r w:rsidR="001E1FB2">
        <w:rPr>
          <w:rFonts w:cs="Arial"/>
        </w:rPr>
        <w:t xml:space="preserve">, 378 Mass 519 (1979). In light of the Respondent’s default, which hindered the Board’s efforts in its fulfillment of this responsibility, it is appropriate to impose a sanction in this matter. The Board hereby </w:t>
      </w:r>
      <w:r w:rsidR="001E1FB2">
        <w:rPr>
          <w:rFonts w:cs="Arial"/>
          <w:b/>
        </w:rPr>
        <w:t>REVOKES</w:t>
      </w:r>
      <w:r w:rsidR="001E1FB2">
        <w:rPr>
          <w:rFonts w:cs="Arial"/>
        </w:rPr>
        <w:t xml:space="preserve"> the Respondent’s inchoate right to renew h</w:t>
      </w:r>
      <w:r w:rsidR="00767105">
        <w:rPr>
          <w:rFonts w:cs="Arial"/>
        </w:rPr>
        <w:t>is</w:t>
      </w:r>
      <w:r w:rsidR="001E1FB2">
        <w:rPr>
          <w:rFonts w:cs="Arial"/>
        </w:rPr>
        <w:t xml:space="preserve"> license to practice medicine. This sanction is imposed for each violation of law listed in the Conclusions of Law section and not a combination of any or all of them.</w:t>
      </w:r>
    </w:p>
    <w:p w:rsidR="001E1FB2" w:rsidRDefault="001E1FB2" w:rsidP="00B83098">
      <w:pPr>
        <w:spacing w:line="480" w:lineRule="auto"/>
        <w:rPr>
          <w:rFonts w:cs="Arial"/>
        </w:rPr>
      </w:pPr>
      <w:r>
        <w:rPr>
          <w:rFonts w:cs="Arial"/>
        </w:rPr>
        <w:tab/>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w:t>
      </w:r>
      <w:r w:rsidR="00767105">
        <w:rPr>
          <w:rFonts w:cs="Arial"/>
        </w:rPr>
        <w:t xml:space="preserve">, or federal facility at which </w:t>
      </w:r>
      <w:r>
        <w:rPr>
          <w:rFonts w:cs="Arial"/>
        </w:rPr>
        <w:t>he practices medicine; any in- or out-of-state health main</w:t>
      </w:r>
      <w:r w:rsidR="00767105">
        <w:rPr>
          <w:rFonts w:cs="Arial"/>
        </w:rPr>
        <w:t xml:space="preserve">tenance organization with whom </w:t>
      </w:r>
      <w:r>
        <w:rPr>
          <w:rFonts w:cs="Arial"/>
        </w:rPr>
        <w:t>he has privileges or any other kind of association; any state agency, i</w:t>
      </w:r>
      <w:r w:rsidR="00767105">
        <w:rPr>
          <w:rFonts w:cs="Arial"/>
        </w:rPr>
        <w:t xml:space="preserve">n- or out-of-state, with which </w:t>
      </w:r>
      <w:r>
        <w:rPr>
          <w:rFonts w:cs="Arial"/>
        </w:rPr>
        <w:t>he has a provider contract; any in- or out-of-state me</w:t>
      </w:r>
      <w:r w:rsidR="00767105">
        <w:rPr>
          <w:rFonts w:cs="Arial"/>
        </w:rPr>
        <w:t xml:space="preserve">dical employer, whether or not </w:t>
      </w:r>
      <w:r>
        <w:rPr>
          <w:rFonts w:cs="Arial"/>
        </w:rPr>
        <w:t xml:space="preserve">he practices medicine there; the state licensing </w:t>
      </w:r>
      <w:r w:rsidR="00767105">
        <w:rPr>
          <w:rFonts w:cs="Arial"/>
        </w:rPr>
        <w:t xml:space="preserve">board of all states in which </w:t>
      </w:r>
      <w:r w:rsidR="001467FE">
        <w:rPr>
          <w:rFonts w:cs="Arial"/>
        </w:rPr>
        <w:t xml:space="preserve">he has any kind of license to practice medicine; the Drug Enforcement Administration – Boston Diversion Group; and the Massachusetts Department of Public Health Drug Control Program. The Respondent shall also provide this notification to any such </w:t>
      </w:r>
      <w:r w:rsidR="00767105">
        <w:rPr>
          <w:rFonts w:cs="Arial"/>
        </w:rPr>
        <w:t xml:space="preserve">designated entities with which </w:t>
      </w:r>
      <w:r w:rsidR="001467FE">
        <w:rPr>
          <w:rFonts w:cs="Arial"/>
        </w:rPr>
        <w:t>he becomes associated for the duration of this revocation. The Respondent is further directed to certify to the B</w:t>
      </w:r>
      <w:r w:rsidR="00767105">
        <w:rPr>
          <w:rFonts w:cs="Arial"/>
        </w:rPr>
        <w:t xml:space="preserve">oard within ten (10) days that </w:t>
      </w:r>
      <w:r w:rsidR="001467FE">
        <w:rPr>
          <w:rFonts w:cs="Arial"/>
        </w:rPr>
        <w:t>he has complied with this directive.</w:t>
      </w:r>
    </w:p>
    <w:p w:rsidR="001467FE" w:rsidRPr="001E1FB2" w:rsidRDefault="001467FE" w:rsidP="00B83098">
      <w:pPr>
        <w:spacing w:line="480" w:lineRule="auto"/>
        <w:rPr>
          <w:rFonts w:cs="Arial"/>
        </w:rPr>
      </w:pPr>
      <w:r>
        <w:rPr>
          <w:rFonts w:cs="Arial"/>
        </w:rPr>
        <w:tab/>
        <w:t>The Respondent has the right to appeal this Final Decision and Order within thirty (30) days, pursuant to G.L. c. 30A, §§ 14 and 15, and G.L. c. 112, § 64.</w:t>
      </w:r>
    </w:p>
    <w:p w:rsidR="000213E8" w:rsidRDefault="000213E8" w:rsidP="000213E8"/>
    <w:p w:rsidR="000213E8" w:rsidRDefault="000213E8" w:rsidP="000213E8"/>
    <w:p w:rsidR="0085440C" w:rsidRPr="004F2850" w:rsidRDefault="007868DF" w:rsidP="000213E8">
      <w:pPr>
        <w:rPr>
          <w:u w:val="single"/>
        </w:rPr>
      </w:pPr>
      <w:r>
        <w:t xml:space="preserve">Date: </w:t>
      </w:r>
      <w:r w:rsidR="00767105">
        <w:t>October 10</w:t>
      </w:r>
      <w:r w:rsidR="000213E8">
        <w:t>, 2019</w:t>
      </w:r>
      <w:r>
        <w:tab/>
      </w:r>
      <w:r>
        <w:tab/>
      </w:r>
      <w:r>
        <w:tab/>
      </w:r>
      <w:r>
        <w:tab/>
      </w:r>
      <w:bookmarkStart w:id="0" w:name="_GoBack"/>
      <w:r w:rsidR="00EF3C68" w:rsidRPr="00EF3C68">
        <w:rPr>
          <w:u w:val="single"/>
        </w:rPr>
        <w:t xml:space="preserve">Signed by Candace </w:t>
      </w:r>
      <w:proofErr w:type="spellStart"/>
      <w:r w:rsidR="00EF3C68" w:rsidRPr="00EF3C68">
        <w:rPr>
          <w:u w:val="single"/>
        </w:rPr>
        <w:t>Lapidus</w:t>
      </w:r>
      <w:proofErr w:type="spellEnd"/>
      <w:r w:rsidR="00EF3C68" w:rsidRPr="00EF3C68">
        <w:rPr>
          <w:u w:val="single"/>
        </w:rPr>
        <w:t xml:space="preserve"> Sloane, M.D.</w:t>
      </w:r>
      <w:bookmarkEnd w:id="0"/>
    </w:p>
    <w:p w:rsidR="00351723" w:rsidRDefault="000213E8" w:rsidP="000213E8">
      <w:pPr>
        <w:ind w:left="5040"/>
      </w:pPr>
      <w:r>
        <w:t xml:space="preserve">Candace </w:t>
      </w:r>
      <w:proofErr w:type="spellStart"/>
      <w:r>
        <w:t>Lapidus</w:t>
      </w:r>
      <w:proofErr w:type="spellEnd"/>
      <w:r>
        <w:t xml:space="preserve"> Sloane</w:t>
      </w:r>
      <w:r w:rsidR="007868DF">
        <w:t>, M.D.</w:t>
      </w:r>
    </w:p>
    <w:p w:rsidR="002150BD" w:rsidRDefault="000213E8" w:rsidP="000213E8">
      <w:pPr>
        <w:ind w:left="5040"/>
      </w:pPr>
      <w:r>
        <w:t>Chair</w:t>
      </w:r>
    </w:p>
    <w:p w:rsidR="000213E8" w:rsidRDefault="000213E8" w:rsidP="000213E8">
      <w:pPr>
        <w:ind w:left="5040"/>
      </w:pPr>
      <w:r>
        <w:t>Board of Registration in Medicine</w:t>
      </w:r>
    </w:p>
    <w:sectPr w:rsidR="000213E8" w:rsidSect="000213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F2D" w:rsidRDefault="00347F2D">
      <w:r>
        <w:separator/>
      </w:r>
    </w:p>
  </w:endnote>
  <w:endnote w:type="continuationSeparator" w:id="0">
    <w:p w:rsidR="00347F2D" w:rsidRDefault="0034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50BD" w:rsidRDefault="00215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C68">
      <w:rPr>
        <w:rStyle w:val="PageNumber"/>
        <w:noProof/>
      </w:rPr>
      <w:t>5</w:t>
    </w:r>
    <w:r>
      <w:rPr>
        <w:rStyle w:val="PageNumber"/>
      </w:rPr>
      <w:fldChar w:fldCharType="end"/>
    </w:r>
  </w:p>
  <w:p w:rsidR="002150BD" w:rsidRDefault="00215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AA" w:rsidRDefault="001D3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F2D" w:rsidRDefault="00347F2D">
      <w:r>
        <w:separator/>
      </w:r>
    </w:p>
  </w:footnote>
  <w:footnote w:type="continuationSeparator" w:id="0">
    <w:p w:rsidR="00347F2D" w:rsidRDefault="00347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AA" w:rsidRDefault="001D37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AA" w:rsidRDefault="001D37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7AA" w:rsidRDefault="001D3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5AC"/>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382A63"/>
    <w:multiLevelType w:val="hybridMultilevel"/>
    <w:tmpl w:val="80582436"/>
    <w:lvl w:ilvl="0" w:tplc="B3EE3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6602E4"/>
    <w:multiLevelType w:val="hybridMultilevel"/>
    <w:tmpl w:val="36FCB99E"/>
    <w:lvl w:ilvl="0" w:tplc="F0245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603CD6"/>
    <w:multiLevelType w:val="hybridMultilevel"/>
    <w:tmpl w:val="00BC6A74"/>
    <w:lvl w:ilvl="0" w:tplc="38BE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2FF2D27"/>
    <w:multiLevelType w:val="hybridMultilevel"/>
    <w:tmpl w:val="DE24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3"/>
  </w:num>
  <w:num w:numId="4">
    <w:abstractNumId w:val="5"/>
  </w:num>
  <w:num w:numId="5">
    <w:abstractNumId w:val="11"/>
  </w:num>
  <w:num w:numId="6">
    <w:abstractNumId w:val="10"/>
  </w:num>
  <w:num w:numId="7">
    <w:abstractNumId w:val="9"/>
  </w:num>
  <w:num w:numId="8">
    <w:abstractNumId w:val="8"/>
  </w:num>
  <w:num w:numId="9">
    <w:abstractNumId w:val="0"/>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44"/>
    <w:rsid w:val="000213E8"/>
    <w:rsid w:val="000672B9"/>
    <w:rsid w:val="00087BD8"/>
    <w:rsid w:val="000A19B5"/>
    <w:rsid w:val="001360F6"/>
    <w:rsid w:val="001467FE"/>
    <w:rsid w:val="00155EC0"/>
    <w:rsid w:val="001D37AA"/>
    <w:rsid w:val="001E1FB2"/>
    <w:rsid w:val="00201024"/>
    <w:rsid w:val="002150BD"/>
    <w:rsid w:val="002179E7"/>
    <w:rsid w:val="002C7C23"/>
    <w:rsid w:val="002E697B"/>
    <w:rsid w:val="00347F2D"/>
    <w:rsid w:val="00351723"/>
    <w:rsid w:val="00373A2F"/>
    <w:rsid w:val="003A13E5"/>
    <w:rsid w:val="00423D12"/>
    <w:rsid w:val="004362A0"/>
    <w:rsid w:val="00454056"/>
    <w:rsid w:val="00476CAD"/>
    <w:rsid w:val="00493902"/>
    <w:rsid w:val="004C7FAB"/>
    <w:rsid w:val="004E4F08"/>
    <w:rsid w:val="004F2850"/>
    <w:rsid w:val="005418CA"/>
    <w:rsid w:val="005557DF"/>
    <w:rsid w:val="0056428E"/>
    <w:rsid w:val="005A42CA"/>
    <w:rsid w:val="005C20E3"/>
    <w:rsid w:val="005C2503"/>
    <w:rsid w:val="005F2A83"/>
    <w:rsid w:val="00695A7F"/>
    <w:rsid w:val="006B2131"/>
    <w:rsid w:val="006C7397"/>
    <w:rsid w:val="00725424"/>
    <w:rsid w:val="00747CA8"/>
    <w:rsid w:val="00763C40"/>
    <w:rsid w:val="00767105"/>
    <w:rsid w:val="00780898"/>
    <w:rsid w:val="007868DF"/>
    <w:rsid w:val="00804785"/>
    <w:rsid w:val="00810B8C"/>
    <w:rsid w:val="00816F63"/>
    <w:rsid w:val="00852600"/>
    <w:rsid w:val="0085440C"/>
    <w:rsid w:val="0085561A"/>
    <w:rsid w:val="00860653"/>
    <w:rsid w:val="008A7645"/>
    <w:rsid w:val="008D1CEA"/>
    <w:rsid w:val="008D2309"/>
    <w:rsid w:val="009260C7"/>
    <w:rsid w:val="00934950"/>
    <w:rsid w:val="009432D4"/>
    <w:rsid w:val="00943884"/>
    <w:rsid w:val="00943BF2"/>
    <w:rsid w:val="009624E5"/>
    <w:rsid w:val="00962EB7"/>
    <w:rsid w:val="00986EDD"/>
    <w:rsid w:val="009A1F44"/>
    <w:rsid w:val="009B2B74"/>
    <w:rsid w:val="009C39EA"/>
    <w:rsid w:val="009F2B39"/>
    <w:rsid w:val="009F36CF"/>
    <w:rsid w:val="00A1040F"/>
    <w:rsid w:val="00A64EB2"/>
    <w:rsid w:val="00AB6D73"/>
    <w:rsid w:val="00AC6B84"/>
    <w:rsid w:val="00AE42C6"/>
    <w:rsid w:val="00AF6A4E"/>
    <w:rsid w:val="00B174B4"/>
    <w:rsid w:val="00B37BCA"/>
    <w:rsid w:val="00B528F0"/>
    <w:rsid w:val="00B83098"/>
    <w:rsid w:val="00BA0751"/>
    <w:rsid w:val="00BB5DE1"/>
    <w:rsid w:val="00BD2D38"/>
    <w:rsid w:val="00BE4B8E"/>
    <w:rsid w:val="00C3351B"/>
    <w:rsid w:val="00C414E8"/>
    <w:rsid w:val="00C855B9"/>
    <w:rsid w:val="00C86780"/>
    <w:rsid w:val="00C96F64"/>
    <w:rsid w:val="00CC0E7A"/>
    <w:rsid w:val="00D37D45"/>
    <w:rsid w:val="00DB4475"/>
    <w:rsid w:val="00E43C64"/>
    <w:rsid w:val="00E638AC"/>
    <w:rsid w:val="00EC4B54"/>
    <w:rsid w:val="00EF3C68"/>
    <w:rsid w:val="00F0063E"/>
    <w:rsid w:val="00F02F37"/>
    <w:rsid w:val="00F661EE"/>
    <w:rsid w:val="00F668F5"/>
    <w:rsid w:val="00FD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 </cp:lastModifiedBy>
  <cp:revision>3</cp:revision>
  <cp:lastPrinted>2019-03-19T19:38:00Z</cp:lastPrinted>
  <dcterms:created xsi:type="dcterms:W3CDTF">2019-10-23T18:38:00Z</dcterms:created>
  <dcterms:modified xsi:type="dcterms:W3CDTF">2019-10-23T18:39:00Z</dcterms:modified>
</cp:coreProperties>
</file>